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137" w14:textId="77777777" w:rsidR="00653D32" w:rsidRDefault="00502314">
      <w:pPr>
        <w:pStyle w:val="WW-Szvegtrzs212"/>
        <w:spacing w:line="240" w:lineRule="auto"/>
        <w:rPr>
          <w:szCs w:val="22"/>
          <w:lang w:val="hu-HU"/>
        </w:rPr>
      </w:pPr>
      <w:r>
        <w:rPr>
          <w:szCs w:val="22"/>
          <w:lang w:val="hu-HU"/>
        </w:rPr>
        <w:t>1.</w:t>
      </w:r>
      <w:r>
        <w:rPr>
          <w:szCs w:val="22"/>
          <w:lang w:val="hu-HU"/>
        </w:rPr>
        <w:tab/>
        <w:t>A GYÓGYSZER NEVE</w:t>
      </w:r>
    </w:p>
    <w:p w14:paraId="22DB354E" w14:textId="77777777" w:rsidR="00653D32" w:rsidRDefault="00653D32">
      <w:pPr>
        <w:pStyle w:val="Cmsor1"/>
        <w:keepNext w:val="0"/>
        <w:tabs>
          <w:tab w:val="left" w:pos="567"/>
        </w:tabs>
        <w:jc w:val="left"/>
        <w:rPr>
          <w:b w:val="0"/>
          <w:sz w:val="22"/>
          <w:szCs w:val="22"/>
        </w:rPr>
      </w:pPr>
    </w:p>
    <w:p w14:paraId="4E98C182" w14:textId="77777777" w:rsidR="00653D32" w:rsidRDefault="00502314">
      <w:pPr>
        <w:pStyle w:val="Cmsor7"/>
        <w:keepNext w:val="0"/>
        <w:tabs>
          <w:tab w:val="clear" w:pos="567"/>
        </w:tabs>
        <w:rPr>
          <w:szCs w:val="22"/>
        </w:rPr>
      </w:pPr>
      <w:r>
        <w:rPr>
          <w:szCs w:val="22"/>
        </w:rPr>
        <w:t>Moxibiot 400 mg/250 ml oldatos infúzió</w:t>
      </w:r>
    </w:p>
    <w:p w14:paraId="55447FB4" w14:textId="77777777" w:rsidR="00653D32" w:rsidRDefault="00653D32">
      <w:pPr>
        <w:rPr>
          <w:szCs w:val="22"/>
          <w:lang w:val="hu-HU" w:eastAsia="hu-HU"/>
        </w:rPr>
      </w:pPr>
    </w:p>
    <w:p w14:paraId="3FE3F050" w14:textId="77777777" w:rsidR="00653D32" w:rsidRDefault="00653D32">
      <w:pPr>
        <w:rPr>
          <w:szCs w:val="22"/>
          <w:lang w:val="hu-HU" w:eastAsia="hu-HU"/>
        </w:rPr>
      </w:pPr>
    </w:p>
    <w:p w14:paraId="2686F153" w14:textId="77777777" w:rsidR="00653D32" w:rsidRDefault="00502314">
      <w:pPr>
        <w:pStyle w:val="WW-Szvegtrzs212"/>
        <w:numPr>
          <w:ilvl w:val="0"/>
          <w:numId w:val="2"/>
        </w:numPr>
        <w:spacing w:line="240" w:lineRule="auto"/>
        <w:rPr>
          <w:szCs w:val="22"/>
          <w:lang w:val="hu-HU"/>
        </w:rPr>
      </w:pPr>
      <w:r>
        <w:rPr>
          <w:szCs w:val="22"/>
          <w:lang w:val="hu-HU"/>
        </w:rPr>
        <w:t>MINŐSÉGI ÉS MENNYISÉGI ÖSSZETÉTEL</w:t>
      </w:r>
    </w:p>
    <w:p w14:paraId="21E4C2D6" w14:textId="77777777" w:rsidR="00653D32" w:rsidRDefault="00653D32">
      <w:pPr>
        <w:pStyle w:val="WW-Szvegtrzs212"/>
        <w:spacing w:line="240" w:lineRule="auto"/>
        <w:ind w:left="0" w:firstLine="0"/>
        <w:rPr>
          <w:b w:val="0"/>
          <w:szCs w:val="22"/>
          <w:lang w:val="hu-HU"/>
        </w:rPr>
      </w:pPr>
    </w:p>
    <w:p w14:paraId="601362BB" w14:textId="77777777" w:rsidR="00653D32" w:rsidRDefault="00502314">
      <w:pPr>
        <w:tabs>
          <w:tab w:val="left" w:pos="567"/>
        </w:tabs>
        <w:rPr>
          <w:szCs w:val="22"/>
          <w:lang w:val="hu-HU"/>
        </w:rPr>
      </w:pPr>
      <w:r>
        <w:rPr>
          <w:szCs w:val="22"/>
          <w:lang w:val="hu-HU"/>
        </w:rPr>
        <w:t>1 ml oldatos infúzió 1,6 mg moxifloxacint tartalmaz (moxifloxacin-hidroklorid formájában).</w:t>
      </w:r>
    </w:p>
    <w:p w14:paraId="62BF9BB7" w14:textId="77777777" w:rsidR="00653D32" w:rsidRDefault="00502314">
      <w:pPr>
        <w:tabs>
          <w:tab w:val="left" w:pos="567"/>
        </w:tabs>
        <w:rPr>
          <w:szCs w:val="22"/>
          <w:lang w:val="hu-HU"/>
        </w:rPr>
      </w:pPr>
      <w:r>
        <w:rPr>
          <w:szCs w:val="22"/>
          <w:lang w:val="hu-HU"/>
        </w:rPr>
        <w:t xml:space="preserve"> </w:t>
      </w:r>
    </w:p>
    <w:p w14:paraId="6BC59804" w14:textId="77777777" w:rsidR="00653D32" w:rsidRDefault="00502314">
      <w:pPr>
        <w:tabs>
          <w:tab w:val="left" w:pos="567"/>
        </w:tabs>
        <w:rPr>
          <w:szCs w:val="22"/>
          <w:lang w:val="hu-HU"/>
        </w:rPr>
      </w:pPr>
      <w:r>
        <w:rPr>
          <w:szCs w:val="22"/>
          <w:lang w:val="hu-HU"/>
        </w:rPr>
        <w:t>400 mg moxifloxacint tartalmaz (moxifloxacin-hidroklorid formájában) 250 ml-es infúziós üvegenként.</w:t>
      </w:r>
    </w:p>
    <w:p w14:paraId="1665B7CF" w14:textId="77777777" w:rsidR="00653D32" w:rsidRDefault="00653D32">
      <w:pPr>
        <w:autoSpaceDE w:val="0"/>
        <w:autoSpaceDN w:val="0"/>
        <w:adjustRightInd w:val="0"/>
        <w:rPr>
          <w:szCs w:val="22"/>
          <w:lang w:val="hu-HU"/>
        </w:rPr>
      </w:pPr>
    </w:p>
    <w:p w14:paraId="57493878" w14:textId="77777777" w:rsidR="00653D32" w:rsidRDefault="00502314">
      <w:pPr>
        <w:tabs>
          <w:tab w:val="left" w:pos="567"/>
        </w:tabs>
        <w:rPr>
          <w:szCs w:val="22"/>
          <w:lang w:val="hu-HU"/>
        </w:rPr>
      </w:pPr>
      <w:r>
        <w:rPr>
          <w:szCs w:val="22"/>
          <w:u w:val="single"/>
          <w:lang w:val="hu-HU"/>
        </w:rPr>
        <w:t>Ismert hatású segédanyag:</w:t>
      </w:r>
    </w:p>
    <w:p w14:paraId="2F083D3E" w14:textId="77777777" w:rsidR="00653D32" w:rsidRDefault="00502314">
      <w:pPr>
        <w:tabs>
          <w:tab w:val="left" w:pos="567"/>
        </w:tabs>
        <w:rPr>
          <w:szCs w:val="22"/>
          <w:lang w:val="hu-HU"/>
        </w:rPr>
      </w:pPr>
      <w:r>
        <w:rPr>
          <w:szCs w:val="22"/>
          <w:lang w:val="hu-HU"/>
        </w:rPr>
        <w:t>1 ml oldatos infúzió 0,14 mmol (3,2 mg) nátriumot tartalmaz.</w:t>
      </w:r>
    </w:p>
    <w:p w14:paraId="6A2251B5" w14:textId="77777777" w:rsidR="00653D32" w:rsidRDefault="00502314">
      <w:pPr>
        <w:tabs>
          <w:tab w:val="left" w:pos="567"/>
        </w:tabs>
        <w:rPr>
          <w:szCs w:val="22"/>
          <w:lang w:val="hu-HU"/>
        </w:rPr>
      </w:pPr>
      <w:r>
        <w:rPr>
          <w:szCs w:val="22"/>
          <w:lang w:val="hu-HU"/>
        </w:rPr>
        <w:t>250 ml oldatos infúzió 35,3 mmol (811,9 mg) nátriumot tartalmaz.</w:t>
      </w:r>
    </w:p>
    <w:p w14:paraId="41A572F5" w14:textId="77777777" w:rsidR="00653D32" w:rsidRDefault="00653D32">
      <w:pPr>
        <w:tabs>
          <w:tab w:val="left" w:pos="567"/>
        </w:tabs>
        <w:rPr>
          <w:szCs w:val="22"/>
          <w:lang w:val="hu-HU"/>
        </w:rPr>
      </w:pPr>
    </w:p>
    <w:p w14:paraId="0337F18E" w14:textId="77777777" w:rsidR="00653D32" w:rsidRDefault="00502314">
      <w:pPr>
        <w:pStyle w:val="WW-NormlWeb"/>
        <w:spacing w:before="0" w:after="0" w:line="240" w:lineRule="auto"/>
        <w:rPr>
          <w:rFonts w:ascii="Times New Roman" w:hAnsi="Times New Roman"/>
          <w:sz w:val="22"/>
          <w:szCs w:val="22"/>
        </w:rPr>
      </w:pPr>
      <w:r>
        <w:rPr>
          <w:rFonts w:ascii="Times New Roman" w:hAnsi="Times New Roman"/>
          <w:sz w:val="22"/>
          <w:szCs w:val="22"/>
        </w:rPr>
        <w:t>A segédanyagok teljes listáját lásd a 6.1 pontban.</w:t>
      </w:r>
    </w:p>
    <w:p w14:paraId="143A922E" w14:textId="77777777" w:rsidR="00653D32" w:rsidRDefault="00653D32">
      <w:pPr>
        <w:tabs>
          <w:tab w:val="left" w:pos="567"/>
        </w:tabs>
        <w:rPr>
          <w:szCs w:val="22"/>
          <w:lang w:val="hu-HU"/>
        </w:rPr>
      </w:pPr>
    </w:p>
    <w:p w14:paraId="2606AE08" w14:textId="77777777" w:rsidR="00653D32" w:rsidRDefault="00653D32">
      <w:pPr>
        <w:tabs>
          <w:tab w:val="left" w:pos="567"/>
        </w:tabs>
        <w:rPr>
          <w:szCs w:val="22"/>
          <w:lang w:val="hu-HU"/>
        </w:rPr>
      </w:pPr>
    </w:p>
    <w:p w14:paraId="694F1FAD" w14:textId="77777777" w:rsidR="00653D32" w:rsidRDefault="00502314">
      <w:pPr>
        <w:pStyle w:val="WW-Szvegtrzs212"/>
        <w:spacing w:line="240" w:lineRule="auto"/>
        <w:rPr>
          <w:szCs w:val="22"/>
          <w:lang w:val="hu-HU"/>
        </w:rPr>
      </w:pPr>
      <w:r>
        <w:rPr>
          <w:szCs w:val="22"/>
          <w:lang w:val="hu-HU"/>
        </w:rPr>
        <w:t>3.</w:t>
      </w:r>
      <w:r>
        <w:rPr>
          <w:szCs w:val="22"/>
          <w:lang w:val="hu-HU"/>
        </w:rPr>
        <w:tab/>
        <w:t>GYÓGYSZERFORMA</w:t>
      </w:r>
    </w:p>
    <w:p w14:paraId="1B7F2796" w14:textId="77777777" w:rsidR="00653D32" w:rsidRDefault="00653D32">
      <w:pPr>
        <w:tabs>
          <w:tab w:val="left" w:pos="567"/>
        </w:tabs>
        <w:rPr>
          <w:szCs w:val="22"/>
          <w:lang w:val="hu-HU"/>
        </w:rPr>
      </w:pPr>
    </w:p>
    <w:p w14:paraId="781E6301" w14:textId="77777777" w:rsidR="00653D32" w:rsidRDefault="00502314">
      <w:pPr>
        <w:tabs>
          <w:tab w:val="left" w:pos="567"/>
        </w:tabs>
        <w:rPr>
          <w:szCs w:val="22"/>
          <w:lang w:val="hu-HU"/>
        </w:rPr>
      </w:pPr>
      <w:r>
        <w:rPr>
          <w:szCs w:val="22"/>
          <w:lang w:val="hu-HU"/>
        </w:rPr>
        <w:t>Oldatos infúzió.</w:t>
      </w:r>
    </w:p>
    <w:p w14:paraId="40C92270" w14:textId="77777777" w:rsidR="00653D32" w:rsidRDefault="00653D32">
      <w:pPr>
        <w:tabs>
          <w:tab w:val="left" w:pos="567"/>
        </w:tabs>
        <w:rPr>
          <w:szCs w:val="22"/>
          <w:lang w:val="hu-HU"/>
        </w:rPr>
      </w:pPr>
    </w:p>
    <w:p w14:paraId="7F3AECF0" w14:textId="77777777" w:rsidR="00653D32" w:rsidRDefault="00502314">
      <w:pPr>
        <w:tabs>
          <w:tab w:val="left" w:pos="567"/>
        </w:tabs>
        <w:rPr>
          <w:szCs w:val="22"/>
          <w:lang w:val="hu-HU"/>
        </w:rPr>
      </w:pPr>
      <w:r>
        <w:rPr>
          <w:szCs w:val="22"/>
          <w:lang w:val="hu-HU"/>
        </w:rPr>
        <w:t xml:space="preserve">Enyhén sárgás-zöldes színű, tiszta, </w:t>
      </w:r>
      <w:r>
        <w:t xml:space="preserve">szabad szemmel látható </w:t>
      </w:r>
      <w:r>
        <w:rPr>
          <w:szCs w:val="22"/>
          <w:lang w:val="hu-HU"/>
        </w:rPr>
        <w:t>részecskéktől mentes oldat.</w:t>
      </w:r>
    </w:p>
    <w:p w14:paraId="12A0B39E" w14:textId="77777777" w:rsidR="00653D32" w:rsidRDefault="00502314">
      <w:pPr>
        <w:tabs>
          <w:tab w:val="left" w:pos="567"/>
        </w:tabs>
        <w:rPr>
          <w:szCs w:val="22"/>
          <w:lang w:val="hu-HU"/>
        </w:rPr>
      </w:pPr>
      <w:r>
        <w:rPr>
          <w:szCs w:val="22"/>
          <w:lang w:val="hu-HU"/>
        </w:rPr>
        <w:t>pH: 5,5</w:t>
      </w:r>
      <w:r>
        <w:rPr>
          <w:szCs w:val="22"/>
          <w:lang w:val="hu-HU"/>
        </w:rPr>
        <w:noBreakHyphen/>
        <w:t>6,5</w:t>
      </w:r>
    </w:p>
    <w:p w14:paraId="3A1774C3" w14:textId="77777777" w:rsidR="00653D32" w:rsidRDefault="00502314">
      <w:pPr>
        <w:tabs>
          <w:tab w:val="left" w:pos="567"/>
        </w:tabs>
        <w:rPr>
          <w:szCs w:val="22"/>
          <w:lang w:val="hu-HU"/>
        </w:rPr>
      </w:pPr>
      <w:r>
        <w:rPr>
          <w:szCs w:val="22"/>
          <w:lang w:val="hu-HU"/>
        </w:rPr>
        <w:t>Ozmolalitás: 250</w:t>
      </w:r>
      <w:r>
        <w:rPr>
          <w:szCs w:val="22"/>
          <w:lang w:val="hu-HU"/>
        </w:rPr>
        <w:noBreakHyphen/>
        <w:t>300 mOsmol/kg</w:t>
      </w:r>
    </w:p>
    <w:p w14:paraId="30E737CE" w14:textId="77777777" w:rsidR="00653D32" w:rsidRDefault="00653D32">
      <w:pPr>
        <w:tabs>
          <w:tab w:val="left" w:pos="567"/>
        </w:tabs>
        <w:rPr>
          <w:szCs w:val="22"/>
          <w:lang w:val="hu-HU"/>
        </w:rPr>
      </w:pPr>
    </w:p>
    <w:p w14:paraId="3154A0F2" w14:textId="77777777" w:rsidR="00653D32" w:rsidRDefault="00653D32">
      <w:pPr>
        <w:tabs>
          <w:tab w:val="left" w:pos="567"/>
        </w:tabs>
        <w:rPr>
          <w:szCs w:val="22"/>
          <w:lang w:val="hu-HU"/>
        </w:rPr>
      </w:pPr>
    </w:p>
    <w:p w14:paraId="16AF25DB" w14:textId="77777777" w:rsidR="00653D32" w:rsidRDefault="00502314">
      <w:pPr>
        <w:ind w:left="567" w:hanging="567"/>
        <w:rPr>
          <w:b/>
          <w:caps/>
          <w:szCs w:val="22"/>
          <w:lang w:val="hu-HU"/>
        </w:rPr>
      </w:pPr>
      <w:r>
        <w:rPr>
          <w:b/>
          <w:caps/>
          <w:szCs w:val="22"/>
          <w:lang w:val="hu-HU"/>
        </w:rPr>
        <w:t>4.</w:t>
      </w:r>
      <w:r>
        <w:rPr>
          <w:b/>
          <w:caps/>
          <w:szCs w:val="22"/>
          <w:lang w:val="hu-HU"/>
        </w:rPr>
        <w:tab/>
        <w:t>KLINIKAI JELLEMZŐK</w:t>
      </w:r>
    </w:p>
    <w:p w14:paraId="584BF00A" w14:textId="77777777" w:rsidR="00653D32" w:rsidRDefault="00653D32">
      <w:pPr>
        <w:pStyle w:val="Vgjegyzetszvege"/>
        <w:spacing w:line="240" w:lineRule="auto"/>
        <w:rPr>
          <w:szCs w:val="22"/>
          <w:lang w:val="hu-HU"/>
        </w:rPr>
      </w:pPr>
    </w:p>
    <w:p w14:paraId="74449349" w14:textId="77777777" w:rsidR="00653D32" w:rsidRDefault="00502314">
      <w:pPr>
        <w:ind w:left="567" w:hanging="567"/>
        <w:rPr>
          <w:b/>
          <w:szCs w:val="22"/>
          <w:lang w:val="hu-HU"/>
        </w:rPr>
      </w:pPr>
      <w:r>
        <w:rPr>
          <w:b/>
          <w:szCs w:val="22"/>
          <w:lang w:val="hu-HU"/>
        </w:rPr>
        <w:t>4.1</w:t>
      </w:r>
      <w:r>
        <w:rPr>
          <w:b/>
          <w:szCs w:val="22"/>
          <w:lang w:val="hu-HU"/>
        </w:rPr>
        <w:tab/>
        <w:t>Terápiás javallatok</w:t>
      </w:r>
    </w:p>
    <w:p w14:paraId="05D347B1" w14:textId="77777777" w:rsidR="00653D32" w:rsidRDefault="00653D32">
      <w:pPr>
        <w:tabs>
          <w:tab w:val="left" w:pos="567"/>
        </w:tabs>
        <w:rPr>
          <w:szCs w:val="22"/>
          <w:lang w:val="hu-HU"/>
        </w:rPr>
      </w:pPr>
    </w:p>
    <w:p w14:paraId="157201A2" w14:textId="77777777" w:rsidR="00653D32" w:rsidRDefault="00502314">
      <w:pPr>
        <w:tabs>
          <w:tab w:val="left" w:pos="567"/>
        </w:tabs>
        <w:rPr>
          <w:szCs w:val="22"/>
          <w:lang w:val="hu-HU"/>
        </w:rPr>
      </w:pPr>
      <w:r>
        <w:rPr>
          <w:szCs w:val="22"/>
          <w:lang w:val="hu-HU"/>
        </w:rPr>
        <w:t>A Moxibiot 400 mg/250 ml oldatos infúzió az alábbi megbetegedések kezelésére javallott:</w:t>
      </w:r>
    </w:p>
    <w:p w14:paraId="51B55D65" w14:textId="77777777" w:rsidR="00653D32" w:rsidRDefault="00502314">
      <w:pPr>
        <w:numPr>
          <w:ilvl w:val="0"/>
          <w:numId w:val="19"/>
        </w:numPr>
        <w:ind w:left="567" w:hanging="566"/>
        <w:rPr>
          <w:szCs w:val="22"/>
          <w:lang w:val="hu-HU"/>
        </w:rPr>
      </w:pPr>
      <w:r>
        <w:rPr>
          <w:snapToGrid w:val="0"/>
          <w:lang w:val="hu-HU" w:eastAsia="hu-HU"/>
        </w:rPr>
        <w:t>terület</w:t>
      </w:r>
      <w:r>
        <w:rPr>
          <w:szCs w:val="22"/>
          <w:lang w:val="hu-HU"/>
        </w:rPr>
        <w:t>en szerzett pneumonia (community acquired pneumonia, CAP)</w:t>
      </w:r>
    </w:p>
    <w:p w14:paraId="35CCD8B7" w14:textId="77777777" w:rsidR="00653D32" w:rsidRDefault="00653D32">
      <w:pPr>
        <w:ind w:left="567"/>
        <w:rPr>
          <w:szCs w:val="22"/>
          <w:lang w:val="hu-HU"/>
        </w:rPr>
      </w:pPr>
    </w:p>
    <w:p w14:paraId="0EA2A2F9" w14:textId="77777777" w:rsidR="00653D32" w:rsidRDefault="00502314">
      <w:pPr>
        <w:numPr>
          <w:ilvl w:val="0"/>
          <w:numId w:val="19"/>
        </w:numPr>
        <w:ind w:left="567" w:hanging="566"/>
        <w:rPr>
          <w:szCs w:val="22"/>
          <w:lang w:val="hu-HU"/>
        </w:rPr>
      </w:pPr>
      <w:r>
        <w:rPr>
          <w:szCs w:val="22"/>
          <w:lang w:val="hu-HU"/>
        </w:rPr>
        <w:t>szövődményes bőr- és lágyrészfertőzések (complicated skin and skin structure infections, cSSSI vagy cSSTI)</w:t>
      </w:r>
    </w:p>
    <w:p w14:paraId="1052F0AB" w14:textId="77777777" w:rsidR="00653D32" w:rsidRDefault="00653D32">
      <w:pPr>
        <w:widowControl w:val="0"/>
        <w:autoSpaceDE w:val="0"/>
        <w:autoSpaceDN w:val="0"/>
        <w:adjustRightInd w:val="0"/>
        <w:rPr>
          <w:szCs w:val="22"/>
          <w:lang w:val="hu-HU"/>
        </w:rPr>
      </w:pPr>
    </w:p>
    <w:p w14:paraId="58E78B2A" w14:textId="77777777" w:rsidR="00653D32" w:rsidRDefault="00502314">
      <w:pPr>
        <w:widowControl w:val="0"/>
        <w:autoSpaceDE w:val="0"/>
        <w:autoSpaceDN w:val="0"/>
        <w:adjustRightInd w:val="0"/>
        <w:rPr>
          <w:szCs w:val="22"/>
          <w:lang w:val="hu-HU"/>
        </w:rPr>
      </w:pPr>
      <w:r>
        <w:rPr>
          <w:szCs w:val="22"/>
          <w:lang w:val="hu-HU"/>
        </w:rPr>
        <w:t>A moxifloxacin csak akkor alkalmazható, ha a fertőzések kezdeti kezelésére általánosan javasolt antibakteriális szerek nem tekinthetők megfelelőnek.</w:t>
      </w:r>
    </w:p>
    <w:p w14:paraId="45D2A931" w14:textId="77777777" w:rsidR="00653D32" w:rsidRDefault="00653D32">
      <w:pPr>
        <w:widowControl w:val="0"/>
        <w:autoSpaceDE w:val="0"/>
        <w:autoSpaceDN w:val="0"/>
        <w:adjustRightInd w:val="0"/>
        <w:rPr>
          <w:szCs w:val="22"/>
          <w:lang w:val="hu-HU"/>
        </w:rPr>
      </w:pPr>
    </w:p>
    <w:p w14:paraId="3DB19BF6" w14:textId="77777777" w:rsidR="00653D32" w:rsidRDefault="00502314">
      <w:pPr>
        <w:tabs>
          <w:tab w:val="left" w:pos="567"/>
        </w:tabs>
        <w:rPr>
          <w:szCs w:val="22"/>
          <w:lang w:val="hu-HU"/>
        </w:rPr>
      </w:pPr>
      <w:r>
        <w:rPr>
          <w:lang w:val="hu-HU"/>
        </w:rPr>
        <w:t>Figyelembe kell venni az antibakteriális szerek megfelelő alkalmazására vonatkozó hivatalos irányelveket</w:t>
      </w:r>
      <w:r>
        <w:rPr>
          <w:szCs w:val="22"/>
          <w:lang w:val="hu-HU"/>
        </w:rPr>
        <w:t>.</w:t>
      </w:r>
    </w:p>
    <w:p w14:paraId="61B8FA11" w14:textId="77777777" w:rsidR="00653D32" w:rsidRDefault="00653D32">
      <w:pPr>
        <w:tabs>
          <w:tab w:val="left" w:pos="567"/>
        </w:tabs>
        <w:rPr>
          <w:szCs w:val="22"/>
          <w:lang w:val="hu-HU"/>
        </w:rPr>
      </w:pPr>
    </w:p>
    <w:p w14:paraId="105E45E1" w14:textId="77777777" w:rsidR="00653D32" w:rsidRDefault="00502314">
      <w:pPr>
        <w:pStyle w:val="WW-Szvegtrzs212"/>
        <w:spacing w:line="240" w:lineRule="auto"/>
        <w:rPr>
          <w:szCs w:val="22"/>
          <w:lang w:val="hu-HU"/>
        </w:rPr>
      </w:pPr>
      <w:r>
        <w:rPr>
          <w:szCs w:val="22"/>
          <w:lang w:val="hu-HU"/>
        </w:rPr>
        <w:t>4.2</w:t>
      </w:r>
      <w:r>
        <w:rPr>
          <w:szCs w:val="22"/>
          <w:lang w:val="hu-HU"/>
        </w:rPr>
        <w:tab/>
        <w:t>Adagolás és alkalmazás</w:t>
      </w:r>
    </w:p>
    <w:p w14:paraId="0BAB8B34" w14:textId="77777777" w:rsidR="00653D32" w:rsidRDefault="00653D32">
      <w:pPr>
        <w:tabs>
          <w:tab w:val="left" w:pos="567"/>
        </w:tabs>
        <w:rPr>
          <w:szCs w:val="22"/>
          <w:u w:val="single"/>
          <w:lang w:val="hu-HU"/>
        </w:rPr>
      </w:pPr>
    </w:p>
    <w:p w14:paraId="4F0801C9" w14:textId="77777777" w:rsidR="00653D32" w:rsidRDefault="00502314">
      <w:pPr>
        <w:tabs>
          <w:tab w:val="left" w:pos="567"/>
        </w:tabs>
        <w:rPr>
          <w:szCs w:val="22"/>
          <w:u w:val="single"/>
          <w:lang w:val="hu-HU"/>
        </w:rPr>
      </w:pPr>
      <w:r>
        <w:rPr>
          <w:szCs w:val="22"/>
          <w:u w:val="single"/>
          <w:lang w:val="hu-HU"/>
        </w:rPr>
        <w:t>Adagolás</w:t>
      </w:r>
    </w:p>
    <w:p w14:paraId="01396932" w14:textId="77777777" w:rsidR="00653D32" w:rsidRDefault="00502314">
      <w:pPr>
        <w:tabs>
          <w:tab w:val="left" w:pos="567"/>
        </w:tabs>
        <w:rPr>
          <w:szCs w:val="22"/>
          <w:lang w:val="hu-HU"/>
        </w:rPr>
      </w:pPr>
      <w:r>
        <w:rPr>
          <w:szCs w:val="22"/>
          <w:lang w:val="hu-HU"/>
        </w:rPr>
        <w:t>Az ajánlott dózis naponta egyszer 400 mg moxifloxacin, infúzióban beadva.</w:t>
      </w:r>
    </w:p>
    <w:p w14:paraId="1285493B" w14:textId="77777777" w:rsidR="00653D32" w:rsidRDefault="00653D32">
      <w:pPr>
        <w:tabs>
          <w:tab w:val="left" w:pos="567"/>
        </w:tabs>
        <w:rPr>
          <w:szCs w:val="22"/>
          <w:lang w:val="hu-HU"/>
        </w:rPr>
      </w:pPr>
    </w:p>
    <w:p w14:paraId="1E571A67" w14:textId="77777777" w:rsidR="00653D32" w:rsidRDefault="00502314">
      <w:pPr>
        <w:tabs>
          <w:tab w:val="left" w:pos="567"/>
        </w:tabs>
        <w:rPr>
          <w:szCs w:val="22"/>
          <w:lang w:val="hu-HU"/>
        </w:rPr>
      </w:pPr>
      <w:r>
        <w:rPr>
          <w:szCs w:val="22"/>
          <w:lang w:val="hu-HU"/>
        </w:rPr>
        <w:t>Az intravénásan megkezdett terápia 400 mg moxifloxacin tablettával folytatható, ha ez klinikailag indokolt.</w:t>
      </w:r>
    </w:p>
    <w:p w14:paraId="0E9CA8B7" w14:textId="77777777" w:rsidR="00653D32" w:rsidRDefault="00653D32">
      <w:pPr>
        <w:tabs>
          <w:tab w:val="left" w:pos="567"/>
        </w:tabs>
        <w:rPr>
          <w:szCs w:val="22"/>
          <w:lang w:val="hu-HU"/>
        </w:rPr>
      </w:pPr>
    </w:p>
    <w:p w14:paraId="2B0134A8" w14:textId="77777777" w:rsidR="00653D32" w:rsidRDefault="00502314">
      <w:pPr>
        <w:tabs>
          <w:tab w:val="left" w:pos="567"/>
        </w:tabs>
        <w:rPr>
          <w:szCs w:val="22"/>
          <w:lang w:val="hu-HU"/>
        </w:rPr>
      </w:pPr>
      <w:r>
        <w:rPr>
          <w:szCs w:val="22"/>
          <w:lang w:val="hu-HU"/>
        </w:rPr>
        <w:t xml:space="preserve">A klinikai vizsgálatok során a betegek többségét 4 napon belül (CAP), illetve 6 napon belül (cSSSI) átállították </w:t>
      </w:r>
      <w:r>
        <w:rPr>
          <w:i/>
          <w:szCs w:val="22"/>
          <w:lang w:val="hu-HU"/>
        </w:rPr>
        <w:t>per os</w:t>
      </w:r>
      <w:r>
        <w:rPr>
          <w:szCs w:val="22"/>
          <w:lang w:val="hu-HU"/>
        </w:rPr>
        <w:t xml:space="preserve"> terápiára.</w:t>
      </w:r>
    </w:p>
    <w:p w14:paraId="684DEDC1" w14:textId="77777777" w:rsidR="00653D32" w:rsidRDefault="00502314">
      <w:pPr>
        <w:tabs>
          <w:tab w:val="left" w:pos="567"/>
        </w:tabs>
        <w:rPr>
          <w:szCs w:val="22"/>
          <w:lang w:val="hu-HU"/>
        </w:rPr>
      </w:pPr>
      <w:r>
        <w:rPr>
          <w:szCs w:val="22"/>
          <w:lang w:val="hu-HU"/>
        </w:rPr>
        <w:t xml:space="preserve">Az intravénás és a </w:t>
      </w:r>
      <w:r>
        <w:rPr>
          <w:i/>
          <w:szCs w:val="22"/>
          <w:lang w:val="hu-HU"/>
        </w:rPr>
        <w:t>per os</w:t>
      </w:r>
      <w:r>
        <w:rPr>
          <w:szCs w:val="22"/>
          <w:lang w:val="hu-HU"/>
        </w:rPr>
        <w:t xml:space="preserve"> kezelés teljes ajánlott időtartama közösségben szerzett pneumonia esetén 7</w:t>
      </w:r>
      <w:r>
        <w:rPr>
          <w:szCs w:val="22"/>
          <w:lang w:val="hu-HU"/>
        </w:rPr>
        <w:noBreakHyphen/>
        <w:t>14 nap, szövődményes bőr- és lágyrészfertőzések esetén pedig 7</w:t>
      </w:r>
      <w:r>
        <w:rPr>
          <w:szCs w:val="22"/>
          <w:lang w:val="hu-HU"/>
        </w:rPr>
        <w:noBreakHyphen/>
        <w:t>21 nap.</w:t>
      </w:r>
    </w:p>
    <w:p w14:paraId="10A6E9B5" w14:textId="77777777" w:rsidR="00653D32" w:rsidRDefault="00653D32">
      <w:pPr>
        <w:rPr>
          <w:szCs w:val="22"/>
          <w:lang w:val="hu-HU"/>
        </w:rPr>
      </w:pPr>
    </w:p>
    <w:p w14:paraId="6E6085CA" w14:textId="77777777" w:rsidR="00653D32" w:rsidRDefault="00502314">
      <w:pPr>
        <w:pStyle w:val="Cmsor8"/>
        <w:keepNext w:val="0"/>
        <w:rPr>
          <w:i/>
          <w:szCs w:val="22"/>
          <w:u w:val="none"/>
        </w:rPr>
      </w:pPr>
      <w:r>
        <w:rPr>
          <w:i/>
          <w:szCs w:val="22"/>
          <w:u w:val="none"/>
        </w:rPr>
        <w:lastRenderedPageBreak/>
        <w:t>Vesekárosodásban szenvedő betegek</w:t>
      </w:r>
    </w:p>
    <w:p w14:paraId="07F989B4" w14:textId="77777777" w:rsidR="00653D32" w:rsidRDefault="00502314">
      <w:pPr>
        <w:pStyle w:val="Default"/>
        <w:rPr>
          <w:color w:val="auto"/>
          <w:sz w:val="22"/>
          <w:szCs w:val="22"/>
        </w:rPr>
      </w:pPr>
      <w:r>
        <w:rPr>
          <w:color w:val="auto"/>
          <w:sz w:val="22"/>
          <w:szCs w:val="22"/>
        </w:rPr>
        <w:t xml:space="preserve">Az enyhétől a súlyos fokúig terjedő vesekárosodásban szenvedő, vagy krónikus </w:t>
      </w:r>
      <w:r>
        <w:rPr>
          <w:sz w:val="22"/>
          <w:szCs w:val="22"/>
        </w:rPr>
        <w:t>dialízisben</w:t>
      </w:r>
      <w:r>
        <w:rPr>
          <w:color w:val="auto"/>
          <w:sz w:val="22"/>
          <w:szCs w:val="22"/>
        </w:rPr>
        <w:t xml:space="preserve">, azaz </w:t>
      </w:r>
      <w:r>
        <w:rPr>
          <w:sz w:val="22"/>
          <w:szCs w:val="22"/>
        </w:rPr>
        <w:t xml:space="preserve">hemodialízisben </w:t>
      </w:r>
      <w:r>
        <w:rPr>
          <w:color w:val="auto"/>
          <w:sz w:val="22"/>
          <w:szCs w:val="22"/>
        </w:rPr>
        <w:t>és folyamatos ambuláns peritoneális dialízisben részesülő betegek esetében nincs szükség a dózis módosítására (a további részleteket lásd az 5.2 pontban).</w:t>
      </w:r>
    </w:p>
    <w:p w14:paraId="0B24607D" w14:textId="77777777" w:rsidR="00653D32" w:rsidRDefault="00653D32">
      <w:pPr>
        <w:pStyle w:val="Default"/>
        <w:rPr>
          <w:color w:val="auto"/>
          <w:sz w:val="22"/>
          <w:szCs w:val="22"/>
        </w:rPr>
      </w:pPr>
    </w:p>
    <w:p w14:paraId="0D964154" w14:textId="77777777" w:rsidR="00653D32" w:rsidRDefault="00502314">
      <w:pPr>
        <w:pStyle w:val="Cmsor8"/>
        <w:keepNext w:val="0"/>
        <w:rPr>
          <w:i/>
          <w:szCs w:val="22"/>
          <w:u w:val="none"/>
        </w:rPr>
      </w:pPr>
      <w:r>
        <w:rPr>
          <w:i/>
          <w:szCs w:val="22"/>
          <w:u w:val="none"/>
        </w:rPr>
        <w:t>Májkárosodásban szenvedő betegek</w:t>
      </w:r>
    </w:p>
    <w:p w14:paraId="5854E38B" w14:textId="77777777" w:rsidR="00653D32" w:rsidRDefault="00502314">
      <w:pPr>
        <w:pStyle w:val="Default"/>
        <w:rPr>
          <w:color w:val="auto"/>
          <w:sz w:val="22"/>
          <w:szCs w:val="22"/>
        </w:rPr>
      </w:pPr>
      <w:r>
        <w:rPr>
          <w:color w:val="auto"/>
          <w:sz w:val="22"/>
          <w:szCs w:val="22"/>
        </w:rPr>
        <w:t>Májkárosodásban szenvedő betegekkel kapcsolatban nem áll rendelkezésre elegendő adat (lásd 4.3 pont).</w:t>
      </w:r>
    </w:p>
    <w:p w14:paraId="4BAA35E5" w14:textId="77777777" w:rsidR="00653D32" w:rsidRDefault="00653D32">
      <w:pPr>
        <w:tabs>
          <w:tab w:val="left" w:pos="567"/>
        </w:tabs>
        <w:rPr>
          <w:szCs w:val="22"/>
          <w:lang w:val="hu-HU"/>
        </w:rPr>
      </w:pPr>
    </w:p>
    <w:p w14:paraId="5BE26955" w14:textId="77777777" w:rsidR="00653D32" w:rsidRDefault="00502314">
      <w:pPr>
        <w:tabs>
          <w:tab w:val="left" w:pos="567"/>
        </w:tabs>
        <w:rPr>
          <w:i/>
          <w:szCs w:val="22"/>
          <w:lang w:val="hu-HU"/>
        </w:rPr>
      </w:pPr>
      <w:r>
        <w:rPr>
          <w:i/>
          <w:szCs w:val="22"/>
          <w:lang w:val="hu-HU"/>
        </w:rPr>
        <w:t>Idősebb, vagy alacsony testtömegű betegek</w:t>
      </w:r>
    </w:p>
    <w:p w14:paraId="17EFC53D" w14:textId="77777777" w:rsidR="00653D32" w:rsidRDefault="00502314">
      <w:pPr>
        <w:tabs>
          <w:tab w:val="left" w:pos="567"/>
        </w:tabs>
        <w:rPr>
          <w:szCs w:val="22"/>
          <w:lang w:val="hu-HU"/>
        </w:rPr>
      </w:pPr>
      <w:r>
        <w:rPr>
          <w:lang w:val="hu-HU"/>
        </w:rPr>
        <w:t xml:space="preserve">Idősebb vagy alacsony </w:t>
      </w:r>
      <w:r>
        <w:rPr>
          <w:szCs w:val="22"/>
          <w:lang w:val="hu-HU"/>
        </w:rPr>
        <w:t>testtömegű betegek esetében nincs szükség a dózis módosítására.</w:t>
      </w:r>
    </w:p>
    <w:p w14:paraId="646E6317" w14:textId="77777777" w:rsidR="00653D32" w:rsidRDefault="00653D32">
      <w:pPr>
        <w:tabs>
          <w:tab w:val="left" w:pos="567"/>
        </w:tabs>
        <w:rPr>
          <w:szCs w:val="22"/>
          <w:lang w:val="hu-HU"/>
        </w:rPr>
      </w:pPr>
    </w:p>
    <w:p w14:paraId="79DC5074" w14:textId="77777777" w:rsidR="00653D32" w:rsidRDefault="00502314">
      <w:pPr>
        <w:pStyle w:val="Cmsor8"/>
        <w:keepNext w:val="0"/>
        <w:rPr>
          <w:i/>
          <w:szCs w:val="22"/>
          <w:u w:val="none"/>
        </w:rPr>
      </w:pPr>
      <w:r>
        <w:rPr>
          <w:bCs/>
          <w:i/>
          <w:iCs/>
          <w:szCs w:val="22"/>
          <w:u w:val="none"/>
          <w:lang w:eastAsia="en-US"/>
        </w:rPr>
        <w:t>Gyermekek és serdülők</w:t>
      </w:r>
    </w:p>
    <w:p w14:paraId="14076FF3" w14:textId="77777777" w:rsidR="00653D32" w:rsidRDefault="00502314">
      <w:pPr>
        <w:rPr>
          <w:bCs/>
          <w:szCs w:val="22"/>
          <w:lang w:val="hu-HU"/>
        </w:rPr>
      </w:pPr>
      <w:r>
        <w:rPr>
          <w:szCs w:val="22"/>
          <w:lang w:val="hu-HU"/>
        </w:rPr>
        <w:t xml:space="preserve">A moxifloxacin gyermekek és növésben lévő serdülőkorúak esetén ellenjavallt. </w:t>
      </w:r>
      <w:r>
        <w:rPr>
          <w:bCs/>
          <w:szCs w:val="22"/>
          <w:lang w:val="hu-HU"/>
        </w:rPr>
        <w:t>A moxifloxacin hatásosságát és biztonságosságát gyermekek és serdülőkorúak esetében nem igazolták (lásd 4.3 pont).</w:t>
      </w:r>
    </w:p>
    <w:p w14:paraId="7C5E6FDA" w14:textId="77777777" w:rsidR="00653D32" w:rsidRDefault="00653D32">
      <w:pPr>
        <w:tabs>
          <w:tab w:val="left" w:pos="567"/>
        </w:tabs>
        <w:rPr>
          <w:bCs/>
          <w:szCs w:val="22"/>
          <w:lang w:val="hu-HU"/>
        </w:rPr>
      </w:pPr>
    </w:p>
    <w:p w14:paraId="4DF5EF56" w14:textId="77777777" w:rsidR="00653D32" w:rsidRDefault="00502314">
      <w:pPr>
        <w:tabs>
          <w:tab w:val="left" w:pos="567"/>
        </w:tabs>
        <w:rPr>
          <w:caps/>
          <w:szCs w:val="22"/>
          <w:lang w:val="hu-HU"/>
        </w:rPr>
      </w:pPr>
      <w:r>
        <w:rPr>
          <w:bCs/>
          <w:szCs w:val="22"/>
          <w:u w:val="single"/>
          <w:lang w:val="hu-HU"/>
        </w:rPr>
        <w:t>Az a</w:t>
      </w:r>
      <w:r>
        <w:rPr>
          <w:szCs w:val="22"/>
          <w:u w:val="single"/>
          <w:lang w:val="hu-HU"/>
        </w:rPr>
        <w:t>lkalmazás módja</w:t>
      </w:r>
    </w:p>
    <w:p w14:paraId="6EEB9ADE" w14:textId="77777777" w:rsidR="00653D32" w:rsidRDefault="00502314">
      <w:pPr>
        <w:tabs>
          <w:tab w:val="left" w:pos="567"/>
        </w:tabs>
        <w:rPr>
          <w:szCs w:val="22"/>
          <w:lang w:val="hu-HU"/>
        </w:rPr>
      </w:pPr>
      <w:r>
        <w:rPr>
          <w:szCs w:val="22"/>
          <w:lang w:val="hu-HU"/>
        </w:rPr>
        <w:t>Intravénás alkalmazásra;</w:t>
      </w:r>
      <w:r>
        <w:rPr>
          <w:b/>
          <w:szCs w:val="22"/>
          <w:lang w:val="hu-HU"/>
        </w:rPr>
        <w:t xml:space="preserve"> </w:t>
      </w:r>
      <w:r>
        <w:rPr>
          <w:szCs w:val="22"/>
          <w:lang w:val="hu-HU"/>
        </w:rPr>
        <w:t>60 perces folyamatos infúzióban történő beadásra</w:t>
      </w:r>
      <w:r>
        <w:rPr>
          <w:b/>
          <w:szCs w:val="22"/>
          <w:lang w:val="hu-HU"/>
        </w:rPr>
        <w:t xml:space="preserve"> (</w:t>
      </w:r>
      <w:r>
        <w:rPr>
          <w:szCs w:val="22"/>
          <w:lang w:val="hu-HU"/>
        </w:rPr>
        <w:t>lásd még 4.4 pont).</w:t>
      </w:r>
    </w:p>
    <w:p w14:paraId="5FA134AD" w14:textId="77777777" w:rsidR="00653D32" w:rsidRDefault="00653D32">
      <w:pPr>
        <w:tabs>
          <w:tab w:val="left" w:pos="567"/>
        </w:tabs>
        <w:rPr>
          <w:szCs w:val="22"/>
          <w:lang w:val="hu-HU"/>
        </w:rPr>
      </w:pPr>
    </w:p>
    <w:p w14:paraId="466EBEC4" w14:textId="77777777" w:rsidR="00653D32" w:rsidRDefault="00502314">
      <w:pPr>
        <w:tabs>
          <w:tab w:val="left" w:pos="567"/>
        </w:tabs>
        <w:rPr>
          <w:szCs w:val="22"/>
          <w:lang w:val="hu-HU"/>
        </w:rPr>
      </w:pPr>
      <w:r>
        <w:rPr>
          <w:szCs w:val="22"/>
          <w:lang w:val="hu-HU"/>
        </w:rPr>
        <w:t>Az infúziós oldat - amennyiben orvosilag indokolt - egy T</w:t>
      </w:r>
      <w:r>
        <w:rPr>
          <w:szCs w:val="22"/>
          <w:lang w:val="hu-HU"/>
        </w:rPr>
        <w:noBreakHyphen/>
        <w:t>elágazású cső közbeiktatásával, más kompatilibis infúziós oldattal együtt is beadható (lásd 6.6 pont).</w:t>
      </w:r>
    </w:p>
    <w:p w14:paraId="219950F4" w14:textId="77777777" w:rsidR="00653D32" w:rsidRDefault="00653D32">
      <w:pPr>
        <w:tabs>
          <w:tab w:val="left" w:pos="567"/>
        </w:tabs>
        <w:rPr>
          <w:szCs w:val="22"/>
          <w:lang w:val="hu-HU"/>
        </w:rPr>
      </w:pPr>
    </w:p>
    <w:p w14:paraId="11C35BC3" w14:textId="77777777" w:rsidR="00653D32" w:rsidRDefault="00502314">
      <w:pPr>
        <w:pStyle w:val="WW-Szvegtrzs212"/>
        <w:spacing w:line="240" w:lineRule="auto"/>
        <w:rPr>
          <w:szCs w:val="22"/>
          <w:lang w:val="hu-HU"/>
        </w:rPr>
      </w:pPr>
      <w:r>
        <w:rPr>
          <w:szCs w:val="22"/>
          <w:lang w:val="hu-HU"/>
        </w:rPr>
        <w:t>4.3</w:t>
      </w:r>
      <w:r>
        <w:rPr>
          <w:szCs w:val="22"/>
          <w:lang w:val="hu-HU"/>
        </w:rPr>
        <w:tab/>
        <w:t>Ellenjavallatok</w:t>
      </w:r>
    </w:p>
    <w:p w14:paraId="0EA40762" w14:textId="77777777" w:rsidR="00653D32" w:rsidRDefault="00653D32">
      <w:pPr>
        <w:pStyle w:val="WW-Szvegtrzs212"/>
        <w:spacing w:line="240" w:lineRule="auto"/>
        <w:rPr>
          <w:b w:val="0"/>
          <w:szCs w:val="22"/>
          <w:lang w:val="hu-HU"/>
        </w:rPr>
      </w:pPr>
    </w:p>
    <w:p w14:paraId="45BBEF47" w14:textId="77777777" w:rsidR="00653D32" w:rsidRDefault="00502314">
      <w:pPr>
        <w:numPr>
          <w:ilvl w:val="0"/>
          <w:numId w:val="19"/>
        </w:numPr>
        <w:ind w:left="567" w:hanging="567"/>
        <w:rPr>
          <w:szCs w:val="22"/>
          <w:lang w:val="hu-HU"/>
        </w:rPr>
      </w:pPr>
      <w:r>
        <w:rPr>
          <w:szCs w:val="22"/>
          <w:lang w:val="hu-HU"/>
        </w:rPr>
        <w:t>A moxifloxacinnal, egyéb kinolonokkal vagy a készítmény 6.1 pontban felsorolt bármely segédanyagával szembeni túlérzékenység.</w:t>
      </w:r>
    </w:p>
    <w:p w14:paraId="55D744DE" w14:textId="77777777" w:rsidR="00653D32" w:rsidRDefault="00502314">
      <w:pPr>
        <w:numPr>
          <w:ilvl w:val="0"/>
          <w:numId w:val="19"/>
        </w:numPr>
        <w:ind w:left="567" w:hanging="567"/>
        <w:rPr>
          <w:szCs w:val="22"/>
          <w:lang w:val="hu-HU"/>
        </w:rPr>
      </w:pPr>
      <w:r>
        <w:rPr>
          <w:szCs w:val="22"/>
          <w:lang w:val="hu-HU"/>
        </w:rPr>
        <w:t>Terhesség és szoptatás (lásd 4.6 pont).</w:t>
      </w:r>
    </w:p>
    <w:p w14:paraId="3E79DCD4" w14:textId="77777777" w:rsidR="00653D32" w:rsidRDefault="00502314">
      <w:pPr>
        <w:numPr>
          <w:ilvl w:val="0"/>
          <w:numId w:val="19"/>
        </w:numPr>
        <w:ind w:left="567" w:hanging="567"/>
        <w:rPr>
          <w:szCs w:val="22"/>
          <w:lang w:val="hu-HU"/>
        </w:rPr>
      </w:pPr>
      <w:r>
        <w:rPr>
          <w:szCs w:val="22"/>
          <w:lang w:val="hu-HU"/>
        </w:rPr>
        <w:t>18 éves kor alatti betegek.</w:t>
      </w:r>
    </w:p>
    <w:p w14:paraId="6419853C" w14:textId="77777777" w:rsidR="00653D32" w:rsidRDefault="00502314">
      <w:pPr>
        <w:numPr>
          <w:ilvl w:val="0"/>
          <w:numId w:val="19"/>
        </w:numPr>
        <w:ind w:left="567" w:hanging="567"/>
        <w:rPr>
          <w:szCs w:val="22"/>
          <w:lang w:val="hu-HU"/>
        </w:rPr>
      </w:pPr>
      <w:r>
        <w:rPr>
          <w:szCs w:val="22"/>
          <w:lang w:val="hu-HU"/>
        </w:rPr>
        <w:t>A beteg anamnézisében szereplő kinolonkezeléssel összefüggő ínkárosodás/ínbetegség.</w:t>
      </w:r>
    </w:p>
    <w:p w14:paraId="42192EEE" w14:textId="77777777" w:rsidR="00653D32" w:rsidRDefault="00653D32">
      <w:pPr>
        <w:tabs>
          <w:tab w:val="left" w:pos="567"/>
        </w:tabs>
        <w:ind w:left="426" w:hanging="426"/>
        <w:rPr>
          <w:szCs w:val="22"/>
          <w:lang w:val="hu-HU"/>
        </w:rPr>
      </w:pPr>
    </w:p>
    <w:p w14:paraId="5B2A3C06" w14:textId="77777777" w:rsidR="00653D32" w:rsidRDefault="00502314">
      <w:pPr>
        <w:widowControl w:val="0"/>
        <w:autoSpaceDE w:val="0"/>
        <w:autoSpaceDN w:val="0"/>
        <w:adjustRightInd w:val="0"/>
        <w:rPr>
          <w:szCs w:val="22"/>
          <w:lang w:val="hu-HU"/>
        </w:rPr>
      </w:pPr>
      <w:r>
        <w:rPr>
          <w:szCs w:val="22"/>
          <w:lang w:val="hu-HU"/>
        </w:rPr>
        <w:t xml:space="preserve">A moxifloxacin adását követően a preklinikai </w:t>
      </w:r>
      <w:r>
        <w:rPr>
          <w:lang w:val="hu-HU"/>
        </w:rPr>
        <w:t xml:space="preserve">és a humán </w:t>
      </w:r>
      <w:r>
        <w:rPr>
          <w:szCs w:val="22"/>
          <w:lang w:val="hu-HU"/>
        </w:rPr>
        <w:t>vizsgálatok során is észleltek a szív elektrofiziológiájában QT</w:t>
      </w:r>
      <w:r>
        <w:rPr>
          <w:szCs w:val="22"/>
          <w:lang w:val="hu-HU"/>
        </w:rPr>
        <w:noBreakHyphen/>
        <w:t>megnyúlás formájában bekövetkező változásokat. A gyógyszer biztonságos alkalmazása érdekében a moxifloxacin adása ellenjavallt a következő esetekben:</w:t>
      </w:r>
    </w:p>
    <w:p w14:paraId="7E4D8AAB" w14:textId="77777777" w:rsidR="00653D32" w:rsidRDefault="00502314">
      <w:pPr>
        <w:numPr>
          <w:ilvl w:val="0"/>
          <w:numId w:val="19"/>
        </w:numPr>
        <w:ind w:left="567" w:hanging="567"/>
        <w:rPr>
          <w:szCs w:val="22"/>
          <w:lang w:val="hu-HU"/>
        </w:rPr>
      </w:pPr>
      <w:r>
        <w:rPr>
          <w:szCs w:val="22"/>
          <w:lang w:val="hu-HU"/>
        </w:rPr>
        <w:t>veleszületett vagy dokumentált, szerzett QT</w:t>
      </w:r>
      <w:r>
        <w:rPr>
          <w:szCs w:val="22"/>
          <w:lang w:val="hu-HU"/>
        </w:rPr>
        <w:noBreakHyphen/>
        <w:t>szakasz megnyúlás,</w:t>
      </w:r>
    </w:p>
    <w:p w14:paraId="7FCDAFD0" w14:textId="77777777" w:rsidR="00653D32" w:rsidRDefault="00502314">
      <w:pPr>
        <w:numPr>
          <w:ilvl w:val="0"/>
          <w:numId w:val="19"/>
        </w:numPr>
        <w:ind w:left="567" w:hanging="567"/>
        <w:rPr>
          <w:szCs w:val="22"/>
          <w:lang w:val="hu-HU"/>
        </w:rPr>
      </w:pPr>
      <w:r>
        <w:rPr>
          <w:szCs w:val="22"/>
          <w:lang w:val="hu-HU"/>
        </w:rPr>
        <w:t>elektrolitzavarok, különösen nem korrigált hypokalaemia,</w:t>
      </w:r>
    </w:p>
    <w:p w14:paraId="10DEBBC5" w14:textId="77777777" w:rsidR="00653D32" w:rsidRDefault="00502314">
      <w:pPr>
        <w:numPr>
          <w:ilvl w:val="0"/>
          <w:numId w:val="19"/>
        </w:numPr>
        <w:ind w:left="567" w:hanging="567"/>
        <w:rPr>
          <w:szCs w:val="22"/>
          <w:lang w:val="hu-HU"/>
        </w:rPr>
      </w:pPr>
      <w:r>
        <w:rPr>
          <w:szCs w:val="22"/>
          <w:lang w:val="hu-HU"/>
        </w:rPr>
        <w:t>klinikailag jelentős bradycardia,</w:t>
      </w:r>
    </w:p>
    <w:p w14:paraId="4BD63C1F" w14:textId="77777777" w:rsidR="00653D32" w:rsidRDefault="00502314">
      <w:pPr>
        <w:numPr>
          <w:ilvl w:val="0"/>
          <w:numId w:val="19"/>
        </w:numPr>
        <w:ind w:left="567" w:hanging="567"/>
        <w:rPr>
          <w:szCs w:val="22"/>
          <w:lang w:val="hu-HU"/>
        </w:rPr>
      </w:pPr>
      <w:r>
        <w:rPr>
          <w:szCs w:val="22"/>
          <w:lang w:val="hu-HU"/>
        </w:rPr>
        <w:t>klinikailag jelentős szívelégtelenség csökkent balkamrai ejekciós frakcióval,</w:t>
      </w:r>
    </w:p>
    <w:p w14:paraId="74CD5D01" w14:textId="77777777" w:rsidR="00653D32" w:rsidRDefault="00502314">
      <w:pPr>
        <w:numPr>
          <w:ilvl w:val="0"/>
          <w:numId w:val="19"/>
        </w:numPr>
        <w:ind w:left="567" w:hanging="567"/>
        <w:rPr>
          <w:szCs w:val="22"/>
          <w:lang w:val="hu-HU"/>
        </w:rPr>
      </w:pPr>
      <w:r>
        <w:rPr>
          <w:szCs w:val="22"/>
          <w:lang w:val="hu-HU"/>
        </w:rPr>
        <w:t>tünetekkel járó szívritmuszavar az anamnézisben.</w:t>
      </w:r>
    </w:p>
    <w:p w14:paraId="0575F736" w14:textId="77777777" w:rsidR="00653D32" w:rsidRDefault="00653D32">
      <w:pPr>
        <w:widowControl w:val="0"/>
        <w:autoSpaceDE w:val="0"/>
        <w:autoSpaceDN w:val="0"/>
        <w:adjustRightInd w:val="0"/>
        <w:rPr>
          <w:szCs w:val="22"/>
          <w:lang w:val="hu-HU"/>
        </w:rPr>
      </w:pPr>
    </w:p>
    <w:p w14:paraId="1999923C" w14:textId="77777777" w:rsidR="00653D32" w:rsidRDefault="00502314">
      <w:pPr>
        <w:widowControl w:val="0"/>
        <w:autoSpaceDE w:val="0"/>
        <w:autoSpaceDN w:val="0"/>
        <w:adjustRightInd w:val="0"/>
        <w:rPr>
          <w:szCs w:val="22"/>
          <w:lang w:val="hu-HU"/>
        </w:rPr>
      </w:pPr>
      <w:r>
        <w:rPr>
          <w:szCs w:val="22"/>
          <w:lang w:val="hu-HU"/>
        </w:rPr>
        <w:t>A moxifloxacin nem alkalmazható együtt olyan gyógyszerekkel, amelyek megnyújtják a QT</w:t>
      </w:r>
      <w:r>
        <w:rPr>
          <w:szCs w:val="22"/>
          <w:lang w:val="hu-HU"/>
        </w:rPr>
        <w:noBreakHyphen/>
        <w:t>szakaszt (lásd még 4.5 pont).</w:t>
      </w:r>
    </w:p>
    <w:p w14:paraId="338BC371" w14:textId="77777777" w:rsidR="00653D32" w:rsidRDefault="00653D32">
      <w:pPr>
        <w:tabs>
          <w:tab w:val="left" w:pos="567"/>
        </w:tabs>
        <w:ind w:left="426" w:hanging="426"/>
        <w:rPr>
          <w:szCs w:val="22"/>
          <w:lang w:val="hu-HU"/>
        </w:rPr>
      </w:pPr>
    </w:p>
    <w:p w14:paraId="13D59002" w14:textId="77777777" w:rsidR="00653D32" w:rsidRDefault="00502314">
      <w:pPr>
        <w:rPr>
          <w:szCs w:val="22"/>
          <w:lang w:val="hu-HU"/>
        </w:rPr>
      </w:pPr>
      <w:r>
        <w:rPr>
          <w:szCs w:val="22"/>
          <w:lang w:val="hu-HU"/>
        </w:rPr>
        <w:t>A klinikai adatok korlátozott száma miatt a moxifloxacin szintén ellenjavallt májkárosodásban szenvedő betegeknél (Child–Pugh C), és olyan betegeknél, akiknek a transzaminázszintje magasabb a normál tartomány felső határának ötszörösénél.</w:t>
      </w:r>
    </w:p>
    <w:p w14:paraId="03025AEC" w14:textId="77777777" w:rsidR="00653D32" w:rsidRDefault="00653D32">
      <w:pPr>
        <w:tabs>
          <w:tab w:val="left" w:pos="567"/>
        </w:tabs>
        <w:rPr>
          <w:caps/>
          <w:szCs w:val="22"/>
          <w:lang w:val="hu-HU"/>
        </w:rPr>
      </w:pPr>
    </w:p>
    <w:p w14:paraId="0C66BA13" w14:textId="77777777" w:rsidR="00653D32" w:rsidRDefault="00502314">
      <w:pPr>
        <w:numPr>
          <w:ilvl w:val="1"/>
          <w:numId w:val="1"/>
        </w:numPr>
        <w:rPr>
          <w:b/>
          <w:szCs w:val="22"/>
          <w:lang w:val="hu-HU"/>
        </w:rPr>
      </w:pPr>
      <w:r>
        <w:rPr>
          <w:b/>
          <w:szCs w:val="22"/>
          <w:lang w:val="hu-HU"/>
        </w:rPr>
        <w:t>Különleges figyelmeztetések és az alkalmazással kapcsolatos óvintézkedések</w:t>
      </w:r>
    </w:p>
    <w:p w14:paraId="5BFD1011" w14:textId="77777777" w:rsidR="00653D32" w:rsidRDefault="00653D32">
      <w:pPr>
        <w:tabs>
          <w:tab w:val="left" w:pos="567"/>
        </w:tabs>
        <w:rPr>
          <w:szCs w:val="22"/>
          <w:lang w:val="hu-HU"/>
        </w:rPr>
      </w:pPr>
    </w:p>
    <w:p w14:paraId="165E509C" w14:textId="77777777" w:rsidR="00653D32" w:rsidRDefault="00502314">
      <w:pPr>
        <w:rPr>
          <w:lang w:val="hu-HU"/>
        </w:rPr>
      </w:pPr>
      <w:r>
        <w:rPr>
          <w:lang w:val="hu-HU"/>
        </w:rPr>
        <w:t>A moxifloxacin alkalmazását el kell kerülni azoknál a betegeknél, akik korábban kinolon- vagy fluorokinolontartalmú készítmények alkalmazásakor súlyos mellékhatást tapasztaltak (lásd 4.8 pont). Ilyen betegeknél csak egyéb kezelési lehetőségek hiányában és az előny/kockázat gondos értékelését követően szabad moxifloxacin-kezelést kezdeni (lásd még 4.3 pont).</w:t>
      </w:r>
    </w:p>
    <w:p w14:paraId="3B471F34" w14:textId="77777777" w:rsidR="00653D32" w:rsidRDefault="00653D32">
      <w:pPr>
        <w:widowControl w:val="0"/>
        <w:autoSpaceDE w:val="0"/>
        <w:autoSpaceDN w:val="0"/>
        <w:adjustRightInd w:val="0"/>
        <w:rPr>
          <w:szCs w:val="22"/>
          <w:lang w:val="hu-HU"/>
        </w:rPr>
      </w:pPr>
    </w:p>
    <w:p w14:paraId="3284E003" w14:textId="77777777" w:rsidR="00653D32" w:rsidRDefault="00502314">
      <w:pPr>
        <w:widowControl w:val="0"/>
        <w:autoSpaceDE w:val="0"/>
        <w:autoSpaceDN w:val="0"/>
        <w:adjustRightInd w:val="0"/>
        <w:rPr>
          <w:szCs w:val="22"/>
          <w:lang w:val="hu-HU"/>
        </w:rPr>
      </w:pPr>
      <w:r>
        <w:rPr>
          <w:szCs w:val="22"/>
          <w:lang w:val="hu-HU"/>
        </w:rPr>
        <w:t>A moxifloxacin-kezelés előnyeinek egyensúlyban kell lennie – különös tekintettel a nem súlyos infekciókra – a figyelmeztetésekre és óvintézkedésekre vonatkozó pontban felsoroltakkal.</w:t>
      </w:r>
    </w:p>
    <w:p w14:paraId="2E92AFED" w14:textId="77777777" w:rsidR="00653D32" w:rsidRDefault="00653D32">
      <w:pPr>
        <w:tabs>
          <w:tab w:val="left" w:pos="567"/>
        </w:tabs>
        <w:rPr>
          <w:szCs w:val="22"/>
          <w:lang w:val="hu-HU"/>
        </w:rPr>
      </w:pPr>
    </w:p>
    <w:p w14:paraId="4C73F2F6" w14:textId="77777777" w:rsidR="00653D32" w:rsidRDefault="00653D32">
      <w:pPr>
        <w:tabs>
          <w:tab w:val="left" w:pos="567"/>
        </w:tabs>
        <w:rPr>
          <w:szCs w:val="22"/>
          <w:lang w:val="hu-HU"/>
        </w:rPr>
      </w:pPr>
    </w:p>
    <w:p w14:paraId="173C955F" w14:textId="77777777" w:rsidR="00653D32" w:rsidRDefault="00653D32">
      <w:pPr>
        <w:tabs>
          <w:tab w:val="left" w:pos="567"/>
        </w:tabs>
        <w:rPr>
          <w:szCs w:val="22"/>
          <w:lang w:val="hu-HU"/>
        </w:rPr>
      </w:pPr>
    </w:p>
    <w:p w14:paraId="0A3B145D" w14:textId="77777777" w:rsidR="00653D32" w:rsidRDefault="00502314">
      <w:pPr>
        <w:tabs>
          <w:tab w:val="left" w:pos="567"/>
        </w:tabs>
        <w:rPr>
          <w:szCs w:val="22"/>
          <w:u w:val="single"/>
          <w:lang w:val="hu-HU"/>
        </w:rPr>
      </w:pPr>
      <w:r>
        <w:rPr>
          <w:szCs w:val="22"/>
          <w:u w:val="single"/>
          <w:lang w:val="hu-HU"/>
        </w:rPr>
        <w:t>A QTc-szakasz megnyúlása és a QTc-szakasz potenciális megnyúlásával járó klinikai állapotok</w:t>
      </w:r>
    </w:p>
    <w:p w14:paraId="1788E5C4" w14:textId="77777777" w:rsidR="00653D32" w:rsidRDefault="00653D32">
      <w:pPr>
        <w:tabs>
          <w:tab w:val="left" w:pos="567"/>
        </w:tabs>
        <w:rPr>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653D32" w14:paraId="1F8B51AB" w14:textId="77777777">
        <w:tc>
          <w:tcPr>
            <w:tcW w:w="9211" w:type="dxa"/>
          </w:tcPr>
          <w:p w14:paraId="79E34998" w14:textId="77777777" w:rsidR="00653D32" w:rsidRDefault="00502314">
            <w:pPr>
              <w:widowControl w:val="0"/>
              <w:tabs>
                <w:tab w:val="left" w:pos="426"/>
                <w:tab w:val="right" w:pos="9859"/>
              </w:tabs>
              <w:autoSpaceDE w:val="0"/>
              <w:autoSpaceDN w:val="0"/>
              <w:adjustRightInd w:val="0"/>
              <w:rPr>
                <w:szCs w:val="22"/>
                <w:lang w:val="hu-HU"/>
              </w:rPr>
            </w:pPr>
            <w:r>
              <w:rPr>
                <w:szCs w:val="22"/>
                <w:lang w:val="hu-HU"/>
              </w:rPr>
              <w:t>A moxifloxacinról kimutatták, hogy néhány betegnél a QTc</w:t>
            </w:r>
            <w:r>
              <w:rPr>
                <w:szCs w:val="22"/>
                <w:lang w:val="hu-HU"/>
              </w:rPr>
              <w:noBreakHyphen/>
              <w:t>szakasz megnyúlását okozza az elektrokardiogramon. A QT</w:t>
            </w:r>
            <w:r>
              <w:rPr>
                <w:szCs w:val="22"/>
                <w:lang w:val="hu-HU"/>
              </w:rPr>
              <w:noBreakHyphen/>
              <w:t>megnyúlás mértéke megnőhet a plazmakoncentráció emelkedésével, a gyors intravénás infúzió következtében. Ezért az infúzió beadásnak időtartama nem lehet rövidebb az ajánlott 60 percnél, és a napi egyszeri 400 mg intravénás adagot nem szabad túllépni. A további részleteket lásd alább és a 4.3 és a 4.5 pontokban.</w:t>
            </w:r>
          </w:p>
        </w:tc>
      </w:tr>
    </w:tbl>
    <w:p w14:paraId="3EC8D3EE" w14:textId="77777777" w:rsidR="00653D32" w:rsidRDefault="00653D32">
      <w:pPr>
        <w:widowControl w:val="0"/>
        <w:tabs>
          <w:tab w:val="left" w:pos="426"/>
          <w:tab w:val="right" w:pos="9859"/>
        </w:tabs>
        <w:autoSpaceDE w:val="0"/>
        <w:autoSpaceDN w:val="0"/>
        <w:adjustRightInd w:val="0"/>
        <w:rPr>
          <w:szCs w:val="22"/>
          <w:lang w:val="hu-HU"/>
        </w:rPr>
      </w:pPr>
    </w:p>
    <w:p w14:paraId="39771DE3" w14:textId="77777777" w:rsidR="00653D32" w:rsidRDefault="00502314">
      <w:pPr>
        <w:rPr>
          <w:szCs w:val="22"/>
          <w:lang w:val="hu-HU"/>
        </w:rPr>
      </w:pPr>
      <w:r>
        <w:rPr>
          <w:szCs w:val="22"/>
          <w:lang w:val="hu-HU"/>
        </w:rPr>
        <w:t>A moxifloxacin-kezelést abba kell hagyni, ha a kezelés folyamán szívritmuszavarra utaló panaszok vagy tünetek jelentkeznek, akár van EKG-lelet, akár nincs.</w:t>
      </w:r>
    </w:p>
    <w:p w14:paraId="29C271CC" w14:textId="77777777" w:rsidR="00653D32" w:rsidRDefault="00653D32">
      <w:pPr>
        <w:rPr>
          <w:szCs w:val="22"/>
          <w:lang w:val="hu-HU"/>
        </w:rPr>
      </w:pPr>
    </w:p>
    <w:p w14:paraId="23945AE7" w14:textId="77777777" w:rsidR="00653D32" w:rsidRDefault="00502314">
      <w:pPr>
        <w:rPr>
          <w:szCs w:val="22"/>
          <w:lang w:val="hu-HU"/>
        </w:rPr>
      </w:pPr>
      <w:r>
        <w:rPr>
          <w:szCs w:val="22"/>
          <w:lang w:val="hu-HU"/>
        </w:rPr>
        <w:t xml:space="preserve">A moxifloxacint </w:t>
      </w:r>
      <w:r>
        <w:rPr>
          <w:lang w:val="hu-HU"/>
        </w:rPr>
        <w:t>körültekintően kell alkalmazni olyan betegeknél</w:t>
      </w:r>
      <w:r>
        <w:rPr>
          <w:szCs w:val="22"/>
          <w:lang w:val="hu-HU"/>
        </w:rPr>
        <w:t>, akiknél bármilyen, szív-arrhythmiára hajlamosító tényező (pl. az akut myocardialis ischaemia) áll fenn, mert esetükben fokozott lehet a kamrai arrhythmia (beleértve a torsade de pointes</w:t>
      </w:r>
      <w:r>
        <w:rPr>
          <w:szCs w:val="22"/>
          <w:lang w:val="hu-HU"/>
        </w:rPr>
        <w:noBreakHyphen/>
        <w:t>t is) és a szívmegállás kialakulásának kockázata (lásd még 4.3 és 4.5 pont).</w:t>
      </w:r>
    </w:p>
    <w:p w14:paraId="0D7027D0" w14:textId="77777777" w:rsidR="00653D32" w:rsidRDefault="00653D32">
      <w:pPr>
        <w:rPr>
          <w:szCs w:val="22"/>
          <w:lang w:val="hu-HU"/>
        </w:rPr>
      </w:pPr>
    </w:p>
    <w:p w14:paraId="22B40C83" w14:textId="77777777" w:rsidR="00653D32" w:rsidRDefault="00502314">
      <w:pPr>
        <w:rPr>
          <w:szCs w:val="22"/>
          <w:lang w:val="hu-HU"/>
        </w:rPr>
      </w:pPr>
      <w:r>
        <w:rPr>
          <w:szCs w:val="22"/>
          <w:lang w:val="hu-HU"/>
        </w:rPr>
        <w:t>A moxifloxacint körültekintően kell alkalmazni olyan betegek esetén, akik olyan gyógyszereket szednek, melyek csökkenthetik a káliumszintet (lásd még 4.3 és 4.5 pont).</w:t>
      </w:r>
    </w:p>
    <w:p w14:paraId="7050CF09" w14:textId="77777777" w:rsidR="00653D32" w:rsidRDefault="00653D32">
      <w:pPr>
        <w:rPr>
          <w:szCs w:val="22"/>
          <w:lang w:val="hu-HU"/>
        </w:rPr>
      </w:pPr>
    </w:p>
    <w:p w14:paraId="6723771D" w14:textId="77777777" w:rsidR="00653D32" w:rsidRDefault="00502314">
      <w:pPr>
        <w:rPr>
          <w:szCs w:val="22"/>
          <w:lang w:val="hu-HU"/>
        </w:rPr>
      </w:pPr>
      <w:r>
        <w:rPr>
          <w:szCs w:val="22"/>
          <w:lang w:val="hu-HU"/>
        </w:rPr>
        <w:t>A moxifloxacint csak kellő óvatossággal szabad adni azoknak a betegeknek, akik klinikailag szignifikáns bradycardiát okozó gyógyszereket szednek (lásd még 4.3 pont).</w:t>
      </w:r>
    </w:p>
    <w:p w14:paraId="569D94A3" w14:textId="77777777" w:rsidR="00653D32" w:rsidRDefault="00653D32">
      <w:pPr>
        <w:rPr>
          <w:szCs w:val="22"/>
          <w:lang w:val="hu-HU"/>
        </w:rPr>
      </w:pPr>
    </w:p>
    <w:p w14:paraId="765C09C7" w14:textId="77777777" w:rsidR="00653D32" w:rsidRDefault="00502314">
      <w:pPr>
        <w:rPr>
          <w:szCs w:val="22"/>
          <w:lang w:val="hu-HU"/>
        </w:rPr>
      </w:pPr>
      <w:r>
        <w:rPr>
          <w:szCs w:val="22"/>
          <w:lang w:val="hu-HU"/>
        </w:rPr>
        <w:t>A nők és az idősek érzékenyebbek lehetnek a QTc</w:t>
      </w:r>
      <w:r>
        <w:rPr>
          <w:szCs w:val="22"/>
          <w:lang w:val="hu-HU"/>
        </w:rPr>
        <w:noBreakHyphen/>
        <w:t>megnyúlást előidéző gyógyszerek hatásaival szemben (pl. moxifloxacin), ezért esetükben különös óvatosságra van szükség.</w:t>
      </w:r>
    </w:p>
    <w:p w14:paraId="43F00BF5" w14:textId="77777777" w:rsidR="00653D32" w:rsidRDefault="00653D32">
      <w:pPr>
        <w:rPr>
          <w:szCs w:val="22"/>
          <w:u w:val="single"/>
          <w:lang w:val="hu-HU"/>
        </w:rPr>
      </w:pPr>
    </w:p>
    <w:p w14:paraId="6B0788CC" w14:textId="77777777" w:rsidR="00653D32" w:rsidRDefault="00502314">
      <w:pPr>
        <w:rPr>
          <w:szCs w:val="22"/>
          <w:u w:val="single"/>
          <w:lang w:val="hu-HU"/>
        </w:rPr>
      </w:pPr>
      <w:r>
        <w:rPr>
          <w:szCs w:val="22"/>
          <w:u w:val="single"/>
          <w:lang w:val="hu-HU"/>
        </w:rPr>
        <w:t>Túlérzékenységi/allergiás reakciók</w:t>
      </w:r>
    </w:p>
    <w:p w14:paraId="1B17EF4D" w14:textId="77777777" w:rsidR="00653D32" w:rsidRDefault="00502314">
      <w:pPr>
        <w:rPr>
          <w:szCs w:val="22"/>
          <w:lang w:val="hu-HU"/>
        </w:rPr>
      </w:pPr>
      <w:r>
        <w:rPr>
          <w:szCs w:val="22"/>
          <w:lang w:val="hu-HU"/>
        </w:rPr>
        <w:t xml:space="preserve">Túlérzékenységi és allergiás reakciókról számoltak be fluorokinolonokkal – többek között a moxifloxacinnal kapcsolatban, az első alkalmazása után. Az anaphylaxiás reakciók </w:t>
      </w:r>
      <w:r>
        <w:t xml:space="preserve">már akár az első alkalmazást követően is </w:t>
      </w:r>
      <w:r>
        <w:rPr>
          <w:szCs w:val="22"/>
          <w:lang w:val="hu-HU"/>
        </w:rPr>
        <w:t>életveszélyes sokká súlyosbodhatnak. Súlyos túlérzékenységi reakciók klinikai megnyilvánulása esetén a moxifloxacin-kezelést azonnal abba kell hagyni, és a beteget megfelelő ellátásban (pl. sokktalanítás) kell részesíteni.</w:t>
      </w:r>
    </w:p>
    <w:p w14:paraId="004413C0" w14:textId="77777777" w:rsidR="00653D32" w:rsidRDefault="00653D32">
      <w:pPr>
        <w:rPr>
          <w:szCs w:val="22"/>
          <w:lang w:val="hu-HU"/>
        </w:rPr>
      </w:pPr>
    </w:p>
    <w:p w14:paraId="4EB657C2" w14:textId="77777777" w:rsidR="00653D32" w:rsidRDefault="00502314">
      <w:pPr>
        <w:autoSpaceDE w:val="0"/>
        <w:autoSpaceDN w:val="0"/>
        <w:adjustRightInd w:val="0"/>
        <w:rPr>
          <w:u w:val="single"/>
          <w:lang w:val="hu-HU"/>
        </w:rPr>
      </w:pPr>
      <w:r>
        <w:rPr>
          <w:u w:val="single"/>
          <w:lang w:val="hu-HU"/>
        </w:rPr>
        <w:t>Cardiovascularis és cerebrovascularis hatások</w:t>
      </w:r>
    </w:p>
    <w:p w14:paraId="4451915C" w14:textId="77777777" w:rsidR="00653D32" w:rsidRDefault="00502314">
      <w:pPr>
        <w:rPr>
          <w:szCs w:val="22"/>
          <w:lang w:val="hu-HU"/>
        </w:rPr>
      </w:pPr>
      <w:r>
        <w:rPr>
          <w:lang w:val="hu-HU"/>
        </w:rPr>
        <w:t xml:space="preserve">Kounis-szindróma eseteit jelentették </w:t>
      </w:r>
      <w:r>
        <w:rPr>
          <w:szCs w:val="22"/>
          <w:lang w:val="hu-HU"/>
        </w:rPr>
        <w:t xml:space="preserve">Moxibiot 400 mg/250 ml oldatos infúzióval </w:t>
      </w:r>
      <w:r>
        <w:rPr>
          <w:lang w:val="hu-HU"/>
        </w:rPr>
        <w:t>kezelt betegeknél (lásd 4.8 pont). Kounis-szindróma a koszorúerek összehúzódásával járó allergiás vagy túlérzékenységi reakció következtében kialakuló másodlagos cardiovascularis tünetcsoport, amely myocardialis infarctust okozhat.</w:t>
      </w:r>
    </w:p>
    <w:p w14:paraId="08423D28" w14:textId="77777777" w:rsidR="00653D32" w:rsidRDefault="00653D32">
      <w:pPr>
        <w:ind w:left="567" w:hanging="567"/>
        <w:rPr>
          <w:szCs w:val="22"/>
          <w:lang w:val="hu-HU"/>
        </w:rPr>
      </w:pPr>
    </w:p>
    <w:p w14:paraId="7030ECFD" w14:textId="77777777" w:rsidR="00653D32" w:rsidRDefault="00502314">
      <w:pPr>
        <w:rPr>
          <w:szCs w:val="22"/>
          <w:u w:val="single"/>
          <w:lang w:val="hu-HU"/>
        </w:rPr>
      </w:pPr>
      <w:r>
        <w:rPr>
          <w:szCs w:val="22"/>
          <w:u w:val="single"/>
          <w:lang w:val="hu-HU"/>
        </w:rPr>
        <w:t>Súlyos májbetegségek</w:t>
      </w:r>
    </w:p>
    <w:p w14:paraId="20008E5D" w14:textId="77777777" w:rsidR="00653D32" w:rsidRDefault="00502314">
      <w:pPr>
        <w:rPr>
          <w:szCs w:val="22"/>
          <w:lang w:val="hu-HU"/>
        </w:rPr>
      </w:pPr>
      <w:r>
        <w:rPr>
          <w:szCs w:val="22"/>
          <w:lang w:val="hu-HU"/>
        </w:rPr>
        <w:t xml:space="preserve">A moxifloxacin </w:t>
      </w:r>
      <w:r>
        <w:rPr>
          <w:lang w:val="hu-HU"/>
        </w:rPr>
        <w:t xml:space="preserve">alkalmazásával </w:t>
      </w:r>
      <w:r>
        <w:rPr>
          <w:szCs w:val="22"/>
          <w:lang w:val="hu-HU"/>
        </w:rPr>
        <w:t xml:space="preserve">összefüggő, fulmináns hepatitises eseteket jelentettek, melyek májelégtelenséghez is (beleértve a halálos eseteket is) vezethettek (lásd 4.8 pont). A betegeket tájékoztatni kell arról, hogy </w:t>
      </w:r>
      <w:r>
        <w:rPr>
          <w:lang w:val="hu-HU"/>
        </w:rPr>
        <w:t xml:space="preserve">a kezelés folytatása előtt </w:t>
      </w:r>
      <w:r>
        <w:rPr>
          <w:szCs w:val="22"/>
          <w:lang w:val="hu-HU"/>
        </w:rPr>
        <w:t xml:space="preserve">keressék fel a kezelőorvosukat, amennyiben fulmináns májelégtelenségre utaló tüneteket észlelnek, pl. gyors ütemben kialakuló asthenia sárgasággal, sötét vizelet, </w:t>
      </w:r>
      <w:r>
        <w:rPr>
          <w:lang w:val="hu-HU"/>
        </w:rPr>
        <w:t>vérzékenységi</w:t>
      </w:r>
      <w:r>
        <w:rPr>
          <w:szCs w:val="22"/>
          <w:lang w:val="hu-HU"/>
        </w:rPr>
        <w:t xml:space="preserve"> hajlam vagy hepaticus encephalopathia.</w:t>
      </w:r>
    </w:p>
    <w:p w14:paraId="5062415A" w14:textId="77777777" w:rsidR="00653D32" w:rsidRDefault="00653D32">
      <w:pPr>
        <w:rPr>
          <w:szCs w:val="22"/>
          <w:lang w:val="hu-HU"/>
        </w:rPr>
      </w:pPr>
    </w:p>
    <w:p w14:paraId="6472030B" w14:textId="77777777" w:rsidR="00653D32" w:rsidRDefault="00502314">
      <w:pPr>
        <w:rPr>
          <w:szCs w:val="22"/>
          <w:lang w:val="hu-HU"/>
        </w:rPr>
      </w:pPr>
      <w:r>
        <w:rPr>
          <w:szCs w:val="22"/>
          <w:lang w:val="hu-HU"/>
        </w:rPr>
        <w:t>Amennyiben májfunkciós eltérésre utaló tünetek észlelhetők, májfunkciós próbákat/vizsgálatokat kell végezni.</w:t>
      </w:r>
    </w:p>
    <w:p w14:paraId="04EBA5AD" w14:textId="77777777" w:rsidR="00653D32" w:rsidRDefault="00653D32">
      <w:pPr>
        <w:tabs>
          <w:tab w:val="left" w:pos="6263"/>
        </w:tabs>
        <w:rPr>
          <w:szCs w:val="22"/>
          <w:lang w:val="hu-HU"/>
        </w:rPr>
      </w:pPr>
    </w:p>
    <w:p w14:paraId="5F3F87CE" w14:textId="77777777" w:rsidR="00653D32" w:rsidRDefault="00502314">
      <w:pPr>
        <w:rPr>
          <w:szCs w:val="22"/>
          <w:u w:val="single"/>
          <w:lang w:val="hu-HU"/>
        </w:rPr>
      </w:pPr>
      <w:r>
        <w:rPr>
          <w:szCs w:val="22"/>
          <w:u w:val="single"/>
          <w:lang w:val="hu-HU"/>
        </w:rPr>
        <w:t>A bőrt érintő súlyos mellékhatások</w:t>
      </w:r>
    </w:p>
    <w:p w14:paraId="2349DF40" w14:textId="77777777" w:rsidR="00653D32" w:rsidRDefault="00502314">
      <w:pPr>
        <w:rPr>
          <w:szCs w:val="22"/>
          <w:lang w:val="hu-HU"/>
        </w:rPr>
      </w:pPr>
      <w:r>
        <w:rPr>
          <w:szCs w:val="22"/>
          <w:lang w:val="hu-HU"/>
        </w:rPr>
        <w:t xml:space="preserve">A bőrt érintő súlyos – potenciálisan életveszélyes vagy halálos kimenetelű – mellékhatásokat jelentettek moxifloxacin alkalmazása során, például toxicus epidermalis necrolysist (TEN, más néven Lyell-szindróma), Stevens–Johnson-szindrómát (SJS), akut generalizált exanthemás pustulosist (AGEP) </w:t>
      </w:r>
      <w:r>
        <w:rPr>
          <w:lang w:val="hu-HU"/>
        </w:rPr>
        <w:t>és eosinophiliával és szisztémás tünetekkel járó gyógyszerreakciót (DRESS)</w:t>
      </w:r>
      <w:r>
        <w:rPr>
          <w:szCs w:val="22"/>
          <w:lang w:val="hu-HU"/>
        </w:rPr>
        <w:t xml:space="preserve"> (lásd 4.8 pont). A gyógyszer rendelésekor a betegek figyelmét fel kell hívni a súlyos bőrreakciók jeleire és tüneteire, valamint a betegeket gondosan monitorozni kell. Ha a jelek és tünetek arra utalnak, hogy ezek a reakciók kialakulnak, a moxifloxacin alkalmazását azonnal abba kell hagyni és alternatív terápia </w:t>
      </w:r>
      <w:r>
        <w:rPr>
          <w:szCs w:val="22"/>
          <w:lang w:val="hu-HU"/>
        </w:rPr>
        <w:lastRenderedPageBreak/>
        <w:t>elkezdését kell fontolóra venni. Ha a betegnél súlyos reakciók, mint pl. SJS, TEN, AGEP vagy DRESS alakult ki a moxifloxacin alkalmazásakor, akkor az adott beteget a későbbiekben tilos moxifloxacinnal kezelni.</w:t>
      </w:r>
    </w:p>
    <w:p w14:paraId="640665ED" w14:textId="77777777" w:rsidR="00653D32" w:rsidRDefault="00653D32">
      <w:pPr>
        <w:rPr>
          <w:szCs w:val="22"/>
          <w:lang w:val="hu-HU"/>
        </w:rPr>
      </w:pPr>
    </w:p>
    <w:p w14:paraId="64812078" w14:textId="77777777" w:rsidR="00653D32" w:rsidRDefault="00502314">
      <w:pPr>
        <w:rPr>
          <w:szCs w:val="22"/>
          <w:u w:val="single"/>
          <w:lang w:val="hu-HU"/>
        </w:rPr>
      </w:pPr>
      <w:r>
        <w:rPr>
          <w:szCs w:val="22"/>
          <w:u w:val="single"/>
          <w:lang w:val="hu-HU"/>
        </w:rPr>
        <w:t>Görcsrohamokra hajlamos betegek</w:t>
      </w:r>
    </w:p>
    <w:p w14:paraId="48C78099" w14:textId="77777777" w:rsidR="00653D32" w:rsidRDefault="00502314">
      <w:pPr>
        <w:rPr>
          <w:szCs w:val="22"/>
          <w:lang w:val="hu-HU"/>
        </w:rPr>
      </w:pPr>
      <w:r>
        <w:rPr>
          <w:szCs w:val="22"/>
          <w:lang w:val="hu-HU"/>
        </w:rPr>
        <w:t>Ismert</w:t>
      </w:r>
      <w:r>
        <w:rPr>
          <w:szCs w:val="22"/>
          <w:lang w:val="hu-HU" w:eastAsia="hu-HU"/>
        </w:rPr>
        <w:t xml:space="preserve">, hogy a kinolonok görcsrohamokat válthatnak ki. Kellő óvatosság szükséges olyan </w:t>
      </w:r>
      <w:r>
        <w:rPr>
          <w:szCs w:val="22"/>
          <w:lang w:val="hu-HU"/>
        </w:rPr>
        <w:t>betegek kinolonokkal történő kezelésekor, akiknek olyan központi idegrendszeri betegségeik, vagy más kockázati tényezőik vannak, amelyek görcsrohamra hajlamosítanak, vagy csökkentik a görcsküszöböt. Görcsroham esetén a moxifloxacin-kezelést fel kell függeszteni, és megfelelő intézkedéseket kell tenni.</w:t>
      </w:r>
    </w:p>
    <w:p w14:paraId="289D41BA" w14:textId="77777777" w:rsidR="00653D32" w:rsidRDefault="00653D32">
      <w:pPr>
        <w:pStyle w:val="Vgjegyzetszvege"/>
        <w:suppressAutoHyphens w:val="0"/>
        <w:spacing w:line="240" w:lineRule="auto"/>
        <w:rPr>
          <w:szCs w:val="22"/>
          <w:lang w:val="hu-HU"/>
        </w:rPr>
      </w:pPr>
    </w:p>
    <w:p w14:paraId="33EF55BC" w14:textId="77777777" w:rsidR="00653D32" w:rsidRDefault="00502314">
      <w:pPr>
        <w:rPr>
          <w:u w:val="single"/>
          <w:lang w:val="hu-HU"/>
        </w:rPr>
      </w:pPr>
      <w:r>
        <w:rPr>
          <w:u w:val="single"/>
          <w:lang w:val="hu-HU"/>
        </w:rPr>
        <w:t>Hosszan tartó, rokkantságot okozó és potenciálisan irreverzibilis súlyos gyógyszermellékhatások</w:t>
      </w:r>
    </w:p>
    <w:p w14:paraId="7FB8ECFA" w14:textId="77777777" w:rsidR="00653D32" w:rsidRDefault="00502314">
      <w:pPr>
        <w:rPr>
          <w:lang w:val="hu-HU"/>
        </w:rPr>
      </w:pPr>
      <w:r>
        <w:rPr>
          <w:lang w:val="hu-HU"/>
        </w:rPr>
        <w:t>Kinolonokkal és fluorokinolonokkal kezelt betegeknél nagyon ritkán különböző  – esetenként több – szervrendszert (csont- és izomrendszer, idegrendszer, pszichiátriai kórképek és érzékszervek) érintő, a beteg életkorától és eleve fennálló kockázati tényezőitől függetlenül fellépő, hosszan fennálló (hónapokig vagy évekig tartó), rokkantságot okozó és potenciálisan irreverzibilis súlyos gyógyszermellékhatások eseteiről számoltak be. A moxifloxacin alkalmazását bármilyen súlyos mellékhatásra jellemző jel vagy tünet első jelentkezésekor azonnal le kell állítani, és a betegnek azt kell javasolni, hogy tanácsért forduljon a gyógyszert felíró orvoshoz.</w:t>
      </w:r>
    </w:p>
    <w:p w14:paraId="7468314C" w14:textId="77777777" w:rsidR="00653D32" w:rsidRDefault="00653D32">
      <w:pPr>
        <w:rPr>
          <w:lang w:val="hu-HU" w:eastAsia="ar-SA"/>
        </w:rPr>
      </w:pPr>
    </w:p>
    <w:p w14:paraId="5C3821D3" w14:textId="77777777" w:rsidR="00653D32" w:rsidRDefault="00502314">
      <w:pPr>
        <w:rPr>
          <w:szCs w:val="22"/>
          <w:lang w:val="hu-HU"/>
        </w:rPr>
      </w:pPr>
      <w:r>
        <w:rPr>
          <w:szCs w:val="22"/>
          <w:u w:val="single"/>
          <w:lang w:val="hu-HU"/>
        </w:rPr>
        <w:t>Perifériás neuropathia</w:t>
      </w:r>
    </w:p>
    <w:p w14:paraId="7076872C" w14:textId="77777777" w:rsidR="00653D32" w:rsidRDefault="00502314">
      <w:pPr>
        <w:rPr>
          <w:lang w:val="hu-HU"/>
        </w:rPr>
      </w:pPr>
      <w:r>
        <w:rPr>
          <w:lang w:val="hu-HU"/>
        </w:rPr>
        <w:t>A kinolonokkal és fluorokinolonokkal kezelt betegeknél szenzoros vagy szenzomotoros polyneuropathiás eseteket jelentettek, amelyek paraesthesiát, hypaesthesiát, dysaesthesiát, vagy gyengeséget okoztak. A moxifloxacin-kezelésben részesülő betegek figyelmét fel kell hívni arra, hogy amennyiben neuropathia tünetei - például fájdalom, égő érzés, bizsergés, zsibbadás, vagy gyengeség – jelentkeznek, a potenciálisan irreverzibilis állapot kialakulásának megelőzése érdekében tájékoztassák erről kezelőorvosukat, mielőtt folytatnák a kezelést (lásd 4.8 pont).</w:t>
      </w:r>
    </w:p>
    <w:p w14:paraId="0E2C95EE" w14:textId="77777777" w:rsidR="00653D32" w:rsidRDefault="00653D32">
      <w:pPr>
        <w:tabs>
          <w:tab w:val="left" w:pos="567"/>
        </w:tabs>
        <w:ind w:left="540" w:hanging="540"/>
        <w:rPr>
          <w:szCs w:val="22"/>
          <w:lang w:val="hu-HU"/>
        </w:rPr>
      </w:pPr>
    </w:p>
    <w:p w14:paraId="5F807126" w14:textId="77777777" w:rsidR="00653D32" w:rsidRDefault="00502314">
      <w:pPr>
        <w:rPr>
          <w:szCs w:val="22"/>
          <w:lang w:val="hu-HU"/>
        </w:rPr>
      </w:pPr>
      <w:r>
        <w:rPr>
          <w:szCs w:val="22"/>
          <w:u w:val="single"/>
          <w:lang w:val="hu-HU"/>
        </w:rPr>
        <w:t>Pszichiátriai reakciók</w:t>
      </w:r>
    </w:p>
    <w:p w14:paraId="5D81A6A7" w14:textId="77777777" w:rsidR="00653D32" w:rsidRDefault="00502314">
      <w:pPr>
        <w:rPr>
          <w:szCs w:val="22"/>
          <w:lang w:val="hu-HU"/>
        </w:rPr>
      </w:pPr>
      <w:r>
        <w:rPr>
          <w:szCs w:val="22"/>
          <w:lang w:val="hu-HU"/>
        </w:rPr>
        <w:t>Pszichiátriai reakciók már a kinolonok (pl. moxifloxacin) első alkalmazását követően is jelentkezhetnek. Nagyon ritka esetekben a depresszió, vagy a pszichotikus reakciók egészen az öngyilkossági gondolatokig és önkárosító magatartásig, például öngyilkossági kísérletekig fokozódtak (lásd 4.8 pont). Abban az esetben, ha a betegnél ezek a reakciók fellépnek, a moxifloxacin-kezelést abba kell hagyni, és megfelelő intézkedéseket kell tenni. Kellő óvatosság ajánlott, ha moxifloxacint kell alkalmazni pszichotikus betegeknél, vagy akiknek az anamnézisében pszichiátriai betegség szerepel.</w:t>
      </w:r>
    </w:p>
    <w:p w14:paraId="51E34B6E" w14:textId="77777777" w:rsidR="00653D32" w:rsidRDefault="00653D32">
      <w:pPr>
        <w:tabs>
          <w:tab w:val="left" w:pos="567"/>
        </w:tabs>
        <w:ind w:left="540" w:hanging="540"/>
        <w:rPr>
          <w:szCs w:val="22"/>
          <w:lang w:val="hu-HU"/>
        </w:rPr>
      </w:pPr>
    </w:p>
    <w:p w14:paraId="17D190FB" w14:textId="77777777" w:rsidR="00653D32" w:rsidRDefault="00502314">
      <w:pPr>
        <w:rPr>
          <w:szCs w:val="22"/>
          <w:lang w:val="hu-HU"/>
        </w:rPr>
      </w:pPr>
      <w:r>
        <w:rPr>
          <w:szCs w:val="22"/>
          <w:u w:val="single"/>
          <w:lang w:val="hu-HU"/>
        </w:rPr>
        <w:t>Antibiotikumok alkalmazásával összefüggő hasmenés, beleértve a colitist</w:t>
      </w:r>
    </w:p>
    <w:p w14:paraId="5DB3B4BD" w14:textId="77777777" w:rsidR="00653D32" w:rsidRDefault="00502314">
      <w:pPr>
        <w:rPr>
          <w:iCs/>
          <w:szCs w:val="22"/>
          <w:lang w:val="hu-HU"/>
        </w:rPr>
      </w:pPr>
      <w:r>
        <w:rPr>
          <w:szCs w:val="22"/>
          <w:lang w:val="hu-HU"/>
        </w:rPr>
        <w:t xml:space="preserve">Antibiotikumok alkalmazásával összefüggő hasmenés (antibiotic-associated diarrhoea, AAD) és antibiotikumok okozta colitis (antibiotic-associated colitis, AAC) – ideértve a pseudomembranosus colitist és a </w:t>
      </w:r>
      <w:r>
        <w:rPr>
          <w:i/>
          <w:iCs/>
          <w:szCs w:val="22"/>
          <w:lang w:val="hu-HU"/>
        </w:rPr>
        <w:t>Clostridium difficile</w:t>
      </w:r>
      <w:r>
        <w:rPr>
          <w:iCs/>
          <w:szCs w:val="22"/>
          <w:lang w:val="hu-HU"/>
        </w:rPr>
        <w:t xml:space="preserve"> által okozott hasmenést is – előfordulásáról majdnem minden széles spektrumú antibiotikum, így a moxifloxacin esetében is beszámoltak</w:t>
      </w:r>
      <w:r>
        <w:rPr>
          <w:iCs/>
          <w:szCs w:val="22"/>
          <w:lang w:val="en-US"/>
        </w:rPr>
        <w:t>;</w:t>
      </w:r>
      <w:r>
        <w:rPr>
          <w:iCs/>
          <w:szCs w:val="22"/>
          <w:lang w:val="hu-HU"/>
        </w:rPr>
        <w:t xml:space="preserve"> ezek súlyossága az enyhe hasmenéstől a halálos kimenetelű colitisig változhat. Ezért fontos ezen diagnózis figyelembe vétele azoknál a betegeknél, akiknél moxifloxacin-kezelés alatt vagy az után súlyos hasmenés alakul ki. Amennyiben AAD vagy AAC gyanúja áll fenn, vagy igazolódik, akkor a folyamatban levő, antibakteriális szerekkel (pl. moxifloxacin) végzett kezelést – fel kell függeszteni, és azonnal meg kell kezdeni a megfelelő terápiát. Ezen felül gondoskodni kell a megfelelő járványügyi intézkedésekről a fertőzésátvitel kockázatának csökkentése érdekében. A bélperisztaltikát gátló gyógyszerek alkalmazása súlyos hasmenésben szenvedő betegeknél ellenjavallt.</w:t>
      </w:r>
    </w:p>
    <w:p w14:paraId="5229A268" w14:textId="77777777" w:rsidR="00653D32" w:rsidRDefault="00653D32">
      <w:pPr>
        <w:ind w:left="567" w:hanging="567"/>
        <w:rPr>
          <w:szCs w:val="22"/>
          <w:lang w:val="hu-HU"/>
        </w:rPr>
      </w:pPr>
    </w:p>
    <w:p w14:paraId="22485144" w14:textId="77777777" w:rsidR="00653D32" w:rsidRDefault="00502314">
      <w:pPr>
        <w:rPr>
          <w:u w:val="single"/>
          <w:lang w:val="hu-HU"/>
        </w:rPr>
      </w:pPr>
      <w:r>
        <w:rPr>
          <w:u w:val="single"/>
          <w:lang w:val="hu-HU"/>
        </w:rPr>
        <w:t>Myasthenia gravisban szenvedő betegek</w:t>
      </w:r>
    </w:p>
    <w:p w14:paraId="4B625D3E" w14:textId="77777777" w:rsidR="00653D32" w:rsidRDefault="00502314">
      <w:pPr>
        <w:rPr>
          <w:szCs w:val="22"/>
          <w:lang w:val="hu-HU"/>
        </w:rPr>
      </w:pPr>
      <w:r>
        <w:rPr>
          <w:szCs w:val="22"/>
          <w:lang w:val="hu-HU"/>
        </w:rPr>
        <w:t>A moxifloxacint elővigyázatossággal kell alkalmazni myasthenia gravisban szenvedő betegek esetében, mivel a tünetek exacerbációját okozhatja.</w:t>
      </w:r>
    </w:p>
    <w:p w14:paraId="179FEE90" w14:textId="77777777" w:rsidR="00653D32" w:rsidRDefault="00653D32">
      <w:pPr>
        <w:rPr>
          <w:szCs w:val="22"/>
          <w:lang w:val="hu-HU"/>
        </w:rPr>
      </w:pPr>
    </w:p>
    <w:p w14:paraId="6D8FD863" w14:textId="77777777" w:rsidR="00653D32" w:rsidRDefault="00502314">
      <w:pPr>
        <w:rPr>
          <w:szCs w:val="22"/>
          <w:lang w:val="hu-HU"/>
        </w:rPr>
      </w:pPr>
      <w:r>
        <w:rPr>
          <w:szCs w:val="22"/>
          <w:u w:val="single"/>
          <w:lang w:val="hu-HU"/>
        </w:rPr>
        <w:t>Íngyulladás és ínszakadás</w:t>
      </w:r>
    </w:p>
    <w:p w14:paraId="426D3225" w14:textId="77777777" w:rsidR="00653D32" w:rsidRDefault="00502314">
      <w:pPr>
        <w:rPr>
          <w:szCs w:val="22"/>
          <w:lang w:val="hu-HU"/>
        </w:rPr>
      </w:pPr>
      <w:r>
        <w:rPr>
          <w:szCs w:val="22"/>
          <w:lang w:val="hu-HU"/>
        </w:rPr>
        <w:t>Az íngyulladás és az ínszakadás (különösen – de nem kizárólag – az Achilles</w:t>
      </w:r>
      <w:r>
        <w:rPr>
          <w:szCs w:val="22"/>
          <w:lang w:val="hu-HU"/>
        </w:rPr>
        <w:noBreakHyphen/>
        <w:t xml:space="preserve">íné) már a kinolon vagy fluorokinolonkezelés megkezdését követő 48 órán belül jelentkezhet, néha mindkét oldalon, és a </w:t>
      </w:r>
      <w:r>
        <w:rPr>
          <w:szCs w:val="22"/>
          <w:lang w:val="hu-HU"/>
        </w:rPr>
        <w:lastRenderedPageBreak/>
        <w:t>kezelés abbahagyását követően hónapokkal később is jelentették előfordulását. Az íngyulladás és az ínszakadás kockázata nagyobb idősebb betegeknél,</w:t>
      </w:r>
      <w:r>
        <w:rPr>
          <w:lang w:val="hu-HU"/>
        </w:rPr>
        <w:t xml:space="preserve"> vesekárosodásban szenvedő betegeknél, szervtranszplantáción átesett betegeknél,</w:t>
      </w:r>
      <w:r>
        <w:rPr>
          <w:szCs w:val="22"/>
          <w:lang w:val="hu-HU"/>
        </w:rPr>
        <w:t xml:space="preserve"> illetve egyidejűleg kortikoszteroidokkal kezelt betegek esetében. Kortikoszteroidok egyidejű alkalmazása ezért kerülendő.</w:t>
      </w:r>
    </w:p>
    <w:p w14:paraId="722989BC" w14:textId="77777777" w:rsidR="00653D32" w:rsidRDefault="00502314">
      <w:pPr>
        <w:rPr>
          <w:szCs w:val="22"/>
          <w:lang w:val="hu-HU"/>
        </w:rPr>
      </w:pPr>
      <w:r>
        <w:rPr>
          <w:szCs w:val="22"/>
          <w:lang w:val="hu-HU"/>
        </w:rPr>
        <w:t xml:space="preserve">A moxifloxacin-kezelést a tendinitis első jeleinek (például fájdalmas duzzanat, gyulladás) jelentkezésekor le kell állítani, és más kezelést kell megfontolni. Az érintett </w:t>
      </w:r>
      <w:r>
        <w:rPr>
          <w:bCs/>
          <w:iCs/>
          <w:szCs w:val="22"/>
          <w:lang w:val="hu-HU"/>
        </w:rPr>
        <w:t>végtagot megfelelően kezelni kell (például immobilizáció).</w:t>
      </w:r>
      <w:r>
        <w:rPr>
          <w:szCs w:val="22"/>
          <w:lang w:val="hu-HU"/>
        </w:rPr>
        <w:t xml:space="preserve"> Tendinopathia tüneteinek jelentkezésekor kortikoszteroidok nem alkalmazhatók.</w:t>
      </w:r>
    </w:p>
    <w:p w14:paraId="3E95D866" w14:textId="77777777" w:rsidR="00653D32" w:rsidRDefault="00653D32">
      <w:pPr>
        <w:widowControl w:val="0"/>
        <w:autoSpaceDE w:val="0"/>
        <w:autoSpaceDN w:val="0"/>
        <w:adjustRightInd w:val="0"/>
        <w:ind w:left="540" w:hanging="540"/>
        <w:rPr>
          <w:szCs w:val="22"/>
          <w:lang w:val="hu-HU"/>
        </w:rPr>
      </w:pPr>
    </w:p>
    <w:p w14:paraId="159B9880" w14:textId="77777777" w:rsidR="00653D32" w:rsidRDefault="00502314">
      <w:pPr>
        <w:adjustRightInd w:val="0"/>
        <w:rPr>
          <w:szCs w:val="22"/>
          <w:u w:val="single"/>
          <w:lang w:val="hu-HU"/>
        </w:rPr>
      </w:pPr>
      <w:r>
        <w:rPr>
          <w:szCs w:val="22"/>
          <w:u w:val="single"/>
        </w:rPr>
        <w:t>Aortaaneurysma és -dissectio és szívbillentyűhiba okozta regurgitatio/billentyűelégtelenség</w:t>
      </w:r>
    </w:p>
    <w:p w14:paraId="0D361901" w14:textId="77777777" w:rsidR="00653D32" w:rsidRDefault="00502314">
      <w:pPr>
        <w:adjustRightInd w:val="0"/>
        <w:rPr>
          <w:szCs w:val="22"/>
        </w:rPr>
      </w:pPr>
      <w:r>
        <w:rPr>
          <w:szCs w:val="22"/>
        </w:rPr>
        <w:t>Az epidemiológiai vizsgálatok a fluorokinolonok bevételét követően az aortaaneurysma és aortadissectio, valamint az aorta- és a mitralis billentyű regurgitatiójának fokozott kockázatáról számoltak be, különösen időseknél. Fluorokinolon-kezelésben részesülő betegeknél beszámoltak az aortaaneurysma és -dissectio bekövetkeztéről, amelyek néha rupturával (egyes esetekben halálos kimenetellel) jártak, valamint a szívbillentyűhiba miatti regurgitatióról, illetve billentyűelégtelenségről (lásd 4.8 pont).</w:t>
      </w:r>
    </w:p>
    <w:p w14:paraId="6F69FF2C" w14:textId="77777777" w:rsidR="00653D32" w:rsidRDefault="00653D32">
      <w:pPr>
        <w:adjustRightInd w:val="0"/>
        <w:rPr>
          <w:szCs w:val="22"/>
        </w:rPr>
      </w:pPr>
    </w:p>
    <w:p w14:paraId="506F2395" w14:textId="77777777" w:rsidR="00653D32" w:rsidRDefault="00502314">
      <w:pPr>
        <w:adjustRightInd w:val="0"/>
        <w:rPr>
          <w:szCs w:val="22"/>
        </w:rPr>
      </w:pPr>
      <w:r>
        <w:rPr>
          <w:szCs w:val="22"/>
        </w:rPr>
        <w:t>Ezért a fluorokinolonokat kizárólag gondos előny-kockázat értékelést és más terápiás lehetőségek mérlegelését követően szabad csak alkalmazni, ha a beteg családi anamnézise pozitív az aneurysma vagy veleszületett szívbillentyű-betegség tekintetében, továbbá a már meglévő aortaaneurysmával és/vagy aortadissectióval vagy szívbillentyű-betegséggel diagnosztizált betegeknél, illetve a következőkre hajlamosító egyéb kockázati tényezők vagy betegségek esetén:</w:t>
      </w:r>
    </w:p>
    <w:p w14:paraId="52B4FAD9" w14:textId="77777777" w:rsidR="00653D32" w:rsidRDefault="00502314">
      <w:pPr>
        <w:pStyle w:val="Vgjegyzetszvege"/>
        <w:numPr>
          <w:ilvl w:val="0"/>
          <w:numId w:val="32"/>
        </w:numPr>
        <w:tabs>
          <w:tab w:val="left" w:pos="567"/>
        </w:tabs>
        <w:suppressAutoHyphens w:val="0"/>
        <w:autoSpaceDE w:val="0"/>
        <w:spacing w:line="240" w:lineRule="auto"/>
        <w:ind w:left="567" w:hanging="567"/>
        <w:rPr>
          <w:szCs w:val="22"/>
        </w:rPr>
      </w:pPr>
      <w:r>
        <w:rPr>
          <w:szCs w:val="22"/>
        </w:rPr>
        <w:t>mind aortaaneurysma, mind -dissectio és szívbillentyűhiba miatti regurgitatio/billentyűelégtelenség (pl.: kötőszöveti rendellenességek, mint Marfan-szindróma vagy Ehlers–Danlos-szindróma, Turner-szindróma, Behcet-kór, hypertonia, rheumatoid arthritis) vagy emellett</w:t>
      </w:r>
    </w:p>
    <w:p w14:paraId="04082A02" w14:textId="77777777" w:rsidR="00653D32" w:rsidRDefault="00502314">
      <w:pPr>
        <w:pStyle w:val="Vgjegyzetszvege"/>
        <w:numPr>
          <w:ilvl w:val="0"/>
          <w:numId w:val="32"/>
        </w:numPr>
        <w:tabs>
          <w:tab w:val="left" w:pos="567"/>
        </w:tabs>
        <w:suppressAutoHyphens w:val="0"/>
        <w:autoSpaceDE w:val="0"/>
        <w:spacing w:line="240" w:lineRule="auto"/>
        <w:ind w:left="567" w:hanging="567"/>
        <w:rPr>
          <w:szCs w:val="22"/>
        </w:rPr>
      </w:pPr>
      <w:r>
        <w:rPr>
          <w:szCs w:val="22"/>
        </w:rPr>
        <w:t>aortaaneurysma és -dissectio (pl.: vascularis rendellenességek, mint Takayasu-artheritis, óriássejtes artheritis, vagy ismert atherosclerosis, vagy Sjögren-szindróma) vagy emellett</w:t>
      </w:r>
    </w:p>
    <w:p w14:paraId="484033AB" w14:textId="77777777" w:rsidR="00653D32" w:rsidRDefault="00502314">
      <w:pPr>
        <w:pStyle w:val="Vgjegyzetszvege"/>
        <w:numPr>
          <w:ilvl w:val="0"/>
          <w:numId w:val="32"/>
        </w:numPr>
        <w:tabs>
          <w:tab w:val="left" w:pos="567"/>
        </w:tabs>
        <w:suppressAutoHyphens w:val="0"/>
        <w:autoSpaceDE w:val="0"/>
        <w:spacing w:line="240" w:lineRule="auto"/>
        <w:ind w:left="567" w:hanging="567"/>
        <w:rPr>
          <w:szCs w:val="22"/>
        </w:rPr>
      </w:pPr>
      <w:r>
        <w:rPr>
          <w:szCs w:val="22"/>
        </w:rPr>
        <w:t>szívbillentyűhiba miatti regurgitatio/billentyűelégtelenség (pl.: infektív endocarditis).</w:t>
      </w:r>
    </w:p>
    <w:p w14:paraId="620AEFA6" w14:textId="77777777" w:rsidR="00653D32" w:rsidRDefault="00653D32">
      <w:pPr>
        <w:pStyle w:val="Vgjegyzetszvege"/>
        <w:tabs>
          <w:tab w:val="left" w:pos="567"/>
        </w:tabs>
        <w:spacing w:line="240" w:lineRule="auto"/>
        <w:rPr>
          <w:szCs w:val="22"/>
        </w:rPr>
      </w:pPr>
    </w:p>
    <w:p w14:paraId="5898ACEA" w14:textId="77777777" w:rsidR="00653D32" w:rsidRDefault="00502314">
      <w:pPr>
        <w:adjustRightInd w:val="0"/>
        <w:rPr>
          <w:szCs w:val="22"/>
        </w:rPr>
      </w:pPr>
      <w:r>
        <w:rPr>
          <w:szCs w:val="22"/>
        </w:rPr>
        <w:t>Az aortaaneurysma és -dissectio és a billentyűk rupturájának kockázata fokozódhat az egyidejűleg szisztémás kortikoszteroidokkal kezelt betegeknél is.</w:t>
      </w:r>
    </w:p>
    <w:p w14:paraId="742E5F47" w14:textId="77777777" w:rsidR="00653D32" w:rsidRDefault="00653D32">
      <w:pPr>
        <w:adjustRightInd w:val="0"/>
        <w:rPr>
          <w:szCs w:val="22"/>
        </w:rPr>
      </w:pPr>
    </w:p>
    <w:p w14:paraId="320A1191" w14:textId="77777777" w:rsidR="00653D32" w:rsidRDefault="00502314">
      <w:pPr>
        <w:adjustRightInd w:val="0"/>
        <w:rPr>
          <w:szCs w:val="22"/>
        </w:rPr>
      </w:pPr>
      <w:r>
        <w:rPr>
          <w:szCs w:val="22"/>
        </w:rPr>
        <w:t>Hirtelen hasi, mellkasi vagy hátfájdalom esetén a betegeknek azt kell tanácsolni, hogy azonnal forduljanak egy sürgősségi osztályon dolgozó orvoshoz.</w:t>
      </w:r>
    </w:p>
    <w:p w14:paraId="4750BB5F" w14:textId="77777777" w:rsidR="00653D32" w:rsidRDefault="00653D32">
      <w:pPr>
        <w:adjustRightInd w:val="0"/>
        <w:rPr>
          <w:szCs w:val="22"/>
        </w:rPr>
      </w:pPr>
    </w:p>
    <w:p w14:paraId="7F31013A" w14:textId="77777777" w:rsidR="00653D32" w:rsidRDefault="00502314">
      <w:pPr>
        <w:widowControl w:val="0"/>
        <w:autoSpaceDE w:val="0"/>
        <w:autoSpaceDN w:val="0"/>
        <w:adjustRightInd w:val="0"/>
        <w:rPr>
          <w:szCs w:val="22"/>
        </w:rPr>
      </w:pPr>
      <w:r>
        <w:rPr>
          <w:szCs w:val="22"/>
        </w:rPr>
        <w:t>A betegeket figyelmeztetni kell arra, hogy akut dyspnoe, újonnan jelentkező palpitatio, illetve a has vagy az alsó végtagok ödémájának kialakulása esetén haladéktalanul forduljanak orvoshoz.</w:t>
      </w:r>
    </w:p>
    <w:p w14:paraId="1609067C" w14:textId="77777777" w:rsidR="00653D32" w:rsidRDefault="00653D32">
      <w:pPr>
        <w:widowControl w:val="0"/>
        <w:autoSpaceDE w:val="0"/>
        <w:autoSpaceDN w:val="0"/>
        <w:adjustRightInd w:val="0"/>
        <w:ind w:left="540" w:hanging="540"/>
        <w:rPr>
          <w:szCs w:val="22"/>
          <w:lang w:val="hu-HU"/>
        </w:rPr>
      </w:pPr>
    </w:p>
    <w:p w14:paraId="734A72A0" w14:textId="77777777" w:rsidR="00653D32" w:rsidRDefault="00502314">
      <w:pPr>
        <w:rPr>
          <w:szCs w:val="22"/>
          <w:u w:val="single"/>
          <w:lang w:val="hu-HU"/>
        </w:rPr>
      </w:pPr>
      <w:r>
        <w:rPr>
          <w:szCs w:val="22"/>
          <w:u w:val="single"/>
          <w:lang w:val="hu-HU"/>
        </w:rPr>
        <w:t>Károsodott veseműködésű betegek</w:t>
      </w:r>
    </w:p>
    <w:p w14:paraId="0A1C4B15" w14:textId="77777777" w:rsidR="00653D32" w:rsidRDefault="00502314">
      <w:pPr>
        <w:rPr>
          <w:szCs w:val="22"/>
          <w:lang w:val="hu-HU"/>
        </w:rPr>
      </w:pPr>
      <w:r>
        <w:rPr>
          <w:szCs w:val="22"/>
          <w:lang w:val="hu-HU"/>
        </w:rPr>
        <w:t xml:space="preserve">Vesekárosodásban szenvedő idős betegeknél, ha nem képesek megfelelő mennyiségű </w:t>
      </w:r>
      <w:r>
        <w:rPr>
          <w:lang w:val="hu-HU"/>
        </w:rPr>
        <w:t>folyadékbevitelre</w:t>
      </w:r>
      <w:r>
        <w:rPr>
          <w:szCs w:val="22"/>
          <w:lang w:val="hu-HU"/>
        </w:rPr>
        <w:t xml:space="preserve">, a moxifloxacint körültekintően kell alkalmazni, mivel a dehidráció </w:t>
      </w:r>
      <w:r>
        <w:rPr>
          <w:lang w:val="hu-HU"/>
        </w:rPr>
        <w:t xml:space="preserve">fokozhatja </w:t>
      </w:r>
      <w:r>
        <w:rPr>
          <w:szCs w:val="22"/>
          <w:lang w:val="hu-HU"/>
        </w:rPr>
        <w:t>a veseelégtelenség kockázatát.</w:t>
      </w:r>
    </w:p>
    <w:p w14:paraId="7A7907EB" w14:textId="77777777" w:rsidR="00653D32" w:rsidRDefault="00653D32">
      <w:pPr>
        <w:rPr>
          <w:szCs w:val="22"/>
          <w:lang w:val="hu-HU"/>
        </w:rPr>
      </w:pPr>
    </w:p>
    <w:p w14:paraId="1031B16B" w14:textId="77777777" w:rsidR="00653D32" w:rsidRDefault="00502314">
      <w:pPr>
        <w:rPr>
          <w:szCs w:val="22"/>
          <w:u w:val="single"/>
          <w:lang w:val="hu-HU"/>
        </w:rPr>
      </w:pPr>
      <w:r>
        <w:rPr>
          <w:szCs w:val="22"/>
          <w:u w:val="single"/>
          <w:lang w:val="hu-HU"/>
        </w:rPr>
        <w:t>Látászavarok</w:t>
      </w:r>
    </w:p>
    <w:p w14:paraId="5D7010D7" w14:textId="77777777" w:rsidR="00653D32" w:rsidRDefault="00502314">
      <w:pPr>
        <w:rPr>
          <w:szCs w:val="22"/>
          <w:lang w:val="hu-HU"/>
        </w:rPr>
      </w:pPr>
      <w:r>
        <w:rPr>
          <w:szCs w:val="22"/>
          <w:lang w:val="hu-HU"/>
        </w:rPr>
        <w:t>Ha</w:t>
      </w:r>
      <w:r>
        <w:rPr>
          <w:szCs w:val="22"/>
          <w:lang w:val="hu-HU" w:eastAsia="hu-HU"/>
        </w:rPr>
        <w:t xml:space="preserve"> látászavar vagy bármilyen szempanasz jelentkezik, azonnal szemész szakorvoshoz kell </w:t>
      </w:r>
      <w:r>
        <w:rPr>
          <w:szCs w:val="22"/>
          <w:lang w:val="hu-HU"/>
        </w:rPr>
        <w:t>fordulni (lásd 4.7 és 4.8 pontot).</w:t>
      </w:r>
    </w:p>
    <w:p w14:paraId="2F42E013" w14:textId="77777777" w:rsidR="00653D32" w:rsidRDefault="00653D32">
      <w:pPr>
        <w:pStyle w:val="Vgjegyzetszvege"/>
        <w:suppressAutoHyphens w:val="0"/>
        <w:spacing w:line="240" w:lineRule="auto"/>
        <w:rPr>
          <w:szCs w:val="22"/>
          <w:lang w:val="hu-HU"/>
        </w:rPr>
      </w:pPr>
    </w:p>
    <w:p w14:paraId="339AF5D2" w14:textId="77777777" w:rsidR="00653D32" w:rsidRDefault="00502314">
      <w:pPr>
        <w:pStyle w:val="Szvegtrzsbehzssal"/>
        <w:widowControl w:val="0"/>
        <w:tabs>
          <w:tab w:val="left" w:pos="567"/>
        </w:tabs>
        <w:spacing w:after="0"/>
        <w:ind w:left="0"/>
        <w:rPr>
          <w:u w:val="single"/>
          <w:lang w:val="hu-HU"/>
        </w:rPr>
      </w:pPr>
      <w:r>
        <w:rPr>
          <w:u w:val="single"/>
          <w:lang w:val="hu-HU"/>
        </w:rPr>
        <w:t>A glükózanyagcsere zavarai</w:t>
      </w:r>
    </w:p>
    <w:p w14:paraId="5AD5469D" w14:textId="77777777" w:rsidR="00653D32" w:rsidRDefault="00502314">
      <w:pPr>
        <w:pStyle w:val="Szvegtrzsbehzssal"/>
        <w:widowControl w:val="0"/>
        <w:tabs>
          <w:tab w:val="left" w:pos="567"/>
        </w:tabs>
        <w:spacing w:after="0"/>
        <w:ind w:left="0"/>
        <w:rPr>
          <w:szCs w:val="22"/>
          <w:lang w:val="hu-HU"/>
        </w:rPr>
      </w:pPr>
      <w:r>
        <w:rPr>
          <w:lang w:val="hu-HU"/>
        </w:rPr>
        <w:t>Mint minden kinolonnál, ennél a hatóanyagnál is jelentettek</w:t>
      </w:r>
      <w:r>
        <w:rPr>
          <w:szCs w:val="22"/>
          <w:lang w:val="hu-HU"/>
        </w:rPr>
        <w:t xml:space="preserve"> vércukorszint-zavarokat, beleértve egyaránt a hypoglykaemiát és a hyperglykaemiát (lásd 4.8 pont). Ez rendszerint olyan diabéteszes betegeknél fordult elő, akik egyidejűleg orális antidiabetikumot (pl. glibenklamid) vagy inzulint kapnak. Beszámoltak hypoglykaemiás kóma esetekről. Diabéteszes betegeknél a vércukorszint gondos monitorozása ajánlott.</w:t>
      </w:r>
    </w:p>
    <w:p w14:paraId="4302E042" w14:textId="77777777" w:rsidR="00653D32" w:rsidRDefault="00653D32">
      <w:pPr>
        <w:rPr>
          <w:szCs w:val="22"/>
          <w:lang w:val="hu-HU" w:eastAsia="ar-SA"/>
        </w:rPr>
      </w:pPr>
    </w:p>
    <w:p w14:paraId="60621B0B" w14:textId="77777777" w:rsidR="00653D32" w:rsidRDefault="00502314">
      <w:pPr>
        <w:pStyle w:val="Szvegtrzsbehzssal"/>
        <w:widowControl w:val="0"/>
        <w:autoSpaceDE w:val="0"/>
        <w:autoSpaceDN w:val="0"/>
        <w:adjustRightInd w:val="0"/>
        <w:spacing w:after="0"/>
        <w:ind w:left="0"/>
        <w:rPr>
          <w:szCs w:val="22"/>
          <w:u w:val="single"/>
          <w:lang w:val="hu-HU"/>
        </w:rPr>
      </w:pPr>
      <w:r>
        <w:rPr>
          <w:szCs w:val="22"/>
          <w:u w:val="single"/>
          <w:lang w:val="hu-HU"/>
        </w:rPr>
        <w:t>Fényérzékenységi</w:t>
      </w:r>
      <w:r>
        <w:rPr>
          <w:rStyle w:val="Jegyzethivatkozs"/>
          <w:sz w:val="22"/>
          <w:szCs w:val="22"/>
          <w:u w:val="single"/>
          <w:lang w:val="hu-HU"/>
        </w:rPr>
        <w:t xml:space="preserve"> reakciók megelőzése</w:t>
      </w:r>
    </w:p>
    <w:p w14:paraId="2EB45162" w14:textId="77777777" w:rsidR="00653D32" w:rsidRDefault="00502314">
      <w:pPr>
        <w:rPr>
          <w:szCs w:val="22"/>
          <w:lang w:val="hu-HU"/>
        </w:rPr>
      </w:pPr>
      <w:r>
        <w:rPr>
          <w:szCs w:val="22"/>
          <w:lang w:val="hu-HU"/>
        </w:rPr>
        <w:lastRenderedPageBreak/>
        <w:t>A kinolonokról kimutatták, hogy fényérzékenységi</w:t>
      </w:r>
      <w:r>
        <w:rPr>
          <w:rStyle w:val="Jegyzethivatkozs"/>
          <w:sz w:val="22"/>
          <w:szCs w:val="22"/>
          <w:lang w:val="hu-HU"/>
        </w:rPr>
        <w:t xml:space="preserve"> reakciót okoznak a betegeknél.</w:t>
      </w:r>
      <w:r>
        <w:rPr>
          <w:szCs w:val="22"/>
          <w:lang w:val="hu-HU"/>
        </w:rPr>
        <w:t xml:space="preserve"> A vizsgálatok azonban azt mutatták, hogy a moxifloxacin alkalmazásakor kisebb a fényérzékenység kiváltásának kockázata. Mindazonáltal azt kell tanácsolni a betegeknek, hogy a moxifloxacin-kezelés alatt kerüljék az UV-sugárzást, a hosszan tartó napozást és/vagy az erős napfényt </w:t>
      </w:r>
      <w:r>
        <w:rPr>
          <w:lang w:val="hu-HU"/>
        </w:rPr>
        <w:t>(lásd 4.8 pont)</w:t>
      </w:r>
      <w:r>
        <w:rPr>
          <w:szCs w:val="22"/>
          <w:lang w:val="hu-HU"/>
        </w:rPr>
        <w:t>.</w:t>
      </w:r>
    </w:p>
    <w:p w14:paraId="56A2F504" w14:textId="77777777" w:rsidR="00653D32" w:rsidRDefault="00653D32">
      <w:pPr>
        <w:rPr>
          <w:szCs w:val="22"/>
          <w:lang w:val="hu-HU" w:eastAsia="ar-SA"/>
        </w:rPr>
      </w:pPr>
    </w:p>
    <w:p w14:paraId="449E812E" w14:textId="77777777" w:rsidR="00653D32" w:rsidRDefault="00502314">
      <w:pPr>
        <w:rPr>
          <w:u w:val="single"/>
          <w:lang w:val="hu-HU"/>
        </w:rPr>
      </w:pPr>
      <w:r>
        <w:rPr>
          <w:u w:val="single"/>
          <w:lang w:val="hu-HU"/>
        </w:rPr>
        <w:t>Glükóz</w:t>
      </w:r>
      <w:r>
        <w:rPr>
          <w:u w:val="single"/>
          <w:lang w:val="hu-HU"/>
        </w:rPr>
        <w:noBreakHyphen/>
        <w:t>6</w:t>
      </w:r>
      <w:r>
        <w:rPr>
          <w:u w:val="single"/>
          <w:lang w:val="hu-HU"/>
        </w:rPr>
        <w:noBreakHyphen/>
        <w:t>foszfát</w:t>
      </w:r>
      <w:r>
        <w:rPr>
          <w:u w:val="single"/>
          <w:lang w:val="hu-HU"/>
        </w:rPr>
        <w:noBreakHyphen/>
        <w:t>dehidrogenáz-hiányban szenvedő betegek</w:t>
      </w:r>
    </w:p>
    <w:p w14:paraId="0FCE9CAD" w14:textId="77777777" w:rsidR="00653D32" w:rsidRDefault="00502314">
      <w:pPr>
        <w:rPr>
          <w:szCs w:val="22"/>
          <w:lang w:val="hu-HU"/>
        </w:rPr>
      </w:pPr>
      <w:r>
        <w:rPr>
          <w:szCs w:val="22"/>
          <w:lang w:val="hu-HU"/>
        </w:rPr>
        <w:t>Azoknak a betegeknek, akiknek a családi anamnézisében glükóz-6-foszfát-dehidrogenáz-hiány fordul elő, vagy ők maguk szenvednek ebben az állapotban, a kinolonkezelés során fokozott a hajlamuk hemolitikus reakciókra. Ezeknél a betegeknél a moxifloxacint kellő óvatossággal kell alkalmazni.</w:t>
      </w:r>
    </w:p>
    <w:p w14:paraId="045D5FF5" w14:textId="77777777" w:rsidR="00653D32" w:rsidRDefault="00653D32">
      <w:pPr>
        <w:rPr>
          <w:szCs w:val="22"/>
          <w:lang w:val="hu-HU"/>
        </w:rPr>
      </w:pPr>
    </w:p>
    <w:p w14:paraId="0D36FBF2" w14:textId="77777777" w:rsidR="00653D32" w:rsidRDefault="00502314">
      <w:pPr>
        <w:rPr>
          <w:szCs w:val="22"/>
          <w:u w:val="single"/>
          <w:lang w:val="hu-HU"/>
        </w:rPr>
      </w:pPr>
      <w:r>
        <w:rPr>
          <w:szCs w:val="22"/>
          <w:u w:val="single"/>
          <w:lang w:val="hu-HU"/>
        </w:rPr>
        <w:t>A periarteriális szövet gyulladása</w:t>
      </w:r>
    </w:p>
    <w:p w14:paraId="116C2066" w14:textId="77777777" w:rsidR="00653D32" w:rsidRDefault="00502314">
      <w:pPr>
        <w:rPr>
          <w:szCs w:val="22"/>
          <w:lang w:val="hu-HU"/>
        </w:rPr>
      </w:pPr>
      <w:r>
        <w:rPr>
          <w:szCs w:val="22"/>
          <w:lang w:val="hu-HU"/>
        </w:rPr>
        <w:t>A moxifloxacin oldatos infúzió csak intravénásan alkalmazható. Az intraarteriális alkalmazás kerülendő, mivel a klinikai vizsgálatok szerint ezt követően a periarteriális szövet gyulladása alakul ki.</w:t>
      </w:r>
    </w:p>
    <w:p w14:paraId="7C23A658" w14:textId="77777777" w:rsidR="00653D32" w:rsidRDefault="00653D32">
      <w:pPr>
        <w:rPr>
          <w:szCs w:val="22"/>
          <w:lang w:val="hu-HU"/>
        </w:rPr>
      </w:pPr>
    </w:p>
    <w:p w14:paraId="7EB16E22" w14:textId="77777777" w:rsidR="00653D32" w:rsidRDefault="00502314">
      <w:pPr>
        <w:rPr>
          <w:szCs w:val="22"/>
          <w:u w:val="single"/>
          <w:lang w:val="hu-HU"/>
        </w:rPr>
      </w:pPr>
      <w:r>
        <w:rPr>
          <w:szCs w:val="22"/>
          <w:u w:val="single"/>
          <w:lang w:val="hu-HU"/>
        </w:rPr>
        <w:t>Szövődményes bőr- és lágyrészfertőzések</w:t>
      </w:r>
    </w:p>
    <w:p w14:paraId="77DB0B67" w14:textId="77777777" w:rsidR="00653D32" w:rsidRDefault="00502314">
      <w:pPr>
        <w:rPr>
          <w:szCs w:val="22"/>
          <w:lang w:val="hu-HU"/>
        </w:rPr>
      </w:pPr>
      <w:r>
        <w:rPr>
          <w:szCs w:val="22"/>
          <w:lang w:val="hu-HU"/>
        </w:rPr>
        <w:t>A moxifloxacin klinikai hatásossága súlyosan fertőzött égési sérülések, fasciitis, és a „diabéteszes láb” osteomyelitisszel járó fertőzéseiben nem bizonyított.</w:t>
      </w:r>
    </w:p>
    <w:p w14:paraId="295174C4" w14:textId="77777777" w:rsidR="00653D32" w:rsidRDefault="00653D32">
      <w:pPr>
        <w:rPr>
          <w:szCs w:val="22"/>
          <w:lang w:val="hu-HU"/>
        </w:rPr>
      </w:pPr>
    </w:p>
    <w:p w14:paraId="34F950E8" w14:textId="77777777" w:rsidR="00653D32" w:rsidRDefault="00502314">
      <w:pPr>
        <w:rPr>
          <w:szCs w:val="22"/>
          <w:u w:val="single"/>
          <w:lang w:val="hu-HU"/>
        </w:rPr>
      </w:pPr>
      <w:r>
        <w:rPr>
          <w:szCs w:val="22"/>
          <w:u w:val="single"/>
          <w:lang w:val="hu-HU"/>
        </w:rPr>
        <w:t>Interferencia biológiai tesztekkel</w:t>
      </w:r>
    </w:p>
    <w:p w14:paraId="5BA1959E" w14:textId="77777777" w:rsidR="00653D32" w:rsidRDefault="00502314">
      <w:pPr>
        <w:rPr>
          <w:szCs w:val="22"/>
          <w:lang w:val="hu-HU"/>
        </w:rPr>
      </w:pPr>
      <w:r>
        <w:rPr>
          <w:szCs w:val="22"/>
          <w:lang w:val="hu-HU"/>
        </w:rPr>
        <w:t>A moxifloxacin-kezelés befolyásolhatja a Mycobacterium</w:t>
      </w:r>
      <w:r>
        <w:rPr>
          <w:i/>
          <w:szCs w:val="22"/>
          <w:lang w:val="hu-HU"/>
        </w:rPr>
        <w:t xml:space="preserve"> </w:t>
      </w:r>
      <w:r>
        <w:rPr>
          <w:szCs w:val="22"/>
          <w:lang w:val="hu-HU"/>
        </w:rPr>
        <w:t>spp. tenyésztéses vizsgálati eredményét, mivel gátolja a mycobacteriumok növekedését, és ez álnegatív eredményt okoz moxifloxacin-kezelés alatt álló betegektől vett minták esetében.</w:t>
      </w:r>
    </w:p>
    <w:p w14:paraId="60F5B739" w14:textId="77777777" w:rsidR="00653D32" w:rsidRDefault="00653D32">
      <w:pPr>
        <w:rPr>
          <w:szCs w:val="22"/>
          <w:lang w:val="hu-HU"/>
        </w:rPr>
      </w:pPr>
    </w:p>
    <w:p w14:paraId="4D82E3F7" w14:textId="77777777" w:rsidR="00653D32" w:rsidRDefault="00502314">
      <w:pPr>
        <w:rPr>
          <w:szCs w:val="22"/>
          <w:u w:val="single"/>
          <w:lang w:val="hu-HU"/>
        </w:rPr>
      </w:pPr>
      <w:r>
        <w:rPr>
          <w:szCs w:val="22"/>
          <w:u w:val="single"/>
          <w:lang w:val="hu-HU"/>
        </w:rPr>
        <w:t>MRSA-fertőzések</w:t>
      </w:r>
    </w:p>
    <w:p w14:paraId="317067E7" w14:textId="77777777" w:rsidR="00653D32" w:rsidRDefault="00502314">
      <w:pPr>
        <w:rPr>
          <w:szCs w:val="22"/>
          <w:lang w:val="hu-HU"/>
        </w:rPr>
      </w:pPr>
      <w:r>
        <w:rPr>
          <w:szCs w:val="22"/>
          <w:lang w:val="hu-HU"/>
        </w:rPr>
        <w:t xml:space="preserve">A moxifloxacin nem ajánlott meticillin-rezisztens </w:t>
      </w:r>
      <w:r>
        <w:rPr>
          <w:i/>
          <w:szCs w:val="22"/>
          <w:lang w:val="hu-HU"/>
        </w:rPr>
        <w:t>Staphylococcus aureus</w:t>
      </w:r>
      <w:r>
        <w:rPr>
          <w:szCs w:val="22"/>
          <w:lang w:val="hu-HU"/>
        </w:rPr>
        <w:t xml:space="preserve"> (MRSA) fertőzések kezelésére. Feltételezett vagy igazolt MRSA fertőzés esetén </w:t>
      </w:r>
      <w:r>
        <w:rPr>
          <w:lang w:val="hu-HU"/>
        </w:rPr>
        <w:t xml:space="preserve">a kezelést </w:t>
      </w:r>
      <w:r>
        <w:rPr>
          <w:szCs w:val="22"/>
          <w:lang w:val="hu-HU"/>
        </w:rPr>
        <w:t xml:space="preserve">megfelelő antibakteriális </w:t>
      </w:r>
      <w:r>
        <w:rPr>
          <w:lang w:val="hu-HU"/>
        </w:rPr>
        <w:t xml:space="preserve">hatóanyaggal </w:t>
      </w:r>
      <w:r>
        <w:rPr>
          <w:szCs w:val="22"/>
          <w:lang w:val="hu-HU"/>
        </w:rPr>
        <w:t>kell megkezdeni (lásd 5.1 pont).</w:t>
      </w:r>
    </w:p>
    <w:p w14:paraId="404ED558" w14:textId="77777777" w:rsidR="00653D32" w:rsidRDefault="00653D32">
      <w:pPr>
        <w:rPr>
          <w:szCs w:val="22"/>
          <w:lang w:val="hu-HU"/>
        </w:rPr>
      </w:pPr>
    </w:p>
    <w:p w14:paraId="2B5B754D" w14:textId="77777777" w:rsidR="00653D32" w:rsidRDefault="00502314">
      <w:pPr>
        <w:widowControl w:val="0"/>
        <w:autoSpaceDE w:val="0"/>
        <w:autoSpaceDN w:val="0"/>
        <w:adjustRightInd w:val="0"/>
        <w:rPr>
          <w:szCs w:val="22"/>
          <w:u w:val="single"/>
          <w:lang w:val="hu-HU"/>
        </w:rPr>
      </w:pPr>
      <w:r>
        <w:rPr>
          <w:bCs/>
          <w:szCs w:val="22"/>
          <w:u w:val="single"/>
          <w:lang w:val="hu-HU"/>
        </w:rPr>
        <w:t>Gyermekek</w:t>
      </w:r>
      <w:r>
        <w:rPr>
          <w:bCs/>
          <w:u w:val="single"/>
          <w:lang w:val="hu-HU"/>
        </w:rPr>
        <w:t xml:space="preserve"> és serdülők</w:t>
      </w:r>
    </w:p>
    <w:p w14:paraId="6EAFC6C3" w14:textId="77777777" w:rsidR="00653D32" w:rsidRDefault="00502314">
      <w:pPr>
        <w:rPr>
          <w:szCs w:val="22"/>
          <w:lang w:val="hu-HU"/>
        </w:rPr>
      </w:pPr>
      <w:r>
        <w:rPr>
          <w:bCs/>
          <w:szCs w:val="22"/>
          <w:lang w:val="hu-HU"/>
        </w:rPr>
        <w:t xml:space="preserve">A fiatal állatok porcaira kifejtett mellékhatások miatt (lásd 5.3 pont), </w:t>
      </w:r>
      <w:r>
        <w:rPr>
          <w:szCs w:val="22"/>
          <w:lang w:val="hu-HU"/>
        </w:rPr>
        <w:t>a moxifloxacin alkalmazása ellenjavallt 18 éven aluli gyermekek és serdülők esetében (lásd 4.3 pont).</w:t>
      </w:r>
    </w:p>
    <w:p w14:paraId="68692518" w14:textId="77777777" w:rsidR="00653D32" w:rsidRDefault="00653D32">
      <w:pPr>
        <w:rPr>
          <w:szCs w:val="22"/>
          <w:lang w:val="hu-HU"/>
        </w:rPr>
      </w:pPr>
    </w:p>
    <w:p w14:paraId="24C0E61B" w14:textId="77777777" w:rsidR="00653D32" w:rsidRDefault="00502314">
      <w:pPr>
        <w:rPr>
          <w:szCs w:val="22"/>
          <w:u w:val="single"/>
          <w:lang w:val="hu-HU"/>
        </w:rPr>
      </w:pPr>
      <w:r>
        <w:rPr>
          <w:szCs w:val="22"/>
          <w:u w:val="single"/>
          <w:lang w:val="hu-HU"/>
        </w:rPr>
        <w:t>A Moxibiot infúzió nátriumot tartalmaz</w:t>
      </w:r>
    </w:p>
    <w:p w14:paraId="1748723A" w14:textId="77777777" w:rsidR="00653D32" w:rsidRDefault="00502314">
      <w:pPr>
        <w:rPr>
          <w:lang w:val="it-IT"/>
        </w:rPr>
      </w:pPr>
      <w:r>
        <w:rPr>
          <w:lang w:val="it-IT"/>
        </w:rPr>
        <w:t xml:space="preserve">A készítmény 250 ml infúziós oldata </w:t>
      </w:r>
      <w:r>
        <w:rPr>
          <w:szCs w:val="22"/>
          <w:lang w:val="hu-HU"/>
        </w:rPr>
        <w:t xml:space="preserve">812 mg </w:t>
      </w:r>
      <w:r>
        <w:rPr>
          <w:lang w:val="it-IT"/>
        </w:rPr>
        <w:t>nátriumot tartalmaz, ami megfelel a WHO által ajánlott maximális napi 2 g nátriumbevitel 40,6%-ának felnőtteknél.</w:t>
      </w:r>
    </w:p>
    <w:p w14:paraId="5152DB6F" w14:textId="77777777" w:rsidR="00653D32" w:rsidRDefault="00653D32">
      <w:pPr>
        <w:tabs>
          <w:tab w:val="left" w:pos="567"/>
        </w:tabs>
        <w:rPr>
          <w:szCs w:val="22"/>
          <w:lang w:val="hu-HU"/>
        </w:rPr>
      </w:pPr>
    </w:p>
    <w:p w14:paraId="72B90C49" w14:textId="77777777" w:rsidR="00653D32" w:rsidRDefault="00502314">
      <w:pPr>
        <w:tabs>
          <w:tab w:val="left" w:pos="567"/>
        </w:tabs>
        <w:rPr>
          <w:b/>
          <w:szCs w:val="22"/>
          <w:lang w:val="hu-HU"/>
        </w:rPr>
      </w:pPr>
      <w:r>
        <w:rPr>
          <w:b/>
          <w:szCs w:val="22"/>
          <w:lang w:val="hu-HU"/>
        </w:rPr>
        <w:t>4.5</w:t>
      </w:r>
      <w:r>
        <w:rPr>
          <w:b/>
          <w:szCs w:val="22"/>
          <w:lang w:val="hu-HU"/>
        </w:rPr>
        <w:tab/>
        <w:t>Gyógyszerkölcsönhatások és egyéb interakciók</w:t>
      </w:r>
    </w:p>
    <w:p w14:paraId="401939FD" w14:textId="77777777" w:rsidR="00653D32" w:rsidRDefault="00653D32">
      <w:pPr>
        <w:tabs>
          <w:tab w:val="left" w:pos="567"/>
        </w:tabs>
        <w:rPr>
          <w:szCs w:val="22"/>
          <w:u w:val="single"/>
          <w:lang w:val="hu-HU"/>
        </w:rPr>
      </w:pPr>
    </w:p>
    <w:p w14:paraId="22D2874A" w14:textId="77777777" w:rsidR="00653D32" w:rsidRDefault="00502314">
      <w:pPr>
        <w:rPr>
          <w:rFonts w:eastAsia="Times New Roman"/>
          <w:szCs w:val="22"/>
          <w:u w:val="single"/>
          <w:lang w:val="hu-HU"/>
        </w:rPr>
      </w:pPr>
      <w:r>
        <w:rPr>
          <w:rFonts w:eastAsia="Times New Roman"/>
          <w:szCs w:val="22"/>
          <w:u w:val="single"/>
          <w:lang w:val="hu-HU"/>
        </w:rPr>
        <w:t>Gyógyszerkölcsönhatások</w:t>
      </w:r>
    </w:p>
    <w:p w14:paraId="019CD656" w14:textId="77777777" w:rsidR="00653D32" w:rsidRDefault="00502314">
      <w:pPr>
        <w:rPr>
          <w:szCs w:val="22"/>
          <w:lang w:val="hu-HU"/>
        </w:rPr>
      </w:pPr>
      <w:r>
        <w:rPr>
          <w:szCs w:val="22"/>
          <w:lang w:val="hu-HU"/>
        </w:rPr>
        <w:t>Nem zárható ki, hogy a moxifloxacinnak és más gyógyszereknek additív hatása van a QT</w:t>
      </w:r>
      <w:r>
        <w:rPr>
          <w:szCs w:val="22"/>
          <w:lang w:val="hu-HU"/>
        </w:rPr>
        <w:noBreakHyphen/>
        <w:t>szakasz megnyúlásra, amelynek következtében a QTc</w:t>
      </w:r>
      <w:r>
        <w:rPr>
          <w:szCs w:val="22"/>
          <w:lang w:val="hu-HU"/>
        </w:rPr>
        <w:noBreakHyphen/>
        <w:t>szakasz megnyúlhat. Ez a hatás a kamrai arrhythmiák – beleértve a torsade de pointes</w:t>
      </w:r>
      <w:r>
        <w:rPr>
          <w:szCs w:val="22"/>
          <w:lang w:val="hu-HU"/>
        </w:rPr>
        <w:noBreakHyphen/>
        <w:t>t is – fokozott kockázatához vezethet. Éppen ezért a moxifloxacin együttadása ellenjavallt az alábbi gyógyszerekkel (lásd 4.3 pont):</w:t>
      </w:r>
    </w:p>
    <w:p w14:paraId="78D75A69" w14:textId="77777777" w:rsidR="00653D32" w:rsidRDefault="00502314">
      <w:pPr>
        <w:numPr>
          <w:ilvl w:val="0"/>
          <w:numId w:val="19"/>
        </w:numPr>
        <w:ind w:left="567" w:hanging="567"/>
        <w:rPr>
          <w:szCs w:val="22"/>
          <w:lang w:val="hu-HU"/>
        </w:rPr>
      </w:pPr>
      <w:r>
        <w:rPr>
          <w:szCs w:val="22"/>
          <w:lang w:val="hu-HU"/>
        </w:rPr>
        <w:t>IA osztályba tartozó antiaritmiás szerek (pl. kinidin, hidrokinidin, dizopiramid)</w:t>
      </w:r>
    </w:p>
    <w:p w14:paraId="78B45EAF" w14:textId="77777777" w:rsidR="00653D32" w:rsidRDefault="00502314">
      <w:pPr>
        <w:numPr>
          <w:ilvl w:val="0"/>
          <w:numId w:val="19"/>
        </w:numPr>
        <w:ind w:left="567" w:hanging="567"/>
        <w:rPr>
          <w:szCs w:val="22"/>
          <w:lang w:val="hu-HU"/>
        </w:rPr>
      </w:pPr>
      <w:r>
        <w:rPr>
          <w:szCs w:val="22"/>
          <w:lang w:val="hu-HU"/>
        </w:rPr>
        <w:t>III. osztályba tartozó antiaritmiás szerek (pl. amiodaron, szotalol, dofetilid, ibutilid)</w:t>
      </w:r>
    </w:p>
    <w:p w14:paraId="3AA16493" w14:textId="77777777" w:rsidR="00653D32" w:rsidRDefault="00502314">
      <w:pPr>
        <w:numPr>
          <w:ilvl w:val="0"/>
          <w:numId w:val="19"/>
        </w:numPr>
        <w:ind w:left="567" w:hanging="567"/>
        <w:rPr>
          <w:szCs w:val="22"/>
          <w:lang w:val="hu-HU"/>
        </w:rPr>
      </w:pPr>
      <w:r>
        <w:rPr>
          <w:szCs w:val="22"/>
          <w:lang w:val="hu-HU"/>
        </w:rPr>
        <w:t>antipszichotikumok (pl. fenotiazinok, pimozid, szertindol, haloperidol, szultoprid)</w:t>
      </w:r>
    </w:p>
    <w:p w14:paraId="5C9C1EC3" w14:textId="77777777" w:rsidR="00653D32" w:rsidRDefault="00502314">
      <w:pPr>
        <w:numPr>
          <w:ilvl w:val="0"/>
          <w:numId w:val="19"/>
        </w:numPr>
        <w:ind w:left="567" w:hanging="567"/>
        <w:rPr>
          <w:szCs w:val="22"/>
          <w:lang w:val="hu-HU"/>
        </w:rPr>
      </w:pPr>
      <w:r>
        <w:rPr>
          <w:szCs w:val="22"/>
          <w:lang w:val="hu-HU"/>
        </w:rPr>
        <w:t>triciklusos antidepresszánsok</w:t>
      </w:r>
    </w:p>
    <w:p w14:paraId="6C5503FE" w14:textId="77777777" w:rsidR="00653D32" w:rsidRDefault="00502314">
      <w:pPr>
        <w:numPr>
          <w:ilvl w:val="0"/>
          <w:numId w:val="19"/>
        </w:numPr>
        <w:ind w:left="567" w:hanging="567"/>
        <w:rPr>
          <w:szCs w:val="22"/>
          <w:lang w:val="hu-HU"/>
        </w:rPr>
      </w:pPr>
      <w:r>
        <w:rPr>
          <w:szCs w:val="22"/>
          <w:lang w:val="hu-HU"/>
        </w:rPr>
        <w:t>bizonyos antimikrobás szerek (pl. szakvinavir, sparfloxacin, intravénás eritromicin, pentamidin, antimaláriás szerek, különösen a halofantrin)</w:t>
      </w:r>
    </w:p>
    <w:p w14:paraId="1487095C" w14:textId="77777777" w:rsidR="00653D32" w:rsidRDefault="00502314">
      <w:pPr>
        <w:numPr>
          <w:ilvl w:val="0"/>
          <w:numId w:val="19"/>
        </w:numPr>
        <w:ind w:left="567" w:hanging="567"/>
        <w:rPr>
          <w:szCs w:val="22"/>
          <w:lang w:val="hu-HU"/>
        </w:rPr>
      </w:pPr>
      <w:r>
        <w:rPr>
          <w:szCs w:val="22"/>
          <w:lang w:val="hu-HU"/>
        </w:rPr>
        <w:t>egyes antihisztaminok (terfenadin, asztemizol, mizolasztin)</w:t>
      </w:r>
    </w:p>
    <w:p w14:paraId="1B7EB90F" w14:textId="77777777" w:rsidR="00653D32" w:rsidRDefault="00502314">
      <w:pPr>
        <w:numPr>
          <w:ilvl w:val="0"/>
          <w:numId w:val="19"/>
        </w:numPr>
        <w:ind w:left="567" w:hanging="567"/>
        <w:rPr>
          <w:szCs w:val="22"/>
          <w:lang w:val="hu-HU"/>
        </w:rPr>
      </w:pPr>
      <w:r>
        <w:rPr>
          <w:szCs w:val="22"/>
          <w:lang w:val="hu-HU"/>
        </w:rPr>
        <w:t>egyéb gyógyszerek (ciszaprid, intravénás vinkamin, bepridil, difemanil).</w:t>
      </w:r>
    </w:p>
    <w:p w14:paraId="678E357C" w14:textId="77777777" w:rsidR="00653D32" w:rsidRDefault="00653D32">
      <w:pPr>
        <w:tabs>
          <w:tab w:val="left" w:pos="567"/>
        </w:tabs>
        <w:rPr>
          <w:szCs w:val="22"/>
          <w:lang w:val="hu-HU"/>
        </w:rPr>
      </w:pPr>
    </w:p>
    <w:p w14:paraId="55A6C95C" w14:textId="77777777" w:rsidR="00653D32" w:rsidRDefault="00502314">
      <w:pPr>
        <w:rPr>
          <w:szCs w:val="22"/>
          <w:lang w:val="hu-HU"/>
        </w:rPr>
      </w:pPr>
      <w:r>
        <w:rPr>
          <w:szCs w:val="22"/>
          <w:lang w:val="hu-HU"/>
        </w:rPr>
        <w:t>A moxifloxacint kellő óvatossággal kell alkalmazni olyan betegeknél, akik olyan gyógyszert szednek, amely csökkentheti a káliumszintet (pl. kacs- vagy tiazid diuretikumok, laxatívumok és nagy dózisú beöntések, kortikoszteroidok, amfotericin B) vagy klinikailag jelentős bradycardiával hozhatók összefüggésbe.</w:t>
      </w:r>
    </w:p>
    <w:p w14:paraId="7A87BD2A" w14:textId="77777777" w:rsidR="00653D32" w:rsidRDefault="00653D32">
      <w:pPr>
        <w:tabs>
          <w:tab w:val="left" w:pos="567"/>
        </w:tabs>
        <w:rPr>
          <w:szCs w:val="22"/>
          <w:lang w:val="hu-HU"/>
        </w:rPr>
      </w:pPr>
    </w:p>
    <w:p w14:paraId="4470DFEE" w14:textId="77777777" w:rsidR="00653D32" w:rsidRDefault="00502314">
      <w:pPr>
        <w:tabs>
          <w:tab w:val="left" w:pos="567"/>
        </w:tabs>
        <w:rPr>
          <w:szCs w:val="22"/>
          <w:lang w:val="hu-HU"/>
        </w:rPr>
      </w:pPr>
      <w:r>
        <w:rPr>
          <w:szCs w:val="22"/>
          <w:lang w:val="hu-HU"/>
        </w:rPr>
        <w:lastRenderedPageBreak/>
        <w:t>A moxifloxacin egészséges önkénteseknek ismételten adagolva kb. 30%</w:t>
      </w:r>
      <w:r>
        <w:rPr>
          <w:szCs w:val="22"/>
          <w:lang w:val="hu-HU"/>
        </w:rPr>
        <w:noBreakHyphen/>
        <w:t>kal növelte a digoxin c</w:t>
      </w:r>
      <w:r>
        <w:rPr>
          <w:szCs w:val="22"/>
          <w:vertAlign w:val="subscript"/>
          <w:lang w:val="hu-HU"/>
        </w:rPr>
        <w:t>max</w:t>
      </w:r>
      <w:r>
        <w:rPr>
          <w:szCs w:val="22"/>
          <w:lang w:val="hu-HU"/>
        </w:rPr>
        <w:t xml:space="preserve"> értékét anélkül, hogy befolyásolta volna az AUC-értéket vagy a </w:t>
      </w:r>
      <w:r>
        <w:rPr>
          <w:lang w:val="hu-HU"/>
        </w:rPr>
        <w:t xml:space="preserve">maradék </w:t>
      </w:r>
      <w:r>
        <w:rPr>
          <w:szCs w:val="22"/>
          <w:lang w:val="hu-HU"/>
        </w:rPr>
        <w:t>vérszintet. Digoxinnal történő együttes alkalmazás esetén nincs szükség külön óvintézkedésre.</w:t>
      </w:r>
    </w:p>
    <w:p w14:paraId="394B880D" w14:textId="77777777" w:rsidR="00653D32" w:rsidRDefault="00653D32">
      <w:pPr>
        <w:tabs>
          <w:tab w:val="left" w:pos="567"/>
        </w:tabs>
        <w:rPr>
          <w:szCs w:val="22"/>
          <w:lang w:val="hu-HU"/>
        </w:rPr>
      </w:pPr>
    </w:p>
    <w:p w14:paraId="21AF255A" w14:textId="77777777" w:rsidR="00653D32" w:rsidRDefault="00502314">
      <w:pPr>
        <w:tabs>
          <w:tab w:val="left" w:pos="567"/>
        </w:tabs>
        <w:rPr>
          <w:szCs w:val="22"/>
          <w:lang w:val="hu-HU"/>
        </w:rPr>
      </w:pPr>
      <w:r>
        <w:rPr>
          <w:szCs w:val="22"/>
          <w:lang w:val="hu-HU"/>
        </w:rPr>
        <w:t>Diabeteses betegek bevonásával végzett vizsgálatokban, a moxifloxacin és a glibenklamid együttes alkalmazása a glibenklamid maximális plazmakoncentrációjának megközelítőleg 21%</w:t>
      </w:r>
      <w:r>
        <w:rPr>
          <w:szCs w:val="22"/>
          <w:lang w:val="hu-HU"/>
        </w:rPr>
        <w:noBreakHyphen/>
        <w:t xml:space="preserve">os csökkenéséhez vezetett. Elméletben a glibenklamid és a moxifloxacin együttes alkalmazása enyhe és átmeneti hyperglykaemiát eredményezhet. A glibenklamid farmakokinetikájában megfigyelt változások azonban nem vezettek a farmakodinámiás paraméterek (vércukor, inzulin) változásához, ezért nem </w:t>
      </w:r>
      <w:r>
        <w:rPr>
          <w:lang w:val="hu-HU"/>
        </w:rPr>
        <w:t xml:space="preserve">figyeltek meg </w:t>
      </w:r>
      <w:r>
        <w:rPr>
          <w:szCs w:val="22"/>
          <w:lang w:val="hu-HU"/>
        </w:rPr>
        <w:t>klinikailag lényeges interakciókat a moxifloxacin és a glibenklamid között.</w:t>
      </w:r>
    </w:p>
    <w:p w14:paraId="5738C43D" w14:textId="77777777" w:rsidR="00653D32" w:rsidRDefault="00653D32">
      <w:pPr>
        <w:tabs>
          <w:tab w:val="left" w:pos="567"/>
        </w:tabs>
        <w:rPr>
          <w:szCs w:val="22"/>
          <w:lang w:val="hu-HU"/>
        </w:rPr>
      </w:pPr>
    </w:p>
    <w:p w14:paraId="37CD2A22" w14:textId="77777777" w:rsidR="00653D32" w:rsidRDefault="00502314">
      <w:pPr>
        <w:rPr>
          <w:iCs/>
          <w:szCs w:val="22"/>
          <w:u w:val="single"/>
          <w:lang w:val="hu-HU"/>
        </w:rPr>
      </w:pPr>
      <w:r>
        <w:rPr>
          <w:iCs/>
          <w:szCs w:val="22"/>
          <w:u w:val="single"/>
          <w:lang w:val="hu-HU"/>
        </w:rPr>
        <w:t>Az INR változásai</w:t>
      </w:r>
    </w:p>
    <w:p w14:paraId="54D62940" w14:textId="77777777" w:rsidR="00653D32" w:rsidRDefault="00502314">
      <w:pPr>
        <w:tabs>
          <w:tab w:val="left" w:pos="567"/>
        </w:tabs>
        <w:rPr>
          <w:szCs w:val="22"/>
          <w:lang w:val="hu-HU"/>
        </w:rPr>
      </w:pPr>
      <w:r>
        <w:rPr>
          <w:szCs w:val="22"/>
          <w:lang w:val="hu-HU"/>
        </w:rPr>
        <w:t xml:space="preserve">Nagyszámú olyan esetről számoltak be, amikor antibakteriális szereket szedő betegeknél megnőtt az orális antikoagulánsok hatása, mindenekelőtt a következő antibiotikumok hatására: fluorokinolonok, makrolidok, tetraciklinek, kotrimoxazol, és egyes cefalosporinok. A fertőzések és gyulladásos állapotok, a beteg életkora és általános állapota kockázati tényezőknek tűnnek. Ilyen körülmények között nehéz eldönteni, hogy az INR (International Normalised Ratio – Nemzetközi Normalizált Arány) változásaiért a fertőző betegség vagy a kezelés a felelős. </w:t>
      </w:r>
      <w:r>
        <w:rPr>
          <w:lang w:val="hu-HU"/>
        </w:rPr>
        <w:t>Óvintézkedés lehet az INR gyakoribb ellenőrzése</w:t>
      </w:r>
      <w:r>
        <w:rPr>
          <w:szCs w:val="22"/>
          <w:lang w:val="hu-HU"/>
        </w:rPr>
        <w:t xml:space="preserve">. Ha szükséges, a </w:t>
      </w:r>
      <w:r>
        <w:rPr>
          <w:i/>
          <w:szCs w:val="22"/>
          <w:lang w:val="hu-HU"/>
        </w:rPr>
        <w:t>per os</w:t>
      </w:r>
      <w:r>
        <w:rPr>
          <w:szCs w:val="22"/>
          <w:lang w:val="hu-HU"/>
        </w:rPr>
        <w:t xml:space="preserve"> antikoaguláns dózisát megfelelően módosítani kell.</w:t>
      </w:r>
    </w:p>
    <w:p w14:paraId="36F9605B" w14:textId="77777777" w:rsidR="00653D32" w:rsidRDefault="00653D32">
      <w:pPr>
        <w:rPr>
          <w:szCs w:val="22"/>
          <w:lang w:val="hu-HU"/>
        </w:rPr>
      </w:pPr>
    </w:p>
    <w:p w14:paraId="17F25050" w14:textId="77777777" w:rsidR="00653D32" w:rsidRDefault="00502314">
      <w:pPr>
        <w:tabs>
          <w:tab w:val="left" w:pos="567"/>
        </w:tabs>
        <w:rPr>
          <w:szCs w:val="22"/>
          <w:lang w:val="hu-HU"/>
        </w:rPr>
      </w:pPr>
      <w:r>
        <w:rPr>
          <w:szCs w:val="22"/>
          <w:lang w:val="hu-HU"/>
        </w:rPr>
        <w:t xml:space="preserve">A klinikai vizsgálatok azt mutatják, hogy nem fordult elő kölcsönhatás, ha a moxifloxacint </w:t>
      </w:r>
      <w:r>
        <w:rPr>
          <w:lang w:val="hu-HU"/>
        </w:rPr>
        <w:t xml:space="preserve">az alábbi gyógyszerekkel </w:t>
      </w:r>
      <w:r>
        <w:rPr>
          <w:szCs w:val="22"/>
          <w:lang w:val="hu-HU"/>
        </w:rPr>
        <w:t xml:space="preserve">adták </w:t>
      </w:r>
      <w:r>
        <w:rPr>
          <w:lang w:val="hu-HU"/>
        </w:rPr>
        <w:t>egyidejűleg</w:t>
      </w:r>
      <w:r>
        <w:rPr>
          <w:szCs w:val="22"/>
          <w:lang w:val="hu-HU"/>
        </w:rPr>
        <w:t>: ranitidin, probenecid, orális fogamzásgátlók, kalciumpótlók, parenterálisan adott morfin, teofillin, ciklosporin vagy itrakonazol.</w:t>
      </w:r>
    </w:p>
    <w:p w14:paraId="45FFCAF4" w14:textId="77777777" w:rsidR="00653D32" w:rsidRDefault="00653D32">
      <w:pPr>
        <w:tabs>
          <w:tab w:val="left" w:pos="567"/>
        </w:tabs>
        <w:rPr>
          <w:caps/>
          <w:szCs w:val="22"/>
          <w:lang w:val="hu-HU"/>
        </w:rPr>
      </w:pPr>
    </w:p>
    <w:p w14:paraId="0119CDD5" w14:textId="77777777" w:rsidR="00653D32" w:rsidRDefault="00502314">
      <w:pPr>
        <w:tabs>
          <w:tab w:val="left" w:pos="567"/>
        </w:tabs>
        <w:rPr>
          <w:szCs w:val="22"/>
          <w:lang w:val="hu-HU"/>
        </w:rPr>
      </w:pPr>
      <w:r>
        <w:rPr>
          <w:szCs w:val="22"/>
          <w:lang w:val="hu-HU"/>
        </w:rPr>
        <w:t xml:space="preserve">Humán vonatkozásban citokróm P450 enzimmel végzett </w:t>
      </w:r>
      <w:r>
        <w:rPr>
          <w:i/>
          <w:szCs w:val="22"/>
          <w:lang w:val="hu-HU"/>
        </w:rPr>
        <w:t>in vitro</w:t>
      </w:r>
      <w:r>
        <w:rPr>
          <w:szCs w:val="22"/>
          <w:lang w:val="hu-HU"/>
        </w:rPr>
        <w:t xml:space="preserve"> vizsgálatok alátámasztották ezeket a megfigyeléseket. Ezeket az eredményeket figyelembe véve, a citokróm P450 enzim által közvetített metabolikus interakció nem valószínű.</w:t>
      </w:r>
    </w:p>
    <w:p w14:paraId="55FA1A07" w14:textId="77777777" w:rsidR="00653D32" w:rsidRDefault="00653D32">
      <w:pPr>
        <w:tabs>
          <w:tab w:val="left" w:pos="567"/>
        </w:tabs>
        <w:rPr>
          <w:szCs w:val="22"/>
          <w:lang w:val="hu-HU"/>
        </w:rPr>
      </w:pPr>
    </w:p>
    <w:p w14:paraId="76C55A7A" w14:textId="77777777" w:rsidR="00653D32" w:rsidRDefault="00502314">
      <w:pPr>
        <w:tabs>
          <w:tab w:val="left" w:pos="567"/>
        </w:tabs>
        <w:rPr>
          <w:szCs w:val="22"/>
          <w:u w:val="single"/>
          <w:lang w:val="hu-HU"/>
        </w:rPr>
      </w:pPr>
      <w:r>
        <w:rPr>
          <w:szCs w:val="22"/>
          <w:u w:val="single"/>
          <w:lang w:val="hu-HU"/>
        </w:rPr>
        <w:t>Kölcsönhatás étellel</w:t>
      </w:r>
    </w:p>
    <w:p w14:paraId="0C2D011F" w14:textId="77777777" w:rsidR="00653D32" w:rsidRDefault="00502314">
      <w:pPr>
        <w:rPr>
          <w:szCs w:val="22"/>
          <w:lang w:val="hu-HU"/>
        </w:rPr>
      </w:pPr>
      <w:r>
        <w:rPr>
          <w:szCs w:val="22"/>
          <w:lang w:val="hu-HU"/>
        </w:rPr>
        <w:t>A moxifloxacin és az ételek között - ideértve a tejtermékeket is – nincs klinikailag releváns kölcsönhatás.</w:t>
      </w:r>
    </w:p>
    <w:p w14:paraId="3590AD0C" w14:textId="77777777" w:rsidR="00653D32" w:rsidRDefault="00653D32">
      <w:pPr>
        <w:tabs>
          <w:tab w:val="left" w:pos="567"/>
        </w:tabs>
        <w:rPr>
          <w:szCs w:val="22"/>
          <w:lang w:val="hu-HU"/>
        </w:rPr>
      </w:pPr>
    </w:p>
    <w:p w14:paraId="0A4B7456" w14:textId="77777777" w:rsidR="00653D32" w:rsidRDefault="00502314">
      <w:pPr>
        <w:pStyle w:val="WW-Szvegtrzs212"/>
        <w:spacing w:line="240" w:lineRule="auto"/>
        <w:rPr>
          <w:szCs w:val="22"/>
          <w:lang w:val="hu-HU"/>
        </w:rPr>
      </w:pPr>
      <w:r>
        <w:rPr>
          <w:szCs w:val="22"/>
          <w:lang w:val="hu-HU"/>
        </w:rPr>
        <w:t>4.6</w:t>
      </w:r>
      <w:r>
        <w:rPr>
          <w:szCs w:val="22"/>
          <w:lang w:val="hu-HU"/>
        </w:rPr>
        <w:tab/>
        <w:t>Termékenység, terhesség és szoptatás</w:t>
      </w:r>
    </w:p>
    <w:p w14:paraId="0BBACBF4" w14:textId="77777777" w:rsidR="00653D32" w:rsidRDefault="00653D32">
      <w:pPr>
        <w:pStyle w:val="Vgjegyzetszvege"/>
        <w:tabs>
          <w:tab w:val="left" w:pos="567"/>
        </w:tabs>
        <w:suppressAutoHyphens w:val="0"/>
        <w:spacing w:line="240" w:lineRule="auto"/>
        <w:rPr>
          <w:szCs w:val="22"/>
          <w:lang w:val="hu-HU" w:eastAsia="hu-HU"/>
        </w:rPr>
      </w:pPr>
    </w:p>
    <w:p w14:paraId="182F18C6" w14:textId="77777777" w:rsidR="00653D32" w:rsidRDefault="00502314">
      <w:pPr>
        <w:tabs>
          <w:tab w:val="left" w:pos="567"/>
        </w:tabs>
        <w:rPr>
          <w:szCs w:val="22"/>
          <w:lang w:val="hu-HU"/>
        </w:rPr>
      </w:pPr>
      <w:r>
        <w:rPr>
          <w:szCs w:val="22"/>
          <w:u w:val="single"/>
          <w:lang w:val="hu-HU"/>
        </w:rPr>
        <w:t>Terhesség</w:t>
      </w:r>
    </w:p>
    <w:p w14:paraId="61D62232" w14:textId="77777777" w:rsidR="00653D32" w:rsidRDefault="00502314">
      <w:pPr>
        <w:rPr>
          <w:szCs w:val="22"/>
          <w:lang w:val="hu-HU"/>
        </w:rPr>
      </w:pPr>
      <w:r>
        <w:rPr>
          <w:szCs w:val="22"/>
          <w:lang w:val="hu-HU"/>
        </w:rPr>
        <w:t>A moxifloxacin biztonságosságát humán terhességben nem tanulmányozták. Az állatkísérletes vizsgálatok reproduktív toxicitásra utalnak (lásd 5.3 pont). Az emberre vonatkozó lehetséges kockázat nem ismert. Mivel a fejlődésben lévő állatok</w:t>
      </w:r>
      <w:r>
        <w:rPr>
          <w:lang w:val="hu-HU"/>
        </w:rPr>
        <w:t xml:space="preserve">kal végzett kísérletek során az állatok </w:t>
      </w:r>
      <w:r>
        <w:rPr>
          <w:snapToGrid w:val="0"/>
          <w:lang w:val="hu-HU" w:eastAsia="hu-HU"/>
        </w:rPr>
        <w:t>teherviselő ízületi porcainak</w:t>
      </w:r>
      <w:r>
        <w:rPr>
          <w:lang w:val="hu-HU"/>
        </w:rPr>
        <w:t xml:space="preserve"> fluorokinolon</w:t>
      </w:r>
      <w:r>
        <w:rPr>
          <w:snapToGrid w:val="0"/>
          <w:lang w:val="hu-HU" w:eastAsia="hu-HU"/>
        </w:rPr>
        <w:t>ok okozta károsodásának kockázatát</w:t>
      </w:r>
      <w:r>
        <w:rPr>
          <w:szCs w:val="22"/>
          <w:lang w:val="hu-HU"/>
        </w:rPr>
        <w:t>, valamint fluorokinolonkezelésben részesülő gyermekeknél reverzibilis ízületi sérüléseket írtak le, emiatt a moxifloxacint tilos terhes nőknek adni (lásd 4.3 pont).</w:t>
      </w:r>
    </w:p>
    <w:p w14:paraId="6EEAAFD4" w14:textId="77777777" w:rsidR="00653D32" w:rsidRDefault="00653D32">
      <w:pPr>
        <w:widowControl w:val="0"/>
        <w:autoSpaceDE w:val="0"/>
        <w:autoSpaceDN w:val="0"/>
        <w:adjustRightInd w:val="0"/>
        <w:rPr>
          <w:szCs w:val="22"/>
          <w:lang w:val="hu-HU"/>
        </w:rPr>
      </w:pPr>
    </w:p>
    <w:p w14:paraId="3C6845C9" w14:textId="77777777" w:rsidR="00653D32" w:rsidRDefault="00502314">
      <w:pPr>
        <w:pStyle w:val="Cmsor8"/>
        <w:keepNext w:val="0"/>
        <w:widowControl w:val="0"/>
        <w:tabs>
          <w:tab w:val="clear" w:pos="567"/>
        </w:tabs>
        <w:autoSpaceDE w:val="0"/>
        <w:autoSpaceDN w:val="0"/>
        <w:adjustRightInd w:val="0"/>
        <w:rPr>
          <w:szCs w:val="22"/>
        </w:rPr>
      </w:pPr>
      <w:r>
        <w:rPr>
          <w:szCs w:val="22"/>
        </w:rPr>
        <w:t>Szoptatás</w:t>
      </w:r>
    </w:p>
    <w:p w14:paraId="074A0DE9" w14:textId="77777777" w:rsidR="00653D32" w:rsidRDefault="00502314">
      <w:pPr>
        <w:widowControl w:val="0"/>
        <w:autoSpaceDE w:val="0"/>
        <w:autoSpaceDN w:val="0"/>
        <w:adjustRightInd w:val="0"/>
        <w:rPr>
          <w:szCs w:val="22"/>
          <w:lang w:val="hu-HU"/>
        </w:rPr>
      </w:pPr>
      <w:r>
        <w:rPr>
          <w:szCs w:val="22"/>
          <w:lang w:val="hu-HU"/>
        </w:rPr>
        <w:t>Szoptató anyákra vonatkozó adatok nem állnak rendelkezésre. Preklinikai adatok azt mutatják, hogy kis mennyiségű moxifloxacin kiválasztódik az anyatejbe. Humán adatok hiányában, valamint fejlődésben lévő állatoknál a teherviselő ízületek porcának állatkísérletek során leírt, fluorokinolonok által okozott károsodásának kockázata miatt moxifloxacin-kezelés alatt a szoptatás ellenjavallt (lásd 4.3 pont).</w:t>
      </w:r>
    </w:p>
    <w:p w14:paraId="3F04479C" w14:textId="77777777" w:rsidR="00653D32" w:rsidRDefault="00653D32">
      <w:pPr>
        <w:tabs>
          <w:tab w:val="left" w:pos="567"/>
        </w:tabs>
        <w:rPr>
          <w:szCs w:val="22"/>
          <w:lang w:val="hu-HU"/>
        </w:rPr>
      </w:pPr>
    </w:p>
    <w:p w14:paraId="223C0CB5" w14:textId="77777777" w:rsidR="00653D32" w:rsidRDefault="00502314">
      <w:pPr>
        <w:widowControl w:val="0"/>
        <w:autoSpaceDE w:val="0"/>
        <w:autoSpaceDN w:val="0"/>
        <w:adjustRightInd w:val="0"/>
        <w:rPr>
          <w:szCs w:val="22"/>
          <w:u w:val="single"/>
          <w:lang w:val="hu-HU"/>
        </w:rPr>
      </w:pPr>
      <w:r>
        <w:rPr>
          <w:szCs w:val="22"/>
          <w:u w:val="single"/>
          <w:lang w:val="hu-HU"/>
        </w:rPr>
        <w:t>Termékenység</w:t>
      </w:r>
    </w:p>
    <w:p w14:paraId="74C037D8" w14:textId="77777777" w:rsidR="00653D32" w:rsidRDefault="00502314">
      <w:pPr>
        <w:widowControl w:val="0"/>
        <w:autoSpaceDE w:val="0"/>
        <w:autoSpaceDN w:val="0"/>
        <w:adjustRightInd w:val="0"/>
        <w:rPr>
          <w:szCs w:val="22"/>
          <w:lang w:val="hu-HU"/>
        </w:rPr>
      </w:pPr>
      <w:r>
        <w:rPr>
          <w:szCs w:val="22"/>
          <w:lang w:val="hu-HU"/>
        </w:rPr>
        <w:t>Az állatkísérletek nem utalnak a termékenységet károsító hatásra (lásd 5.3 pont).</w:t>
      </w:r>
    </w:p>
    <w:p w14:paraId="0D2B4D3D" w14:textId="77777777" w:rsidR="00653D32" w:rsidRDefault="00653D32">
      <w:pPr>
        <w:pStyle w:val="WW-Szvegtrzs212"/>
        <w:spacing w:line="240" w:lineRule="auto"/>
        <w:rPr>
          <w:szCs w:val="22"/>
          <w:lang w:val="hu-HU"/>
        </w:rPr>
      </w:pPr>
    </w:p>
    <w:p w14:paraId="513EC2B3" w14:textId="77777777" w:rsidR="00653D32" w:rsidRDefault="00502314">
      <w:pPr>
        <w:pStyle w:val="WW-Szvegtrzs212"/>
        <w:spacing w:line="240" w:lineRule="auto"/>
        <w:rPr>
          <w:szCs w:val="22"/>
          <w:lang w:val="hu-HU"/>
        </w:rPr>
      </w:pPr>
      <w:r>
        <w:rPr>
          <w:szCs w:val="22"/>
          <w:lang w:val="hu-HU"/>
        </w:rPr>
        <w:t>4.7</w:t>
      </w:r>
      <w:r>
        <w:rPr>
          <w:szCs w:val="22"/>
          <w:lang w:val="hu-HU"/>
        </w:rPr>
        <w:tab/>
        <w:t>A készítmény hatásai a gépjárművezetéshez és a gépek kezeléséhez szükséges képességekre</w:t>
      </w:r>
    </w:p>
    <w:p w14:paraId="6FC026F0" w14:textId="77777777" w:rsidR="00653D32" w:rsidRDefault="00653D32">
      <w:pPr>
        <w:pStyle w:val="WW-Szvegtrzs212"/>
        <w:spacing w:line="240" w:lineRule="auto"/>
        <w:rPr>
          <w:b w:val="0"/>
          <w:szCs w:val="22"/>
          <w:lang w:val="hu-HU"/>
        </w:rPr>
      </w:pPr>
    </w:p>
    <w:p w14:paraId="39A2C431" w14:textId="77777777" w:rsidR="00653D32" w:rsidRDefault="00502314">
      <w:pPr>
        <w:tabs>
          <w:tab w:val="left" w:pos="567"/>
        </w:tabs>
        <w:rPr>
          <w:szCs w:val="22"/>
          <w:lang w:val="hu-HU"/>
        </w:rPr>
      </w:pPr>
      <w:r>
        <w:rPr>
          <w:szCs w:val="22"/>
          <w:lang w:val="hu-HU"/>
        </w:rPr>
        <w:t xml:space="preserve">A moxifloxacinnak a gépjárművezetéshez és a gépek kezeléséhez szükséges képességeket befolyásoló hatásait nem vizsgálták, mindazonáltal a fluorokinolonok – köztük a moxifloxacin is – károsan befolyásolhatják a betegek gépjárművezetői vagy gépkezelői képességét a központi idegrendszeri </w:t>
      </w:r>
      <w:r>
        <w:rPr>
          <w:szCs w:val="22"/>
          <w:lang w:val="hu-HU"/>
        </w:rPr>
        <w:lastRenderedPageBreak/>
        <w:t>reakciók (pl. szédülés, akut, múló látásvesztés, lásd 4.8 pont) vagy akut, illetve rövid ideig tartó eszméletvesztés (syncope, lásd 4.8 pont) következtében. Azt kell tanácsolni a betegeknek, hogy gépjárművezetés vagy gépkezelés előtt figyeljék meg, hogyan reagálnak a moxifloxacinra.</w:t>
      </w:r>
    </w:p>
    <w:p w14:paraId="344D6125" w14:textId="77777777" w:rsidR="00653D32" w:rsidRDefault="00653D32">
      <w:pPr>
        <w:pStyle w:val="Szvegtrzsbehzssal"/>
        <w:tabs>
          <w:tab w:val="left" w:pos="567"/>
        </w:tabs>
        <w:spacing w:after="0"/>
        <w:ind w:left="0"/>
        <w:rPr>
          <w:szCs w:val="22"/>
          <w:lang w:val="hu-HU"/>
        </w:rPr>
      </w:pPr>
    </w:p>
    <w:p w14:paraId="17949E03" w14:textId="77777777" w:rsidR="00653D32" w:rsidRDefault="00502314">
      <w:pPr>
        <w:pStyle w:val="WW-Szvegtrzs212"/>
        <w:spacing w:line="240" w:lineRule="auto"/>
        <w:rPr>
          <w:szCs w:val="22"/>
          <w:lang w:val="hu-HU"/>
        </w:rPr>
      </w:pPr>
      <w:r>
        <w:rPr>
          <w:szCs w:val="22"/>
          <w:lang w:val="hu-HU"/>
        </w:rPr>
        <w:t>4.8</w:t>
      </w:r>
      <w:r>
        <w:rPr>
          <w:szCs w:val="22"/>
          <w:lang w:val="hu-HU"/>
        </w:rPr>
        <w:tab/>
        <w:t>Nemkívánatos hatások, mellékhatások</w:t>
      </w:r>
    </w:p>
    <w:p w14:paraId="3B7E9D33" w14:textId="77777777" w:rsidR="00653D32" w:rsidRDefault="00653D32">
      <w:pPr>
        <w:tabs>
          <w:tab w:val="left" w:pos="567"/>
        </w:tabs>
        <w:rPr>
          <w:szCs w:val="22"/>
          <w:lang w:val="hu-HU"/>
        </w:rPr>
      </w:pPr>
    </w:p>
    <w:p w14:paraId="03618BA4" w14:textId="77777777" w:rsidR="00653D32" w:rsidRDefault="00502314">
      <w:pPr>
        <w:rPr>
          <w:szCs w:val="22"/>
          <w:lang w:val="hu-HU"/>
        </w:rPr>
      </w:pPr>
      <w:r>
        <w:rPr>
          <w:szCs w:val="22"/>
          <w:lang w:val="hu-HU"/>
        </w:rPr>
        <w:t xml:space="preserve">A naponta 400 mg intravénás vagy </w:t>
      </w:r>
      <w:r>
        <w:rPr>
          <w:i/>
          <w:szCs w:val="22"/>
          <w:lang w:val="hu-HU"/>
        </w:rPr>
        <w:t>per os</w:t>
      </w:r>
      <w:r>
        <w:rPr>
          <w:szCs w:val="22"/>
          <w:lang w:val="hu-HU"/>
        </w:rPr>
        <w:t xml:space="preserve"> [csak intravénás, szekvenciális (intravénás/</w:t>
      </w:r>
      <w:r>
        <w:rPr>
          <w:i/>
          <w:szCs w:val="22"/>
          <w:lang w:val="hu-HU"/>
        </w:rPr>
        <w:t>per os</w:t>
      </w:r>
      <w:r>
        <w:rPr>
          <w:szCs w:val="22"/>
          <w:lang w:val="hu-HU"/>
        </w:rPr>
        <w:t xml:space="preserve">) és </w:t>
      </w:r>
      <w:r>
        <w:rPr>
          <w:i/>
          <w:szCs w:val="22"/>
          <w:lang w:val="hu-HU"/>
        </w:rPr>
        <w:t>per os</w:t>
      </w:r>
      <w:r>
        <w:rPr>
          <w:szCs w:val="22"/>
          <w:lang w:val="hu-HU"/>
        </w:rPr>
        <w:t xml:space="preserve"> adagolás] moxifloxacin-kezeléssel kapcsolatban elvégzett klinikai vizsgálatok során megfigyelt és a forgalomba hozatalt követő jelentésekből származó és gyakoriságuk szerint csoportosított mellékhatások az alábbiakban kerültek felsorolásra:</w:t>
      </w:r>
    </w:p>
    <w:p w14:paraId="5036CB73" w14:textId="77777777" w:rsidR="00653D32" w:rsidRDefault="00653D32">
      <w:pPr>
        <w:widowControl w:val="0"/>
        <w:autoSpaceDE w:val="0"/>
        <w:autoSpaceDN w:val="0"/>
        <w:adjustRightInd w:val="0"/>
        <w:rPr>
          <w:szCs w:val="22"/>
          <w:lang w:val="hu-HU"/>
        </w:rPr>
      </w:pPr>
    </w:p>
    <w:p w14:paraId="6127CF72" w14:textId="77777777" w:rsidR="00653D32" w:rsidRDefault="00502314">
      <w:pPr>
        <w:tabs>
          <w:tab w:val="left" w:pos="567"/>
        </w:tabs>
        <w:rPr>
          <w:szCs w:val="22"/>
          <w:lang w:val="hu-HU"/>
        </w:rPr>
      </w:pPr>
      <w:r>
        <w:rPr>
          <w:szCs w:val="22"/>
          <w:lang w:val="hu-HU"/>
        </w:rPr>
        <w:t>A hányinger és a hasmenés kivételével valamennyi mellékhatás előfordulási gyakorisága 3% alatt maradt.</w:t>
      </w:r>
    </w:p>
    <w:p w14:paraId="4F4E2BFE" w14:textId="77777777" w:rsidR="00653D32" w:rsidRDefault="00653D32">
      <w:pPr>
        <w:tabs>
          <w:tab w:val="left" w:pos="567"/>
        </w:tabs>
        <w:rPr>
          <w:bCs/>
          <w:szCs w:val="22"/>
          <w:lang w:val="hu-HU"/>
        </w:rPr>
      </w:pPr>
    </w:p>
    <w:p w14:paraId="04FA987A" w14:textId="77777777" w:rsidR="00653D32" w:rsidRDefault="00502314">
      <w:pPr>
        <w:rPr>
          <w:szCs w:val="22"/>
          <w:lang w:val="hu-HU"/>
        </w:rPr>
      </w:pPr>
      <w:r>
        <w:rPr>
          <w:szCs w:val="22"/>
          <w:lang w:val="hu-HU"/>
        </w:rPr>
        <w:t>A gyakorisági csoportokon belül a mellékhatások csökkenő súlyosság szerint kerültek felsorolásra. A gyakorisági kategóriák az alábbiak:</w:t>
      </w:r>
    </w:p>
    <w:p w14:paraId="1CB834B3" w14:textId="77777777" w:rsidR="00653D32" w:rsidRDefault="00502314">
      <w:pPr>
        <w:numPr>
          <w:ilvl w:val="0"/>
          <w:numId w:val="19"/>
        </w:numPr>
        <w:tabs>
          <w:tab w:val="left" w:pos="567"/>
        </w:tabs>
        <w:ind w:left="567" w:hanging="567"/>
        <w:rPr>
          <w:szCs w:val="22"/>
          <w:lang w:val="hu-HU"/>
        </w:rPr>
      </w:pPr>
      <w:r>
        <w:rPr>
          <w:szCs w:val="22"/>
          <w:lang w:val="hu-HU"/>
        </w:rPr>
        <w:t>gyakori (≥1/100 - &lt;1/10)</w:t>
      </w:r>
    </w:p>
    <w:p w14:paraId="61CA693A" w14:textId="77777777" w:rsidR="00653D32" w:rsidRDefault="00502314">
      <w:pPr>
        <w:numPr>
          <w:ilvl w:val="0"/>
          <w:numId w:val="19"/>
        </w:numPr>
        <w:tabs>
          <w:tab w:val="left" w:pos="567"/>
        </w:tabs>
        <w:ind w:left="567" w:hanging="567"/>
        <w:rPr>
          <w:szCs w:val="22"/>
          <w:lang w:val="hu-HU"/>
        </w:rPr>
      </w:pPr>
      <w:r>
        <w:rPr>
          <w:szCs w:val="22"/>
          <w:lang w:val="hu-HU"/>
        </w:rPr>
        <w:t>nem gyakori (≥1/1000 - &lt;1/100)</w:t>
      </w:r>
    </w:p>
    <w:p w14:paraId="2D33CABC" w14:textId="77777777" w:rsidR="00653D32" w:rsidRDefault="00502314">
      <w:pPr>
        <w:numPr>
          <w:ilvl w:val="0"/>
          <w:numId w:val="19"/>
        </w:numPr>
        <w:tabs>
          <w:tab w:val="left" w:pos="567"/>
        </w:tabs>
        <w:ind w:left="567" w:hanging="567"/>
        <w:rPr>
          <w:szCs w:val="22"/>
          <w:lang w:val="hu-HU"/>
        </w:rPr>
      </w:pPr>
      <w:r>
        <w:rPr>
          <w:szCs w:val="22"/>
          <w:lang w:val="hu-HU"/>
        </w:rPr>
        <w:t>ritka (≥1/10 000 - &lt;1/1000)</w:t>
      </w:r>
    </w:p>
    <w:p w14:paraId="36F56105" w14:textId="77777777" w:rsidR="00653D32" w:rsidRDefault="00502314">
      <w:pPr>
        <w:numPr>
          <w:ilvl w:val="0"/>
          <w:numId w:val="19"/>
        </w:numPr>
        <w:tabs>
          <w:tab w:val="left" w:pos="567"/>
        </w:tabs>
        <w:ind w:left="567" w:hanging="567"/>
        <w:rPr>
          <w:szCs w:val="22"/>
          <w:lang w:val="hu-HU"/>
        </w:rPr>
      </w:pPr>
      <w:r>
        <w:rPr>
          <w:szCs w:val="22"/>
          <w:lang w:val="hu-HU"/>
        </w:rPr>
        <w:t>nagyon ritka (&lt;1/10 000)</w:t>
      </w:r>
    </w:p>
    <w:p w14:paraId="7E97C4AB" w14:textId="77777777" w:rsidR="00653D32" w:rsidRDefault="00502314">
      <w:pPr>
        <w:numPr>
          <w:ilvl w:val="0"/>
          <w:numId w:val="19"/>
        </w:numPr>
        <w:ind w:left="567" w:hanging="567"/>
        <w:rPr>
          <w:lang w:val="hu-HU"/>
        </w:rPr>
      </w:pPr>
      <w:r>
        <w:rPr>
          <w:lang w:val="hu-HU"/>
        </w:rPr>
        <w:t>nem ismert</w:t>
      </w:r>
      <w:r>
        <w:rPr>
          <w:b/>
          <w:lang w:val="hu-HU"/>
        </w:rPr>
        <w:t xml:space="preserve"> (</w:t>
      </w:r>
      <w:r>
        <w:rPr>
          <w:lang w:val="hu-HU"/>
        </w:rPr>
        <w:t>a gyakoriság a rendelkezésre álló adatokból nem állapítható meg)</w:t>
      </w:r>
    </w:p>
    <w:p w14:paraId="1F60DBBE" w14:textId="77777777" w:rsidR="00653D32" w:rsidRDefault="00653D32">
      <w:pPr>
        <w:tabs>
          <w:tab w:val="left" w:pos="567"/>
        </w:tabs>
        <w:rPr>
          <w:bCs/>
          <w:szCs w:val="22"/>
          <w:lang w:val="hu-HU"/>
        </w:rPr>
      </w:pP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00" w:firstRow="0" w:lastRow="0" w:firstColumn="0" w:lastColumn="0" w:noHBand="0" w:noVBand="0"/>
      </w:tblPr>
      <w:tblGrid>
        <w:gridCol w:w="1593"/>
        <w:gridCol w:w="1666"/>
        <w:gridCol w:w="1666"/>
        <w:gridCol w:w="1666"/>
        <w:gridCol w:w="1666"/>
        <w:gridCol w:w="1666"/>
      </w:tblGrid>
      <w:tr w:rsidR="00653D32" w14:paraId="40209510" w14:textId="77777777">
        <w:trPr>
          <w:cantSplit/>
          <w:tblHeader/>
        </w:trPr>
        <w:tc>
          <w:tcPr>
            <w:tcW w:w="1593" w:type="dxa"/>
            <w:tcBorders>
              <w:top w:val="single" w:sz="4" w:space="0" w:color="auto"/>
              <w:left w:val="single" w:sz="4" w:space="0" w:color="auto"/>
              <w:bottom w:val="single" w:sz="4" w:space="0" w:color="auto"/>
              <w:right w:val="single" w:sz="4" w:space="0" w:color="auto"/>
            </w:tcBorders>
            <w:shd w:val="clear" w:color="auto" w:fill="D9D9D9"/>
          </w:tcPr>
          <w:p w14:paraId="61DAD92B" w14:textId="77777777" w:rsidR="00653D32" w:rsidRDefault="00502314">
            <w:pPr>
              <w:tabs>
                <w:tab w:val="left" w:pos="567"/>
              </w:tabs>
              <w:ind w:right="-30"/>
              <w:rPr>
                <w:spacing w:val="-2"/>
                <w:szCs w:val="22"/>
                <w:lang w:val="hu-HU"/>
              </w:rPr>
            </w:pPr>
            <w:r>
              <w:rPr>
                <w:b/>
                <w:spacing w:val="-2"/>
                <w:szCs w:val="22"/>
                <w:lang w:val="hu-HU"/>
              </w:rPr>
              <w:t>Szerv-rendszerenkénti csoportosítás (MedDRA)</w:t>
            </w:r>
          </w:p>
        </w:tc>
        <w:tc>
          <w:tcPr>
            <w:tcW w:w="1666" w:type="dxa"/>
            <w:tcBorders>
              <w:top w:val="single" w:sz="4" w:space="0" w:color="auto"/>
              <w:left w:val="single" w:sz="4" w:space="0" w:color="auto"/>
              <w:bottom w:val="single" w:sz="4" w:space="0" w:color="auto"/>
              <w:right w:val="single" w:sz="4" w:space="0" w:color="auto"/>
            </w:tcBorders>
            <w:shd w:val="clear" w:color="auto" w:fill="D9D9D9"/>
            <w:vAlign w:val="center"/>
          </w:tcPr>
          <w:p w14:paraId="23CA3BF6" w14:textId="77777777" w:rsidR="00653D32" w:rsidRDefault="00502314">
            <w:pPr>
              <w:tabs>
                <w:tab w:val="left" w:pos="567"/>
              </w:tabs>
              <w:jc w:val="center"/>
              <w:rPr>
                <w:bCs/>
                <w:spacing w:val="-2"/>
                <w:szCs w:val="22"/>
                <w:lang w:val="hu-HU"/>
              </w:rPr>
            </w:pPr>
            <w:r>
              <w:rPr>
                <w:b/>
                <w:bCs/>
                <w:spacing w:val="-2"/>
                <w:szCs w:val="22"/>
                <w:lang w:val="hu-HU"/>
              </w:rPr>
              <w:t>Gyakori</w:t>
            </w:r>
          </w:p>
        </w:tc>
        <w:tc>
          <w:tcPr>
            <w:tcW w:w="1666" w:type="dxa"/>
            <w:tcBorders>
              <w:top w:val="single" w:sz="4" w:space="0" w:color="auto"/>
              <w:left w:val="single" w:sz="4" w:space="0" w:color="auto"/>
              <w:bottom w:val="single" w:sz="4" w:space="0" w:color="auto"/>
              <w:right w:val="single" w:sz="4" w:space="0" w:color="auto"/>
            </w:tcBorders>
            <w:shd w:val="clear" w:color="auto" w:fill="D9D9D9"/>
            <w:vAlign w:val="center"/>
          </w:tcPr>
          <w:p w14:paraId="206B1114" w14:textId="77777777" w:rsidR="00653D32" w:rsidRDefault="00502314">
            <w:pPr>
              <w:tabs>
                <w:tab w:val="left" w:pos="567"/>
              </w:tabs>
              <w:jc w:val="center"/>
              <w:rPr>
                <w:bCs/>
                <w:spacing w:val="-2"/>
                <w:szCs w:val="22"/>
                <w:lang w:val="hu-HU"/>
              </w:rPr>
            </w:pPr>
            <w:r>
              <w:rPr>
                <w:b/>
                <w:bCs/>
                <w:spacing w:val="-2"/>
                <w:szCs w:val="22"/>
                <w:lang w:val="hu-HU"/>
              </w:rPr>
              <w:t>Nem gyakori</w:t>
            </w:r>
          </w:p>
        </w:tc>
        <w:tc>
          <w:tcPr>
            <w:tcW w:w="1666" w:type="dxa"/>
            <w:tcBorders>
              <w:top w:val="single" w:sz="4" w:space="0" w:color="auto"/>
              <w:left w:val="single" w:sz="4" w:space="0" w:color="auto"/>
              <w:bottom w:val="single" w:sz="4" w:space="0" w:color="auto"/>
              <w:right w:val="single" w:sz="4" w:space="0" w:color="auto"/>
            </w:tcBorders>
            <w:shd w:val="clear" w:color="auto" w:fill="D9D9D9"/>
            <w:vAlign w:val="center"/>
          </w:tcPr>
          <w:p w14:paraId="467AF565" w14:textId="77777777" w:rsidR="00653D32" w:rsidRDefault="00502314">
            <w:pPr>
              <w:tabs>
                <w:tab w:val="left" w:pos="567"/>
              </w:tabs>
              <w:jc w:val="center"/>
              <w:rPr>
                <w:bCs/>
                <w:spacing w:val="-2"/>
                <w:szCs w:val="22"/>
                <w:lang w:val="hu-HU"/>
              </w:rPr>
            </w:pPr>
            <w:r>
              <w:rPr>
                <w:b/>
                <w:bCs/>
                <w:spacing w:val="-2"/>
                <w:szCs w:val="22"/>
                <w:lang w:val="hu-HU"/>
              </w:rPr>
              <w:t>Ritka</w:t>
            </w:r>
          </w:p>
        </w:tc>
        <w:tc>
          <w:tcPr>
            <w:tcW w:w="1666" w:type="dxa"/>
            <w:tcBorders>
              <w:top w:val="single" w:sz="4" w:space="0" w:color="auto"/>
              <w:left w:val="single" w:sz="4" w:space="0" w:color="auto"/>
              <w:bottom w:val="single" w:sz="4" w:space="0" w:color="auto"/>
              <w:right w:val="single" w:sz="4" w:space="0" w:color="auto"/>
            </w:tcBorders>
            <w:shd w:val="clear" w:color="auto" w:fill="D9D9D9"/>
            <w:vAlign w:val="center"/>
          </w:tcPr>
          <w:p w14:paraId="76250851" w14:textId="77777777" w:rsidR="00653D32" w:rsidRDefault="00502314">
            <w:pPr>
              <w:tabs>
                <w:tab w:val="left" w:pos="567"/>
              </w:tabs>
              <w:jc w:val="center"/>
              <w:rPr>
                <w:bCs/>
                <w:spacing w:val="-2"/>
                <w:szCs w:val="22"/>
                <w:lang w:val="hu-HU"/>
              </w:rPr>
            </w:pPr>
            <w:r>
              <w:rPr>
                <w:b/>
                <w:bCs/>
                <w:spacing w:val="-2"/>
                <w:szCs w:val="22"/>
                <w:lang w:val="hu-HU"/>
              </w:rPr>
              <w:t>Nagyon ritka</w:t>
            </w:r>
          </w:p>
        </w:tc>
        <w:tc>
          <w:tcPr>
            <w:tcW w:w="1666" w:type="dxa"/>
            <w:tcBorders>
              <w:top w:val="single" w:sz="4" w:space="0" w:color="auto"/>
              <w:left w:val="single" w:sz="4" w:space="0" w:color="auto"/>
              <w:bottom w:val="single" w:sz="4" w:space="0" w:color="auto"/>
              <w:right w:val="single" w:sz="4" w:space="0" w:color="auto"/>
            </w:tcBorders>
            <w:shd w:val="clear" w:color="auto" w:fill="D9D9D9"/>
            <w:vAlign w:val="center"/>
          </w:tcPr>
          <w:p w14:paraId="05BD0976" w14:textId="77777777" w:rsidR="00653D32" w:rsidRDefault="00502314">
            <w:pPr>
              <w:tabs>
                <w:tab w:val="left" w:pos="567"/>
              </w:tabs>
              <w:jc w:val="center"/>
              <w:rPr>
                <w:b/>
                <w:bCs/>
                <w:spacing w:val="-2"/>
                <w:szCs w:val="22"/>
                <w:lang w:val="hu-HU"/>
              </w:rPr>
            </w:pPr>
            <w:r>
              <w:rPr>
                <w:b/>
                <w:bCs/>
                <w:spacing w:val="-2"/>
                <w:szCs w:val="22"/>
                <w:lang w:val="hu-HU"/>
              </w:rPr>
              <w:t>Nem ismert</w:t>
            </w:r>
          </w:p>
        </w:tc>
      </w:tr>
      <w:tr w:rsidR="00653D32" w14:paraId="6CC3B6AF" w14:textId="77777777">
        <w:trPr>
          <w:cantSplit/>
        </w:trPr>
        <w:tc>
          <w:tcPr>
            <w:tcW w:w="1593" w:type="dxa"/>
            <w:tcBorders>
              <w:top w:val="single" w:sz="4" w:space="0" w:color="auto"/>
              <w:left w:val="single" w:sz="4" w:space="0" w:color="auto"/>
              <w:bottom w:val="single" w:sz="4" w:space="0" w:color="auto"/>
              <w:right w:val="single" w:sz="4" w:space="0" w:color="auto"/>
            </w:tcBorders>
          </w:tcPr>
          <w:p w14:paraId="3D034C32" w14:textId="77777777" w:rsidR="00653D32" w:rsidRDefault="00502314">
            <w:pPr>
              <w:tabs>
                <w:tab w:val="left" w:pos="567"/>
              </w:tabs>
              <w:rPr>
                <w:b/>
                <w:spacing w:val="-2"/>
                <w:szCs w:val="22"/>
                <w:lang w:val="hu-HU"/>
              </w:rPr>
            </w:pPr>
            <w:r>
              <w:rPr>
                <w:b/>
                <w:spacing w:val="-2"/>
                <w:szCs w:val="22"/>
                <w:lang w:val="hu-HU"/>
              </w:rPr>
              <w:t>Fertőző betegségek és parazitafertőzések</w:t>
            </w:r>
          </w:p>
        </w:tc>
        <w:tc>
          <w:tcPr>
            <w:tcW w:w="1666" w:type="dxa"/>
            <w:tcBorders>
              <w:top w:val="single" w:sz="4" w:space="0" w:color="auto"/>
              <w:left w:val="single" w:sz="4" w:space="0" w:color="auto"/>
              <w:bottom w:val="single" w:sz="4" w:space="0" w:color="auto"/>
              <w:right w:val="single" w:sz="4" w:space="0" w:color="auto"/>
            </w:tcBorders>
          </w:tcPr>
          <w:p w14:paraId="428EFBA5" w14:textId="77777777" w:rsidR="00653D32" w:rsidRDefault="00502314">
            <w:pPr>
              <w:tabs>
                <w:tab w:val="left" w:pos="567"/>
              </w:tabs>
              <w:rPr>
                <w:bCs/>
                <w:spacing w:val="-2"/>
                <w:szCs w:val="22"/>
                <w:lang w:val="hu-HU"/>
              </w:rPr>
            </w:pPr>
            <w:r>
              <w:rPr>
                <w:bCs/>
                <w:spacing w:val="-2"/>
                <w:szCs w:val="22"/>
                <w:lang w:val="hu-HU"/>
              </w:rPr>
              <w:t>rezisztens baktériumok vagy gombák által okozott felülfertőzés, pl. orális és vaginalis candidiasis</w:t>
            </w:r>
          </w:p>
        </w:tc>
        <w:tc>
          <w:tcPr>
            <w:tcW w:w="1666" w:type="dxa"/>
            <w:tcBorders>
              <w:top w:val="single" w:sz="4" w:space="0" w:color="auto"/>
              <w:left w:val="single" w:sz="4" w:space="0" w:color="auto"/>
              <w:bottom w:val="single" w:sz="4" w:space="0" w:color="auto"/>
              <w:right w:val="single" w:sz="4" w:space="0" w:color="auto"/>
            </w:tcBorders>
          </w:tcPr>
          <w:p w14:paraId="0258CED9"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24040F82"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AD3BC4E"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37EBD128" w14:textId="77777777" w:rsidR="00653D32" w:rsidRDefault="00653D32">
            <w:pPr>
              <w:tabs>
                <w:tab w:val="left" w:pos="567"/>
              </w:tabs>
              <w:rPr>
                <w:bCs/>
                <w:spacing w:val="-2"/>
                <w:szCs w:val="22"/>
                <w:lang w:val="hu-HU"/>
              </w:rPr>
            </w:pPr>
          </w:p>
        </w:tc>
      </w:tr>
      <w:tr w:rsidR="00653D32" w14:paraId="47EE930B" w14:textId="77777777">
        <w:trPr>
          <w:cantSplit/>
        </w:trPr>
        <w:tc>
          <w:tcPr>
            <w:tcW w:w="1593" w:type="dxa"/>
            <w:tcBorders>
              <w:top w:val="single" w:sz="4" w:space="0" w:color="auto"/>
              <w:left w:val="single" w:sz="4" w:space="0" w:color="auto"/>
              <w:bottom w:val="single" w:sz="4" w:space="0" w:color="auto"/>
              <w:right w:val="single" w:sz="4" w:space="0" w:color="auto"/>
            </w:tcBorders>
          </w:tcPr>
          <w:p w14:paraId="2B443888" w14:textId="77777777" w:rsidR="00653D32" w:rsidRDefault="00502314">
            <w:pPr>
              <w:tabs>
                <w:tab w:val="left" w:pos="567"/>
              </w:tabs>
              <w:rPr>
                <w:b/>
                <w:spacing w:val="-2"/>
                <w:szCs w:val="22"/>
                <w:lang w:val="hu-HU"/>
              </w:rPr>
            </w:pPr>
            <w:r>
              <w:rPr>
                <w:b/>
                <w:spacing w:val="-2"/>
                <w:szCs w:val="22"/>
                <w:lang w:val="hu-HU"/>
              </w:rPr>
              <w:t>Vérképzőszervi és nyirokrendszeri betegségek</w:t>
            </w:r>
            <w:r>
              <w:rPr>
                <w:b/>
                <w:bCs/>
                <w:spacing w:val="-2"/>
                <w:szCs w:val="22"/>
                <w:lang w:val="hu-HU"/>
              </w:rPr>
              <w:t xml:space="preserve"> és tünetek</w:t>
            </w:r>
          </w:p>
        </w:tc>
        <w:tc>
          <w:tcPr>
            <w:tcW w:w="1666" w:type="dxa"/>
            <w:tcBorders>
              <w:top w:val="single" w:sz="4" w:space="0" w:color="auto"/>
              <w:left w:val="single" w:sz="4" w:space="0" w:color="auto"/>
              <w:bottom w:val="single" w:sz="4" w:space="0" w:color="auto"/>
              <w:right w:val="single" w:sz="4" w:space="0" w:color="auto"/>
            </w:tcBorders>
          </w:tcPr>
          <w:p w14:paraId="7339950A"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0317A675" w14:textId="77777777" w:rsidR="00653D32" w:rsidRDefault="00502314">
            <w:pPr>
              <w:tabs>
                <w:tab w:val="left" w:pos="567"/>
              </w:tabs>
              <w:rPr>
                <w:bCs/>
                <w:spacing w:val="-2"/>
                <w:szCs w:val="22"/>
                <w:lang w:val="hu-HU"/>
              </w:rPr>
            </w:pPr>
            <w:r>
              <w:rPr>
                <w:bCs/>
                <w:spacing w:val="-2"/>
                <w:szCs w:val="22"/>
                <w:lang w:val="hu-HU"/>
              </w:rPr>
              <w:t>anaemia</w:t>
            </w:r>
          </w:p>
          <w:p w14:paraId="3D5999DD" w14:textId="77777777" w:rsidR="00653D32" w:rsidRDefault="00502314">
            <w:pPr>
              <w:tabs>
                <w:tab w:val="left" w:pos="567"/>
              </w:tabs>
              <w:rPr>
                <w:bCs/>
                <w:spacing w:val="-2"/>
                <w:szCs w:val="22"/>
                <w:lang w:val="hu-HU"/>
              </w:rPr>
            </w:pPr>
            <w:r>
              <w:rPr>
                <w:bCs/>
                <w:spacing w:val="-2"/>
                <w:szCs w:val="22"/>
                <w:lang w:val="hu-HU"/>
              </w:rPr>
              <w:t>leukopenia(-ák)</w:t>
            </w:r>
          </w:p>
          <w:p w14:paraId="31709871" w14:textId="77777777" w:rsidR="00653D32" w:rsidRDefault="00502314">
            <w:pPr>
              <w:tabs>
                <w:tab w:val="left" w:pos="567"/>
              </w:tabs>
              <w:rPr>
                <w:bCs/>
                <w:spacing w:val="-2"/>
                <w:szCs w:val="22"/>
                <w:lang w:val="hu-HU"/>
              </w:rPr>
            </w:pPr>
            <w:r>
              <w:rPr>
                <w:bCs/>
                <w:spacing w:val="-2"/>
                <w:szCs w:val="22"/>
                <w:lang w:val="hu-HU"/>
              </w:rPr>
              <w:t>neutropenia</w:t>
            </w:r>
          </w:p>
          <w:p w14:paraId="4794F9C5" w14:textId="77777777" w:rsidR="00653D32" w:rsidRDefault="00502314">
            <w:pPr>
              <w:tabs>
                <w:tab w:val="left" w:pos="567"/>
              </w:tabs>
              <w:rPr>
                <w:bCs/>
                <w:spacing w:val="-2"/>
                <w:szCs w:val="22"/>
                <w:lang w:val="hu-HU"/>
              </w:rPr>
            </w:pPr>
            <w:r>
              <w:rPr>
                <w:bCs/>
                <w:spacing w:val="-2"/>
                <w:szCs w:val="22"/>
                <w:lang w:val="hu-HU"/>
              </w:rPr>
              <w:t>thrombocytopenia</w:t>
            </w:r>
          </w:p>
          <w:p w14:paraId="393EE8C9" w14:textId="77777777" w:rsidR="00653D32" w:rsidRDefault="00502314">
            <w:pPr>
              <w:tabs>
                <w:tab w:val="left" w:pos="567"/>
              </w:tabs>
              <w:rPr>
                <w:bCs/>
                <w:spacing w:val="-2"/>
                <w:szCs w:val="22"/>
                <w:lang w:val="hu-HU"/>
              </w:rPr>
            </w:pPr>
            <w:r>
              <w:rPr>
                <w:bCs/>
                <w:spacing w:val="-2"/>
                <w:szCs w:val="22"/>
                <w:lang w:val="hu-HU"/>
              </w:rPr>
              <w:t>thrombocythaemia</w:t>
            </w:r>
          </w:p>
          <w:p w14:paraId="3D754847" w14:textId="77777777" w:rsidR="00653D32" w:rsidRDefault="00502314">
            <w:pPr>
              <w:tabs>
                <w:tab w:val="left" w:pos="567"/>
              </w:tabs>
              <w:rPr>
                <w:bCs/>
                <w:spacing w:val="-2"/>
                <w:szCs w:val="22"/>
                <w:lang w:val="hu-HU"/>
              </w:rPr>
            </w:pPr>
            <w:r>
              <w:rPr>
                <w:bCs/>
                <w:spacing w:val="-2"/>
                <w:szCs w:val="22"/>
                <w:lang w:val="hu-HU"/>
              </w:rPr>
              <w:t>eosinophilia</w:t>
            </w:r>
          </w:p>
          <w:p w14:paraId="57629CCA" w14:textId="77777777" w:rsidR="00653D32" w:rsidRDefault="00502314">
            <w:pPr>
              <w:tabs>
                <w:tab w:val="left" w:pos="567"/>
              </w:tabs>
              <w:rPr>
                <w:bCs/>
                <w:spacing w:val="-2"/>
                <w:szCs w:val="22"/>
                <w:lang w:val="hu-HU"/>
              </w:rPr>
            </w:pPr>
            <w:r>
              <w:rPr>
                <w:bCs/>
                <w:spacing w:val="-2"/>
                <w:szCs w:val="22"/>
                <w:lang w:val="hu-HU"/>
              </w:rPr>
              <w:t>megnyúlt prothrombin idő/emelkedett INR-érték</w:t>
            </w:r>
          </w:p>
        </w:tc>
        <w:tc>
          <w:tcPr>
            <w:tcW w:w="1666" w:type="dxa"/>
            <w:tcBorders>
              <w:top w:val="single" w:sz="4" w:space="0" w:color="auto"/>
              <w:left w:val="single" w:sz="4" w:space="0" w:color="auto"/>
              <w:bottom w:val="single" w:sz="4" w:space="0" w:color="auto"/>
              <w:right w:val="single" w:sz="4" w:space="0" w:color="auto"/>
            </w:tcBorders>
          </w:tcPr>
          <w:p w14:paraId="7D25D8C8"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2FFA63F9" w14:textId="77777777" w:rsidR="00653D32" w:rsidRDefault="00502314">
            <w:pPr>
              <w:tabs>
                <w:tab w:val="left" w:pos="567"/>
              </w:tabs>
              <w:suppressAutoHyphens/>
              <w:rPr>
                <w:bCs/>
                <w:spacing w:val="-2"/>
                <w:szCs w:val="22"/>
                <w:lang w:val="hu-HU"/>
              </w:rPr>
            </w:pPr>
            <w:r>
              <w:rPr>
                <w:bCs/>
                <w:spacing w:val="-2"/>
                <w:szCs w:val="22"/>
                <w:lang w:val="hu-HU"/>
              </w:rPr>
              <w:t>emelkedett prothrombin szint/</w:t>
            </w:r>
          </w:p>
          <w:p w14:paraId="33DA0FEA" w14:textId="77777777" w:rsidR="00653D32" w:rsidRDefault="00502314">
            <w:pPr>
              <w:tabs>
                <w:tab w:val="left" w:pos="567"/>
              </w:tabs>
              <w:suppressAutoHyphens/>
              <w:rPr>
                <w:bCs/>
                <w:spacing w:val="-2"/>
                <w:szCs w:val="22"/>
                <w:lang w:val="hu-HU"/>
              </w:rPr>
            </w:pPr>
            <w:r>
              <w:rPr>
                <w:bCs/>
                <w:spacing w:val="-2"/>
                <w:szCs w:val="22"/>
                <w:lang w:val="hu-HU"/>
              </w:rPr>
              <w:t>csökkent INR</w:t>
            </w:r>
          </w:p>
          <w:p w14:paraId="4FA15049" w14:textId="77777777" w:rsidR="00653D32" w:rsidRDefault="00502314">
            <w:pPr>
              <w:tabs>
                <w:tab w:val="left" w:pos="567"/>
              </w:tabs>
              <w:suppressAutoHyphens/>
              <w:rPr>
                <w:bCs/>
                <w:spacing w:val="-2"/>
                <w:szCs w:val="22"/>
                <w:lang w:val="hu-HU"/>
              </w:rPr>
            </w:pPr>
            <w:r>
              <w:rPr>
                <w:spacing w:val="-2"/>
                <w:szCs w:val="22"/>
                <w:lang w:val="hu-HU"/>
              </w:rPr>
              <w:t xml:space="preserve">agranulocytosis, pancytopenia </w:t>
            </w:r>
          </w:p>
        </w:tc>
        <w:tc>
          <w:tcPr>
            <w:tcW w:w="1666" w:type="dxa"/>
            <w:tcBorders>
              <w:top w:val="single" w:sz="4" w:space="0" w:color="auto"/>
              <w:left w:val="single" w:sz="4" w:space="0" w:color="auto"/>
              <w:bottom w:val="single" w:sz="4" w:space="0" w:color="auto"/>
              <w:right w:val="single" w:sz="4" w:space="0" w:color="auto"/>
            </w:tcBorders>
          </w:tcPr>
          <w:p w14:paraId="7A91D6E9" w14:textId="77777777" w:rsidR="00653D32" w:rsidRDefault="00653D32">
            <w:pPr>
              <w:tabs>
                <w:tab w:val="left" w:pos="567"/>
              </w:tabs>
              <w:suppressAutoHyphens/>
              <w:rPr>
                <w:bCs/>
                <w:spacing w:val="-2"/>
                <w:szCs w:val="22"/>
                <w:lang w:val="hu-HU"/>
              </w:rPr>
            </w:pPr>
          </w:p>
        </w:tc>
      </w:tr>
      <w:tr w:rsidR="00653D32" w14:paraId="74213049" w14:textId="77777777">
        <w:trPr>
          <w:cantSplit/>
        </w:trPr>
        <w:tc>
          <w:tcPr>
            <w:tcW w:w="1593" w:type="dxa"/>
            <w:tcBorders>
              <w:top w:val="single" w:sz="4" w:space="0" w:color="auto"/>
              <w:left w:val="single" w:sz="4" w:space="0" w:color="auto"/>
              <w:bottom w:val="single" w:sz="4" w:space="0" w:color="auto"/>
              <w:right w:val="single" w:sz="4" w:space="0" w:color="auto"/>
            </w:tcBorders>
          </w:tcPr>
          <w:p w14:paraId="268BE424" w14:textId="77777777" w:rsidR="00653D32" w:rsidRDefault="00502314">
            <w:pPr>
              <w:tabs>
                <w:tab w:val="left" w:pos="567"/>
              </w:tabs>
              <w:rPr>
                <w:b/>
                <w:spacing w:val="-2"/>
                <w:szCs w:val="22"/>
                <w:lang w:val="hu-HU"/>
              </w:rPr>
            </w:pPr>
            <w:r>
              <w:rPr>
                <w:b/>
                <w:spacing w:val="-2"/>
                <w:szCs w:val="22"/>
                <w:lang w:val="hu-HU"/>
              </w:rPr>
              <w:lastRenderedPageBreak/>
              <w:t>Immunrendszeri betegségek</w:t>
            </w:r>
            <w:r>
              <w:rPr>
                <w:b/>
                <w:bCs/>
                <w:spacing w:val="-2"/>
                <w:szCs w:val="22"/>
                <w:lang w:val="hu-HU"/>
              </w:rPr>
              <w:t xml:space="preserve"> és tünetek</w:t>
            </w:r>
          </w:p>
        </w:tc>
        <w:tc>
          <w:tcPr>
            <w:tcW w:w="1666" w:type="dxa"/>
            <w:tcBorders>
              <w:top w:val="single" w:sz="4" w:space="0" w:color="auto"/>
              <w:left w:val="single" w:sz="4" w:space="0" w:color="auto"/>
              <w:bottom w:val="single" w:sz="4" w:space="0" w:color="auto"/>
              <w:right w:val="single" w:sz="4" w:space="0" w:color="auto"/>
            </w:tcBorders>
          </w:tcPr>
          <w:p w14:paraId="5FBBF611"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8DBE4D5" w14:textId="77777777" w:rsidR="00653D32" w:rsidRDefault="00502314">
            <w:pPr>
              <w:tabs>
                <w:tab w:val="left" w:pos="567"/>
              </w:tabs>
              <w:rPr>
                <w:bCs/>
                <w:spacing w:val="-2"/>
                <w:szCs w:val="22"/>
                <w:lang w:val="hu-HU"/>
              </w:rPr>
            </w:pPr>
            <w:r>
              <w:rPr>
                <w:bCs/>
                <w:spacing w:val="-2"/>
                <w:szCs w:val="22"/>
                <w:lang w:val="hu-HU"/>
              </w:rPr>
              <w:t>allergiás reakció (lásd 4.4 pont)</w:t>
            </w:r>
          </w:p>
        </w:tc>
        <w:tc>
          <w:tcPr>
            <w:tcW w:w="1666" w:type="dxa"/>
            <w:tcBorders>
              <w:top w:val="single" w:sz="4" w:space="0" w:color="auto"/>
              <w:left w:val="single" w:sz="4" w:space="0" w:color="auto"/>
              <w:bottom w:val="single" w:sz="4" w:space="0" w:color="auto"/>
              <w:right w:val="single" w:sz="4" w:space="0" w:color="auto"/>
            </w:tcBorders>
          </w:tcPr>
          <w:p w14:paraId="36E6A67B" w14:textId="77777777" w:rsidR="00653D32" w:rsidRDefault="00502314">
            <w:pPr>
              <w:tabs>
                <w:tab w:val="left" w:pos="567"/>
              </w:tabs>
              <w:rPr>
                <w:bCs/>
                <w:spacing w:val="-2"/>
                <w:szCs w:val="22"/>
                <w:lang w:val="hu-HU"/>
              </w:rPr>
            </w:pPr>
            <w:r>
              <w:rPr>
                <w:bCs/>
                <w:spacing w:val="-2"/>
                <w:szCs w:val="22"/>
                <w:lang w:val="hu-HU"/>
              </w:rPr>
              <w:t>anaphylaxiás reakció, beleértve a nagyon ritkán előforduló, életveszélyes sokkot (lásd 4.4 pont)</w:t>
            </w:r>
          </w:p>
          <w:p w14:paraId="498D9420" w14:textId="77777777" w:rsidR="00653D32" w:rsidRDefault="00653D32">
            <w:pPr>
              <w:tabs>
                <w:tab w:val="left" w:pos="567"/>
              </w:tabs>
              <w:rPr>
                <w:bCs/>
                <w:spacing w:val="-2"/>
                <w:szCs w:val="22"/>
                <w:lang w:val="hu-HU"/>
              </w:rPr>
            </w:pPr>
          </w:p>
          <w:p w14:paraId="5778687D" w14:textId="77777777" w:rsidR="00653D32" w:rsidRDefault="00502314">
            <w:pPr>
              <w:tabs>
                <w:tab w:val="left" w:pos="567"/>
              </w:tabs>
              <w:rPr>
                <w:bCs/>
                <w:spacing w:val="-2"/>
                <w:szCs w:val="22"/>
                <w:lang w:val="hu-HU"/>
              </w:rPr>
            </w:pPr>
            <w:r>
              <w:rPr>
                <w:bCs/>
                <w:spacing w:val="-2"/>
                <w:szCs w:val="22"/>
                <w:lang w:val="hu-HU"/>
              </w:rPr>
              <w:t xml:space="preserve">allergiás oedema/ angiooedema (beleértve </w:t>
            </w:r>
            <w:r>
              <w:rPr>
                <w:spacing w:val="-2"/>
                <w:szCs w:val="22"/>
                <w:lang w:val="hu-HU"/>
              </w:rPr>
              <w:t xml:space="preserve">a potenciálisan életveszélyes gégeödémát is, </w:t>
            </w:r>
            <w:r>
              <w:rPr>
                <w:bCs/>
                <w:spacing w:val="-2"/>
                <w:szCs w:val="22"/>
                <w:lang w:val="hu-HU"/>
              </w:rPr>
              <w:t>lásd 4.4 pont)</w:t>
            </w:r>
          </w:p>
        </w:tc>
        <w:tc>
          <w:tcPr>
            <w:tcW w:w="1666" w:type="dxa"/>
            <w:tcBorders>
              <w:top w:val="single" w:sz="4" w:space="0" w:color="auto"/>
              <w:left w:val="single" w:sz="4" w:space="0" w:color="auto"/>
              <w:bottom w:val="single" w:sz="4" w:space="0" w:color="auto"/>
              <w:right w:val="single" w:sz="4" w:space="0" w:color="auto"/>
            </w:tcBorders>
          </w:tcPr>
          <w:p w14:paraId="414D6D95"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5271D5BA" w14:textId="77777777" w:rsidR="00653D32" w:rsidRDefault="00653D32">
            <w:pPr>
              <w:tabs>
                <w:tab w:val="left" w:pos="567"/>
              </w:tabs>
              <w:rPr>
                <w:bCs/>
                <w:spacing w:val="-2"/>
                <w:szCs w:val="22"/>
                <w:lang w:val="hu-HU"/>
              </w:rPr>
            </w:pPr>
          </w:p>
        </w:tc>
      </w:tr>
      <w:tr w:rsidR="00653D32" w14:paraId="40DA8CAD" w14:textId="77777777">
        <w:trPr>
          <w:cantSplit/>
        </w:trPr>
        <w:tc>
          <w:tcPr>
            <w:tcW w:w="1593" w:type="dxa"/>
            <w:tcBorders>
              <w:top w:val="single" w:sz="4" w:space="0" w:color="auto"/>
              <w:left w:val="single" w:sz="4" w:space="0" w:color="auto"/>
              <w:bottom w:val="single" w:sz="4" w:space="0" w:color="auto"/>
              <w:right w:val="single" w:sz="4" w:space="0" w:color="auto"/>
            </w:tcBorders>
          </w:tcPr>
          <w:p w14:paraId="38465A0E" w14:textId="77777777" w:rsidR="00653D32" w:rsidRDefault="00502314">
            <w:pPr>
              <w:tabs>
                <w:tab w:val="left" w:pos="567"/>
              </w:tabs>
              <w:rPr>
                <w:b/>
                <w:spacing w:val="-2"/>
                <w:szCs w:val="22"/>
                <w:lang w:val="hu-HU"/>
              </w:rPr>
            </w:pPr>
            <w:r>
              <w:rPr>
                <w:b/>
                <w:spacing w:val="-2"/>
                <w:szCs w:val="22"/>
                <w:lang w:val="hu-HU"/>
              </w:rPr>
              <w:t>Endokrin betegségek</w:t>
            </w:r>
          </w:p>
        </w:tc>
        <w:tc>
          <w:tcPr>
            <w:tcW w:w="1666" w:type="dxa"/>
            <w:tcBorders>
              <w:top w:val="single" w:sz="4" w:space="0" w:color="auto"/>
              <w:left w:val="single" w:sz="4" w:space="0" w:color="auto"/>
              <w:bottom w:val="single" w:sz="4" w:space="0" w:color="auto"/>
              <w:right w:val="single" w:sz="4" w:space="0" w:color="auto"/>
            </w:tcBorders>
          </w:tcPr>
          <w:p w14:paraId="7DF99689"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6B110299"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069D991A"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6707351D" w14:textId="77777777" w:rsidR="00653D32" w:rsidRDefault="00502314">
            <w:pPr>
              <w:tabs>
                <w:tab w:val="left" w:pos="567"/>
              </w:tabs>
              <w:rPr>
                <w:bCs/>
                <w:spacing w:val="-2"/>
                <w:szCs w:val="22"/>
                <w:lang w:val="hu-HU"/>
              </w:rPr>
            </w:pPr>
            <w:r>
              <w:rPr>
                <w:bCs/>
                <w:spacing w:val="-2"/>
                <w:szCs w:val="22"/>
                <w:lang w:val="hu-HU"/>
              </w:rPr>
              <w:t>nem megfelelő antidiuretikushormon-termelés szindróma (SIADH)</w:t>
            </w:r>
          </w:p>
        </w:tc>
        <w:tc>
          <w:tcPr>
            <w:tcW w:w="1666" w:type="dxa"/>
            <w:tcBorders>
              <w:top w:val="single" w:sz="4" w:space="0" w:color="auto"/>
              <w:left w:val="single" w:sz="4" w:space="0" w:color="auto"/>
              <w:bottom w:val="single" w:sz="4" w:space="0" w:color="auto"/>
              <w:right w:val="single" w:sz="4" w:space="0" w:color="auto"/>
            </w:tcBorders>
          </w:tcPr>
          <w:p w14:paraId="1A8D7BFE" w14:textId="77777777" w:rsidR="00653D32" w:rsidRDefault="00653D32">
            <w:pPr>
              <w:tabs>
                <w:tab w:val="left" w:pos="567"/>
              </w:tabs>
              <w:rPr>
                <w:lang w:val="hu-HU"/>
              </w:rPr>
            </w:pPr>
          </w:p>
        </w:tc>
      </w:tr>
      <w:tr w:rsidR="00653D32" w14:paraId="27D213D5" w14:textId="77777777">
        <w:trPr>
          <w:cantSplit/>
        </w:trPr>
        <w:tc>
          <w:tcPr>
            <w:tcW w:w="1593" w:type="dxa"/>
            <w:tcBorders>
              <w:top w:val="single" w:sz="4" w:space="0" w:color="auto"/>
              <w:left w:val="single" w:sz="4" w:space="0" w:color="auto"/>
              <w:bottom w:val="single" w:sz="4" w:space="0" w:color="auto"/>
              <w:right w:val="single" w:sz="4" w:space="0" w:color="auto"/>
            </w:tcBorders>
          </w:tcPr>
          <w:p w14:paraId="1B5394AD" w14:textId="77777777" w:rsidR="00653D32" w:rsidRDefault="00502314">
            <w:pPr>
              <w:tabs>
                <w:tab w:val="left" w:pos="567"/>
              </w:tabs>
              <w:rPr>
                <w:b/>
                <w:spacing w:val="-2"/>
                <w:szCs w:val="22"/>
                <w:lang w:val="hu-HU"/>
              </w:rPr>
            </w:pPr>
            <w:r>
              <w:rPr>
                <w:b/>
                <w:spacing w:val="-2"/>
                <w:szCs w:val="22"/>
                <w:lang w:val="hu-HU"/>
              </w:rPr>
              <w:t xml:space="preserve">Anyagcsere- és táplálkozási betegségek </w:t>
            </w:r>
            <w:r>
              <w:rPr>
                <w:b/>
                <w:bCs/>
                <w:spacing w:val="-2"/>
                <w:szCs w:val="22"/>
                <w:lang w:val="hu-HU"/>
              </w:rPr>
              <w:t>és tünetek</w:t>
            </w:r>
          </w:p>
        </w:tc>
        <w:tc>
          <w:tcPr>
            <w:tcW w:w="1666" w:type="dxa"/>
            <w:tcBorders>
              <w:top w:val="single" w:sz="4" w:space="0" w:color="auto"/>
              <w:left w:val="single" w:sz="4" w:space="0" w:color="auto"/>
              <w:bottom w:val="single" w:sz="4" w:space="0" w:color="auto"/>
              <w:right w:val="single" w:sz="4" w:space="0" w:color="auto"/>
            </w:tcBorders>
          </w:tcPr>
          <w:p w14:paraId="707B83CA"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D7BDF82" w14:textId="77777777" w:rsidR="00653D32" w:rsidRDefault="00502314">
            <w:pPr>
              <w:tabs>
                <w:tab w:val="left" w:pos="567"/>
              </w:tabs>
              <w:rPr>
                <w:bCs/>
                <w:spacing w:val="-2"/>
                <w:szCs w:val="22"/>
                <w:lang w:val="hu-HU"/>
              </w:rPr>
            </w:pPr>
            <w:r>
              <w:rPr>
                <w:bCs/>
                <w:spacing w:val="-2"/>
                <w:szCs w:val="22"/>
                <w:lang w:val="hu-HU"/>
              </w:rPr>
              <w:t>hyperlipidemia</w:t>
            </w:r>
          </w:p>
        </w:tc>
        <w:tc>
          <w:tcPr>
            <w:tcW w:w="1666" w:type="dxa"/>
            <w:tcBorders>
              <w:top w:val="single" w:sz="4" w:space="0" w:color="auto"/>
              <w:left w:val="single" w:sz="4" w:space="0" w:color="auto"/>
              <w:bottom w:val="single" w:sz="4" w:space="0" w:color="auto"/>
              <w:right w:val="single" w:sz="4" w:space="0" w:color="auto"/>
            </w:tcBorders>
          </w:tcPr>
          <w:p w14:paraId="243A5346" w14:textId="77777777" w:rsidR="00653D32" w:rsidRDefault="00502314">
            <w:pPr>
              <w:tabs>
                <w:tab w:val="left" w:pos="567"/>
              </w:tabs>
              <w:rPr>
                <w:bCs/>
                <w:spacing w:val="-2"/>
                <w:szCs w:val="22"/>
                <w:lang w:val="hu-HU"/>
              </w:rPr>
            </w:pPr>
            <w:r>
              <w:rPr>
                <w:bCs/>
                <w:spacing w:val="-2"/>
                <w:szCs w:val="22"/>
                <w:lang w:val="hu-HU"/>
              </w:rPr>
              <w:t>hyperglykaemia</w:t>
            </w:r>
          </w:p>
          <w:p w14:paraId="6C995E1F" w14:textId="77777777" w:rsidR="00653D32" w:rsidRDefault="00502314">
            <w:pPr>
              <w:tabs>
                <w:tab w:val="left" w:pos="567"/>
              </w:tabs>
              <w:rPr>
                <w:bCs/>
                <w:spacing w:val="-2"/>
                <w:szCs w:val="22"/>
                <w:lang w:val="hu-HU"/>
              </w:rPr>
            </w:pPr>
            <w:r>
              <w:rPr>
                <w:bCs/>
                <w:spacing w:val="-2"/>
                <w:szCs w:val="22"/>
                <w:lang w:val="hu-HU"/>
              </w:rPr>
              <w:t>hyperuricaemia</w:t>
            </w:r>
          </w:p>
        </w:tc>
        <w:tc>
          <w:tcPr>
            <w:tcW w:w="1666" w:type="dxa"/>
            <w:tcBorders>
              <w:top w:val="single" w:sz="4" w:space="0" w:color="auto"/>
              <w:left w:val="single" w:sz="4" w:space="0" w:color="auto"/>
              <w:bottom w:val="single" w:sz="4" w:space="0" w:color="auto"/>
              <w:right w:val="single" w:sz="4" w:space="0" w:color="auto"/>
            </w:tcBorders>
          </w:tcPr>
          <w:p w14:paraId="52BCC638" w14:textId="77777777" w:rsidR="00653D32" w:rsidRDefault="00502314">
            <w:pPr>
              <w:tabs>
                <w:tab w:val="left" w:pos="567"/>
              </w:tabs>
              <w:rPr>
                <w:bCs/>
                <w:spacing w:val="-2"/>
                <w:szCs w:val="22"/>
                <w:lang w:val="hu-HU"/>
              </w:rPr>
            </w:pPr>
            <w:r>
              <w:rPr>
                <w:bCs/>
                <w:spacing w:val="-2"/>
                <w:szCs w:val="22"/>
                <w:lang w:val="hu-HU"/>
              </w:rPr>
              <w:t>hypoglykaemia, hypoglykaemiás kóma (lásd 4.4 pont)</w:t>
            </w:r>
          </w:p>
        </w:tc>
        <w:tc>
          <w:tcPr>
            <w:tcW w:w="1666" w:type="dxa"/>
            <w:tcBorders>
              <w:top w:val="single" w:sz="4" w:space="0" w:color="auto"/>
              <w:left w:val="single" w:sz="4" w:space="0" w:color="auto"/>
              <w:bottom w:val="single" w:sz="4" w:space="0" w:color="auto"/>
              <w:right w:val="single" w:sz="4" w:space="0" w:color="auto"/>
            </w:tcBorders>
          </w:tcPr>
          <w:p w14:paraId="2F0D2F08" w14:textId="77777777" w:rsidR="00653D32" w:rsidRDefault="00653D32">
            <w:pPr>
              <w:tabs>
                <w:tab w:val="left" w:pos="567"/>
              </w:tabs>
              <w:rPr>
                <w:bCs/>
                <w:spacing w:val="-2"/>
                <w:szCs w:val="22"/>
                <w:lang w:val="hu-HU"/>
              </w:rPr>
            </w:pPr>
          </w:p>
        </w:tc>
      </w:tr>
      <w:tr w:rsidR="00653D32" w14:paraId="04682038" w14:textId="77777777">
        <w:trPr>
          <w:cantSplit/>
        </w:trPr>
        <w:tc>
          <w:tcPr>
            <w:tcW w:w="1593" w:type="dxa"/>
            <w:tcBorders>
              <w:top w:val="single" w:sz="4" w:space="0" w:color="auto"/>
              <w:left w:val="single" w:sz="4" w:space="0" w:color="auto"/>
              <w:bottom w:val="single" w:sz="4" w:space="0" w:color="auto"/>
              <w:right w:val="single" w:sz="4" w:space="0" w:color="auto"/>
            </w:tcBorders>
          </w:tcPr>
          <w:p w14:paraId="414FA89F" w14:textId="77777777" w:rsidR="00653D32" w:rsidRDefault="00502314">
            <w:pPr>
              <w:tabs>
                <w:tab w:val="left" w:pos="567"/>
              </w:tabs>
              <w:rPr>
                <w:b/>
                <w:spacing w:val="-2"/>
                <w:szCs w:val="22"/>
                <w:lang w:val="hu-HU"/>
              </w:rPr>
            </w:pPr>
            <w:r>
              <w:rPr>
                <w:b/>
                <w:spacing w:val="-2"/>
                <w:szCs w:val="22"/>
                <w:lang w:val="hu-HU"/>
              </w:rPr>
              <w:t xml:space="preserve">Pszichiátriai </w:t>
            </w:r>
            <w:r>
              <w:rPr>
                <w:b/>
                <w:bCs/>
                <w:spacing w:val="-2"/>
                <w:szCs w:val="22"/>
                <w:lang w:val="hu-HU"/>
              </w:rPr>
              <w:t>kórképek*</w:t>
            </w:r>
          </w:p>
        </w:tc>
        <w:tc>
          <w:tcPr>
            <w:tcW w:w="1666" w:type="dxa"/>
            <w:tcBorders>
              <w:top w:val="single" w:sz="4" w:space="0" w:color="auto"/>
              <w:left w:val="single" w:sz="4" w:space="0" w:color="auto"/>
              <w:bottom w:val="single" w:sz="4" w:space="0" w:color="auto"/>
              <w:right w:val="single" w:sz="4" w:space="0" w:color="auto"/>
            </w:tcBorders>
          </w:tcPr>
          <w:p w14:paraId="2804B83A"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581C4217" w14:textId="77777777" w:rsidR="00653D32" w:rsidRDefault="00502314">
            <w:pPr>
              <w:tabs>
                <w:tab w:val="left" w:pos="567"/>
              </w:tabs>
              <w:rPr>
                <w:bCs/>
                <w:spacing w:val="-2"/>
                <w:szCs w:val="22"/>
                <w:lang w:val="hu-HU"/>
              </w:rPr>
            </w:pPr>
            <w:r>
              <w:rPr>
                <w:bCs/>
                <w:spacing w:val="-2"/>
                <w:szCs w:val="22"/>
                <w:lang w:val="hu-HU"/>
              </w:rPr>
              <w:t>szorongásos reakciók</w:t>
            </w:r>
          </w:p>
          <w:p w14:paraId="4F204EF6" w14:textId="77777777" w:rsidR="00653D32" w:rsidRDefault="00653D32">
            <w:pPr>
              <w:tabs>
                <w:tab w:val="left" w:pos="567"/>
              </w:tabs>
              <w:rPr>
                <w:bCs/>
                <w:spacing w:val="-2"/>
                <w:szCs w:val="22"/>
                <w:lang w:val="hu-HU"/>
              </w:rPr>
            </w:pPr>
          </w:p>
          <w:p w14:paraId="25820EB5" w14:textId="77777777" w:rsidR="00653D32" w:rsidRDefault="00502314">
            <w:pPr>
              <w:tabs>
                <w:tab w:val="left" w:pos="567"/>
              </w:tabs>
              <w:rPr>
                <w:bCs/>
                <w:spacing w:val="-2"/>
                <w:szCs w:val="22"/>
                <w:lang w:val="hu-HU"/>
              </w:rPr>
            </w:pPr>
            <w:r>
              <w:rPr>
                <w:bCs/>
                <w:spacing w:val="-2"/>
                <w:szCs w:val="22"/>
                <w:lang w:val="hu-HU"/>
              </w:rPr>
              <w:t>psychomotoros hyperaktivitás/ izgatottság</w:t>
            </w:r>
          </w:p>
        </w:tc>
        <w:tc>
          <w:tcPr>
            <w:tcW w:w="1666" w:type="dxa"/>
            <w:tcBorders>
              <w:top w:val="single" w:sz="4" w:space="0" w:color="auto"/>
              <w:left w:val="single" w:sz="4" w:space="0" w:color="auto"/>
              <w:bottom w:val="single" w:sz="4" w:space="0" w:color="auto"/>
              <w:right w:val="single" w:sz="4" w:space="0" w:color="auto"/>
            </w:tcBorders>
          </w:tcPr>
          <w:p w14:paraId="097AF958" w14:textId="77777777" w:rsidR="00653D32" w:rsidRDefault="00502314">
            <w:pPr>
              <w:tabs>
                <w:tab w:val="left" w:pos="567"/>
              </w:tabs>
              <w:rPr>
                <w:bCs/>
                <w:spacing w:val="-2"/>
                <w:szCs w:val="22"/>
                <w:lang w:val="hu-HU"/>
              </w:rPr>
            </w:pPr>
            <w:r>
              <w:rPr>
                <w:bCs/>
                <w:spacing w:val="-2"/>
                <w:szCs w:val="22"/>
                <w:lang w:val="hu-HU"/>
              </w:rPr>
              <w:t>érzelmi labilitás</w:t>
            </w:r>
          </w:p>
          <w:p w14:paraId="4DBC524D" w14:textId="77777777" w:rsidR="00653D32" w:rsidRDefault="00502314">
            <w:pPr>
              <w:autoSpaceDE w:val="0"/>
              <w:autoSpaceDN w:val="0"/>
              <w:rPr>
                <w:bCs/>
                <w:spacing w:val="-2"/>
                <w:szCs w:val="22"/>
                <w:lang w:val="hu-HU"/>
              </w:rPr>
            </w:pPr>
            <w:r>
              <w:rPr>
                <w:bCs/>
                <w:spacing w:val="-2"/>
                <w:szCs w:val="22"/>
                <w:lang w:val="hu-HU"/>
              </w:rPr>
              <w:t>depresszió (rendkívül ritkán önkárosító magatartásig fokozódhat</w:t>
            </w:r>
            <w:r>
              <w:rPr>
                <w:spacing w:val="-2"/>
                <w:szCs w:val="22"/>
                <w:lang w:val="hu-HU"/>
              </w:rPr>
              <w:t>, pl. öngyilkossági gondolatok vagy öngyilkossági kísérletek, lásd 4.4 pont)</w:t>
            </w:r>
          </w:p>
          <w:p w14:paraId="4CAE29B1" w14:textId="77777777" w:rsidR="00653D32" w:rsidRDefault="00502314">
            <w:pPr>
              <w:tabs>
                <w:tab w:val="left" w:pos="567"/>
              </w:tabs>
              <w:rPr>
                <w:bCs/>
                <w:spacing w:val="-2"/>
                <w:szCs w:val="22"/>
                <w:lang w:val="hu-HU"/>
              </w:rPr>
            </w:pPr>
            <w:r>
              <w:rPr>
                <w:bCs/>
                <w:spacing w:val="-2"/>
                <w:szCs w:val="22"/>
                <w:lang w:val="hu-HU"/>
              </w:rPr>
              <w:t>hallucináció, delírium</w:t>
            </w:r>
          </w:p>
        </w:tc>
        <w:tc>
          <w:tcPr>
            <w:tcW w:w="1666" w:type="dxa"/>
            <w:tcBorders>
              <w:top w:val="single" w:sz="4" w:space="0" w:color="auto"/>
              <w:left w:val="single" w:sz="4" w:space="0" w:color="auto"/>
              <w:bottom w:val="single" w:sz="4" w:space="0" w:color="auto"/>
              <w:right w:val="single" w:sz="4" w:space="0" w:color="auto"/>
            </w:tcBorders>
          </w:tcPr>
          <w:p w14:paraId="50823D59" w14:textId="77777777" w:rsidR="00653D32" w:rsidRDefault="00502314">
            <w:pPr>
              <w:tabs>
                <w:tab w:val="left" w:pos="567"/>
              </w:tabs>
              <w:rPr>
                <w:bCs/>
                <w:spacing w:val="-2"/>
                <w:szCs w:val="22"/>
                <w:lang w:val="hu-HU"/>
              </w:rPr>
            </w:pPr>
            <w:r>
              <w:rPr>
                <w:bCs/>
                <w:spacing w:val="-2"/>
                <w:szCs w:val="22"/>
                <w:lang w:val="hu-HU"/>
              </w:rPr>
              <w:t>deperszonalizáció</w:t>
            </w:r>
          </w:p>
          <w:p w14:paraId="2F785534" w14:textId="77777777" w:rsidR="00653D32" w:rsidRDefault="00502314">
            <w:pPr>
              <w:tabs>
                <w:tab w:val="left" w:pos="567"/>
              </w:tabs>
              <w:rPr>
                <w:bCs/>
                <w:spacing w:val="-2"/>
                <w:szCs w:val="22"/>
                <w:lang w:val="hu-HU"/>
              </w:rPr>
            </w:pPr>
            <w:r>
              <w:rPr>
                <w:bCs/>
                <w:spacing w:val="-2"/>
                <w:szCs w:val="22"/>
                <w:lang w:val="hu-HU"/>
              </w:rPr>
              <w:t>pszichotikus reakciók (amelyek önkárosító magatartásig súlyosbodhatnak</w:t>
            </w:r>
            <w:r>
              <w:rPr>
                <w:spacing w:val="-2"/>
                <w:szCs w:val="22"/>
                <w:lang w:val="hu-HU"/>
              </w:rPr>
              <w:t>, pl. öngyilkossági gondolatok, illetve öngyilkossági kísérletek, lásd 4.4 pont)</w:t>
            </w:r>
          </w:p>
        </w:tc>
        <w:tc>
          <w:tcPr>
            <w:tcW w:w="1666" w:type="dxa"/>
            <w:tcBorders>
              <w:top w:val="single" w:sz="4" w:space="0" w:color="auto"/>
              <w:left w:val="single" w:sz="4" w:space="0" w:color="auto"/>
              <w:bottom w:val="single" w:sz="4" w:space="0" w:color="auto"/>
              <w:right w:val="single" w:sz="4" w:space="0" w:color="auto"/>
            </w:tcBorders>
          </w:tcPr>
          <w:p w14:paraId="36696583" w14:textId="77777777" w:rsidR="00653D32" w:rsidRDefault="00653D32">
            <w:pPr>
              <w:tabs>
                <w:tab w:val="left" w:pos="567"/>
              </w:tabs>
              <w:rPr>
                <w:bCs/>
                <w:spacing w:val="-2"/>
                <w:szCs w:val="22"/>
                <w:lang w:val="hu-HU"/>
              </w:rPr>
            </w:pPr>
          </w:p>
        </w:tc>
      </w:tr>
      <w:tr w:rsidR="00653D32" w14:paraId="056E0C52" w14:textId="77777777">
        <w:trPr>
          <w:cantSplit/>
        </w:trPr>
        <w:tc>
          <w:tcPr>
            <w:tcW w:w="1593" w:type="dxa"/>
            <w:tcBorders>
              <w:top w:val="single" w:sz="4" w:space="0" w:color="auto"/>
              <w:left w:val="single" w:sz="4" w:space="0" w:color="auto"/>
              <w:bottom w:val="single" w:sz="4" w:space="0" w:color="auto"/>
              <w:right w:val="single" w:sz="4" w:space="0" w:color="auto"/>
            </w:tcBorders>
          </w:tcPr>
          <w:p w14:paraId="29A8BEB7" w14:textId="77777777" w:rsidR="00653D32" w:rsidRDefault="00502314">
            <w:pPr>
              <w:tabs>
                <w:tab w:val="left" w:pos="567"/>
              </w:tabs>
              <w:rPr>
                <w:b/>
                <w:spacing w:val="-2"/>
                <w:szCs w:val="22"/>
                <w:lang w:val="hu-HU"/>
              </w:rPr>
            </w:pPr>
            <w:r>
              <w:rPr>
                <w:b/>
                <w:spacing w:val="-2"/>
                <w:szCs w:val="22"/>
                <w:lang w:val="hu-HU"/>
              </w:rPr>
              <w:lastRenderedPageBreak/>
              <w:t xml:space="preserve">Idegrendszeri betegségek </w:t>
            </w:r>
            <w:r>
              <w:rPr>
                <w:b/>
                <w:bCs/>
                <w:spacing w:val="-2"/>
                <w:szCs w:val="22"/>
                <w:lang w:val="hu-HU"/>
              </w:rPr>
              <w:t>és tünetek*</w:t>
            </w:r>
          </w:p>
        </w:tc>
        <w:tc>
          <w:tcPr>
            <w:tcW w:w="1666" w:type="dxa"/>
            <w:tcBorders>
              <w:top w:val="single" w:sz="4" w:space="0" w:color="auto"/>
              <w:left w:val="single" w:sz="4" w:space="0" w:color="auto"/>
              <w:bottom w:val="single" w:sz="4" w:space="0" w:color="auto"/>
              <w:right w:val="single" w:sz="4" w:space="0" w:color="auto"/>
            </w:tcBorders>
          </w:tcPr>
          <w:p w14:paraId="49A93910" w14:textId="77777777" w:rsidR="00653D32" w:rsidRDefault="00502314">
            <w:pPr>
              <w:tabs>
                <w:tab w:val="left" w:pos="567"/>
              </w:tabs>
              <w:rPr>
                <w:bCs/>
                <w:spacing w:val="-2"/>
                <w:szCs w:val="22"/>
                <w:lang w:val="hu-HU"/>
              </w:rPr>
            </w:pPr>
            <w:r>
              <w:rPr>
                <w:bCs/>
                <w:spacing w:val="-2"/>
                <w:szCs w:val="22"/>
                <w:lang w:val="hu-HU"/>
              </w:rPr>
              <w:t>fejfájás</w:t>
            </w:r>
          </w:p>
          <w:p w14:paraId="7BFEF8B2" w14:textId="77777777" w:rsidR="00653D32" w:rsidRDefault="00653D32">
            <w:pPr>
              <w:tabs>
                <w:tab w:val="left" w:pos="567"/>
              </w:tabs>
              <w:rPr>
                <w:bCs/>
                <w:spacing w:val="-2"/>
                <w:szCs w:val="22"/>
                <w:lang w:val="hu-HU"/>
              </w:rPr>
            </w:pPr>
          </w:p>
          <w:p w14:paraId="7F97B55A" w14:textId="77777777" w:rsidR="00653D32" w:rsidRDefault="00502314">
            <w:pPr>
              <w:tabs>
                <w:tab w:val="left" w:pos="567"/>
              </w:tabs>
              <w:rPr>
                <w:b/>
                <w:bCs/>
                <w:spacing w:val="-2"/>
                <w:szCs w:val="22"/>
                <w:lang w:val="hu-HU"/>
              </w:rPr>
            </w:pPr>
            <w:r>
              <w:rPr>
                <w:bCs/>
                <w:spacing w:val="-2"/>
                <w:szCs w:val="22"/>
                <w:lang w:val="hu-HU"/>
              </w:rPr>
              <w:t>szédülés</w:t>
            </w:r>
          </w:p>
        </w:tc>
        <w:tc>
          <w:tcPr>
            <w:tcW w:w="1666" w:type="dxa"/>
            <w:tcBorders>
              <w:top w:val="single" w:sz="4" w:space="0" w:color="auto"/>
              <w:left w:val="single" w:sz="4" w:space="0" w:color="auto"/>
              <w:bottom w:val="single" w:sz="4" w:space="0" w:color="auto"/>
              <w:right w:val="single" w:sz="4" w:space="0" w:color="auto"/>
            </w:tcBorders>
          </w:tcPr>
          <w:p w14:paraId="7A154516" w14:textId="77777777" w:rsidR="00653D32" w:rsidRDefault="00502314">
            <w:pPr>
              <w:tabs>
                <w:tab w:val="left" w:pos="567"/>
              </w:tabs>
              <w:rPr>
                <w:bCs/>
                <w:spacing w:val="-2"/>
                <w:szCs w:val="22"/>
                <w:lang w:val="hu-HU"/>
              </w:rPr>
            </w:pPr>
            <w:r>
              <w:rPr>
                <w:bCs/>
                <w:spacing w:val="-2"/>
                <w:szCs w:val="22"/>
                <w:lang w:val="hu-HU"/>
              </w:rPr>
              <w:t>para- és dysaesthesia</w:t>
            </w:r>
          </w:p>
          <w:p w14:paraId="1D0865E3" w14:textId="77777777" w:rsidR="00653D32" w:rsidRDefault="00653D32">
            <w:pPr>
              <w:tabs>
                <w:tab w:val="left" w:pos="567"/>
              </w:tabs>
              <w:rPr>
                <w:bCs/>
                <w:spacing w:val="-2"/>
                <w:szCs w:val="22"/>
                <w:lang w:val="hu-HU"/>
              </w:rPr>
            </w:pPr>
          </w:p>
          <w:p w14:paraId="663989E8" w14:textId="77777777" w:rsidR="00653D32" w:rsidRDefault="00502314">
            <w:pPr>
              <w:tabs>
                <w:tab w:val="left" w:pos="567"/>
              </w:tabs>
              <w:rPr>
                <w:bCs/>
                <w:spacing w:val="-2"/>
                <w:szCs w:val="22"/>
                <w:lang w:val="hu-HU"/>
              </w:rPr>
            </w:pPr>
            <w:r>
              <w:rPr>
                <w:bCs/>
                <w:spacing w:val="-2"/>
                <w:szCs w:val="22"/>
                <w:lang w:val="hu-HU"/>
              </w:rPr>
              <w:t>ízérzészavarok (beleértve a nagyon ritkán előforduló ageusiát is)</w:t>
            </w:r>
          </w:p>
          <w:p w14:paraId="486C7E52" w14:textId="77777777" w:rsidR="00653D32" w:rsidRDefault="00653D32">
            <w:pPr>
              <w:tabs>
                <w:tab w:val="left" w:pos="567"/>
              </w:tabs>
              <w:rPr>
                <w:bCs/>
                <w:spacing w:val="-2"/>
                <w:szCs w:val="22"/>
                <w:lang w:val="hu-HU"/>
              </w:rPr>
            </w:pPr>
          </w:p>
          <w:p w14:paraId="0536DEFE" w14:textId="77777777" w:rsidR="00653D32" w:rsidRDefault="00502314">
            <w:pPr>
              <w:tabs>
                <w:tab w:val="left" w:pos="567"/>
              </w:tabs>
              <w:rPr>
                <w:bCs/>
                <w:spacing w:val="-2"/>
                <w:szCs w:val="22"/>
                <w:lang w:val="hu-HU"/>
              </w:rPr>
            </w:pPr>
            <w:r>
              <w:rPr>
                <w:bCs/>
                <w:spacing w:val="-2"/>
                <w:szCs w:val="22"/>
                <w:lang w:val="hu-HU"/>
              </w:rPr>
              <w:t>zavartság és dezorientáltság</w:t>
            </w:r>
          </w:p>
          <w:p w14:paraId="25156987" w14:textId="77777777" w:rsidR="00653D32" w:rsidRDefault="00653D32">
            <w:pPr>
              <w:tabs>
                <w:tab w:val="left" w:pos="567"/>
              </w:tabs>
              <w:rPr>
                <w:bCs/>
                <w:spacing w:val="-2"/>
                <w:szCs w:val="22"/>
                <w:lang w:val="hu-HU"/>
              </w:rPr>
            </w:pPr>
          </w:p>
          <w:p w14:paraId="417E1CCF" w14:textId="77777777" w:rsidR="00653D32" w:rsidRDefault="00502314">
            <w:pPr>
              <w:tabs>
                <w:tab w:val="left" w:pos="567"/>
              </w:tabs>
              <w:rPr>
                <w:bCs/>
                <w:spacing w:val="-2"/>
                <w:szCs w:val="22"/>
                <w:lang w:val="hu-HU"/>
              </w:rPr>
            </w:pPr>
            <w:r>
              <w:rPr>
                <w:bCs/>
                <w:spacing w:val="-2"/>
                <w:szCs w:val="22"/>
                <w:lang w:val="hu-HU"/>
              </w:rPr>
              <w:t xml:space="preserve">alvászavarok </w:t>
            </w:r>
          </w:p>
          <w:p w14:paraId="1E2416F4" w14:textId="77777777" w:rsidR="00653D32" w:rsidRDefault="00502314">
            <w:pPr>
              <w:tabs>
                <w:tab w:val="left" w:pos="567"/>
              </w:tabs>
              <w:rPr>
                <w:bCs/>
                <w:spacing w:val="-2"/>
                <w:szCs w:val="22"/>
                <w:lang w:val="hu-HU"/>
              </w:rPr>
            </w:pPr>
            <w:r>
              <w:rPr>
                <w:bCs/>
                <w:spacing w:val="-2"/>
                <w:szCs w:val="22"/>
                <w:lang w:val="hu-HU"/>
              </w:rPr>
              <w:t>(főként álmatlanság)</w:t>
            </w:r>
          </w:p>
          <w:p w14:paraId="69915BBD" w14:textId="77777777" w:rsidR="00653D32" w:rsidRDefault="00653D32">
            <w:pPr>
              <w:tabs>
                <w:tab w:val="left" w:pos="567"/>
              </w:tabs>
              <w:rPr>
                <w:bCs/>
                <w:spacing w:val="-2"/>
                <w:szCs w:val="22"/>
                <w:lang w:val="hu-HU"/>
              </w:rPr>
            </w:pPr>
          </w:p>
          <w:p w14:paraId="08795E58" w14:textId="77777777" w:rsidR="00653D32" w:rsidRDefault="00502314">
            <w:pPr>
              <w:tabs>
                <w:tab w:val="left" w:pos="567"/>
              </w:tabs>
              <w:rPr>
                <w:bCs/>
                <w:spacing w:val="-2"/>
                <w:szCs w:val="22"/>
                <w:lang w:val="hu-HU"/>
              </w:rPr>
            </w:pPr>
            <w:r>
              <w:rPr>
                <w:bCs/>
                <w:spacing w:val="-2"/>
                <w:szCs w:val="22"/>
                <w:lang w:val="hu-HU"/>
              </w:rPr>
              <w:t>tremor</w:t>
            </w:r>
          </w:p>
          <w:p w14:paraId="33251309" w14:textId="77777777" w:rsidR="00653D32" w:rsidRDefault="00502314">
            <w:pPr>
              <w:tabs>
                <w:tab w:val="left" w:pos="567"/>
              </w:tabs>
              <w:rPr>
                <w:bCs/>
                <w:spacing w:val="-2"/>
                <w:szCs w:val="22"/>
                <w:lang w:val="hu-HU"/>
              </w:rPr>
            </w:pPr>
            <w:r>
              <w:rPr>
                <w:bCs/>
                <w:spacing w:val="-2"/>
                <w:szCs w:val="22"/>
                <w:lang w:val="hu-HU"/>
              </w:rPr>
              <w:t>vertigo</w:t>
            </w:r>
          </w:p>
          <w:p w14:paraId="30581B89" w14:textId="77777777" w:rsidR="00653D32" w:rsidRDefault="00502314">
            <w:pPr>
              <w:tabs>
                <w:tab w:val="left" w:pos="567"/>
              </w:tabs>
              <w:rPr>
                <w:bCs/>
                <w:spacing w:val="-2"/>
                <w:szCs w:val="22"/>
                <w:lang w:val="hu-HU"/>
              </w:rPr>
            </w:pPr>
            <w:r>
              <w:rPr>
                <w:bCs/>
                <w:spacing w:val="-2"/>
                <w:szCs w:val="22"/>
                <w:lang w:val="hu-HU"/>
              </w:rPr>
              <w:t>aluszékonyság</w:t>
            </w:r>
          </w:p>
        </w:tc>
        <w:tc>
          <w:tcPr>
            <w:tcW w:w="1666" w:type="dxa"/>
            <w:tcBorders>
              <w:top w:val="single" w:sz="4" w:space="0" w:color="auto"/>
              <w:left w:val="single" w:sz="4" w:space="0" w:color="auto"/>
              <w:bottom w:val="single" w:sz="4" w:space="0" w:color="auto"/>
              <w:right w:val="single" w:sz="4" w:space="0" w:color="auto"/>
            </w:tcBorders>
          </w:tcPr>
          <w:p w14:paraId="3F251363" w14:textId="77777777" w:rsidR="00653D32" w:rsidRDefault="00502314">
            <w:pPr>
              <w:tabs>
                <w:tab w:val="left" w:pos="567"/>
              </w:tabs>
              <w:rPr>
                <w:bCs/>
                <w:spacing w:val="-2"/>
                <w:szCs w:val="22"/>
                <w:lang w:val="hu-HU"/>
              </w:rPr>
            </w:pPr>
            <w:r>
              <w:rPr>
                <w:bCs/>
                <w:spacing w:val="-2"/>
                <w:szCs w:val="22"/>
                <w:lang w:val="hu-HU"/>
              </w:rPr>
              <w:t>hypaesthesia</w:t>
            </w:r>
          </w:p>
          <w:p w14:paraId="0C6594C9" w14:textId="77777777" w:rsidR="00653D32" w:rsidRDefault="00502314">
            <w:pPr>
              <w:tabs>
                <w:tab w:val="left" w:pos="567"/>
              </w:tabs>
              <w:rPr>
                <w:bCs/>
                <w:spacing w:val="-2"/>
                <w:szCs w:val="22"/>
                <w:lang w:val="hu-HU"/>
              </w:rPr>
            </w:pPr>
            <w:r>
              <w:rPr>
                <w:bCs/>
                <w:spacing w:val="-2"/>
                <w:szCs w:val="22"/>
                <w:lang w:val="hu-HU"/>
              </w:rPr>
              <w:t>szaglászavar (beleértve az anosmiát is)</w:t>
            </w:r>
          </w:p>
          <w:p w14:paraId="30099200" w14:textId="77777777" w:rsidR="00653D32" w:rsidRDefault="00502314">
            <w:pPr>
              <w:tabs>
                <w:tab w:val="left" w:pos="567"/>
              </w:tabs>
              <w:rPr>
                <w:bCs/>
                <w:spacing w:val="-2"/>
                <w:szCs w:val="22"/>
                <w:lang w:val="hu-HU"/>
              </w:rPr>
            </w:pPr>
            <w:r>
              <w:rPr>
                <w:bCs/>
                <w:spacing w:val="-2"/>
                <w:szCs w:val="22"/>
                <w:lang w:val="hu-HU"/>
              </w:rPr>
              <w:t>abnormális álmok</w:t>
            </w:r>
          </w:p>
          <w:p w14:paraId="7A32DF91" w14:textId="77777777" w:rsidR="00653D32" w:rsidRDefault="00502314">
            <w:pPr>
              <w:tabs>
                <w:tab w:val="left" w:pos="567"/>
              </w:tabs>
              <w:rPr>
                <w:bCs/>
                <w:spacing w:val="-2"/>
                <w:szCs w:val="22"/>
                <w:lang w:val="hu-HU"/>
              </w:rPr>
            </w:pPr>
            <w:r>
              <w:rPr>
                <w:bCs/>
                <w:spacing w:val="-2"/>
                <w:szCs w:val="22"/>
                <w:lang w:val="hu-HU"/>
              </w:rPr>
              <w:t>koordinációs zavar (beleértve a főként szédülés vagy vertigo miatt kialakuló járászavarokat is)</w:t>
            </w:r>
          </w:p>
          <w:p w14:paraId="0CB7A827" w14:textId="77777777" w:rsidR="00653D32" w:rsidRDefault="00502314">
            <w:pPr>
              <w:tabs>
                <w:tab w:val="left" w:pos="567"/>
              </w:tabs>
              <w:rPr>
                <w:bCs/>
                <w:spacing w:val="-2"/>
                <w:szCs w:val="22"/>
                <w:lang w:val="hu-HU"/>
              </w:rPr>
            </w:pPr>
            <w:r>
              <w:rPr>
                <w:bCs/>
                <w:spacing w:val="-2"/>
                <w:szCs w:val="22"/>
                <w:lang w:val="hu-HU"/>
              </w:rPr>
              <w:t>görcsrohamok, pl. grand mal (lásd 4.4 pont)</w:t>
            </w:r>
          </w:p>
          <w:p w14:paraId="7CBA97FC" w14:textId="77777777" w:rsidR="00653D32" w:rsidRDefault="00502314">
            <w:pPr>
              <w:tabs>
                <w:tab w:val="left" w:pos="567"/>
              </w:tabs>
              <w:rPr>
                <w:bCs/>
                <w:spacing w:val="-2"/>
                <w:szCs w:val="22"/>
                <w:lang w:val="hu-HU"/>
              </w:rPr>
            </w:pPr>
            <w:r>
              <w:rPr>
                <w:bCs/>
                <w:spacing w:val="-2"/>
                <w:szCs w:val="22"/>
                <w:lang w:val="hu-HU"/>
              </w:rPr>
              <w:t>figyelemzavar</w:t>
            </w:r>
          </w:p>
          <w:p w14:paraId="1D65AB1D" w14:textId="77777777" w:rsidR="00653D32" w:rsidRDefault="00502314">
            <w:pPr>
              <w:tabs>
                <w:tab w:val="left" w:pos="567"/>
              </w:tabs>
              <w:rPr>
                <w:bCs/>
                <w:spacing w:val="-2"/>
                <w:szCs w:val="22"/>
                <w:lang w:val="hu-HU"/>
              </w:rPr>
            </w:pPr>
            <w:r>
              <w:rPr>
                <w:bCs/>
                <w:spacing w:val="-2"/>
                <w:szCs w:val="22"/>
                <w:lang w:val="hu-HU"/>
              </w:rPr>
              <w:t>beszédzavarok</w:t>
            </w:r>
          </w:p>
          <w:p w14:paraId="60624815" w14:textId="77777777" w:rsidR="00653D32" w:rsidRDefault="00502314">
            <w:pPr>
              <w:tabs>
                <w:tab w:val="left" w:pos="567"/>
              </w:tabs>
              <w:rPr>
                <w:bCs/>
                <w:spacing w:val="-2"/>
                <w:szCs w:val="22"/>
                <w:lang w:val="hu-HU"/>
              </w:rPr>
            </w:pPr>
            <w:r>
              <w:rPr>
                <w:bCs/>
                <w:spacing w:val="-2"/>
                <w:szCs w:val="22"/>
                <w:lang w:val="hu-HU"/>
              </w:rPr>
              <w:t>amnaesia</w:t>
            </w:r>
          </w:p>
          <w:p w14:paraId="35743196" w14:textId="77777777" w:rsidR="00653D32" w:rsidRDefault="00502314">
            <w:pPr>
              <w:tabs>
                <w:tab w:val="left" w:pos="567"/>
              </w:tabs>
              <w:rPr>
                <w:bCs/>
                <w:spacing w:val="-2"/>
                <w:szCs w:val="22"/>
                <w:lang w:val="hu-HU"/>
              </w:rPr>
            </w:pPr>
            <w:r>
              <w:rPr>
                <w:spacing w:val="-2"/>
                <w:szCs w:val="22"/>
                <w:lang w:val="hu-HU"/>
              </w:rPr>
              <w:t>perifériás neuropathia és polyneuropathia</w:t>
            </w:r>
          </w:p>
        </w:tc>
        <w:tc>
          <w:tcPr>
            <w:tcW w:w="1666" w:type="dxa"/>
            <w:tcBorders>
              <w:top w:val="single" w:sz="4" w:space="0" w:color="auto"/>
              <w:left w:val="single" w:sz="4" w:space="0" w:color="auto"/>
              <w:bottom w:val="single" w:sz="4" w:space="0" w:color="auto"/>
              <w:right w:val="single" w:sz="4" w:space="0" w:color="auto"/>
            </w:tcBorders>
          </w:tcPr>
          <w:p w14:paraId="459F06CE" w14:textId="77777777" w:rsidR="00653D32" w:rsidRDefault="00502314">
            <w:pPr>
              <w:tabs>
                <w:tab w:val="left" w:pos="567"/>
              </w:tabs>
              <w:rPr>
                <w:bCs/>
                <w:spacing w:val="-2"/>
                <w:szCs w:val="22"/>
                <w:lang w:val="hu-HU"/>
              </w:rPr>
            </w:pPr>
            <w:r>
              <w:rPr>
                <w:bCs/>
                <w:spacing w:val="-2"/>
                <w:szCs w:val="22"/>
                <w:lang w:val="hu-HU"/>
              </w:rPr>
              <w:t>hyperaesthesia</w:t>
            </w:r>
          </w:p>
        </w:tc>
        <w:tc>
          <w:tcPr>
            <w:tcW w:w="1666" w:type="dxa"/>
            <w:tcBorders>
              <w:top w:val="single" w:sz="4" w:space="0" w:color="auto"/>
              <w:left w:val="single" w:sz="4" w:space="0" w:color="auto"/>
              <w:bottom w:val="single" w:sz="4" w:space="0" w:color="auto"/>
              <w:right w:val="single" w:sz="4" w:space="0" w:color="auto"/>
            </w:tcBorders>
          </w:tcPr>
          <w:p w14:paraId="00D4F956" w14:textId="77777777" w:rsidR="00653D32" w:rsidRDefault="00653D32">
            <w:pPr>
              <w:tabs>
                <w:tab w:val="left" w:pos="567"/>
              </w:tabs>
              <w:rPr>
                <w:bCs/>
                <w:spacing w:val="-2"/>
                <w:szCs w:val="22"/>
                <w:lang w:val="hu-HU"/>
              </w:rPr>
            </w:pPr>
          </w:p>
        </w:tc>
      </w:tr>
      <w:tr w:rsidR="00653D32" w14:paraId="1BE27249" w14:textId="77777777">
        <w:trPr>
          <w:cantSplit/>
        </w:trPr>
        <w:tc>
          <w:tcPr>
            <w:tcW w:w="1593" w:type="dxa"/>
            <w:tcBorders>
              <w:top w:val="single" w:sz="4" w:space="0" w:color="auto"/>
              <w:left w:val="single" w:sz="4" w:space="0" w:color="auto"/>
              <w:bottom w:val="single" w:sz="4" w:space="0" w:color="auto"/>
              <w:right w:val="single" w:sz="4" w:space="0" w:color="auto"/>
            </w:tcBorders>
          </w:tcPr>
          <w:p w14:paraId="69DB627B" w14:textId="77777777" w:rsidR="00653D32" w:rsidRDefault="00502314">
            <w:pPr>
              <w:tabs>
                <w:tab w:val="left" w:pos="567"/>
              </w:tabs>
              <w:rPr>
                <w:b/>
                <w:spacing w:val="-2"/>
                <w:szCs w:val="22"/>
                <w:lang w:val="hu-HU"/>
              </w:rPr>
            </w:pPr>
            <w:r>
              <w:rPr>
                <w:b/>
                <w:spacing w:val="-2"/>
                <w:szCs w:val="22"/>
                <w:lang w:val="hu-HU"/>
              </w:rPr>
              <w:t xml:space="preserve">Szembetegségek </w:t>
            </w:r>
            <w:r>
              <w:rPr>
                <w:b/>
                <w:bCs/>
                <w:spacing w:val="-2"/>
                <w:szCs w:val="22"/>
                <w:lang w:val="hu-HU"/>
              </w:rPr>
              <w:t>és szemészeti tünetek*</w:t>
            </w:r>
          </w:p>
        </w:tc>
        <w:tc>
          <w:tcPr>
            <w:tcW w:w="1666" w:type="dxa"/>
            <w:tcBorders>
              <w:top w:val="single" w:sz="4" w:space="0" w:color="auto"/>
              <w:left w:val="single" w:sz="4" w:space="0" w:color="auto"/>
              <w:bottom w:val="single" w:sz="4" w:space="0" w:color="auto"/>
              <w:right w:val="single" w:sz="4" w:space="0" w:color="auto"/>
            </w:tcBorders>
          </w:tcPr>
          <w:p w14:paraId="205DF2F8"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F3EC5FF" w14:textId="77777777" w:rsidR="00653D32" w:rsidRDefault="00502314">
            <w:pPr>
              <w:tabs>
                <w:tab w:val="left" w:pos="567"/>
              </w:tabs>
              <w:rPr>
                <w:bCs/>
                <w:spacing w:val="-2"/>
                <w:szCs w:val="22"/>
                <w:lang w:val="hu-HU"/>
              </w:rPr>
            </w:pPr>
            <w:r>
              <w:rPr>
                <w:bCs/>
                <w:spacing w:val="-2"/>
                <w:szCs w:val="22"/>
                <w:lang w:val="hu-HU"/>
              </w:rPr>
              <w:t xml:space="preserve">látászavarok, beleértve </w:t>
            </w:r>
            <w:r>
              <w:rPr>
                <w:spacing w:val="-2"/>
                <w:szCs w:val="22"/>
                <w:lang w:val="hu-HU"/>
              </w:rPr>
              <w:t xml:space="preserve">a diplopiát </w:t>
            </w:r>
            <w:r>
              <w:rPr>
                <w:bCs/>
                <w:spacing w:val="-2"/>
                <w:szCs w:val="22"/>
                <w:lang w:val="hu-HU"/>
              </w:rPr>
              <w:t>és a homályos látást is (különösen központi idegrendszeri reakciókkal összefüggésben, lásd 4.4 pont)</w:t>
            </w:r>
          </w:p>
        </w:tc>
        <w:tc>
          <w:tcPr>
            <w:tcW w:w="1666" w:type="dxa"/>
            <w:tcBorders>
              <w:top w:val="single" w:sz="4" w:space="0" w:color="auto"/>
              <w:left w:val="single" w:sz="4" w:space="0" w:color="auto"/>
              <w:bottom w:val="single" w:sz="4" w:space="0" w:color="auto"/>
              <w:right w:val="single" w:sz="4" w:space="0" w:color="auto"/>
            </w:tcBorders>
          </w:tcPr>
          <w:p w14:paraId="363EA06D" w14:textId="77777777" w:rsidR="00653D32" w:rsidRDefault="00502314">
            <w:pPr>
              <w:tabs>
                <w:tab w:val="left" w:pos="567"/>
              </w:tabs>
              <w:rPr>
                <w:bCs/>
                <w:spacing w:val="-2"/>
                <w:szCs w:val="22"/>
                <w:lang w:val="hu-HU"/>
              </w:rPr>
            </w:pPr>
            <w:r>
              <w:rPr>
                <w:bCs/>
                <w:spacing w:val="-2"/>
                <w:szCs w:val="22"/>
                <w:lang w:val="hu-HU"/>
              </w:rPr>
              <w:t>photophobia</w:t>
            </w:r>
          </w:p>
        </w:tc>
        <w:tc>
          <w:tcPr>
            <w:tcW w:w="1666" w:type="dxa"/>
            <w:tcBorders>
              <w:top w:val="single" w:sz="4" w:space="0" w:color="auto"/>
              <w:left w:val="single" w:sz="4" w:space="0" w:color="auto"/>
              <w:bottom w:val="single" w:sz="4" w:space="0" w:color="auto"/>
              <w:right w:val="single" w:sz="4" w:space="0" w:color="auto"/>
            </w:tcBorders>
          </w:tcPr>
          <w:p w14:paraId="1B9D58CE" w14:textId="77777777" w:rsidR="00653D32" w:rsidRDefault="00502314">
            <w:pPr>
              <w:tabs>
                <w:tab w:val="left" w:pos="567"/>
              </w:tabs>
              <w:rPr>
                <w:spacing w:val="-2"/>
                <w:szCs w:val="22"/>
                <w:lang w:val="hu-HU"/>
              </w:rPr>
            </w:pPr>
            <w:r>
              <w:rPr>
                <w:spacing w:val="-2"/>
                <w:szCs w:val="22"/>
                <w:lang w:val="hu-HU"/>
              </w:rPr>
              <w:t>átmeneti látáskiesés (különösen központi idegrendszeri reakciók esetén, lásd 4.4 és 4.7 pont)</w:t>
            </w:r>
          </w:p>
          <w:p w14:paraId="7E649D31" w14:textId="77777777" w:rsidR="00653D32" w:rsidRDefault="00502314">
            <w:pPr>
              <w:tabs>
                <w:tab w:val="left" w:pos="567"/>
              </w:tabs>
              <w:rPr>
                <w:bCs/>
                <w:spacing w:val="-2"/>
                <w:szCs w:val="22"/>
                <w:lang w:val="hu-HU"/>
              </w:rPr>
            </w:pPr>
            <w:r>
              <w:rPr>
                <w:bCs/>
                <w:spacing w:val="-2"/>
                <w:szCs w:val="22"/>
                <w:lang w:val="hu-HU"/>
              </w:rPr>
              <w:t>uveitis és bilateralis akut iris diaphanoscopia (lásd 4.4 pont)</w:t>
            </w:r>
          </w:p>
        </w:tc>
        <w:tc>
          <w:tcPr>
            <w:tcW w:w="1666" w:type="dxa"/>
            <w:tcBorders>
              <w:top w:val="single" w:sz="4" w:space="0" w:color="auto"/>
              <w:left w:val="single" w:sz="4" w:space="0" w:color="auto"/>
              <w:bottom w:val="single" w:sz="4" w:space="0" w:color="auto"/>
              <w:right w:val="single" w:sz="4" w:space="0" w:color="auto"/>
            </w:tcBorders>
          </w:tcPr>
          <w:p w14:paraId="74EF5024" w14:textId="77777777" w:rsidR="00653D32" w:rsidRDefault="00653D32">
            <w:pPr>
              <w:tabs>
                <w:tab w:val="left" w:pos="567"/>
              </w:tabs>
              <w:rPr>
                <w:spacing w:val="-2"/>
                <w:szCs w:val="22"/>
                <w:lang w:val="hu-HU"/>
              </w:rPr>
            </w:pPr>
          </w:p>
        </w:tc>
      </w:tr>
      <w:tr w:rsidR="00653D32" w14:paraId="04FF0BB8" w14:textId="77777777">
        <w:trPr>
          <w:cantSplit/>
        </w:trPr>
        <w:tc>
          <w:tcPr>
            <w:tcW w:w="1593" w:type="dxa"/>
            <w:tcBorders>
              <w:top w:val="single" w:sz="4" w:space="0" w:color="auto"/>
              <w:left w:val="single" w:sz="4" w:space="0" w:color="auto"/>
              <w:bottom w:val="single" w:sz="4" w:space="0" w:color="auto"/>
              <w:right w:val="single" w:sz="4" w:space="0" w:color="auto"/>
            </w:tcBorders>
          </w:tcPr>
          <w:p w14:paraId="59472213" w14:textId="77777777" w:rsidR="00653D32" w:rsidRDefault="00502314">
            <w:pPr>
              <w:tabs>
                <w:tab w:val="left" w:pos="567"/>
              </w:tabs>
              <w:rPr>
                <w:b/>
                <w:spacing w:val="-2"/>
                <w:szCs w:val="22"/>
                <w:lang w:val="hu-HU"/>
              </w:rPr>
            </w:pPr>
            <w:r>
              <w:rPr>
                <w:b/>
                <w:bCs/>
                <w:spacing w:val="-2"/>
                <w:szCs w:val="22"/>
                <w:lang w:val="hu-HU"/>
              </w:rPr>
              <w:t>A fül és az egyensúly-érzékelő szerv betegségei és tünetei*</w:t>
            </w:r>
          </w:p>
        </w:tc>
        <w:tc>
          <w:tcPr>
            <w:tcW w:w="1666" w:type="dxa"/>
            <w:tcBorders>
              <w:top w:val="single" w:sz="4" w:space="0" w:color="auto"/>
              <w:left w:val="single" w:sz="4" w:space="0" w:color="auto"/>
              <w:bottom w:val="single" w:sz="4" w:space="0" w:color="auto"/>
              <w:right w:val="single" w:sz="4" w:space="0" w:color="auto"/>
            </w:tcBorders>
          </w:tcPr>
          <w:p w14:paraId="18F31EA7"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1EBA7C9"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0890AFED" w14:textId="77777777" w:rsidR="00653D32" w:rsidRDefault="00502314">
            <w:pPr>
              <w:tabs>
                <w:tab w:val="left" w:pos="567"/>
              </w:tabs>
              <w:rPr>
                <w:bCs/>
                <w:spacing w:val="-2"/>
                <w:szCs w:val="22"/>
                <w:lang w:val="hu-HU"/>
              </w:rPr>
            </w:pPr>
            <w:r>
              <w:rPr>
                <w:bCs/>
                <w:spacing w:val="-2"/>
                <w:szCs w:val="22"/>
                <w:lang w:val="hu-HU"/>
              </w:rPr>
              <w:t>tinnitus</w:t>
            </w:r>
          </w:p>
          <w:p w14:paraId="31B9CBC6" w14:textId="77777777" w:rsidR="00653D32" w:rsidRDefault="00502314">
            <w:pPr>
              <w:tabs>
                <w:tab w:val="left" w:pos="567"/>
              </w:tabs>
              <w:rPr>
                <w:bCs/>
                <w:spacing w:val="-2"/>
                <w:szCs w:val="22"/>
                <w:lang w:val="hu-HU"/>
              </w:rPr>
            </w:pPr>
            <w:r>
              <w:rPr>
                <w:spacing w:val="-2"/>
                <w:szCs w:val="22"/>
                <w:lang w:val="hu-HU"/>
              </w:rPr>
              <w:t>hallásromlás, beleértve a süketséget is (általában reverzibilis)</w:t>
            </w:r>
          </w:p>
        </w:tc>
        <w:tc>
          <w:tcPr>
            <w:tcW w:w="1666" w:type="dxa"/>
            <w:tcBorders>
              <w:top w:val="single" w:sz="4" w:space="0" w:color="auto"/>
              <w:left w:val="single" w:sz="4" w:space="0" w:color="auto"/>
              <w:bottom w:val="single" w:sz="4" w:space="0" w:color="auto"/>
              <w:right w:val="single" w:sz="4" w:space="0" w:color="auto"/>
            </w:tcBorders>
          </w:tcPr>
          <w:p w14:paraId="3FCB3901"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7256BF8A" w14:textId="77777777" w:rsidR="00653D32" w:rsidRDefault="00653D32">
            <w:pPr>
              <w:tabs>
                <w:tab w:val="left" w:pos="567"/>
              </w:tabs>
              <w:rPr>
                <w:bCs/>
                <w:spacing w:val="-2"/>
                <w:szCs w:val="22"/>
                <w:lang w:val="hu-HU"/>
              </w:rPr>
            </w:pPr>
          </w:p>
        </w:tc>
      </w:tr>
      <w:tr w:rsidR="00653D32" w14:paraId="7BD063BA" w14:textId="77777777">
        <w:trPr>
          <w:cantSplit/>
        </w:trPr>
        <w:tc>
          <w:tcPr>
            <w:tcW w:w="1593" w:type="dxa"/>
            <w:tcBorders>
              <w:top w:val="single" w:sz="4" w:space="0" w:color="auto"/>
              <w:left w:val="single" w:sz="4" w:space="0" w:color="auto"/>
              <w:bottom w:val="single" w:sz="4" w:space="0" w:color="auto"/>
              <w:right w:val="single" w:sz="4" w:space="0" w:color="auto"/>
            </w:tcBorders>
          </w:tcPr>
          <w:p w14:paraId="47714B9D" w14:textId="77777777" w:rsidR="00653D32" w:rsidRDefault="00502314">
            <w:pPr>
              <w:tabs>
                <w:tab w:val="left" w:pos="567"/>
              </w:tabs>
              <w:rPr>
                <w:b/>
                <w:spacing w:val="-2"/>
                <w:szCs w:val="22"/>
                <w:lang w:val="hu-HU"/>
              </w:rPr>
            </w:pPr>
            <w:r>
              <w:rPr>
                <w:b/>
                <w:spacing w:val="-2"/>
                <w:szCs w:val="22"/>
                <w:lang w:val="hu-HU"/>
              </w:rPr>
              <w:t>Szívbetegségek és a szívvel kapcsolatos tünetek**</w:t>
            </w:r>
          </w:p>
        </w:tc>
        <w:tc>
          <w:tcPr>
            <w:tcW w:w="1666" w:type="dxa"/>
            <w:tcBorders>
              <w:top w:val="single" w:sz="4" w:space="0" w:color="auto"/>
              <w:left w:val="single" w:sz="4" w:space="0" w:color="auto"/>
              <w:bottom w:val="single" w:sz="4" w:space="0" w:color="auto"/>
              <w:right w:val="single" w:sz="4" w:space="0" w:color="auto"/>
            </w:tcBorders>
          </w:tcPr>
          <w:p w14:paraId="606EA199" w14:textId="77777777" w:rsidR="00653D32" w:rsidRDefault="00502314">
            <w:pPr>
              <w:tabs>
                <w:tab w:val="left" w:pos="567"/>
              </w:tabs>
              <w:rPr>
                <w:bCs/>
                <w:spacing w:val="-2"/>
                <w:szCs w:val="22"/>
                <w:lang w:val="hu-HU"/>
              </w:rPr>
            </w:pPr>
            <w:bookmarkStart w:id="0" w:name="OLE_LINK1"/>
            <w:r>
              <w:rPr>
                <w:bCs/>
                <w:spacing w:val="-2"/>
                <w:szCs w:val="22"/>
                <w:lang w:val="hu-HU"/>
              </w:rPr>
              <w:t>QT</w:t>
            </w:r>
            <w:r>
              <w:rPr>
                <w:bCs/>
                <w:spacing w:val="-2"/>
                <w:szCs w:val="22"/>
                <w:lang w:val="hu-HU"/>
              </w:rPr>
              <w:noBreakHyphen/>
              <w:t>megnyúlás hypokalaemiás betegeknél (lásd 4.3 és 4.4 pont)</w:t>
            </w:r>
            <w:bookmarkEnd w:id="0"/>
          </w:p>
        </w:tc>
        <w:tc>
          <w:tcPr>
            <w:tcW w:w="1666" w:type="dxa"/>
            <w:tcBorders>
              <w:top w:val="single" w:sz="4" w:space="0" w:color="auto"/>
              <w:left w:val="single" w:sz="4" w:space="0" w:color="auto"/>
              <w:bottom w:val="single" w:sz="4" w:space="0" w:color="auto"/>
              <w:right w:val="single" w:sz="4" w:space="0" w:color="auto"/>
            </w:tcBorders>
          </w:tcPr>
          <w:p w14:paraId="0F3A4313" w14:textId="77777777" w:rsidR="00653D32" w:rsidRDefault="00502314">
            <w:pPr>
              <w:tabs>
                <w:tab w:val="left" w:pos="567"/>
              </w:tabs>
              <w:rPr>
                <w:bCs/>
                <w:spacing w:val="-2"/>
                <w:szCs w:val="22"/>
                <w:lang w:val="hu-HU"/>
              </w:rPr>
            </w:pPr>
            <w:r>
              <w:rPr>
                <w:bCs/>
                <w:spacing w:val="-2"/>
                <w:szCs w:val="22"/>
                <w:lang w:val="hu-HU"/>
              </w:rPr>
              <w:t>QT</w:t>
            </w:r>
            <w:r>
              <w:rPr>
                <w:bCs/>
                <w:spacing w:val="-2"/>
                <w:szCs w:val="22"/>
                <w:lang w:val="hu-HU"/>
              </w:rPr>
              <w:noBreakHyphen/>
              <w:t>megnyúlás (lásd 4.4 pont)</w:t>
            </w:r>
          </w:p>
          <w:p w14:paraId="492BF73C" w14:textId="77777777" w:rsidR="00653D32" w:rsidRDefault="00502314">
            <w:pPr>
              <w:tabs>
                <w:tab w:val="left" w:pos="567"/>
              </w:tabs>
              <w:rPr>
                <w:bCs/>
                <w:spacing w:val="-2"/>
                <w:szCs w:val="22"/>
                <w:lang w:val="hu-HU"/>
              </w:rPr>
            </w:pPr>
            <w:r>
              <w:rPr>
                <w:bCs/>
                <w:spacing w:val="-2"/>
                <w:szCs w:val="22"/>
                <w:lang w:val="hu-HU"/>
              </w:rPr>
              <w:t>palpitatio</w:t>
            </w:r>
          </w:p>
          <w:p w14:paraId="36B88FA4" w14:textId="77777777" w:rsidR="00653D32" w:rsidRDefault="00502314">
            <w:pPr>
              <w:tabs>
                <w:tab w:val="left" w:pos="567"/>
              </w:tabs>
              <w:rPr>
                <w:bCs/>
                <w:spacing w:val="-2"/>
                <w:szCs w:val="22"/>
                <w:lang w:val="hu-HU"/>
              </w:rPr>
            </w:pPr>
            <w:r>
              <w:rPr>
                <w:bCs/>
                <w:spacing w:val="-2"/>
                <w:szCs w:val="22"/>
                <w:lang w:val="hu-HU"/>
              </w:rPr>
              <w:t>tachycardia</w:t>
            </w:r>
          </w:p>
          <w:p w14:paraId="616B4E0F" w14:textId="77777777" w:rsidR="00653D32" w:rsidRDefault="00502314">
            <w:pPr>
              <w:tabs>
                <w:tab w:val="left" w:pos="567"/>
              </w:tabs>
              <w:rPr>
                <w:bCs/>
                <w:spacing w:val="-2"/>
                <w:szCs w:val="22"/>
                <w:lang w:val="hu-HU"/>
              </w:rPr>
            </w:pPr>
            <w:r>
              <w:rPr>
                <w:bCs/>
                <w:spacing w:val="-2"/>
                <w:szCs w:val="22"/>
                <w:lang w:val="hu-HU"/>
              </w:rPr>
              <w:t>pitvarfibrilláció</w:t>
            </w:r>
          </w:p>
          <w:p w14:paraId="6C9E7A3A" w14:textId="77777777" w:rsidR="00653D32" w:rsidRDefault="00502314">
            <w:pPr>
              <w:tabs>
                <w:tab w:val="left" w:pos="567"/>
              </w:tabs>
              <w:rPr>
                <w:bCs/>
                <w:spacing w:val="-2"/>
                <w:szCs w:val="22"/>
                <w:lang w:val="hu-HU"/>
              </w:rPr>
            </w:pPr>
            <w:r>
              <w:rPr>
                <w:bCs/>
                <w:spacing w:val="-2"/>
                <w:szCs w:val="22"/>
                <w:lang w:val="hu-HU"/>
              </w:rPr>
              <w:t>angina pectoris</w:t>
            </w:r>
          </w:p>
        </w:tc>
        <w:tc>
          <w:tcPr>
            <w:tcW w:w="1666" w:type="dxa"/>
            <w:tcBorders>
              <w:top w:val="single" w:sz="4" w:space="0" w:color="auto"/>
              <w:left w:val="single" w:sz="4" w:space="0" w:color="auto"/>
              <w:bottom w:val="single" w:sz="4" w:space="0" w:color="auto"/>
              <w:right w:val="single" w:sz="4" w:space="0" w:color="auto"/>
            </w:tcBorders>
          </w:tcPr>
          <w:p w14:paraId="16C3E8AD" w14:textId="77777777" w:rsidR="00653D32" w:rsidRDefault="00502314">
            <w:pPr>
              <w:tabs>
                <w:tab w:val="left" w:pos="567"/>
              </w:tabs>
              <w:rPr>
                <w:bCs/>
                <w:spacing w:val="-2"/>
                <w:szCs w:val="22"/>
                <w:lang w:val="hu-HU"/>
              </w:rPr>
            </w:pPr>
            <w:r>
              <w:rPr>
                <w:bCs/>
                <w:spacing w:val="-2"/>
                <w:szCs w:val="22"/>
                <w:lang w:val="hu-HU"/>
              </w:rPr>
              <w:t>kamrai tachyarrhythmiák</w:t>
            </w:r>
          </w:p>
          <w:p w14:paraId="74C1F402" w14:textId="77777777" w:rsidR="00653D32" w:rsidRDefault="00502314">
            <w:pPr>
              <w:tabs>
                <w:tab w:val="left" w:pos="567"/>
              </w:tabs>
              <w:rPr>
                <w:bCs/>
                <w:spacing w:val="-2"/>
                <w:szCs w:val="22"/>
                <w:lang w:val="hu-HU"/>
              </w:rPr>
            </w:pPr>
            <w:r>
              <w:rPr>
                <w:bCs/>
                <w:spacing w:val="-2"/>
                <w:szCs w:val="22"/>
                <w:lang w:val="hu-HU"/>
              </w:rPr>
              <w:t>syncope (akut, rövid ideig tartó eszméletvesztés)</w:t>
            </w:r>
          </w:p>
        </w:tc>
        <w:tc>
          <w:tcPr>
            <w:tcW w:w="1666" w:type="dxa"/>
            <w:tcBorders>
              <w:top w:val="single" w:sz="4" w:space="0" w:color="auto"/>
              <w:left w:val="single" w:sz="4" w:space="0" w:color="auto"/>
              <w:bottom w:val="single" w:sz="4" w:space="0" w:color="auto"/>
              <w:right w:val="single" w:sz="4" w:space="0" w:color="auto"/>
            </w:tcBorders>
          </w:tcPr>
          <w:p w14:paraId="4FBAF5A6" w14:textId="77777777" w:rsidR="00653D32" w:rsidRDefault="00502314">
            <w:pPr>
              <w:tabs>
                <w:tab w:val="left" w:pos="567"/>
              </w:tabs>
              <w:rPr>
                <w:bCs/>
                <w:spacing w:val="-2"/>
                <w:szCs w:val="22"/>
                <w:lang w:val="hu-HU"/>
              </w:rPr>
            </w:pPr>
            <w:r>
              <w:rPr>
                <w:bCs/>
                <w:spacing w:val="-2"/>
                <w:szCs w:val="22"/>
                <w:lang w:val="hu-HU"/>
              </w:rPr>
              <w:t>Meghatározatlan arrhythmiák</w:t>
            </w:r>
          </w:p>
          <w:p w14:paraId="526EC422" w14:textId="77777777" w:rsidR="00653D32" w:rsidRDefault="00502314">
            <w:pPr>
              <w:tabs>
                <w:tab w:val="left" w:pos="567"/>
              </w:tabs>
              <w:rPr>
                <w:bCs/>
                <w:spacing w:val="-2"/>
                <w:szCs w:val="22"/>
                <w:lang w:val="hu-HU"/>
              </w:rPr>
            </w:pPr>
            <w:r>
              <w:rPr>
                <w:bCs/>
                <w:spacing w:val="-2"/>
                <w:szCs w:val="22"/>
                <w:lang w:val="hu-HU"/>
              </w:rPr>
              <w:t>torsade de pointes (lásd 4.4 pont)</w:t>
            </w:r>
          </w:p>
          <w:p w14:paraId="7E673C97" w14:textId="77777777" w:rsidR="00653D32" w:rsidRDefault="00502314">
            <w:pPr>
              <w:tabs>
                <w:tab w:val="left" w:pos="567"/>
              </w:tabs>
              <w:rPr>
                <w:bCs/>
                <w:spacing w:val="-2"/>
                <w:szCs w:val="22"/>
                <w:lang w:val="hu-HU"/>
              </w:rPr>
            </w:pPr>
            <w:r>
              <w:rPr>
                <w:bCs/>
                <w:spacing w:val="-2"/>
                <w:szCs w:val="22"/>
                <w:lang w:val="hu-HU"/>
              </w:rPr>
              <w:t>szívmegállás (lásd 4.4 pont)</w:t>
            </w:r>
          </w:p>
        </w:tc>
        <w:tc>
          <w:tcPr>
            <w:tcW w:w="1666" w:type="dxa"/>
            <w:tcBorders>
              <w:top w:val="single" w:sz="4" w:space="0" w:color="auto"/>
              <w:left w:val="single" w:sz="4" w:space="0" w:color="auto"/>
              <w:bottom w:val="single" w:sz="4" w:space="0" w:color="auto"/>
              <w:right w:val="single" w:sz="4" w:space="0" w:color="auto"/>
            </w:tcBorders>
          </w:tcPr>
          <w:p w14:paraId="598C70CE" w14:textId="77777777" w:rsidR="00653D32" w:rsidRDefault="00502314">
            <w:pPr>
              <w:tabs>
                <w:tab w:val="left" w:pos="567"/>
              </w:tabs>
              <w:rPr>
                <w:bCs/>
                <w:spacing w:val="-2"/>
                <w:szCs w:val="22"/>
                <w:lang w:val="hu-HU"/>
              </w:rPr>
            </w:pPr>
            <w:r>
              <w:rPr>
                <w:lang w:val="hu-HU"/>
              </w:rPr>
              <w:t>Kounis-szindróma</w:t>
            </w:r>
          </w:p>
        </w:tc>
      </w:tr>
      <w:tr w:rsidR="00653D32" w14:paraId="1D71B509" w14:textId="77777777">
        <w:trPr>
          <w:cantSplit/>
        </w:trPr>
        <w:tc>
          <w:tcPr>
            <w:tcW w:w="1593" w:type="dxa"/>
            <w:tcBorders>
              <w:top w:val="single" w:sz="4" w:space="0" w:color="auto"/>
              <w:left w:val="single" w:sz="4" w:space="0" w:color="auto"/>
              <w:bottom w:val="single" w:sz="4" w:space="0" w:color="auto"/>
              <w:right w:val="single" w:sz="4" w:space="0" w:color="auto"/>
            </w:tcBorders>
          </w:tcPr>
          <w:p w14:paraId="048ECF0F" w14:textId="77777777" w:rsidR="00653D32" w:rsidRDefault="00502314">
            <w:pPr>
              <w:tabs>
                <w:tab w:val="left" w:pos="567"/>
              </w:tabs>
              <w:rPr>
                <w:b/>
                <w:spacing w:val="-2"/>
                <w:szCs w:val="22"/>
                <w:lang w:val="hu-HU"/>
              </w:rPr>
            </w:pPr>
            <w:r>
              <w:rPr>
                <w:b/>
                <w:bCs/>
                <w:spacing w:val="-2"/>
                <w:szCs w:val="22"/>
                <w:lang w:val="hu-HU"/>
              </w:rPr>
              <w:t>Érbetegségek és tünetek**</w:t>
            </w:r>
          </w:p>
        </w:tc>
        <w:tc>
          <w:tcPr>
            <w:tcW w:w="1666" w:type="dxa"/>
            <w:tcBorders>
              <w:top w:val="single" w:sz="4" w:space="0" w:color="auto"/>
              <w:left w:val="single" w:sz="4" w:space="0" w:color="auto"/>
              <w:bottom w:val="single" w:sz="4" w:space="0" w:color="auto"/>
              <w:right w:val="single" w:sz="4" w:space="0" w:color="auto"/>
            </w:tcBorders>
          </w:tcPr>
          <w:p w14:paraId="75AA28EB"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1BF0C199" w14:textId="77777777" w:rsidR="00653D32" w:rsidRDefault="00502314">
            <w:pPr>
              <w:tabs>
                <w:tab w:val="left" w:pos="567"/>
              </w:tabs>
              <w:rPr>
                <w:bCs/>
                <w:spacing w:val="-2"/>
                <w:szCs w:val="22"/>
                <w:lang w:val="hu-HU"/>
              </w:rPr>
            </w:pPr>
            <w:r>
              <w:rPr>
                <w:spacing w:val="-2"/>
                <w:szCs w:val="22"/>
                <w:lang w:val="hu-HU"/>
              </w:rPr>
              <w:t>vasodilatatio</w:t>
            </w:r>
          </w:p>
        </w:tc>
        <w:tc>
          <w:tcPr>
            <w:tcW w:w="1666" w:type="dxa"/>
            <w:tcBorders>
              <w:top w:val="single" w:sz="4" w:space="0" w:color="auto"/>
              <w:left w:val="single" w:sz="4" w:space="0" w:color="auto"/>
              <w:bottom w:val="single" w:sz="4" w:space="0" w:color="auto"/>
              <w:right w:val="single" w:sz="4" w:space="0" w:color="auto"/>
            </w:tcBorders>
          </w:tcPr>
          <w:p w14:paraId="7E3FD8BB" w14:textId="77777777" w:rsidR="00653D32" w:rsidRDefault="00502314">
            <w:pPr>
              <w:autoSpaceDE w:val="0"/>
              <w:autoSpaceDN w:val="0"/>
              <w:rPr>
                <w:spacing w:val="-2"/>
                <w:szCs w:val="22"/>
                <w:lang w:val="hu-HU"/>
              </w:rPr>
            </w:pPr>
            <w:r>
              <w:rPr>
                <w:spacing w:val="-2"/>
                <w:szCs w:val="22"/>
                <w:lang w:val="hu-HU"/>
              </w:rPr>
              <w:t>hypertensio</w:t>
            </w:r>
          </w:p>
          <w:p w14:paraId="726A6914" w14:textId="77777777" w:rsidR="00653D32" w:rsidRDefault="00502314">
            <w:pPr>
              <w:tabs>
                <w:tab w:val="left" w:pos="567"/>
              </w:tabs>
              <w:rPr>
                <w:bCs/>
                <w:spacing w:val="-2"/>
                <w:szCs w:val="22"/>
                <w:lang w:val="hu-HU"/>
              </w:rPr>
            </w:pPr>
            <w:r>
              <w:rPr>
                <w:spacing w:val="-2"/>
                <w:szCs w:val="22"/>
                <w:lang w:val="hu-HU"/>
              </w:rPr>
              <w:t>hypotensio</w:t>
            </w:r>
          </w:p>
        </w:tc>
        <w:tc>
          <w:tcPr>
            <w:tcW w:w="1666" w:type="dxa"/>
            <w:tcBorders>
              <w:top w:val="single" w:sz="4" w:space="0" w:color="auto"/>
              <w:left w:val="single" w:sz="4" w:space="0" w:color="auto"/>
              <w:bottom w:val="single" w:sz="4" w:space="0" w:color="auto"/>
              <w:right w:val="single" w:sz="4" w:space="0" w:color="auto"/>
            </w:tcBorders>
          </w:tcPr>
          <w:p w14:paraId="774E1AE0" w14:textId="77777777" w:rsidR="00653D32" w:rsidRDefault="00502314">
            <w:pPr>
              <w:tabs>
                <w:tab w:val="left" w:pos="567"/>
              </w:tabs>
              <w:rPr>
                <w:bCs/>
                <w:spacing w:val="-2"/>
                <w:szCs w:val="22"/>
                <w:lang w:val="hu-HU"/>
              </w:rPr>
            </w:pPr>
            <w:r>
              <w:rPr>
                <w:bCs/>
                <w:spacing w:val="-2"/>
                <w:szCs w:val="22"/>
                <w:lang w:val="hu-HU"/>
              </w:rPr>
              <w:t>vasculitis</w:t>
            </w:r>
          </w:p>
        </w:tc>
        <w:tc>
          <w:tcPr>
            <w:tcW w:w="1666" w:type="dxa"/>
            <w:tcBorders>
              <w:top w:val="single" w:sz="4" w:space="0" w:color="auto"/>
              <w:left w:val="single" w:sz="4" w:space="0" w:color="auto"/>
              <w:bottom w:val="single" w:sz="4" w:space="0" w:color="auto"/>
              <w:right w:val="single" w:sz="4" w:space="0" w:color="auto"/>
            </w:tcBorders>
          </w:tcPr>
          <w:p w14:paraId="0A69F1E6" w14:textId="77777777" w:rsidR="00653D32" w:rsidRDefault="00653D32">
            <w:pPr>
              <w:tabs>
                <w:tab w:val="left" w:pos="567"/>
              </w:tabs>
              <w:rPr>
                <w:bCs/>
                <w:spacing w:val="-2"/>
                <w:szCs w:val="22"/>
                <w:lang w:val="hu-HU"/>
              </w:rPr>
            </w:pPr>
          </w:p>
        </w:tc>
      </w:tr>
      <w:tr w:rsidR="00653D32" w14:paraId="6D9BB936" w14:textId="77777777">
        <w:trPr>
          <w:cantSplit/>
        </w:trPr>
        <w:tc>
          <w:tcPr>
            <w:tcW w:w="1593" w:type="dxa"/>
            <w:tcBorders>
              <w:top w:val="single" w:sz="4" w:space="0" w:color="auto"/>
              <w:left w:val="single" w:sz="4" w:space="0" w:color="auto"/>
              <w:bottom w:val="single" w:sz="4" w:space="0" w:color="auto"/>
              <w:right w:val="single" w:sz="4" w:space="0" w:color="auto"/>
            </w:tcBorders>
          </w:tcPr>
          <w:p w14:paraId="2E3AE1C1" w14:textId="77777777" w:rsidR="00653D32" w:rsidRDefault="00502314">
            <w:pPr>
              <w:tabs>
                <w:tab w:val="left" w:pos="567"/>
              </w:tabs>
              <w:rPr>
                <w:b/>
                <w:spacing w:val="-2"/>
                <w:szCs w:val="22"/>
                <w:lang w:val="hu-HU"/>
              </w:rPr>
            </w:pPr>
            <w:r>
              <w:rPr>
                <w:b/>
                <w:spacing w:val="-2"/>
                <w:szCs w:val="22"/>
                <w:lang w:val="hu-HU"/>
              </w:rPr>
              <w:lastRenderedPageBreak/>
              <w:t xml:space="preserve">Légzőrendszeri, mellkasi és mediastinalis betegségek </w:t>
            </w:r>
            <w:r>
              <w:rPr>
                <w:b/>
                <w:bCs/>
                <w:spacing w:val="-2"/>
                <w:szCs w:val="22"/>
                <w:lang w:val="hu-HU"/>
              </w:rPr>
              <w:t>és tünetek</w:t>
            </w:r>
          </w:p>
        </w:tc>
        <w:tc>
          <w:tcPr>
            <w:tcW w:w="1666" w:type="dxa"/>
            <w:tcBorders>
              <w:top w:val="single" w:sz="4" w:space="0" w:color="auto"/>
              <w:left w:val="single" w:sz="4" w:space="0" w:color="auto"/>
              <w:bottom w:val="single" w:sz="4" w:space="0" w:color="auto"/>
              <w:right w:val="single" w:sz="4" w:space="0" w:color="auto"/>
            </w:tcBorders>
          </w:tcPr>
          <w:p w14:paraId="23F36788"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BD78BA5" w14:textId="77777777" w:rsidR="00653D32" w:rsidRDefault="00502314">
            <w:pPr>
              <w:tabs>
                <w:tab w:val="left" w:pos="567"/>
              </w:tabs>
              <w:rPr>
                <w:bCs/>
                <w:spacing w:val="-2"/>
                <w:szCs w:val="22"/>
                <w:lang w:val="hu-HU"/>
              </w:rPr>
            </w:pPr>
            <w:r>
              <w:rPr>
                <w:bCs/>
                <w:spacing w:val="-2"/>
                <w:szCs w:val="22"/>
                <w:lang w:val="hu-HU"/>
              </w:rPr>
              <w:t>dyspnoe (beleértve az asztmás megbetegedéseket is)</w:t>
            </w:r>
          </w:p>
        </w:tc>
        <w:tc>
          <w:tcPr>
            <w:tcW w:w="1666" w:type="dxa"/>
            <w:tcBorders>
              <w:top w:val="single" w:sz="4" w:space="0" w:color="auto"/>
              <w:left w:val="single" w:sz="4" w:space="0" w:color="auto"/>
              <w:bottom w:val="single" w:sz="4" w:space="0" w:color="auto"/>
              <w:right w:val="single" w:sz="4" w:space="0" w:color="auto"/>
            </w:tcBorders>
          </w:tcPr>
          <w:p w14:paraId="27151E79"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703EC027"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325E7ADA" w14:textId="77777777" w:rsidR="00653D32" w:rsidRDefault="00653D32">
            <w:pPr>
              <w:tabs>
                <w:tab w:val="left" w:pos="567"/>
              </w:tabs>
              <w:rPr>
                <w:bCs/>
                <w:spacing w:val="-2"/>
                <w:szCs w:val="22"/>
                <w:lang w:val="hu-HU"/>
              </w:rPr>
            </w:pPr>
          </w:p>
        </w:tc>
      </w:tr>
      <w:tr w:rsidR="00653D32" w14:paraId="78E0CFBC" w14:textId="77777777">
        <w:trPr>
          <w:cantSplit/>
        </w:trPr>
        <w:tc>
          <w:tcPr>
            <w:tcW w:w="1593" w:type="dxa"/>
            <w:tcBorders>
              <w:top w:val="single" w:sz="4" w:space="0" w:color="auto"/>
              <w:left w:val="single" w:sz="4" w:space="0" w:color="auto"/>
              <w:bottom w:val="single" w:sz="4" w:space="0" w:color="auto"/>
              <w:right w:val="single" w:sz="4" w:space="0" w:color="auto"/>
            </w:tcBorders>
          </w:tcPr>
          <w:p w14:paraId="0A1D396B" w14:textId="77777777" w:rsidR="00653D32" w:rsidRDefault="00502314">
            <w:pPr>
              <w:tabs>
                <w:tab w:val="left" w:pos="567"/>
              </w:tabs>
              <w:rPr>
                <w:b/>
                <w:spacing w:val="-2"/>
                <w:szCs w:val="22"/>
                <w:lang w:val="hu-HU"/>
              </w:rPr>
            </w:pPr>
            <w:r>
              <w:rPr>
                <w:b/>
                <w:spacing w:val="-2"/>
                <w:szCs w:val="22"/>
                <w:lang w:val="hu-HU"/>
              </w:rPr>
              <w:t xml:space="preserve">Emésztőrendszeri betegségek </w:t>
            </w:r>
            <w:r>
              <w:rPr>
                <w:b/>
                <w:bCs/>
                <w:spacing w:val="-2"/>
                <w:szCs w:val="22"/>
                <w:lang w:val="hu-HU"/>
              </w:rPr>
              <w:t>és tünetek</w:t>
            </w:r>
          </w:p>
        </w:tc>
        <w:tc>
          <w:tcPr>
            <w:tcW w:w="1666" w:type="dxa"/>
            <w:tcBorders>
              <w:top w:val="single" w:sz="4" w:space="0" w:color="auto"/>
              <w:left w:val="single" w:sz="4" w:space="0" w:color="auto"/>
              <w:bottom w:val="single" w:sz="4" w:space="0" w:color="auto"/>
              <w:right w:val="single" w:sz="4" w:space="0" w:color="auto"/>
            </w:tcBorders>
          </w:tcPr>
          <w:p w14:paraId="1E306775" w14:textId="77777777" w:rsidR="00653D32" w:rsidRDefault="00502314">
            <w:pPr>
              <w:tabs>
                <w:tab w:val="left" w:pos="567"/>
              </w:tabs>
              <w:rPr>
                <w:bCs/>
                <w:spacing w:val="-2"/>
                <w:szCs w:val="22"/>
                <w:lang w:val="hu-HU"/>
              </w:rPr>
            </w:pPr>
            <w:r>
              <w:rPr>
                <w:bCs/>
                <w:spacing w:val="-2"/>
                <w:szCs w:val="22"/>
                <w:lang w:val="hu-HU"/>
              </w:rPr>
              <w:t>hányinger</w:t>
            </w:r>
          </w:p>
          <w:p w14:paraId="41FDC613" w14:textId="77777777" w:rsidR="00653D32" w:rsidRDefault="00502314">
            <w:pPr>
              <w:tabs>
                <w:tab w:val="left" w:pos="567"/>
              </w:tabs>
              <w:rPr>
                <w:bCs/>
                <w:spacing w:val="-2"/>
                <w:szCs w:val="22"/>
                <w:lang w:val="hu-HU"/>
              </w:rPr>
            </w:pPr>
            <w:r>
              <w:rPr>
                <w:bCs/>
                <w:spacing w:val="-2"/>
                <w:szCs w:val="22"/>
                <w:lang w:val="hu-HU"/>
              </w:rPr>
              <w:t>hányás</w:t>
            </w:r>
          </w:p>
          <w:p w14:paraId="3FA4A72F" w14:textId="77777777" w:rsidR="00653D32" w:rsidRDefault="00502314">
            <w:pPr>
              <w:tabs>
                <w:tab w:val="left" w:pos="567"/>
              </w:tabs>
              <w:rPr>
                <w:bCs/>
                <w:spacing w:val="-2"/>
                <w:szCs w:val="22"/>
                <w:lang w:val="hu-HU"/>
              </w:rPr>
            </w:pPr>
            <w:r>
              <w:rPr>
                <w:bCs/>
                <w:spacing w:val="-2"/>
                <w:szCs w:val="22"/>
                <w:lang w:val="hu-HU"/>
              </w:rPr>
              <w:t>gastrointestinalis és hasi fájdalmak</w:t>
            </w:r>
          </w:p>
          <w:p w14:paraId="2AAE9F93" w14:textId="77777777" w:rsidR="00653D32" w:rsidRDefault="00502314">
            <w:pPr>
              <w:tabs>
                <w:tab w:val="left" w:pos="567"/>
              </w:tabs>
              <w:rPr>
                <w:b/>
                <w:bCs/>
                <w:spacing w:val="-2"/>
                <w:szCs w:val="22"/>
                <w:lang w:val="hu-HU"/>
              </w:rPr>
            </w:pPr>
            <w:r>
              <w:rPr>
                <w:bCs/>
                <w:spacing w:val="-2"/>
                <w:szCs w:val="22"/>
                <w:lang w:val="hu-HU"/>
              </w:rPr>
              <w:t>diarrhea</w:t>
            </w:r>
          </w:p>
        </w:tc>
        <w:tc>
          <w:tcPr>
            <w:tcW w:w="1666" w:type="dxa"/>
            <w:tcBorders>
              <w:top w:val="single" w:sz="4" w:space="0" w:color="auto"/>
              <w:left w:val="single" w:sz="4" w:space="0" w:color="auto"/>
              <w:bottom w:val="single" w:sz="4" w:space="0" w:color="auto"/>
              <w:right w:val="single" w:sz="4" w:space="0" w:color="auto"/>
            </w:tcBorders>
          </w:tcPr>
          <w:p w14:paraId="082C9AA7" w14:textId="77777777" w:rsidR="00653D32" w:rsidRDefault="00502314">
            <w:pPr>
              <w:tabs>
                <w:tab w:val="left" w:pos="567"/>
              </w:tabs>
              <w:rPr>
                <w:bCs/>
                <w:spacing w:val="-2"/>
                <w:szCs w:val="22"/>
                <w:lang w:val="hu-HU"/>
              </w:rPr>
            </w:pPr>
            <w:r>
              <w:rPr>
                <w:spacing w:val="-2"/>
                <w:szCs w:val="22"/>
                <w:lang w:val="hu-HU"/>
              </w:rPr>
              <w:t>csökkent étvágy és ételfogyasztás</w:t>
            </w:r>
          </w:p>
          <w:p w14:paraId="3235C0C0" w14:textId="77777777" w:rsidR="00653D32" w:rsidRDefault="00502314">
            <w:pPr>
              <w:tabs>
                <w:tab w:val="left" w:pos="567"/>
              </w:tabs>
              <w:rPr>
                <w:bCs/>
                <w:spacing w:val="-2"/>
                <w:szCs w:val="22"/>
                <w:lang w:val="hu-HU"/>
              </w:rPr>
            </w:pPr>
            <w:r>
              <w:rPr>
                <w:bCs/>
                <w:spacing w:val="-2"/>
                <w:szCs w:val="22"/>
                <w:lang w:val="hu-HU"/>
              </w:rPr>
              <w:t>székrekedés</w:t>
            </w:r>
          </w:p>
          <w:p w14:paraId="5330558C" w14:textId="77777777" w:rsidR="00653D32" w:rsidRDefault="00502314">
            <w:pPr>
              <w:tabs>
                <w:tab w:val="left" w:pos="567"/>
              </w:tabs>
              <w:rPr>
                <w:bCs/>
                <w:spacing w:val="-2"/>
                <w:szCs w:val="22"/>
                <w:lang w:val="hu-HU"/>
              </w:rPr>
            </w:pPr>
            <w:r>
              <w:rPr>
                <w:bCs/>
                <w:spacing w:val="-2"/>
                <w:szCs w:val="22"/>
                <w:lang w:val="hu-HU"/>
              </w:rPr>
              <w:t>emésztési zavar</w:t>
            </w:r>
          </w:p>
          <w:p w14:paraId="004EC6DC" w14:textId="77777777" w:rsidR="00653D32" w:rsidRDefault="00502314">
            <w:pPr>
              <w:tabs>
                <w:tab w:val="left" w:pos="567"/>
              </w:tabs>
              <w:rPr>
                <w:bCs/>
                <w:spacing w:val="-2"/>
                <w:szCs w:val="22"/>
                <w:lang w:val="hu-HU"/>
              </w:rPr>
            </w:pPr>
            <w:r>
              <w:rPr>
                <w:bCs/>
                <w:spacing w:val="-2"/>
                <w:szCs w:val="22"/>
                <w:lang w:val="hu-HU"/>
              </w:rPr>
              <w:t>flatulencia</w:t>
            </w:r>
          </w:p>
          <w:p w14:paraId="692FA815" w14:textId="77777777" w:rsidR="00653D32" w:rsidRDefault="00502314">
            <w:pPr>
              <w:tabs>
                <w:tab w:val="left" w:pos="567"/>
              </w:tabs>
              <w:rPr>
                <w:bCs/>
                <w:spacing w:val="-2"/>
                <w:szCs w:val="22"/>
                <w:lang w:val="hu-HU"/>
              </w:rPr>
            </w:pPr>
            <w:r>
              <w:rPr>
                <w:bCs/>
                <w:spacing w:val="-2"/>
                <w:szCs w:val="22"/>
                <w:lang w:val="hu-HU"/>
              </w:rPr>
              <w:t>gastritis</w:t>
            </w:r>
          </w:p>
          <w:p w14:paraId="64501661" w14:textId="77777777" w:rsidR="00653D32" w:rsidRDefault="00502314">
            <w:pPr>
              <w:tabs>
                <w:tab w:val="left" w:pos="567"/>
              </w:tabs>
              <w:rPr>
                <w:bCs/>
                <w:spacing w:val="-2"/>
                <w:szCs w:val="22"/>
                <w:lang w:val="hu-HU"/>
              </w:rPr>
            </w:pPr>
            <w:r>
              <w:rPr>
                <w:bCs/>
                <w:spacing w:val="-2"/>
                <w:szCs w:val="22"/>
                <w:lang w:val="hu-HU"/>
              </w:rPr>
              <w:t>emelkedett amilázszint</w:t>
            </w:r>
          </w:p>
        </w:tc>
        <w:tc>
          <w:tcPr>
            <w:tcW w:w="1666" w:type="dxa"/>
            <w:tcBorders>
              <w:top w:val="single" w:sz="4" w:space="0" w:color="auto"/>
              <w:left w:val="single" w:sz="4" w:space="0" w:color="auto"/>
              <w:bottom w:val="single" w:sz="4" w:space="0" w:color="auto"/>
              <w:right w:val="single" w:sz="4" w:space="0" w:color="auto"/>
            </w:tcBorders>
          </w:tcPr>
          <w:p w14:paraId="6F776CEA" w14:textId="77777777" w:rsidR="00653D32" w:rsidRDefault="00502314">
            <w:pPr>
              <w:tabs>
                <w:tab w:val="left" w:pos="567"/>
              </w:tabs>
              <w:rPr>
                <w:bCs/>
                <w:spacing w:val="-2"/>
                <w:szCs w:val="22"/>
                <w:lang w:val="hu-HU"/>
              </w:rPr>
            </w:pPr>
            <w:r>
              <w:rPr>
                <w:bCs/>
                <w:spacing w:val="-2"/>
                <w:szCs w:val="22"/>
                <w:lang w:val="hu-HU"/>
              </w:rPr>
              <w:t>dysphagia</w:t>
            </w:r>
          </w:p>
          <w:p w14:paraId="539A3981" w14:textId="77777777" w:rsidR="00653D32" w:rsidRDefault="00502314">
            <w:pPr>
              <w:tabs>
                <w:tab w:val="left" w:pos="567"/>
              </w:tabs>
              <w:rPr>
                <w:bCs/>
                <w:spacing w:val="-2"/>
                <w:szCs w:val="22"/>
                <w:lang w:val="hu-HU"/>
              </w:rPr>
            </w:pPr>
            <w:r>
              <w:rPr>
                <w:bCs/>
                <w:spacing w:val="-2"/>
                <w:szCs w:val="22"/>
                <w:lang w:val="hu-HU"/>
              </w:rPr>
              <w:t>stomatitis</w:t>
            </w:r>
          </w:p>
          <w:p w14:paraId="5E9CE44D" w14:textId="77777777" w:rsidR="00653D32" w:rsidRDefault="00502314">
            <w:pPr>
              <w:tabs>
                <w:tab w:val="left" w:pos="567"/>
              </w:tabs>
              <w:rPr>
                <w:bCs/>
                <w:spacing w:val="-2"/>
                <w:szCs w:val="22"/>
                <w:lang w:val="hu-HU"/>
              </w:rPr>
            </w:pPr>
            <w:r>
              <w:rPr>
                <w:bCs/>
                <w:spacing w:val="-2"/>
                <w:szCs w:val="22"/>
                <w:lang w:val="hu-HU"/>
              </w:rPr>
              <w:t>antibiotikus kezeléssel összefüggő colitis (beleértve a pseudomem-branosus colitist is, amely nagyon ritkán életveszélyes szövődményekkel jár, lásd 4.4 pont)</w:t>
            </w:r>
          </w:p>
        </w:tc>
        <w:tc>
          <w:tcPr>
            <w:tcW w:w="1666" w:type="dxa"/>
            <w:tcBorders>
              <w:top w:val="single" w:sz="4" w:space="0" w:color="auto"/>
              <w:left w:val="single" w:sz="4" w:space="0" w:color="auto"/>
              <w:bottom w:val="single" w:sz="4" w:space="0" w:color="auto"/>
              <w:right w:val="single" w:sz="4" w:space="0" w:color="auto"/>
            </w:tcBorders>
          </w:tcPr>
          <w:p w14:paraId="43EF4107"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C9E8854" w14:textId="77777777" w:rsidR="00653D32" w:rsidRDefault="00653D32">
            <w:pPr>
              <w:tabs>
                <w:tab w:val="left" w:pos="567"/>
              </w:tabs>
              <w:rPr>
                <w:bCs/>
                <w:spacing w:val="-2"/>
                <w:szCs w:val="22"/>
                <w:lang w:val="hu-HU"/>
              </w:rPr>
            </w:pPr>
          </w:p>
        </w:tc>
      </w:tr>
      <w:tr w:rsidR="00653D32" w14:paraId="2C956D87" w14:textId="77777777">
        <w:trPr>
          <w:cantSplit/>
        </w:trPr>
        <w:tc>
          <w:tcPr>
            <w:tcW w:w="1593" w:type="dxa"/>
            <w:tcBorders>
              <w:top w:val="single" w:sz="4" w:space="0" w:color="auto"/>
              <w:left w:val="single" w:sz="4" w:space="0" w:color="auto"/>
              <w:bottom w:val="single" w:sz="4" w:space="0" w:color="auto"/>
              <w:right w:val="single" w:sz="4" w:space="0" w:color="auto"/>
            </w:tcBorders>
          </w:tcPr>
          <w:p w14:paraId="638E5B9A" w14:textId="77777777" w:rsidR="00653D32" w:rsidRDefault="00502314">
            <w:pPr>
              <w:tabs>
                <w:tab w:val="left" w:pos="567"/>
              </w:tabs>
              <w:rPr>
                <w:b/>
                <w:spacing w:val="-2"/>
                <w:szCs w:val="22"/>
                <w:lang w:val="hu-HU"/>
              </w:rPr>
            </w:pPr>
            <w:r>
              <w:rPr>
                <w:b/>
                <w:bCs/>
                <w:spacing w:val="-2"/>
                <w:szCs w:val="22"/>
                <w:lang w:val="hu-HU"/>
              </w:rPr>
              <w:t>Máj- és epebetegségek, illetve tünetek</w:t>
            </w:r>
          </w:p>
        </w:tc>
        <w:tc>
          <w:tcPr>
            <w:tcW w:w="1666" w:type="dxa"/>
            <w:tcBorders>
              <w:top w:val="single" w:sz="4" w:space="0" w:color="auto"/>
              <w:left w:val="single" w:sz="4" w:space="0" w:color="auto"/>
              <w:bottom w:val="single" w:sz="4" w:space="0" w:color="auto"/>
              <w:right w:val="single" w:sz="4" w:space="0" w:color="auto"/>
            </w:tcBorders>
          </w:tcPr>
          <w:p w14:paraId="675D09F8" w14:textId="77777777" w:rsidR="00653D32" w:rsidRDefault="00502314">
            <w:pPr>
              <w:tabs>
                <w:tab w:val="left" w:pos="567"/>
              </w:tabs>
              <w:rPr>
                <w:bCs/>
                <w:spacing w:val="-2"/>
                <w:szCs w:val="22"/>
                <w:lang w:val="hu-HU"/>
              </w:rPr>
            </w:pPr>
            <w:r>
              <w:rPr>
                <w:bCs/>
                <w:spacing w:val="-2"/>
                <w:szCs w:val="22"/>
                <w:lang w:val="hu-HU"/>
              </w:rPr>
              <w:t>emelkedett transzamináz szintek</w:t>
            </w:r>
          </w:p>
        </w:tc>
        <w:tc>
          <w:tcPr>
            <w:tcW w:w="1666" w:type="dxa"/>
            <w:tcBorders>
              <w:top w:val="single" w:sz="4" w:space="0" w:color="auto"/>
              <w:left w:val="single" w:sz="4" w:space="0" w:color="auto"/>
              <w:bottom w:val="single" w:sz="4" w:space="0" w:color="auto"/>
              <w:right w:val="single" w:sz="4" w:space="0" w:color="auto"/>
            </w:tcBorders>
          </w:tcPr>
          <w:p w14:paraId="775465ED" w14:textId="77777777" w:rsidR="00653D32" w:rsidRDefault="00502314">
            <w:pPr>
              <w:tabs>
                <w:tab w:val="left" w:pos="567"/>
              </w:tabs>
              <w:rPr>
                <w:bCs/>
                <w:spacing w:val="-2"/>
                <w:szCs w:val="22"/>
                <w:lang w:val="hu-HU"/>
              </w:rPr>
            </w:pPr>
            <w:r>
              <w:rPr>
                <w:bCs/>
                <w:spacing w:val="-2"/>
                <w:szCs w:val="22"/>
                <w:lang w:val="hu-HU"/>
              </w:rPr>
              <w:t>májkárosodás (beleértve az LDH</w:t>
            </w:r>
            <w:r>
              <w:rPr>
                <w:bCs/>
                <w:spacing w:val="-2"/>
                <w:szCs w:val="22"/>
                <w:lang w:val="hu-HU"/>
              </w:rPr>
              <w:noBreakHyphen/>
              <w:t>emelkedést is)</w:t>
            </w:r>
          </w:p>
          <w:p w14:paraId="7BD73872" w14:textId="77777777" w:rsidR="00653D32" w:rsidRDefault="00502314">
            <w:pPr>
              <w:tabs>
                <w:tab w:val="left" w:pos="567"/>
              </w:tabs>
              <w:rPr>
                <w:bCs/>
                <w:spacing w:val="-2"/>
                <w:szCs w:val="22"/>
                <w:lang w:val="hu-HU"/>
              </w:rPr>
            </w:pPr>
            <w:r>
              <w:rPr>
                <w:bCs/>
                <w:spacing w:val="-2"/>
                <w:szCs w:val="22"/>
                <w:lang w:val="hu-HU"/>
              </w:rPr>
              <w:t>emelkedett bilirubin szint, emelkedett szérum gamma-glutamil-transzferáz szint</w:t>
            </w:r>
          </w:p>
          <w:p w14:paraId="0A9D574B" w14:textId="77777777" w:rsidR="00653D32" w:rsidRDefault="00502314">
            <w:pPr>
              <w:tabs>
                <w:tab w:val="left" w:pos="567"/>
              </w:tabs>
              <w:rPr>
                <w:bCs/>
                <w:spacing w:val="-2"/>
                <w:szCs w:val="22"/>
                <w:lang w:val="hu-HU"/>
              </w:rPr>
            </w:pPr>
            <w:r>
              <w:rPr>
                <w:bCs/>
                <w:spacing w:val="-2"/>
                <w:szCs w:val="22"/>
                <w:lang w:val="hu-HU"/>
              </w:rPr>
              <w:t>emelkedett szérum alkalikus foszfatáz szint</w:t>
            </w:r>
          </w:p>
        </w:tc>
        <w:tc>
          <w:tcPr>
            <w:tcW w:w="1666" w:type="dxa"/>
            <w:tcBorders>
              <w:top w:val="single" w:sz="4" w:space="0" w:color="auto"/>
              <w:left w:val="single" w:sz="4" w:space="0" w:color="auto"/>
              <w:bottom w:val="single" w:sz="4" w:space="0" w:color="auto"/>
              <w:right w:val="single" w:sz="4" w:space="0" w:color="auto"/>
            </w:tcBorders>
          </w:tcPr>
          <w:p w14:paraId="512A7EAF" w14:textId="77777777" w:rsidR="00653D32" w:rsidRDefault="00502314">
            <w:pPr>
              <w:tabs>
                <w:tab w:val="left" w:pos="567"/>
              </w:tabs>
              <w:rPr>
                <w:bCs/>
                <w:spacing w:val="-2"/>
                <w:szCs w:val="22"/>
                <w:lang w:val="hu-HU"/>
              </w:rPr>
            </w:pPr>
            <w:r>
              <w:rPr>
                <w:bCs/>
                <w:spacing w:val="-2"/>
                <w:szCs w:val="22"/>
                <w:lang w:val="hu-HU"/>
              </w:rPr>
              <w:t>icterus</w:t>
            </w:r>
          </w:p>
          <w:p w14:paraId="664AE061" w14:textId="77777777" w:rsidR="00653D32" w:rsidRDefault="00502314">
            <w:pPr>
              <w:tabs>
                <w:tab w:val="left" w:pos="567"/>
              </w:tabs>
              <w:rPr>
                <w:bCs/>
                <w:spacing w:val="-2"/>
                <w:szCs w:val="22"/>
                <w:lang w:val="hu-HU"/>
              </w:rPr>
            </w:pPr>
            <w:r>
              <w:rPr>
                <w:bCs/>
                <w:spacing w:val="-2"/>
                <w:szCs w:val="22"/>
                <w:lang w:val="hu-HU"/>
              </w:rPr>
              <w:t>hepatitis (főként cholestaticus)</w:t>
            </w:r>
          </w:p>
        </w:tc>
        <w:tc>
          <w:tcPr>
            <w:tcW w:w="1666" w:type="dxa"/>
            <w:tcBorders>
              <w:top w:val="single" w:sz="4" w:space="0" w:color="auto"/>
              <w:left w:val="single" w:sz="4" w:space="0" w:color="auto"/>
              <w:bottom w:val="single" w:sz="4" w:space="0" w:color="auto"/>
              <w:right w:val="single" w:sz="4" w:space="0" w:color="auto"/>
            </w:tcBorders>
          </w:tcPr>
          <w:p w14:paraId="618EDD27" w14:textId="77777777" w:rsidR="00653D32" w:rsidRDefault="00502314">
            <w:pPr>
              <w:tabs>
                <w:tab w:val="left" w:pos="567"/>
              </w:tabs>
              <w:rPr>
                <w:bCs/>
                <w:spacing w:val="-2"/>
                <w:szCs w:val="22"/>
                <w:lang w:val="hu-HU"/>
              </w:rPr>
            </w:pPr>
            <w:r>
              <w:rPr>
                <w:bCs/>
                <w:spacing w:val="-2"/>
                <w:szCs w:val="22"/>
                <w:lang w:val="hu-HU"/>
              </w:rPr>
              <w:t>potenciálisan életveszélyes májelégtelenséghez vezető fulmináns hepatitis (a halálos kimenetelű eseteket is beleértve, lásd 4.4 pont)</w:t>
            </w:r>
          </w:p>
        </w:tc>
        <w:tc>
          <w:tcPr>
            <w:tcW w:w="1666" w:type="dxa"/>
            <w:tcBorders>
              <w:top w:val="single" w:sz="4" w:space="0" w:color="auto"/>
              <w:left w:val="single" w:sz="4" w:space="0" w:color="auto"/>
              <w:bottom w:val="single" w:sz="4" w:space="0" w:color="auto"/>
              <w:right w:val="single" w:sz="4" w:space="0" w:color="auto"/>
            </w:tcBorders>
          </w:tcPr>
          <w:p w14:paraId="40C6FAEF" w14:textId="77777777" w:rsidR="00653D32" w:rsidRDefault="00653D32">
            <w:pPr>
              <w:tabs>
                <w:tab w:val="left" w:pos="567"/>
              </w:tabs>
              <w:rPr>
                <w:bCs/>
                <w:spacing w:val="-2"/>
                <w:szCs w:val="22"/>
                <w:lang w:val="hu-HU"/>
              </w:rPr>
            </w:pPr>
          </w:p>
        </w:tc>
      </w:tr>
      <w:tr w:rsidR="00653D32" w14:paraId="72C9FBFC" w14:textId="77777777">
        <w:trPr>
          <w:cantSplit/>
        </w:trPr>
        <w:tc>
          <w:tcPr>
            <w:tcW w:w="1593" w:type="dxa"/>
            <w:tcBorders>
              <w:top w:val="single" w:sz="4" w:space="0" w:color="auto"/>
              <w:left w:val="single" w:sz="4" w:space="0" w:color="auto"/>
              <w:bottom w:val="single" w:sz="4" w:space="0" w:color="auto"/>
              <w:right w:val="single" w:sz="4" w:space="0" w:color="auto"/>
            </w:tcBorders>
          </w:tcPr>
          <w:p w14:paraId="7B97B18D" w14:textId="77777777" w:rsidR="00653D32" w:rsidRDefault="00502314">
            <w:pPr>
              <w:tabs>
                <w:tab w:val="left" w:pos="567"/>
              </w:tabs>
              <w:rPr>
                <w:b/>
                <w:spacing w:val="-2"/>
                <w:szCs w:val="22"/>
                <w:lang w:val="hu-HU"/>
              </w:rPr>
            </w:pPr>
            <w:r>
              <w:rPr>
                <w:b/>
                <w:spacing w:val="-2"/>
                <w:szCs w:val="22"/>
                <w:lang w:val="hu-HU"/>
              </w:rPr>
              <w:t xml:space="preserve">A bőr és a bőr alatti szövet betegségei </w:t>
            </w:r>
            <w:r>
              <w:rPr>
                <w:b/>
                <w:bCs/>
                <w:spacing w:val="-2"/>
                <w:szCs w:val="22"/>
                <w:lang w:val="hu-HU"/>
              </w:rPr>
              <w:t>és tünetei</w:t>
            </w:r>
          </w:p>
        </w:tc>
        <w:tc>
          <w:tcPr>
            <w:tcW w:w="1666" w:type="dxa"/>
            <w:tcBorders>
              <w:top w:val="single" w:sz="4" w:space="0" w:color="auto"/>
              <w:left w:val="single" w:sz="4" w:space="0" w:color="auto"/>
              <w:bottom w:val="single" w:sz="4" w:space="0" w:color="auto"/>
              <w:right w:val="single" w:sz="4" w:space="0" w:color="auto"/>
            </w:tcBorders>
          </w:tcPr>
          <w:p w14:paraId="05836271"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1C64320A" w14:textId="77777777" w:rsidR="00653D32" w:rsidRDefault="00502314">
            <w:pPr>
              <w:tabs>
                <w:tab w:val="left" w:pos="567"/>
              </w:tabs>
              <w:rPr>
                <w:bCs/>
                <w:spacing w:val="-2"/>
                <w:szCs w:val="22"/>
                <w:lang w:val="hu-HU"/>
              </w:rPr>
            </w:pPr>
            <w:r>
              <w:rPr>
                <w:bCs/>
                <w:spacing w:val="-2"/>
                <w:szCs w:val="22"/>
                <w:lang w:val="hu-HU"/>
              </w:rPr>
              <w:t>pruritus</w:t>
            </w:r>
          </w:p>
          <w:p w14:paraId="4AE06AD2" w14:textId="77777777" w:rsidR="00653D32" w:rsidRDefault="00502314">
            <w:pPr>
              <w:tabs>
                <w:tab w:val="left" w:pos="567"/>
              </w:tabs>
              <w:rPr>
                <w:bCs/>
                <w:spacing w:val="-2"/>
                <w:szCs w:val="22"/>
                <w:lang w:val="hu-HU"/>
              </w:rPr>
            </w:pPr>
            <w:r>
              <w:rPr>
                <w:bCs/>
                <w:spacing w:val="-2"/>
                <w:szCs w:val="22"/>
                <w:lang w:val="hu-HU"/>
              </w:rPr>
              <w:t>bőrkiütés</w:t>
            </w:r>
          </w:p>
          <w:p w14:paraId="1E6ED52E" w14:textId="77777777" w:rsidR="00653D32" w:rsidRDefault="00502314">
            <w:pPr>
              <w:tabs>
                <w:tab w:val="left" w:pos="567"/>
              </w:tabs>
              <w:rPr>
                <w:bCs/>
                <w:spacing w:val="-2"/>
                <w:szCs w:val="22"/>
                <w:lang w:val="hu-HU"/>
              </w:rPr>
            </w:pPr>
            <w:r>
              <w:rPr>
                <w:bCs/>
                <w:spacing w:val="-2"/>
                <w:szCs w:val="22"/>
                <w:lang w:val="hu-HU"/>
              </w:rPr>
              <w:t>urticaria</w:t>
            </w:r>
          </w:p>
          <w:p w14:paraId="1CF505DA" w14:textId="77777777" w:rsidR="00653D32" w:rsidRDefault="00502314">
            <w:pPr>
              <w:tabs>
                <w:tab w:val="left" w:pos="567"/>
              </w:tabs>
              <w:rPr>
                <w:bCs/>
                <w:spacing w:val="-2"/>
                <w:szCs w:val="22"/>
                <w:lang w:val="hu-HU"/>
              </w:rPr>
            </w:pPr>
            <w:r>
              <w:rPr>
                <w:bCs/>
                <w:spacing w:val="-2"/>
                <w:szCs w:val="22"/>
                <w:lang w:val="hu-HU"/>
              </w:rPr>
              <w:t>száraz bőr</w:t>
            </w:r>
          </w:p>
        </w:tc>
        <w:tc>
          <w:tcPr>
            <w:tcW w:w="1666" w:type="dxa"/>
            <w:tcBorders>
              <w:top w:val="single" w:sz="4" w:space="0" w:color="auto"/>
              <w:left w:val="single" w:sz="4" w:space="0" w:color="auto"/>
              <w:bottom w:val="single" w:sz="4" w:space="0" w:color="auto"/>
              <w:right w:val="single" w:sz="4" w:space="0" w:color="auto"/>
            </w:tcBorders>
          </w:tcPr>
          <w:p w14:paraId="7EEE4240"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15708B16" w14:textId="77777777" w:rsidR="00653D32" w:rsidRDefault="00502314">
            <w:pPr>
              <w:tabs>
                <w:tab w:val="left" w:pos="567"/>
              </w:tabs>
              <w:rPr>
                <w:bCs/>
                <w:spacing w:val="-2"/>
                <w:szCs w:val="22"/>
                <w:lang w:val="hu-HU"/>
              </w:rPr>
            </w:pPr>
            <w:r>
              <w:rPr>
                <w:bCs/>
                <w:spacing w:val="-2"/>
                <w:szCs w:val="22"/>
                <w:lang w:val="hu-HU"/>
              </w:rPr>
              <w:t>hólyagos bőrreakciók, pl. Stevens–Johnson-szindróma vagy toxicus epidermalis necrolysis (potenciálisan életveszélyes, lásd 4.4 pont)</w:t>
            </w:r>
          </w:p>
        </w:tc>
        <w:tc>
          <w:tcPr>
            <w:tcW w:w="1666" w:type="dxa"/>
            <w:tcBorders>
              <w:top w:val="single" w:sz="4" w:space="0" w:color="auto"/>
              <w:left w:val="single" w:sz="4" w:space="0" w:color="auto"/>
              <w:bottom w:val="single" w:sz="4" w:space="0" w:color="auto"/>
              <w:right w:val="single" w:sz="4" w:space="0" w:color="auto"/>
            </w:tcBorders>
          </w:tcPr>
          <w:p w14:paraId="19948BF5" w14:textId="77777777" w:rsidR="00653D32" w:rsidRDefault="00502314">
            <w:pPr>
              <w:tabs>
                <w:tab w:val="left" w:pos="567"/>
              </w:tabs>
              <w:rPr>
                <w:bCs/>
                <w:spacing w:val="-2"/>
                <w:szCs w:val="22"/>
                <w:lang w:val="hu-HU"/>
              </w:rPr>
            </w:pPr>
            <w:r>
              <w:rPr>
                <w:bCs/>
                <w:spacing w:val="-2"/>
                <w:szCs w:val="22"/>
                <w:lang w:val="hu-HU"/>
              </w:rPr>
              <w:t xml:space="preserve">akut generalizált exanthemás pustulosis (AGEP), </w:t>
            </w:r>
            <w:r>
              <w:rPr>
                <w:lang w:val="hu-HU"/>
              </w:rPr>
              <w:t>eosinophiliával és szisztémás tünetekkel járó gyógyszerreakció (DRESS) (lásd 4.4 pont), mindig ugyanott jelentkező (fix) gyógyszerkiütés, fotoszenzitivitási reakciók (lásd 4.4 pont)</w:t>
            </w:r>
          </w:p>
        </w:tc>
      </w:tr>
      <w:tr w:rsidR="00653D32" w14:paraId="3F2382F7" w14:textId="77777777">
        <w:trPr>
          <w:cantSplit/>
        </w:trPr>
        <w:tc>
          <w:tcPr>
            <w:tcW w:w="1593" w:type="dxa"/>
            <w:tcBorders>
              <w:top w:val="single" w:sz="4" w:space="0" w:color="auto"/>
              <w:left w:val="single" w:sz="4" w:space="0" w:color="auto"/>
              <w:bottom w:val="single" w:sz="4" w:space="0" w:color="auto"/>
              <w:right w:val="single" w:sz="4" w:space="0" w:color="auto"/>
            </w:tcBorders>
          </w:tcPr>
          <w:p w14:paraId="49D4E569" w14:textId="77777777" w:rsidR="00653D32" w:rsidRDefault="00502314">
            <w:pPr>
              <w:tabs>
                <w:tab w:val="left" w:pos="567"/>
              </w:tabs>
              <w:rPr>
                <w:b/>
                <w:spacing w:val="-2"/>
                <w:szCs w:val="22"/>
                <w:lang w:val="hu-HU"/>
              </w:rPr>
            </w:pPr>
            <w:r>
              <w:rPr>
                <w:b/>
                <w:spacing w:val="-2"/>
                <w:szCs w:val="22"/>
                <w:lang w:val="hu-HU"/>
              </w:rPr>
              <w:lastRenderedPageBreak/>
              <w:t>A csont- és izomrendszer, valamint a kötőszövet betegségei és tünetei*</w:t>
            </w:r>
          </w:p>
        </w:tc>
        <w:tc>
          <w:tcPr>
            <w:tcW w:w="1666" w:type="dxa"/>
            <w:tcBorders>
              <w:top w:val="single" w:sz="4" w:space="0" w:color="auto"/>
              <w:left w:val="single" w:sz="4" w:space="0" w:color="auto"/>
              <w:bottom w:val="single" w:sz="4" w:space="0" w:color="auto"/>
              <w:right w:val="single" w:sz="4" w:space="0" w:color="auto"/>
            </w:tcBorders>
          </w:tcPr>
          <w:p w14:paraId="0771D885"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358C24F5" w14:textId="77777777" w:rsidR="00653D32" w:rsidRDefault="00502314">
            <w:pPr>
              <w:tabs>
                <w:tab w:val="left" w:pos="567"/>
              </w:tabs>
              <w:autoSpaceDE w:val="0"/>
              <w:autoSpaceDN w:val="0"/>
              <w:rPr>
                <w:rFonts w:eastAsia="Times New Roman"/>
                <w:szCs w:val="22"/>
                <w:lang w:val="hu-HU"/>
              </w:rPr>
            </w:pPr>
            <w:r>
              <w:rPr>
                <w:rFonts w:eastAsia="Times New Roman"/>
                <w:szCs w:val="22"/>
                <w:lang w:val="hu-HU"/>
              </w:rPr>
              <w:t>arthralgia,</w:t>
            </w:r>
          </w:p>
          <w:p w14:paraId="5C729F26" w14:textId="77777777" w:rsidR="00653D32" w:rsidRDefault="00502314">
            <w:pPr>
              <w:tabs>
                <w:tab w:val="left" w:pos="567"/>
              </w:tabs>
              <w:rPr>
                <w:bCs/>
                <w:spacing w:val="-2"/>
                <w:szCs w:val="22"/>
                <w:lang w:val="hu-HU"/>
              </w:rPr>
            </w:pPr>
            <w:r>
              <w:rPr>
                <w:rFonts w:eastAsia="Times New Roman"/>
                <w:szCs w:val="22"/>
                <w:lang w:val="hu-HU"/>
              </w:rPr>
              <w:t>myalgia</w:t>
            </w:r>
            <w:r>
              <w:rPr>
                <w:bCs/>
                <w:spacing w:val="-2"/>
                <w:szCs w:val="22"/>
                <w:lang w:val="hu-HU"/>
              </w:rPr>
              <w:t xml:space="preserve"> </w:t>
            </w:r>
          </w:p>
        </w:tc>
        <w:tc>
          <w:tcPr>
            <w:tcW w:w="1666" w:type="dxa"/>
            <w:tcBorders>
              <w:top w:val="single" w:sz="4" w:space="0" w:color="auto"/>
              <w:left w:val="single" w:sz="4" w:space="0" w:color="auto"/>
              <w:bottom w:val="single" w:sz="4" w:space="0" w:color="auto"/>
              <w:right w:val="single" w:sz="4" w:space="0" w:color="auto"/>
            </w:tcBorders>
          </w:tcPr>
          <w:p w14:paraId="34504DF8" w14:textId="77777777" w:rsidR="00653D32" w:rsidRDefault="00502314">
            <w:pPr>
              <w:tabs>
                <w:tab w:val="left" w:pos="567"/>
              </w:tabs>
              <w:rPr>
                <w:bCs/>
                <w:spacing w:val="-2"/>
                <w:szCs w:val="22"/>
                <w:lang w:val="hu-HU"/>
              </w:rPr>
            </w:pPr>
            <w:r>
              <w:rPr>
                <w:bCs/>
                <w:spacing w:val="-2"/>
                <w:szCs w:val="22"/>
                <w:lang w:val="hu-HU"/>
              </w:rPr>
              <w:t>tendinitis (lásd 4.4 pont)</w:t>
            </w:r>
          </w:p>
          <w:p w14:paraId="07CC02C8" w14:textId="77777777" w:rsidR="00653D32" w:rsidRDefault="00502314">
            <w:pPr>
              <w:tabs>
                <w:tab w:val="left" w:pos="567"/>
              </w:tabs>
              <w:rPr>
                <w:bCs/>
                <w:spacing w:val="-2"/>
                <w:szCs w:val="22"/>
                <w:lang w:val="hu-HU"/>
              </w:rPr>
            </w:pPr>
            <w:r>
              <w:rPr>
                <w:bCs/>
                <w:spacing w:val="-2"/>
                <w:szCs w:val="22"/>
                <w:lang w:val="hu-HU"/>
              </w:rPr>
              <w:t>izomgörcs</w:t>
            </w:r>
          </w:p>
          <w:p w14:paraId="38936469" w14:textId="77777777" w:rsidR="00653D32" w:rsidRDefault="00502314">
            <w:pPr>
              <w:tabs>
                <w:tab w:val="left" w:pos="567"/>
              </w:tabs>
              <w:rPr>
                <w:bCs/>
                <w:spacing w:val="-2"/>
                <w:szCs w:val="22"/>
                <w:lang w:val="hu-HU"/>
              </w:rPr>
            </w:pPr>
            <w:r>
              <w:rPr>
                <w:bCs/>
                <w:spacing w:val="-2"/>
                <w:szCs w:val="22"/>
                <w:lang w:val="hu-HU"/>
              </w:rPr>
              <w:t>izomrángás</w:t>
            </w:r>
          </w:p>
          <w:p w14:paraId="097FDB00" w14:textId="77777777" w:rsidR="00653D32" w:rsidRDefault="00502314">
            <w:pPr>
              <w:tabs>
                <w:tab w:val="left" w:pos="567"/>
              </w:tabs>
              <w:rPr>
                <w:bCs/>
                <w:spacing w:val="-2"/>
                <w:szCs w:val="22"/>
                <w:lang w:val="hu-HU"/>
              </w:rPr>
            </w:pPr>
            <w:r>
              <w:rPr>
                <w:spacing w:val="-2"/>
                <w:szCs w:val="22"/>
                <w:lang w:val="hu-HU"/>
              </w:rPr>
              <w:t>izomgyengeség</w:t>
            </w:r>
          </w:p>
        </w:tc>
        <w:tc>
          <w:tcPr>
            <w:tcW w:w="1666" w:type="dxa"/>
            <w:tcBorders>
              <w:top w:val="single" w:sz="4" w:space="0" w:color="auto"/>
              <w:left w:val="single" w:sz="4" w:space="0" w:color="auto"/>
              <w:bottom w:val="single" w:sz="4" w:space="0" w:color="auto"/>
              <w:right w:val="single" w:sz="4" w:space="0" w:color="auto"/>
            </w:tcBorders>
          </w:tcPr>
          <w:p w14:paraId="09015416" w14:textId="77777777" w:rsidR="00653D32" w:rsidRDefault="00502314">
            <w:pPr>
              <w:tabs>
                <w:tab w:val="left" w:pos="567"/>
              </w:tabs>
              <w:rPr>
                <w:bCs/>
                <w:spacing w:val="-2"/>
                <w:szCs w:val="22"/>
                <w:lang w:val="hu-HU"/>
              </w:rPr>
            </w:pPr>
            <w:r>
              <w:rPr>
                <w:bCs/>
                <w:spacing w:val="-2"/>
                <w:szCs w:val="22"/>
                <w:lang w:val="hu-HU"/>
              </w:rPr>
              <w:t>ínszakadás (lásd 4.4 pont)</w:t>
            </w:r>
          </w:p>
          <w:p w14:paraId="1303959B" w14:textId="77777777" w:rsidR="00653D32" w:rsidRDefault="00502314">
            <w:pPr>
              <w:tabs>
                <w:tab w:val="left" w:pos="567"/>
              </w:tabs>
              <w:rPr>
                <w:bCs/>
                <w:spacing w:val="-2"/>
                <w:szCs w:val="22"/>
                <w:lang w:val="hu-HU"/>
              </w:rPr>
            </w:pPr>
            <w:r>
              <w:rPr>
                <w:bCs/>
                <w:spacing w:val="-2"/>
                <w:szCs w:val="22"/>
                <w:lang w:val="hu-HU"/>
              </w:rPr>
              <w:t>arthritis</w:t>
            </w:r>
          </w:p>
          <w:p w14:paraId="0B8F04F9" w14:textId="77777777" w:rsidR="00653D32" w:rsidRDefault="00502314">
            <w:pPr>
              <w:tabs>
                <w:tab w:val="left" w:pos="567"/>
              </w:tabs>
              <w:rPr>
                <w:bCs/>
                <w:spacing w:val="-2"/>
                <w:szCs w:val="22"/>
                <w:lang w:val="hu-HU"/>
              </w:rPr>
            </w:pPr>
            <w:r>
              <w:rPr>
                <w:bCs/>
                <w:spacing w:val="-2"/>
                <w:szCs w:val="22"/>
                <w:lang w:val="hu-HU"/>
              </w:rPr>
              <w:t>izomrigiditás</w:t>
            </w:r>
          </w:p>
          <w:p w14:paraId="08BE77A3" w14:textId="77777777" w:rsidR="00653D32" w:rsidRDefault="00502314">
            <w:pPr>
              <w:tabs>
                <w:tab w:val="left" w:pos="567"/>
              </w:tabs>
              <w:rPr>
                <w:bCs/>
                <w:spacing w:val="-2"/>
                <w:szCs w:val="22"/>
                <w:lang w:val="hu-HU"/>
              </w:rPr>
            </w:pPr>
            <w:r>
              <w:rPr>
                <w:bCs/>
                <w:spacing w:val="-2"/>
                <w:szCs w:val="22"/>
                <w:lang w:val="hu-HU"/>
              </w:rPr>
              <w:t xml:space="preserve">a myasthenia gravis tüneteinek </w:t>
            </w:r>
            <w:r>
              <w:rPr>
                <w:spacing w:val="-2"/>
                <w:szCs w:val="22"/>
                <w:lang w:val="hu-HU"/>
              </w:rPr>
              <w:t>exacerbatiója</w:t>
            </w:r>
            <w:r>
              <w:rPr>
                <w:bCs/>
                <w:spacing w:val="-2"/>
                <w:szCs w:val="22"/>
                <w:lang w:val="hu-HU"/>
              </w:rPr>
              <w:t xml:space="preserve"> (lásd 4.4 pont)</w:t>
            </w:r>
          </w:p>
        </w:tc>
        <w:tc>
          <w:tcPr>
            <w:tcW w:w="1666" w:type="dxa"/>
            <w:tcBorders>
              <w:top w:val="single" w:sz="4" w:space="0" w:color="auto"/>
              <w:left w:val="single" w:sz="4" w:space="0" w:color="auto"/>
              <w:bottom w:val="single" w:sz="4" w:space="0" w:color="auto"/>
              <w:right w:val="single" w:sz="4" w:space="0" w:color="auto"/>
            </w:tcBorders>
          </w:tcPr>
          <w:p w14:paraId="0E005E04" w14:textId="77777777" w:rsidR="00653D32" w:rsidRDefault="00502314">
            <w:pPr>
              <w:tabs>
                <w:tab w:val="left" w:pos="567"/>
              </w:tabs>
              <w:rPr>
                <w:bCs/>
                <w:spacing w:val="-2"/>
                <w:szCs w:val="22"/>
                <w:lang w:val="hu-HU"/>
              </w:rPr>
            </w:pPr>
            <w:r>
              <w:rPr>
                <w:bCs/>
                <w:spacing w:val="-2"/>
                <w:szCs w:val="22"/>
                <w:lang w:val="hu-HU"/>
              </w:rPr>
              <w:t>rhabdomyolysis</w:t>
            </w:r>
          </w:p>
        </w:tc>
      </w:tr>
      <w:tr w:rsidR="00653D32" w14:paraId="30B7D4B6" w14:textId="77777777">
        <w:trPr>
          <w:cantSplit/>
        </w:trPr>
        <w:tc>
          <w:tcPr>
            <w:tcW w:w="1593" w:type="dxa"/>
            <w:tcBorders>
              <w:top w:val="single" w:sz="4" w:space="0" w:color="auto"/>
              <w:left w:val="single" w:sz="4" w:space="0" w:color="auto"/>
              <w:bottom w:val="single" w:sz="4" w:space="0" w:color="auto"/>
              <w:right w:val="single" w:sz="4" w:space="0" w:color="auto"/>
            </w:tcBorders>
          </w:tcPr>
          <w:p w14:paraId="50640A75" w14:textId="77777777" w:rsidR="00653D32" w:rsidRDefault="00502314">
            <w:pPr>
              <w:tabs>
                <w:tab w:val="left" w:pos="567"/>
              </w:tabs>
              <w:rPr>
                <w:b/>
                <w:spacing w:val="-2"/>
                <w:szCs w:val="22"/>
                <w:lang w:val="hu-HU"/>
              </w:rPr>
            </w:pPr>
            <w:r>
              <w:rPr>
                <w:b/>
                <w:spacing w:val="-2"/>
                <w:szCs w:val="22"/>
                <w:lang w:val="hu-HU"/>
              </w:rPr>
              <w:t>Vese- és húgyúti betegségek és tünetek</w:t>
            </w:r>
          </w:p>
        </w:tc>
        <w:tc>
          <w:tcPr>
            <w:tcW w:w="1666" w:type="dxa"/>
            <w:tcBorders>
              <w:top w:val="single" w:sz="4" w:space="0" w:color="auto"/>
              <w:left w:val="single" w:sz="4" w:space="0" w:color="auto"/>
              <w:bottom w:val="single" w:sz="4" w:space="0" w:color="auto"/>
              <w:right w:val="single" w:sz="4" w:space="0" w:color="auto"/>
            </w:tcBorders>
          </w:tcPr>
          <w:p w14:paraId="28F20458" w14:textId="77777777" w:rsidR="00653D32" w:rsidRDefault="00653D32">
            <w:pPr>
              <w:tabs>
                <w:tab w:val="left" w:pos="567"/>
              </w:tabs>
              <w:rPr>
                <w:b/>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679D75A3" w14:textId="77777777" w:rsidR="00653D32" w:rsidRDefault="00502314">
            <w:pPr>
              <w:tabs>
                <w:tab w:val="left" w:pos="567"/>
              </w:tabs>
              <w:rPr>
                <w:bCs/>
                <w:spacing w:val="-2"/>
                <w:szCs w:val="22"/>
                <w:lang w:val="hu-HU"/>
              </w:rPr>
            </w:pPr>
            <w:r>
              <w:rPr>
                <w:bCs/>
                <w:spacing w:val="-2"/>
                <w:szCs w:val="22"/>
                <w:lang w:val="hu-HU"/>
              </w:rPr>
              <w:t>dehydratio</w:t>
            </w:r>
          </w:p>
        </w:tc>
        <w:tc>
          <w:tcPr>
            <w:tcW w:w="1666" w:type="dxa"/>
            <w:tcBorders>
              <w:top w:val="single" w:sz="4" w:space="0" w:color="auto"/>
              <w:left w:val="single" w:sz="4" w:space="0" w:color="auto"/>
              <w:bottom w:val="single" w:sz="4" w:space="0" w:color="auto"/>
              <w:right w:val="single" w:sz="4" w:space="0" w:color="auto"/>
            </w:tcBorders>
          </w:tcPr>
          <w:p w14:paraId="1EB6EDF8" w14:textId="77777777" w:rsidR="00653D32" w:rsidRDefault="00502314">
            <w:pPr>
              <w:tabs>
                <w:tab w:val="left" w:pos="567"/>
              </w:tabs>
              <w:rPr>
                <w:bCs/>
                <w:spacing w:val="-2"/>
                <w:szCs w:val="22"/>
                <w:lang w:val="hu-HU"/>
              </w:rPr>
            </w:pPr>
            <w:r>
              <w:rPr>
                <w:bCs/>
                <w:spacing w:val="-2"/>
                <w:szCs w:val="22"/>
                <w:lang w:val="hu-HU"/>
              </w:rPr>
              <w:t>vesekárosodás (beleértve a karbamid- és a kreatininszint emelkedését is)</w:t>
            </w:r>
          </w:p>
          <w:p w14:paraId="6AD41151" w14:textId="77777777" w:rsidR="00653D32" w:rsidRDefault="00502314">
            <w:pPr>
              <w:tabs>
                <w:tab w:val="left" w:pos="567"/>
              </w:tabs>
              <w:rPr>
                <w:bCs/>
                <w:spacing w:val="-2"/>
                <w:szCs w:val="22"/>
                <w:lang w:val="hu-HU"/>
              </w:rPr>
            </w:pPr>
            <w:r>
              <w:rPr>
                <w:bCs/>
                <w:spacing w:val="-2"/>
                <w:szCs w:val="22"/>
                <w:lang w:val="hu-HU"/>
              </w:rPr>
              <w:t>veseelégtelenség (lásd 4.4 pont)</w:t>
            </w:r>
          </w:p>
        </w:tc>
        <w:tc>
          <w:tcPr>
            <w:tcW w:w="1666" w:type="dxa"/>
            <w:tcBorders>
              <w:top w:val="single" w:sz="4" w:space="0" w:color="auto"/>
              <w:left w:val="single" w:sz="4" w:space="0" w:color="auto"/>
              <w:bottom w:val="single" w:sz="4" w:space="0" w:color="auto"/>
              <w:right w:val="single" w:sz="4" w:space="0" w:color="auto"/>
            </w:tcBorders>
          </w:tcPr>
          <w:p w14:paraId="64A9428A"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4C6A9A8C" w14:textId="77777777" w:rsidR="00653D32" w:rsidRDefault="00653D32">
            <w:pPr>
              <w:tabs>
                <w:tab w:val="left" w:pos="567"/>
              </w:tabs>
              <w:rPr>
                <w:bCs/>
                <w:spacing w:val="-2"/>
                <w:szCs w:val="22"/>
                <w:lang w:val="hu-HU"/>
              </w:rPr>
            </w:pPr>
          </w:p>
        </w:tc>
      </w:tr>
      <w:tr w:rsidR="00653D32" w14:paraId="6C363D37" w14:textId="77777777">
        <w:trPr>
          <w:cantSplit/>
        </w:trPr>
        <w:tc>
          <w:tcPr>
            <w:tcW w:w="1593" w:type="dxa"/>
            <w:tcBorders>
              <w:top w:val="single" w:sz="4" w:space="0" w:color="auto"/>
              <w:left w:val="single" w:sz="4" w:space="0" w:color="auto"/>
              <w:bottom w:val="single" w:sz="4" w:space="0" w:color="auto"/>
              <w:right w:val="single" w:sz="4" w:space="0" w:color="auto"/>
            </w:tcBorders>
          </w:tcPr>
          <w:p w14:paraId="17681A85" w14:textId="77777777" w:rsidR="00653D32" w:rsidRDefault="00502314">
            <w:pPr>
              <w:tabs>
                <w:tab w:val="left" w:pos="567"/>
              </w:tabs>
              <w:rPr>
                <w:b/>
                <w:spacing w:val="-2"/>
                <w:szCs w:val="22"/>
                <w:lang w:val="hu-HU"/>
              </w:rPr>
            </w:pPr>
            <w:r>
              <w:rPr>
                <w:b/>
                <w:spacing w:val="-2"/>
                <w:szCs w:val="22"/>
                <w:lang w:val="hu-HU"/>
              </w:rPr>
              <w:t>Általános tünetek, az alkalmazás helyén fellépő reakciók</w:t>
            </w:r>
          </w:p>
        </w:tc>
        <w:tc>
          <w:tcPr>
            <w:tcW w:w="1666" w:type="dxa"/>
            <w:tcBorders>
              <w:top w:val="single" w:sz="4" w:space="0" w:color="auto"/>
              <w:left w:val="single" w:sz="4" w:space="0" w:color="auto"/>
              <w:bottom w:val="single" w:sz="4" w:space="0" w:color="auto"/>
              <w:right w:val="single" w:sz="4" w:space="0" w:color="auto"/>
            </w:tcBorders>
          </w:tcPr>
          <w:p w14:paraId="0FCE0FF9" w14:textId="77777777" w:rsidR="00653D32" w:rsidRDefault="00502314">
            <w:pPr>
              <w:tabs>
                <w:tab w:val="left" w:pos="567"/>
              </w:tabs>
              <w:rPr>
                <w:bCs/>
                <w:spacing w:val="-2"/>
                <w:szCs w:val="22"/>
                <w:lang w:val="hu-HU"/>
              </w:rPr>
            </w:pPr>
            <w:r>
              <w:rPr>
                <w:bCs/>
                <w:spacing w:val="-2"/>
                <w:szCs w:val="22"/>
                <w:lang w:val="hu-HU"/>
              </w:rPr>
              <w:t>helyi reakciók az infúzió beadási helyén</w:t>
            </w:r>
          </w:p>
        </w:tc>
        <w:tc>
          <w:tcPr>
            <w:tcW w:w="1666" w:type="dxa"/>
            <w:tcBorders>
              <w:top w:val="single" w:sz="4" w:space="0" w:color="auto"/>
              <w:left w:val="single" w:sz="4" w:space="0" w:color="auto"/>
              <w:bottom w:val="single" w:sz="4" w:space="0" w:color="auto"/>
              <w:right w:val="single" w:sz="4" w:space="0" w:color="auto"/>
            </w:tcBorders>
          </w:tcPr>
          <w:p w14:paraId="6F478B03" w14:textId="77777777" w:rsidR="00653D32" w:rsidRDefault="00502314">
            <w:pPr>
              <w:tabs>
                <w:tab w:val="left" w:pos="567"/>
              </w:tabs>
              <w:rPr>
                <w:bCs/>
                <w:spacing w:val="-2"/>
                <w:szCs w:val="22"/>
                <w:lang w:val="hu-HU"/>
              </w:rPr>
            </w:pPr>
            <w:r>
              <w:rPr>
                <w:bCs/>
                <w:spacing w:val="-2"/>
                <w:szCs w:val="22"/>
                <w:lang w:val="hu-HU"/>
              </w:rPr>
              <w:t>rosszullét (főként gyengeség vagy kimerültség)</w:t>
            </w:r>
          </w:p>
          <w:p w14:paraId="26ACDDD7" w14:textId="77777777" w:rsidR="00653D32" w:rsidRDefault="00502314">
            <w:pPr>
              <w:tabs>
                <w:tab w:val="left" w:pos="567"/>
              </w:tabs>
              <w:rPr>
                <w:bCs/>
                <w:spacing w:val="-2"/>
                <w:szCs w:val="22"/>
                <w:lang w:val="hu-HU"/>
              </w:rPr>
            </w:pPr>
            <w:r>
              <w:rPr>
                <w:bCs/>
                <w:spacing w:val="-2"/>
                <w:szCs w:val="22"/>
                <w:lang w:val="hu-HU"/>
              </w:rPr>
              <w:t>fájdalom (beleértve a hát-, mellkasi, medencei és végtagfájdalmat is)</w:t>
            </w:r>
          </w:p>
          <w:p w14:paraId="50C73C60" w14:textId="77777777" w:rsidR="00653D32" w:rsidRDefault="00502314">
            <w:pPr>
              <w:tabs>
                <w:tab w:val="left" w:pos="567"/>
              </w:tabs>
              <w:rPr>
                <w:bCs/>
                <w:spacing w:val="-2"/>
                <w:szCs w:val="22"/>
                <w:lang w:val="hu-HU"/>
              </w:rPr>
            </w:pPr>
            <w:r>
              <w:rPr>
                <w:bCs/>
                <w:spacing w:val="-2"/>
                <w:szCs w:val="22"/>
                <w:lang w:val="hu-HU"/>
              </w:rPr>
              <w:t>verejtékezés,</w:t>
            </w:r>
          </w:p>
          <w:p w14:paraId="0663FC5B" w14:textId="14588151" w:rsidR="00653D32" w:rsidRDefault="00502314">
            <w:pPr>
              <w:tabs>
                <w:tab w:val="left" w:pos="567"/>
              </w:tabs>
              <w:rPr>
                <w:bCs/>
                <w:spacing w:val="-2"/>
                <w:szCs w:val="22"/>
                <w:lang w:val="hu-HU"/>
              </w:rPr>
            </w:pPr>
            <w:r>
              <w:rPr>
                <w:bCs/>
                <w:spacing w:val="-2"/>
                <w:szCs w:val="22"/>
                <w:lang w:val="hu-HU"/>
              </w:rPr>
              <w:t>(thrombo)</w:t>
            </w:r>
            <w:r w:rsidR="00072AA8">
              <w:rPr>
                <w:bCs/>
                <w:spacing w:val="-2"/>
                <w:szCs w:val="22"/>
                <w:lang w:val="hu-HU"/>
              </w:rPr>
              <w:t>-</w:t>
            </w:r>
            <w:r>
              <w:rPr>
                <w:bCs/>
                <w:spacing w:val="-2"/>
                <w:szCs w:val="22"/>
                <w:lang w:val="hu-HU"/>
              </w:rPr>
              <w:t>phlebitis az infúzió beadási helyén</w:t>
            </w:r>
          </w:p>
        </w:tc>
        <w:tc>
          <w:tcPr>
            <w:tcW w:w="1666" w:type="dxa"/>
            <w:tcBorders>
              <w:top w:val="single" w:sz="4" w:space="0" w:color="auto"/>
              <w:left w:val="single" w:sz="4" w:space="0" w:color="auto"/>
              <w:bottom w:val="single" w:sz="4" w:space="0" w:color="auto"/>
              <w:right w:val="single" w:sz="4" w:space="0" w:color="auto"/>
            </w:tcBorders>
          </w:tcPr>
          <w:p w14:paraId="44D4DB7E" w14:textId="77777777" w:rsidR="00653D32" w:rsidRDefault="00502314">
            <w:pPr>
              <w:tabs>
                <w:tab w:val="left" w:pos="567"/>
              </w:tabs>
              <w:rPr>
                <w:bCs/>
                <w:spacing w:val="-2"/>
                <w:szCs w:val="22"/>
                <w:lang w:val="hu-HU"/>
              </w:rPr>
            </w:pPr>
            <w:r>
              <w:rPr>
                <w:bCs/>
                <w:spacing w:val="-2"/>
                <w:szCs w:val="22"/>
                <w:lang w:val="hu-HU"/>
              </w:rPr>
              <w:t>oedema</w:t>
            </w:r>
          </w:p>
        </w:tc>
        <w:tc>
          <w:tcPr>
            <w:tcW w:w="1666" w:type="dxa"/>
            <w:tcBorders>
              <w:top w:val="single" w:sz="4" w:space="0" w:color="auto"/>
              <w:left w:val="single" w:sz="4" w:space="0" w:color="auto"/>
              <w:bottom w:val="single" w:sz="4" w:space="0" w:color="auto"/>
              <w:right w:val="single" w:sz="4" w:space="0" w:color="auto"/>
            </w:tcBorders>
          </w:tcPr>
          <w:p w14:paraId="34F53F99" w14:textId="77777777" w:rsidR="00653D32" w:rsidRDefault="00653D32">
            <w:pPr>
              <w:tabs>
                <w:tab w:val="left" w:pos="567"/>
              </w:tabs>
              <w:rPr>
                <w:bCs/>
                <w:spacing w:val="-2"/>
                <w:szCs w:val="22"/>
                <w:lang w:val="hu-HU"/>
              </w:rPr>
            </w:pPr>
          </w:p>
        </w:tc>
        <w:tc>
          <w:tcPr>
            <w:tcW w:w="1666" w:type="dxa"/>
            <w:tcBorders>
              <w:top w:val="single" w:sz="4" w:space="0" w:color="auto"/>
              <w:left w:val="single" w:sz="4" w:space="0" w:color="auto"/>
              <w:bottom w:val="single" w:sz="4" w:space="0" w:color="auto"/>
              <w:right w:val="single" w:sz="4" w:space="0" w:color="auto"/>
            </w:tcBorders>
          </w:tcPr>
          <w:p w14:paraId="3F95ADB8" w14:textId="77777777" w:rsidR="00653D32" w:rsidRDefault="00653D32">
            <w:pPr>
              <w:tabs>
                <w:tab w:val="left" w:pos="567"/>
              </w:tabs>
              <w:rPr>
                <w:bCs/>
                <w:spacing w:val="-2"/>
                <w:szCs w:val="22"/>
                <w:lang w:val="hu-HU"/>
              </w:rPr>
            </w:pPr>
          </w:p>
        </w:tc>
      </w:tr>
    </w:tbl>
    <w:p w14:paraId="77D74ADB" w14:textId="77777777" w:rsidR="00653D32" w:rsidRDefault="00653D32">
      <w:pPr>
        <w:rPr>
          <w:u w:val="single"/>
          <w:lang w:val="hu-HU"/>
        </w:rPr>
      </w:pPr>
    </w:p>
    <w:p w14:paraId="195FB8B5" w14:textId="77777777" w:rsidR="00653D32" w:rsidRDefault="00502314">
      <w:pPr>
        <w:rPr>
          <w:lang w:val="hu-HU"/>
        </w:rPr>
      </w:pPr>
      <w:r>
        <w:rPr>
          <w:lang w:val="hu-HU"/>
        </w:rPr>
        <w:t>*Kinolonok és fluorokinolonok alkalmazása kapcsán nagyon ritkán számos –esetenként több- szervrendszert és érzékszervet érintő, hosszan fennálló (akár hónapokig vagy évekig tartó), rokkantságot okozó és potenciálisan irreverzibilis súlyos gyógyszermellékhatások eseteiről számoltak be (köztük olyanokról mint tendinitis, ínszakadás, arthralgia, végtagfájdalom, járászavar, paraesthesiával és neuralgiával járó neuropathiák, fáradtság, pszichiátriai tünetek (beleértve az alvászavarokat, szorongást, pánikrohamokat, depressziót és az öngyilkossági gondolatokat), a memória és a koncentráció romlása, valamint a hallás, a látás, az ízérzés és a szaglás romlása), amelyek néhány esetben az eleve fennálló kockázati tényezőktől függetlenül jelentkeztek (lásd 4.4 pont).</w:t>
      </w:r>
    </w:p>
    <w:p w14:paraId="083DC90E" w14:textId="77777777" w:rsidR="00653D32" w:rsidRDefault="00653D32">
      <w:pPr>
        <w:tabs>
          <w:tab w:val="left" w:pos="567"/>
        </w:tabs>
        <w:rPr>
          <w:bCs/>
          <w:szCs w:val="22"/>
          <w:lang w:val="hu-HU"/>
        </w:rPr>
      </w:pPr>
    </w:p>
    <w:p w14:paraId="4556D4A2" w14:textId="77777777" w:rsidR="00653D32" w:rsidRDefault="00502314">
      <w:pPr>
        <w:rPr>
          <w:lang w:val="hu-HU"/>
        </w:rPr>
      </w:pPr>
      <w:r>
        <w:rPr>
          <w:lang w:val="hu-HU"/>
        </w:rPr>
        <w:t>**</w:t>
      </w:r>
      <w:r>
        <w:rPr>
          <w:bCs/>
        </w:rPr>
        <w:t>Fluorokinolon-kezelésben részesülő betegeknél beszámoltak az aortaaneurysma és aortadissectio bekövetkeztéről, amelyek néha rupturával (egyes esetekben halálos kimenetellel) jártak, valamint a szívbillentyűk regurgitatiójáról, illetve elégtelenségéről (lásd 4.4 pont).</w:t>
      </w:r>
    </w:p>
    <w:p w14:paraId="2F282DAF" w14:textId="77777777" w:rsidR="00653D32" w:rsidRDefault="00653D32">
      <w:pPr>
        <w:tabs>
          <w:tab w:val="left" w:pos="567"/>
        </w:tabs>
        <w:rPr>
          <w:bCs/>
          <w:szCs w:val="22"/>
          <w:lang w:val="hu-HU"/>
        </w:rPr>
      </w:pPr>
    </w:p>
    <w:p w14:paraId="336D5C74" w14:textId="77777777" w:rsidR="00653D32" w:rsidRDefault="00502314">
      <w:pPr>
        <w:pStyle w:val="Vgjegyzetszvege"/>
        <w:tabs>
          <w:tab w:val="left" w:pos="567"/>
        </w:tabs>
        <w:suppressAutoHyphens w:val="0"/>
        <w:spacing w:line="240" w:lineRule="auto"/>
        <w:rPr>
          <w:bCs/>
          <w:szCs w:val="22"/>
          <w:lang w:val="hu-HU" w:eastAsia="hu-HU"/>
        </w:rPr>
      </w:pPr>
      <w:r>
        <w:rPr>
          <w:bCs/>
          <w:szCs w:val="22"/>
          <w:lang w:val="hu-HU" w:eastAsia="hu-HU"/>
        </w:rPr>
        <w:t xml:space="preserve">Az alábbi mellékhatásokat figyelték meg viszonylag gyakrabban azoknál a betegeknél, akiket csak intravénás, ill. intravénás, majd </w:t>
      </w:r>
      <w:r>
        <w:rPr>
          <w:bCs/>
          <w:i/>
          <w:szCs w:val="22"/>
          <w:lang w:val="hu-HU" w:eastAsia="hu-HU"/>
        </w:rPr>
        <w:t>per os</w:t>
      </w:r>
      <w:r>
        <w:rPr>
          <w:bCs/>
          <w:szCs w:val="22"/>
          <w:lang w:val="hu-HU" w:eastAsia="hu-HU"/>
        </w:rPr>
        <w:t xml:space="preserve"> kezelésben részesítettek:</w:t>
      </w:r>
    </w:p>
    <w:p w14:paraId="0580ABBB" w14:textId="77777777" w:rsidR="00653D32" w:rsidRDefault="00502314">
      <w:pPr>
        <w:tabs>
          <w:tab w:val="left" w:pos="1418"/>
        </w:tabs>
        <w:rPr>
          <w:szCs w:val="22"/>
          <w:lang w:val="hu-HU"/>
        </w:rPr>
      </w:pPr>
      <w:r>
        <w:rPr>
          <w:szCs w:val="22"/>
          <w:lang w:val="hu-HU"/>
        </w:rPr>
        <w:t>Gyakori:</w:t>
      </w:r>
      <w:r>
        <w:rPr>
          <w:szCs w:val="22"/>
          <w:lang w:val="hu-HU"/>
        </w:rPr>
        <w:tab/>
        <w:t>emelkedett gamma-GT-szint</w:t>
      </w:r>
    </w:p>
    <w:p w14:paraId="3448D364" w14:textId="77777777" w:rsidR="00653D32" w:rsidRDefault="00502314">
      <w:pPr>
        <w:ind w:left="1418" w:hanging="1418"/>
        <w:rPr>
          <w:szCs w:val="22"/>
          <w:lang w:val="hu-HU"/>
        </w:rPr>
      </w:pPr>
      <w:r>
        <w:rPr>
          <w:szCs w:val="22"/>
          <w:lang w:val="hu-HU"/>
        </w:rPr>
        <w:t>Nem gyakori:</w:t>
      </w:r>
      <w:r>
        <w:rPr>
          <w:szCs w:val="22"/>
          <w:lang w:val="hu-HU"/>
        </w:rPr>
        <w:tab/>
        <w:t>kamrai tachyarrhytmiák, hypotensio, oedema, az antibiotikum alkalmazásával összefüggő colitis (beleértve a pseudomembranosus colitist is, nagyon ritkán életet veszélyeztető szövődményekkel, lásd 4.4 pont), görcsrohamok, beleértve a grand mal görcsrohamokat is (lásd 4.4 pont), hallucináció, vesekárosodás (beleértve a vér-karbamid-nitrogén- és -kreatininszint emelkedését is), veseelégtelenség (lásd 4.4 pont)</w:t>
      </w:r>
    </w:p>
    <w:p w14:paraId="68E26E7B" w14:textId="77777777" w:rsidR="00653D32" w:rsidRDefault="00653D32">
      <w:pPr>
        <w:widowControl w:val="0"/>
        <w:autoSpaceDE w:val="0"/>
        <w:autoSpaceDN w:val="0"/>
        <w:adjustRightInd w:val="0"/>
        <w:rPr>
          <w:szCs w:val="22"/>
          <w:lang w:val="hu-HU"/>
        </w:rPr>
      </w:pPr>
    </w:p>
    <w:p w14:paraId="51B545A4" w14:textId="77777777" w:rsidR="00653D32" w:rsidRDefault="00502314">
      <w:pPr>
        <w:widowControl w:val="0"/>
        <w:autoSpaceDE w:val="0"/>
        <w:autoSpaceDN w:val="0"/>
        <w:adjustRightInd w:val="0"/>
        <w:rPr>
          <w:szCs w:val="22"/>
          <w:lang w:val="hu-HU"/>
        </w:rPr>
      </w:pPr>
      <w:r>
        <w:rPr>
          <w:szCs w:val="22"/>
          <w:lang w:val="hu-HU"/>
        </w:rPr>
        <w:t>Nagyon ritkán előfordultak egyéb fluorokinolonokkal folytatott kezelés után a következő mellékhatások is, amelyek jelentkezése a moxifloxacin-kezelés során sem zárható ki: megnövekedett intracranialis nyomás (beleértve: pseudotumor cerebri), hypernatraemia, hypercalcaemia, haemolyticus anaemia.</w:t>
      </w:r>
    </w:p>
    <w:p w14:paraId="323D8011" w14:textId="77777777" w:rsidR="00653D32" w:rsidRDefault="00653D32">
      <w:pPr>
        <w:rPr>
          <w:bCs/>
          <w:caps/>
          <w:szCs w:val="22"/>
          <w:lang w:val="hu-HU"/>
        </w:rPr>
      </w:pPr>
    </w:p>
    <w:p w14:paraId="7C66DDB2" w14:textId="77777777" w:rsidR="00653D32" w:rsidRDefault="00502314">
      <w:pPr>
        <w:rPr>
          <w:szCs w:val="22"/>
          <w:u w:val="single"/>
          <w:lang w:val="hu-HU"/>
        </w:rPr>
      </w:pPr>
      <w:r>
        <w:rPr>
          <w:szCs w:val="22"/>
          <w:u w:val="single"/>
          <w:lang w:val="hu-HU"/>
        </w:rPr>
        <w:t>Feltételezett mellékhatások bejelentése</w:t>
      </w:r>
    </w:p>
    <w:p w14:paraId="1153E77C" w14:textId="77777777" w:rsidR="00653D32" w:rsidRDefault="00502314">
      <w:pPr>
        <w:rPr>
          <w:szCs w:val="22"/>
          <w:lang w:val="hu-HU"/>
        </w:rPr>
      </w:pPr>
      <w:r>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5AE43039" w14:textId="77777777" w:rsidR="00653D32" w:rsidRDefault="00502314">
      <w:pPr>
        <w:rPr>
          <w:szCs w:val="22"/>
          <w:u w:val="single"/>
          <w:lang w:val="hu-HU"/>
        </w:rPr>
      </w:pPr>
      <w:r>
        <w:rPr>
          <w:szCs w:val="22"/>
          <w:lang w:val="hu-HU"/>
        </w:rPr>
        <w:t xml:space="preserve">Az egészségügyi szakembereket kérjük, hogy jelentsék be a feltételezett mellékhatásokat a hatóság részére az </w:t>
      </w:r>
      <w:hyperlink r:id="rId8" w:history="1">
        <w:r>
          <w:rPr>
            <w:rStyle w:val="Hiperhivatkozs"/>
            <w:szCs w:val="22"/>
            <w:lang w:val="hu-HU"/>
          </w:rPr>
          <w:t>V. függelékben</w:t>
        </w:r>
      </w:hyperlink>
      <w:r>
        <w:rPr>
          <w:szCs w:val="22"/>
          <w:lang w:val="hu-HU"/>
        </w:rPr>
        <w:t xml:space="preserve"> található elérhetőségek valamelyikén keresztül.</w:t>
      </w:r>
    </w:p>
    <w:p w14:paraId="7F1AF30A" w14:textId="77777777" w:rsidR="00653D32" w:rsidRDefault="00653D32">
      <w:pPr>
        <w:rPr>
          <w:bCs/>
          <w:caps/>
          <w:szCs w:val="22"/>
          <w:lang w:val="hu-HU"/>
        </w:rPr>
      </w:pPr>
    </w:p>
    <w:p w14:paraId="47EABBE5" w14:textId="77777777" w:rsidR="00653D32" w:rsidRDefault="00502314">
      <w:pPr>
        <w:rPr>
          <w:b/>
          <w:bCs/>
          <w:szCs w:val="22"/>
          <w:lang w:val="hu-HU"/>
        </w:rPr>
      </w:pPr>
      <w:r>
        <w:rPr>
          <w:b/>
          <w:bCs/>
          <w:caps/>
          <w:szCs w:val="22"/>
          <w:lang w:val="hu-HU"/>
        </w:rPr>
        <w:t>4.9.</w:t>
      </w:r>
      <w:r>
        <w:rPr>
          <w:b/>
          <w:bCs/>
          <w:caps/>
          <w:szCs w:val="22"/>
          <w:lang w:val="hu-HU"/>
        </w:rPr>
        <w:tab/>
        <w:t>T</w:t>
      </w:r>
      <w:r>
        <w:rPr>
          <w:b/>
          <w:bCs/>
          <w:szCs w:val="22"/>
          <w:lang w:val="hu-HU"/>
        </w:rPr>
        <w:t>úladagolás</w:t>
      </w:r>
    </w:p>
    <w:p w14:paraId="13372460" w14:textId="77777777" w:rsidR="00653D32" w:rsidRDefault="00653D32">
      <w:pPr>
        <w:tabs>
          <w:tab w:val="left" w:pos="567"/>
        </w:tabs>
        <w:rPr>
          <w:szCs w:val="22"/>
          <w:lang w:val="hu-HU"/>
        </w:rPr>
      </w:pPr>
    </w:p>
    <w:p w14:paraId="457B24BB" w14:textId="77777777" w:rsidR="00653D32" w:rsidRDefault="00502314">
      <w:pPr>
        <w:tabs>
          <w:tab w:val="left" w:pos="567"/>
        </w:tabs>
        <w:rPr>
          <w:szCs w:val="22"/>
          <w:lang w:val="hu-HU"/>
        </w:rPr>
      </w:pPr>
      <w:r>
        <w:rPr>
          <w:lang w:val="hu-HU"/>
        </w:rPr>
        <w:t>Véletlen túladagolás esetére nincsenek ajánlott ellenintézkedések</w:t>
      </w:r>
      <w:r>
        <w:rPr>
          <w:szCs w:val="22"/>
          <w:lang w:val="hu-HU"/>
        </w:rPr>
        <w:t xml:space="preserve">. Túladagolás esetén tüneti kezelést kell alkalmazni. EKG-ellenőrzés szükséges, mert a QT-szakasz megnyúlása lehetséges. Aktív szén és 400 mg </w:t>
      </w:r>
      <w:r>
        <w:rPr>
          <w:i/>
          <w:szCs w:val="22"/>
          <w:lang w:val="hu-HU"/>
        </w:rPr>
        <w:t>per os</w:t>
      </w:r>
      <w:r>
        <w:rPr>
          <w:szCs w:val="22"/>
          <w:lang w:val="hu-HU"/>
        </w:rPr>
        <w:t>, illetve intravénásan adott moxifloxacin együttes alkalmazása több mint 80%-kal, illetve 20%</w:t>
      </w:r>
      <w:r>
        <w:rPr>
          <w:szCs w:val="22"/>
          <w:lang w:val="hu-HU"/>
        </w:rPr>
        <w:noBreakHyphen/>
        <w:t>kal csökkentette a gyógyszer szisztémás hasznosulását.</w:t>
      </w:r>
    </w:p>
    <w:p w14:paraId="203CFA12" w14:textId="77777777" w:rsidR="00653D32" w:rsidRDefault="00502314">
      <w:pPr>
        <w:tabs>
          <w:tab w:val="left" w:pos="567"/>
        </w:tabs>
        <w:rPr>
          <w:szCs w:val="22"/>
          <w:lang w:val="hu-HU"/>
        </w:rPr>
      </w:pPr>
      <w:r>
        <w:rPr>
          <w:szCs w:val="22"/>
          <w:lang w:val="hu-HU"/>
        </w:rPr>
        <w:t>Per os túladagolás esetén a felszívódás korai szakaszában adott aktív szén hatásosan megakadályozhatja a szisztémás moxifloxacin-expozíció túlzott mértékű növekedését.</w:t>
      </w:r>
    </w:p>
    <w:p w14:paraId="5E5239BD" w14:textId="77777777" w:rsidR="00653D32" w:rsidRDefault="00653D32">
      <w:pPr>
        <w:tabs>
          <w:tab w:val="left" w:pos="567"/>
          <w:tab w:val="left" w:pos="1063"/>
          <w:tab w:val="left" w:pos="9284"/>
        </w:tabs>
        <w:rPr>
          <w:szCs w:val="22"/>
          <w:lang w:val="hu-HU"/>
        </w:rPr>
      </w:pPr>
    </w:p>
    <w:p w14:paraId="137DE027" w14:textId="77777777" w:rsidR="00653D32" w:rsidRDefault="00653D32">
      <w:pPr>
        <w:tabs>
          <w:tab w:val="left" w:pos="567"/>
          <w:tab w:val="left" w:pos="1063"/>
          <w:tab w:val="left" w:pos="9284"/>
        </w:tabs>
        <w:rPr>
          <w:szCs w:val="22"/>
          <w:lang w:val="hu-HU"/>
        </w:rPr>
      </w:pPr>
    </w:p>
    <w:p w14:paraId="5F0CFF80" w14:textId="77777777" w:rsidR="00653D32" w:rsidRDefault="00502314">
      <w:pPr>
        <w:tabs>
          <w:tab w:val="left" w:pos="575"/>
        </w:tabs>
        <w:rPr>
          <w:b/>
          <w:bCs/>
          <w:szCs w:val="22"/>
          <w:lang w:val="hu-HU"/>
        </w:rPr>
      </w:pPr>
      <w:r>
        <w:rPr>
          <w:b/>
          <w:bCs/>
          <w:szCs w:val="22"/>
          <w:lang w:val="hu-HU"/>
        </w:rPr>
        <w:t>5.</w:t>
      </w:r>
      <w:r>
        <w:rPr>
          <w:b/>
          <w:bCs/>
          <w:szCs w:val="22"/>
          <w:lang w:val="hu-HU"/>
        </w:rPr>
        <w:tab/>
        <w:t>FARMAKOLÓGIAI TULAJDONSÁGOK</w:t>
      </w:r>
    </w:p>
    <w:p w14:paraId="10B2A858" w14:textId="77777777" w:rsidR="00653D32" w:rsidRDefault="00653D32">
      <w:pPr>
        <w:tabs>
          <w:tab w:val="left" w:pos="850"/>
        </w:tabs>
        <w:rPr>
          <w:szCs w:val="22"/>
          <w:lang w:val="hu-HU"/>
        </w:rPr>
      </w:pPr>
    </w:p>
    <w:p w14:paraId="30F0FF74" w14:textId="77777777" w:rsidR="00653D32" w:rsidRDefault="00502314">
      <w:pPr>
        <w:tabs>
          <w:tab w:val="left" w:pos="550"/>
        </w:tabs>
        <w:rPr>
          <w:b/>
          <w:bCs/>
          <w:szCs w:val="22"/>
          <w:lang w:val="hu-HU"/>
        </w:rPr>
      </w:pPr>
      <w:r>
        <w:rPr>
          <w:b/>
          <w:bCs/>
          <w:szCs w:val="22"/>
          <w:lang w:val="hu-HU"/>
        </w:rPr>
        <w:t>5.1</w:t>
      </w:r>
      <w:r>
        <w:rPr>
          <w:b/>
          <w:bCs/>
          <w:szCs w:val="22"/>
          <w:lang w:val="hu-HU"/>
        </w:rPr>
        <w:tab/>
        <w:t>Farmakodinámiás tulajdonságok</w:t>
      </w:r>
    </w:p>
    <w:p w14:paraId="2884C38F" w14:textId="77777777" w:rsidR="00653D32" w:rsidRDefault="00653D32">
      <w:pPr>
        <w:tabs>
          <w:tab w:val="left" w:pos="850"/>
        </w:tabs>
        <w:rPr>
          <w:szCs w:val="22"/>
          <w:lang w:val="hu-HU"/>
        </w:rPr>
      </w:pPr>
    </w:p>
    <w:p w14:paraId="084F0431" w14:textId="77777777" w:rsidR="00653D32" w:rsidRDefault="00502314">
      <w:pPr>
        <w:tabs>
          <w:tab w:val="left" w:pos="850"/>
        </w:tabs>
        <w:rPr>
          <w:szCs w:val="22"/>
          <w:lang w:val="hu-HU"/>
        </w:rPr>
      </w:pPr>
      <w:r>
        <w:rPr>
          <w:bCs/>
          <w:szCs w:val="22"/>
          <w:lang w:val="hu-HU"/>
        </w:rPr>
        <w:t>Farmakoterápiás csoport: Antibakteriális szerek szisztémás alkalmazásra</w:t>
      </w:r>
      <w:r>
        <w:rPr>
          <w:szCs w:val="22"/>
          <w:lang w:val="hu-HU"/>
        </w:rPr>
        <w:t xml:space="preserve">, fluorokinolonok </w:t>
      </w:r>
    </w:p>
    <w:p w14:paraId="5A608AF7" w14:textId="77777777" w:rsidR="00653D32" w:rsidRDefault="00502314">
      <w:pPr>
        <w:tabs>
          <w:tab w:val="left" w:pos="850"/>
        </w:tabs>
        <w:rPr>
          <w:szCs w:val="22"/>
          <w:lang w:val="hu-HU"/>
        </w:rPr>
      </w:pPr>
      <w:r>
        <w:rPr>
          <w:szCs w:val="22"/>
          <w:lang w:val="hu-HU"/>
        </w:rPr>
        <w:t>ATC kód: J01MA14</w:t>
      </w:r>
    </w:p>
    <w:p w14:paraId="44C0044A" w14:textId="77777777" w:rsidR="00653D32" w:rsidRDefault="00653D32">
      <w:pPr>
        <w:tabs>
          <w:tab w:val="left" w:pos="567"/>
        </w:tabs>
        <w:rPr>
          <w:szCs w:val="22"/>
          <w:lang w:val="hu-HU"/>
        </w:rPr>
      </w:pPr>
    </w:p>
    <w:p w14:paraId="15716D91" w14:textId="77777777" w:rsidR="00653D32" w:rsidRDefault="00502314">
      <w:pPr>
        <w:tabs>
          <w:tab w:val="left" w:pos="567"/>
        </w:tabs>
        <w:rPr>
          <w:iCs/>
          <w:szCs w:val="22"/>
          <w:u w:val="single"/>
          <w:lang w:val="hu-HU"/>
        </w:rPr>
      </w:pPr>
      <w:r>
        <w:rPr>
          <w:iCs/>
          <w:szCs w:val="22"/>
          <w:u w:val="single"/>
          <w:lang w:val="hu-HU"/>
        </w:rPr>
        <w:t>Hatásmechanizmus</w:t>
      </w:r>
    </w:p>
    <w:p w14:paraId="3B850F9E" w14:textId="77777777" w:rsidR="00653D32" w:rsidRDefault="00502314">
      <w:pPr>
        <w:widowControl w:val="0"/>
        <w:autoSpaceDE w:val="0"/>
        <w:autoSpaceDN w:val="0"/>
        <w:adjustRightInd w:val="0"/>
        <w:rPr>
          <w:szCs w:val="22"/>
          <w:lang w:val="hu-HU"/>
        </w:rPr>
      </w:pPr>
      <w:r>
        <w:rPr>
          <w:szCs w:val="22"/>
          <w:lang w:val="hu-HU"/>
        </w:rPr>
        <w:t>A moxifloxacin gátolja a bakteriális topoizomeráz II (DNS</w:t>
      </w:r>
      <w:r>
        <w:rPr>
          <w:szCs w:val="22"/>
          <w:lang w:val="hu-HU"/>
        </w:rPr>
        <w:noBreakHyphen/>
        <w:t xml:space="preserve">giráz és topoizomeráz IV) enzimeket, amelyek a bakteriális DNS replikációjában, </w:t>
      </w:r>
      <w:r>
        <w:rPr>
          <w:lang w:val="hu-HU"/>
        </w:rPr>
        <w:t>transzkripció</w:t>
      </w:r>
      <w:r>
        <w:rPr>
          <w:szCs w:val="22"/>
          <w:lang w:val="hu-HU"/>
        </w:rPr>
        <w:t>jában és hibajavításában (repair) játszanak szerepet.</w:t>
      </w:r>
    </w:p>
    <w:p w14:paraId="7AB50639" w14:textId="77777777" w:rsidR="00653D32" w:rsidRDefault="00653D32">
      <w:pPr>
        <w:pStyle w:val="WW-NormlWeb"/>
        <w:widowControl w:val="0"/>
        <w:suppressAutoHyphens w:val="0"/>
        <w:autoSpaceDE w:val="0"/>
        <w:autoSpaceDN w:val="0"/>
        <w:adjustRightInd w:val="0"/>
        <w:spacing w:before="0" w:after="0" w:line="240" w:lineRule="auto"/>
        <w:rPr>
          <w:rFonts w:ascii="Times New Roman" w:eastAsia="Times New Roman" w:hAnsi="Times New Roman"/>
          <w:sz w:val="22"/>
          <w:szCs w:val="22"/>
          <w:lang w:eastAsia="hu-HU"/>
        </w:rPr>
      </w:pPr>
    </w:p>
    <w:p w14:paraId="0DBCB325" w14:textId="77777777" w:rsidR="00653D32" w:rsidRDefault="00502314">
      <w:pPr>
        <w:pStyle w:val="WW-NormlWeb"/>
        <w:widowControl w:val="0"/>
        <w:suppressAutoHyphens w:val="0"/>
        <w:autoSpaceDE w:val="0"/>
        <w:autoSpaceDN w:val="0"/>
        <w:adjustRightInd w:val="0"/>
        <w:spacing w:before="0" w:after="0" w:line="240" w:lineRule="auto"/>
        <w:rPr>
          <w:rFonts w:ascii="Times New Roman" w:eastAsia="Times New Roman" w:hAnsi="Times New Roman"/>
          <w:sz w:val="22"/>
          <w:szCs w:val="22"/>
          <w:u w:val="single"/>
          <w:lang w:eastAsia="hu-HU"/>
        </w:rPr>
      </w:pPr>
      <w:r>
        <w:rPr>
          <w:rFonts w:ascii="Times New Roman" w:eastAsia="Times New Roman" w:hAnsi="Times New Roman"/>
          <w:sz w:val="22"/>
          <w:szCs w:val="22"/>
          <w:u w:val="single"/>
          <w:lang w:eastAsia="hu-HU"/>
        </w:rPr>
        <w:t>Farmakokinetikai/farmakodinámiás összefüggések</w:t>
      </w:r>
    </w:p>
    <w:p w14:paraId="1B313E6D" w14:textId="77777777" w:rsidR="00653D32" w:rsidRDefault="00502314">
      <w:pPr>
        <w:tabs>
          <w:tab w:val="left" w:pos="567"/>
        </w:tabs>
        <w:rPr>
          <w:i/>
          <w:szCs w:val="22"/>
          <w:lang w:val="hu-HU"/>
        </w:rPr>
      </w:pPr>
      <w:r>
        <w:rPr>
          <w:szCs w:val="22"/>
          <w:lang w:val="hu-HU"/>
        </w:rPr>
        <w:t>A fluorokinolonok baktericid hatása koncentrációfüggő. A fertőzés állatkísérletes modelljeiben és humán vizsgálatokban, fluorokinolonokkal végzett farmakodinámiás vizsgálatok egyaránt azt mutatják, hogy a hatásosságot elsősorban az AUC</w:t>
      </w:r>
      <w:r>
        <w:rPr>
          <w:szCs w:val="22"/>
          <w:vertAlign w:val="subscript"/>
          <w:lang w:val="hu-HU"/>
        </w:rPr>
        <w:t>24</w:t>
      </w:r>
      <w:r>
        <w:rPr>
          <w:szCs w:val="22"/>
          <w:lang w:val="hu-HU"/>
        </w:rPr>
        <w:t>/MIC arány határozza meg.</w:t>
      </w:r>
    </w:p>
    <w:p w14:paraId="4B34A6FA" w14:textId="77777777" w:rsidR="00653D32" w:rsidRDefault="00653D32">
      <w:pPr>
        <w:pStyle w:val="Vgjegyzetszvege"/>
        <w:tabs>
          <w:tab w:val="left" w:pos="567"/>
          <w:tab w:val="left" w:pos="709"/>
          <w:tab w:val="left" w:pos="9284"/>
        </w:tabs>
        <w:suppressAutoHyphens w:val="0"/>
        <w:spacing w:line="240" w:lineRule="auto"/>
        <w:rPr>
          <w:szCs w:val="22"/>
          <w:lang w:val="hu-HU" w:eastAsia="hu-HU"/>
        </w:rPr>
      </w:pPr>
    </w:p>
    <w:p w14:paraId="3DF69452" w14:textId="77777777" w:rsidR="00653D32" w:rsidRDefault="00502314">
      <w:pPr>
        <w:pStyle w:val="Cmsor9"/>
        <w:keepNext w:val="0"/>
        <w:rPr>
          <w:i w:val="0"/>
          <w:szCs w:val="22"/>
          <w:u w:val="single"/>
        </w:rPr>
      </w:pPr>
      <w:r>
        <w:rPr>
          <w:i w:val="0"/>
          <w:szCs w:val="22"/>
          <w:u w:val="single"/>
        </w:rPr>
        <w:t>A rezisztencia mechanizmusa</w:t>
      </w:r>
    </w:p>
    <w:p w14:paraId="37A4DCEA" w14:textId="77777777" w:rsidR="00653D32" w:rsidRDefault="00502314">
      <w:pPr>
        <w:widowControl w:val="0"/>
        <w:autoSpaceDE w:val="0"/>
        <w:autoSpaceDN w:val="0"/>
        <w:adjustRightInd w:val="0"/>
        <w:rPr>
          <w:szCs w:val="22"/>
          <w:lang w:val="hu-HU"/>
        </w:rPr>
      </w:pPr>
      <w:r>
        <w:rPr>
          <w:szCs w:val="22"/>
          <w:lang w:val="hu-HU"/>
        </w:rPr>
        <w:t>A fluorokinolonokkal szembeni rezisztencia a DNS</w:t>
      </w:r>
      <w:r>
        <w:rPr>
          <w:szCs w:val="22"/>
          <w:lang w:val="hu-HU"/>
        </w:rPr>
        <w:noBreakHyphen/>
        <w:t>giráz és a topoizomeráz IV mutációja révén alakulhat ki. Egyéb mechanizmusok: az effluxpumpák túlzott mértékű expressziója, az impermeabilitás, valamint a DNS</w:t>
      </w:r>
      <w:r>
        <w:rPr>
          <w:szCs w:val="22"/>
          <w:lang w:val="hu-HU"/>
        </w:rPr>
        <w:noBreakHyphen/>
        <w:t>giráz protein-mediált védelme. A moxifloxacin és egyéb fluorokinolonok között keresztrezisztencia kialakulása várható.</w:t>
      </w:r>
    </w:p>
    <w:p w14:paraId="4ABBCFA7" w14:textId="77777777" w:rsidR="00653D32" w:rsidRDefault="00502314">
      <w:pPr>
        <w:autoSpaceDE w:val="0"/>
        <w:autoSpaceDN w:val="0"/>
        <w:adjustRightInd w:val="0"/>
        <w:rPr>
          <w:szCs w:val="22"/>
          <w:lang w:val="hu-HU"/>
        </w:rPr>
      </w:pPr>
      <w:r>
        <w:rPr>
          <w:szCs w:val="22"/>
          <w:lang w:val="hu-HU"/>
        </w:rPr>
        <w:t>A moxifloxacin aktivitását nem befolyásolják más antibakteriális szerekre specifikus rezisztencia mechanizmusok.</w:t>
      </w:r>
    </w:p>
    <w:p w14:paraId="221A20EC" w14:textId="77777777" w:rsidR="00653D32" w:rsidRDefault="00653D32">
      <w:pPr>
        <w:widowControl w:val="0"/>
        <w:autoSpaceDE w:val="0"/>
        <w:autoSpaceDN w:val="0"/>
        <w:adjustRightInd w:val="0"/>
        <w:rPr>
          <w:szCs w:val="22"/>
          <w:lang w:val="hu-HU"/>
        </w:rPr>
      </w:pPr>
    </w:p>
    <w:p w14:paraId="5F6DBCBF" w14:textId="77777777" w:rsidR="00653D32" w:rsidRDefault="00502314" w:rsidP="00074A0C">
      <w:pPr>
        <w:keepNext/>
        <w:rPr>
          <w:szCs w:val="22"/>
          <w:u w:val="single"/>
          <w:lang w:val="hu-HU"/>
        </w:rPr>
      </w:pPr>
      <w:r>
        <w:rPr>
          <w:szCs w:val="22"/>
          <w:u w:val="single"/>
          <w:lang w:val="hu-HU"/>
        </w:rPr>
        <w:lastRenderedPageBreak/>
        <w:t>Határértékek</w:t>
      </w:r>
    </w:p>
    <w:p w14:paraId="0FEEE260" w14:textId="77777777" w:rsidR="00653D32" w:rsidRDefault="00502314" w:rsidP="00074A0C">
      <w:pPr>
        <w:keepNext/>
        <w:rPr>
          <w:szCs w:val="22"/>
          <w:lang w:val="hu-HU"/>
        </w:rPr>
      </w:pPr>
      <w:r>
        <w:rPr>
          <w:szCs w:val="22"/>
          <w:lang w:val="hu-HU"/>
        </w:rPr>
        <w:t>EUCAST klinikai MIC- és korongdiffúziós határértékek a moxifloxacinra vonatkozóan (2015.01.01.).</w:t>
      </w:r>
    </w:p>
    <w:p w14:paraId="5A6F416F" w14:textId="77777777" w:rsidR="00653D32" w:rsidRDefault="00653D32" w:rsidP="00074A0C">
      <w:pPr>
        <w:keepNext/>
        <w:rPr>
          <w:szCs w:val="22"/>
          <w:lang w:val="hu-HU"/>
        </w:rPr>
      </w:pPr>
    </w:p>
    <w:tbl>
      <w:tblPr>
        <w:tblW w:w="9057" w:type="dxa"/>
        <w:tblInd w:w="108" w:type="dxa"/>
        <w:tblLayout w:type="fixed"/>
        <w:tblLook w:val="0000" w:firstRow="0" w:lastRow="0" w:firstColumn="0" w:lastColumn="0" w:noHBand="0" w:noVBand="0"/>
      </w:tblPr>
      <w:tblGrid>
        <w:gridCol w:w="4340"/>
        <w:gridCol w:w="2453"/>
        <w:gridCol w:w="2264"/>
      </w:tblGrid>
      <w:tr w:rsidR="00653D32" w14:paraId="4111AE40" w14:textId="77777777">
        <w:trPr>
          <w:trHeight w:val="256"/>
        </w:trPr>
        <w:tc>
          <w:tcPr>
            <w:tcW w:w="4340" w:type="dxa"/>
            <w:tcBorders>
              <w:top w:val="single" w:sz="6" w:space="0" w:color="auto"/>
              <w:left w:val="single" w:sz="6" w:space="0" w:color="auto"/>
              <w:bottom w:val="single" w:sz="6" w:space="0" w:color="auto"/>
              <w:right w:val="single" w:sz="6" w:space="0" w:color="auto"/>
            </w:tcBorders>
          </w:tcPr>
          <w:p w14:paraId="792E20E1" w14:textId="77777777" w:rsidR="00653D32" w:rsidRDefault="00502314" w:rsidP="00074A0C">
            <w:pPr>
              <w:keepNext/>
              <w:rPr>
                <w:b/>
                <w:szCs w:val="22"/>
                <w:lang w:val="hu-HU"/>
              </w:rPr>
            </w:pPr>
            <w:r>
              <w:rPr>
                <w:b/>
                <w:szCs w:val="22"/>
                <w:lang w:val="hu-HU"/>
              </w:rPr>
              <w:t>Kórokozó</w:t>
            </w:r>
          </w:p>
        </w:tc>
        <w:tc>
          <w:tcPr>
            <w:tcW w:w="2453" w:type="dxa"/>
            <w:tcBorders>
              <w:top w:val="single" w:sz="6" w:space="0" w:color="auto"/>
              <w:left w:val="single" w:sz="6" w:space="0" w:color="auto"/>
              <w:bottom w:val="single" w:sz="6" w:space="0" w:color="auto"/>
              <w:right w:val="single" w:sz="6" w:space="0" w:color="auto"/>
            </w:tcBorders>
            <w:vAlign w:val="center"/>
          </w:tcPr>
          <w:p w14:paraId="79B0449B" w14:textId="77777777" w:rsidR="00653D32" w:rsidRDefault="00502314" w:rsidP="00074A0C">
            <w:pPr>
              <w:keepNext/>
              <w:rPr>
                <w:b/>
                <w:szCs w:val="22"/>
                <w:lang w:val="hu-HU"/>
              </w:rPr>
            </w:pPr>
            <w:r>
              <w:rPr>
                <w:b/>
                <w:szCs w:val="22"/>
                <w:lang w:val="hu-HU"/>
              </w:rPr>
              <w:t>Érzékeny</w:t>
            </w:r>
          </w:p>
        </w:tc>
        <w:tc>
          <w:tcPr>
            <w:tcW w:w="2264" w:type="dxa"/>
            <w:tcBorders>
              <w:top w:val="single" w:sz="6" w:space="0" w:color="auto"/>
              <w:left w:val="single" w:sz="6" w:space="0" w:color="auto"/>
              <w:bottom w:val="single" w:sz="6" w:space="0" w:color="auto"/>
              <w:right w:val="single" w:sz="6" w:space="0" w:color="auto"/>
            </w:tcBorders>
            <w:vAlign w:val="center"/>
          </w:tcPr>
          <w:p w14:paraId="7A44EBA9" w14:textId="77777777" w:rsidR="00653D32" w:rsidRDefault="00502314" w:rsidP="00074A0C">
            <w:pPr>
              <w:keepNext/>
              <w:rPr>
                <w:b/>
                <w:szCs w:val="22"/>
                <w:lang w:val="hu-HU"/>
              </w:rPr>
            </w:pPr>
            <w:r>
              <w:rPr>
                <w:b/>
                <w:szCs w:val="22"/>
                <w:lang w:val="hu-HU"/>
              </w:rPr>
              <w:t>Rezisztens</w:t>
            </w:r>
          </w:p>
        </w:tc>
      </w:tr>
      <w:tr w:rsidR="00653D32" w14:paraId="02DF42E1" w14:textId="77777777">
        <w:trPr>
          <w:trHeight w:val="522"/>
        </w:trPr>
        <w:tc>
          <w:tcPr>
            <w:tcW w:w="4340" w:type="dxa"/>
            <w:tcBorders>
              <w:top w:val="single" w:sz="6" w:space="0" w:color="auto"/>
              <w:left w:val="single" w:sz="6" w:space="0" w:color="auto"/>
              <w:bottom w:val="single" w:sz="6" w:space="0" w:color="auto"/>
              <w:right w:val="single" w:sz="6" w:space="0" w:color="auto"/>
            </w:tcBorders>
          </w:tcPr>
          <w:p w14:paraId="5E56B0D4" w14:textId="77777777" w:rsidR="00653D32" w:rsidRDefault="00502314" w:rsidP="00074A0C">
            <w:pPr>
              <w:keepNext/>
              <w:rPr>
                <w:szCs w:val="22"/>
                <w:lang w:val="hu-HU"/>
              </w:rPr>
            </w:pPr>
            <w:r>
              <w:rPr>
                <w:szCs w:val="22"/>
                <w:lang w:val="hu-HU"/>
              </w:rPr>
              <w:t>Staphylococcus spp.</w:t>
            </w:r>
          </w:p>
        </w:tc>
        <w:tc>
          <w:tcPr>
            <w:tcW w:w="2453" w:type="dxa"/>
            <w:tcBorders>
              <w:top w:val="single" w:sz="6" w:space="0" w:color="auto"/>
              <w:left w:val="single" w:sz="6" w:space="0" w:color="auto"/>
              <w:bottom w:val="single" w:sz="6" w:space="0" w:color="auto"/>
              <w:right w:val="single" w:sz="6" w:space="0" w:color="auto"/>
            </w:tcBorders>
          </w:tcPr>
          <w:p w14:paraId="3ECA9E37" w14:textId="77777777" w:rsidR="00653D32" w:rsidRDefault="00502314" w:rsidP="00074A0C">
            <w:pPr>
              <w:keepNext/>
              <w:rPr>
                <w:szCs w:val="22"/>
                <w:lang w:val="hu-HU"/>
              </w:rPr>
            </w:pPr>
            <w:r>
              <w:rPr>
                <w:szCs w:val="22"/>
                <w:lang w:val="hu-HU"/>
              </w:rPr>
              <w:t>≤ 0,5 mg/l</w:t>
            </w:r>
          </w:p>
          <w:p w14:paraId="7E247EB7" w14:textId="77777777" w:rsidR="00653D32" w:rsidRDefault="00502314" w:rsidP="00074A0C">
            <w:pPr>
              <w:keepNext/>
              <w:rPr>
                <w:szCs w:val="22"/>
                <w:lang w:val="hu-HU"/>
              </w:rPr>
            </w:pPr>
            <w:r>
              <w:rPr>
                <w:szCs w:val="22"/>
                <w:lang w:val="hu-HU"/>
              </w:rPr>
              <w:sym w:font="Symbol" w:char="F0B3"/>
            </w:r>
            <w:r>
              <w:rPr>
                <w:szCs w:val="22"/>
                <w:lang w:val="hu-HU"/>
              </w:rPr>
              <w:t xml:space="preserve"> 24 mm</w:t>
            </w:r>
          </w:p>
        </w:tc>
        <w:tc>
          <w:tcPr>
            <w:tcW w:w="2264" w:type="dxa"/>
            <w:tcBorders>
              <w:top w:val="single" w:sz="6" w:space="0" w:color="auto"/>
              <w:left w:val="single" w:sz="6" w:space="0" w:color="auto"/>
              <w:bottom w:val="single" w:sz="6" w:space="0" w:color="auto"/>
              <w:right w:val="single" w:sz="6" w:space="0" w:color="auto"/>
            </w:tcBorders>
          </w:tcPr>
          <w:p w14:paraId="591E3168" w14:textId="77777777" w:rsidR="00653D32" w:rsidRDefault="00502314" w:rsidP="00074A0C">
            <w:pPr>
              <w:keepNext/>
              <w:rPr>
                <w:szCs w:val="22"/>
                <w:lang w:val="hu-HU"/>
              </w:rPr>
            </w:pPr>
            <w:r>
              <w:rPr>
                <w:szCs w:val="22"/>
                <w:lang w:val="hu-HU"/>
              </w:rPr>
              <w:t>&gt; 1 mg/l</w:t>
            </w:r>
          </w:p>
          <w:p w14:paraId="765A5797" w14:textId="77777777" w:rsidR="00653D32" w:rsidRDefault="00502314" w:rsidP="00074A0C">
            <w:pPr>
              <w:keepNext/>
              <w:rPr>
                <w:szCs w:val="22"/>
                <w:lang w:val="hu-HU"/>
              </w:rPr>
            </w:pPr>
            <w:r>
              <w:rPr>
                <w:szCs w:val="22"/>
                <w:lang w:val="hu-HU"/>
              </w:rPr>
              <w:t>&lt; 21 mm</w:t>
            </w:r>
          </w:p>
        </w:tc>
      </w:tr>
      <w:tr w:rsidR="00653D32" w14:paraId="41E817D4" w14:textId="77777777">
        <w:trPr>
          <w:trHeight w:val="522"/>
        </w:trPr>
        <w:tc>
          <w:tcPr>
            <w:tcW w:w="4340" w:type="dxa"/>
            <w:tcBorders>
              <w:top w:val="single" w:sz="6" w:space="0" w:color="auto"/>
              <w:left w:val="single" w:sz="6" w:space="0" w:color="auto"/>
              <w:bottom w:val="single" w:sz="6" w:space="0" w:color="auto"/>
              <w:right w:val="single" w:sz="6" w:space="0" w:color="auto"/>
            </w:tcBorders>
          </w:tcPr>
          <w:p w14:paraId="4A157181" w14:textId="77777777" w:rsidR="00653D32" w:rsidRDefault="00502314" w:rsidP="00074A0C">
            <w:pPr>
              <w:keepNext/>
              <w:rPr>
                <w:i/>
                <w:szCs w:val="22"/>
                <w:lang w:val="hu-HU"/>
              </w:rPr>
            </w:pPr>
            <w:r>
              <w:rPr>
                <w:i/>
                <w:szCs w:val="22"/>
                <w:lang w:val="hu-HU"/>
              </w:rPr>
              <w:t>S. pneumoniae</w:t>
            </w:r>
          </w:p>
        </w:tc>
        <w:tc>
          <w:tcPr>
            <w:tcW w:w="2453" w:type="dxa"/>
            <w:tcBorders>
              <w:top w:val="single" w:sz="6" w:space="0" w:color="auto"/>
              <w:left w:val="single" w:sz="6" w:space="0" w:color="auto"/>
              <w:bottom w:val="single" w:sz="6" w:space="0" w:color="auto"/>
              <w:right w:val="single" w:sz="6" w:space="0" w:color="auto"/>
            </w:tcBorders>
          </w:tcPr>
          <w:p w14:paraId="33B02B72" w14:textId="77777777" w:rsidR="00653D32" w:rsidRDefault="00502314" w:rsidP="00074A0C">
            <w:pPr>
              <w:keepNext/>
              <w:rPr>
                <w:szCs w:val="22"/>
                <w:lang w:val="hu-HU"/>
              </w:rPr>
            </w:pPr>
            <w:r>
              <w:rPr>
                <w:szCs w:val="22"/>
                <w:lang w:val="hu-HU"/>
              </w:rPr>
              <w:t>≤ 0,5 mg/l</w:t>
            </w:r>
          </w:p>
          <w:p w14:paraId="087F8D22" w14:textId="77777777" w:rsidR="00653D32" w:rsidRDefault="00502314" w:rsidP="00074A0C">
            <w:pPr>
              <w:keepNext/>
              <w:rPr>
                <w:szCs w:val="22"/>
                <w:lang w:val="hu-HU"/>
              </w:rPr>
            </w:pPr>
            <w:r>
              <w:rPr>
                <w:szCs w:val="22"/>
                <w:lang w:val="hu-HU"/>
              </w:rPr>
              <w:sym w:font="Symbol" w:char="F0B3"/>
            </w:r>
            <w:r>
              <w:rPr>
                <w:szCs w:val="22"/>
                <w:lang w:val="hu-HU"/>
              </w:rPr>
              <w:t xml:space="preserve"> 22 mm</w:t>
            </w:r>
          </w:p>
        </w:tc>
        <w:tc>
          <w:tcPr>
            <w:tcW w:w="2264" w:type="dxa"/>
            <w:tcBorders>
              <w:top w:val="single" w:sz="6" w:space="0" w:color="auto"/>
              <w:left w:val="single" w:sz="6" w:space="0" w:color="auto"/>
              <w:bottom w:val="single" w:sz="6" w:space="0" w:color="auto"/>
              <w:right w:val="single" w:sz="6" w:space="0" w:color="auto"/>
            </w:tcBorders>
          </w:tcPr>
          <w:p w14:paraId="2056073A" w14:textId="77777777" w:rsidR="00653D32" w:rsidRDefault="00502314" w:rsidP="00074A0C">
            <w:pPr>
              <w:keepNext/>
              <w:rPr>
                <w:szCs w:val="22"/>
                <w:lang w:val="hu-HU"/>
              </w:rPr>
            </w:pPr>
            <w:r>
              <w:rPr>
                <w:szCs w:val="22"/>
                <w:lang w:val="hu-HU"/>
              </w:rPr>
              <w:t>&gt; 0,5 mg/l</w:t>
            </w:r>
          </w:p>
          <w:p w14:paraId="1F60068D" w14:textId="77777777" w:rsidR="00653D32" w:rsidRDefault="00502314" w:rsidP="00074A0C">
            <w:pPr>
              <w:keepNext/>
              <w:rPr>
                <w:szCs w:val="22"/>
                <w:lang w:val="hu-HU"/>
              </w:rPr>
            </w:pPr>
            <w:r>
              <w:rPr>
                <w:szCs w:val="22"/>
                <w:lang w:val="hu-HU"/>
              </w:rPr>
              <w:t>&lt; 22 mm</w:t>
            </w:r>
          </w:p>
        </w:tc>
      </w:tr>
      <w:tr w:rsidR="00653D32" w14:paraId="40D3B77C" w14:textId="77777777">
        <w:trPr>
          <w:trHeight w:val="522"/>
        </w:trPr>
        <w:tc>
          <w:tcPr>
            <w:tcW w:w="4340" w:type="dxa"/>
            <w:tcBorders>
              <w:top w:val="single" w:sz="6" w:space="0" w:color="auto"/>
              <w:left w:val="single" w:sz="6" w:space="0" w:color="auto"/>
              <w:bottom w:val="single" w:sz="6" w:space="0" w:color="auto"/>
              <w:right w:val="single" w:sz="6" w:space="0" w:color="auto"/>
            </w:tcBorders>
          </w:tcPr>
          <w:p w14:paraId="7FE6FA3A" w14:textId="77777777" w:rsidR="00653D32" w:rsidRDefault="00502314" w:rsidP="00074A0C">
            <w:pPr>
              <w:keepNext/>
              <w:rPr>
                <w:szCs w:val="22"/>
                <w:lang w:val="hu-HU"/>
              </w:rPr>
            </w:pPr>
            <w:r>
              <w:rPr>
                <w:szCs w:val="22"/>
                <w:lang w:val="hu-HU"/>
              </w:rPr>
              <w:t>Streptococcus A, B, C, G csoport</w:t>
            </w:r>
          </w:p>
        </w:tc>
        <w:tc>
          <w:tcPr>
            <w:tcW w:w="2453" w:type="dxa"/>
            <w:tcBorders>
              <w:top w:val="single" w:sz="6" w:space="0" w:color="auto"/>
              <w:left w:val="single" w:sz="6" w:space="0" w:color="auto"/>
              <w:bottom w:val="single" w:sz="6" w:space="0" w:color="auto"/>
              <w:right w:val="single" w:sz="6" w:space="0" w:color="auto"/>
            </w:tcBorders>
          </w:tcPr>
          <w:p w14:paraId="5B1A7795" w14:textId="77777777" w:rsidR="00653D32" w:rsidRDefault="00502314" w:rsidP="00074A0C">
            <w:pPr>
              <w:keepNext/>
              <w:rPr>
                <w:szCs w:val="22"/>
                <w:lang w:val="hu-HU"/>
              </w:rPr>
            </w:pPr>
            <w:r>
              <w:rPr>
                <w:szCs w:val="22"/>
                <w:lang w:val="hu-HU"/>
              </w:rPr>
              <w:t>≤ 0,5 mg/l</w:t>
            </w:r>
          </w:p>
          <w:p w14:paraId="216A7A5A" w14:textId="77777777" w:rsidR="00653D32" w:rsidRDefault="00502314" w:rsidP="00074A0C">
            <w:pPr>
              <w:keepNext/>
              <w:rPr>
                <w:szCs w:val="22"/>
                <w:lang w:val="hu-HU"/>
              </w:rPr>
            </w:pPr>
            <w:r>
              <w:rPr>
                <w:szCs w:val="22"/>
                <w:lang w:val="hu-HU"/>
              </w:rPr>
              <w:sym w:font="Symbol" w:char="F0B3"/>
            </w:r>
            <w:r>
              <w:rPr>
                <w:szCs w:val="22"/>
                <w:lang w:val="hu-HU"/>
              </w:rPr>
              <w:t xml:space="preserve"> 18 mm</w:t>
            </w:r>
          </w:p>
        </w:tc>
        <w:tc>
          <w:tcPr>
            <w:tcW w:w="2264" w:type="dxa"/>
            <w:tcBorders>
              <w:top w:val="single" w:sz="6" w:space="0" w:color="auto"/>
              <w:left w:val="single" w:sz="6" w:space="0" w:color="auto"/>
              <w:bottom w:val="single" w:sz="6" w:space="0" w:color="auto"/>
              <w:right w:val="single" w:sz="6" w:space="0" w:color="auto"/>
            </w:tcBorders>
          </w:tcPr>
          <w:p w14:paraId="0CE4A5C4" w14:textId="77777777" w:rsidR="00653D32" w:rsidRDefault="00502314" w:rsidP="00074A0C">
            <w:pPr>
              <w:keepNext/>
              <w:rPr>
                <w:szCs w:val="22"/>
                <w:lang w:val="hu-HU"/>
              </w:rPr>
            </w:pPr>
            <w:r>
              <w:rPr>
                <w:szCs w:val="22"/>
                <w:lang w:val="hu-HU"/>
              </w:rPr>
              <w:t>&gt; 1 mg/l</w:t>
            </w:r>
          </w:p>
          <w:p w14:paraId="3AB8063A" w14:textId="77777777" w:rsidR="00653D32" w:rsidRDefault="00502314" w:rsidP="00074A0C">
            <w:pPr>
              <w:keepNext/>
              <w:rPr>
                <w:szCs w:val="22"/>
                <w:lang w:val="hu-HU"/>
              </w:rPr>
            </w:pPr>
            <w:r>
              <w:rPr>
                <w:szCs w:val="22"/>
                <w:lang w:val="hu-HU"/>
              </w:rPr>
              <w:t>&lt; 15 mm</w:t>
            </w:r>
          </w:p>
        </w:tc>
      </w:tr>
      <w:tr w:rsidR="00653D32" w14:paraId="21402411" w14:textId="77777777">
        <w:trPr>
          <w:trHeight w:val="513"/>
        </w:trPr>
        <w:tc>
          <w:tcPr>
            <w:tcW w:w="4340" w:type="dxa"/>
            <w:tcBorders>
              <w:top w:val="single" w:sz="6" w:space="0" w:color="auto"/>
              <w:left w:val="single" w:sz="6" w:space="0" w:color="auto"/>
              <w:bottom w:val="single" w:sz="6" w:space="0" w:color="auto"/>
              <w:right w:val="single" w:sz="6" w:space="0" w:color="auto"/>
            </w:tcBorders>
          </w:tcPr>
          <w:p w14:paraId="1532F6C7" w14:textId="77777777" w:rsidR="00653D32" w:rsidRDefault="00502314" w:rsidP="00074A0C">
            <w:pPr>
              <w:keepNext/>
              <w:rPr>
                <w:szCs w:val="22"/>
                <w:lang w:val="hu-HU"/>
              </w:rPr>
            </w:pPr>
            <w:r>
              <w:rPr>
                <w:i/>
                <w:szCs w:val="22"/>
                <w:lang w:val="hu-HU"/>
              </w:rPr>
              <w:t>H. influenzae</w:t>
            </w:r>
          </w:p>
        </w:tc>
        <w:tc>
          <w:tcPr>
            <w:tcW w:w="2453" w:type="dxa"/>
            <w:tcBorders>
              <w:top w:val="single" w:sz="6" w:space="0" w:color="auto"/>
              <w:left w:val="single" w:sz="6" w:space="0" w:color="auto"/>
              <w:bottom w:val="single" w:sz="6" w:space="0" w:color="auto"/>
              <w:right w:val="single" w:sz="6" w:space="0" w:color="auto"/>
            </w:tcBorders>
          </w:tcPr>
          <w:p w14:paraId="5F31E4E4" w14:textId="77777777" w:rsidR="00653D32" w:rsidRDefault="00502314" w:rsidP="00074A0C">
            <w:pPr>
              <w:keepNext/>
              <w:rPr>
                <w:szCs w:val="22"/>
                <w:lang w:val="hu-HU"/>
              </w:rPr>
            </w:pPr>
            <w:r>
              <w:rPr>
                <w:szCs w:val="22"/>
                <w:lang w:val="hu-HU"/>
              </w:rPr>
              <w:t>≤ 0,5 mg/l</w:t>
            </w:r>
          </w:p>
          <w:p w14:paraId="1826EC4D" w14:textId="77777777" w:rsidR="00653D32" w:rsidRDefault="00502314" w:rsidP="00074A0C">
            <w:pPr>
              <w:keepNext/>
              <w:rPr>
                <w:szCs w:val="22"/>
                <w:lang w:val="hu-HU"/>
              </w:rPr>
            </w:pPr>
            <w:r>
              <w:rPr>
                <w:szCs w:val="22"/>
                <w:lang w:val="hu-HU"/>
              </w:rPr>
              <w:sym w:font="Symbol" w:char="F0B3"/>
            </w:r>
            <w:r>
              <w:rPr>
                <w:szCs w:val="22"/>
                <w:lang w:val="hu-HU"/>
              </w:rPr>
              <w:t xml:space="preserve"> 25 mm</w:t>
            </w:r>
          </w:p>
        </w:tc>
        <w:tc>
          <w:tcPr>
            <w:tcW w:w="2264" w:type="dxa"/>
            <w:tcBorders>
              <w:top w:val="single" w:sz="6" w:space="0" w:color="auto"/>
              <w:left w:val="single" w:sz="6" w:space="0" w:color="auto"/>
              <w:bottom w:val="single" w:sz="6" w:space="0" w:color="auto"/>
              <w:right w:val="single" w:sz="6" w:space="0" w:color="auto"/>
            </w:tcBorders>
          </w:tcPr>
          <w:p w14:paraId="284407E9" w14:textId="77777777" w:rsidR="00653D32" w:rsidRDefault="00502314" w:rsidP="00074A0C">
            <w:pPr>
              <w:keepNext/>
              <w:rPr>
                <w:szCs w:val="22"/>
                <w:lang w:val="hu-HU"/>
              </w:rPr>
            </w:pPr>
            <w:r>
              <w:rPr>
                <w:szCs w:val="22"/>
                <w:lang w:val="hu-HU"/>
              </w:rPr>
              <w:t>&gt; 0,5 mg/l</w:t>
            </w:r>
          </w:p>
          <w:p w14:paraId="54F0497D" w14:textId="77777777" w:rsidR="00653D32" w:rsidRDefault="00502314" w:rsidP="00074A0C">
            <w:pPr>
              <w:keepNext/>
              <w:rPr>
                <w:szCs w:val="22"/>
                <w:lang w:val="hu-HU"/>
              </w:rPr>
            </w:pPr>
            <w:r>
              <w:rPr>
                <w:szCs w:val="22"/>
                <w:lang w:val="hu-HU"/>
              </w:rPr>
              <w:t>&lt; 25 mm</w:t>
            </w:r>
          </w:p>
        </w:tc>
      </w:tr>
      <w:tr w:rsidR="00653D32" w14:paraId="1F47ECBB" w14:textId="77777777">
        <w:trPr>
          <w:trHeight w:val="522"/>
        </w:trPr>
        <w:tc>
          <w:tcPr>
            <w:tcW w:w="4340" w:type="dxa"/>
            <w:tcBorders>
              <w:top w:val="single" w:sz="6" w:space="0" w:color="auto"/>
              <w:left w:val="single" w:sz="6" w:space="0" w:color="auto"/>
              <w:bottom w:val="single" w:sz="6" w:space="0" w:color="auto"/>
              <w:right w:val="single" w:sz="6" w:space="0" w:color="auto"/>
            </w:tcBorders>
          </w:tcPr>
          <w:p w14:paraId="34B469FB" w14:textId="77777777" w:rsidR="00653D32" w:rsidRDefault="00502314" w:rsidP="00074A0C">
            <w:pPr>
              <w:keepNext/>
              <w:rPr>
                <w:i/>
                <w:szCs w:val="22"/>
                <w:lang w:val="hu-HU"/>
              </w:rPr>
            </w:pPr>
            <w:r>
              <w:rPr>
                <w:i/>
                <w:szCs w:val="22"/>
                <w:lang w:val="hu-HU"/>
              </w:rPr>
              <w:t>M. catarrhalis</w:t>
            </w:r>
          </w:p>
        </w:tc>
        <w:tc>
          <w:tcPr>
            <w:tcW w:w="2453" w:type="dxa"/>
            <w:tcBorders>
              <w:top w:val="single" w:sz="6" w:space="0" w:color="auto"/>
              <w:left w:val="single" w:sz="6" w:space="0" w:color="auto"/>
              <w:bottom w:val="single" w:sz="6" w:space="0" w:color="auto"/>
              <w:right w:val="single" w:sz="6" w:space="0" w:color="auto"/>
            </w:tcBorders>
          </w:tcPr>
          <w:p w14:paraId="085298CE" w14:textId="77777777" w:rsidR="00653D32" w:rsidRDefault="00502314" w:rsidP="00074A0C">
            <w:pPr>
              <w:keepNext/>
              <w:rPr>
                <w:szCs w:val="22"/>
                <w:lang w:val="hu-HU"/>
              </w:rPr>
            </w:pPr>
            <w:r>
              <w:rPr>
                <w:szCs w:val="22"/>
                <w:lang w:val="hu-HU"/>
              </w:rPr>
              <w:t>≤ 0,5 mg/l</w:t>
            </w:r>
          </w:p>
          <w:p w14:paraId="63BCC969" w14:textId="77777777" w:rsidR="00653D32" w:rsidRDefault="00502314" w:rsidP="00074A0C">
            <w:pPr>
              <w:keepNext/>
              <w:rPr>
                <w:szCs w:val="22"/>
                <w:lang w:val="hu-HU"/>
              </w:rPr>
            </w:pPr>
            <w:r>
              <w:rPr>
                <w:szCs w:val="22"/>
                <w:lang w:val="hu-HU"/>
              </w:rPr>
              <w:sym w:font="Symbol" w:char="F0B3"/>
            </w:r>
            <w:r>
              <w:rPr>
                <w:szCs w:val="22"/>
                <w:lang w:val="hu-HU"/>
              </w:rPr>
              <w:t xml:space="preserve"> 23 mm</w:t>
            </w:r>
          </w:p>
        </w:tc>
        <w:tc>
          <w:tcPr>
            <w:tcW w:w="2264" w:type="dxa"/>
            <w:tcBorders>
              <w:top w:val="single" w:sz="6" w:space="0" w:color="auto"/>
              <w:left w:val="single" w:sz="6" w:space="0" w:color="auto"/>
              <w:bottom w:val="single" w:sz="6" w:space="0" w:color="auto"/>
              <w:right w:val="single" w:sz="6" w:space="0" w:color="auto"/>
            </w:tcBorders>
          </w:tcPr>
          <w:p w14:paraId="5C87B249" w14:textId="77777777" w:rsidR="00653D32" w:rsidRDefault="00502314" w:rsidP="00074A0C">
            <w:pPr>
              <w:keepNext/>
              <w:rPr>
                <w:szCs w:val="22"/>
                <w:lang w:val="hu-HU"/>
              </w:rPr>
            </w:pPr>
            <w:r>
              <w:rPr>
                <w:szCs w:val="22"/>
                <w:lang w:val="hu-HU"/>
              </w:rPr>
              <w:t>&gt; 0,5 mg/l</w:t>
            </w:r>
          </w:p>
          <w:p w14:paraId="5CCF7EFF" w14:textId="77777777" w:rsidR="00653D32" w:rsidRDefault="00502314" w:rsidP="00074A0C">
            <w:pPr>
              <w:keepNext/>
              <w:rPr>
                <w:szCs w:val="22"/>
                <w:lang w:val="hu-HU"/>
              </w:rPr>
            </w:pPr>
            <w:r>
              <w:rPr>
                <w:szCs w:val="22"/>
                <w:lang w:val="hu-HU"/>
              </w:rPr>
              <w:t>&lt; 23 mm</w:t>
            </w:r>
          </w:p>
        </w:tc>
      </w:tr>
      <w:tr w:rsidR="00653D32" w14:paraId="088F0809" w14:textId="77777777">
        <w:trPr>
          <w:trHeight w:val="522"/>
        </w:trPr>
        <w:tc>
          <w:tcPr>
            <w:tcW w:w="4340" w:type="dxa"/>
            <w:tcBorders>
              <w:top w:val="single" w:sz="6" w:space="0" w:color="auto"/>
              <w:left w:val="single" w:sz="6" w:space="0" w:color="auto"/>
              <w:bottom w:val="single" w:sz="6" w:space="0" w:color="auto"/>
              <w:right w:val="single" w:sz="6" w:space="0" w:color="auto"/>
            </w:tcBorders>
          </w:tcPr>
          <w:p w14:paraId="25519196" w14:textId="77777777" w:rsidR="00653D32" w:rsidRDefault="00502314" w:rsidP="00074A0C">
            <w:pPr>
              <w:keepNext/>
              <w:rPr>
                <w:i/>
                <w:szCs w:val="22"/>
                <w:lang w:val="hu-HU"/>
              </w:rPr>
            </w:pPr>
            <w:r>
              <w:rPr>
                <w:i/>
                <w:szCs w:val="22"/>
                <w:lang w:val="hu-HU"/>
              </w:rPr>
              <w:t>Enterobacteriaceae</w:t>
            </w:r>
          </w:p>
        </w:tc>
        <w:tc>
          <w:tcPr>
            <w:tcW w:w="2453" w:type="dxa"/>
            <w:tcBorders>
              <w:top w:val="single" w:sz="6" w:space="0" w:color="auto"/>
              <w:left w:val="single" w:sz="6" w:space="0" w:color="auto"/>
              <w:bottom w:val="single" w:sz="6" w:space="0" w:color="auto"/>
              <w:right w:val="single" w:sz="6" w:space="0" w:color="auto"/>
            </w:tcBorders>
          </w:tcPr>
          <w:p w14:paraId="454ADE31" w14:textId="77777777" w:rsidR="00653D32" w:rsidRDefault="00502314" w:rsidP="00074A0C">
            <w:pPr>
              <w:keepNext/>
              <w:rPr>
                <w:szCs w:val="22"/>
                <w:lang w:val="hu-HU"/>
              </w:rPr>
            </w:pPr>
            <w:r>
              <w:rPr>
                <w:szCs w:val="22"/>
                <w:lang w:val="hu-HU"/>
              </w:rPr>
              <w:t>≤ 0,5 mg/l</w:t>
            </w:r>
          </w:p>
          <w:p w14:paraId="643AC834" w14:textId="77777777" w:rsidR="00653D32" w:rsidRDefault="00502314" w:rsidP="00074A0C">
            <w:pPr>
              <w:keepNext/>
              <w:rPr>
                <w:szCs w:val="22"/>
                <w:lang w:val="hu-HU"/>
              </w:rPr>
            </w:pPr>
            <w:r>
              <w:rPr>
                <w:szCs w:val="22"/>
                <w:lang w:val="hu-HU"/>
              </w:rPr>
              <w:sym w:font="Symbol" w:char="F0B3"/>
            </w:r>
            <w:r>
              <w:rPr>
                <w:szCs w:val="22"/>
                <w:lang w:val="hu-HU"/>
              </w:rPr>
              <w:t xml:space="preserve"> 20 mm</w:t>
            </w:r>
          </w:p>
        </w:tc>
        <w:tc>
          <w:tcPr>
            <w:tcW w:w="2264" w:type="dxa"/>
            <w:tcBorders>
              <w:top w:val="single" w:sz="6" w:space="0" w:color="auto"/>
              <w:left w:val="single" w:sz="6" w:space="0" w:color="auto"/>
              <w:bottom w:val="single" w:sz="6" w:space="0" w:color="auto"/>
              <w:right w:val="single" w:sz="6" w:space="0" w:color="auto"/>
            </w:tcBorders>
          </w:tcPr>
          <w:p w14:paraId="3E1F5AE4" w14:textId="77777777" w:rsidR="00653D32" w:rsidRDefault="00502314" w:rsidP="00074A0C">
            <w:pPr>
              <w:keepNext/>
              <w:rPr>
                <w:szCs w:val="22"/>
                <w:lang w:val="hu-HU"/>
              </w:rPr>
            </w:pPr>
            <w:r>
              <w:rPr>
                <w:szCs w:val="22"/>
                <w:lang w:val="hu-HU"/>
              </w:rPr>
              <w:t>&gt; 1 mg/l</w:t>
            </w:r>
          </w:p>
          <w:p w14:paraId="53EEBB29" w14:textId="77777777" w:rsidR="00653D32" w:rsidRDefault="00502314" w:rsidP="00074A0C">
            <w:pPr>
              <w:keepNext/>
              <w:rPr>
                <w:szCs w:val="22"/>
                <w:lang w:val="hu-HU"/>
              </w:rPr>
            </w:pPr>
            <w:r>
              <w:rPr>
                <w:szCs w:val="22"/>
                <w:lang w:val="hu-HU"/>
              </w:rPr>
              <w:t>&lt; 17 mm</w:t>
            </w:r>
          </w:p>
        </w:tc>
      </w:tr>
      <w:tr w:rsidR="00653D32" w14:paraId="6AB253B3" w14:textId="77777777">
        <w:trPr>
          <w:trHeight w:val="247"/>
        </w:trPr>
        <w:tc>
          <w:tcPr>
            <w:tcW w:w="4340" w:type="dxa"/>
            <w:tcBorders>
              <w:top w:val="single" w:sz="6" w:space="0" w:color="auto"/>
              <w:left w:val="single" w:sz="6" w:space="0" w:color="auto"/>
              <w:bottom w:val="single" w:sz="6" w:space="0" w:color="auto"/>
              <w:right w:val="single" w:sz="6" w:space="0" w:color="auto"/>
            </w:tcBorders>
          </w:tcPr>
          <w:p w14:paraId="72340993" w14:textId="77777777" w:rsidR="00653D32" w:rsidRDefault="00502314">
            <w:pPr>
              <w:rPr>
                <w:szCs w:val="22"/>
                <w:lang w:val="hu-HU"/>
              </w:rPr>
            </w:pPr>
            <w:r>
              <w:rPr>
                <w:szCs w:val="22"/>
                <w:lang w:val="hu-HU"/>
              </w:rPr>
              <w:t>Nem fajhoz kötött határértékek*</w:t>
            </w:r>
          </w:p>
        </w:tc>
        <w:tc>
          <w:tcPr>
            <w:tcW w:w="2453" w:type="dxa"/>
            <w:tcBorders>
              <w:top w:val="single" w:sz="6" w:space="0" w:color="auto"/>
              <w:left w:val="single" w:sz="6" w:space="0" w:color="auto"/>
              <w:bottom w:val="single" w:sz="6" w:space="0" w:color="auto"/>
              <w:right w:val="single" w:sz="6" w:space="0" w:color="auto"/>
            </w:tcBorders>
          </w:tcPr>
          <w:p w14:paraId="5160311B" w14:textId="77777777" w:rsidR="00653D32" w:rsidRDefault="00502314">
            <w:pPr>
              <w:rPr>
                <w:szCs w:val="22"/>
                <w:lang w:val="hu-HU"/>
              </w:rPr>
            </w:pPr>
            <w:r>
              <w:rPr>
                <w:szCs w:val="22"/>
                <w:lang w:val="hu-HU"/>
              </w:rPr>
              <w:t>≤ 0,5 mg/l</w:t>
            </w:r>
          </w:p>
        </w:tc>
        <w:tc>
          <w:tcPr>
            <w:tcW w:w="2264" w:type="dxa"/>
            <w:tcBorders>
              <w:top w:val="single" w:sz="6" w:space="0" w:color="auto"/>
              <w:left w:val="single" w:sz="6" w:space="0" w:color="auto"/>
              <w:bottom w:val="single" w:sz="6" w:space="0" w:color="auto"/>
              <w:right w:val="single" w:sz="6" w:space="0" w:color="auto"/>
            </w:tcBorders>
          </w:tcPr>
          <w:p w14:paraId="7248B771" w14:textId="77777777" w:rsidR="00653D32" w:rsidRDefault="00502314">
            <w:pPr>
              <w:rPr>
                <w:szCs w:val="22"/>
                <w:lang w:val="hu-HU"/>
              </w:rPr>
            </w:pPr>
            <w:r>
              <w:rPr>
                <w:szCs w:val="22"/>
                <w:lang w:val="hu-HU"/>
              </w:rPr>
              <w:t>&gt; 1 mg/l</w:t>
            </w:r>
          </w:p>
        </w:tc>
      </w:tr>
      <w:tr w:rsidR="00653D32" w14:paraId="37163590" w14:textId="77777777">
        <w:trPr>
          <w:trHeight w:val="1274"/>
        </w:trPr>
        <w:tc>
          <w:tcPr>
            <w:tcW w:w="9056" w:type="dxa"/>
            <w:gridSpan w:val="3"/>
            <w:tcBorders>
              <w:top w:val="single" w:sz="6" w:space="0" w:color="auto"/>
              <w:left w:val="single" w:sz="6" w:space="0" w:color="auto"/>
              <w:bottom w:val="single" w:sz="6" w:space="0" w:color="auto"/>
              <w:right w:val="single" w:sz="6" w:space="0" w:color="auto"/>
            </w:tcBorders>
          </w:tcPr>
          <w:p w14:paraId="5641D85C" w14:textId="77777777" w:rsidR="00653D32" w:rsidRDefault="00502314">
            <w:pPr>
              <w:rPr>
                <w:szCs w:val="22"/>
                <w:lang w:val="hu-HU"/>
              </w:rPr>
            </w:pPr>
            <w:r>
              <w:rPr>
                <w:szCs w:val="22"/>
                <w:lang w:val="hu-HU"/>
              </w:rPr>
              <w:t>*A nem fajspecifikus határértékek meghatározása döntően a farmakokinetikai/farmakodinámiás adatok alapján történt, és függetlenek az adott fajok MIC-megoszlásától. Csak azon fajok vonatkozásában használatosak, melyekre nem adtak meg fajspecifikus határértéket, és nem használható azon fajoknál, amelyeknél az értelmezési kritériumokat még nem határozták meg.</w:t>
            </w:r>
          </w:p>
        </w:tc>
      </w:tr>
    </w:tbl>
    <w:p w14:paraId="6A119D9E" w14:textId="77777777" w:rsidR="00653D32" w:rsidRDefault="00653D32">
      <w:pPr>
        <w:rPr>
          <w:szCs w:val="22"/>
          <w:lang w:val="hu-HU"/>
        </w:rPr>
      </w:pPr>
    </w:p>
    <w:p w14:paraId="40D89B1A" w14:textId="77777777" w:rsidR="00653D32" w:rsidRDefault="00502314">
      <w:pPr>
        <w:rPr>
          <w:szCs w:val="22"/>
          <w:u w:val="single"/>
          <w:lang w:val="hu-HU"/>
        </w:rPr>
      </w:pPr>
      <w:r>
        <w:rPr>
          <w:szCs w:val="22"/>
          <w:u w:val="single"/>
          <w:lang w:val="hu-HU"/>
        </w:rPr>
        <w:t>Mikrobiológiai érzékenység</w:t>
      </w:r>
    </w:p>
    <w:p w14:paraId="50C31314" w14:textId="77777777" w:rsidR="00653D32" w:rsidRDefault="00502314">
      <w:pPr>
        <w:tabs>
          <w:tab w:val="left" w:pos="567"/>
        </w:tabs>
        <w:rPr>
          <w:szCs w:val="22"/>
          <w:lang w:val="hu-HU"/>
        </w:rPr>
      </w:pPr>
      <w:r>
        <w:rPr>
          <w:szCs w:val="22"/>
          <w:lang w:val="hu-HU"/>
        </w:rPr>
        <w:t xml:space="preserve">A szerzett rezisztencia gyakorisága egyes fajokra nézve a földrajzi helytől és a vizsgálat idejétől függően eltérő lehet, ezért a rezisztenciára vonatkozó helyi adatokat is be kell szerezni, </w:t>
      </w:r>
      <w:r>
        <w:rPr>
          <w:lang w:val="hu-HU"/>
        </w:rPr>
        <w:t>különösen súlyos infekciók kezelésekor</w:t>
      </w:r>
      <w:r>
        <w:rPr>
          <w:szCs w:val="22"/>
          <w:lang w:val="hu-HU"/>
        </w:rPr>
        <w:t>. Szükség esetén szaktanácsot kell kérni, ha a helyi rezisztencia gyakorisága olymértékű, hogy egyes fertőzéstípusok esetén kérdésessé teszik a gyógyszer hatásosságát.</w:t>
      </w:r>
    </w:p>
    <w:p w14:paraId="66BFCFEA" w14:textId="77777777" w:rsidR="00653D32" w:rsidRDefault="00653D32">
      <w:pPr>
        <w:rPr>
          <w:szCs w:val="22"/>
          <w:lang w:val="hu-HU"/>
        </w:rPr>
      </w:pPr>
    </w:p>
    <w:tbl>
      <w:tblPr>
        <w:tblW w:w="9214" w:type="dxa"/>
        <w:tblInd w:w="108" w:type="dxa"/>
        <w:tblLayout w:type="fixed"/>
        <w:tblLook w:val="0000" w:firstRow="0" w:lastRow="0" w:firstColumn="0" w:lastColumn="0" w:noHBand="0" w:noVBand="0"/>
      </w:tblPr>
      <w:tblGrid>
        <w:gridCol w:w="9214"/>
      </w:tblGrid>
      <w:tr w:rsidR="00653D32" w14:paraId="52649801" w14:textId="77777777">
        <w:tc>
          <w:tcPr>
            <w:tcW w:w="9214" w:type="dxa"/>
            <w:tcBorders>
              <w:top w:val="single" w:sz="6" w:space="0" w:color="auto"/>
              <w:left w:val="single" w:sz="6" w:space="0" w:color="auto"/>
              <w:bottom w:val="single" w:sz="6" w:space="0" w:color="auto"/>
              <w:right w:val="single" w:sz="6" w:space="0" w:color="auto"/>
            </w:tcBorders>
          </w:tcPr>
          <w:p w14:paraId="67982231" w14:textId="77777777" w:rsidR="00653D32" w:rsidRDefault="00502314">
            <w:pPr>
              <w:tabs>
                <w:tab w:val="right" w:pos="8255"/>
                <w:tab w:val="right" w:pos="8289"/>
              </w:tabs>
              <w:rPr>
                <w:b/>
                <w:bCs/>
                <w:szCs w:val="22"/>
                <w:lang w:val="hu-HU"/>
              </w:rPr>
            </w:pPr>
            <w:r>
              <w:rPr>
                <w:b/>
                <w:bCs/>
                <w:szCs w:val="22"/>
                <w:lang w:val="hu-HU"/>
              </w:rPr>
              <w:t xml:space="preserve">Általában érzékeny </w:t>
            </w:r>
            <w:r>
              <w:rPr>
                <w:b/>
                <w:szCs w:val="22"/>
                <w:lang w:val="hu-HU"/>
              </w:rPr>
              <w:t>fajok</w:t>
            </w:r>
          </w:p>
        </w:tc>
      </w:tr>
      <w:tr w:rsidR="00653D32" w14:paraId="41C99905" w14:textId="77777777">
        <w:tc>
          <w:tcPr>
            <w:tcW w:w="9214" w:type="dxa"/>
            <w:tcBorders>
              <w:top w:val="single" w:sz="6" w:space="0" w:color="auto"/>
              <w:left w:val="single" w:sz="6" w:space="0" w:color="auto"/>
              <w:bottom w:val="single" w:sz="6" w:space="0" w:color="auto"/>
              <w:right w:val="single" w:sz="6" w:space="0" w:color="auto"/>
            </w:tcBorders>
          </w:tcPr>
          <w:p w14:paraId="78282EE8" w14:textId="77777777" w:rsidR="00653D32" w:rsidRDefault="00502314">
            <w:pPr>
              <w:tabs>
                <w:tab w:val="right" w:pos="8255"/>
                <w:tab w:val="right" w:pos="8289"/>
              </w:tabs>
              <w:rPr>
                <w:szCs w:val="22"/>
                <w:u w:val="single"/>
                <w:lang w:val="hu-HU"/>
              </w:rPr>
            </w:pPr>
            <w:r>
              <w:rPr>
                <w:szCs w:val="22"/>
                <w:u w:val="single"/>
                <w:lang w:val="hu-HU"/>
              </w:rPr>
              <w:t>Aerob Gram-pozitív mikroorganizmusok</w:t>
            </w:r>
          </w:p>
          <w:p w14:paraId="389C849A" w14:textId="77777777" w:rsidR="00653D32" w:rsidRDefault="00502314">
            <w:pPr>
              <w:tabs>
                <w:tab w:val="right" w:pos="8255"/>
                <w:tab w:val="right" w:pos="8289"/>
              </w:tabs>
              <w:rPr>
                <w:szCs w:val="22"/>
                <w:lang w:val="hu-HU"/>
              </w:rPr>
            </w:pPr>
            <w:r>
              <w:rPr>
                <w:i/>
                <w:iCs/>
                <w:szCs w:val="22"/>
                <w:lang w:val="hu-HU"/>
              </w:rPr>
              <w:t>Staphylococcus aureus</w:t>
            </w:r>
            <w:r>
              <w:rPr>
                <w:iCs/>
                <w:szCs w:val="22"/>
                <w:lang w:val="hu-HU"/>
              </w:rPr>
              <w:t>*</w:t>
            </w:r>
            <w:r>
              <w:rPr>
                <w:szCs w:val="22"/>
                <w:vertAlign w:val="superscript"/>
                <w:lang w:val="hu-HU"/>
              </w:rPr>
              <w:t>+</w:t>
            </w:r>
          </w:p>
          <w:p w14:paraId="6797C768" w14:textId="77777777" w:rsidR="00653D32" w:rsidRDefault="00502314">
            <w:pPr>
              <w:tabs>
                <w:tab w:val="right" w:pos="8255"/>
                <w:tab w:val="right" w:pos="8289"/>
              </w:tabs>
              <w:rPr>
                <w:szCs w:val="22"/>
                <w:lang w:val="hu-HU"/>
              </w:rPr>
            </w:pPr>
            <w:r>
              <w:rPr>
                <w:i/>
                <w:iCs/>
                <w:szCs w:val="22"/>
                <w:lang w:val="hu-HU"/>
              </w:rPr>
              <w:t>Streptococcus agalactiae</w:t>
            </w:r>
            <w:r>
              <w:rPr>
                <w:szCs w:val="22"/>
                <w:lang w:val="hu-HU"/>
              </w:rPr>
              <w:t xml:space="preserve"> (B csoport)</w:t>
            </w:r>
          </w:p>
          <w:p w14:paraId="44C9DB37" w14:textId="77777777" w:rsidR="00653D32" w:rsidRDefault="00502314">
            <w:pPr>
              <w:tabs>
                <w:tab w:val="right" w:pos="8255"/>
                <w:tab w:val="right" w:pos="8289"/>
              </w:tabs>
              <w:rPr>
                <w:szCs w:val="22"/>
                <w:lang w:val="hu-HU"/>
              </w:rPr>
            </w:pPr>
            <w:r>
              <w:rPr>
                <w:iCs/>
                <w:szCs w:val="22"/>
                <w:lang w:val="hu-HU"/>
              </w:rPr>
              <w:t>Streptococcus milleri</w:t>
            </w:r>
            <w:r>
              <w:rPr>
                <w:szCs w:val="22"/>
                <w:lang w:val="hu-HU"/>
              </w:rPr>
              <w:t xml:space="preserve"> csoport* (</w:t>
            </w:r>
            <w:r>
              <w:rPr>
                <w:i/>
                <w:iCs/>
                <w:szCs w:val="22"/>
                <w:lang w:val="hu-HU"/>
              </w:rPr>
              <w:t>S. anginosus</w:t>
            </w:r>
            <w:r>
              <w:rPr>
                <w:szCs w:val="22"/>
                <w:lang w:val="hu-HU"/>
              </w:rPr>
              <w:t xml:space="preserve">, </w:t>
            </w:r>
            <w:r>
              <w:rPr>
                <w:i/>
                <w:iCs/>
                <w:szCs w:val="22"/>
                <w:lang w:val="hu-HU"/>
              </w:rPr>
              <w:t>S. constellatus</w:t>
            </w:r>
            <w:r>
              <w:rPr>
                <w:szCs w:val="22"/>
                <w:lang w:val="hu-HU"/>
              </w:rPr>
              <w:t xml:space="preserve"> és </w:t>
            </w:r>
            <w:r>
              <w:rPr>
                <w:i/>
                <w:iCs/>
                <w:szCs w:val="22"/>
                <w:lang w:val="hu-HU"/>
              </w:rPr>
              <w:t>S. intermedius</w:t>
            </w:r>
            <w:r>
              <w:rPr>
                <w:szCs w:val="22"/>
                <w:lang w:val="hu-HU"/>
              </w:rPr>
              <w:t>)</w:t>
            </w:r>
          </w:p>
          <w:p w14:paraId="0EEB9F2E" w14:textId="77777777" w:rsidR="00653D32" w:rsidRDefault="00502314">
            <w:pPr>
              <w:tabs>
                <w:tab w:val="right" w:pos="8255"/>
                <w:tab w:val="right" w:pos="8289"/>
              </w:tabs>
              <w:rPr>
                <w:szCs w:val="22"/>
                <w:lang w:val="hu-HU"/>
              </w:rPr>
            </w:pPr>
            <w:r>
              <w:rPr>
                <w:i/>
                <w:iCs/>
                <w:szCs w:val="22"/>
                <w:lang w:val="hu-HU"/>
              </w:rPr>
              <w:t>Streptococcus pneumoniae</w:t>
            </w:r>
            <w:r>
              <w:rPr>
                <w:szCs w:val="22"/>
                <w:lang w:val="hu-HU"/>
              </w:rPr>
              <w:t>*</w:t>
            </w:r>
          </w:p>
          <w:p w14:paraId="00466528" w14:textId="77777777" w:rsidR="00653D32" w:rsidRDefault="00502314">
            <w:pPr>
              <w:tabs>
                <w:tab w:val="right" w:pos="8255"/>
                <w:tab w:val="right" w:pos="8289"/>
              </w:tabs>
              <w:rPr>
                <w:szCs w:val="22"/>
                <w:lang w:val="hu-HU"/>
              </w:rPr>
            </w:pPr>
            <w:r>
              <w:rPr>
                <w:i/>
                <w:iCs/>
                <w:szCs w:val="22"/>
                <w:lang w:val="hu-HU"/>
              </w:rPr>
              <w:t>Streptococcus pyogenes</w:t>
            </w:r>
            <w:r>
              <w:rPr>
                <w:szCs w:val="22"/>
                <w:lang w:val="hu-HU"/>
              </w:rPr>
              <w:t>* (A csoport)</w:t>
            </w:r>
          </w:p>
          <w:p w14:paraId="27A360E9" w14:textId="77777777" w:rsidR="00653D32" w:rsidRDefault="00502314">
            <w:pPr>
              <w:tabs>
                <w:tab w:val="right" w:pos="8255"/>
                <w:tab w:val="right" w:pos="8289"/>
              </w:tabs>
              <w:rPr>
                <w:szCs w:val="22"/>
                <w:lang w:val="hu-HU"/>
              </w:rPr>
            </w:pPr>
            <w:r>
              <w:rPr>
                <w:szCs w:val="22"/>
                <w:lang w:val="hu-HU"/>
              </w:rPr>
              <w:t>Streptococcus viridans</w:t>
            </w:r>
            <w:r>
              <w:rPr>
                <w:i/>
                <w:szCs w:val="22"/>
                <w:lang w:val="hu-HU"/>
              </w:rPr>
              <w:t xml:space="preserve"> </w:t>
            </w:r>
            <w:r>
              <w:rPr>
                <w:szCs w:val="22"/>
                <w:lang w:val="hu-HU"/>
              </w:rPr>
              <w:t>csoport</w:t>
            </w:r>
            <w:r>
              <w:rPr>
                <w:i/>
                <w:szCs w:val="22"/>
                <w:lang w:val="hu-HU"/>
              </w:rPr>
              <w:t xml:space="preserve"> (S. viridans, S. mutans, S. mitis, S. sanguinis, S. salivarius, S. thermophilus)</w:t>
            </w:r>
          </w:p>
        </w:tc>
      </w:tr>
      <w:tr w:rsidR="00653D32" w14:paraId="6FE02EC2" w14:textId="77777777">
        <w:tc>
          <w:tcPr>
            <w:tcW w:w="9214" w:type="dxa"/>
            <w:tcBorders>
              <w:top w:val="single" w:sz="6" w:space="0" w:color="auto"/>
              <w:left w:val="single" w:sz="6" w:space="0" w:color="auto"/>
              <w:bottom w:val="single" w:sz="6" w:space="0" w:color="auto"/>
              <w:right w:val="single" w:sz="6" w:space="0" w:color="auto"/>
            </w:tcBorders>
          </w:tcPr>
          <w:p w14:paraId="6E003CE4" w14:textId="77777777" w:rsidR="00653D32" w:rsidRDefault="00502314">
            <w:pPr>
              <w:tabs>
                <w:tab w:val="right" w:pos="8255"/>
                <w:tab w:val="right" w:pos="8289"/>
              </w:tabs>
              <w:rPr>
                <w:szCs w:val="22"/>
                <w:u w:val="single"/>
                <w:lang w:val="hu-HU"/>
              </w:rPr>
            </w:pPr>
            <w:r>
              <w:rPr>
                <w:szCs w:val="22"/>
                <w:u w:val="single"/>
                <w:lang w:val="hu-HU"/>
              </w:rPr>
              <w:t>Aerob Gram-negatív mikroorganizmusok</w:t>
            </w:r>
          </w:p>
          <w:p w14:paraId="1A2CDC22" w14:textId="77777777" w:rsidR="00653D32" w:rsidRDefault="00502314">
            <w:pPr>
              <w:rPr>
                <w:i/>
                <w:szCs w:val="22"/>
                <w:lang w:val="hu-HU"/>
              </w:rPr>
            </w:pPr>
            <w:r>
              <w:rPr>
                <w:i/>
                <w:szCs w:val="22"/>
                <w:lang w:val="hu-HU"/>
              </w:rPr>
              <w:t>Acinetobacter baumanii</w:t>
            </w:r>
          </w:p>
          <w:p w14:paraId="4605CE02" w14:textId="77777777" w:rsidR="00653D32" w:rsidRDefault="00502314">
            <w:pPr>
              <w:tabs>
                <w:tab w:val="right" w:pos="8255"/>
                <w:tab w:val="right" w:pos="8289"/>
              </w:tabs>
              <w:rPr>
                <w:szCs w:val="22"/>
                <w:lang w:val="hu-HU"/>
              </w:rPr>
            </w:pPr>
            <w:r>
              <w:rPr>
                <w:i/>
                <w:iCs/>
                <w:szCs w:val="22"/>
                <w:lang w:val="hu-HU"/>
              </w:rPr>
              <w:t>Haemophilus influenzae</w:t>
            </w:r>
            <w:r>
              <w:rPr>
                <w:szCs w:val="22"/>
                <w:lang w:val="hu-HU"/>
              </w:rPr>
              <w:t>*</w:t>
            </w:r>
          </w:p>
          <w:p w14:paraId="67BCEB68" w14:textId="77777777" w:rsidR="00653D32" w:rsidRDefault="00502314">
            <w:pPr>
              <w:rPr>
                <w:szCs w:val="22"/>
                <w:lang w:val="hu-HU"/>
              </w:rPr>
            </w:pPr>
            <w:r>
              <w:rPr>
                <w:i/>
                <w:szCs w:val="22"/>
                <w:lang w:val="hu-HU"/>
              </w:rPr>
              <w:t>Legionella pneumophila</w:t>
            </w:r>
          </w:p>
          <w:p w14:paraId="559FD5F6" w14:textId="77777777" w:rsidR="00653D32" w:rsidRDefault="00502314">
            <w:pPr>
              <w:tabs>
                <w:tab w:val="right" w:pos="8255"/>
                <w:tab w:val="right" w:pos="8289"/>
              </w:tabs>
              <w:rPr>
                <w:szCs w:val="22"/>
                <w:lang w:val="hu-HU"/>
              </w:rPr>
            </w:pPr>
            <w:r>
              <w:rPr>
                <w:i/>
                <w:iCs/>
                <w:szCs w:val="22"/>
                <w:lang w:val="hu-HU"/>
              </w:rPr>
              <w:t>Moraxella (Branhamella) catarrhalis*</w:t>
            </w:r>
          </w:p>
        </w:tc>
      </w:tr>
      <w:tr w:rsidR="00653D32" w14:paraId="68E34989" w14:textId="77777777">
        <w:tc>
          <w:tcPr>
            <w:tcW w:w="9214" w:type="dxa"/>
            <w:tcBorders>
              <w:top w:val="single" w:sz="6" w:space="0" w:color="auto"/>
              <w:left w:val="single" w:sz="6" w:space="0" w:color="auto"/>
              <w:bottom w:val="single" w:sz="6" w:space="0" w:color="auto"/>
              <w:right w:val="single" w:sz="6" w:space="0" w:color="auto"/>
            </w:tcBorders>
          </w:tcPr>
          <w:p w14:paraId="066EB401" w14:textId="77777777" w:rsidR="00653D32" w:rsidRDefault="00502314">
            <w:pPr>
              <w:tabs>
                <w:tab w:val="right" w:pos="8255"/>
                <w:tab w:val="right" w:pos="8289"/>
              </w:tabs>
              <w:rPr>
                <w:szCs w:val="22"/>
                <w:u w:val="single"/>
                <w:lang w:val="hu-HU"/>
              </w:rPr>
            </w:pPr>
            <w:r>
              <w:rPr>
                <w:szCs w:val="22"/>
                <w:u w:val="single"/>
                <w:lang w:val="hu-HU"/>
              </w:rPr>
              <w:t>Anaerob mikroorganizmusok</w:t>
            </w:r>
          </w:p>
          <w:p w14:paraId="5FFC30A6" w14:textId="77777777" w:rsidR="00653D32" w:rsidRDefault="00502314">
            <w:pPr>
              <w:tabs>
                <w:tab w:val="right" w:pos="8255"/>
                <w:tab w:val="right" w:pos="8289"/>
              </w:tabs>
              <w:rPr>
                <w:szCs w:val="22"/>
                <w:lang w:val="hu-HU"/>
              </w:rPr>
            </w:pPr>
            <w:r>
              <w:rPr>
                <w:i/>
                <w:iCs/>
                <w:szCs w:val="22"/>
                <w:lang w:val="hu-HU"/>
              </w:rPr>
              <w:t>Prevotella</w:t>
            </w:r>
            <w:r>
              <w:rPr>
                <w:szCs w:val="22"/>
                <w:lang w:val="hu-HU"/>
              </w:rPr>
              <w:t xml:space="preserve"> fajok</w:t>
            </w:r>
          </w:p>
        </w:tc>
      </w:tr>
      <w:tr w:rsidR="00653D32" w14:paraId="5422A70E" w14:textId="77777777">
        <w:tc>
          <w:tcPr>
            <w:tcW w:w="9214" w:type="dxa"/>
            <w:tcBorders>
              <w:top w:val="single" w:sz="6" w:space="0" w:color="auto"/>
              <w:left w:val="single" w:sz="6" w:space="0" w:color="auto"/>
              <w:bottom w:val="single" w:sz="6" w:space="0" w:color="auto"/>
              <w:right w:val="single" w:sz="6" w:space="0" w:color="auto"/>
            </w:tcBorders>
          </w:tcPr>
          <w:p w14:paraId="728908EC" w14:textId="77777777" w:rsidR="00653D32" w:rsidRDefault="00502314">
            <w:pPr>
              <w:tabs>
                <w:tab w:val="right" w:pos="8255"/>
                <w:tab w:val="right" w:pos="8289"/>
              </w:tabs>
              <w:rPr>
                <w:szCs w:val="22"/>
                <w:u w:val="single"/>
                <w:lang w:val="hu-HU"/>
              </w:rPr>
            </w:pPr>
            <w:r>
              <w:rPr>
                <w:szCs w:val="22"/>
                <w:u w:val="single"/>
                <w:lang w:val="hu-HU"/>
              </w:rPr>
              <w:t>„Egyéb” mikroorganizmusok</w:t>
            </w:r>
          </w:p>
          <w:p w14:paraId="0E28451E" w14:textId="77777777" w:rsidR="00653D32" w:rsidRDefault="00502314">
            <w:pPr>
              <w:tabs>
                <w:tab w:val="right" w:pos="8255"/>
                <w:tab w:val="right" w:pos="8289"/>
              </w:tabs>
              <w:rPr>
                <w:szCs w:val="22"/>
                <w:lang w:val="hu-HU"/>
              </w:rPr>
            </w:pPr>
            <w:r>
              <w:rPr>
                <w:i/>
                <w:iCs/>
                <w:szCs w:val="22"/>
                <w:lang w:val="hu-HU"/>
              </w:rPr>
              <w:t>Chlamydophila (Chlamydia) pneumoniae</w:t>
            </w:r>
            <w:r>
              <w:rPr>
                <w:szCs w:val="22"/>
                <w:lang w:val="hu-HU"/>
              </w:rPr>
              <w:t>*</w:t>
            </w:r>
          </w:p>
          <w:p w14:paraId="39F03B48" w14:textId="77777777" w:rsidR="00653D32" w:rsidRDefault="00502314">
            <w:pPr>
              <w:tabs>
                <w:tab w:val="right" w:pos="8255"/>
                <w:tab w:val="right" w:pos="8289"/>
              </w:tabs>
              <w:rPr>
                <w:i/>
                <w:iCs/>
                <w:szCs w:val="22"/>
                <w:lang w:val="hu-HU"/>
              </w:rPr>
            </w:pPr>
            <w:r>
              <w:rPr>
                <w:i/>
                <w:iCs/>
                <w:szCs w:val="22"/>
                <w:lang w:val="hu-HU"/>
              </w:rPr>
              <w:t>Coxiella burnetii</w:t>
            </w:r>
          </w:p>
          <w:p w14:paraId="501F1983" w14:textId="77777777" w:rsidR="00653D32" w:rsidRDefault="00502314">
            <w:pPr>
              <w:tabs>
                <w:tab w:val="right" w:pos="8255"/>
                <w:tab w:val="right" w:pos="8289"/>
              </w:tabs>
              <w:rPr>
                <w:szCs w:val="22"/>
                <w:u w:val="single"/>
                <w:lang w:val="hu-HU"/>
              </w:rPr>
            </w:pPr>
            <w:r>
              <w:rPr>
                <w:i/>
                <w:iCs/>
                <w:szCs w:val="22"/>
                <w:lang w:val="hu-HU"/>
              </w:rPr>
              <w:t>Mycoplasma pneumoniae</w:t>
            </w:r>
            <w:r>
              <w:rPr>
                <w:szCs w:val="22"/>
                <w:lang w:val="hu-HU"/>
              </w:rPr>
              <w:t>*</w:t>
            </w:r>
          </w:p>
        </w:tc>
      </w:tr>
      <w:tr w:rsidR="00653D32" w14:paraId="68BC1438" w14:textId="77777777">
        <w:tc>
          <w:tcPr>
            <w:tcW w:w="9214" w:type="dxa"/>
            <w:tcBorders>
              <w:top w:val="single" w:sz="6" w:space="0" w:color="auto"/>
              <w:left w:val="single" w:sz="6" w:space="0" w:color="auto"/>
              <w:bottom w:val="single" w:sz="6" w:space="0" w:color="auto"/>
              <w:right w:val="single" w:sz="6" w:space="0" w:color="auto"/>
            </w:tcBorders>
          </w:tcPr>
          <w:p w14:paraId="506FB693" w14:textId="77777777" w:rsidR="00653D32" w:rsidRDefault="00502314">
            <w:pPr>
              <w:tabs>
                <w:tab w:val="right" w:pos="8255"/>
                <w:tab w:val="right" w:pos="8289"/>
              </w:tabs>
              <w:rPr>
                <w:b/>
                <w:bCs/>
                <w:szCs w:val="22"/>
                <w:lang w:val="hu-HU"/>
              </w:rPr>
            </w:pPr>
            <w:r>
              <w:rPr>
                <w:b/>
                <w:szCs w:val="22"/>
                <w:lang w:val="hu-HU"/>
              </w:rPr>
              <w:t>Fajok</w:t>
            </w:r>
            <w:r>
              <w:rPr>
                <w:b/>
                <w:bCs/>
                <w:szCs w:val="22"/>
                <w:lang w:val="hu-HU"/>
              </w:rPr>
              <w:t xml:space="preserve">, melyeknél a szerzett rezisztencia </w:t>
            </w:r>
            <w:r>
              <w:rPr>
                <w:b/>
                <w:szCs w:val="22"/>
                <w:lang w:val="hu-HU"/>
              </w:rPr>
              <w:t>problémát okozhat</w:t>
            </w:r>
          </w:p>
        </w:tc>
      </w:tr>
      <w:tr w:rsidR="00653D32" w14:paraId="4CD5F735" w14:textId="77777777">
        <w:tc>
          <w:tcPr>
            <w:tcW w:w="9214" w:type="dxa"/>
            <w:tcBorders>
              <w:top w:val="single" w:sz="6" w:space="0" w:color="auto"/>
              <w:left w:val="single" w:sz="6" w:space="0" w:color="auto"/>
              <w:bottom w:val="single" w:sz="6" w:space="0" w:color="auto"/>
              <w:right w:val="single" w:sz="6" w:space="0" w:color="auto"/>
            </w:tcBorders>
          </w:tcPr>
          <w:p w14:paraId="12609AFD" w14:textId="77777777" w:rsidR="00653D32" w:rsidRDefault="00502314">
            <w:pPr>
              <w:tabs>
                <w:tab w:val="right" w:pos="8255"/>
                <w:tab w:val="right" w:pos="8289"/>
              </w:tabs>
              <w:rPr>
                <w:iCs/>
                <w:szCs w:val="22"/>
                <w:u w:val="single"/>
                <w:lang w:val="hu-HU"/>
              </w:rPr>
            </w:pPr>
            <w:r>
              <w:rPr>
                <w:iCs/>
                <w:szCs w:val="22"/>
                <w:u w:val="single"/>
                <w:lang w:val="hu-HU"/>
              </w:rPr>
              <w:t>Aerob Gram-pozitív mikroorganizmusok</w:t>
            </w:r>
          </w:p>
          <w:p w14:paraId="1F268BF1" w14:textId="77777777" w:rsidR="00653D32" w:rsidRDefault="00502314">
            <w:pPr>
              <w:tabs>
                <w:tab w:val="right" w:pos="8255"/>
                <w:tab w:val="right" w:pos="8289"/>
              </w:tabs>
              <w:rPr>
                <w:szCs w:val="22"/>
                <w:lang w:val="hu-HU"/>
              </w:rPr>
            </w:pPr>
            <w:r>
              <w:rPr>
                <w:i/>
                <w:iCs/>
                <w:szCs w:val="22"/>
                <w:lang w:val="hu-HU"/>
              </w:rPr>
              <w:t>Enterococcus faecalis</w:t>
            </w:r>
            <w:r>
              <w:rPr>
                <w:szCs w:val="22"/>
                <w:lang w:val="hu-HU"/>
              </w:rPr>
              <w:t>*</w:t>
            </w:r>
          </w:p>
          <w:p w14:paraId="24D36096" w14:textId="77777777" w:rsidR="00653D32" w:rsidRDefault="00502314">
            <w:pPr>
              <w:tabs>
                <w:tab w:val="right" w:pos="8255"/>
                <w:tab w:val="right" w:pos="8289"/>
              </w:tabs>
              <w:rPr>
                <w:i/>
                <w:szCs w:val="22"/>
                <w:lang w:val="hu-HU"/>
              </w:rPr>
            </w:pPr>
            <w:r>
              <w:rPr>
                <w:i/>
                <w:szCs w:val="22"/>
                <w:lang w:val="hu-HU"/>
              </w:rPr>
              <w:t>Enterococcus faecium*</w:t>
            </w:r>
          </w:p>
          <w:p w14:paraId="5C2D31A2" w14:textId="77777777" w:rsidR="00653D32" w:rsidRDefault="00653D32">
            <w:pPr>
              <w:tabs>
                <w:tab w:val="right" w:pos="8255"/>
                <w:tab w:val="right" w:pos="8289"/>
              </w:tabs>
              <w:rPr>
                <w:szCs w:val="22"/>
                <w:lang w:val="hu-HU"/>
              </w:rPr>
            </w:pPr>
          </w:p>
        </w:tc>
      </w:tr>
      <w:tr w:rsidR="00653D32" w14:paraId="1A1D152A" w14:textId="77777777">
        <w:tc>
          <w:tcPr>
            <w:tcW w:w="9214" w:type="dxa"/>
            <w:tcBorders>
              <w:top w:val="single" w:sz="6" w:space="0" w:color="auto"/>
              <w:left w:val="single" w:sz="6" w:space="0" w:color="auto"/>
              <w:bottom w:val="single" w:sz="6" w:space="0" w:color="auto"/>
              <w:right w:val="single" w:sz="6" w:space="0" w:color="auto"/>
            </w:tcBorders>
          </w:tcPr>
          <w:p w14:paraId="4779808C" w14:textId="77777777" w:rsidR="00653D32" w:rsidRDefault="00502314">
            <w:pPr>
              <w:tabs>
                <w:tab w:val="right" w:pos="8255"/>
                <w:tab w:val="right" w:pos="8289"/>
              </w:tabs>
              <w:rPr>
                <w:iCs/>
                <w:szCs w:val="22"/>
                <w:u w:val="single"/>
                <w:lang w:val="hu-HU"/>
              </w:rPr>
            </w:pPr>
            <w:r>
              <w:rPr>
                <w:iCs/>
                <w:szCs w:val="22"/>
                <w:u w:val="single"/>
                <w:lang w:val="hu-HU"/>
              </w:rPr>
              <w:lastRenderedPageBreak/>
              <w:t>Aerob Gram-negatív mikroorganizmusok</w:t>
            </w:r>
          </w:p>
          <w:p w14:paraId="1B4561F7" w14:textId="77777777" w:rsidR="00653D32" w:rsidRDefault="00502314">
            <w:pPr>
              <w:tabs>
                <w:tab w:val="right" w:pos="8255"/>
                <w:tab w:val="right" w:pos="8289"/>
              </w:tabs>
              <w:rPr>
                <w:i/>
                <w:iCs/>
                <w:szCs w:val="22"/>
                <w:lang w:val="hu-HU"/>
              </w:rPr>
            </w:pPr>
            <w:r>
              <w:rPr>
                <w:i/>
                <w:iCs/>
                <w:szCs w:val="22"/>
                <w:lang w:val="hu-HU"/>
              </w:rPr>
              <w:t>Enterobacter cloacae*</w:t>
            </w:r>
          </w:p>
          <w:p w14:paraId="4FCBF1CF" w14:textId="77777777" w:rsidR="00653D32" w:rsidRDefault="00502314">
            <w:pPr>
              <w:tabs>
                <w:tab w:val="right" w:pos="8255"/>
                <w:tab w:val="right" w:pos="8289"/>
              </w:tabs>
              <w:rPr>
                <w:i/>
                <w:szCs w:val="22"/>
                <w:lang w:val="hu-HU"/>
              </w:rPr>
            </w:pPr>
            <w:r>
              <w:rPr>
                <w:i/>
                <w:szCs w:val="22"/>
                <w:lang w:val="hu-HU"/>
              </w:rPr>
              <w:t>Escherichia coli*</w:t>
            </w:r>
            <w:r>
              <w:rPr>
                <w:szCs w:val="22"/>
                <w:vertAlign w:val="superscript"/>
                <w:lang w:val="hu-HU"/>
              </w:rPr>
              <w:t>#</w:t>
            </w:r>
          </w:p>
          <w:p w14:paraId="5E086B10" w14:textId="77777777" w:rsidR="00653D32" w:rsidRDefault="00502314">
            <w:pPr>
              <w:tabs>
                <w:tab w:val="right" w:pos="8255"/>
                <w:tab w:val="right" w:pos="8289"/>
              </w:tabs>
              <w:rPr>
                <w:i/>
                <w:szCs w:val="22"/>
                <w:lang w:val="hu-HU"/>
              </w:rPr>
            </w:pPr>
            <w:r>
              <w:rPr>
                <w:i/>
                <w:szCs w:val="22"/>
                <w:lang w:val="hu-HU"/>
              </w:rPr>
              <w:t>Klebsiella oxytoca</w:t>
            </w:r>
          </w:p>
          <w:p w14:paraId="04002EFD" w14:textId="77777777" w:rsidR="00653D32" w:rsidRDefault="00502314">
            <w:pPr>
              <w:tabs>
                <w:tab w:val="right" w:pos="8255"/>
                <w:tab w:val="right" w:pos="8289"/>
              </w:tabs>
              <w:rPr>
                <w:szCs w:val="22"/>
                <w:vertAlign w:val="superscript"/>
                <w:lang w:val="hu-HU"/>
              </w:rPr>
            </w:pPr>
            <w:r>
              <w:rPr>
                <w:i/>
                <w:szCs w:val="22"/>
                <w:lang w:val="hu-HU"/>
              </w:rPr>
              <w:t>Klebsiella pneumoniae</w:t>
            </w:r>
            <w:r>
              <w:rPr>
                <w:szCs w:val="22"/>
                <w:lang w:val="hu-HU"/>
              </w:rPr>
              <w:t>*</w:t>
            </w:r>
            <w:r>
              <w:rPr>
                <w:szCs w:val="22"/>
                <w:vertAlign w:val="superscript"/>
                <w:lang w:val="hu-HU"/>
              </w:rPr>
              <w:t>#</w:t>
            </w:r>
          </w:p>
          <w:p w14:paraId="16176226" w14:textId="77777777" w:rsidR="00653D32" w:rsidRDefault="00502314">
            <w:pPr>
              <w:tabs>
                <w:tab w:val="right" w:pos="8255"/>
                <w:tab w:val="right" w:pos="8289"/>
              </w:tabs>
              <w:rPr>
                <w:szCs w:val="22"/>
                <w:lang w:val="hu-HU"/>
              </w:rPr>
            </w:pPr>
            <w:r>
              <w:rPr>
                <w:i/>
                <w:szCs w:val="22"/>
                <w:lang w:val="hu-HU"/>
              </w:rPr>
              <w:t>Proteus mirabilis*</w:t>
            </w:r>
          </w:p>
        </w:tc>
      </w:tr>
      <w:tr w:rsidR="00653D32" w14:paraId="0B91F338" w14:textId="77777777">
        <w:tc>
          <w:tcPr>
            <w:tcW w:w="9214" w:type="dxa"/>
            <w:tcBorders>
              <w:top w:val="single" w:sz="6" w:space="0" w:color="auto"/>
              <w:left w:val="single" w:sz="6" w:space="0" w:color="auto"/>
              <w:bottom w:val="single" w:sz="6" w:space="0" w:color="auto"/>
              <w:right w:val="single" w:sz="6" w:space="0" w:color="auto"/>
            </w:tcBorders>
          </w:tcPr>
          <w:p w14:paraId="68C19910" w14:textId="77777777" w:rsidR="00653D32" w:rsidRDefault="00502314">
            <w:pPr>
              <w:tabs>
                <w:tab w:val="right" w:pos="8255"/>
                <w:tab w:val="right" w:pos="8289"/>
              </w:tabs>
              <w:rPr>
                <w:bCs/>
                <w:szCs w:val="22"/>
                <w:u w:val="single"/>
                <w:lang w:val="hu-HU"/>
              </w:rPr>
            </w:pPr>
            <w:r>
              <w:rPr>
                <w:bCs/>
                <w:szCs w:val="22"/>
                <w:u w:val="single"/>
                <w:lang w:val="hu-HU"/>
              </w:rPr>
              <w:t>Anaerob mikroorganizmusok</w:t>
            </w:r>
          </w:p>
          <w:p w14:paraId="6619EC7A" w14:textId="77777777" w:rsidR="00653D32" w:rsidRDefault="00502314">
            <w:pPr>
              <w:tabs>
                <w:tab w:val="right" w:pos="8255"/>
                <w:tab w:val="right" w:pos="8289"/>
              </w:tabs>
              <w:rPr>
                <w:i/>
                <w:iCs/>
                <w:szCs w:val="22"/>
                <w:lang w:val="hu-HU"/>
              </w:rPr>
            </w:pPr>
            <w:r>
              <w:rPr>
                <w:i/>
                <w:iCs/>
                <w:szCs w:val="22"/>
                <w:lang w:val="hu-HU"/>
              </w:rPr>
              <w:t>Bacteroides fragilis</w:t>
            </w:r>
            <w:r>
              <w:rPr>
                <w:i/>
                <w:szCs w:val="22"/>
                <w:lang w:val="hu-HU"/>
              </w:rPr>
              <w:t>*</w:t>
            </w:r>
          </w:p>
        </w:tc>
      </w:tr>
      <w:tr w:rsidR="00653D32" w14:paraId="35417B58" w14:textId="77777777">
        <w:tc>
          <w:tcPr>
            <w:tcW w:w="9214" w:type="dxa"/>
            <w:tcBorders>
              <w:top w:val="single" w:sz="6" w:space="0" w:color="auto"/>
              <w:left w:val="single" w:sz="6" w:space="0" w:color="auto"/>
              <w:bottom w:val="single" w:sz="6" w:space="0" w:color="auto"/>
              <w:right w:val="single" w:sz="6" w:space="0" w:color="auto"/>
            </w:tcBorders>
          </w:tcPr>
          <w:p w14:paraId="792C5839" w14:textId="77777777" w:rsidR="00653D32" w:rsidRDefault="00502314">
            <w:pPr>
              <w:tabs>
                <w:tab w:val="right" w:pos="8255"/>
                <w:tab w:val="right" w:pos="8289"/>
              </w:tabs>
              <w:rPr>
                <w:b/>
                <w:bCs/>
                <w:szCs w:val="22"/>
                <w:lang w:val="hu-HU"/>
              </w:rPr>
            </w:pPr>
            <w:r>
              <w:rPr>
                <w:b/>
                <w:bCs/>
                <w:szCs w:val="22"/>
                <w:lang w:val="hu-HU"/>
              </w:rPr>
              <w:t>Eredendően rezisztens mikroorganizmusok</w:t>
            </w:r>
          </w:p>
        </w:tc>
      </w:tr>
      <w:tr w:rsidR="00653D32" w14:paraId="70370173" w14:textId="77777777">
        <w:tc>
          <w:tcPr>
            <w:tcW w:w="9214" w:type="dxa"/>
            <w:tcBorders>
              <w:top w:val="single" w:sz="6" w:space="0" w:color="auto"/>
              <w:left w:val="single" w:sz="6" w:space="0" w:color="auto"/>
              <w:bottom w:val="single" w:sz="6" w:space="0" w:color="auto"/>
              <w:right w:val="single" w:sz="6" w:space="0" w:color="auto"/>
            </w:tcBorders>
          </w:tcPr>
          <w:p w14:paraId="2C25A388" w14:textId="77777777" w:rsidR="00653D32" w:rsidRDefault="00502314">
            <w:pPr>
              <w:tabs>
                <w:tab w:val="right" w:pos="8255"/>
                <w:tab w:val="right" w:pos="8289"/>
              </w:tabs>
              <w:rPr>
                <w:szCs w:val="22"/>
                <w:u w:val="single"/>
                <w:lang w:val="hu-HU"/>
              </w:rPr>
            </w:pPr>
            <w:r>
              <w:rPr>
                <w:szCs w:val="22"/>
                <w:u w:val="single"/>
                <w:lang w:val="hu-HU"/>
              </w:rPr>
              <w:t>Aerob Gram-negatív mikroorganizmusok</w:t>
            </w:r>
          </w:p>
          <w:p w14:paraId="3AFF539A" w14:textId="77777777" w:rsidR="00653D32" w:rsidRDefault="00502314">
            <w:pPr>
              <w:tabs>
                <w:tab w:val="right" w:pos="8255"/>
                <w:tab w:val="right" w:pos="8289"/>
              </w:tabs>
              <w:rPr>
                <w:i/>
                <w:szCs w:val="22"/>
                <w:u w:val="single"/>
                <w:lang w:val="hu-HU"/>
              </w:rPr>
            </w:pPr>
            <w:r>
              <w:rPr>
                <w:i/>
                <w:szCs w:val="22"/>
                <w:lang w:val="hu-HU"/>
              </w:rPr>
              <w:t>Pseudomonas aeruginosa</w:t>
            </w:r>
          </w:p>
        </w:tc>
      </w:tr>
      <w:tr w:rsidR="00653D32" w14:paraId="662C6139" w14:textId="77777777">
        <w:tc>
          <w:tcPr>
            <w:tcW w:w="9214" w:type="dxa"/>
            <w:tcBorders>
              <w:top w:val="single" w:sz="6" w:space="0" w:color="auto"/>
              <w:left w:val="single" w:sz="6" w:space="0" w:color="auto"/>
              <w:bottom w:val="single" w:sz="6" w:space="0" w:color="auto"/>
              <w:right w:val="single" w:sz="6" w:space="0" w:color="auto"/>
            </w:tcBorders>
          </w:tcPr>
          <w:p w14:paraId="093F9610" w14:textId="77777777" w:rsidR="00653D32" w:rsidRDefault="00502314">
            <w:pPr>
              <w:tabs>
                <w:tab w:val="right" w:pos="8255"/>
                <w:tab w:val="right" w:pos="8289"/>
              </w:tabs>
              <w:rPr>
                <w:szCs w:val="22"/>
                <w:lang w:val="hu-HU"/>
              </w:rPr>
            </w:pPr>
            <w:r>
              <w:rPr>
                <w:szCs w:val="22"/>
                <w:lang w:val="hu-HU"/>
              </w:rPr>
              <w:t>* A hatékonyságot klinikai vizsgálatokban kielégítő módon bizonyították.</w:t>
            </w:r>
          </w:p>
          <w:p w14:paraId="676C8BE6" w14:textId="77777777" w:rsidR="00653D32" w:rsidRDefault="00502314">
            <w:pPr>
              <w:tabs>
                <w:tab w:val="right" w:pos="8255"/>
                <w:tab w:val="right" w:pos="8289"/>
              </w:tabs>
              <w:rPr>
                <w:szCs w:val="22"/>
                <w:lang w:val="hu-HU"/>
              </w:rPr>
            </w:pPr>
            <w:r>
              <w:rPr>
                <w:szCs w:val="22"/>
                <w:vertAlign w:val="superscript"/>
                <w:lang w:val="hu-HU"/>
              </w:rPr>
              <w:t>+</w:t>
            </w:r>
            <w:r>
              <w:rPr>
                <w:szCs w:val="22"/>
                <w:lang w:val="hu-HU"/>
              </w:rPr>
              <w:t xml:space="preserve"> A meticillin-rezisztens </w:t>
            </w:r>
            <w:r>
              <w:rPr>
                <w:i/>
                <w:szCs w:val="22"/>
                <w:lang w:val="hu-HU"/>
              </w:rPr>
              <w:t>S. aureus</w:t>
            </w:r>
            <w:r>
              <w:rPr>
                <w:szCs w:val="22"/>
                <w:lang w:val="hu-HU"/>
              </w:rPr>
              <w:t xml:space="preserve"> nagy valószínűséggel rezisztens a fluorokinolonokkal szemben is.</w:t>
            </w:r>
          </w:p>
          <w:p w14:paraId="4A3FD736" w14:textId="77777777" w:rsidR="00653D32" w:rsidRDefault="00502314">
            <w:pPr>
              <w:tabs>
                <w:tab w:val="right" w:pos="8255"/>
                <w:tab w:val="right" w:pos="8289"/>
              </w:tabs>
              <w:rPr>
                <w:szCs w:val="22"/>
                <w:lang w:val="hu-HU"/>
              </w:rPr>
            </w:pPr>
            <w:r>
              <w:rPr>
                <w:szCs w:val="22"/>
                <w:lang w:val="hu-HU"/>
              </w:rPr>
              <w:t xml:space="preserve">A meticillin-rezisztens </w:t>
            </w:r>
            <w:r>
              <w:rPr>
                <w:i/>
                <w:szCs w:val="22"/>
                <w:lang w:val="hu-HU"/>
              </w:rPr>
              <w:t>S. aureus</w:t>
            </w:r>
            <w:r>
              <w:rPr>
                <w:szCs w:val="22"/>
                <w:lang w:val="hu-HU"/>
              </w:rPr>
              <w:t xml:space="preserve"> esetében 50% feletti arányban fordult elő moxifloxacin-rezisztencia.</w:t>
            </w:r>
          </w:p>
          <w:p w14:paraId="0E301899" w14:textId="77777777" w:rsidR="00653D32" w:rsidRDefault="00502314">
            <w:pPr>
              <w:tabs>
                <w:tab w:val="right" w:pos="8255"/>
                <w:tab w:val="right" w:pos="8289"/>
              </w:tabs>
              <w:rPr>
                <w:szCs w:val="22"/>
                <w:u w:val="single"/>
                <w:lang w:val="hu-HU"/>
              </w:rPr>
            </w:pPr>
            <w:r>
              <w:rPr>
                <w:szCs w:val="22"/>
                <w:vertAlign w:val="superscript"/>
                <w:lang w:val="hu-HU"/>
              </w:rPr>
              <w:t xml:space="preserve"># </w:t>
            </w:r>
            <w:r>
              <w:rPr>
                <w:szCs w:val="22"/>
                <w:lang w:val="hu-HU"/>
              </w:rPr>
              <w:t>ESBL-t termelő törzsek általában szintén rezisztensek a fluorokinolonokra is.</w:t>
            </w:r>
          </w:p>
        </w:tc>
      </w:tr>
    </w:tbl>
    <w:p w14:paraId="4F9AB806" w14:textId="77777777" w:rsidR="00653D32" w:rsidRDefault="00653D32">
      <w:pPr>
        <w:pStyle w:val="Cmsor5"/>
        <w:keepNext w:val="0"/>
        <w:tabs>
          <w:tab w:val="left" w:pos="567"/>
        </w:tabs>
        <w:rPr>
          <w:b w:val="0"/>
          <w:sz w:val="22"/>
          <w:szCs w:val="22"/>
          <w:u w:val="none"/>
        </w:rPr>
      </w:pPr>
    </w:p>
    <w:p w14:paraId="7D92A2BB" w14:textId="77777777" w:rsidR="00653D32" w:rsidRDefault="00502314">
      <w:pPr>
        <w:tabs>
          <w:tab w:val="left" w:pos="567"/>
        </w:tabs>
        <w:rPr>
          <w:b/>
          <w:szCs w:val="22"/>
          <w:lang w:val="hu-HU"/>
        </w:rPr>
      </w:pPr>
      <w:r>
        <w:rPr>
          <w:b/>
          <w:szCs w:val="22"/>
          <w:lang w:val="hu-HU"/>
        </w:rPr>
        <w:t>5.2</w:t>
      </w:r>
      <w:r>
        <w:rPr>
          <w:b/>
          <w:szCs w:val="22"/>
          <w:lang w:val="hu-HU"/>
        </w:rPr>
        <w:tab/>
        <w:t>Farmakokinetikai tulajdonságok</w:t>
      </w:r>
    </w:p>
    <w:p w14:paraId="7D79D6FE" w14:textId="77777777" w:rsidR="00653D32" w:rsidRDefault="00653D32">
      <w:pPr>
        <w:pStyle w:val="Cmsor4"/>
        <w:keepNext w:val="0"/>
        <w:tabs>
          <w:tab w:val="left" w:pos="567"/>
        </w:tabs>
        <w:rPr>
          <w:sz w:val="22"/>
          <w:szCs w:val="22"/>
        </w:rPr>
      </w:pPr>
    </w:p>
    <w:p w14:paraId="4639C03D" w14:textId="77777777" w:rsidR="00653D32" w:rsidRDefault="00502314">
      <w:pPr>
        <w:pStyle w:val="Cmsor4"/>
        <w:keepNext w:val="0"/>
        <w:tabs>
          <w:tab w:val="left" w:pos="567"/>
        </w:tabs>
        <w:rPr>
          <w:sz w:val="22"/>
          <w:szCs w:val="22"/>
          <w:u w:val="single"/>
        </w:rPr>
      </w:pPr>
      <w:r>
        <w:rPr>
          <w:sz w:val="22"/>
          <w:szCs w:val="22"/>
          <w:u w:val="single"/>
        </w:rPr>
        <w:t>Felszívódás és biohasznosulás</w:t>
      </w:r>
    </w:p>
    <w:p w14:paraId="3090C8A4" w14:textId="77777777" w:rsidR="00653D32" w:rsidRDefault="00502314">
      <w:pPr>
        <w:tabs>
          <w:tab w:val="left" w:pos="567"/>
        </w:tabs>
        <w:rPr>
          <w:szCs w:val="22"/>
          <w:lang w:val="hu-HU"/>
        </w:rPr>
      </w:pPr>
      <w:r>
        <w:rPr>
          <w:szCs w:val="22"/>
          <w:lang w:val="hu-HU"/>
        </w:rPr>
        <w:t>A 400 mg-os dózis egyszeri, 1 órás infúziója után, a moxifloxacin csúcskoncentrációja a plazmában kb. 4,1 mg/l volt az infúzió befejezésekor. Ez mintegy 26%</w:t>
      </w:r>
      <w:r>
        <w:rPr>
          <w:szCs w:val="22"/>
          <w:lang w:val="hu-HU"/>
        </w:rPr>
        <w:noBreakHyphen/>
        <w:t xml:space="preserve">kal magasabb a </w:t>
      </w:r>
      <w:r>
        <w:rPr>
          <w:i/>
          <w:szCs w:val="22"/>
          <w:lang w:val="hu-HU"/>
        </w:rPr>
        <w:t>per os</w:t>
      </w:r>
      <w:r>
        <w:rPr>
          <w:szCs w:val="22"/>
          <w:lang w:val="hu-HU"/>
        </w:rPr>
        <w:t xml:space="preserve"> alkalmazás esetén mért értéknél (3,1 mg/l). Az AUC-érték közelítően 39 mg×óra/l volt intravénás beadás után, és ez alig magasabb a </w:t>
      </w:r>
      <w:r>
        <w:rPr>
          <w:i/>
          <w:szCs w:val="22"/>
          <w:lang w:val="hu-HU"/>
        </w:rPr>
        <w:t>per os</w:t>
      </w:r>
      <w:r>
        <w:rPr>
          <w:szCs w:val="22"/>
          <w:lang w:val="hu-HU"/>
        </w:rPr>
        <w:t xml:space="preserve"> alkalmazást követő (35 mg×óra/l) értékhez képest – a 91%</w:t>
      </w:r>
      <w:r>
        <w:rPr>
          <w:szCs w:val="22"/>
          <w:lang w:val="hu-HU"/>
        </w:rPr>
        <w:noBreakHyphen/>
        <w:t>os abszolút biohasznosulásnak megfelelően.</w:t>
      </w:r>
    </w:p>
    <w:p w14:paraId="3D6E054F" w14:textId="77777777" w:rsidR="00653D32" w:rsidRDefault="00653D32">
      <w:pPr>
        <w:tabs>
          <w:tab w:val="left" w:pos="567"/>
        </w:tabs>
        <w:rPr>
          <w:szCs w:val="22"/>
          <w:lang w:val="hu-HU"/>
        </w:rPr>
      </w:pPr>
    </w:p>
    <w:p w14:paraId="40CE7759" w14:textId="77777777" w:rsidR="00653D32" w:rsidRDefault="00502314">
      <w:pPr>
        <w:tabs>
          <w:tab w:val="left" w:pos="567"/>
        </w:tabs>
        <w:rPr>
          <w:szCs w:val="22"/>
          <w:lang w:val="hu-HU"/>
        </w:rPr>
      </w:pPr>
      <w:r>
        <w:rPr>
          <w:szCs w:val="22"/>
          <w:lang w:val="hu-HU"/>
        </w:rPr>
        <w:t>Nincs szükség az intravénás moxifloxacin dózisának módosítására a betegek korától vagy nemétől függően.</w:t>
      </w:r>
    </w:p>
    <w:p w14:paraId="4BC56E64" w14:textId="77777777" w:rsidR="00653D32" w:rsidRDefault="00653D32">
      <w:pPr>
        <w:tabs>
          <w:tab w:val="left" w:pos="567"/>
        </w:tabs>
        <w:rPr>
          <w:szCs w:val="22"/>
          <w:lang w:val="hu-HU"/>
        </w:rPr>
      </w:pPr>
    </w:p>
    <w:p w14:paraId="7028E318" w14:textId="77777777" w:rsidR="00653D32" w:rsidRDefault="00502314">
      <w:pPr>
        <w:pStyle w:val="Szvegtrzsbehzssal"/>
        <w:tabs>
          <w:tab w:val="left" w:pos="567"/>
        </w:tabs>
        <w:spacing w:after="0"/>
        <w:ind w:left="0"/>
        <w:rPr>
          <w:szCs w:val="22"/>
          <w:lang w:val="hu-HU"/>
        </w:rPr>
      </w:pPr>
      <w:r>
        <w:rPr>
          <w:szCs w:val="22"/>
          <w:lang w:val="hu-HU"/>
        </w:rPr>
        <w:t>A farmakokinetikai paraméterek lineárisan változnak 50 mg</w:t>
      </w:r>
      <w:r>
        <w:rPr>
          <w:szCs w:val="22"/>
          <w:lang w:val="hu-HU"/>
        </w:rPr>
        <w:noBreakHyphen/>
        <w:t xml:space="preserve">1200 mg egyszeri </w:t>
      </w:r>
      <w:r>
        <w:rPr>
          <w:i/>
          <w:szCs w:val="22"/>
          <w:lang w:val="hu-HU"/>
        </w:rPr>
        <w:t>per os</w:t>
      </w:r>
      <w:r>
        <w:rPr>
          <w:szCs w:val="22"/>
          <w:lang w:val="hu-HU"/>
        </w:rPr>
        <w:t xml:space="preserve"> alkalmazás után, valamint egyszeri vagy 10 napon át adott napi egyszeri, legfeljebb 600 mg-os intravénás adagig.</w:t>
      </w:r>
    </w:p>
    <w:p w14:paraId="6B9CF7B8" w14:textId="77777777" w:rsidR="00653D32" w:rsidRDefault="00653D32">
      <w:pPr>
        <w:pStyle w:val="Szvegtrzsbehzssal"/>
        <w:tabs>
          <w:tab w:val="left" w:pos="567"/>
        </w:tabs>
        <w:spacing w:after="0"/>
        <w:ind w:left="0"/>
        <w:rPr>
          <w:szCs w:val="22"/>
          <w:lang w:val="hu-HU"/>
        </w:rPr>
      </w:pPr>
    </w:p>
    <w:p w14:paraId="7FD82C2D" w14:textId="77777777" w:rsidR="00653D32" w:rsidRDefault="00502314">
      <w:pPr>
        <w:pStyle w:val="Szvegtrzsbehzssal"/>
        <w:tabs>
          <w:tab w:val="left" w:pos="567"/>
        </w:tabs>
        <w:spacing w:after="0"/>
        <w:ind w:left="0"/>
        <w:rPr>
          <w:szCs w:val="22"/>
          <w:u w:val="single"/>
          <w:lang w:val="hu-HU"/>
        </w:rPr>
      </w:pPr>
      <w:r>
        <w:rPr>
          <w:szCs w:val="22"/>
          <w:u w:val="single"/>
          <w:lang w:val="hu-HU"/>
        </w:rPr>
        <w:t>Eloszlás</w:t>
      </w:r>
    </w:p>
    <w:p w14:paraId="2323AE90" w14:textId="77777777" w:rsidR="00653D32" w:rsidRDefault="00502314">
      <w:pPr>
        <w:tabs>
          <w:tab w:val="left" w:pos="567"/>
        </w:tabs>
        <w:rPr>
          <w:szCs w:val="22"/>
          <w:lang w:val="hu-HU"/>
        </w:rPr>
      </w:pPr>
      <w:r>
        <w:rPr>
          <w:szCs w:val="22"/>
          <w:lang w:val="hu-HU"/>
        </w:rPr>
        <w:t>A moxifloxacin gyorsan eloszlik az extravascularis térben. A dinamikus egyensúlyi állapotban mért megoszlási térfogat (V</w:t>
      </w:r>
      <w:r>
        <w:rPr>
          <w:szCs w:val="22"/>
          <w:vertAlign w:val="subscript"/>
          <w:lang w:val="hu-HU"/>
        </w:rPr>
        <w:t>ss</w:t>
      </w:r>
      <w:r>
        <w:rPr>
          <w:szCs w:val="22"/>
          <w:lang w:val="hu-HU"/>
        </w:rPr>
        <w:t xml:space="preserve">) mintegy 2 l/ttkg. </w:t>
      </w:r>
      <w:r>
        <w:rPr>
          <w:i/>
          <w:szCs w:val="22"/>
          <w:lang w:val="hu-HU"/>
        </w:rPr>
        <w:t xml:space="preserve">In vitro </w:t>
      </w:r>
      <w:r>
        <w:rPr>
          <w:szCs w:val="22"/>
          <w:lang w:val="hu-HU"/>
        </w:rPr>
        <w:t xml:space="preserve">és </w:t>
      </w:r>
      <w:r>
        <w:rPr>
          <w:i/>
          <w:szCs w:val="22"/>
          <w:lang w:val="hu-HU"/>
        </w:rPr>
        <w:t>ex vivo</w:t>
      </w:r>
      <w:r>
        <w:rPr>
          <w:szCs w:val="22"/>
          <w:lang w:val="hu-HU"/>
        </w:rPr>
        <w:t xml:space="preserve"> vizsgálatokban a fehérjekötődés mértéke a koncentrációtól függetlenül kb. 40</w:t>
      </w:r>
      <w:r>
        <w:rPr>
          <w:szCs w:val="22"/>
          <w:lang w:val="hu-HU"/>
        </w:rPr>
        <w:noBreakHyphen/>
        <w:t>42% volt. A moxifloxacin elsősorban a szérumalbuminhoz kötődik.</w:t>
      </w:r>
    </w:p>
    <w:p w14:paraId="2AEC99AA" w14:textId="77777777" w:rsidR="00653D32" w:rsidRDefault="00653D32">
      <w:pPr>
        <w:tabs>
          <w:tab w:val="left" w:pos="567"/>
          <w:tab w:val="left" w:pos="1063"/>
          <w:tab w:val="left" w:pos="9284"/>
        </w:tabs>
        <w:rPr>
          <w:szCs w:val="22"/>
          <w:lang w:val="hu-HU"/>
        </w:rPr>
      </w:pPr>
    </w:p>
    <w:p w14:paraId="51CFCFF2" w14:textId="77777777" w:rsidR="00653D32" w:rsidRDefault="00502314">
      <w:pPr>
        <w:pStyle w:val="Szvegtrzsbehzssal3"/>
        <w:tabs>
          <w:tab w:val="left" w:pos="567"/>
        </w:tabs>
        <w:spacing w:after="0"/>
        <w:ind w:left="0"/>
        <w:rPr>
          <w:sz w:val="22"/>
          <w:szCs w:val="22"/>
          <w:lang w:val="hu-HU"/>
        </w:rPr>
      </w:pPr>
      <w:r>
        <w:rPr>
          <w:sz w:val="22"/>
          <w:szCs w:val="22"/>
          <w:lang w:val="hu-HU"/>
        </w:rPr>
        <w:t>Az 5,4 mg/kg</w:t>
      </w:r>
      <w:r>
        <w:rPr>
          <w:sz w:val="22"/>
          <w:szCs w:val="22"/>
          <w:lang w:val="hu-HU"/>
        </w:rPr>
        <w:noBreakHyphen/>
        <w:t xml:space="preserve">os, illetve 20,7 mg/l es (geometriai átlag) maximális koncentrációk a bronchus nyálkahártyájában, illetve az epithelium nyákrétegében alakultak ki, 2,2 órával a </w:t>
      </w:r>
      <w:r>
        <w:rPr>
          <w:i/>
          <w:sz w:val="22"/>
          <w:szCs w:val="22"/>
          <w:lang w:val="hu-HU"/>
        </w:rPr>
        <w:t>per os</w:t>
      </w:r>
      <w:r>
        <w:rPr>
          <w:sz w:val="22"/>
          <w:szCs w:val="22"/>
          <w:lang w:val="hu-HU"/>
        </w:rPr>
        <w:t xml:space="preserve"> adagolás után. A megfelelő csúcskoncentráció az alveoláris makrofágokban elérte az 56,7 mg/kg</w:t>
      </w:r>
      <w:r>
        <w:rPr>
          <w:sz w:val="22"/>
          <w:szCs w:val="22"/>
          <w:lang w:val="hu-HU"/>
        </w:rPr>
        <w:noBreakHyphen/>
        <w:t>ot. Tíz órával az intravénás adagolás után a hólyagfolyadékban 1,75 mg/l koncentrációt észleltek. Az interstitialis folyadékban a szabad koncentráció-idő profil hasonló a plazmához, ahol 1,0 mg/l szabad csúcskoncentrációk (mértani középérték) voltak mérhetők mintegy 1,8 órával az intravénás adagolást követően.</w:t>
      </w:r>
    </w:p>
    <w:p w14:paraId="2C6951CE" w14:textId="77777777" w:rsidR="00653D32" w:rsidRDefault="00653D32">
      <w:pPr>
        <w:tabs>
          <w:tab w:val="left" w:pos="567"/>
        </w:tabs>
        <w:rPr>
          <w:szCs w:val="22"/>
          <w:lang w:val="hu-HU"/>
        </w:rPr>
      </w:pPr>
    </w:p>
    <w:p w14:paraId="5F740BF9" w14:textId="77777777" w:rsidR="00653D32" w:rsidRDefault="00502314">
      <w:pPr>
        <w:tabs>
          <w:tab w:val="left" w:pos="567"/>
        </w:tabs>
        <w:rPr>
          <w:szCs w:val="22"/>
          <w:u w:val="single"/>
          <w:lang w:val="hu-HU"/>
        </w:rPr>
      </w:pPr>
      <w:bookmarkStart w:id="1" w:name="_Hlk164157375"/>
      <w:r>
        <w:rPr>
          <w:szCs w:val="22"/>
          <w:u w:val="single"/>
          <w:lang w:val="hu-HU"/>
        </w:rPr>
        <w:t>Biotranszformáció</w:t>
      </w:r>
    </w:p>
    <w:p w14:paraId="01FC3BE2" w14:textId="77777777" w:rsidR="00653D32" w:rsidRDefault="00502314">
      <w:pPr>
        <w:tabs>
          <w:tab w:val="left" w:pos="567"/>
        </w:tabs>
        <w:rPr>
          <w:szCs w:val="22"/>
          <w:u w:val="single"/>
          <w:lang w:val="hu-HU"/>
        </w:rPr>
      </w:pPr>
      <w:r>
        <w:rPr>
          <w:szCs w:val="22"/>
          <w:lang w:val="hu-HU"/>
        </w:rPr>
        <w:t>A moxifloxacin II. fázisú biotranszformáción megy keresztül, és a vizelettel (körülbelül 40%), ill. az epével-széklettel (körülbelül 60%) ürül részben változatlan formában, részben szulfát- (M1), ill. glükuronid- (M2) metabolit alakjában.</w:t>
      </w:r>
    </w:p>
    <w:p w14:paraId="4491FA35" w14:textId="77777777" w:rsidR="00653D32" w:rsidRDefault="00502314">
      <w:pPr>
        <w:autoSpaceDE w:val="0"/>
        <w:autoSpaceDN w:val="0"/>
        <w:adjustRightInd w:val="0"/>
        <w:rPr>
          <w:szCs w:val="22"/>
          <w:lang w:val="hu-HU"/>
        </w:rPr>
      </w:pPr>
      <w:r>
        <w:rPr>
          <w:szCs w:val="22"/>
          <w:lang w:val="hu-HU"/>
        </w:rPr>
        <w:t xml:space="preserve">Humán vonatkozásban </w:t>
      </w:r>
      <w:r>
        <w:rPr>
          <w:szCs w:val="22"/>
        </w:rPr>
        <w:t>csak az M1 és M2 metabolit jelentős</w:t>
      </w:r>
      <w:r>
        <w:rPr>
          <w:szCs w:val="22"/>
          <w:lang w:val="en-US"/>
        </w:rPr>
        <w:t>;</w:t>
      </w:r>
      <w:r>
        <w:rPr>
          <w:szCs w:val="22"/>
          <w:lang w:val="hu-HU"/>
        </w:rPr>
        <w:t xml:space="preserve"> mikrobiológiailag mindkettő inaktív.</w:t>
      </w:r>
      <w:bookmarkEnd w:id="1"/>
    </w:p>
    <w:p w14:paraId="2F38AA6F" w14:textId="77777777" w:rsidR="00653D32" w:rsidRDefault="00653D32">
      <w:pPr>
        <w:tabs>
          <w:tab w:val="left" w:pos="567"/>
        </w:tabs>
        <w:rPr>
          <w:szCs w:val="22"/>
          <w:lang w:val="hu-HU"/>
        </w:rPr>
      </w:pPr>
    </w:p>
    <w:p w14:paraId="2BEF3360" w14:textId="77777777" w:rsidR="00653D32" w:rsidRDefault="00502314">
      <w:pPr>
        <w:widowControl w:val="0"/>
        <w:autoSpaceDE w:val="0"/>
        <w:autoSpaceDN w:val="0"/>
        <w:adjustRightInd w:val="0"/>
        <w:rPr>
          <w:szCs w:val="22"/>
          <w:lang w:val="hu-HU"/>
        </w:rPr>
      </w:pPr>
      <w:r>
        <w:rPr>
          <w:szCs w:val="22"/>
          <w:lang w:val="hu-HU"/>
        </w:rPr>
        <w:t xml:space="preserve">Az </w:t>
      </w:r>
      <w:r>
        <w:rPr>
          <w:i/>
          <w:iCs/>
          <w:szCs w:val="22"/>
          <w:lang w:val="hu-HU"/>
        </w:rPr>
        <w:t xml:space="preserve">in vitro </w:t>
      </w:r>
      <w:r>
        <w:rPr>
          <w:szCs w:val="22"/>
          <w:lang w:val="hu-HU"/>
        </w:rPr>
        <w:t xml:space="preserve">és </w:t>
      </w:r>
      <w:r>
        <w:rPr>
          <w:rFonts w:eastAsia="Times New Roman"/>
          <w:szCs w:val="22"/>
          <w:lang w:val="hu-HU"/>
        </w:rPr>
        <w:t>az I. fázisú</w:t>
      </w:r>
      <w:r>
        <w:rPr>
          <w:szCs w:val="22"/>
          <w:lang w:val="hu-HU"/>
        </w:rPr>
        <w:t xml:space="preserve"> klinikai vizsgálatokban nem észleltek farmakokinetikai-metabolikus kölcsönhatást olyan egyéb gyógyszerekkel, amelyek a citokróm P450</w:t>
      </w:r>
      <w:r>
        <w:rPr>
          <w:szCs w:val="22"/>
          <w:lang w:val="hu-HU"/>
        </w:rPr>
        <w:noBreakHyphen/>
        <w:t xml:space="preserve">en keresztül történő I. fázisú biotranszformációval metabolizálódnak. </w:t>
      </w:r>
      <w:r>
        <w:t xml:space="preserve">Oxidatív metabolizáció </w:t>
      </w:r>
      <w:r>
        <w:rPr>
          <w:szCs w:val="22"/>
          <w:lang w:val="hu-HU"/>
        </w:rPr>
        <w:t>jeleit nem észlelték.</w:t>
      </w:r>
    </w:p>
    <w:p w14:paraId="1292B58E" w14:textId="77777777" w:rsidR="00653D32" w:rsidRDefault="00653D32">
      <w:pPr>
        <w:tabs>
          <w:tab w:val="left" w:pos="567"/>
        </w:tabs>
        <w:rPr>
          <w:szCs w:val="22"/>
          <w:lang w:val="hu-HU"/>
        </w:rPr>
      </w:pPr>
    </w:p>
    <w:p w14:paraId="214BCD99" w14:textId="77777777" w:rsidR="00653D32" w:rsidRDefault="00502314" w:rsidP="00074A0C">
      <w:pPr>
        <w:keepNext/>
        <w:tabs>
          <w:tab w:val="left" w:pos="567"/>
        </w:tabs>
        <w:rPr>
          <w:szCs w:val="22"/>
          <w:u w:val="single"/>
          <w:lang w:val="hu-HU"/>
        </w:rPr>
      </w:pPr>
      <w:r>
        <w:rPr>
          <w:szCs w:val="22"/>
          <w:u w:val="single"/>
          <w:lang w:val="hu-HU"/>
        </w:rPr>
        <w:lastRenderedPageBreak/>
        <w:t>Elimináció</w:t>
      </w:r>
    </w:p>
    <w:p w14:paraId="741B2538" w14:textId="77777777" w:rsidR="00653D32" w:rsidRDefault="00502314" w:rsidP="00074A0C">
      <w:pPr>
        <w:keepNext/>
        <w:tabs>
          <w:tab w:val="left" w:pos="567"/>
        </w:tabs>
        <w:rPr>
          <w:szCs w:val="22"/>
          <w:lang w:val="hu-HU"/>
        </w:rPr>
      </w:pPr>
      <w:r>
        <w:rPr>
          <w:szCs w:val="22"/>
          <w:lang w:val="hu-HU"/>
        </w:rPr>
        <w:t>A moxifloxacin a plazmából átlagosan mintegy 12 órás terminális felezési idővel ürül. A látszólagos teljestest-clearance átlagértéke 179 ml/perc és 246 ml/perc között változott 400 mg moxifloxacin adása után.</w:t>
      </w:r>
    </w:p>
    <w:p w14:paraId="506FCFDA" w14:textId="77777777" w:rsidR="00653D32" w:rsidRDefault="00653D32">
      <w:pPr>
        <w:tabs>
          <w:tab w:val="left" w:pos="567"/>
        </w:tabs>
        <w:rPr>
          <w:szCs w:val="22"/>
          <w:lang w:val="hu-HU"/>
        </w:rPr>
      </w:pPr>
    </w:p>
    <w:p w14:paraId="6C85B76F" w14:textId="77777777" w:rsidR="00653D32" w:rsidRDefault="00502314">
      <w:pPr>
        <w:tabs>
          <w:tab w:val="left" w:pos="567"/>
        </w:tabs>
        <w:rPr>
          <w:szCs w:val="22"/>
          <w:lang w:val="hu-HU"/>
        </w:rPr>
      </w:pPr>
      <w:r>
        <w:rPr>
          <w:szCs w:val="22"/>
          <w:lang w:val="hu-HU"/>
        </w:rPr>
        <w:t>400 mg moxifloxacin intravénás infúzióban történő beadását követően, a változatlan hatóanyag kb. 22%</w:t>
      </w:r>
      <w:r>
        <w:rPr>
          <w:szCs w:val="22"/>
          <w:lang w:val="hu-HU"/>
        </w:rPr>
        <w:noBreakHyphen/>
        <w:t>a volt visszanyerhető a vizeletből, és kb. 26%</w:t>
      </w:r>
      <w:r>
        <w:rPr>
          <w:szCs w:val="22"/>
          <w:lang w:val="hu-HU"/>
        </w:rPr>
        <w:noBreakHyphen/>
        <w:t>a a székletből. Intravénás alkalmazást követően, a dózis (változatlan hatóanyag és metabolitok) kb. 98%</w:t>
      </w:r>
      <w:r>
        <w:rPr>
          <w:szCs w:val="22"/>
          <w:lang w:val="hu-HU"/>
        </w:rPr>
        <w:noBreakHyphen/>
        <w:t>a nyerhető vissza. A renalis clearance értéke 24</w:t>
      </w:r>
      <w:r>
        <w:rPr>
          <w:szCs w:val="22"/>
          <w:lang w:val="hu-HU"/>
        </w:rPr>
        <w:noBreakHyphen/>
        <w:t>53 ml/perc volt, ami a gyógyszer parciális renalis tubularis reabszorpcióját valószínűsíti.</w:t>
      </w:r>
    </w:p>
    <w:p w14:paraId="60DB03F9" w14:textId="77777777" w:rsidR="00653D32" w:rsidRDefault="00653D32">
      <w:pPr>
        <w:tabs>
          <w:tab w:val="left" w:pos="567"/>
        </w:tabs>
        <w:rPr>
          <w:szCs w:val="22"/>
          <w:lang w:val="hu-HU"/>
        </w:rPr>
      </w:pPr>
    </w:p>
    <w:p w14:paraId="4D3461F7" w14:textId="77777777" w:rsidR="00653D32" w:rsidRDefault="00502314">
      <w:pPr>
        <w:widowControl w:val="0"/>
        <w:autoSpaceDE w:val="0"/>
        <w:autoSpaceDN w:val="0"/>
        <w:adjustRightInd w:val="0"/>
        <w:rPr>
          <w:rFonts w:eastAsia="Times New Roman"/>
          <w:szCs w:val="22"/>
          <w:lang w:val="hu-HU" w:eastAsia="hu-HU"/>
        </w:rPr>
      </w:pPr>
      <w:r>
        <w:rPr>
          <w:rFonts w:eastAsia="Times New Roman"/>
          <w:szCs w:val="22"/>
          <w:lang w:val="hu-HU" w:eastAsia="hu-HU"/>
        </w:rPr>
        <w:t>A moxifloxacin ranitidinnel vagy probeneciddel történő együttes adása nem befolyásolta az anyavegyület (moxifloxacin) renalis-clearance értékét.</w:t>
      </w:r>
    </w:p>
    <w:p w14:paraId="6D9F19E5" w14:textId="77777777" w:rsidR="00653D32" w:rsidRDefault="00653D32">
      <w:pPr>
        <w:tabs>
          <w:tab w:val="left" w:pos="567"/>
        </w:tabs>
        <w:rPr>
          <w:szCs w:val="22"/>
          <w:lang w:val="hu-HU"/>
        </w:rPr>
      </w:pPr>
    </w:p>
    <w:p w14:paraId="0BB145E1" w14:textId="77777777" w:rsidR="00653D32" w:rsidRDefault="00502314">
      <w:pPr>
        <w:tabs>
          <w:tab w:val="left" w:pos="567"/>
        </w:tabs>
        <w:rPr>
          <w:i/>
          <w:szCs w:val="22"/>
          <w:lang w:val="hu-HU"/>
        </w:rPr>
      </w:pPr>
      <w:r>
        <w:rPr>
          <w:i/>
          <w:szCs w:val="22"/>
          <w:lang w:val="hu-HU"/>
        </w:rPr>
        <w:t>Vesekárosodás</w:t>
      </w:r>
    </w:p>
    <w:p w14:paraId="2AD27A91" w14:textId="77777777" w:rsidR="00653D32" w:rsidRDefault="00502314">
      <w:pPr>
        <w:tabs>
          <w:tab w:val="left" w:pos="567"/>
        </w:tabs>
        <w:rPr>
          <w:szCs w:val="22"/>
          <w:lang w:val="hu-HU"/>
        </w:rPr>
      </w:pPr>
      <w:r>
        <w:rPr>
          <w:szCs w:val="22"/>
          <w:lang w:val="hu-HU"/>
        </w:rPr>
        <w:t>A moxifloxacin farmakokinetikai tulajdonságai nem változnak</w:t>
      </w:r>
      <w:r>
        <w:t xml:space="preserve"> jelentős mértékben</w:t>
      </w:r>
      <w:r>
        <w:rPr>
          <w:szCs w:val="22"/>
          <w:lang w:val="hu-HU"/>
        </w:rPr>
        <w:t xml:space="preserve"> károsodott vesefunkciójú betegeknél (beleértve a </w:t>
      </w:r>
      <w:r>
        <w:rPr>
          <w:szCs w:val="22"/>
          <w:lang w:val="hu-HU"/>
        </w:rPr>
        <w:sym w:font="Symbol" w:char="F03E"/>
      </w:r>
      <w:r>
        <w:rPr>
          <w:szCs w:val="22"/>
          <w:lang w:val="hu-HU"/>
        </w:rPr>
        <w:t>20 ml/perc/1,73 m</w:t>
      </w:r>
      <w:r>
        <w:rPr>
          <w:szCs w:val="22"/>
          <w:vertAlign w:val="superscript"/>
          <w:lang w:val="hu-HU"/>
        </w:rPr>
        <w:t>2</w:t>
      </w:r>
      <w:r>
        <w:rPr>
          <w:szCs w:val="22"/>
          <w:lang w:val="hu-HU"/>
        </w:rPr>
        <w:t xml:space="preserve"> clearance-értéket is). </w:t>
      </w:r>
      <w:r>
        <w:t>A vesefunkció csökkenése miatt</w:t>
      </w:r>
      <w:r>
        <w:rPr>
          <w:szCs w:val="22"/>
          <w:lang w:val="hu-HU"/>
        </w:rPr>
        <w:t xml:space="preserve"> az M2 metabolit (glükuronid) plazmakoncentrációja mintegy 2,5</w:t>
      </w:r>
      <w:r>
        <w:rPr>
          <w:szCs w:val="22"/>
          <w:lang w:val="hu-HU"/>
        </w:rPr>
        <w:noBreakHyphen/>
        <w:t>szeresére nő (</w:t>
      </w:r>
      <w:r>
        <w:rPr>
          <w:szCs w:val="22"/>
          <w:lang w:val="hu-HU"/>
        </w:rPr>
        <w:sym w:font="Symbol" w:char="F03C"/>
      </w:r>
      <w:r>
        <w:rPr>
          <w:szCs w:val="22"/>
          <w:lang w:val="hu-HU"/>
        </w:rPr>
        <w:t>30 ml/perc/1,73 m</w:t>
      </w:r>
      <w:r>
        <w:rPr>
          <w:szCs w:val="22"/>
          <w:vertAlign w:val="superscript"/>
          <w:lang w:val="hu-HU"/>
        </w:rPr>
        <w:t>2</w:t>
      </w:r>
      <w:r>
        <w:rPr>
          <w:lang w:val="hu-HU"/>
        </w:rPr>
        <w:t xml:space="preserve"> kreatinin</w:t>
      </w:r>
      <w:r>
        <w:rPr>
          <w:lang w:val="hu-HU"/>
        </w:rPr>
        <w:noBreakHyphen/>
        <w:t>clearance mellett</w:t>
      </w:r>
      <w:r>
        <w:rPr>
          <w:szCs w:val="22"/>
          <w:lang w:val="hu-HU"/>
        </w:rPr>
        <w:t>).</w:t>
      </w:r>
    </w:p>
    <w:p w14:paraId="67B4DE7F" w14:textId="77777777" w:rsidR="00653D32" w:rsidRDefault="00653D32">
      <w:pPr>
        <w:tabs>
          <w:tab w:val="left" w:pos="567"/>
        </w:tabs>
        <w:rPr>
          <w:szCs w:val="22"/>
          <w:lang w:val="hu-HU"/>
        </w:rPr>
      </w:pPr>
    </w:p>
    <w:p w14:paraId="20C89577" w14:textId="77777777" w:rsidR="00653D32" w:rsidRDefault="00502314">
      <w:pPr>
        <w:tabs>
          <w:tab w:val="left" w:pos="567"/>
        </w:tabs>
        <w:rPr>
          <w:i/>
          <w:szCs w:val="22"/>
          <w:lang w:val="hu-HU"/>
        </w:rPr>
      </w:pPr>
      <w:r>
        <w:rPr>
          <w:i/>
          <w:szCs w:val="22"/>
          <w:lang w:val="hu-HU"/>
        </w:rPr>
        <w:t>Májkárosodás</w:t>
      </w:r>
    </w:p>
    <w:p w14:paraId="4A1ABC37" w14:textId="77777777" w:rsidR="00653D32" w:rsidRDefault="00502314">
      <w:pPr>
        <w:rPr>
          <w:rFonts w:eastAsia="Times New Roman"/>
          <w:szCs w:val="22"/>
          <w:lang w:val="hu-HU"/>
        </w:rPr>
      </w:pPr>
      <w:r>
        <w:rPr>
          <w:szCs w:val="22"/>
          <w:lang w:val="hu-HU"/>
        </w:rPr>
        <w:t xml:space="preserve">Májkárosodásban (Child–Pugh A, B stádium) szenvedő betegek bevonásával ezidáig elvégzett farmakokinetikai vizsgálatok alapján nem lehetett </w:t>
      </w:r>
      <w:r>
        <w:rPr>
          <w:lang w:val="hu-HU"/>
        </w:rPr>
        <w:t xml:space="preserve">különbséget kimutatni </w:t>
      </w:r>
      <w:r>
        <w:rPr>
          <w:szCs w:val="22"/>
          <w:lang w:val="hu-HU"/>
        </w:rPr>
        <w:t xml:space="preserve">az egészséges önkénteseknél </w:t>
      </w:r>
      <w:r>
        <w:rPr>
          <w:lang w:val="hu-HU"/>
        </w:rPr>
        <w:t>kapott eredményekhez viszonyítva</w:t>
      </w:r>
      <w:r>
        <w:rPr>
          <w:szCs w:val="22"/>
          <w:lang w:val="hu-HU"/>
        </w:rPr>
        <w:t xml:space="preserve">. </w:t>
      </w:r>
      <w:r>
        <w:rPr>
          <w:lang w:val="hu-HU"/>
        </w:rPr>
        <w:t>Károsodott</w:t>
      </w:r>
      <w:r>
        <w:rPr>
          <w:szCs w:val="22"/>
          <w:lang w:val="hu-HU"/>
        </w:rPr>
        <w:t xml:space="preserve"> májműködés esetén magasabb volt az M1 metabolit koncentrációja a plazmában, ugyanakkor a változatlan molekula koncentrációja hasonló volt az egészséges önkénteseknél mért értékhez. </w:t>
      </w:r>
    </w:p>
    <w:p w14:paraId="7EB3567B" w14:textId="77777777" w:rsidR="00653D32" w:rsidRDefault="00502314">
      <w:pPr>
        <w:rPr>
          <w:rFonts w:eastAsia="Times New Roman"/>
          <w:szCs w:val="22"/>
          <w:lang w:val="hu-HU"/>
        </w:rPr>
      </w:pPr>
      <w:r>
        <w:rPr>
          <w:rFonts w:eastAsia="Times New Roman"/>
          <w:szCs w:val="22"/>
          <w:lang w:val="hu-HU"/>
        </w:rPr>
        <w:t>A moxifloxacin májkárosodásban szenvedő betegeknél történő klinikai alkalmazásával kapcsolatosan nincs elegendő tapasztalat.</w:t>
      </w:r>
    </w:p>
    <w:p w14:paraId="410997FB" w14:textId="77777777" w:rsidR="00653D32" w:rsidRDefault="00653D32">
      <w:pPr>
        <w:tabs>
          <w:tab w:val="left" w:pos="567"/>
        </w:tabs>
        <w:rPr>
          <w:szCs w:val="22"/>
          <w:lang w:val="hu-HU"/>
        </w:rPr>
      </w:pPr>
    </w:p>
    <w:p w14:paraId="28185638" w14:textId="77777777" w:rsidR="00653D32" w:rsidRDefault="00502314">
      <w:pPr>
        <w:pStyle w:val="WW-Szvegtrzs212"/>
        <w:spacing w:line="240" w:lineRule="auto"/>
        <w:rPr>
          <w:szCs w:val="22"/>
          <w:lang w:val="hu-HU"/>
        </w:rPr>
      </w:pPr>
      <w:r>
        <w:rPr>
          <w:szCs w:val="22"/>
          <w:lang w:val="hu-HU"/>
        </w:rPr>
        <w:t>5.3</w:t>
      </w:r>
      <w:r>
        <w:rPr>
          <w:szCs w:val="22"/>
          <w:lang w:val="hu-HU"/>
        </w:rPr>
        <w:tab/>
        <w:t>A preklinikai biztonságossági vizsgálatok eredményei</w:t>
      </w:r>
    </w:p>
    <w:p w14:paraId="48B07A9C" w14:textId="77777777" w:rsidR="00653D32" w:rsidRDefault="00653D32">
      <w:pPr>
        <w:tabs>
          <w:tab w:val="left" w:pos="567"/>
        </w:tabs>
        <w:rPr>
          <w:szCs w:val="22"/>
          <w:lang w:val="hu-HU"/>
        </w:rPr>
      </w:pPr>
    </w:p>
    <w:p w14:paraId="355C8B76" w14:textId="77777777" w:rsidR="00653D32" w:rsidRDefault="00502314">
      <w:pPr>
        <w:tabs>
          <w:tab w:val="left" w:pos="567"/>
        </w:tabs>
        <w:rPr>
          <w:szCs w:val="22"/>
          <w:lang w:val="hu-HU"/>
        </w:rPr>
      </w:pPr>
      <w:r>
        <w:rPr>
          <w:szCs w:val="22"/>
          <w:lang w:val="hu-HU"/>
        </w:rPr>
        <w:t>Rágcsálókon és nem rágcsálókon végzett konvencionális ismételt dózisú vizsgálatok során a moxifloxacin hematológiai és hepatotoxicitást mutatott. Majmoknál központi idegrendszeri toxicitást figyeltek meg. Ezeket a hatásokat nagy dózisok alkalmazása vagy tartós moxifloxacin-kezelés után észlelték.</w:t>
      </w:r>
    </w:p>
    <w:p w14:paraId="3A5F1113" w14:textId="77777777" w:rsidR="00653D32" w:rsidRDefault="00653D32">
      <w:pPr>
        <w:tabs>
          <w:tab w:val="left" w:pos="567"/>
        </w:tabs>
        <w:rPr>
          <w:szCs w:val="22"/>
          <w:lang w:val="hu-HU"/>
        </w:rPr>
      </w:pPr>
    </w:p>
    <w:p w14:paraId="6C1ECC42" w14:textId="77777777" w:rsidR="00653D32" w:rsidRDefault="00502314">
      <w:pPr>
        <w:tabs>
          <w:tab w:val="left" w:pos="567"/>
        </w:tabs>
        <w:rPr>
          <w:szCs w:val="22"/>
          <w:lang w:val="hu-HU"/>
        </w:rPr>
      </w:pPr>
      <w:r>
        <w:rPr>
          <w:szCs w:val="22"/>
          <w:lang w:val="hu-HU"/>
        </w:rPr>
        <w:t xml:space="preserve">Kutyáknál a nagy </w:t>
      </w:r>
      <w:r>
        <w:rPr>
          <w:i/>
          <w:szCs w:val="22"/>
          <w:lang w:val="hu-HU"/>
        </w:rPr>
        <w:t>per os</w:t>
      </w:r>
      <w:r>
        <w:rPr>
          <w:szCs w:val="22"/>
          <w:lang w:val="hu-HU"/>
        </w:rPr>
        <w:t xml:space="preserve"> adagok (</w:t>
      </w:r>
      <w:r>
        <w:rPr>
          <w:szCs w:val="22"/>
          <w:lang w:val="hu-HU"/>
        </w:rPr>
        <w:sym w:font="Symbol" w:char="F03E"/>
      </w:r>
      <w:r>
        <w:rPr>
          <w:szCs w:val="22"/>
          <w:lang w:val="hu-HU"/>
        </w:rPr>
        <w:t xml:space="preserve">60 mg/ttkg), amelyek </w:t>
      </w:r>
      <w:r>
        <w:rPr>
          <w:szCs w:val="22"/>
          <w:lang w:val="hu-HU"/>
        </w:rPr>
        <w:sym w:font="Symbol" w:char="F0B3"/>
      </w:r>
      <w:r>
        <w:rPr>
          <w:szCs w:val="22"/>
          <w:lang w:val="hu-HU"/>
        </w:rPr>
        <w:t>20 mg/l plazmaszintekhez vezettek, változásokat okoztak az elektro-retinogramon és izolált esetekben retinaatrófiát okoztak.</w:t>
      </w:r>
    </w:p>
    <w:p w14:paraId="748EEF51" w14:textId="77777777" w:rsidR="00653D32" w:rsidRDefault="00653D32">
      <w:pPr>
        <w:tabs>
          <w:tab w:val="left" w:pos="567"/>
        </w:tabs>
        <w:rPr>
          <w:szCs w:val="22"/>
          <w:lang w:val="hu-HU"/>
        </w:rPr>
      </w:pPr>
    </w:p>
    <w:p w14:paraId="2A7FF3A2" w14:textId="77777777" w:rsidR="00653D32" w:rsidRDefault="00502314">
      <w:pPr>
        <w:tabs>
          <w:tab w:val="left" w:pos="567"/>
        </w:tabs>
        <w:rPr>
          <w:szCs w:val="22"/>
          <w:lang w:val="hu-HU"/>
        </w:rPr>
      </w:pPr>
      <w:r>
        <w:rPr>
          <w:szCs w:val="22"/>
          <w:lang w:val="hu-HU"/>
        </w:rPr>
        <w:t>Intravénás adagolás után, a szisztémás toxicitás jelei akkor voltak a legkifejezettebbek, ha a moxifloxacint bólus injekcióban (45 mg/ttkg) adták be. De 40 mg/ttkg moxifloxacint lassan, több mint 50 percen át beadva ezeket nem figyelték meg.</w:t>
      </w:r>
    </w:p>
    <w:p w14:paraId="09B25569" w14:textId="77777777" w:rsidR="00653D32" w:rsidRDefault="00653D32">
      <w:pPr>
        <w:tabs>
          <w:tab w:val="left" w:pos="567"/>
        </w:tabs>
        <w:rPr>
          <w:szCs w:val="22"/>
          <w:lang w:val="hu-HU"/>
        </w:rPr>
      </w:pPr>
    </w:p>
    <w:p w14:paraId="19836288" w14:textId="77777777" w:rsidR="00653D32" w:rsidRDefault="00502314">
      <w:pPr>
        <w:pStyle w:val="Szvegtrzsbehzssal"/>
        <w:tabs>
          <w:tab w:val="left" w:pos="567"/>
        </w:tabs>
        <w:spacing w:after="0"/>
        <w:ind w:left="0"/>
        <w:rPr>
          <w:szCs w:val="22"/>
          <w:lang w:val="hu-HU"/>
        </w:rPr>
      </w:pPr>
      <w:r>
        <w:rPr>
          <w:szCs w:val="22"/>
          <w:lang w:val="hu-HU"/>
        </w:rPr>
        <w:t>Intraarteriális injekciót követően a periarteriális szövetekben gyulladásos elváltozásokat észleltek, ezért a moxifloxacin intraarteriális adagolását kerülni kell.</w:t>
      </w:r>
    </w:p>
    <w:p w14:paraId="6067B686" w14:textId="77777777" w:rsidR="00653D32" w:rsidRDefault="00653D32">
      <w:pPr>
        <w:tabs>
          <w:tab w:val="left" w:pos="0"/>
        </w:tabs>
        <w:rPr>
          <w:szCs w:val="22"/>
          <w:lang w:val="hu-HU"/>
        </w:rPr>
      </w:pPr>
    </w:p>
    <w:p w14:paraId="05D21896" w14:textId="77777777" w:rsidR="00653D32" w:rsidRDefault="00502314">
      <w:pPr>
        <w:tabs>
          <w:tab w:val="left" w:pos="567"/>
        </w:tabs>
        <w:rPr>
          <w:szCs w:val="22"/>
          <w:lang w:val="hu-HU"/>
        </w:rPr>
      </w:pPr>
      <w:r>
        <w:rPr>
          <w:szCs w:val="22"/>
          <w:lang w:val="hu-HU"/>
        </w:rPr>
        <w:t xml:space="preserve">A moxifloxacin </w:t>
      </w:r>
      <w:r>
        <w:rPr>
          <w:i/>
          <w:szCs w:val="22"/>
          <w:lang w:val="hu-HU"/>
        </w:rPr>
        <w:t>in vitro,</w:t>
      </w:r>
      <w:r>
        <w:rPr>
          <w:szCs w:val="22"/>
          <w:lang w:val="hu-HU"/>
        </w:rPr>
        <w:t xml:space="preserve"> bakteriális és emlős sejteken elvégzett tesztekben genotoxikus volt. </w:t>
      </w:r>
      <w:r>
        <w:rPr>
          <w:i/>
          <w:szCs w:val="22"/>
          <w:lang w:val="hu-HU"/>
        </w:rPr>
        <w:t>In vivo</w:t>
      </w:r>
      <w:r>
        <w:rPr>
          <w:szCs w:val="22"/>
          <w:lang w:val="hu-HU"/>
        </w:rPr>
        <w:t xml:space="preserve"> rendszerekben, rendkívül magas moxifloxacin-dózisok alkalmazása ellenére sem észleltek genotoxicitást. Egy patkányokon elvégzett iniciációs-promóciós vizsgálatban a moxifloxacin nem bizonyult karcinogénnek.</w:t>
      </w:r>
    </w:p>
    <w:p w14:paraId="6805E72A" w14:textId="77777777" w:rsidR="00653D32" w:rsidRDefault="00653D32">
      <w:pPr>
        <w:tabs>
          <w:tab w:val="left" w:pos="567"/>
        </w:tabs>
        <w:rPr>
          <w:szCs w:val="22"/>
          <w:lang w:val="hu-HU"/>
        </w:rPr>
      </w:pPr>
    </w:p>
    <w:p w14:paraId="45822AB2" w14:textId="77777777" w:rsidR="00653D32" w:rsidRDefault="00502314">
      <w:pPr>
        <w:tabs>
          <w:tab w:val="left" w:pos="567"/>
        </w:tabs>
        <w:rPr>
          <w:szCs w:val="22"/>
          <w:lang w:val="hu-HU"/>
        </w:rPr>
      </w:pPr>
      <w:r>
        <w:rPr>
          <w:i/>
          <w:szCs w:val="22"/>
          <w:lang w:val="hu-HU"/>
        </w:rPr>
        <w:t>In vitro,</w:t>
      </w:r>
      <w:r>
        <w:rPr>
          <w:szCs w:val="22"/>
          <w:lang w:val="hu-HU"/>
        </w:rPr>
        <w:t xml:space="preserve"> a moxifloxacin befolyásolja a szív elektrofiziológiai tulajdonságait, ami a QT</w:t>
      </w:r>
      <w:r>
        <w:rPr>
          <w:szCs w:val="22"/>
          <w:lang w:val="hu-HU"/>
        </w:rPr>
        <w:noBreakHyphen/>
        <w:t>szakasz megnyúlását eredményezheti, azonban csak magas koncentrációk esetén.</w:t>
      </w:r>
    </w:p>
    <w:p w14:paraId="2DACD2D8" w14:textId="77777777" w:rsidR="00653D32" w:rsidRDefault="00653D32">
      <w:pPr>
        <w:tabs>
          <w:tab w:val="left" w:pos="567"/>
        </w:tabs>
        <w:rPr>
          <w:szCs w:val="22"/>
          <w:lang w:val="hu-HU"/>
        </w:rPr>
      </w:pPr>
    </w:p>
    <w:p w14:paraId="5A217CB0" w14:textId="77777777" w:rsidR="00653D32" w:rsidRDefault="00502314">
      <w:pPr>
        <w:tabs>
          <w:tab w:val="left" w:pos="567"/>
        </w:tabs>
        <w:rPr>
          <w:szCs w:val="22"/>
          <w:lang w:val="hu-HU"/>
        </w:rPr>
      </w:pPr>
      <w:r>
        <w:rPr>
          <w:szCs w:val="22"/>
          <w:lang w:val="hu-HU"/>
        </w:rPr>
        <w:t>Intravénás adagolás esetén (30 mg/ttkg 15, ill. 30, ill. 60 perces adagolással) kutyáknál, a QT</w:t>
      </w:r>
      <w:r>
        <w:rPr>
          <w:szCs w:val="22"/>
          <w:lang w:val="hu-HU"/>
        </w:rPr>
        <w:noBreakHyphen/>
        <w:t>megnyúlás mértéke egyértelműen az infúzió sebességétől függ, ami azt jelenti, hogy minél kisebb az infúzió időtartama, annál kifejezettebb a QT</w:t>
      </w:r>
      <w:r>
        <w:rPr>
          <w:szCs w:val="22"/>
          <w:lang w:val="hu-HU"/>
        </w:rPr>
        <w:noBreakHyphen/>
        <w:t>szakasz megnyúlása. A 60 perces infúziós adagolási idővel beadott 30 mg/ttkg moxifloxacin nem okozott QT</w:t>
      </w:r>
      <w:r>
        <w:rPr>
          <w:szCs w:val="22"/>
          <w:lang w:val="hu-HU"/>
        </w:rPr>
        <w:noBreakHyphen/>
        <w:t>szakasz-megnyúlást.</w:t>
      </w:r>
    </w:p>
    <w:p w14:paraId="51B94C12" w14:textId="77777777" w:rsidR="00653D32" w:rsidRDefault="00653D32">
      <w:pPr>
        <w:tabs>
          <w:tab w:val="left" w:pos="567"/>
        </w:tabs>
        <w:rPr>
          <w:szCs w:val="22"/>
          <w:lang w:val="hu-HU"/>
        </w:rPr>
      </w:pPr>
    </w:p>
    <w:p w14:paraId="4CA82A1A" w14:textId="77777777" w:rsidR="00653D32" w:rsidRDefault="00502314">
      <w:pPr>
        <w:pStyle w:val="Szvegtrzs2"/>
        <w:tabs>
          <w:tab w:val="left" w:pos="567"/>
        </w:tabs>
        <w:spacing w:after="0" w:line="240" w:lineRule="auto"/>
        <w:rPr>
          <w:szCs w:val="22"/>
          <w:lang w:val="hu-HU"/>
        </w:rPr>
      </w:pPr>
      <w:r>
        <w:rPr>
          <w:szCs w:val="22"/>
          <w:lang w:val="hu-HU"/>
        </w:rPr>
        <w:t>Patkányok, nyulak és majmok bevonásával végzett reprodukciós vizsgálatok arra utalnak, hogy a moxifloxacin átjut a placentán. A patkányokon (</w:t>
      </w:r>
      <w:r>
        <w:rPr>
          <w:i/>
          <w:szCs w:val="22"/>
          <w:lang w:val="hu-HU"/>
        </w:rPr>
        <w:t>per os</w:t>
      </w:r>
      <w:r>
        <w:rPr>
          <w:szCs w:val="22"/>
          <w:lang w:val="hu-HU"/>
        </w:rPr>
        <w:t xml:space="preserve"> és intravénás) és majmokon (</w:t>
      </w:r>
      <w:r>
        <w:rPr>
          <w:i/>
          <w:szCs w:val="22"/>
          <w:lang w:val="hu-HU"/>
        </w:rPr>
        <w:t>per os</w:t>
      </w:r>
      <w:r>
        <w:rPr>
          <w:szCs w:val="22"/>
          <w:lang w:val="hu-HU"/>
        </w:rPr>
        <w:t xml:space="preserve">) végzett vizsgálatok </w:t>
      </w:r>
      <w:r>
        <w:rPr>
          <w:lang w:val="hu-HU"/>
        </w:rPr>
        <w:t>nem igazolták a moxifloxacin teratogén vagy termékenységet befolyásoló hatását</w:t>
      </w:r>
      <w:r>
        <w:rPr>
          <w:szCs w:val="22"/>
          <w:lang w:val="hu-HU"/>
        </w:rPr>
        <w:t xml:space="preserve">. </w:t>
      </w:r>
    </w:p>
    <w:p w14:paraId="6A63FFEF" w14:textId="77777777" w:rsidR="00653D32" w:rsidRDefault="00502314">
      <w:pPr>
        <w:pStyle w:val="Szvegtrzs2"/>
        <w:tabs>
          <w:tab w:val="left" w:pos="567"/>
        </w:tabs>
        <w:spacing w:after="0" w:line="240" w:lineRule="auto"/>
        <w:rPr>
          <w:szCs w:val="22"/>
          <w:lang w:val="hu-HU"/>
        </w:rPr>
      </w:pPr>
      <w:r>
        <w:rPr>
          <w:lang w:val="hu-HU"/>
        </w:rPr>
        <w:t>A csigolyák és bordák fejlődési rendellenességeinek kismértékben emelkedett gyakoriságát figyelték meg nyulaknál</w:t>
      </w:r>
      <w:r>
        <w:rPr>
          <w:szCs w:val="22"/>
          <w:lang w:val="hu-HU"/>
        </w:rPr>
        <w:t xml:space="preserve">, azonban csak az anyára egyértelműen toxikus dózisok (20 mg/ttkg intravénásan) adása után. </w:t>
      </w:r>
      <w:r>
        <w:t>Nyulaknál valamivel gyakrabban észleltek csigolya- és bordafejlődési rendellenességet, de csak olyan adagnál (20 mg/ttkg intravénás), amely az anyára nézve súlyosan toxikus volt.</w:t>
      </w:r>
    </w:p>
    <w:p w14:paraId="195E6186" w14:textId="77777777" w:rsidR="00653D32" w:rsidRDefault="00502314">
      <w:pPr>
        <w:pStyle w:val="Szvegtrzs2"/>
        <w:tabs>
          <w:tab w:val="left" w:pos="567"/>
        </w:tabs>
        <w:spacing w:after="0" w:line="240" w:lineRule="auto"/>
        <w:rPr>
          <w:szCs w:val="22"/>
          <w:lang w:val="hu-HU"/>
        </w:rPr>
      </w:pPr>
      <w:r>
        <w:rPr>
          <w:szCs w:val="22"/>
          <w:lang w:val="hu-HU"/>
        </w:rPr>
        <w:t>A humán terápiás plazmakoncentrációnak megfelelő dózis esetén majmoknál és nyulaknál az abortuszok incidenciájának növekedését észlelték.</w:t>
      </w:r>
    </w:p>
    <w:p w14:paraId="54D00228" w14:textId="77777777" w:rsidR="00653D32" w:rsidRDefault="00653D32">
      <w:pPr>
        <w:pStyle w:val="Szvegtrzs2"/>
        <w:tabs>
          <w:tab w:val="left" w:pos="567"/>
        </w:tabs>
        <w:spacing w:after="0" w:line="240" w:lineRule="auto"/>
        <w:rPr>
          <w:szCs w:val="22"/>
          <w:lang w:val="hu-HU"/>
        </w:rPr>
      </w:pPr>
    </w:p>
    <w:p w14:paraId="4AEFA660" w14:textId="77777777" w:rsidR="00653D32" w:rsidRDefault="00502314">
      <w:pPr>
        <w:pStyle w:val="Szvegtrzs2"/>
        <w:tabs>
          <w:tab w:val="left" w:pos="567"/>
        </w:tabs>
        <w:spacing w:after="0" w:line="240" w:lineRule="auto"/>
        <w:rPr>
          <w:szCs w:val="22"/>
          <w:lang w:val="hu-HU"/>
        </w:rPr>
      </w:pPr>
      <w:r>
        <w:rPr>
          <w:szCs w:val="22"/>
          <w:lang w:val="hu-HU"/>
        </w:rPr>
        <w:t xml:space="preserve">Ismert, hogy a kinolonok – ideértve a moxifloxacint is – károsíthatják a fiatal állatok </w:t>
      </w:r>
      <w:r>
        <w:t>diarthroidális</w:t>
      </w:r>
      <w:r>
        <w:rPr>
          <w:szCs w:val="22"/>
          <w:lang w:val="hu-HU"/>
        </w:rPr>
        <w:t xml:space="preserve"> ízületeinek porcfelszínét.</w:t>
      </w:r>
    </w:p>
    <w:p w14:paraId="66CE95A7" w14:textId="77777777" w:rsidR="00653D32" w:rsidRDefault="00653D32">
      <w:pPr>
        <w:pStyle w:val="Szvegtrzsbehzssal"/>
        <w:tabs>
          <w:tab w:val="left" w:pos="567"/>
        </w:tabs>
        <w:spacing w:after="0"/>
        <w:ind w:left="0"/>
        <w:rPr>
          <w:szCs w:val="22"/>
          <w:lang w:val="hu-HU"/>
        </w:rPr>
      </w:pPr>
    </w:p>
    <w:p w14:paraId="1E500D46" w14:textId="77777777" w:rsidR="00653D32" w:rsidRDefault="00653D32">
      <w:pPr>
        <w:pStyle w:val="Szvegtrzsbehzssal"/>
        <w:tabs>
          <w:tab w:val="left" w:pos="567"/>
        </w:tabs>
        <w:spacing w:after="0"/>
        <w:ind w:left="0"/>
        <w:rPr>
          <w:szCs w:val="22"/>
          <w:lang w:val="hu-HU"/>
        </w:rPr>
      </w:pPr>
    </w:p>
    <w:p w14:paraId="0019F599" w14:textId="77777777" w:rsidR="00653D32" w:rsidRDefault="00502314">
      <w:pPr>
        <w:ind w:left="567" w:hanging="567"/>
        <w:rPr>
          <w:b/>
          <w:szCs w:val="22"/>
          <w:lang w:val="hu-HU"/>
        </w:rPr>
      </w:pPr>
      <w:r>
        <w:rPr>
          <w:b/>
          <w:szCs w:val="22"/>
          <w:lang w:val="hu-HU"/>
        </w:rPr>
        <w:t>6.</w:t>
      </w:r>
      <w:r>
        <w:rPr>
          <w:b/>
          <w:szCs w:val="22"/>
          <w:lang w:val="hu-HU"/>
        </w:rPr>
        <w:tab/>
        <w:t>GYÓGYSZERÉSZETI JELLEMZŐK</w:t>
      </w:r>
    </w:p>
    <w:p w14:paraId="7EEFA6C6" w14:textId="77777777" w:rsidR="00653D32" w:rsidRDefault="00653D32">
      <w:pPr>
        <w:rPr>
          <w:szCs w:val="22"/>
          <w:lang w:val="hu-HU"/>
        </w:rPr>
      </w:pPr>
    </w:p>
    <w:p w14:paraId="4ADE02F9" w14:textId="77777777" w:rsidR="00653D32" w:rsidRDefault="00502314">
      <w:pPr>
        <w:ind w:left="567" w:hanging="567"/>
        <w:rPr>
          <w:b/>
          <w:szCs w:val="22"/>
          <w:lang w:val="hu-HU"/>
        </w:rPr>
      </w:pPr>
      <w:r>
        <w:rPr>
          <w:b/>
          <w:szCs w:val="22"/>
          <w:lang w:val="hu-HU"/>
        </w:rPr>
        <w:t>6.1</w:t>
      </w:r>
      <w:r>
        <w:rPr>
          <w:b/>
          <w:szCs w:val="22"/>
          <w:lang w:val="hu-HU"/>
        </w:rPr>
        <w:tab/>
        <w:t>Segédanyagok felsorolása</w:t>
      </w:r>
    </w:p>
    <w:p w14:paraId="4224FA7A" w14:textId="77777777" w:rsidR="00653D32" w:rsidRDefault="00653D32">
      <w:pPr>
        <w:tabs>
          <w:tab w:val="left" w:pos="567"/>
          <w:tab w:val="left" w:pos="1204"/>
          <w:tab w:val="left" w:pos="8264"/>
        </w:tabs>
        <w:rPr>
          <w:szCs w:val="22"/>
          <w:lang w:val="hu-HU"/>
        </w:rPr>
      </w:pPr>
    </w:p>
    <w:p w14:paraId="1FA9E301" w14:textId="77777777" w:rsidR="00653D32" w:rsidRDefault="00502314">
      <w:pPr>
        <w:tabs>
          <w:tab w:val="left" w:pos="567"/>
          <w:tab w:val="left" w:pos="1204"/>
          <w:tab w:val="left" w:pos="8264"/>
        </w:tabs>
        <w:rPr>
          <w:szCs w:val="22"/>
          <w:lang w:val="hu-HU"/>
        </w:rPr>
      </w:pPr>
      <w:r>
        <w:rPr>
          <w:szCs w:val="22"/>
          <w:lang w:val="hu-HU"/>
        </w:rPr>
        <w:t>nátrium-klorid</w:t>
      </w:r>
    </w:p>
    <w:p w14:paraId="5376582E" w14:textId="77777777" w:rsidR="00653D32" w:rsidRDefault="00502314">
      <w:pPr>
        <w:tabs>
          <w:tab w:val="left" w:pos="567"/>
          <w:tab w:val="left" w:pos="1204"/>
          <w:tab w:val="left" w:pos="8264"/>
        </w:tabs>
        <w:rPr>
          <w:szCs w:val="22"/>
          <w:lang w:val="hu-HU"/>
        </w:rPr>
      </w:pPr>
      <w:r>
        <w:rPr>
          <w:szCs w:val="22"/>
          <w:lang w:val="hu-HU"/>
        </w:rPr>
        <w:t>nátrium-laktát-oldat</w:t>
      </w:r>
    </w:p>
    <w:p w14:paraId="7E21CD1A" w14:textId="77777777" w:rsidR="00653D32" w:rsidRDefault="00502314">
      <w:pPr>
        <w:tabs>
          <w:tab w:val="left" w:pos="567"/>
          <w:tab w:val="left" w:pos="1204"/>
          <w:tab w:val="left" w:pos="8264"/>
        </w:tabs>
        <w:rPr>
          <w:szCs w:val="22"/>
          <w:lang w:val="hu-HU"/>
        </w:rPr>
      </w:pPr>
      <w:r>
        <w:rPr>
          <w:szCs w:val="22"/>
          <w:lang w:val="hu-HU"/>
        </w:rPr>
        <w:t>injekcióhoz való víz</w:t>
      </w:r>
    </w:p>
    <w:p w14:paraId="71C649F7" w14:textId="77777777" w:rsidR="00653D32" w:rsidRDefault="00653D32">
      <w:pPr>
        <w:tabs>
          <w:tab w:val="left" w:pos="567"/>
          <w:tab w:val="left" w:pos="709"/>
          <w:tab w:val="left" w:pos="8264"/>
        </w:tabs>
        <w:rPr>
          <w:szCs w:val="22"/>
          <w:lang w:val="hu-HU"/>
        </w:rPr>
      </w:pPr>
    </w:p>
    <w:p w14:paraId="5F107BBE" w14:textId="77777777" w:rsidR="00653D32" w:rsidRDefault="00502314">
      <w:pPr>
        <w:tabs>
          <w:tab w:val="left" w:pos="567"/>
          <w:tab w:val="left" w:pos="709"/>
          <w:tab w:val="left" w:pos="8264"/>
        </w:tabs>
        <w:rPr>
          <w:szCs w:val="22"/>
          <w:lang w:val="hu-HU"/>
        </w:rPr>
      </w:pPr>
      <w:r>
        <w:rPr>
          <w:b/>
          <w:szCs w:val="22"/>
          <w:lang w:val="hu-HU"/>
        </w:rPr>
        <w:t>6.2</w:t>
      </w:r>
      <w:r>
        <w:rPr>
          <w:b/>
          <w:szCs w:val="22"/>
          <w:lang w:val="hu-HU"/>
        </w:rPr>
        <w:tab/>
        <w:t>Inkompatibilitások</w:t>
      </w:r>
    </w:p>
    <w:p w14:paraId="16682156" w14:textId="77777777" w:rsidR="00653D32" w:rsidRDefault="00653D32">
      <w:pPr>
        <w:tabs>
          <w:tab w:val="left" w:pos="567"/>
          <w:tab w:val="left" w:pos="1204"/>
          <w:tab w:val="left" w:pos="8264"/>
        </w:tabs>
        <w:rPr>
          <w:szCs w:val="22"/>
          <w:lang w:val="hu-HU"/>
        </w:rPr>
      </w:pPr>
    </w:p>
    <w:p w14:paraId="33D396A4" w14:textId="77777777" w:rsidR="00653D32" w:rsidRDefault="00502314">
      <w:pPr>
        <w:tabs>
          <w:tab w:val="left" w:pos="567"/>
          <w:tab w:val="left" w:pos="1204"/>
          <w:tab w:val="left" w:pos="8264"/>
        </w:tabs>
        <w:rPr>
          <w:szCs w:val="22"/>
          <w:lang w:val="hu-HU"/>
        </w:rPr>
      </w:pPr>
      <w:r>
        <w:rPr>
          <w:szCs w:val="22"/>
          <w:lang w:val="hu-HU"/>
        </w:rPr>
        <w:t>Az alábbi infúziós oldatok inkompatibilisek a moxifloxacin oldatos infúzióval:</w:t>
      </w:r>
    </w:p>
    <w:p w14:paraId="5746E679" w14:textId="77777777" w:rsidR="00653D32" w:rsidRDefault="00502314">
      <w:pPr>
        <w:numPr>
          <w:ilvl w:val="0"/>
          <w:numId w:val="19"/>
        </w:numPr>
        <w:tabs>
          <w:tab w:val="left" w:pos="567"/>
        </w:tabs>
        <w:ind w:left="567" w:hanging="567"/>
        <w:rPr>
          <w:szCs w:val="22"/>
          <w:lang w:val="hu-HU"/>
        </w:rPr>
      </w:pPr>
      <w:r>
        <w:rPr>
          <w:szCs w:val="22"/>
          <w:lang w:val="hu-HU"/>
        </w:rPr>
        <w:t>10%-os (100 mg/ml) és 20%</w:t>
      </w:r>
      <w:r>
        <w:rPr>
          <w:szCs w:val="22"/>
          <w:lang w:val="hu-HU"/>
        </w:rPr>
        <w:noBreakHyphen/>
        <w:t>os (200 mg/ml) nátrium-klorid-oldat;</w:t>
      </w:r>
    </w:p>
    <w:p w14:paraId="56048214" w14:textId="77777777" w:rsidR="00653D32" w:rsidRDefault="00502314">
      <w:pPr>
        <w:numPr>
          <w:ilvl w:val="0"/>
          <w:numId w:val="19"/>
        </w:numPr>
        <w:tabs>
          <w:tab w:val="left" w:pos="567"/>
        </w:tabs>
        <w:ind w:left="567" w:hanging="567"/>
        <w:rPr>
          <w:szCs w:val="22"/>
          <w:lang w:val="hu-HU"/>
        </w:rPr>
      </w:pPr>
      <w:r>
        <w:rPr>
          <w:szCs w:val="22"/>
          <w:lang w:val="hu-HU"/>
        </w:rPr>
        <w:t>4,2%</w:t>
      </w:r>
      <w:r>
        <w:rPr>
          <w:szCs w:val="22"/>
          <w:lang w:val="hu-HU"/>
        </w:rPr>
        <w:noBreakHyphen/>
        <w:t>os (42 mg/ml) és 8,4%</w:t>
      </w:r>
      <w:r>
        <w:rPr>
          <w:szCs w:val="22"/>
          <w:lang w:val="hu-HU"/>
        </w:rPr>
        <w:noBreakHyphen/>
        <w:t>os (84 mg/ml) nátrium-hidrogén-karbonát-oldat.</w:t>
      </w:r>
    </w:p>
    <w:p w14:paraId="05FF161B" w14:textId="77777777" w:rsidR="00653D32" w:rsidRDefault="00653D32">
      <w:pPr>
        <w:tabs>
          <w:tab w:val="left" w:pos="567"/>
          <w:tab w:val="left" w:pos="1204"/>
          <w:tab w:val="left" w:pos="8264"/>
        </w:tabs>
        <w:rPr>
          <w:noProof/>
          <w:szCs w:val="22"/>
          <w:lang w:val="hu-HU"/>
        </w:rPr>
      </w:pPr>
    </w:p>
    <w:p w14:paraId="25FFBF4F" w14:textId="77777777" w:rsidR="00653D32" w:rsidRDefault="00502314">
      <w:pPr>
        <w:tabs>
          <w:tab w:val="left" w:pos="567"/>
          <w:tab w:val="left" w:pos="1204"/>
          <w:tab w:val="left" w:pos="8264"/>
        </w:tabs>
        <w:rPr>
          <w:noProof/>
          <w:szCs w:val="22"/>
          <w:lang w:val="hu-HU"/>
        </w:rPr>
      </w:pPr>
      <w:r>
        <w:rPr>
          <w:noProof/>
          <w:szCs w:val="22"/>
          <w:lang w:val="hu-HU"/>
        </w:rPr>
        <w:t>Ez a gyógyszer kizárólag a 6.6 pontban felsorolt gyógyszerekkel keverhető.</w:t>
      </w:r>
    </w:p>
    <w:p w14:paraId="5F5B07B3" w14:textId="77777777" w:rsidR="00653D32" w:rsidRDefault="00653D32">
      <w:pPr>
        <w:tabs>
          <w:tab w:val="left" w:pos="567"/>
          <w:tab w:val="left" w:pos="1204"/>
          <w:tab w:val="left" w:pos="8264"/>
        </w:tabs>
        <w:rPr>
          <w:szCs w:val="22"/>
          <w:lang w:val="hu-HU"/>
        </w:rPr>
      </w:pPr>
    </w:p>
    <w:p w14:paraId="42433B3D" w14:textId="77777777" w:rsidR="00653D32" w:rsidRDefault="00502314">
      <w:pPr>
        <w:pStyle w:val="WW-Szvegtrzs212"/>
        <w:spacing w:line="240" w:lineRule="auto"/>
        <w:rPr>
          <w:szCs w:val="22"/>
          <w:lang w:val="hu-HU"/>
        </w:rPr>
      </w:pPr>
      <w:r>
        <w:rPr>
          <w:szCs w:val="22"/>
          <w:lang w:val="hu-HU"/>
        </w:rPr>
        <w:t>6.3</w:t>
      </w:r>
      <w:r>
        <w:rPr>
          <w:szCs w:val="22"/>
          <w:lang w:val="hu-HU"/>
        </w:rPr>
        <w:tab/>
        <w:t>Felhasználhatósági időtartam</w:t>
      </w:r>
    </w:p>
    <w:p w14:paraId="28446B81" w14:textId="77777777" w:rsidR="00653D32" w:rsidRDefault="00653D32">
      <w:pPr>
        <w:tabs>
          <w:tab w:val="left" w:pos="567"/>
          <w:tab w:val="left" w:pos="709"/>
          <w:tab w:val="left" w:pos="8264"/>
        </w:tabs>
        <w:rPr>
          <w:szCs w:val="22"/>
          <w:lang w:val="hu-HU"/>
        </w:rPr>
      </w:pPr>
    </w:p>
    <w:p w14:paraId="63DCED42" w14:textId="77777777" w:rsidR="00653D32" w:rsidRDefault="00502314">
      <w:pPr>
        <w:tabs>
          <w:tab w:val="left" w:pos="1701"/>
          <w:tab w:val="left" w:pos="8264"/>
        </w:tabs>
        <w:ind w:left="1701" w:hanging="1701"/>
        <w:rPr>
          <w:szCs w:val="22"/>
          <w:lang w:val="hu-HU"/>
        </w:rPr>
      </w:pPr>
      <w:r>
        <w:rPr>
          <w:szCs w:val="22"/>
          <w:lang w:val="hu-HU"/>
        </w:rPr>
        <w:t>5 év</w:t>
      </w:r>
    </w:p>
    <w:p w14:paraId="2D86DC10" w14:textId="77777777" w:rsidR="00653D32" w:rsidRDefault="00653D32">
      <w:pPr>
        <w:tabs>
          <w:tab w:val="left" w:pos="1701"/>
          <w:tab w:val="left" w:pos="8264"/>
        </w:tabs>
        <w:ind w:left="1701" w:hanging="1701"/>
        <w:rPr>
          <w:szCs w:val="22"/>
          <w:lang w:val="hu-HU"/>
        </w:rPr>
      </w:pPr>
    </w:p>
    <w:p w14:paraId="29B5188C" w14:textId="77777777" w:rsidR="00653D32" w:rsidRDefault="00502314">
      <w:pPr>
        <w:tabs>
          <w:tab w:val="left" w:pos="567"/>
          <w:tab w:val="left" w:pos="709"/>
          <w:tab w:val="left" w:pos="8264"/>
        </w:tabs>
        <w:rPr>
          <w:szCs w:val="22"/>
          <w:lang w:val="hu-HU"/>
        </w:rPr>
      </w:pPr>
      <w:r>
        <w:rPr>
          <w:szCs w:val="22"/>
          <w:lang w:val="hu-HU"/>
        </w:rPr>
        <w:t>Felbontás után az infúziót azonnal fel kell használni.</w:t>
      </w:r>
    </w:p>
    <w:p w14:paraId="237B7852" w14:textId="77777777" w:rsidR="00653D32" w:rsidRDefault="00653D32">
      <w:pPr>
        <w:tabs>
          <w:tab w:val="left" w:pos="567"/>
          <w:tab w:val="left" w:pos="709"/>
          <w:tab w:val="left" w:pos="8264"/>
        </w:tabs>
        <w:rPr>
          <w:szCs w:val="22"/>
          <w:lang w:val="hu-HU"/>
        </w:rPr>
      </w:pPr>
    </w:p>
    <w:p w14:paraId="52C3A3E0" w14:textId="77777777" w:rsidR="00653D32" w:rsidRDefault="00502314">
      <w:pPr>
        <w:pStyle w:val="WW-Szvegtrzs212"/>
        <w:spacing w:line="240" w:lineRule="auto"/>
        <w:rPr>
          <w:szCs w:val="22"/>
          <w:lang w:val="hu-HU"/>
        </w:rPr>
      </w:pPr>
      <w:r>
        <w:rPr>
          <w:szCs w:val="22"/>
          <w:lang w:val="hu-HU"/>
        </w:rPr>
        <w:t>6.4</w:t>
      </w:r>
      <w:r>
        <w:rPr>
          <w:szCs w:val="22"/>
          <w:lang w:val="hu-HU"/>
        </w:rPr>
        <w:tab/>
        <w:t>Különleges tárolási előírások</w:t>
      </w:r>
    </w:p>
    <w:p w14:paraId="3672AA28" w14:textId="77777777" w:rsidR="00653D32" w:rsidRDefault="00653D32">
      <w:pPr>
        <w:tabs>
          <w:tab w:val="left" w:pos="567"/>
          <w:tab w:val="left" w:pos="709"/>
          <w:tab w:val="left" w:pos="8264"/>
        </w:tabs>
        <w:rPr>
          <w:szCs w:val="22"/>
          <w:lang w:val="hu-HU"/>
        </w:rPr>
      </w:pPr>
    </w:p>
    <w:p w14:paraId="67F69BF1" w14:textId="77777777" w:rsidR="00653D32" w:rsidRDefault="00502314">
      <w:pPr>
        <w:rPr>
          <w:noProof/>
          <w:szCs w:val="22"/>
          <w:lang w:val="hu-HU"/>
        </w:rPr>
      </w:pPr>
      <w:r>
        <w:rPr>
          <w:noProof/>
          <w:lang w:val="hu-HU"/>
        </w:rPr>
        <w:t>Ez a gyógyszer nem igényel különleges tárolást.</w:t>
      </w:r>
    </w:p>
    <w:p w14:paraId="7AC95D77" w14:textId="77777777" w:rsidR="00653D32" w:rsidRDefault="00653D32">
      <w:pPr>
        <w:rPr>
          <w:noProof/>
          <w:szCs w:val="22"/>
          <w:lang w:val="hu-HU"/>
        </w:rPr>
      </w:pPr>
    </w:p>
    <w:p w14:paraId="1A13942C" w14:textId="77777777" w:rsidR="00653D32" w:rsidRDefault="00502314">
      <w:pPr>
        <w:pStyle w:val="WW-Szvegtrzs212"/>
        <w:spacing w:line="240" w:lineRule="auto"/>
        <w:rPr>
          <w:szCs w:val="22"/>
          <w:lang w:val="hu-HU"/>
        </w:rPr>
      </w:pPr>
      <w:r>
        <w:rPr>
          <w:szCs w:val="22"/>
          <w:lang w:val="hu-HU"/>
        </w:rPr>
        <w:t>6.5</w:t>
      </w:r>
      <w:r>
        <w:rPr>
          <w:szCs w:val="22"/>
          <w:lang w:val="hu-HU"/>
        </w:rPr>
        <w:tab/>
        <w:t>Csomagolás típusa és kiszerelése</w:t>
      </w:r>
    </w:p>
    <w:p w14:paraId="7C280BDC" w14:textId="77777777" w:rsidR="00653D32" w:rsidRDefault="00653D32">
      <w:pPr>
        <w:tabs>
          <w:tab w:val="left" w:pos="567"/>
          <w:tab w:val="left" w:pos="1204"/>
          <w:tab w:val="left" w:pos="8264"/>
        </w:tabs>
        <w:rPr>
          <w:szCs w:val="22"/>
          <w:lang w:val="hu-HU"/>
        </w:rPr>
      </w:pPr>
    </w:p>
    <w:p w14:paraId="275BF9C0" w14:textId="77777777" w:rsidR="00653D32" w:rsidRDefault="00502314">
      <w:pPr>
        <w:tabs>
          <w:tab w:val="left" w:pos="567"/>
          <w:tab w:val="left" w:pos="1204"/>
          <w:tab w:val="left" w:pos="8264"/>
        </w:tabs>
        <w:rPr>
          <w:szCs w:val="22"/>
          <w:lang w:val="hu-HU"/>
        </w:rPr>
      </w:pPr>
      <w:r>
        <w:rPr>
          <w:szCs w:val="22"/>
          <w:lang w:val="hu-HU"/>
        </w:rPr>
        <w:t xml:space="preserve">250 ml-es, klórbutil vagy butil (etilén-tetrafluoretilén bevonatú) gumidugóval és műanyag </w:t>
      </w:r>
      <w:r>
        <w:rPr>
          <w:iCs/>
        </w:rPr>
        <w:t xml:space="preserve">letéphető füles </w:t>
      </w:r>
      <w:r>
        <w:rPr>
          <w:szCs w:val="22"/>
          <w:lang w:val="hu-HU"/>
        </w:rPr>
        <w:t>alumínium kupakkal lezárt infúziós üveg (színtelen, II</w:t>
      </w:r>
      <w:r>
        <w:rPr>
          <w:szCs w:val="22"/>
          <w:lang w:val="hu-HU"/>
        </w:rPr>
        <w:noBreakHyphen/>
        <w:t xml:space="preserve">es típusú). </w:t>
      </w:r>
    </w:p>
    <w:p w14:paraId="0E88F3EC" w14:textId="77777777" w:rsidR="00653D32" w:rsidRDefault="00653D32">
      <w:pPr>
        <w:tabs>
          <w:tab w:val="left" w:pos="567"/>
          <w:tab w:val="left" w:pos="1204"/>
          <w:tab w:val="left" w:pos="8264"/>
        </w:tabs>
        <w:rPr>
          <w:szCs w:val="22"/>
          <w:lang w:val="hu-HU"/>
        </w:rPr>
      </w:pPr>
    </w:p>
    <w:p w14:paraId="37026EEA" w14:textId="77777777" w:rsidR="00653D32" w:rsidRDefault="00502314">
      <w:pPr>
        <w:tabs>
          <w:tab w:val="left" w:pos="567"/>
          <w:tab w:val="left" w:pos="1204"/>
          <w:tab w:val="left" w:pos="8264"/>
        </w:tabs>
        <w:rPr>
          <w:szCs w:val="22"/>
          <w:lang w:val="hu-HU" w:eastAsia="hu-HU"/>
        </w:rPr>
      </w:pPr>
      <w:r>
        <w:rPr>
          <w:szCs w:val="22"/>
          <w:lang w:val="hu-HU" w:eastAsia="hu-HU"/>
        </w:rPr>
        <w:t>250 ml oldatos infúziót tartalmaz</w:t>
      </w:r>
      <w:r>
        <w:rPr>
          <w:szCs w:val="22"/>
          <w:lang w:val="hu-HU"/>
        </w:rPr>
        <w:t xml:space="preserve"> infúziós üvegenként</w:t>
      </w:r>
      <w:r>
        <w:rPr>
          <w:szCs w:val="22"/>
          <w:lang w:val="hu-HU" w:eastAsia="hu-HU"/>
        </w:rPr>
        <w:t>.</w:t>
      </w:r>
    </w:p>
    <w:p w14:paraId="7365DA1A" w14:textId="77777777" w:rsidR="00653D32" w:rsidRDefault="00653D32">
      <w:pPr>
        <w:tabs>
          <w:tab w:val="left" w:pos="567"/>
          <w:tab w:val="left" w:pos="1204"/>
          <w:tab w:val="left" w:pos="8264"/>
        </w:tabs>
        <w:rPr>
          <w:szCs w:val="22"/>
          <w:lang w:val="hu-HU" w:eastAsia="hu-HU"/>
        </w:rPr>
      </w:pPr>
    </w:p>
    <w:p w14:paraId="256D0225" w14:textId="77777777" w:rsidR="00653D32" w:rsidRDefault="00502314">
      <w:pPr>
        <w:tabs>
          <w:tab w:val="left" w:pos="567"/>
          <w:tab w:val="left" w:pos="1204"/>
          <w:tab w:val="left" w:pos="8264"/>
        </w:tabs>
        <w:rPr>
          <w:szCs w:val="22"/>
          <w:lang w:val="hu-HU"/>
        </w:rPr>
      </w:pPr>
      <w:r>
        <w:rPr>
          <w:szCs w:val="22"/>
          <w:lang w:val="hu-HU" w:eastAsia="hu-HU"/>
        </w:rPr>
        <w:t>1, 5, vagy 10 db infúziós üveg dobozban.</w:t>
      </w:r>
    </w:p>
    <w:p w14:paraId="61F81217" w14:textId="77777777" w:rsidR="00653D32" w:rsidRDefault="00653D32">
      <w:pPr>
        <w:tabs>
          <w:tab w:val="left" w:pos="567"/>
          <w:tab w:val="left" w:pos="1204"/>
          <w:tab w:val="left" w:pos="8264"/>
        </w:tabs>
        <w:rPr>
          <w:szCs w:val="22"/>
          <w:lang w:val="hu-HU"/>
        </w:rPr>
      </w:pPr>
    </w:p>
    <w:p w14:paraId="04DAF598" w14:textId="77777777" w:rsidR="00653D32" w:rsidRDefault="00502314">
      <w:pPr>
        <w:tabs>
          <w:tab w:val="left" w:pos="567"/>
          <w:tab w:val="left" w:pos="1204"/>
          <w:tab w:val="left" w:pos="8264"/>
        </w:tabs>
        <w:rPr>
          <w:bCs/>
          <w:szCs w:val="22"/>
          <w:lang w:val="hu-HU"/>
        </w:rPr>
      </w:pPr>
      <w:r>
        <w:rPr>
          <w:bCs/>
          <w:szCs w:val="22"/>
          <w:lang w:val="hu-HU"/>
        </w:rPr>
        <w:t>Nem feltétlenül mindegyik kiszerelés kerül kereskedelmi forgalomba.</w:t>
      </w:r>
    </w:p>
    <w:p w14:paraId="5F0C77A6" w14:textId="77777777" w:rsidR="00653D32" w:rsidRDefault="00653D32">
      <w:pPr>
        <w:tabs>
          <w:tab w:val="left" w:pos="567"/>
          <w:tab w:val="left" w:pos="1204"/>
          <w:tab w:val="left" w:pos="8264"/>
        </w:tabs>
        <w:rPr>
          <w:szCs w:val="22"/>
          <w:lang w:val="hu-HU"/>
        </w:rPr>
      </w:pPr>
    </w:p>
    <w:p w14:paraId="7C56F451" w14:textId="77777777" w:rsidR="00653D32" w:rsidRDefault="00502314">
      <w:pPr>
        <w:pStyle w:val="WW-Szvegtrzs212"/>
        <w:spacing w:line="240" w:lineRule="auto"/>
        <w:rPr>
          <w:szCs w:val="22"/>
          <w:lang w:val="hu-HU"/>
        </w:rPr>
      </w:pPr>
      <w:r>
        <w:rPr>
          <w:szCs w:val="22"/>
          <w:lang w:val="hu-HU"/>
        </w:rPr>
        <w:t>6.6</w:t>
      </w:r>
      <w:r>
        <w:rPr>
          <w:szCs w:val="22"/>
          <w:lang w:val="hu-HU"/>
        </w:rPr>
        <w:tab/>
      </w:r>
      <w:r>
        <w:rPr>
          <w:noProof/>
          <w:szCs w:val="22"/>
          <w:lang w:val="hu-HU"/>
        </w:rPr>
        <w:t>A megsemmisítésre vonatkozó különleges óvintézkedések</w:t>
      </w:r>
      <w:r>
        <w:rPr>
          <w:szCs w:val="22"/>
          <w:lang w:val="hu-HU"/>
        </w:rPr>
        <w:t xml:space="preserve"> </w:t>
      </w:r>
      <w:r>
        <w:rPr>
          <w:noProof/>
          <w:szCs w:val="22"/>
          <w:lang w:val="hu-HU"/>
        </w:rPr>
        <w:t>és egyéb, a készítmény kezelésével kapcsolatos információk</w:t>
      </w:r>
    </w:p>
    <w:p w14:paraId="2EE7BF8A" w14:textId="77777777" w:rsidR="00653D32" w:rsidRDefault="00653D32">
      <w:pPr>
        <w:tabs>
          <w:tab w:val="left" w:pos="567"/>
          <w:tab w:val="left" w:pos="1204"/>
          <w:tab w:val="left" w:pos="8264"/>
        </w:tabs>
        <w:rPr>
          <w:szCs w:val="22"/>
          <w:lang w:val="hu-HU"/>
        </w:rPr>
      </w:pPr>
    </w:p>
    <w:p w14:paraId="0BABCB35" w14:textId="77777777" w:rsidR="00653D32" w:rsidRDefault="00502314">
      <w:pPr>
        <w:tabs>
          <w:tab w:val="left" w:pos="567"/>
          <w:tab w:val="left" w:pos="1204"/>
          <w:tab w:val="left" w:pos="8264"/>
        </w:tabs>
        <w:rPr>
          <w:szCs w:val="22"/>
          <w:lang w:val="hu-HU"/>
        </w:rPr>
      </w:pPr>
      <w:r>
        <w:rPr>
          <w:szCs w:val="22"/>
          <w:lang w:val="hu-HU"/>
        </w:rPr>
        <w:t>Ez a gyógyszer kizárólag egyszeri alkalmazásra szolgál. A fel nem használt oldatot a helyi előírásoknak megfelelően meg kell semmisíteni.</w:t>
      </w:r>
    </w:p>
    <w:p w14:paraId="589F5AF6" w14:textId="77777777" w:rsidR="00653D32" w:rsidRDefault="00653D32">
      <w:pPr>
        <w:tabs>
          <w:tab w:val="left" w:pos="567"/>
          <w:tab w:val="left" w:pos="1204"/>
          <w:tab w:val="left" w:pos="8264"/>
        </w:tabs>
        <w:rPr>
          <w:szCs w:val="22"/>
          <w:lang w:val="hu-HU"/>
        </w:rPr>
      </w:pPr>
    </w:p>
    <w:p w14:paraId="74717DBC" w14:textId="77777777" w:rsidR="00653D32" w:rsidRDefault="00502314">
      <w:pPr>
        <w:tabs>
          <w:tab w:val="left" w:pos="567"/>
          <w:tab w:val="left" w:pos="1204"/>
          <w:tab w:val="left" w:pos="8264"/>
        </w:tabs>
        <w:rPr>
          <w:szCs w:val="22"/>
          <w:lang w:val="hu-HU"/>
        </w:rPr>
      </w:pPr>
      <w:r>
        <w:rPr>
          <w:szCs w:val="22"/>
          <w:lang w:val="hu-HU"/>
        </w:rPr>
        <w:t>A következő infúziós oldatok bizonyultak kompatibilisnek a 400 mg/250 ml moxifloxacin infúziós oldattal:</w:t>
      </w:r>
    </w:p>
    <w:p w14:paraId="40F1847E" w14:textId="77777777" w:rsidR="00653D32" w:rsidRDefault="00502314">
      <w:pPr>
        <w:tabs>
          <w:tab w:val="left" w:pos="567"/>
          <w:tab w:val="left" w:pos="1204"/>
          <w:tab w:val="left" w:pos="8264"/>
        </w:tabs>
        <w:rPr>
          <w:szCs w:val="22"/>
          <w:lang w:val="hu-HU"/>
        </w:rPr>
      </w:pPr>
      <w:r>
        <w:rPr>
          <w:szCs w:val="22"/>
          <w:lang w:val="hu-HU"/>
        </w:rPr>
        <w:t>Injekcióhoz való víz, 0,9%</w:t>
      </w:r>
      <w:r>
        <w:rPr>
          <w:szCs w:val="22"/>
          <w:lang w:val="hu-HU"/>
        </w:rPr>
        <w:noBreakHyphen/>
        <w:t>os (9 mg/ml) nátrium-klorid-oldat, 1 mólos (1 mol/l) nátrium-klorid-oldat, 5%/10%/40%</w:t>
      </w:r>
      <w:r>
        <w:rPr>
          <w:szCs w:val="22"/>
          <w:lang w:val="hu-HU"/>
        </w:rPr>
        <w:noBreakHyphen/>
        <w:t>os (50 mg/ml, 100 mg/ml, 400 mg/ml) glükóz-oldat, 20%</w:t>
      </w:r>
      <w:r>
        <w:rPr>
          <w:szCs w:val="22"/>
          <w:lang w:val="hu-HU"/>
        </w:rPr>
        <w:noBreakHyphen/>
        <w:t>os (200 mg/ml) xilit-oldat, Ringer-oldat, összetett nátrium-laktát-oldat (Hartmann-oldat, Ringer</w:t>
      </w:r>
      <w:r>
        <w:rPr>
          <w:szCs w:val="22"/>
          <w:lang w:val="hu-HU"/>
        </w:rPr>
        <w:noBreakHyphen/>
        <w:t>laktát-oldat).</w:t>
      </w:r>
    </w:p>
    <w:p w14:paraId="0C749E88" w14:textId="77777777" w:rsidR="00653D32" w:rsidRDefault="00653D32">
      <w:pPr>
        <w:tabs>
          <w:tab w:val="left" w:pos="567"/>
          <w:tab w:val="left" w:pos="1204"/>
          <w:tab w:val="left" w:pos="8264"/>
        </w:tabs>
        <w:rPr>
          <w:szCs w:val="22"/>
          <w:lang w:val="hu-HU"/>
        </w:rPr>
      </w:pPr>
    </w:p>
    <w:p w14:paraId="70F28931" w14:textId="77777777" w:rsidR="00653D32" w:rsidRDefault="00502314">
      <w:pPr>
        <w:pStyle w:val="Szvegtrzs3"/>
        <w:tabs>
          <w:tab w:val="left" w:pos="567"/>
        </w:tabs>
        <w:spacing w:after="0"/>
        <w:rPr>
          <w:sz w:val="22"/>
          <w:szCs w:val="22"/>
          <w:lang w:val="hu-HU"/>
        </w:rPr>
      </w:pPr>
      <w:r>
        <w:rPr>
          <w:sz w:val="22"/>
          <w:szCs w:val="22"/>
          <w:lang w:val="hu-HU"/>
        </w:rPr>
        <w:t>A moxifloxacin oldatos infúzió nem infundálható együtt egyéb gyógyszerekkel.</w:t>
      </w:r>
    </w:p>
    <w:p w14:paraId="23860913" w14:textId="77777777" w:rsidR="00653D32" w:rsidRDefault="00653D32">
      <w:pPr>
        <w:pStyle w:val="Szvegtrzs3"/>
        <w:tabs>
          <w:tab w:val="left" w:pos="567"/>
        </w:tabs>
        <w:spacing w:after="0"/>
        <w:rPr>
          <w:sz w:val="22"/>
          <w:szCs w:val="22"/>
          <w:lang w:val="hu-HU"/>
        </w:rPr>
      </w:pPr>
    </w:p>
    <w:p w14:paraId="6816E382" w14:textId="77777777" w:rsidR="00653D32" w:rsidRDefault="00502314">
      <w:pPr>
        <w:tabs>
          <w:tab w:val="left" w:pos="567"/>
          <w:tab w:val="left" w:pos="709"/>
          <w:tab w:val="left" w:pos="8264"/>
        </w:tabs>
        <w:rPr>
          <w:szCs w:val="22"/>
          <w:lang w:val="hu-HU"/>
        </w:rPr>
      </w:pPr>
      <w:r>
        <w:rPr>
          <w:szCs w:val="22"/>
          <w:lang w:val="hu-HU"/>
        </w:rPr>
        <w:t>Ne használja fel az oldatot, ha abban bármilyen látható részecske van, vagy az oldat zavaros.</w:t>
      </w:r>
    </w:p>
    <w:p w14:paraId="5122E89D" w14:textId="77777777" w:rsidR="00653D32" w:rsidRDefault="00653D32">
      <w:pPr>
        <w:tabs>
          <w:tab w:val="left" w:pos="567"/>
          <w:tab w:val="left" w:pos="1204"/>
          <w:tab w:val="left" w:pos="8264"/>
        </w:tabs>
        <w:rPr>
          <w:szCs w:val="22"/>
          <w:lang w:val="hu-HU"/>
        </w:rPr>
      </w:pPr>
    </w:p>
    <w:p w14:paraId="4342A893" w14:textId="77777777" w:rsidR="00653D32" w:rsidRDefault="00502314">
      <w:pPr>
        <w:suppressAutoHyphens/>
        <w:rPr>
          <w:szCs w:val="22"/>
          <w:lang w:val="hu-HU"/>
        </w:rPr>
      </w:pPr>
      <w:r>
        <w:rPr>
          <w:rFonts w:eastAsia="Calibri"/>
          <w:lang w:val="hu-HU" w:eastAsia="hu-HU"/>
        </w:rPr>
        <w:t>Bármilyen fel nem használt gyógyszer, illetve hulladékanyag megsemmisítését a gyógyszerekre vonatkozó előírások szerint kell végrehajtani.</w:t>
      </w:r>
    </w:p>
    <w:p w14:paraId="6F49EB90" w14:textId="77777777" w:rsidR="00653D32" w:rsidRDefault="00653D32">
      <w:pPr>
        <w:tabs>
          <w:tab w:val="left" w:pos="567"/>
          <w:tab w:val="left" w:pos="1204"/>
          <w:tab w:val="left" w:pos="8264"/>
        </w:tabs>
        <w:rPr>
          <w:szCs w:val="22"/>
          <w:lang w:val="hu-HU"/>
        </w:rPr>
      </w:pPr>
    </w:p>
    <w:p w14:paraId="01DEDD31" w14:textId="77777777" w:rsidR="00653D32" w:rsidRDefault="00502314">
      <w:pPr>
        <w:rPr>
          <w:szCs w:val="22"/>
        </w:rPr>
      </w:pPr>
      <w:r>
        <w:rPr>
          <w:b/>
          <w:bCs/>
          <w:szCs w:val="22"/>
        </w:rPr>
        <w:t>Megjegyzés</w:t>
      </w:r>
      <w:r>
        <w:rPr>
          <w:szCs w:val="22"/>
        </w:rPr>
        <w:t xml:space="preserve">: </w:t>
      </w:r>
      <w:r>
        <w:rPr>
          <w:szCs w:val="22"/>
        </w:rPr>
        <w:sym w:font="Wingdings" w:char="F058"/>
      </w:r>
      <w:r>
        <w:rPr>
          <w:szCs w:val="22"/>
        </w:rPr>
        <w:sym w:font="Wingdings" w:char="F058"/>
      </w:r>
      <w:r>
        <w:rPr>
          <w:szCs w:val="22"/>
        </w:rPr>
        <w:t xml:space="preserve"> (két kereszt)</w:t>
      </w:r>
    </w:p>
    <w:p w14:paraId="5DD8473D" w14:textId="77777777" w:rsidR="00653D32" w:rsidRDefault="00502314">
      <w:pPr>
        <w:pStyle w:val="Cmsor2"/>
        <w:tabs>
          <w:tab w:val="left" w:pos="1890"/>
        </w:tabs>
        <w:spacing w:before="0" w:after="0"/>
        <w:rPr>
          <w:rFonts w:ascii="Times New Roman" w:hAnsi="Times New Roman" w:cs="Times New Roman"/>
          <w:i w:val="0"/>
          <w:sz w:val="22"/>
          <w:szCs w:val="22"/>
        </w:rPr>
      </w:pPr>
      <w:r>
        <w:rPr>
          <w:rFonts w:ascii="Times New Roman" w:hAnsi="Times New Roman" w:cs="Times New Roman"/>
          <w:b w:val="0"/>
          <w:bCs w:val="0"/>
          <w:i w:val="0"/>
          <w:sz w:val="22"/>
          <w:szCs w:val="22"/>
        </w:rPr>
        <w:t xml:space="preserve">Osztályozás: </w:t>
      </w:r>
      <w:r>
        <w:rPr>
          <w:rFonts w:ascii="Times New Roman" w:hAnsi="Times New Roman" w:cs="Times New Roman"/>
          <w:i w:val="0"/>
          <w:sz w:val="22"/>
          <w:szCs w:val="22"/>
        </w:rPr>
        <w:t>II./3 csoport</w:t>
      </w:r>
    </w:p>
    <w:p w14:paraId="4D31CFF8" w14:textId="77777777" w:rsidR="00653D32" w:rsidRDefault="00502314">
      <w:pPr>
        <w:rPr>
          <w:bCs/>
          <w:szCs w:val="22"/>
        </w:rPr>
      </w:pPr>
      <w:r>
        <w:rPr>
          <w:szCs w:val="22"/>
        </w:rPr>
        <w:t>Korlátozott érvényű orvosi rendelvényhez kötött, az egészségügyről szóló 1997. évi CLIV. törvény 3. §-ának ga) pontja szerinti rendelőintézeti járóbeteg-szakellátást vagy fekvőbeteg-szakellátást nyújtó szolgáltatók által biztosított körülmények között alkalmazható gyógyszer</w:t>
      </w:r>
      <w:r>
        <w:rPr>
          <w:bCs/>
          <w:szCs w:val="22"/>
        </w:rPr>
        <w:t xml:space="preserve"> (I).</w:t>
      </w:r>
    </w:p>
    <w:p w14:paraId="0B0441A7" w14:textId="77777777" w:rsidR="00653D32" w:rsidRDefault="00653D32">
      <w:pPr>
        <w:suppressAutoHyphens/>
        <w:rPr>
          <w:rFonts w:eastAsia="Times New Roman"/>
          <w:szCs w:val="22"/>
          <w:lang w:val="hu-HU" w:eastAsia="ar-SA"/>
        </w:rPr>
      </w:pPr>
    </w:p>
    <w:p w14:paraId="3D574E01" w14:textId="77777777" w:rsidR="00653D32" w:rsidRDefault="00653D32">
      <w:pPr>
        <w:tabs>
          <w:tab w:val="left" w:pos="567"/>
          <w:tab w:val="left" w:pos="1204"/>
          <w:tab w:val="left" w:pos="8264"/>
        </w:tabs>
        <w:rPr>
          <w:szCs w:val="22"/>
          <w:lang w:val="hu-HU"/>
        </w:rPr>
      </w:pPr>
    </w:p>
    <w:p w14:paraId="595847E4" w14:textId="77777777" w:rsidR="00653D32" w:rsidRDefault="00502314">
      <w:pPr>
        <w:pStyle w:val="WW-Szvegtrzs212"/>
        <w:spacing w:line="240" w:lineRule="auto"/>
        <w:rPr>
          <w:szCs w:val="22"/>
          <w:lang w:val="hu-HU"/>
        </w:rPr>
      </w:pPr>
      <w:r>
        <w:rPr>
          <w:szCs w:val="22"/>
          <w:lang w:val="hu-HU"/>
        </w:rPr>
        <w:t>7.</w:t>
      </w:r>
      <w:r>
        <w:rPr>
          <w:szCs w:val="22"/>
          <w:lang w:val="hu-HU"/>
        </w:rPr>
        <w:tab/>
        <w:t>A FORGALOMBA HOZATALI ENGEDÉLY JOGOSULTJA</w:t>
      </w:r>
    </w:p>
    <w:p w14:paraId="2ACAD344" w14:textId="77777777" w:rsidR="00653D32" w:rsidRDefault="00653D32">
      <w:pPr>
        <w:tabs>
          <w:tab w:val="left" w:pos="567"/>
          <w:tab w:val="left" w:pos="1204"/>
          <w:tab w:val="left" w:pos="8264"/>
        </w:tabs>
        <w:rPr>
          <w:szCs w:val="22"/>
          <w:lang w:val="hu-HU"/>
        </w:rPr>
      </w:pPr>
    </w:p>
    <w:p w14:paraId="42179E96" w14:textId="77777777" w:rsidR="00653D32" w:rsidRDefault="00502314">
      <w:pPr>
        <w:autoSpaceDE w:val="0"/>
        <w:autoSpaceDN w:val="0"/>
        <w:adjustRightInd w:val="0"/>
        <w:rPr>
          <w:szCs w:val="22"/>
          <w:lang w:val="hu-HU"/>
        </w:rPr>
      </w:pPr>
      <w:r>
        <w:rPr>
          <w:szCs w:val="22"/>
          <w:lang w:val="hu-HU"/>
        </w:rPr>
        <w:t>KRKA d.d., Novo mesto, Šmarješka cesta 6, 8501 Novo mesto, Szlovénia</w:t>
      </w:r>
    </w:p>
    <w:p w14:paraId="1F2BB3E4" w14:textId="77777777" w:rsidR="00653D32" w:rsidRDefault="00653D32">
      <w:pPr>
        <w:autoSpaceDE w:val="0"/>
        <w:autoSpaceDN w:val="0"/>
        <w:adjustRightInd w:val="0"/>
        <w:rPr>
          <w:szCs w:val="22"/>
          <w:lang w:val="hu-HU"/>
        </w:rPr>
      </w:pPr>
    </w:p>
    <w:p w14:paraId="6AA0EBAC" w14:textId="77777777" w:rsidR="00653D32" w:rsidRDefault="00653D32">
      <w:pPr>
        <w:autoSpaceDE w:val="0"/>
        <w:autoSpaceDN w:val="0"/>
        <w:adjustRightInd w:val="0"/>
        <w:rPr>
          <w:szCs w:val="22"/>
          <w:lang w:val="hu-HU"/>
        </w:rPr>
      </w:pPr>
    </w:p>
    <w:p w14:paraId="3A7E0804" w14:textId="77777777" w:rsidR="00653D32" w:rsidRDefault="00502314">
      <w:pPr>
        <w:pStyle w:val="WW-Szvegtrzs212"/>
        <w:spacing w:line="240" w:lineRule="auto"/>
        <w:rPr>
          <w:szCs w:val="22"/>
          <w:lang w:val="hu-HU"/>
        </w:rPr>
      </w:pPr>
      <w:r>
        <w:rPr>
          <w:szCs w:val="22"/>
          <w:lang w:val="hu-HU"/>
        </w:rPr>
        <w:t>8.</w:t>
      </w:r>
      <w:r>
        <w:rPr>
          <w:szCs w:val="22"/>
          <w:lang w:val="hu-HU"/>
        </w:rPr>
        <w:tab/>
        <w:t>A FORGALOMBA HOZATALI ENGEDÉLY SZÁMA(I)</w:t>
      </w:r>
    </w:p>
    <w:p w14:paraId="100655D3" w14:textId="77777777" w:rsidR="00653D32" w:rsidRDefault="00653D32">
      <w:pPr>
        <w:pStyle w:val="Cmsor4"/>
        <w:keepNext w:val="0"/>
        <w:tabs>
          <w:tab w:val="left" w:pos="567"/>
          <w:tab w:val="left" w:pos="1204"/>
          <w:tab w:val="left" w:pos="8264"/>
        </w:tabs>
        <w:rPr>
          <w:sz w:val="22"/>
          <w:szCs w:val="22"/>
        </w:rPr>
      </w:pPr>
    </w:p>
    <w:p w14:paraId="5E17475B" w14:textId="77777777" w:rsidR="00653D32" w:rsidRDefault="00502314">
      <w:pPr>
        <w:rPr>
          <w:szCs w:val="22"/>
          <w:lang w:val="hu-HU" w:eastAsia="hu-HU"/>
        </w:rPr>
      </w:pPr>
      <w:r>
        <w:rPr>
          <w:szCs w:val="22"/>
        </w:rPr>
        <w:t>OGYI-T-22664/09</w:t>
      </w:r>
      <w:r>
        <w:rPr>
          <w:szCs w:val="22"/>
        </w:rPr>
        <w:tab/>
        <w:t>1×</w:t>
      </w:r>
      <w:r>
        <w:rPr>
          <w:szCs w:val="22"/>
        </w:rPr>
        <w:tab/>
        <w:t>250 ml-es, színtelen, II-es típusú üvegben</w:t>
      </w:r>
    </w:p>
    <w:p w14:paraId="3E1967BE" w14:textId="77777777" w:rsidR="00653D32" w:rsidRDefault="00502314">
      <w:pPr>
        <w:rPr>
          <w:szCs w:val="22"/>
        </w:rPr>
      </w:pPr>
      <w:r>
        <w:rPr>
          <w:szCs w:val="22"/>
        </w:rPr>
        <w:t>OGYI-T-22664/10</w:t>
      </w:r>
      <w:r>
        <w:rPr>
          <w:szCs w:val="22"/>
        </w:rPr>
        <w:tab/>
        <w:t>5×</w:t>
      </w:r>
      <w:r>
        <w:rPr>
          <w:szCs w:val="22"/>
        </w:rPr>
        <w:tab/>
        <w:t>250 ml-es, színtelen, II-es típusú üvegben</w:t>
      </w:r>
    </w:p>
    <w:p w14:paraId="6FADBD43" w14:textId="77777777" w:rsidR="00653D32" w:rsidRDefault="00502314">
      <w:pPr>
        <w:rPr>
          <w:szCs w:val="22"/>
        </w:rPr>
      </w:pPr>
      <w:r>
        <w:rPr>
          <w:szCs w:val="22"/>
        </w:rPr>
        <w:t>OGYI-T-22664/11</w:t>
      </w:r>
      <w:r>
        <w:rPr>
          <w:szCs w:val="22"/>
        </w:rPr>
        <w:tab/>
        <w:t>10×</w:t>
      </w:r>
      <w:r>
        <w:rPr>
          <w:szCs w:val="22"/>
        </w:rPr>
        <w:tab/>
        <w:t>250 ml-es, színtelen, II-es típusú üvegben</w:t>
      </w:r>
    </w:p>
    <w:p w14:paraId="774299FD" w14:textId="77777777" w:rsidR="00653D32" w:rsidRDefault="00653D32">
      <w:pPr>
        <w:tabs>
          <w:tab w:val="left" w:pos="567"/>
          <w:tab w:val="left" w:pos="1204"/>
          <w:tab w:val="left" w:pos="8264"/>
        </w:tabs>
        <w:rPr>
          <w:szCs w:val="22"/>
          <w:lang w:val="hu-HU"/>
        </w:rPr>
      </w:pPr>
    </w:p>
    <w:p w14:paraId="511A796B" w14:textId="77777777" w:rsidR="00653D32" w:rsidRDefault="00653D32">
      <w:pPr>
        <w:tabs>
          <w:tab w:val="left" w:pos="567"/>
          <w:tab w:val="left" w:pos="1204"/>
          <w:tab w:val="left" w:pos="8264"/>
        </w:tabs>
        <w:rPr>
          <w:szCs w:val="22"/>
          <w:lang w:val="hu-HU"/>
        </w:rPr>
      </w:pPr>
    </w:p>
    <w:p w14:paraId="7FB0D71B" w14:textId="77777777" w:rsidR="00653D32" w:rsidRDefault="00502314">
      <w:pPr>
        <w:ind w:left="567" w:hanging="567"/>
        <w:rPr>
          <w:b/>
          <w:szCs w:val="22"/>
          <w:lang w:val="hu-HU"/>
        </w:rPr>
      </w:pPr>
      <w:r>
        <w:rPr>
          <w:b/>
          <w:szCs w:val="22"/>
          <w:lang w:val="hu-HU"/>
        </w:rPr>
        <w:t>9.</w:t>
      </w:r>
      <w:r>
        <w:rPr>
          <w:b/>
          <w:szCs w:val="22"/>
          <w:lang w:val="hu-HU"/>
        </w:rPr>
        <w:tab/>
        <w:t>A FORGALOMBA HOZATALI ENGEDÉLY ELSŐ KIADÁSÁNAK/ MEGÚJÍTÁSÁNAK DÁTUMA</w:t>
      </w:r>
    </w:p>
    <w:p w14:paraId="3E3933D3" w14:textId="77777777" w:rsidR="00653D32" w:rsidRDefault="00653D32">
      <w:pPr>
        <w:rPr>
          <w:szCs w:val="22"/>
          <w:lang w:val="hu-HU"/>
        </w:rPr>
      </w:pPr>
    </w:p>
    <w:p w14:paraId="3385F9CC" w14:textId="77777777" w:rsidR="00653D32" w:rsidRDefault="00502314">
      <w:pPr>
        <w:pStyle w:val="Cmsor4"/>
        <w:keepNext w:val="0"/>
        <w:tabs>
          <w:tab w:val="left" w:pos="567"/>
          <w:tab w:val="left" w:pos="1204"/>
          <w:tab w:val="left" w:pos="3402"/>
        </w:tabs>
        <w:rPr>
          <w:sz w:val="22"/>
          <w:szCs w:val="22"/>
        </w:rPr>
      </w:pPr>
      <w:r>
        <w:rPr>
          <w:noProof/>
          <w:sz w:val="22"/>
          <w:szCs w:val="22"/>
          <w:lang w:eastAsia="en-US"/>
        </w:rPr>
        <w:t>A forgalomba hozatali engedély első kiadásának dátuma: 2016. február 19.</w:t>
      </w:r>
    </w:p>
    <w:p w14:paraId="35CCE046" w14:textId="77777777" w:rsidR="00653D32" w:rsidRDefault="00653D32">
      <w:pPr>
        <w:rPr>
          <w:szCs w:val="22"/>
          <w:lang w:val="hu-HU"/>
        </w:rPr>
      </w:pPr>
    </w:p>
    <w:p w14:paraId="0FC4BD1E" w14:textId="77777777" w:rsidR="00653D32" w:rsidRDefault="00502314">
      <w:pPr>
        <w:rPr>
          <w:noProof/>
          <w:szCs w:val="22"/>
        </w:rPr>
      </w:pPr>
      <w:r>
        <w:rPr>
          <w:noProof/>
          <w:szCs w:val="22"/>
        </w:rPr>
        <w:t>A forgalomba hozatali engedély megújításának dátuma: 2019. október 2.</w:t>
      </w:r>
    </w:p>
    <w:p w14:paraId="0997D9A8" w14:textId="77777777" w:rsidR="00653D32" w:rsidRDefault="00653D32">
      <w:pPr>
        <w:rPr>
          <w:szCs w:val="22"/>
          <w:lang w:val="hu-HU"/>
        </w:rPr>
      </w:pPr>
    </w:p>
    <w:p w14:paraId="2185A686" w14:textId="77777777" w:rsidR="00653D32" w:rsidRDefault="00653D32">
      <w:pPr>
        <w:rPr>
          <w:szCs w:val="22"/>
          <w:lang w:val="hu-HU"/>
        </w:rPr>
      </w:pPr>
    </w:p>
    <w:p w14:paraId="1F5227C4" w14:textId="77777777" w:rsidR="00653D32" w:rsidRDefault="00502314">
      <w:pPr>
        <w:ind w:left="567" w:hanging="567"/>
        <w:rPr>
          <w:b/>
          <w:szCs w:val="22"/>
          <w:lang w:val="hu-HU"/>
        </w:rPr>
      </w:pPr>
      <w:r>
        <w:rPr>
          <w:b/>
          <w:szCs w:val="22"/>
          <w:lang w:val="hu-HU"/>
        </w:rPr>
        <w:t>10.</w:t>
      </w:r>
      <w:r>
        <w:rPr>
          <w:b/>
          <w:szCs w:val="22"/>
          <w:lang w:val="hu-HU"/>
        </w:rPr>
        <w:tab/>
        <w:t>A SZÖVEG ELLENŐRZÉSÉNEK DÁTUMA</w:t>
      </w:r>
    </w:p>
    <w:p w14:paraId="3E1C8A08" w14:textId="77777777" w:rsidR="00653D32" w:rsidRDefault="00653D32" w:rsidP="00074A0C">
      <w:pPr>
        <w:rPr>
          <w:rFonts w:eastAsia="Times New Roman"/>
          <w:szCs w:val="22"/>
          <w:lang w:val="hu-HU" w:eastAsia="x-none"/>
        </w:rPr>
      </w:pPr>
    </w:p>
    <w:p w14:paraId="67E83111" w14:textId="1CA36418" w:rsidR="00653D32" w:rsidRDefault="00072AA8">
      <w:pPr>
        <w:ind w:left="567" w:hanging="567"/>
        <w:rPr>
          <w:szCs w:val="22"/>
          <w:lang w:val="hu-HU"/>
        </w:rPr>
      </w:pPr>
      <w:r>
        <w:rPr>
          <w:szCs w:val="22"/>
          <w:lang w:val="hu-HU"/>
        </w:rPr>
        <w:t xml:space="preserve">2026. </w:t>
      </w:r>
      <w:r w:rsidR="00074A0C">
        <w:rPr>
          <w:szCs w:val="22"/>
          <w:lang w:val="hu-HU"/>
        </w:rPr>
        <w:t>szeptember 15.</w:t>
      </w:r>
    </w:p>
    <w:sectPr w:rsidR="00653D32">
      <w:headerReference w:type="even" r:id="rId9"/>
      <w:headerReference w:type="default" r:id="rId10"/>
      <w:footerReference w:type="first" r:id="rId11"/>
      <w:pgSz w:w="11907" w:h="16840"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183A8" w14:textId="77777777" w:rsidR="0070532F" w:rsidRDefault="0070532F">
      <w:r>
        <w:separator/>
      </w:r>
    </w:p>
  </w:endnote>
  <w:endnote w:type="continuationSeparator" w:id="0">
    <w:p w14:paraId="031CD7DA" w14:textId="77777777" w:rsidR="0070532F" w:rsidRDefault="0070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F32D7" w14:textId="0D385DD7" w:rsidR="00653D32" w:rsidRDefault="00072AA8">
    <w:pPr>
      <w:pStyle w:val="llb"/>
      <w:rPr>
        <w:sz w:val="18"/>
        <w:szCs w:val="18"/>
      </w:rPr>
    </w:pPr>
    <w:r w:rsidRPr="00072AA8">
      <w:rPr>
        <w:sz w:val="18"/>
        <w:szCs w:val="18"/>
        <w:lang w:val="hu-HU"/>
      </w:rPr>
      <w:t>NNGYK/ETGY/19813/2026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B8C32" w14:textId="77777777" w:rsidR="0070532F" w:rsidRDefault="0070532F">
      <w:r>
        <w:separator/>
      </w:r>
    </w:p>
  </w:footnote>
  <w:footnote w:type="continuationSeparator" w:id="0">
    <w:p w14:paraId="4013CB8A" w14:textId="77777777" w:rsidR="0070532F" w:rsidRDefault="00705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BF13B" w14:textId="77777777" w:rsidR="00653D32" w:rsidRDefault="00502314">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11D23D60" w14:textId="77777777" w:rsidR="00653D32" w:rsidRDefault="00653D3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E2926" w14:textId="77777777" w:rsidR="00653D32" w:rsidRDefault="00502314">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lang w:val="hu-HU"/>
      </w:rPr>
      <w:t>7</w:t>
    </w:r>
    <w:r>
      <w:rPr>
        <w:sz w:val="18"/>
        <w:szCs w:val="18"/>
      </w:rPr>
      <w:fldChar w:fldCharType="end"/>
    </w:r>
  </w:p>
  <w:p w14:paraId="640D6088" w14:textId="77777777" w:rsidR="00653D32" w:rsidRDefault="00653D3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16F32A1"/>
    <w:multiLevelType w:val="hybridMultilevel"/>
    <w:tmpl w:val="44D867E6"/>
    <w:lvl w:ilvl="0" w:tplc="DE5AD7D8">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15:restartNumberingAfterBreak="0">
    <w:nsid w:val="030E50C0"/>
    <w:multiLevelType w:val="hybridMultilevel"/>
    <w:tmpl w:val="F8EC13C8"/>
    <w:lvl w:ilvl="0" w:tplc="DE5AD7D8">
      <w:start w:val="1"/>
      <w:numFmt w:val="bullet"/>
      <w:lvlText w:val=""/>
      <w:lvlJc w:val="left"/>
      <w:pPr>
        <w:tabs>
          <w:tab w:val="num" w:pos="227"/>
        </w:tabs>
        <w:ind w:left="227" w:hanging="227"/>
      </w:pPr>
      <w:rPr>
        <w:rFonts w:ascii="Symbol" w:hAnsi="Symbol" w:hint="default"/>
        <w:color w:val="auto"/>
      </w:rPr>
    </w:lvl>
    <w:lvl w:ilvl="1" w:tplc="DE5AD7D8">
      <w:start w:val="1"/>
      <w:numFmt w:val="bullet"/>
      <w:lvlText w:val=""/>
      <w:lvlJc w:val="left"/>
      <w:pPr>
        <w:tabs>
          <w:tab w:val="num" w:pos="1437"/>
        </w:tabs>
        <w:ind w:left="1437" w:hanging="357"/>
      </w:pPr>
      <w:rPr>
        <w:rFonts w:ascii="Symbol" w:hAnsi="Symbol" w:hint="default"/>
        <w:color w:val="auto"/>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7600EE"/>
    <w:multiLevelType w:val="hybridMultilevel"/>
    <w:tmpl w:val="9506B25A"/>
    <w:lvl w:ilvl="0" w:tplc="DE5AD7D8">
      <w:start w:val="1"/>
      <w:numFmt w:val="bullet"/>
      <w:lvlText w:val=""/>
      <w:lvlJc w:val="left"/>
      <w:pPr>
        <w:tabs>
          <w:tab w:val="num" w:pos="227"/>
        </w:tabs>
        <w:ind w:left="227" w:hanging="227"/>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6D268F"/>
    <w:multiLevelType w:val="hybridMultilevel"/>
    <w:tmpl w:val="C1F2F4F8"/>
    <w:lvl w:ilvl="0" w:tplc="34AE60CA">
      <w:start w:val="2"/>
      <w:numFmt w:val="decimal"/>
      <w:lvlText w:val="%1."/>
      <w:lvlJc w:val="left"/>
      <w:pPr>
        <w:tabs>
          <w:tab w:val="num" w:pos="570"/>
        </w:tabs>
        <w:ind w:left="570" w:hanging="570"/>
      </w:pPr>
      <w:rPr>
        <w:rFonts w:hint="default"/>
      </w:rPr>
    </w:lvl>
    <w:lvl w:ilvl="1" w:tplc="040E0019" w:tentative="1">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7" w15:restartNumberingAfterBreak="0">
    <w:nsid w:val="075C0377"/>
    <w:multiLevelType w:val="hybridMultilevel"/>
    <w:tmpl w:val="3D901C92"/>
    <w:lvl w:ilvl="0" w:tplc="E1D8C02A">
      <w:start w:val="1"/>
      <w:numFmt w:val="bullet"/>
      <w:lvlText w:val="-"/>
      <w:lvlJc w:val="left"/>
      <w:pPr>
        <w:ind w:left="720" w:hanging="360"/>
      </w:pPr>
      <w:rPr>
        <w:rFonts w:ascii="Times New Roman" w:hAnsi="Times New Roman" w:cs="Times New Roman"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AC0238E"/>
    <w:multiLevelType w:val="hybridMultilevel"/>
    <w:tmpl w:val="53D0D9D2"/>
    <w:lvl w:ilvl="0" w:tplc="DE5AD7D8">
      <w:start w:val="1"/>
      <w:numFmt w:val="bullet"/>
      <w:lvlText w:val=""/>
      <w:lvlJc w:val="left"/>
      <w:pPr>
        <w:tabs>
          <w:tab w:val="num" w:pos="1287"/>
        </w:tabs>
        <w:ind w:left="1287" w:hanging="360"/>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13D5102C"/>
    <w:multiLevelType w:val="hybridMultilevel"/>
    <w:tmpl w:val="1466E2D8"/>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5691C08"/>
    <w:multiLevelType w:val="hybridMultilevel"/>
    <w:tmpl w:val="29B2F77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7A539ED"/>
    <w:multiLevelType w:val="hybridMultilevel"/>
    <w:tmpl w:val="EFCC219C"/>
    <w:lvl w:ilvl="0" w:tplc="DE5AD7D8">
      <w:start w:val="1"/>
      <w:numFmt w:val="bullet"/>
      <w:lvlText w:val=""/>
      <w:lvlJc w:val="left"/>
      <w:pPr>
        <w:tabs>
          <w:tab w:val="num" w:pos="227"/>
        </w:tabs>
        <w:ind w:left="227" w:hanging="227"/>
      </w:pPr>
      <w:rPr>
        <w:rFonts w:ascii="Symbol" w:hAnsi="Symbol" w:hint="default"/>
        <w:color w:val="auto"/>
      </w:rPr>
    </w:lvl>
    <w:lvl w:ilvl="1" w:tplc="DE5AD7D8">
      <w:start w:val="1"/>
      <w:numFmt w:val="bullet"/>
      <w:lvlText w:val=""/>
      <w:lvlJc w:val="left"/>
      <w:pPr>
        <w:tabs>
          <w:tab w:val="num" w:pos="1440"/>
        </w:tabs>
        <w:ind w:left="1440" w:hanging="360"/>
      </w:pPr>
      <w:rPr>
        <w:rFonts w:ascii="Symbol" w:hAnsi="Symbol" w:hint="default"/>
        <w:color w:val="auto"/>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525DEE"/>
    <w:multiLevelType w:val="multilevel"/>
    <w:tmpl w:val="64741504"/>
    <w:lvl w:ilvl="0">
      <w:start w:val="4"/>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1D033AB2"/>
    <w:multiLevelType w:val="hybridMultilevel"/>
    <w:tmpl w:val="F7A06D34"/>
    <w:lvl w:ilvl="0" w:tplc="DE5AD7D8">
      <w:start w:val="1"/>
      <w:numFmt w:val="bullet"/>
      <w:lvlText w:val=""/>
      <w:lvlJc w:val="left"/>
      <w:pPr>
        <w:tabs>
          <w:tab w:val="num" w:pos="227"/>
        </w:tabs>
        <w:ind w:left="227" w:hanging="227"/>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A46071"/>
    <w:multiLevelType w:val="hybridMultilevel"/>
    <w:tmpl w:val="527A980E"/>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F98313C"/>
    <w:multiLevelType w:val="multilevel"/>
    <w:tmpl w:val="01988356"/>
    <w:lvl w:ilvl="0">
      <w:start w:val="1"/>
      <w:numFmt w:val="bullet"/>
      <w:lvlText w:val="•"/>
      <w:lvlJc w:val="left"/>
      <w:pPr>
        <w:tabs>
          <w:tab w:val="num" w:pos="1287"/>
        </w:tabs>
        <w:ind w:left="1287" w:hanging="360"/>
      </w:pPr>
      <w:rPr>
        <w:rFonts w:ascii="Times New Roman" w:hAnsi="Times New Roman" w:cs="Times New Roman"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20D30925"/>
    <w:multiLevelType w:val="hybridMultilevel"/>
    <w:tmpl w:val="E9E480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390A37"/>
    <w:multiLevelType w:val="hybridMultilevel"/>
    <w:tmpl w:val="0736F2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6187B0E"/>
    <w:multiLevelType w:val="hybridMultilevel"/>
    <w:tmpl w:val="59B02E54"/>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8746BF6"/>
    <w:multiLevelType w:val="hybridMultilevel"/>
    <w:tmpl w:val="0BECB4C0"/>
    <w:lvl w:ilvl="0" w:tplc="C47EC742">
      <w:start w:val="3"/>
      <w:numFmt w:val="bullet"/>
      <w:lvlText w:val="-"/>
      <w:lvlJc w:val="left"/>
      <w:pPr>
        <w:ind w:left="360" w:hanging="360"/>
      </w:pPr>
      <w:rPr>
        <w:rFonts w:ascii="Times New Roman" w:eastAsia="Times New Roman" w:hAnsi="Times New Roman" w:cs="Times New Roman" w:hint="default"/>
      </w:rPr>
    </w:lvl>
    <w:lvl w:ilvl="1" w:tplc="040E0003">
      <w:start w:val="1"/>
      <w:numFmt w:val="bullet"/>
      <w:lvlText w:val="o"/>
      <w:lvlJc w:val="left"/>
      <w:pPr>
        <w:ind w:left="1080" w:hanging="360"/>
      </w:pPr>
      <w:rPr>
        <w:rFonts w:ascii="Courier New" w:hAnsi="Courier New" w:cs="Times New Roman" w:hint="default"/>
      </w:rPr>
    </w:lvl>
    <w:lvl w:ilvl="2" w:tplc="040E0005">
      <w:start w:val="1"/>
      <w:numFmt w:val="bullet"/>
      <w:lvlText w:val=""/>
      <w:lvlJc w:val="left"/>
      <w:pPr>
        <w:ind w:left="1800" w:hanging="360"/>
      </w:pPr>
      <w:rPr>
        <w:rFonts w:ascii="Wingdings" w:hAnsi="Wingdings" w:hint="default"/>
      </w:rPr>
    </w:lvl>
    <w:lvl w:ilvl="3" w:tplc="040E0001">
      <w:start w:val="1"/>
      <w:numFmt w:val="bullet"/>
      <w:lvlText w:val=""/>
      <w:lvlJc w:val="left"/>
      <w:pPr>
        <w:ind w:left="2520" w:hanging="360"/>
      </w:pPr>
      <w:rPr>
        <w:rFonts w:ascii="Symbol" w:hAnsi="Symbol" w:hint="default"/>
      </w:rPr>
    </w:lvl>
    <w:lvl w:ilvl="4" w:tplc="040E0003">
      <w:start w:val="1"/>
      <w:numFmt w:val="bullet"/>
      <w:lvlText w:val="o"/>
      <w:lvlJc w:val="left"/>
      <w:pPr>
        <w:ind w:left="3240" w:hanging="360"/>
      </w:pPr>
      <w:rPr>
        <w:rFonts w:ascii="Courier New" w:hAnsi="Courier New" w:cs="Times New Roman" w:hint="default"/>
      </w:rPr>
    </w:lvl>
    <w:lvl w:ilvl="5" w:tplc="040E0005">
      <w:start w:val="1"/>
      <w:numFmt w:val="bullet"/>
      <w:lvlText w:val=""/>
      <w:lvlJc w:val="left"/>
      <w:pPr>
        <w:ind w:left="3960" w:hanging="360"/>
      </w:pPr>
      <w:rPr>
        <w:rFonts w:ascii="Wingdings" w:hAnsi="Wingdings" w:hint="default"/>
      </w:rPr>
    </w:lvl>
    <w:lvl w:ilvl="6" w:tplc="040E0001">
      <w:start w:val="1"/>
      <w:numFmt w:val="bullet"/>
      <w:lvlText w:val=""/>
      <w:lvlJc w:val="left"/>
      <w:pPr>
        <w:ind w:left="4680" w:hanging="360"/>
      </w:pPr>
      <w:rPr>
        <w:rFonts w:ascii="Symbol" w:hAnsi="Symbol" w:hint="default"/>
      </w:rPr>
    </w:lvl>
    <w:lvl w:ilvl="7" w:tplc="040E0003">
      <w:start w:val="1"/>
      <w:numFmt w:val="bullet"/>
      <w:lvlText w:val="o"/>
      <w:lvlJc w:val="left"/>
      <w:pPr>
        <w:ind w:left="5400" w:hanging="360"/>
      </w:pPr>
      <w:rPr>
        <w:rFonts w:ascii="Courier New" w:hAnsi="Courier New" w:cs="Times New Roman" w:hint="default"/>
      </w:rPr>
    </w:lvl>
    <w:lvl w:ilvl="8" w:tplc="040E0005">
      <w:start w:val="1"/>
      <w:numFmt w:val="bullet"/>
      <w:lvlText w:val=""/>
      <w:lvlJc w:val="left"/>
      <w:pPr>
        <w:ind w:left="6120" w:hanging="360"/>
      </w:pPr>
      <w:rPr>
        <w:rFonts w:ascii="Wingdings" w:hAnsi="Wingdings" w:hint="default"/>
      </w:rPr>
    </w:lvl>
  </w:abstractNum>
  <w:abstractNum w:abstractNumId="20" w15:restartNumberingAfterBreak="0">
    <w:nsid w:val="3F2367B4"/>
    <w:multiLevelType w:val="hybridMultilevel"/>
    <w:tmpl w:val="488CB442"/>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1F40266"/>
    <w:multiLevelType w:val="hybridMultilevel"/>
    <w:tmpl w:val="5AE0B666"/>
    <w:lvl w:ilvl="0" w:tplc="E1D8C02A">
      <w:start w:val="1"/>
      <w:numFmt w:val="bullet"/>
      <w:lvlText w:val="-"/>
      <w:lvlJc w:val="left"/>
      <w:pPr>
        <w:tabs>
          <w:tab w:val="num" w:pos="227"/>
        </w:tabs>
        <w:ind w:left="227" w:hanging="227"/>
      </w:pPr>
      <w:rPr>
        <w:rFonts w:ascii="Times New Roman" w:hAnsi="Times New Roman" w:cs="Times New Roman"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5151D3"/>
    <w:multiLevelType w:val="hybridMultilevel"/>
    <w:tmpl w:val="9D3C7CD6"/>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BAE23FD"/>
    <w:multiLevelType w:val="hybridMultilevel"/>
    <w:tmpl w:val="49D85BC8"/>
    <w:lvl w:ilvl="0" w:tplc="DE5AD7D8">
      <w:start w:val="1"/>
      <w:numFmt w:val="bullet"/>
      <w:lvlText w:val=""/>
      <w:lvlJc w:val="left"/>
      <w:pPr>
        <w:tabs>
          <w:tab w:val="num" w:pos="227"/>
        </w:tabs>
        <w:ind w:left="227" w:hanging="227"/>
      </w:pPr>
      <w:rPr>
        <w:rFonts w:ascii="Symbol" w:hAnsi="Symbol"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9553F1"/>
    <w:multiLevelType w:val="hybridMultilevel"/>
    <w:tmpl w:val="93DAAC88"/>
    <w:lvl w:ilvl="0" w:tplc="789C6052">
      <w:numFmt w:val="bullet"/>
      <w:lvlText w:val="-"/>
      <w:lvlJc w:val="left"/>
      <w:pPr>
        <w:ind w:left="930" w:hanging="57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7BC0DCF"/>
    <w:multiLevelType w:val="hybridMultilevel"/>
    <w:tmpl w:val="01988356"/>
    <w:lvl w:ilvl="0" w:tplc="5A668386">
      <w:start w:val="1"/>
      <w:numFmt w:val="bullet"/>
      <w:lvlText w:val="•"/>
      <w:lvlJc w:val="left"/>
      <w:pPr>
        <w:tabs>
          <w:tab w:val="num" w:pos="1287"/>
        </w:tabs>
        <w:ind w:left="1287" w:hanging="360"/>
      </w:pPr>
      <w:rPr>
        <w:rFonts w:ascii="Times New Roman" w:hAnsi="Times New Roman" w:cs="Times New Roman"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6" w15:restartNumberingAfterBreak="0">
    <w:nsid w:val="587C63D6"/>
    <w:multiLevelType w:val="hybridMultilevel"/>
    <w:tmpl w:val="0602D3B0"/>
    <w:lvl w:ilvl="0" w:tplc="E1D8C02A">
      <w:start w:val="1"/>
      <w:numFmt w:val="bullet"/>
      <w:lvlText w:val="-"/>
      <w:lvlJc w:val="left"/>
      <w:pPr>
        <w:tabs>
          <w:tab w:val="num" w:pos="227"/>
        </w:tabs>
        <w:ind w:left="227" w:hanging="227"/>
      </w:pPr>
      <w:rPr>
        <w:rFonts w:ascii="Times New Roman" w:hAnsi="Times New Roman" w:cs="Times New Roman" w:hint="default"/>
        <w:color w:val="auto"/>
      </w:rPr>
    </w:lvl>
    <w:lvl w:ilvl="1" w:tplc="DE5AD7D8">
      <w:start w:val="1"/>
      <w:numFmt w:val="bullet"/>
      <w:lvlText w:val=""/>
      <w:lvlJc w:val="left"/>
      <w:pPr>
        <w:tabs>
          <w:tab w:val="num" w:pos="284"/>
        </w:tabs>
        <w:ind w:left="0" w:firstLine="0"/>
      </w:pPr>
      <w:rPr>
        <w:rFonts w:ascii="Symbol" w:hAnsi="Symbol" w:hint="default"/>
        <w:color w:val="auto"/>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8C4AE1"/>
    <w:multiLevelType w:val="hybridMultilevel"/>
    <w:tmpl w:val="E2B49C6A"/>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B96A5E"/>
    <w:multiLevelType w:val="hybridMultilevel"/>
    <w:tmpl w:val="E7A8D156"/>
    <w:lvl w:ilvl="0" w:tplc="D450914A">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5702CA9"/>
    <w:multiLevelType w:val="hybridMultilevel"/>
    <w:tmpl w:val="04EC41E6"/>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7C33692"/>
    <w:multiLevelType w:val="hybridMultilevel"/>
    <w:tmpl w:val="65226720"/>
    <w:lvl w:ilvl="0" w:tplc="6C14A6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B2758FC"/>
    <w:multiLevelType w:val="hybridMultilevel"/>
    <w:tmpl w:val="BAC6EBE6"/>
    <w:lvl w:ilvl="0" w:tplc="E1D8C02A">
      <w:start w:val="1"/>
      <w:numFmt w:val="bullet"/>
      <w:lvlText w:val="-"/>
      <w:lvlJc w:val="left"/>
      <w:pPr>
        <w:ind w:left="720" w:hanging="360"/>
      </w:pPr>
      <w:rPr>
        <w:rFonts w:ascii="Times New Roman" w:hAnsi="Times New Roman" w:cs="Times New Roman"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302268045">
    <w:abstractNumId w:val="12"/>
  </w:num>
  <w:num w:numId="2" w16cid:durableId="798452309">
    <w:abstractNumId w:val="6"/>
  </w:num>
  <w:num w:numId="3" w16cid:durableId="1777020753">
    <w:abstractNumId w:val="23"/>
  </w:num>
  <w:num w:numId="4" w16cid:durableId="1440100167">
    <w:abstractNumId w:val="11"/>
  </w:num>
  <w:num w:numId="5" w16cid:durableId="2111781250">
    <w:abstractNumId w:val="21"/>
  </w:num>
  <w:num w:numId="6" w16cid:durableId="644895106">
    <w:abstractNumId w:val="4"/>
  </w:num>
  <w:num w:numId="7" w16cid:durableId="2080712756">
    <w:abstractNumId w:val="26"/>
  </w:num>
  <w:num w:numId="8" w16cid:durableId="158548173">
    <w:abstractNumId w:val="25"/>
  </w:num>
  <w:num w:numId="9" w16cid:durableId="2053651481">
    <w:abstractNumId w:val="15"/>
  </w:num>
  <w:num w:numId="10" w16cid:durableId="1010958683">
    <w:abstractNumId w:val="8"/>
  </w:num>
  <w:num w:numId="11" w16cid:durableId="457647795">
    <w:abstractNumId w:val="3"/>
  </w:num>
  <w:num w:numId="12" w16cid:durableId="1857301827">
    <w:abstractNumId w:val="13"/>
  </w:num>
  <w:num w:numId="13" w16cid:durableId="1525828766">
    <w:abstractNumId w:val="18"/>
  </w:num>
  <w:num w:numId="14" w16cid:durableId="1821648423">
    <w:abstractNumId w:val="5"/>
  </w:num>
  <w:num w:numId="15" w16cid:durableId="316421619">
    <w:abstractNumId w:val="20"/>
  </w:num>
  <w:num w:numId="16" w16cid:durableId="709382917">
    <w:abstractNumId w:val="0"/>
  </w:num>
  <w:num w:numId="17" w16cid:durableId="1003052894">
    <w:abstractNumId w:val="16"/>
  </w:num>
  <w:num w:numId="18" w16cid:durableId="764151519">
    <w:abstractNumId w:val="7"/>
  </w:num>
  <w:num w:numId="19" w16cid:durableId="732580749">
    <w:abstractNumId w:val="10"/>
  </w:num>
  <w:num w:numId="20" w16cid:durableId="1472752121">
    <w:abstractNumId w:val="24"/>
  </w:num>
  <w:num w:numId="21" w16cid:durableId="35085670">
    <w:abstractNumId w:val="1"/>
  </w:num>
  <w:num w:numId="22" w16cid:durableId="1904828063">
    <w:abstractNumId w:val="17"/>
  </w:num>
  <w:num w:numId="23" w16cid:durableId="44915142">
    <w:abstractNumId w:val="14"/>
  </w:num>
  <w:num w:numId="24" w16cid:durableId="371154561">
    <w:abstractNumId w:val="9"/>
  </w:num>
  <w:num w:numId="25" w16cid:durableId="1932859900">
    <w:abstractNumId w:val="30"/>
  </w:num>
  <w:num w:numId="26" w16cid:durableId="1386905509">
    <w:abstractNumId w:val="29"/>
  </w:num>
  <w:num w:numId="27" w16cid:durableId="1106002362">
    <w:abstractNumId w:val="22"/>
  </w:num>
  <w:num w:numId="28" w16cid:durableId="566956606">
    <w:abstractNumId w:val="27"/>
  </w:num>
  <w:num w:numId="29" w16cid:durableId="32270342">
    <w:abstractNumId w:val="31"/>
  </w:num>
  <w:num w:numId="30" w16cid:durableId="1360475313">
    <w:abstractNumId w:val="2"/>
  </w:num>
  <w:num w:numId="31" w16cid:durableId="611938630">
    <w:abstractNumId w:val="28"/>
  </w:num>
  <w:num w:numId="32" w16cid:durableId="5424423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0"/>
  <w:activeWritingStyle w:appName="MSWord" w:lang="hu-HU" w:vendorID="64" w:dllVersion="0" w:nlCheck="1" w:checkStyle="0"/>
  <w:activeWritingStyle w:appName="MSWord" w:lang="en-GB" w:vendorID="64" w:dllVersion="0" w:nlCheck="1" w:checkStyle="0"/>
  <w:activeWritingStyle w:appName="MSWord" w:lang="hu-HU" w:vendorID="64" w:dllVersion="4096" w:nlCheck="1" w:checkStyle="0"/>
  <w:activeWritingStyle w:appName="MSWord" w:lang="en-GB" w:vendorID="64" w:dllVersion="4096" w:nlCheck="1" w:checkStyle="0"/>
  <w:activeWritingStyle w:appName="MSWord" w:lang="it-IT"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D32"/>
    <w:rsid w:val="00072AA8"/>
    <w:rsid w:val="00074A0C"/>
    <w:rsid w:val="002F3805"/>
    <w:rsid w:val="00502314"/>
    <w:rsid w:val="00653D32"/>
    <w:rsid w:val="0070532F"/>
    <w:rsid w:val="00EA726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3556FC"/>
  <w15:chartTrackingRefBased/>
  <w15:docId w15:val="{C6EAAC49-5795-4029-A188-42F1FBD0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Pr>
      <w:sz w:val="22"/>
      <w:lang w:val="en-GB" w:eastAsia="en-US"/>
    </w:rPr>
  </w:style>
  <w:style w:type="paragraph" w:styleId="Cmsor1">
    <w:name w:val="heading 1"/>
    <w:basedOn w:val="Norml"/>
    <w:next w:val="Norml"/>
    <w:qFormat/>
    <w:pPr>
      <w:keepNext/>
      <w:jc w:val="both"/>
      <w:outlineLvl w:val="0"/>
    </w:pPr>
    <w:rPr>
      <w:b/>
      <w:sz w:val="26"/>
      <w:lang w:val="hu-HU" w:eastAsia="hu-HU"/>
    </w:rPr>
  </w:style>
  <w:style w:type="paragraph" w:styleId="Cmsor2">
    <w:name w:val="heading 2"/>
    <w:basedOn w:val="Norml"/>
    <w:next w:val="Norml"/>
    <w:link w:val="Cmsor2Char"/>
    <w:qFormat/>
    <w:pPr>
      <w:keepNext/>
      <w:spacing w:before="240" w:after="60"/>
      <w:outlineLvl w:val="1"/>
    </w:pPr>
    <w:rPr>
      <w:rFonts w:ascii="Arial" w:hAnsi="Arial" w:cs="Arial"/>
      <w:b/>
      <w:bCs/>
      <w:i/>
      <w:iCs/>
      <w:sz w:val="28"/>
      <w:szCs w:val="28"/>
    </w:rPr>
  </w:style>
  <w:style w:type="paragraph" w:styleId="Cmsor4">
    <w:name w:val="heading 4"/>
    <w:basedOn w:val="Norml"/>
    <w:next w:val="Norml"/>
    <w:qFormat/>
    <w:pPr>
      <w:keepNext/>
      <w:outlineLvl w:val="3"/>
    </w:pPr>
    <w:rPr>
      <w:sz w:val="26"/>
      <w:lang w:val="hu-HU" w:eastAsia="hu-HU"/>
    </w:rPr>
  </w:style>
  <w:style w:type="paragraph" w:styleId="Cmsor5">
    <w:name w:val="heading 5"/>
    <w:basedOn w:val="Norml"/>
    <w:next w:val="Norml"/>
    <w:qFormat/>
    <w:pPr>
      <w:keepNext/>
      <w:outlineLvl w:val="4"/>
    </w:pPr>
    <w:rPr>
      <w:b/>
      <w:sz w:val="26"/>
      <w:u w:val="single"/>
      <w:lang w:val="hu-HU" w:eastAsia="hu-HU"/>
    </w:rPr>
  </w:style>
  <w:style w:type="paragraph" w:styleId="Cmsor7">
    <w:name w:val="heading 7"/>
    <w:basedOn w:val="Norml"/>
    <w:next w:val="Norml"/>
    <w:qFormat/>
    <w:pPr>
      <w:keepNext/>
      <w:tabs>
        <w:tab w:val="left" w:pos="567"/>
      </w:tabs>
      <w:outlineLvl w:val="6"/>
    </w:pPr>
    <w:rPr>
      <w:b/>
      <w:bCs/>
      <w:lang w:val="hu-HU" w:eastAsia="hu-HU"/>
    </w:rPr>
  </w:style>
  <w:style w:type="paragraph" w:styleId="Cmsor8">
    <w:name w:val="heading 8"/>
    <w:basedOn w:val="Norml"/>
    <w:next w:val="Norml"/>
    <w:qFormat/>
    <w:pPr>
      <w:keepNext/>
      <w:tabs>
        <w:tab w:val="left" w:pos="567"/>
      </w:tabs>
      <w:outlineLvl w:val="7"/>
    </w:pPr>
    <w:rPr>
      <w:u w:val="single"/>
      <w:lang w:val="hu-HU" w:eastAsia="hu-HU"/>
    </w:rPr>
  </w:style>
  <w:style w:type="paragraph" w:styleId="Cmsor9">
    <w:name w:val="heading 9"/>
    <w:basedOn w:val="Norml"/>
    <w:next w:val="Norml"/>
    <w:qFormat/>
    <w:pPr>
      <w:keepNext/>
      <w:tabs>
        <w:tab w:val="left" w:pos="567"/>
        <w:tab w:val="left" w:pos="709"/>
        <w:tab w:val="left" w:pos="9284"/>
      </w:tabs>
      <w:outlineLvl w:val="8"/>
    </w:pPr>
    <w:rPr>
      <w:i/>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2">
    <w:name w:val="Body Text 2"/>
    <w:basedOn w:val="Norml"/>
    <w:pPr>
      <w:spacing w:after="120" w:line="480" w:lineRule="auto"/>
    </w:pPr>
  </w:style>
  <w:style w:type="paragraph" w:styleId="Szvegtrzsbehzssal">
    <w:name w:val="Body Text Indent"/>
    <w:basedOn w:val="Norml"/>
    <w:pPr>
      <w:spacing w:after="120"/>
      <w:ind w:left="283"/>
    </w:pPr>
  </w:style>
  <w:style w:type="paragraph" w:styleId="Szvegtrzsbehzssal3">
    <w:name w:val="Body Text Indent 3"/>
    <w:basedOn w:val="Norml"/>
    <w:pPr>
      <w:spacing w:after="120"/>
      <w:ind w:left="283"/>
    </w:pPr>
    <w:rPr>
      <w:sz w:val="16"/>
      <w:szCs w:val="16"/>
    </w:rPr>
  </w:style>
  <w:style w:type="paragraph" w:styleId="Szvegtrzs3">
    <w:name w:val="Body Text 3"/>
    <w:basedOn w:val="Norml"/>
    <w:pPr>
      <w:spacing w:after="120"/>
    </w:pPr>
    <w:rPr>
      <w:sz w:val="16"/>
      <w:szCs w:val="16"/>
    </w:rPr>
  </w:style>
  <w:style w:type="paragraph" w:customStyle="1" w:styleId="WW-Szvegtrzs212">
    <w:name w:val="WW-Szövegtörzs 212"/>
    <w:basedOn w:val="Norml"/>
    <w:pPr>
      <w:suppressAutoHyphens/>
      <w:spacing w:line="260" w:lineRule="atLeast"/>
      <w:ind w:left="567" w:hanging="567"/>
    </w:pPr>
    <w:rPr>
      <w:b/>
      <w:lang w:eastAsia="ar-SA"/>
    </w:rPr>
  </w:style>
  <w:style w:type="paragraph" w:customStyle="1" w:styleId="WW-NormlWeb">
    <w:name w:val="WW-Normál (Web)"/>
    <w:basedOn w:val="Norml"/>
    <w:pPr>
      <w:suppressAutoHyphens/>
      <w:spacing w:before="100" w:after="119" w:line="260" w:lineRule="atLeast"/>
    </w:pPr>
    <w:rPr>
      <w:rFonts w:ascii="Arial Unicode MS" w:eastAsia="Arial Unicode MS" w:hAnsi="Arial Unicode MS"/>
      <w:sz w:val="24"/>
      <w:lang w:val="hu-HU" w:eastAsia="ar-SA"/>
    </w:rPr>
  </w:style>
  <w:style w:type="paragraph" w:styleId="Vgjegyzetszvege">
    <w:name w:val="endnote text"/>
    <w:basedOn w:val="Norml"/>
    <w:next w:val="Norml"/>
    <w:link w:val="VgjegyzetszvegeChar"/>
    <w:uiPriority w:val="99"/>
    <w:semiHidden/>
    <w:pPr>
      <w:suppressAutoHyphens/>
      <w:spacing w:line="260" w:lineRule="atLeast"/>
    </w:pPr>
    <w:rPr>
      <w:lang w:eastAsia="ar-SA"/>
    </w:rPr>
  </w:style>
  <w:style w:type="paragraph" w:customStyle="1" w:styleId="Default">
    <w:name w:val="Default"/>
    <w:pPr>
      <w:autoSpaceDE w:val="0"/>
      <w:autoSpaceDN w:val="0"/>
      <w:adjustRightInd w:val="0"/>
    </w:pPr>
    <w:rPr>
      <w:rFonts w:eastAsia="PMingLiU"/>
      <w:color w:val="000000"/>
      <w:sz w:val="24"/>
      <w:szCs w:val="24"/>
      <w:lang w:eastAsia="zh-TW"/>
    </w:rPr>
  </w:style>
  <w:style w:type="character" w:styleId="Jegyzethivatkozs">
    <w:name w:val="annotation reference"/>
    <w:uiPriority w:val="99"/>
    <w:rPr>
      <w:sz w:val="16"/>
      <w:szCs w:val="16"/>
    </w:rPr>
  </w:style>
  <w:style w:type="paragraph" w:styleId="Buborkszveg">
    <w:name w:val="Balloon Text"/>
    <w:basedOn w:val="Norml"/>
    <w:semiHidden/>
    <w:rPr>
      <w:rFonts w:ascii="Tahoma" w:hAnsi="Tahoma" w:cs="Tahoma"/>
      <w:sz w:val="16"/>
      <w:szCs w:val="16"/>
    </w:rPr>
  </w:style>
  <w:style w:type="paragraph" w:styleId="Jegyzetszveg">
    <w:name w:val="annotation text"/>
    <w:basedOn w:val="Norml"/>
    <w:link w:val="JegyzetszvegChar"/>
    <w:uiPriority w:val="99"/>
    <w:rPr>
      <w:sz w:val="20"/>
    </w:rPr>
  </w:style>
  <w:style w:type="paragraph" w:styleId="Megjegyzstrgya">
    <w:name w:val="annotation subject"/>
    <w:basedOn w:val="Jegyzetszveg"/>
    <w:next w:val="Jegyzetszveg"/>
    <w:semiHidden/>
    <w:rPr>
      <w:b/>
      <w:bCs/>
    </w:rPr>
  </w:style>
  <w:style w:type="paragraph" w:styleId="lfej">
    <w:name w:val="header"/>
    <w:basedOn w:val="Norml"/>
    <w:link w:val="lfejChar"/>
    <w:uiPriority w:val="99"/>
    <w:pPr>
      <w:tabs>
        <w:tab w:val="center" w:pos="4536"/>
        <w:tab w:val="right" w:pos="9072"/>
      </w:tabs>
    </w:pPr>
  </w:style>
  <w:style w:type="character" w:styleId="Oldalszm">
    <w:name w:val="page number"/>
    <w:basedOn w:val="Bekezdsalapbettpusa"/>
  </w:style>
  <w:style w:type="paragraph" w:styleId="llb">
    <w:name w:val="footer"/>
    <w:aliases w:val="Footer Char2 Char,Footer Char1 Char Char,Footer Char2 Char Char1 Char,Footer Char1 Char Char Char Char1,Footer Char2 Char Char1 Char Char Char,Footer Char1 Char Char Char Char1 Char Char"/>
    <w:basedOn w:val="Norml"/>
    <w:link w:val="llbChar"/>
    <w:uiPriority w:val="99"/>
    <w:pPr>
      <w:tabs>
        <w:tab w:val="center" w:pos="4536"/>
        <w:tab w:val="right" w:pos="9072"/>
      </w:tabs>
    </w:pPr>
  </w:style>
  <w:style w:type="paragraph" w:styleId="Vltozat">
    <w:name w:val="Revision"/>
    <w:hidden/>
    <w:uiPriority w:val="99"/>
    <w:semiHidden/>
    <w:rPr>
      <w:sz w:val="22"/>
      <w:lang w:val="en-GB" w:eastAsia="en-US"/>
    </w:rPr>
  </w:style>
  <w:style w:type="character" w:styleId="Hiperhivatkozs">
    <w:name w:val="Hyperlink"/>
    <w:rPr>
      <w:rFonts w:cs="Times New Roman"/>
      <w:color w:val="0000FF"/>
      <w:u w:val="single"/>
    </w:rPr>
  </w:style>
  <w:style w:type="paragraph" w:styleId="Szvegtrzs">
    <w:name w:val="Body Text"/>
    <w:basedOn w:val="Norml"/>
    <w:link w:val="SzvegtrzsChar"/>
    <w:pPr>
      <w:spacing w:after="120"/>
    </w:pPr>
  </w:style>
  <w:style w:type="character" w:customStyle="1" w:styleId="SzvegtrzsChar">
    <w:name w:val="Szövegtörzs Char"/>
    <w:link w:val="Szvegtrzs"/>
    <w:rPr>
      <w:sz w:val="22"/>
      <w:lang w:eastAsia="en-US"/>
    </w:rPr>
  </w:style>
  <w:style w:type="character" w:customStyle="1" w:styleId="Cmsor2Char">
    <w:name w:val="Címsor 2 Char"/>
    <w:link w:val="Cmsor2"/>
    <w:rPr>
      <w:rFonts w:ascii="Arial" w:hAnsi="Arial" w:cs="Arial"/>
      <w:b/>
      <w:bCs/>
      <w:i/>
      <w:iCs/>
      <w:sz w:val="28"/>
      <w:szCs w:val="28"/>
      <w:lang w:eastAsia="en-US"/>
    </w:rPr>
  </w:style>
  <w:style w:type="paragraph" w:customStyle="1" w:styleId="western">
    <w:name w:val="western"/>
    <w:basedOn w:val="Norml"/>
    <w:pPr>
      <w:suppressAutoHyphens/>
      <w:spacing w:before="100" w:after="100" w:line="260" w:lineRule="atLeast"/>
      <w:jc w:val="both"/>
    </w:pPr>
    <w:rPr>
      <w:rFonts w:ascii="Bookman Old Style" w:eastAsia="Arial Unicode MS" w:hAnsi="Bookman Old Style"/>
      <w:b/>
    </w:rPr>
  </w:style>
  <w:style w:type="paragraph" w:customStyle="1" w:styleId="Normal1">
    <w:name w:val="Normal1"/>
    <w:basedOn w:val="Norml"/>
    <w:pPr>
      <w:suppressAutoHyphens/>
    </w:pPr>
    <w:rPr>
      <w:sz w:val="20"/>
      <w:lang w:val="hu-HU" w:eastAsia="ar-SA"/>
    </w:rPr>
  </w:style>
  <w:style w:type="character" w:customStyle="1" w:styleId="llbChar">
    <w:name w:val="Élőláb Char"/>
    <w:aliases w:val="Footer Char2 Char Char,Footer Char1 Char Char Char,Footer Char2 Char Char1 Char Char,Footer Char1 Char Char Char Char1 Char,Footer Char2 Char Char1 Char Char Char Char,Footer Char1 Char Char Char Char1 Char Char Char"/>
    <w:link w:val="llb"/>
    <w:uiPriority w:val="99"/>
    <w:rPr>
      <w:sz w:val="22"/>
      <w:lang w:eastAsia="en-US"/>
    </w:rPr>
  </w:style>
  <w:style w:type="paragraph" w:styleId="Listaszerbekezds">
    <w:name w:val="List Paragraph"/>
    <w:basedOn w:val="Norml"/>
    <w:uiPriority w:val="34"/>
    <w:qFormat/>
    <w:pPr>
      <w:ind w:left="708"/>
    </w:pPr>
  </w:style>
  <w:style w:type="character" w:styleId="Mrltotthiperhivatkozs">
    <w:name w:val="FollowedHyperlink"/>
    <w:rPr>
      <w:color w:val="954F72"/>
      <w:u w:val="single"/>
    </w:rPr>
  </w:style>
  <w:style w:type="character" w:customStyle="1" w:styleId="lfejChar">
    <w:name w:val="Élőfej Char"/>
    <w:link w:val="lfej"/>
    <w:uiPriority w:val="99"/>
    <w:rPr>
      <w:sz w:val="22"/>
      <w:lang w:val="en-GB" w:eastAsia="en-US"/>
    </w:rPr>
  </w:style>
  <w:style w:type="character" w:customStyle="1" w:styleId="JegyzetszvegChar">
    <w:name w:val="Jegyzetszöveg Char"/>
    <w:link w:val="Jegyzetszveg"/>
    <w:uiPriority w:val="99"/>
    <w:rPr>
      <w:lang w:val="en-GB" w:eastAsia="en-US"/>
    </w:rPr>
  </w:style>
  <w:style w:type="paragraph" w:styleId="NormlWeb">
    <w:name w:val="Normal (Web)"/>
    <w:basedOn w:val="Norml"/>
    <w:uiPriority w:val="99"/>
    <w:unhideWhenUsed/>
    <w:pPr>
      <w:spacing w:before="100" w:beforeAutospacing="1" w:after="100" w:afterAutospacing="1"/>
    </w:pPr>
    <w:rPr>
      <w:rFonts w:eastAsia="Times New Roman"/>
      <w:sz w:val="24"/>
      <w:szCs w:val="24"/>
      <w:lang w:val="hu-HU" w:eastAsia="hu-HU"/>
    </w:rPr>
  </w:style>
  <w:style w:type="character" w:customStyle="1" w:styleId="VgjegyzetszvegeChar">
    <w:name w:val="Végjegyzet szövege Char"/>
    <w:link w:val="Vgjegyzetszvege"/>
    <w:uiPriority w:val="99"/>
    <w:semiHidden/>
    <w:rPr>
      <w:sz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45114">
      <w:bodyDiv w:val="1"/>
      <w:marLeft w:val="0"/>
      <w:marRight w:val="0"/>
      <w:marTop w:val="0"/>
      <w:marBottom w:val="0"/>
      <w:divBdr>
        <w:top w:val="none" w:sz="0" w:space="0" w:color="auto"/>
        <w:left w:val="none" w:sz="0" w:space="0" w:color="auto"/>
        <w:bottom w:val="none" w:sz="0" w:space="0" w:color="auto"/>
        <w:right w:val="none" w:sz="0" w:space="0" w:color="auto"/>
      </w:divBdr>
    </w:div>
    <w:div w:id="490027170">
      <w:bodyDiv w:val="1"/>
      <w:marLeft w:val="0"/>
      <w:marRight w:val="0"/>
      <w:marTop w:val="0"/>
      <w:marBottom w:val="0"/>
      <w:divBdr>
        <w:top w:val="none" w:sz="0" w:space="0" w:color="auto"/>
        <w:left w:val="none" w:sz="0" w:space="0" w:color="auto"/>
        <w:bottom w:val="none" w:sz="0" w:space="0" w:color="auto"/>
        <w:right w:val="none" w:sz="0" w:space="0" w:color="auto"/>
      </w:divBdr>
    </w:div>
    <w:div w:id="610170131">
      <w:bodyDiv w:val="1"/>
      <w:marLeft w:val="0"/>
      <w:marRight w:val="0"/>
      <w:marTop w:val="0"/>
      <w:marBottom w:val="0"/>
      <w:divBdr>
        <w:top w:val="none" w:sz="0" w:space="0" w:color="auto"/>
        <w:left w:val="none" w:sz="0" w:space="0" w:color="auto"/>
        <w:bottom w:val="none" w:sz="0" w:space="0" w:color="auto"/>
        <w:right w:val="none" w:sz="0" w:space="0" w:color="auto"/>
      </w:divBdr>
    </w:div>
    <w:div w:id="617374182">
      <w:bodyDiv w:val="1"/>
      <w:marLeft w:val="0"/>
      <w:marRight w:val="0"/>
      <w:marTop w:val="0"/>
      <w:marBottom w:val="0"/>
      <w:divBdr>
        <w:top w:val="none" w:sz="0" w:space="0" w:color="auto"/>
        <w:left w:val="none" w:sz="0" w:space="0" w:color="auto"/>
        <w:bottom w:val="none" w:sz="0" w:space="0" w:color="auto"/>
        <w:right w:val="none" w:sz="0" w:space="0" w:color="auto"/>
      </w:divBdr>
    </w:div>
    <w:div w:id="642344616">
      <w:bodyDiv w:val="1"/>
      <w:marLeft w:val="0"/>
      <w:marRight w:val="0"/>
      <w:marTop w:val="0"/>
      <w:marBottom w:val="0"/>
      <w:divBdr>
        <w:top w:val="none" w:sz="0" w:space="0" w:color="auto"/>
        <w:left w:val="none" w:sz="0" w:space="0" w:color="auto"/>
        <w:bottom w:val="none" w:sz="0" w:space="0" w:color="auto"/>
        <w:right w:val="none" w:sz="0" w:space="0" w:color="auto"/>
      </w:divBdr>
    </w:div>
    <w:div w:id="833495461">
      <w:bodyDiv w:val="1"/>
      <w:marLeft w:val="0"/>
      <w:marRight w:val="0"/>
      <w:marTop w:val="0"/>
      <w:marBottom w:val="0"/>
      <w:divBdr>
        <w:top w:val="none" w:sz="0" w:space="0" w:color="auto"/>
        <w:left w:val="none" w:sz="0" w:space="0" w:color="auto"/>
        <w:bottom w:val="none" w:sz="0" w:space="0" w:color="auto"/>
        <w:right w:val="none" w:sz="0" w:space="0" w:color="auto"/>
      </w:divBdr>
    </w:div>
    <w:div w:id="963122968">
      <w:bodyDiv w:val="1"/>
      <w:marLeft w:val="0"/>
      <w:marRight w:val="0"/>
      <w:marTop w:val="0"/>
      <w:marBottom w:val="0"/>
      <w:divBdr>
        <w:top w:val="none" w:sz="0" w:space="0" w:color="auto"/>
        <w:left w:val="none" w:sz="0" w:space="0" w:color="auto"/>
        <w:bottom w:val="none" w:sz="0" w:space="0" w:color="auto"/>
        <w:right w:val="none" w:sz="0" w:space="0" w:color="auto"/>
      </w:divBdr>
    </w:div>
    <w:div w:id="1051614434">
      <w:bodyDiv w:val="1"/>
      <w:marLeft w:val="0"/>
      <w:marRight w:val="0"/>
      <w:marTop w:val="0"/>
      <w:marBottom w:val="0"/>
      <w:divBdr>
        <w:top w:val="none" w:sz="0" w:space="0" w:color="auto"/>
        <w:left w:val="none" w:sz="0" w:space="0" w:color="auto"/>
        <w:bottom w:val="none" w:sz="0" w:space="0" w:color="auto"/>
        <w:right w:val="none" w:sz="0" w:space="0" w:color="auto"/>
      </w:divBdr>
    </w:div>
    <w:div w:id="1391072517">
      <w:bodyDiv w:val="1"/>
      <w:marLeft w:val="0"/>
      <w:marRight w:val="0"/>
      <w:marTop w:val="0"/>
      <w:marBottom w:val="0"/>
      <w:divBdr>
        <w:top w:val="none" w:sz="0" w:space="0" w:color="auto"/>
        <w:left w:val="none" w:sz="0" w:space="0" w:color="auto"/>
        <w:bottom w:val="none" w:sz="0" w:space="0" w:color="auto"/>
        <w:right w:val="none" w:sz="0" w:space="0" w:color="auto"/>
      </w:divBdr>
    </w:div>
    <w:div w:id="151218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648C5-E859-4FFA-A28A-31F4E7BB8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5792</Words>
  <Characters>39971</Characters>
  <Application>Microsoft Office Word</Application>
  <DocSecurity>0</DocSecurity>
  <Lines>333</Lines>
  <Paragraphs>91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Bayer</Company>
  <LinksUpToDate>false</LinksUpToDate>
  <CharactersWithSpaces>45672</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Ádám Ildikó</dc:creator>
  <cp:keywords/>
  <cp:lastModifiedBy>HU OGYI 8.1</cp:lastModifiedBy>
  <cp:revision>8</cp:revision>
  <cp:lastPrinted>2010-01-26T10:37:00Z</cp:lastPrinted>
  <dcterms:created xsi:type="dcterms:W3CDTF">2026-04-20T08:08:00Z</dcterms:created>
  <dcterms:modified xsi:type="dcterms:W3CDTF">2026-09-16T07:34:00Z</dcterms:modified>
</cp:coreProperties>
</file>