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BEBFD" w14:textId="77777777" w:rsidR="00F45C51" w:rsidRPr="00553A96" w:rsidRDefault="00F45C51" w:rsidP="00553A96">
      <w:pPr>
        <w:widowControl w:val="0"/>
        <w:spacing w:line="240" w:lineRule="auto"/>
        <w:rPr>
          <w:szCs w:val="22"/>
          <w:lang w:val="hu-HU"/>
        </w:rPr>
      </w:pPr>
      <w:r w:rsidRPr="00553A96">
        <w:rPr>
          <w:rFonts w:eastAsia="Times New Roman"/>
          <w:b/>
          <w:snapToGrid/>
          <w:szCs w:val="22"/>
          <w:lang w:val="hu-HU" w:eastAsia="en-US"/>
        </w:rPr>
        <w:t>1.</w:t>
      </w:r>
      <w:r w:rsidRPr="00553A96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16E92BBE" w14:textId="77777777" w:rsidR="00F45C51" w:rsidRPr="00553A96" w:rsidRDefault="00F45C51" w:rsidP="00553A96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3FE1E8" w14:textId="77777777" w:rsidR="00F45C51" w:rsidRPr="00E35DC5" w:rsidRDefault="00396125" w:rsidP="00E35DC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Dulsevia 30</w:t>
      </w:r>
      <w:r w:rsidR="007C01DE" w:rsidRPr="00E35DC5">
        <w:rPr>
          <w:rFonts w:eastAsia="Times New Roman"/>
          <w:snapToGrid/>
          <w:szCs w:val="22"/>
          <w:lang w:val="hu-HU" w:eastAsia="en-US"/>
        </w:rPr>
        <w:t> </w:t>
      </w:r>
      <w:r w:rsidRPr="00E35DC5">
        <w:rPr>
          <w:rFonts w:eastAsia="Times New Roman"/>
          <w:snapToGrid/>
          <w:szCs w:val="22"/>
          <w:lang w:val="hu-HU" w:eastAsia="en-US"/>
        </w:rPr>
        <w:t>mg gyomornedv-ellenálló kemény kapszula</w:t>
      </w:r>
    </w:p>
    <w:p w14:paraId="4FCA3881" w14:textId="77777777" w:rsidR="00396125" w:rsidRPr="00E35DC5" w:rsidRDefault="00396125" w:rsidP="00E35DC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Dulsevia 60</w:t>
      </w:r>
      <w:r w:rsidR="007C01DE" w:rsidRPr="00E35DC5">
        <w:rPr>
          <w:rFonts w:eastAsia="Times New Roman"/>
          <w:snapToGrid/>
          <w:szCs w:val="22"/>
          <w:lang w:val="hu-HU" w:eastAsia="en-US"/>
        </w:rPr>
        <w:t> </w:t>
      </w:r>
      <w:r w:rsidRPr="00E35DC5">
        <w:rPr>
          <w:rFonts w:eastAsia="Times New Roman"/>
          <w:snapToGrid/>
          <w:szCs w:val="22"/>
          <w:lang w:val="hu-HU" w:eastAsia="en-US"/>
        </w:rPr>
        <w:t>mg gyomornedv-ellenálló kemény kapszula</w:t>
      </w:r>
    </w:p>
    <w:p w14:paraId="1BE681AF" w14:textId="77777777" w:rsidR="008A53A7" w:rsidRPr="00E35DC5" w:rsidRDefault="008A53A7" w:rsidP="00E35DC5">
      <w:pPr>
        <w:spacing w:line="240" w:lineRule="auto"/>
        <w:rPr>
          <w:szCs w:val="22"/>
          <w:lang w:val="hu-HU"/>
        </w:rPr>
      </w:pPr>
    </w:p>
    <w:p w14:paraId="7509E1B9" w14:textId="77777777" w:rsidR="00F45C51" w:rsidRPr="00E35DC5" w:rsidRDefault="00F45C51" w:rsidP="00E35DC5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257D88" w14:textId="77777777" w:rsidR="00F45C51" w:rsidRPr="00E35DC5" w:rsidRDefault="00F45C51" w:rsidP="00E35DC5">
      <w:pPr>
        <w:widowControl w:val="0"/>
        <w:spacing w:line="240" w:lineRule="auto"/>
        <w:rPr>
          <w:b/>
          <w:szCs w:val="22"/>
          <w:lang w:val="hu-HU"/>
        </w:rPr>
      </w:pPr>
      <w:r w:rsidRPr="00E35DC5">
        <w:rPr>
          <w:b/>
          <w:szCs w:val="22"/>
          <w:lang w:val="hu-HU"/>
        </w:rPr>
        <w:t>2.</w:t>
      </w:r>
      <w:r w:rsidRPr="00E35DC5">
        <w:rPr>
          <w:b/>
          <w:szCs w:val="22"/>
          <w:lang w:val="hu-HU"/>
        </w:rPr>
        <w:tab/>
        <w:t>MINŐSÉGI ÉS MENNYISÉGI ÖSSZETÉTEL</w:t>
      </w:r>
    </w:p>
    <w:p w14:paraId="144D7FAF" w14:textId="77777777" w:rsidR="007471D2" w:rsidRPr="00E35DC5" w:rsidRDefault="007471D2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u w:val="single"/>
          <w:lang w:val="hu-HU"/>
        </w:rPr>
      </w:pPr>
    </w:p>
    <w:p w14:paraId="7C2815AB" w14:textId="77777777" w:rsidR="00765559" w:rsidRPr="00E35DC5" w:rsidRDefault="00765559" w:rsidP="00E35DC5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35DC5">
        <w:rPr>
          <w:rFonts w:eastAsia="Times New Roman"/>
          <w:snapToGrid/>
          <w:szCs w:val="22"/>
          <w:u w:val="single"/>
          <w:lang w:val="hu-HU" w:eastAsia="en-US"/>
        </w:rPr>
        <w:t>Dulsevia 30 mg gyomornedv-ellenálló kemény kapszula</w:t>
      </w:r>
    </w:p>
    <w:p w14:paraId="28D42AB2" w14:textId="77777777" w:rsidR="00396125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>30</w:t>
      </w:r>
      <w:r w:rsidR="007C01DE" w:rsidRPr="00E35DC5">
        <w:rPr>
          <w:bCs/>
          <w:szCs w:val="22"/>
          <w:lang w:val="hu-HU"/>
        </w:rPr>
        <w:t> </w:t>
      </w:r>
      <w:r w:rsidRPr="00E35DC5">
        <w:rPr>
          <w:bCs/>
          <w:szCs w:val="22"/>
          <w:lang w:val="hu-HU"/>
        </w:rPr>
        <w:t>mg duloxetin</w:t>
      </w:r>
      <w:r w:rsidR="00765559" w:rsidRPr="00E35DC5">
        <w:rPr>
          <w:bCs/>
          <w:szCs w:val="22"/>
          <w:lang w:val="hu-HU"/>
        </w:rPr>
        <w:t>t tartalmaz</w:t>
      </w:r>
      <w:r w:rsidRPr="00E35DC5">
        <w:rPr>
          <w:bCs/>
          <w:szCs w:val="22"/>
          <w:lang w:val="hu-HU"/>
        </w:rPr>
        <w:t xml:space="preserve"> (duloxetin-hidroklorid formájában) gyomornedv-ellenálló kemény kapszulánként.</w:t>
      </w:r>
      <w:bookmarkStart w:id="0" w:name="_GoBack"/>
      <w:bookmarkEnd w:id="0"/>
    </w:p>
    <w:p w14:paraId="6E76C5F4" w14:textId="77777777" w:rsidR="00765559" w:rsidRPr="00E35DC5" w:rsidRDefault="00765559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</w:p>
    <w:p w14:paraId="5D9512EE" w14:textId="77777777" w:rsidR="00765559" w:rsidRPr="00E35DC5" w:rsidRDefault="00765559" w:rsidP="00E35DC5">
      <w:pPr>
        <w:widowControl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35DC5">
        <w:rPr>
          <w:rFonts w:eastAsia="Times New Roman"/>
          <w:snapToGrid/>
          <w:szCs w:val="22"/>
          <w:u w:val="single"/>
          <w:lang w:val="hu-HU" w:eastAsia="en-US"/>
        </w:rPr>
        <w:t>Dulsevia 60 mg gyomornedv-ellenálló kemény kapszula</w:t>
      </w:r>
    </w:p>
    <w:p w14:paraId="3B0426E1" w14:textId="77777777" w:rsidR="00396125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>60</w:t>
      </w:r>
      <w:r w:rsidR="007C01DE" w:rsidRPr="00E35DC5">
        <w:rPr>
          <w:bCs/>
          <w:szCs w:val="22"/>
          <w:lang w:val="hu-HU"/>
        </w:rPr>
        <w:t> </w:t>
      </w:r>
      <w:r w:rsidRPr="00E35DC5">
        <w:rPr>
          <w:bCs/>
          <w:szCs w:val="22"/>
          <w:lang w:val="hu-HU"/>
        </w:rPr>
        <w:t>mg duloxetin</w:t>
      </w:r>
      <w:r w:rsidR="00765559" w:rsidRPr="00E35DC5">
        <w:rPr>
          <w:bCs/>
          <w:szCs w:val="22"/>
          <w:lang w:val="hu-HU"/>
        </w:rPr>
        <w:t>t tartalmaz</w:t>
      </w:r>
      <w:r w:rsidRPr="00E35DC5">
        <w:rPr>
          <w:bCs/>
          <w:szCs w:val="22"/>
          <w:lang w:val="hu-HU"/>
        </w:rPr>
        <w:t xml:space="preserve"> (duloxetin-hidroklorid formájában) gyomornedv-ellenálló kemény kapszulánként.</w:t>
      </w:r>
    </w:p>
    <w:p w14:paraId="2954473A" w14:textId="77777777" w:rsidR="00396125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u w:val="single"/>
          <w:lang w:val="hu-HU"/>
        </w:rPr>
      </w:pPr>
    </w:p>
    <w:p w14:paraId="213D4C78" w14:textId="77777777" w:rsidR="00F45C51" w:rsidRPr="00E35DC5" w:rsidRDefault="00F45C51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E35DC5">
        <w:rPr>
          <w:bCs/>
          <w:szCs w:val="22"/>
          <w:u w:val="single"/>
          <w:lang w:val="hu-HU"/>
        </w:rPr>
        <w:t>Ismert hatású segédanyag</w:t>
      </w:r>
      <w:r w:rsidRPr="00E35DC5">
        <w:rPr>
          <w:szCs w:val="22"/>
          <w:u w:val="single"/>
          <w:lang w:val="hu-HU"/>
        </w:rPr>
        <w:t>:</w:t>
      </w:r>
      <w:r w:rsidR="00396125" w:rsidRPr="00E35DC5">
        <w:rPr>
          <w:szCs w:val="22"/>
          <w:lang w:val="hu-HU"/>
        </w:rPr>
        <w:t xml:space="preserve"> szacharóz</w:t>
      </w:r>
    </w:p>
    <w:p w14:paraId="47AB6D9C" w14:textId="278F0E01" w:rsidR="00127C1D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 xml:space="preserve">Legfeljebb </w:t>
      </w:r>
      <w:r w:rsidR="00D463E7">
        <w:rPr>
          <w:bCs/>
          <w:szCs w:val="22"/>
          <w:lang w:val="hu-HU"/>
        </w:rPr>
        <w:t>34</w:t>
      </w:r>
      <w:r w:rsidR="007C01DE" w:rsidRPr="00E35DC5">
        <w:rPr>
          <w:bCs/>
          <w:szCs w:val="22"/>
          <w:lang w:val="hu-HU"/>
        </w:rPr>
        <w:t> </w:t>
      </w:r>
      <w:r w:rsidRPr="00E35DC5">
        <w:rPr>
          <w:bCs/>
          <w:szCs w:val="22"/>
          <w:lang w:val="hu-HU"/>
        </w:rPr>
        <w:t xml:space="preserve">mg szacharózt tartalmaz </w:t>
      </w:r>
      <w:r w:rsidRPr="00E35DC5">
        <w:rPr>
          <w:szCs w:val="22"/>
          <w:lang w:val="hu-HU"/>
        </w:rPr>
        <w:t>30</w:t>
      </w:r>
      <w:r w:rsidR="007C01DE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 xml:space="preserve">mg gyomornedv-ellenálló kemény </w:t>
      </w:r>
      <w:r w:rsidRPr="00E35DC5">
        <w:rPr>
          <w:bCs/>
          <w:szCs w:val="22"/>
          <w:lang w:val="hu-HU"/>
        </w:rPr>
        <w:t>kapszulánként.</w:t>
      </w:r>
    </w:p>
    <w:p w14:paraId="1698E798" w14:textId="3618F216" w:rsidR="00396125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 xml:space="preserve">Legfeljebb </w:t>
      </w:r>
      <w:r w:rsidR="00D463E7">
        <w:rPr>
          <w:bCs/>
          <w:szCs w:val="22"/>
          <w:lang w:val="hu-HU"/>
        </w:rPr>
        <w:t>68</w:t>
      </w:r>
      <w:r w:rsidR="007C01DE" w:rsidRPr="00E35DC5">
        <w:rPr>
          <w:bCs/>
          <w:szCs w:val="22"/>
          <w:lang w:val="hu-HU"/>
        </w:rPr>
        <w:t> </w:t>
      </w:r>
      <w:r w:rsidRPr="00E35DC5">
        <w:rPr>
          <w:bCs/>
          <w:szCs w:val="22"/>
          <w:lang w:val="hu-HU"/>
        </w:rPr>
        <w:t>mg szacharózt tartalmaz 6</w:t>
      </w:r>
      <w:r w:rsidRPr="00E35DC5">
        <w:rPr>
          <w:szCs w:val="22"/>
          <w:lang w:val="hu-HU"/>
        </w:rPr>
        <w:t>0</w:t>
      </w:r>
      <w:r w:rsidR="007C01DE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 xml:space="preserve">mg gyomornedv-ellenálló kemény </w:t>
      </w:r>
      <w:r w:rsidRPr="00E35DC5">
        <w:rPr>
          <w:bCs/>
          <w:szCs w:val="22"/>
          <w:lang w:val="hu-HU"/>
        </w:rPr>
        <w:t>kapszulánként.</w:t>
      </w:r>
    </w:p>
    <w:p w14:paraId="02F9779B" w14:textId="77777777" w:rsidR="00396125" w:rsidRPr="00E35DC5" w:rsidRDefault="00396125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</w:p>
    <w:p w14:paraId="376E306E" w14:textId="77777777" w:rsidR="00F45C51" w:rsidRPr="00E35DC5" w:rsidRDefault="00F45C51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szCs w:val="22"/>
          <w:lang w:val="hu-HU"/>
        </w:rPr>
        <w:t xml:space="preserve">A segédanyagok teljes </w:t>
      </w:r>
      <w:r w:rsidR="00127C1D" w:rsidRPr="00E35DC5">
        <w:rPr>
          <w:bCs/>
          <w:szCs w:val="22"/>
          <w:lang w:val="hu-HU"/>
        </w:rPr>
        <w:t>list</w:t>
      </w:r>
      <w:r w:rsidRPr="00E35DC5">
        <w:rPr>
          <w:bCs/>
          <w:szCs w:val="22"/>
          <w:lang w:val="hu-HU"/>
        </w:rPr>
        <w:t>á</w:t>
      </w:r>
      <w:r w:rsidR="00127C1D" w:rsidRPr="00E35DC5">
        <w:rPr>
          <w:bCs/>
          <w:szCs w:val="22"/>
          <w:lang w:val="hu-HU"/>
        </w:rPr>
        <w:t>j</w:t>
      </w:r>
      <w:r w:rsidRPr="00E35DC5">
        <w:rPr>
          <w:bCs/>
          <w:szCs w:val="22"/>
          <w:lang w:val="hu-HU"/>
        </w:rPr>
        <w:t>át</w:t>
      </w:r>
      <w:r w:rsidRPr="00E35DC5">
        <w:rPr>
          <w:szCs w:val="22"/>
          <w:lang w:val="hu-HU"/>
        </w:rPr>
        <w:t xml:space="preserve"> lásd a 6.1</w:t>
      </w:r>
      <w:r w:rsidR="007C01DE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>pontban</w:t>
      </w:r>
      <w:r w:rsidRPr="00E35DC5">
        <w:rPr>
          <w:bCs/>
          <w:szCs w:val="22"/>
          <w:lang w:val="hu-HU"/>
        </w:rPr>
        <w:t>.</w:t>
      </w:r>
    </w:p>
    <w:p w14:paraId="1944AB81" w14:textId="77777777" w:rsidR="008A53A7" w:rsidRPr="00E35DC5" w:rsidRDefault="008A53A7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7A743F8A" w14:textId="77777777" w:rsidR="00F45C51" w:rsidRPr="00E35DC5" w:rsidRDefault="00F45C51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58B67C81" w14:textId="77777777" w:rsidR="00F45C51" w:rsidRPr="00E35DC5" w:rsidRDefault="00F45C51" w:rsidP="00E35DC5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E35DC5">
        <w:rPr>
          <w:rFonts w:eastAsia="Times New Roman"/>
          <w:b/>
          <w:snapToGrid/>
          <w:szCs w:val="22"/>
          <w:lang w:val="hu-HU" w:eastAsia="en-US"/>
        </w:rPr>
        <w:t>3.</w:t>
      </w:r>
      <w:r w:rsidRPr="00E35DC5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6BD345F0" w14:textId="77777777" w:rsidR="007C01DE" w:rsidRPr="00E35DC5" w:rsidRDefault="007C01DE" w:rsidP="00E35DC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32F09AA" w14:textId="77777777" w:rsidR="007C01DE" w:rsidRPr="00E35DC5" w:rsidRDefault="007C01DE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>Gyomornedv-ellenálló kemény kapszula.</w:t>
      </w:r>
    </w:p>
    <w:p w14:paraId="5E9293CD" w14:textId="77777777" w:rsidR="007C01DE" w:rsidRPr="00E35DC5" w:rsidRDefault="007C01DE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</w:p>
    <w:p w14:paraId="383CFF88" w14:textId="77777777" w:rsidR="005706CF" w:rsidRPr="00E35DC5" w:rsidRDefault="005706CF" w:rsidP="00E35DC5">
      <w:pPr>
        <w:widowControl w:val="0"/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E35DC5">
        <w:rPr>
          <w:rFonts w:eastAsia="Times New Roman"/>
          <w:i/>
          <w:snapToGrid/>
          <w:szCs w:val="22"/>
          <w:lang w:val="hu-HU" w:eastAsia="en-US"/>
        </w:rPr>
        <w:t>Dulsevia 30 mg gyomornedv-ellenálló kemény kapszula</w:t>
      </w:r>
    </w:p>
    <w:p w14:paraId="1723D901" w14:textId="158EF915" w:rsidR="007C01DE" w:rsidRPr="00E35DC5" w:rsidRDefault="00A91F99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 xml:space="preserve">Fehér vagy </w:t>
      </w:r>
      <w:r w:rsidR="00D463E7">
        <w:rPr>
          <w:bCs/>
          <w:szCs w:val="22"/>
          <w:lang w:val="hu-HU"/>
        </w:rPr>
        <w:t>enyhén színezett</w:t>
      </w:r>
      <w:r w:rsidRPr="00E35DC5">
        <w:rPr>
          <w:bCs/>
          <w:szCs w:val="22"/>
          <w:lang w:val="hu-HU"/>
        </w:rPr>
        <w:t xml:space="preserve"> pellet, 3-as méretű kemény zselatin kapszulában (kapszula hossz</w:t>
      </w:r>
      <w:r w:rsidR="00B93CD8">
        <w:rPr>
          <w:bCs/>
          <w:szCs w:val="22"/>
          <w:lang w:val="hu-HU"/>
        </w:rPr>
        <w:t>a</w:t>
      </w:r>
      <w:r w:rsidRPr="00E35DC5">
        <w:rPr>
          <w:bCs/>
          <w:szCs w:val="22"/>
          <w:lang w:val="hu-HU"/>
        </w:rPr>
        <w:t xml:space="preserve">: </w:t>
      </w:r>
      <w:r w:rsidR="00B93CD8">
        <w:rPr>
          <w:bCs/>
          <w:szCs w:val="22"/>
          <w:lang w:val="hu-HU"/>
        </w:rPr>
        <w:t xml:space="preserve">kb. </w:t>
      </w:r>
      <w:r w:rsidRPr="00E35DC5">
        <w:rPr>
          <w:bCs/>
          <w:szCs w:val="22"/>
          <w:lang w:val="hu-HU"/>
        </w:rPr>
        <w:t>1</w:t>
      </w:r>
      <w:r w:rsidR="00D463E7">
        <w:rPr>
          <w:bCs/>
          <w:szCs w:val="22"/>
          <w:lang w:val="hu-HU"/>
        </w:rPr>
        <w:t>6</w:t>
      </w:r>
      <w:r w:rsidR="00987E64">
        <w:rPr>
          <w:bCs/>
          <w:szCs w:val="22"/>
          <w:lang w:val="hu-HU"/>
        </w:rPr>
        <w:t> </w:t>
      </w:r>
      <w:r w:rsidRPr="00E35DC5">
        <w:rPr>
          <w:bCs/>
          <w:szCs w:val="22"/>
          <w:lang w:val="hu-HU"/>
        </w:rPr>
        <w:t>mm).</w:t>
      </w:r>
      <w:r w:rsidR="00A32F60" w:rsidRPr="00E35DC5">
        <w:rPr>
          <w:bCs/>
          <w:szCs w:val="22"/>
          <w:lang w:val="hu-HU"/>
        </w:rPr>
        <w:t xml:space="preserve"> </w:t>
      </w:r>
      <w:r w:rsidR="007C01DE" w:rsidRPr="00E35DC5">
        <w:rPr>
          <w:bCs/>
          <w:szCs w:val="22"/>
          <w:lang w:val="hu-HU"/>
        </w:rPr>
        <w:t xml:space="preserve">A kapszula </w:t>
      </w:r>
      <w:r w:rsidR="00B93CD8">
        <w:rPr>
          <w:bCs/>
          <w:szCs w:val="22"/>
          <w:lang w:val="hu-HU"/>
        </w:rPr>
        <w:t>alsó része</w:t>
      </w:r>
      <w:r w:rsidR="00B93CD8" w:rsidRPr="00E35DC5">
        <w:rPr>
          <w:bCs/>
          <w:szCs w:val="22"/>
          <w:lang w:val="hu-HU"/>
        </w:rPr>
        <w:t xml:space="preserve"> </w:t>
      </w:r>
      <w:r w:rsidR="007C01DE" w:rsidRPr="00E35DC5">
        <w:rPr>
          <w:bCs/>
          <w:szCs w:val="22"/>
          <w:lang w:val="hu-HU"/>
        </w:rPr>
        <w:t>fehér színű, ’30</w:t>
      </w:r>
      <w:r w:rsidR="00944276" w:rsidRPr="00E35DC5">
        <w:rPr>
          <w:bCs/>
          <w:szCs w:val="22"/>
          <w:lang w:val="hu-HU"/>
        </w:rPr>
        <w:t>’ fekete</w:t>
      </w:r>
      <w:r w:rsidR="007C01DE" w:rsidRPr="00E35DC5">
        <w:rPr>
          <w:bCs/>
          <w:szCs w:val="22"/>
          <w:lang w:val="hu-HU"/>
        </w:rPr>
        <w:t xml:space="preserve"> jelöléssel</w:t>
      </w:r>
      <w:r w:rsidR="00944276" w:rsidRPr="00E35DC5">
        <w:rPr>
          <w:bCs/>
          <w:szCs w:val="22"/>
          <w:lang w:val="hu-HU"/>
        </w:rPr>
        <w:t xml:space="preserve"> ellátva</w:t>
      </w:r>
      <w:r w:rsidR="007C01DE" w:rsidRPr="00E35DC5">
        <w:rPr>
          <w:bCs/>
          <w:szCs w:val="22"/>
          <w:lang w:val="hu-HU"/>
        </w:rPr>
        <w:t xml:space="preserve">, </w:t>
      </w:r>
      <w:r w:rsidR="00B93CD8">
        <w:rPr>
          <w:bCs/>
          <w:szCs w:val="22"/>
          <w:lang w:val="hu-HU"/>
        </w:rPr>
        <w:t>felső része</w:t>
      </w:r>
      <w:r w:rsidR="00B93CD8" w:rsidRPr="00E35DC5">
        <w:rPr>
          <w:bCs/>
          <w:szCs w:val="22"/>
          <w:lang w:val="hu-HU"/>
        </w:rPr>
        <w:t xml:space="preserve"> </w:t>
      </w:r>
      <w:r w:rsidR="00944276" w:rsidRPr="00E35DC5">
        <w:rPr>
          <w:bCs/>
          <w:szCs w:val="22"/>
          <w:lang w:val="hu-HU"/>
        </w:rPr>
        <w:t>sötét</w:t>
      </w:r>
      <w:r w:rsidR="007C01DE" w:rsidRPr="00E35DC5">
        <w:rPr>
          <w:bCs/>
          <w:szCs w:val="22"/>
          <w:lang w:val="hu-HU"/>
        </w:rPr>
        <w:t>kék színű.</w:t>
      </w:r>
    </w:p>
    <w:p w14:paraId="5548B19C" w14:textId="77777777" w:rsidR="00765559" w:rsidRPr="00E35DC5" w:rsidRDefault="00765559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</w:p>
    <w:p w14:paraId="60D29AFE" w14:textId="77777777" w:rsidR="005706CF" w:rsidRPr="00E35DC5" w:rsidRDefault="005706CF" w:rsidP="00E35DC5">
      <w:pPr>
        <w:widowControl w:val="0"/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E35DC5">
        <w:rPr>
          <w:rFonts w:eastAsia="Times New Roman"/>
          <w:i/>
          <w:snapToGrid/>
          <w:szCs w:val="22"/>
          <w:lang w:val="hu-HU" w:eastAsia="en-US"/>
        </w:rPr>
        <w:t>Dulsevia 60 mg gyomornedv-ellenálló kemény kapszula</w:t>
      </w:r>
    </w:p>
    <w:p w14:paraId="0A90DCA4" w14:textId="03B6EFBF" w:rsidR="00A91F99" w:rsidRPr="00E35DC5" w:rsidRDefault="00A91F99" w:rsidP="00E35DC5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E35DC5">
        <w:rPr>
          <w:bCs/>
          <w:szCs w:val="22"/>
          <w:lang w:val="hu-HU"/>
        </w:rPr>
        <w:t xml:space="preserve">Fehér vagy </w:t>
      </w:r>
      <w:r w:rsidR="00D463E7">
        <w:rPr>
          <w:bCs/>
          <w:szCs w:val="22"/>
          <w:lang w:val="hu-HU"/>
        </w:rPr>
        <w:t>enyhén színezett</w:t>
      </w:r>
      <w:r w:rsidRPr="00E35DC5">
        <w:rPr>
          <w:bCs/>
          <w:szCs w:val="22"/>
          <w:lang w:val="hu-HU"/>
        </w:rPr>
        <w:t xml:space="preserve"> pellet, 1-es méretű kemény zselatin kapszulában (kapszula hossz</w:t>
      </w:r>
      <w:r w:rsidR="00B93CD8">
        <w:rPr>
          <w:bCs/>
          <w:szCs w:val="22"/>
          <w:lang w:val="hu-HU"/>
        </w:rPr>
        <w:t>a</w:t>
      </w:r>
      <w:r w:rsidRPr="00E35DC5">
        <w:rPr>
          <w:bCs/>
          <w:szCs w:val="22"/>
          <w:lang w:val="hu-HU"/>
        </w:rPr>
        <w:t xml:space="preserve">: </w:t>
      </w:r>
      <w:r w:rsidR="00B93CD8">
        <w:rPr>
          <w:bCs/>
          <w:szCs w:val="22"/>
          <w:lang w:val="hu-HU"/>
        </w:rPr>
        <w:t xml:space="preserve">kb. </w:t>
      </w:r>
      <w:r w:rsidRPr="00E35DC5">
        <w:rPr>
          <w:bCs/>
          <w:szCs w:val="22"/>
          <w:lang w:val="hu-HU"/>
        </w:rPr>
        <w:t xml:space="preserve">19 mm). A kapszula </w:t>
      </w:r>
      <w:r w:rsidR="00B93CD8">
        <w:rPr>
          <w:bCs/>
          <w:szCs w:val="22"/>
          <w:lang w:val="hu-HU"/>
        </w:rPr>
        <w:t>alsó része</w:t>
      </w:r>
      <w:r w:rsidR="00B93CD8" w:rsidRPr="00E35DC5">
        <w:rPr>
          <w:bCs/>
          <w:szCs w:val="22"/>
          <w:lang w:val="hu-HU"/>
        </w:rPr>
        <w:t xml:space="preserve"> </w:t>
      </w:r>
      <w:r w:rsidRPr="00E35DC5">
        <w:rPr>
          <w:bCs/>
          <w:szCs w:val="22"/>
          <w:lang w:val="hu-HU"/>
        </w:rPr>
        <w:t>sárgászöld színű, ’</w:t>
      </w:r>
      <w:r w:rsidR="00837E03" w:rsidRPr="00E35DC5">
        <w:rPr>
          <w:bCs/>
          <w:szCs w:val="22"/>
          <w:lang w:val="hu-HU"/>
        </w:rPr>
        <w:t>60</w:t>
      </w:r>
      <w:r w:rsidRPr="00E35DC5">
        <w:rPr>
          <w:bCs/>
          <w:szCs w:val="22"/>
          <w:lang w:val="hu-HU"/>
        </w:rPr>
        <w:t xml:space="preserve">’ fekete jelöléssel ellátva, </w:t>
      </w:r>
      <w:r w:rsidR="00B93CD8">
        <w:rPr>
          <w:bCs/>
          <w:szCs w:val="22"/>
          <w:lang w:val="hu-HU"/>
        </w:rPr>
        <w:t>felső része</w:t>
      </w:r>
      <w:r w:rsidR="00B93CD8" w:rsidRPr="00E35DC5">
        <w:rPr>
          <w:bCs/>
          <w:szCs w:val="22"/>
          <w:lang w:val="hu-HU"/>
        </w:rPr>
        <w:t xml:space="preserve"> </w:t>
      </w:r>
      <w:r w:rsidRPr="00E35DC5">
        <w:rPr>
          <w:bCs/>
          <w:szCs w:val="22"/>
          <w:lang w:val="hu-HU"/>
        </w:rPr>
        <w:t>sötétkék színű.</w:t>
      </w:r>
    </w:p>
    <w:p w14:paraId="726D354D" w14:textId="77777777" w:rsidR="00F45C51" w:rsidRPr="00E35DC5" w:rsidRDefault="00F45C51" w:rsidP="00E35DC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2A2ADE0" w14:textId="77777777" w:rsidR="00F45C51" w:rsidRPr="00E35DC5" w:rsidRDefault="00F45C51" w:rsidP="00E35DC5">
      <w:pPr>
        <w:spacing w:line="240" w:lineRule="auto"/>
        <w:rPr>
          <w:szCs w:val="22"/>
          <w:lang w:val="hu-HU"/>
        </w:rPr>
      </w:pPr>
    </w:p>
    <w:p w14:paraId="15F56197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35DC5">
        <w:rPr>
          <w:b/>
          <w:szCs w:val="22"/>
          <w:lang w:val="hu-HU"/>
        </w:rPr>
        <w:t>4.</w:t>
      </w:r>
      <w:r w:rsidRPr="00E35DC5">
        <w:rPr>
          <w:b/>
          <w:szCs w:val="22"/>
          <w:lang w:val="hu-HU"/>
        </w:rPr>
        <w:tab/>
        <w:t>KLINIKAI JELLEMZŐK</w:t>
      </w:r>
    </w:p>
    <w:p w14:paraId="01AD90F6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A9EDC32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35DC5">
        <w:rPr>
          <w:rFonts w:eastAsia="Times New Roman"/>
          <w:b/>
          <w:snapToGrid/>
          <w:szCs w:val="22"/>
          <w:lang w:val="hu-HU" w:eastAsia="en-US"/>
        </w:rPr>
        <w:t>4.1</w:t>
      </w:r>
      <w:r w:rsidRPr="00E35DC5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3B725829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CAD0053" w14:textId="77777777" w:rsidR="005D3D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Major depresszív zavar kezelése.</w:t>
      </w:r>
    </w:p>
    <w:p w14:paraId="03F24B6B" w14:textId="77777777" w:rsidR="005D3D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Diabeteses perifériás neuropathiás fájdalom kezelése.</w:t>
      </w:r>
    </w:p>
    <w:p w14:paraId="0144047E" w14:textId="77777777" w:rsidR="005D3D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Generalizált szorongás kezelése.</w:t>
      </w:r>
    </w:p>
    <w:p w14:paraId="296D073A" w14:textId="77777777" w:rsidR="005D3D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BB116A" w14:textId="77777777" w:rsidR="005D3D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A Dulsevia felnőttek kezelésére javallott.</w:t>
      </w:r>
    </w:p>
    <w:p w14:paraId="6197F093" w14:textId="77777777" w:rsidR="00F45C51" w:rsidRPr="00E35DC5" w:rsidRDefault="005D3D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35DC5">
        <w:rPr>
          <w:rFonts w:eastAsia="Times New Roman"/>
          <w:snapToGrid/>
          <w:szCs w:val="22"/>
          <w:lang w:val="hu-HU" w:eastAsia="en-US"/>
        </w:rPr>
        <w:t>További információkat lásd az 5.1 pontban.</w:t>
      </w:r>
    </w:p>
    <w:p w14:paraId="1CF5307D" w14:textId="77777777" w:rsidR="00F45C51" w:rsidRPr="00E35DC5" w:rsidRDefault="00F45C51" w:rsidP="00E35DC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51F345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35DC5">
        <w:rPr>
          <w:rFonts w:eastAsia="Times New Roman"/>
          <w:b/>
          <w:snapToGrid/>
          <w:szCs w:val="22"/>
          <w:lang w:val="hu-HU" w:eastAsia="en-US"/>
        </w:rPr>
        <w:t>4.2</w:t>
      </w:r>
      <w:r w:rsidRPr="00E35DC5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33EE58F6" w14:textId="77777777" w:rsidR="00F45C51" w:rsidRPr="00E35DC5" w:rsidRDefault="00F45C51" w:rsidP="00E35DC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9D7A65D" w14:textId="77777777" w:rsidR="00F45C51" w:rsidRPr="00E35DC5" w:rsidRDefault="00F45C51" w:rsidP="00E35DC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35DC5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41162530" w14:textId="77777777" w:rsidR="00765559" w:rsidRPr="00E35DC5" w:rsidRDefault="00765559" w:rsidP="00E35DC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99D6F64" w14:textId="77777777" w:rsidR="0075079A" w:rsidRPr="00E35DC5" w:rsidRDefault="0075079A" w:rsidP="00E35DC5">
      <w:pPr>
        <w:spacing w:line="240" w:lineRule="auto"/>
        <w:rPr>
          <w:i/>
          <w:szCs w:val="22"/>
          <w:lang w:val="hu-HU"/>
        </w:rPr>
      </w:pPr>
      <w:r w:rsidRPr="00E35DC5">
        <w:rPr>
          <w:i/>
          <w:szCs w:val="22"/>
          <w:lang w:val="hu-HU"/>
        </w:rPr>
        <w:t>Major depresszív zavar</w:t>
      </w:r>
    </w:p>
    <w:p w14:paraId="77C717B5" w14:textId="2B708550" w:rsidR="0075079A" w:rsidRPr="00E35DC5" w:rsidRDefault="0075079A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A kezdő és javasolt fenntartó </w:t>
      </w:r>
      <w:r w:rsidR="004C3026">
        <w:rPr>
          <w:szCs w:val="22"/>
          <w:lang w:val="hu-HU"/>
        </w:rPr>
        <w:t>dózis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>60</w:t>
      </w:r>
      <w:r w:rsidR="00C661FB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 xml:space="preserve">mg naponta egyszer, </w:t>
      </w:r>
      <w:r w:rsidR="0042271D" w:rsidRPr="00E35DC5">
        <w:rPr>
          <w:szCs w:val="22"/>
          <w:lang w:val="hu-HU"/>
        </w:rPr>
        <w:t xml:space="preserve">étkezés közben vagy </w:t>
      </w:r>
      <w:r w:rsidRPr="00E35DC5">
        <w:rPr>
          <w:szCs w:val="22"/>
          <w:lang w:val="hu-HU"/>
        </w:rPr>
        <w:t>étkezéstől függetlenül. Klinikai vizsgálatokban biztonsági szempontból értékelték a napi egyszeri 60</w:t>
      </w:r>
      <w:r w:rsidR="00C661FB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>mg-ot meghaladó, maximum napi 120</w:t>
      </w:r>
      <w:r w:rsidR="00C661FB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 xml:space="preserve">mg-os </w:t>
      </w:r>
      <w:r w:rsidR="004C3026">
        <w:rPr>
          <w:szCs w:val="22"/>
          <w:lang w:val="hu-HU"/>
        </w:rPr>
        <w:t>dózisokat</w:t>
      </w:r>
      <w:r w:rsidRPr="00E35DC5">
        <w:rPr>
          <w:szCs w:val="22"/>
          <w:lang w:val="hu-HU"/>
        </w:rPr>
        <w:t xml:space="preserve">. Mindazonáltal nincs arra utaló klinikai bizonyosság, </w:t>
      </w:r>
      <w:r w:rsidRPr="00E35DC5">
        <w:rPr>
          <w:szCs w:val="22"/>
          <w:lang w:val="hu-HU"/>
        </w:rPr>
        <w:lastRenderedPageBreak/>
        <w:t>hogy előnyös lenne a dózis emelése azoknak a betegeknek, akik nem reagálnak a kezdeti javasolt gyógyszeradagra.</w:t>
      </w:r>
    </w:p>
    <w:p w14:paraId="2BE5666D" w14:textId="77777777" w:rsidR="0075079A" w:rsidRPr="00E35DC5" w:rsidRDefault="0075079A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 terápiás válasz általában 2</w:t>
      </w:r>
      <w:r w:rsidR="00C661FB" w:rsidRPr="00E35DC5">
        <w:rPr>
          <w:szCs w:val="22"/>
          <w:lang w:val="hu-HU"/>
        </w:rPr>
        <w:noBreakHyphen/>
      </w:r>
      <w:r w:rsidRPr="00E35DC5">
        <w:rPr>
          <w:szCs w:val="22"/>
          <w:lang w:val="hu-HU"/>
        </w:rPr>
        <w:t>4</w:t>
      </w:r>
      <w:r w:rsidR="00C661FB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>hetes kezelést követően látható.</w:t>
      </w:r>
    </w:p>
    <w:p w14:paraId="1A973E30" w14:textId="77777777" w:rsidR="00AD5D74" w:rsidRPr="00E35DC5" w:rsidRDefault="00AD5D74" w:rsidP="00E35DC5">
      <w:pPr>
        <w:spacing w:line="240" w:lineRule="auto"/>
        <w:rPr>
          <w:szCs w:val="22"/>
          <w:lang w:val="hu-HU"/>
        </w:rPr>
      </w:pPr>
    </w:p>
    <w:p w14:paraId="37398211" w14:textId="16B71386" w:rsidR="0075079A" w:rsidRPr="00E35DC5" w:rsidRDefault="0075079A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Az antidepresszív válasz állandósulását követően a relapszus elkerülése céljából javasolt több hónapig folytatni a kezelést. Azoknál a betegeknél, akik reagálnak a duloxetinre, és akiknek az anamnézisében major depressziós epizódok ismételt előfordulása szerepel, megfontolható a napi 60</w:t>
      </w:r>
      <w:r w:rsidR="00C661FB" w:rsidRPr="00E35DC5">
        <w:rPr>
          <w:szCs w:val="22"/>
          <w:lang w:val="hu-HU"/>
        </w:rPr>
        <w:noBreakHyphen/>
      </w:r>
      <w:r w:rsidRPr="00E35DC5">
        <w:rPr>
          <w:szCs w:val="22"/>
          <w:lang w:val="hu-HU"/>
        </w:rPr>
        <w:t>120</w:t>
      </w:r>
      <w:r w:rsidR="00C661FB" w:rsidRPr="00E35DC5">
        <w:rPr>
          <w:szCs w:val="22"/>
          <w:lang w:val="hu-HU"/>
        </w:rPr>
        <w:t> </w:t>
      </w:r>
      <w:r w:rsidRPr="00E35DC5">
        <w:rPr>
          <w:szCs w:val="22"/>
          <w:lang w:val="hu-HU"/>
        </w:rPr>
        <w:t xml:space="preserve">mg-os </w:t>
      </w:r>
      <w:r w:rsidR="004C3026">
        <w:rPr>
          <w:szCs w:val="22"/>
          <w:lang w:val="hu-HU"/>
        </w:rPr>
        <w:t>dózissal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>végzett, további hosszútávú kezelés.</w:t>
      </w:r>
    </w:p>
    <w:p w14:paraId="343F9CB8" w14:textId="77777777" w:rsidR="00032A4C" w:rsidRPr="00E35DC5" w:rsidRDefault="00032A4C" w:rsidP="00E35DC5">
      <w:pPr>
        <w:spacing w:line="240" w:lineRule="auto"/>
        <w:rPr>
          <w:szCs w:val="22"/>
          <w:lang w:val="hu-HU"/>
        </w:rPr>
      </w:pPr>
    </w:p>
    <w:p w14:paraId="076C10D2" w14:textId="77777777" w:rsidR="0075079A" w:rsidRPr="00E35DC5" w:rsidRDefault="0075079A" w:rsidP="00E35DC5">
      <w:pPr>
        <w:spacing w:line="240" w:lineRule="auto"/>
        <w:rPr>
          <w:i/>
          <w:szCs w:val="22"/>
          <w:lang w:val="hu-HU"/>
        </w:rPr>
      </w:pPr>
      <w:r w:rsidRPr="00E35DC5">
        <w:rPr>
          <w:i/>
          <w:szCs w:val="22"/>
          <w:lang w:val="hu-HU"/>
        </w:rPr>
        <w:t>Generalizált szorongás</w:t>
      </w:r>
    </w:p>
    <w:p w14:paraId="57CDF0D3" w14:textId="6A64FEEB" w:rsidR="0075079A" w:rsidRPr="00E35DC5" w:rsidRDefault="0075079A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Generalizált szorongásban szenvedő beteg részére a javasolt kezdő </w:t>
      </w:r>
      <w:r w:rsidR="004C3026">
        <w:rPr>
          <w:szCs w:val="22"/>
          <w:lang w:val="hu-HU"/>
        </w:rPr>
        <w:t>dózis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 xml:space="preserve">naponta egyszer 30 mg étkezés közben vagy étkezéstől függetlenül. Azoknál a betegeknél, akiknél nem kielégítő a terápiás válasz, a </w:t>
      </w:r>
      <w:r w:rsidR="004C3026">
        <w:rPr>
          <w:szCs w:val="22"/>
          <w:lang w:val="hu-HU"/>
        </w:rPr>
        <w:t>dózist</w:t>
      </w:r>
      <w:r w:rsidRPr="00E35DC5">
        <w:rPr>
          <w:szCs w:val="22"/>
          <w:lang w:val="hu-HU"/>
        </w:rPr>
        <w:t xml:space="preserve"> 60 mg-ra kell emelni, ami a legtöbb betegnél a szokásos fenntartó </w:t>
      </w:r>
      <w:r w:rsidR="004C3026">
        <w:rPr>
          <w:szCs w:val="22"/>
          <w:lang w:val="hu-HU"/>
        </w:rPr>
        <w:t>dózis</w:t>
      </w:r>
      <w:r w:rsidRPr="00E35DC5">
        <w:rPr>
          <w:szCs w:val="22"/>
          <w:lang w:val="hu-HU"/>
        </w:rPr>
        <w:t>.</w:t>
      </w:r>
    </w:p>
    <w:p w14:paraId="129CB2C2" w14:textId="77777777" w:rsidR="00772E22" w:rsidRPr="00E35DC5" w:rsidRDefault="00772E22" w:rsidP="00E35DC5">
      <w:pPr>
        <w:spacing w:line="240" w:lineRule="auto"/>
        <w:rPr>
          <w:szCs w:val="22"/>
          <w:lang w:val="hu-HU"/>
        </w:rPr>
      </w:pPr>
    </w:p>
    <w:p w14:paraId="208289BB" w14:textId="3F947ECF" w:rsidR="0075079A" w:rsidRPr="00E35DC5" w:rsidRDefault="0075079A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Egyidejű major depresszív zavarban szenvedő betegeknél a kezdő és a fenntartó </w:t>
      </w:r>
      <w:r w:rsidR="004C3026">
        <w:rPr>
          <w:szCs w:val="22"/>
          <w:lang w:val="hu-HU"/>
        </w:rPr>
        <w:t>dózis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>naponta egyszer 60 mg (lásd az adagolási javaslatot is fent).</w:t>
      </w:r>
    </w:p>
    <w:p w14:paraId="4AEA88D3" w14:textId="77777777" w:rsidR="00772E22" w:rsidRPr="00E35DC5" w:rsidRDefault="00772E22" w:rsidP="00E35DC5">
      <w:pPr>
        <w:spacing w:line="240" w:lineRule="auto"/>
        <w:rPr>
          <w:szCs w:val="22"/>
          <w:lang w:val="hu-HU"/>
        </w:rPr>
      </w:pPr>
    </w:p>
    <w:p w14:paraId="228FE1D8" w14:textId="399F7DDF" w:rsidR="00772E22" w:rsidRPr="00E35DC5" w:rsidRDefault="00772E22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Napi 120 mg-ig terjedő </w:t>
      </w:r>
      <w:r w:rsidR="004C3026">
        <w:rPr>
          <w:szCs w:val="22"/>
          <w:lang w:val="hu-HU"/>
        </w:rPr>
        <w:t>dózisok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 xml:space="preserve">hatékonynak bizonyultak és biztonságossági szempontból értékelték a klinikai vizsgálatok során. A 60 mg-os </w:t>
      </w:r>
      <w:r w:rsidR="004C3026">
        <w:rPr>
          <w:szCs w:val="22"/>
          <w:lang w:val="hu-HU"/>
        </w:rPr>
        <w:t>dózisra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>nem kielégítő választ mutató betegeknél ezért megfontolható a dózis 90 mg-ra vagy 120 mg-ra történő emelése. A dózis emelését a klinikai válaszra és a tolerálhatóságra kell alapozni.</w:t>
      </w:r>
    </w:p>
    <w:p w14:paraId="04D7D11F" w14:textId="77777777" w:rsidR="00772E22" w:rsidRPr="00E35DC5" w:rsidRDefault="00772E22" w:rsidP="00E35DC5">
      <w:pPr>
        <w:spacing w:line="240" w:lineRule="auto"/>
        <w:rPr>
          <w:szCs w:val="22"/>
          <w:lang w:val="hu-HU"/>
        </w:rPr>
      </w:pPr>
    </w:p>
    <w:p w14:paraId="667E47D5" w14:textId="77777777" w:rsidR="00772E22" w:rsidRPr="00E35DC5" w:rsidRDefault="00772E22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 terápiás válasz állandósulását követően a relapszus elkerülése céljából a kezelést javasolt néhány hónapig folytatni.</w:t>
      </w:r>
    </w:p>
    <w:p w14:paraId="1596B1B7" w14:textId="77777777" w:rsidR="008065E1" w:rsidRPr="00E35DC5" w:rsidRDefault="008065E1" w:rsidP="00E35DC5">
      <w:pPr>
        <w:spacing w:line="240" w:lineRule="auto"/>
        <w:rPr>
          <w:szCs w:val="22"/>
          <w:lang w:val="hu-HU"/>
        </w:rPr>
      </w:pPr>
    </w:p>
    <w:p w14:paraId="512C6C35" w14:textId="77777777" w:rsidR="00772E22" w:rsidRPr="00E35DC5" w:rsidRDefault="00772E22" w:rsidP="00E35DC5">
      <w:pPr>
        <w:spacing w:line="240" w:lineRule="auto"/>
        <w:rPr>
          <w:i/>
          <w:szCs w:val="22"/>
          <w:lang w:val="hu-HU"/>
        </w:rPr>
      </w:pPr>
      <w:r w:rsidRPr="00E35DC5">
        <w:rPr>
          <w:i/>
          <w:szCs w:val="22"/>
          <w:lang w:val="hu-HU"/>
        </w:rPr>
        <w:t>Diabeteses perifériás neuropathiás fájdalom</w:t>
      </w:r>
    </w:p>
    <w:p w14:paraId="304005F8" w14:textId="335CFCB3" w:rsidR="00772E22" w:rsidRPr="00E35DC5" w:rsidRDefault="00772E22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A kezdő és javasolt fenntartó </w:t>
      </w:r>
      <w:r w:rsidR="004C3026">
        <w:rPr>
          <w:szCs w:val="22"/>
          <w:lang w:val="hu-HU"/>
        </w:rPr>
        <w:t>dózis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 xml:space="preserve">60 mg naponta egyszer, étkezés közben vagy étkezéstől függetlenül. Klinikai vizsgálatokban biztonsági szempontból értékelték a napi egyszeri 60 mg-ot meghaladó, maximum napi 120 mg, egyenlően elosztott adagolásokat. A duloxetin plazmakoncentrációja nagymértékű egyéni eltéréseket mutat (lásd 5.2 pont). Ezért egyes, a 60 mg-os </w:t>
      </w:r>
      <w:r w:rsidR="004C3026">
        <w:rPr>
          <w:szCs w:val="22"/>
          <w:lang w:val="hu-HU"/>
        </w:rPr>
        <w:t>dózisra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 xml:space="preserve">nem kielégítően reagáló betegek számára előnyösebb lehet a nagyobb </w:t>
      </w:r>
      <w:r w:rsidR="004C3026">
        <w:rPr>
          <w:szCs w:val="22"/>
          <w:lang w:val="hu-HU"/>
        </w:rPr>
        <w:t>dózisok</w:t>
      </w:r>
      <w:r w:rsidR="004C3026" w:rsidRPr="00E35DC5">
        <w:rPr>
          <w:szCs w:val="22"/>
          <w:lang w:val="hu-HU"/>
        </w:rPr>
        <w:t xml:space="preserve"> </w:t>
      </w:r>
      <w:r w:rsidRPr="00E35DC5">
        <w:rPr>
          <w:szCs w:val="22"/>
          <w:lang w:val="hu-HU"/>
        </w:rPr>
        <w:t>alkalmazása.</w:t>
      </w:r>
    </w:p>
    <w:p w14:paraId="2331D755" w14:textId="77777777" w:rsidR="008065E1" w:rsidRPr="00E35DC5" w:rsidRDefault="008065E1" w:rsidP="00E35DC5">
      <w:pPr>
        <w:spacing w:line="240" w:lineRule="auto"/>
        <w:rPr>
          <w:szCs w:val="22"/>
          <w:lang w:val="hu-HU"/>
        </w:rPr>
      </w:pPr>
    </w:p>
    <w:p w14:paraId="4A1EA25B" w14:textId="77777777" w:rsidR="00772E22" w:rsidRPr="00E35DC5" w:rsidRDefault="00772E22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 kezelésre adott választ 2 hónapos kezelés után kell értékelni. Azoknál a betegeknél, akiknél a kezdeti válasz nem kielégítő, ezt követően további javulás már nem valószínű.</w:t>
      </w:r>
    </w:p>
    <w:p w14:paraId="14476C08" w14:textId="77777777" w:rsidR="008065E1" w:rsidRPr="00E35DC5" w:rsidRDefault="008065E1" w:rsidP="00E35DC5">
      <w:pPr>
        <w:spacing w:line="240" w:lineRule="auto"/>
        <w:rPr>
          <w:szCs w:val="22"/>
          <w:lang w:val="hu-HU"/>
        </w:rPr>
      </w:pPr>
    </w:p>
    <w:p w14:paraId="130822C2" w14:textId="77777777" w:rsidR="0075079A" w:rsidRPr="00E35DC5" w:rsidRDefault="00772E22" w:rsidP="00E35DC5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 terápia hasznosságát rendszeresen (legalább három havonta) újra kell értékelni (lásd 5.1 pont).</w:t>
      </w:r>
    </w:p>
    <w:p w14:paraId="3A2A3AA1" w14:textId="77777777" w:rsidR="00772E22" w:rsidRPr="00E35DC5" w:rsidRDefault="00772E22" w:rsidP="00E35DC5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0117F747" w14:textId="77777777" w:rsidR="008065E1" w:rsidRPr="009138BF" w:rsidRDefault="00BE3E9A" w:rsidP="00E35DC5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E35DC5">
        <w:rPr>
          <w:rFonts w:eastAsia="Times New Roman"/>
          <w:bCs/>
          <w:i/>
          <w:iCs/>
          <w:snapToGrid/>
          <w:szCs w:val="22"/>
          <w:lang w:val="hu-HU" w:eastAsia="en-US"/>
        </w:rPr>
        <w:t>Különleges betegcsoportok</w:t>
      </w:r>
    </w:p>
    <w:p w14:paraId="0F760888" w14:textId="77777777" w:rsidR="007141A9" w:rsidRPr="009138BF" w:rsidRDefault="007141A9" w:rsidP="009138BF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</w:p>
    <w:p w14:paraId="3E32038D" w14:textId="77777777" w:rsidR="008065E1" w:rsidRPr="00183EF0" w:rsidRDefault="008065E1" w:rsidP="00183EF0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183EF0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1FBF1BC4" w14:textId="11571C9F" w:rsidR="008065E1" w:rsidRPr="00951C48" w:rsidRDefault="008065E1" w:rsidP="00951C48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51C48">
        <w:rPr>
          <w:rFonts w:eastAsia="Times New Roman"/>
          <w:bCs/>
          <w:iCs/>
          <w:snapToGrid/>
          <w:szCs w:val="22"/>
          <w:lang w:val="hu-HU" w:eastAsia="en-US"/>
        </w:rPr>
        <w:t>Idős betegekben önmagában a kor miatt nem javasolt a dózis módosítása. Mindazonáltal, mint minden gyógyszernél, idősek kezelése során elővigyázatossággal kell eljárni, különösen major depresszív zavar vagy generalizált szorongás kezelésére szolgáló 120</w:t>
      </w:r>
      <w:r w:rsidR="004C302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51C48">
        <w:rPr>
          <w:rFonts w:eastAsia="Times New Roman"/>
          <w:bCs/>
          <w:iCs/>
          <w:snapToGrid/>
          <w:szCs w:val="22"/>
          <w:lang w:val="hu-HU" w:eastAsia="en-US"/>
        </w:rPr>
        <w:t xml:space="preserve">mg/nap </w:t>
      </w:r>
      <w:r w:rsidR="00CA6129" w:rsidRPr="00951C48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951C48">
        <w:rPr>
          <w:rFonts w:eastAsia="Times New Roman"/>
          <w:bCs/>
          <w:iCs/>
          <w:snapToGrid/>
          <w:szCs w:val="22"/>
          <w:lang w:val="hu-HU" w:eastAsia="en-US"/>
        </w:rPr>
        <w:t xml:space="preserve"> adagolás esetén, mert ezzel az adagolással kapcsolatban korlátozottan állnak rendelkezésre adatok (lásd 4.4 és 5.2 pont).</w:t>
      </w:r>
    </w:p>
    <w:p w14:paraId="019900C7" w14:textId="77777777" w:rsidR="007141A9" w:rsidRPr="00951C48" w:rsidRDefault="007141A9" w:rsidP="00951C48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65BF8C36" w14:textId="77777777" w:rsidR="008065E1" w:rsidRPr="00951C48" w:rsidRDefault="008065E1" w:rsidP="00951C48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951C48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0072DD1F" w14:textId="77777777" w:rsidR="008065E1" w:rsidRPr="009C5B72" w:rsidRDefault="008065E1" w:rsidP="00951C48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51C48">
        <w:rPr>
          <w:rFonts w:eastAsia="Times New Roman"/>
          <w:bCs/>
          <w:iCs/>
          <w:snapToGrid/>
          <w:szCs w:val="22"/>
          <w:lang w:val="hu-HU" w:eastAsia="en-US"/>
        </w:rPr>
        <w:t xml:space="preserve">A </w:t>
      </w:r>
      <w:r w:rsidR="00CA6129" w:rsidRPr="00951C48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927751">
        <w:rPr>
          <w:rFonts w:eastAsia="Times New Roman"/>
          <w:bCs/>
          <w:iCs/>
          <w:snapToGrid/>
          <w:szCs w:val="22"/>
          <w:lang w:val="hu-HU" w:eastAsia="en-US"/>
        </w:rPr>
        <w:t>-t tilos alkalmazni májkárosodáshoz ve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zető májbetegségben szenvedő betegeknél (lásd 4.3</w:t>
      </w:r>
      <w:r w:rsidR="00BE3E9A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és 5.2 pont).</w:t>
      </w:r>
    </w:p>
    <w:p w14:paraId="5199A39C" w14:textId="77777777" w:rsidR="007141A9" w:rsidRPr="009C5B72" w:rsidRDefault="007141A9" w:rsidP="00951C48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0E267E1A" w14:textId="77777777" w:rsidR="008065E1" w:rsidRPr="009C5B72" w:rsidRDefault="008065E1" w:rsidP="00927751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75C075FF" w14:textId="363C2866" w:rsidR="008065E1" w:rsidRPr="009C5B72" w:rsidRDefault="008065E1" w:rsidP="009C5B72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Enyhe vagy közepesen súlyos veseműködési zavar esetén (kreatinin-clearance 30</w:t>
      </w:r>
      <w:r w:rsidR="003429DD" w:rsidRPr="009C5B72">
        <w:rPr>
          <w:rFonts w:eastAsia="Times New Roman"/>
          <w:bCs/>
          <w:iCs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80</w:t>
      </w:r>
      <w:r w:rsidR="003429DD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ml/perc) a </w:t>
      </w:r>
      <w:r w:rsidR="004C3026">
        <w:rPr>
          <w:rFonts w:eastAsia="Times New Roman"/>
          <w:bCs/>
          <w:iCs/>
          <w:snapToGrid/>
          <w:szCs w:val="22"/>
          <w:lang w:val="hu-HU" w:eastAsia="en-US"/>
        </w:rPr>
        <w:t>dózis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 módosítása nem szükséges. A </w:t>
      </w:r>
      <w:r w:rsidR="00CA6129" w:rsidRPr="009C5B72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-t tilos alkalmazni súlyos vesekárosodásban szenvedő betegeknél (kreatinin-clearance &lt;30</w:t>
      </w:r>
      <w:r w:rsidR="003429DD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ml/</w:t>
      </w:r>
      <w:r w:rsidR="003429DD" w:rsidRPr="009C5B72">
        <w:rPr>
          <w:rFonts w:eastAsia="Times New Roman"/>
          <w:bCs/>
          <w:iCs/>
          <w:snapToGrid/>
          <w:szCs w:val="22"/>
          <w:lang w:val="hu-HU" w:eastAsia="en-US"/>
        </w:rPr>
        <w:t>perc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; lásd 4.3 pont).</w:t>
      </w:r>
    </w:p>
    <w:p w14:paraId="737BAD92" w14:textId="77777777" w:rsidR="007141A9" w:rsidRPr="009C5B72" w:rsidRDefault="007141A9" w:rsidP="009C5B72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6ABEB6A4" w14:textId="77777777" w:rsidR="00F45C51" w:rsidRPr="009C5B72" w:rsidRDefault="00F45C51" w:rsidP="009C5B72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/>
          <w:iCs/>
          <w:snapToGrid/>
          <w:szCs w:val="22"/>
          <w:lang w:val="hu-HU" w:eastAsia="en-US"/>
        </w:rPr>
        <w:t>Gyermek</w:t>
      </w:r>
      <w:r w:rsidR="00F5194B" w:rsidRPr="009C5B72">
        <w:rPr>
          <w:rFonts w:eastAsia="Times New Roman"/>
          <w:bCs/>
          <w:i/>
          <w:iCs/>
          <w:snapToGrid/>
          <w:szCs w:val="22"/>
          <w:lang w:val="hu-HU" w:eastAsia="en-US"/>
        </w:rPr>
        <w:t>ek</w:t>
      </w:r>
      <w:r w:rsidR="00930A2D" w:rsidRPr="009C5B72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 és serdülők</w:t>
      </w:r>
    </w:p>
    <w:p w14:paraId="3171B47B" w14:textId="77777777" w:rsidR="007141A9" w:rsidRPr="009C5B72" w:rsidRDefault="007141A9" w:rsidP="009C5B72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Biztonságossági és hatásossági aggályokra való tekintettel a duloxetin </w:t>
      </w:r>
      <w:r w:rsidR="00BE3E9A"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18 évesnél fiatalabb 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gyermekeknél és serdülőknél major depresszív zavar kezelésére nem alkalmazható (lásd 4.4, 4.8 és 5.1</w:t>
      </w:r>
      <w:r w:rsidR="00BE3E9A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pont).</w:t>
      </w:r>
    </w:p>
    <w:p w14:paraId="722592AB" w14:textId="77777777" w:rsidR="007141A9" w:rsidRPr="009C5B72" w:rsidRDefault="007141A9" w:rsidP="009C5B72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A duloxetin biztonságosságát és hatásosságát generalizált szorongásban szenvedő 7</w:t>
      </w:r>
      <w:r w:rsidR="005122AF" w:rsidRPr="009C5B72">
        <w:rPr>
          <w:rFonts w:eastAsia="Times New Roman"/>
          <w:bCs/>
          <w:iCs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17</w:t>
      </w:r>
      <w:r w:rsidR="005122AF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éves kor</w:t>
      </w:r>
      <w:r w:rsidR="00290262"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 közötti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 xml:space="preserve"> betegeknél nem állapították meg. A jelenleg rendelkezésre álló adatok leírása a 4.8, 5.1 és 5.2</w:t>
      </w:r>
      <w:r w:rsidR="00BE3E9A" w:rsidRPr="009C5B72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pontban található.</w:t>
      </w:r>
    </w:p>
    <w:p w14:paraId="2678AEF9" w14:textId="77777777" w:rsidR="005122AF" w:rsidRPr="009C5B72" w:rsidRDefault="005122AF" w:rsidP="009C5B72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</w:p>
    <w:p w14:paraId="7EDD3BE1" w14:textId="77777777" w:rsidR="007141A9" w:rsidRPr="009C5B72" w:rsidRDefault="007141A9" w:rsidP="009C5B72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9C5B72">
        <w:rPr>
          <w:rFonts w:eastAsia="Times New Roman"/>
          <w:bCs/>
          <w:iCs/>
          <w:snapToGrid/>
          <w:szCs w:val="22"/>
          <w:lang w:val="hu-HU" w:eastAsia="en-US"/>
        </w:rPr>
        <w:t>A duloxetin biztonságosságát és hatásosságát diabeteses perifériás neuropathiás fájdalom kezelésében nem vizsgálták. Nincsenek rendelkezésre álló adatok.</w:t>
      </w:r>
    </w:p>
    <w:p w14:paraId="084F1423" w14:textId="77777777" w:rsidR="00CB6652" w:rsidRPr="009C5B72" w:rsidRDefault="00CB6652" w:rsidP="009C5B72">
      <w:pPr>
        <w:spacing w:line="240" w:lineRule="auto"/>
        <w:rPr>
          <w:szCs w:val="22"/>
          <w:lang w:val="hu-HU"/>
        </w:rPr>
      </w:pPr>
    </w:p>
    <w:p w14:paraId="5CC43DAF" w14:textId="77777777" w:rsidR="00CA6129" w:rsidRPr="009C5B72" w:rsidRDefault="00CA6129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A kezelés leállítása</w:t>
      </w:r>
    </w:p>
    <w:p w14:paraId="6F7F3A8A" w14:textId="6D52FBC4" w:rsidR="00F45C51" w:rsidRPr="009C5B72" w:rsidRDefault="00CA6129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Kerülendő a kezelés hirtelen leállítása. A Dulsevia-kezelés leállításakor a megvonási tünetek kockázatának csökkentése érdekében a dózist legalább 1</w:t>
      </w:r>
      <w:r w:rsidR="005122AF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 xml:space="preserve">2 hét alatt fokozatosan kell lecsökkenteni (lásd 4.4 és 4.8 pont). Amennyiben </w:t>
      </w:r>
      <w:r w:rsidR="001856B1" w:rsidRPr="009C5B72">
        <w:rPr>
          <w:szCs w:val="22"/>
          <w:lang w:val="hu-HU"/>
        </w:rPr>
        <w:t>elviselhetetlen</w:t>
      </w:r>
      <w:r w:rsidRPr="009C5B72">
        <w:rPr>
          <w:szCs w:val="22"/>
          <w:lang w:val="hu-HU"/>
        </w:rPr>
        <w:t xml:space="preserve"> tünetek jelentkeznek a </w:t>
      </w:r>
      <w:r w:rsidR="00BC78E0">
        <w:rPr>
          <w:szCs w:val="22"/>
          <w:lang w:val="hu-HU"/>
        </w:rPr>
        <w:t>dózis</w:t>
      </w:r>
      <w:r w:rsidRPr="009C5B72">
        <w:rPr>
          <w:szCs w:val="22"/>
          <w:lang w:val="hu-HU"/>
        </w:rPr>
        <w:t xml:space="preserve"> csökkentését vagy a kezelés leállítását követően, megfontolható az előzőleg alkalmazott dózis folytatása. Ezt követően a kezelőorvos csökkentheti a </w:t>
      </w:r>
      <w:r w:rsidR="00BC78E0">
        <w:rPr>
          <w:szCs w:val="22"/>
          <w:lang w:val="hu-HU"/>
        </w:rPr>
        <w:t>dózist</w:t>
      </w:r>
      <w:r w:rsidRPr="009C5B72">
        <w:rPr>
          <w:szCs w:val="22"/>
          <w:lang w:val="hu-HU"/>
        </w:rPr>
        <w:t>, azonban fokozatosabb mértékben.</w:t>
      </w:r>
    </w:p>
    <w:p w14:paraId="7EF5A369" w14:textId="77777777" w:rsidR="00CA6129" w:rsidRPr="009C5B72" w:rsidRDefault="00CA6129" w:rsidP="009C5B72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08AE6E9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9C5B72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5BC9448C" w14:textId="77777777" w:rsidR="00032A4C" w:rsidRPr="009C5B72" w:rsidRDefault="00032A4C" w:rsidP="009C5B72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535788C6" w14:textId="77777777" w:rsidR="00F45C51" w:rsidRPr="009C5B72" w:rsidRDefault="00CA6129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Szájon át történő alkalmazásra.</w:t>
      </w:r>
    </w:p>
    <w:p w14:paraId="6026EC91" w14:textId="77777777" w:rsidR="00F45C51" w:rsidRPr="009C5B72" w:rsidRDefault="00F45C51" w:rsidP="009C5B72">
      <w:pPr>
        <w:spacing w:line="240" w:lineRule="auto"/>
        <w:rPr>
          <w:szCs w:val="22"/>
          <w:lang w:val="hu-HU"/>
        </w:rPr>
      </w:pPr>
    </w:p>
    <w:p w14:paraId="504E724F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4.3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6C840F4C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14BC535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A készítmény hatóanyagával vagy a 6.1 pontban felsorolt </w:t>
      </w:r>
      <w:r w:rsidR="00127C1D" w:rsidRPr="009C5B72">
        <w:rPr>
          <w:rFonts w:eastAsia="Times New Roman"/>
          <w:snapToGrid/>
          <w:szCs w:val="22"/>
          <w:lang w:val="hu-HU" w:eastAsia="en-US"/>
        </w:rPr>
        <w:t xml:space="preserve">bármely </w:t>
      </w:r>
      <w:r w:rsidRPr="009C5B72">
        <w:rPr>
          <w:rFonts w:eastAsia="Times New Roman"/>
          <w:snapToGrid/>
          <w:szCs w:val="22"/>
          <w:lang w:val="hu-HU" w:eastAsia="en-US"/>
        </w:rPr>
        <w:t>segédanyagával szembeni túlérzékenység.</w:t>
      </w:r>
    </w:p>
    <w:p w14:paraId="72D939A0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8491E2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A Dulsevia </w:t>
      </w:r>
      <w:r w:rsidR="00B93669" w:rsidRPr="009C5B72">
        <w:rPr>
          <w:rFonts w:eastAsia="Times New Roman"/>
          <w:snapToGrid/>
          <w:szCs w:val="22"/>
          <w:lang w:val="hu-HU" w:eastAsia="en-US"/>
        </w:rPr>
        <w:t xml:space="preserve">nem alkalmazható </w:t>
      </w:r>
      <w:r w:rsidRPr="009C5B72">
        <w:rPr>
          <w:rFonts w:eastAsia="Times New Roman"/>
          <w:snapToGrid/>
          <w:szCs w:val="22"/>
          <w:lang w:val="hu-HU" w:eastAsia="en-US"/>
        </w:rPr>
        <w:t>a nem szelektív, irreverzibilis monoamino-oxidáz inhibitorokkal (MAOI) kombinációban (lásd 4.5 pont).</w:t>
      </w:r>
    </w:p>
    <w:p w14:paraId="02DD4E2B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F0C6A89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Májkárosodáshoz vezető májbetegség (lásd 5.2 pont).</w:t>
      </w:r>
    </w:p>
    <w:p w14:paraId="1A5FFC57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6055AB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A Dulsevia </w:t>
      </w:r>
      <w:r w:rsidR="00B93669" w:rsidRPr="009C5B72">
        <w:rPr>
          <w:rFonts w:eastAsia="Times New Roman"/>
          <w:snapToGrid/>
          <w:szCs w:val="22"/>
          <w:lang w:val="hu-HU" w:eastAsia="en-US"/>
        </w:rPr>
        <w:t>nem alkalmazható</w:t>
      </w:r>
      <w:r w:rsidR="00B93669" w:rsidRPr="009C5B72" w:rsidDel="00B93669">
        <w:rPr>
          <w:rFonts w:eastAsia="Times New Roman"/>
          <w:snapToGrid/>
          <w:szCs w:val="22"/>
          <w:lang w:val="hu-HU" w:eastAsia="en-US"/>
        </w:rPr>
        <w:t xml:space="preserve"> </w:t>
      </w:r>
      <w:r w:rsidR="00B93669" w:rsidRPr="009C5B72">
        <w:rPr>
          <w:rFonts w:eastAsia="Times New Roman"/>
          <w:snapToGrid/>
          <w:szCs w:val="22"/>
          <w:lang w:val="hu-HU" w:eastAsia="en-US"/>
        </w:rPr>
        <w:t xml:space="preserve">egyidejűleg </w:t>
      </w:r>
      <w:r w:rsidRPr="009C5B72">
        <w:rPr>
          <w:rFonts w:eastAsia="Times New Roman"/>
          <w:snapToGrid/>
          <w:szCs w:val="22"/>
          <w:lang w:val="hu-HU" w:eastAsia="en-US"/>
        </w:rPr>
        <w:t>fluvoxamin</w:t>
      </w:r>
      <w:r w:rsidR="00B93669" w:rsidRPr="009C5B72">
        <w:rPr>
          <w:rFonts w:eastAsia="Times New Roman"/>
          <w:snapToGrid/>
          <w:szCs w:val="22"/>
          <w:lang w:val="hu-HU" w:eastAsia="en-US"/>
        </w:rPr>
        <w:t>nal</w:t>
      </w:r>
      <w:r w:rsidRPr="009C5B72">
        <w:rPr>
          <w:rFonts w:eastAsia="Times New Roman"/>
          <w:snapToGrid/>
          <w:szCs w:val="22"/>
          <w:lang w:val="hu-HU" w:eastAsia="en-US"/>
        </w:rPr>
        <w:t>, ciprofloxacin</w:t>
      </w:r>
      <w:r w:rsidR="00B93669" w:rsidRPr="009C5B72">
        <w:rPr>
          <w:rFonts w:eastAsia="Times New Roman"/>
          <w:snapToGrid/>
          <w:szCs w:val="22"/>
          <w:lang w:val="hu-HU" w:eastAsia="en-US"/>
        </w:rPr>
        <w:t>nal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vagy enoxacin</w:t>
      </w:r>
      <w:r w:rsidR="00B93669" w:rsidRPr="009C5B72">
        <w:rPr>
          <w:rFonts w:eastAsia="Times New Roman"/>
          <w:snapToGrid/>
          <w:szCs w:val="22"/>
          <w:lang w:val="hu-HU" w:eastAsia="en-US"/>
        </w:rPr>
        <w:t>nal (CYP1A2 gátlókkal)</w:t>
      </w:r>
      <w:r w:rsidRPr="009C5B72">
        <w:rPr>
          <w:rFonts w:eastAsia="Times New Roman"/>
          <w:snapToGrid/>
          <w:szCs w:val="22"/>
          <w:lang w:val="hu-HU" w:eastAsia="en-US"/>
        </w:rPr>
        <w:t>, mert a kombináció magasabb duloxetin plazmakoncentrációt eredményez (lásd 4.5 pont).</w:t>
      </w:r>
    </w:p>
    <w:p w14:paraId="5DC36693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42ED25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Súlyos vesekárosodás (kreatinin-clearance &lt;30</w:t>
      </w:r>
      <w:r w:rsidR="00C661FB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ml/perc) (lásd 4.4 pont).</w:t>
      </w:r>
    </w:p>
    <w:p w14:paraId="1E9072D2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691959E" w14:textId="77777777" w:rsidR="00BA7E34" w:rsidRPr="009C5B72" w:rsidRDefault="00BA7E34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A Dulsevia-terápia elkezdése ellenjavallt nem jól beállított magas vérnyomásban, amely h</w:t>
      </w:r>
      <w:r w:rsidR="00BE3E9A" w:rsidRPr="009C5B72">
        <w:rPr>
          <w:rFonts w:eastAsia="Times New Roman"/>
          <w:snapToGrid/>
          <w:szCs w:val="22"/>
          <w:lang w:val="hu-HU" w:eastAsia="en-US"/>
        </w:rPr>
        <w:t>i</w:t>
      </w:r>
      <w:r w:rsidRPr="009C5B72">
        <w:rPr>
          <w:rFonts w:eastAsia="Times New Roman"/>
          <w:snapToGrid/>
          <w:szCs w:val="22"/>
          <w:lang w:val="hu-HU" w:eastAsia="en-US"/>
        </w:rPr>
        <w:t>pertenzív krízis lehetséges kockázatával járhat (lásd 4.4 és 4.8 pont).</w:t>
      </w:r>
    </w:p>
    <w:p w14:paraId="3A259222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E6403FC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4.4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DF9A805" w14:textId="77777777" w:rsidR="00F45C51" w:rsidRPr="009C5B72" w:rsidRDefault="00F45C51" w:rsidP="009C5B72">
      <w:pPr>
        <w:spacing w:line="240" w:lineRule="auto"/>
        <w:rPr>
          <w:szCs w:val="22"/>
          <w:lang w:val="hu-HU"/>
        </w:rPr>
      </w:pPr>
    </w:p>
    <w:p w14:paraId="1DAFC0FA" w14:textId="77777777" w:rsidR="00FE7236" w:rsidRPr="009C5B72" w:rsidRDefault="00FE7236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Mánia és görcsrohamok</w:t>
      </w:r>
    </w:p>
    <w:p w14:paraId="7A8B05B7" w14:textId="77777777" w:rsidR="00FE7236" w:rsidRPr="009C5B72" w:rsidRDefault="00FE7236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Dulsevia csak elővigyázatossággal alkalmazható olyan betegeknél, akiknek az anamnézisében mánia vagy bipoláris zavar diagnózisa és/vagy görcsrohamok szerepelnek.</w:t>
      </w:r>
    </w:p>
    <w:p w14:paraId="426747F3" w14:textId="77777777" w:rsidR="00FE7236" w:rsidRPr="009C5B72" w:rsidRDefault="00FE7236" w:rsidP="009C5B72">
      <w:pPr>
        <w:spacing w:line="240" w:lineRule="auto"/>
        <w:rPr>
          <w:szCs w:val="22"/>
          <w:lang w:val="hu-HU"/>
        </w:rPr>
      </w:pPr>
    </w:p>
    <w:p w14:paraId="0F400288" w14:textId="77777777" w:rsidR="00FE7236" w:rsidRPr="009C5B72" w:rsidRDefault="00FE7236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Mydriasis</w:t>
      </w:r>
    </w:p>
    <w:p w14:paraId="25ADD94D" w14:textId="77777777" w:rsidR="00FE7236" w:rsidRPr="009C5B72" w:rsidRDefault="00FE7236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Mydriasis előfordulását észlelték duloxetin alkalmazása során, ezért azoknál a betegeknél, akiknek emelkedett a szemnyomása, vagy akiknél fennáll az akut </w:t>
      </w:r>
      <w:r w:rsidR="00BE3E9A" w:rsidRPr="009C5B72">
        <w:rPr>
          <w:szCs w:val="22"/>
          <w:lang w:val="hu-HU"/>
        </w:rPr>
        <w:t xml:space="preserve">zárt </w:t>
      </w:r>
      <w:r w:rsidRPr="009C5B72">
        <w:rPr>
          <w:szCs w:val="22"/>
          <w:lang w:val="hu-HU"/>
        </w:rPr>
        <w:t>zugú glaucoma veszélye, a Dulsevia felírása során elővigyázatosságra van szükség.</w:t>
      </w:r>
    </w:p>
    <w:p w14:paraId="197613CD" w14:textId="77777777" w:rsidR="00FE7236" w:rsidRPr="009C5B72" w:rsidRDefault="00FE7236" w:rsidP="009C5B72">
      <w:pPr>
        <w:spacing w:line="240" w:lineRule="auto"/>
        <w:rPr>
          <w:szCs w:val="22"/>
          <w:lang w:val="hu-HU"/>
        </w:rPr>
      </w:pPr>
    </w:p>
    <w:p w14:paraId="61E2551F" w14:textId="77777777" w:rsidR="00FE7236" w:rsidRPr="009C5B72" w:rsidRDefault="00FE7236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Vérnyomás és pulzus</w:t>
      </w:r>
    </w:p>
    <w:p w14:paraId="42E86233" w14:textId="2286D827" w:rsidR="00FE7236" w:rsidRPr="009C5B72" w:rsidRDefault="00FE7236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Néhány betegnél a duloxetin-kezeléshez a vérnyomás emelkedése és klinikailag jelentős hypertonia társult. Ez a duloxetin noradrenerg hatásának következménye lehet. Különösen </w:t>
      </w:r>
      <w:r w:rsidR="00B93669" w:rsidRPr="009C5B72">
        <w:rPr>
          <w:szCs w:val="22"/>
          <w:lang w:val="hu-HU"/>
        </w:rPr>
        <w:t xml:space="preserve">az </w:t>
      </w:r>
      <w:r w:rsidRPr="009C5B72">
        <w:rPr>
          <w:szCs w:val="22"/>
          <w:lang w:val="hu-HU"/>
        </w:rPr>
        <w:t>előzetesen fennálló hypertonia esetén jelentettek duloxetin alkalmazásakor h</w:t>
      </w:r>
      <w:r w:rsidR="00951C48">
        <w:rPr>
          <w:szCs w:val="22"/>
          <w:lang w:val="hu-HU"/>
        </w:rPr>
        <w:t>i</w:t>
      </w:r>
      <w:r w:rsidRPr="00951C48">
        <w:rPr>
          <w:szCs w:val="22"/>
          <w:lang w:val="hu-HU"/>
        </w:rPr>
        <w:t>pertenzív krízis eseteket. Ezért ismert hypertonia és/vagy egyéb szívbetegség esetén a vérnyomás megfelelő ellenőrzése javasolt, különösen a kezelés első hónapja alatt. A duloxetint elővigyázatosan kell alkalmazni azoknál a betegeknél, akiknek az állapotát ronthatja a szívfrekvencia növekedése vagy a vérnyomás emelkedése. Elővigyázatosság szükséges akkor is, ha a duloxetint olyan gyógyszerekkel egy</w:t>
      </w:r>
      <w:r w:rsidR="00097218" w:rsidRPr="00951C48">
        <w:rPr>
          <w:szCs w:val="22"/>
          <w:lang w:val="hu-HU"/>
        </w:rPr>
        <w:t>idejűleg</w:t>
      </w:r>
      <w:r w:rsidRPr="00951C48">
        <w:rPr>
          <w:szCs w:val="22"/>
          <w:lang w:val="hu-HU"/>
        </w:rPr>
        <w:t xml:space="preserve"> alkalmazzák, melyek csökkentik a duloxetin lebomlását (lásd 4.5 pont). Megfontolandó a </w:t>
      </w:r>
      <w:r w:rsidR="00BC78E0">
        <w:rPr>
          <w:szCs w:val="22"/>
          <w:lang w:val="hu-HU"/>
        </w:rPr>
        <w:t>dózis</w:t>
      </w:r>
      <w:r w:rsidRPr="00951C48">
        <w:rPr>
          <w:szCs w:val="22"/>
          <w:lang w:val="hu-HU"/>
        </w:rPr>
        <w:t xml:space="preserve"> csökkentése vagy a kezelés fokozatos leállítása azoknál a betegeknél, akik duloxetin haszná</w:t>
      </w:r>
      <w:r w:rsidRPr="00927751">
        <w:rPr>
          <w:szCs w:val="22"/>
          <w:lang w:val="hu-HU"/>
        </w:rPr>
        <w:t xml:space="preserve">lata mellett tartósan emelkedett vérnyomást észlelnek (lásd 4.8 pont). A duloxetin-terápia elkezdése ellenjavallt nem </w:t>
      </w:r>
      <w:r w:rsidR="00097218" w:rsidRPr="009C5B72">
        <w:rPr>
          <w:szCs w:val="22"/>
          <w:lang w:val="hu-HU"/>
        </w:rPr>
        <w:t>megfelelően</w:t>
      </w:r>
      <w:r w:rsidRPr="009C5B72">
        <w:rPr>
          <w:szCs w:val="22"/>
          <w:lang w:val="hu-HU"/>
        </w:rPr>
        <w:t xml:space="preserve"> beállított magas vérnyomásban (lásd 4.3 pont).</w:t>
      </w:r>
    </w:p>
    <w:p w14:paraId="680C137E" w14:textId="77777777" w:rsidR="00097218" w:rsidRPr="009C5B72" w:rsidRDefault="00097218" w:rsidP="009C5B72">
      <w:pPr>
        <w:spacing w:line="240" w:lineRule="auto"/>
        <w:rPr>
          <w:szCs w:val="22"/>
          <w:lang w:val="hu-HU"/>
        </w:rPr>
      </w:pPr>
    </w:p>
    <w:p w14:paraId="3254C83A" w14:textId="77777777" w:rsidR="00FE7236" w:rsidRPr="009C5B72" w:rsidRDefault="00FE7236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Vesekárosodás</w:t>
      </w:r>
    </w:p>
    <w:p w14:paraId="799231C8" w14:textId="77777777" w:rsidR="00FB2255" w:rsidRPr="009C5B72" w:rsidRDefault="00FE7236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Hemodializált, súlyos vesekárosodásban szenvedő (kreatinin</w:t>
      </w:r>
      <w:r w:rsidR="00015C51" w:rsidRPr="009C5B72">
        <w:rPr>
          <w:szCs w:val="22"/>
          <w:lang w:val="hu-HU"/>
        </w:rPr>
        <w:t>-</w:t>
      </w:r>
      <w:r w:rsidRPr="009C5B72">
        <w:rPr>
          <w:szCs w:val="22"/>
          <w:lang w:val="hu-HU"/>
        </w:rPr>
        <w:t>clearance &lt;30 ml/perc) betegeknél a duloxetin plazmakoncentrációja megemelkedik. Súlyos vesekárosodásban szenvedő betegek esetén lásd a 4.3 pontot. Enyhe vagy közepesen súlyos veseműködési zavarban szenvedő betegekre vonatkozó információkat lásd a 4.2 pontban.</w:t>
      </w:r>
    </w:p>
    <w:p w14:paraId="788CC841" w14:textId="77777777" w:rsidR="00015C51" w:rsidRPr="009C5B72" w:rsidRDefault="00015C51" w:rsidP="009C5B72">
      <w:pPr>
        <w:spacing w:line="240" w:lineRule="auto"/>
        <w:rPr>
          <w:szCs w:val="22"/>
          <w:lang w:val="hu-HU"/>
        </w:rPr>
      </w:pPr>
    </w:p>
    <w:p w14:paraId="4BEB5688" w14:textId="35EA8F51" w:rsidR="00FE7236" w:rsidRPr="009C5B72" w:rsidRDefault="00FE7236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Szerotonin</w:t>
      </w:r>
      <w:r w:rsidR="00D91F20">
        <w:rPr>
          <w:i/>
          <w:szCs w:val="22"/>
          <w:lang w:val="hu-HU"/>
        </w:rPr>
        <w:t>-</w:t>
      </w:r>
      <w:r w:rsidRPr="009C5B72">
        <w:rPr>
          <w:i/>
          <w:szCs w:val="22"/>
          <w:lang w:val="hu-HU"/>
        </w:rPr>
        <w:t>szindróma</w:t>
      </w:r>
      <w:r w:rsidR="00852EED">
        <w:rPr>
          <w:i/>
          <w:szCs w:val="22"/>
          <w:lang w:val="hu-HU"/>
        </w:rPr>
        <w:t>/</w:t>
      </w:r>
      <w:r w:rsidR="00852EED">
        <w:rPr>
          <w:i/>
          <w:iCs/>
          <w:szCs w:val="22"/>
        </w:rPr>
        <w:t>neurolepticus malignus szindróma</w:t>
      </w:r>
    </w:p>
    <w:p w14:paraId="1E636F0F" w14:textId="57E34710" w:rsidR="00AC4835" w:rsidRPr="009C5B72" w:rsidRDefault="00FE7236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Mint más szerotonerg szerek, úgy a duloxetin-kezelés esetében is előfordulhat egy potenciálisan életveszélyes állapot, a szerotonin</w:t>
      </w:r>
      <w:r w:rsidR="00D91F20">
        <w:rPr>
          <w:szCs w:val="22"/>
          <w:lang w:val="hu-HU"/>
        </w:rPr>
        <w:t>-</w:t>
      </w:r>
      <w:r w:rsidRPr="009C5B72">
        <w:rPr>
          <w:szCs w:val="22"/>
          <w:lang w:val="hu-HU"/>
        </w:rPr>
        <w:t>szindróma</w:t>
      </w:r>
      <w:r w:rsidR="00FF2809">
        <w:rPr>
          <w:szCs w:val="22"/>
          <w:lang w:val="hu-HU"/>
        </w:rPr>
        <w:t xml:space="preserve"> </w:t>
      </w:r>
      <w:r w:rsidR="00FF2809">
        <w:rPr>
          <w:szCs w:val="22"/>
        </w:rPr>
        <w:t>vagy a neurolepticus malignus szindróma (NMS)</w:t>
      </w:r>
      <w:r w:rsidRPr="009C5B72">
        <w:rPr>
          <w:szCs w:val="22"/>
          <w:lang w:val="hu-HU"/>
        </w:rPr>
        <w:t>, különösen egyéb szerotonerg szerekkel (beleértve az SSRI-ket, SNRI-ket, t</w:t>
      </w:r>
      <w:r w:rsidR="00BE3E9A" w:rsidRPr="009C5B72">
        <w:rPr>
          <w:szCs w:val="22"/>
          <w:lang w:val="hu-HU"/>
        </w:rPr>
        <w:t>ricikluso</w:t>
      </w:r>
      <w:r w:rsidRPr="009C5B72">
        <w:rPr>
          <w:szCs w:val="22"/>
          <w:lang w:val="hu-HU"/>
        </w:rPr>
        <w:t xml:space="preserve">s antidepresszánsokat </w:t>
      </w:r>
      <w:r w:rsidR="0086368A">
        <w:rPr>
          <w:szCs w:val="22"/>
          <w:lang w:val="hu-HU"/>
        </w:rPr>
        <w:t xml:space="preserve">vagy </w:t>
      </w:r>
      <w:r w:rsidRPr="009C5B72">
        <w:rPr>
          <w:szCs w:val="22"/>
          <w:lang w:val="hu-HU"/>
        </w:rPr>
        <w:t>triptánokat), a szerotonin metabolizmusát gátló szerekkel, mint a MAOI-k, antipszichotikumokkal</w:t>
      </w:r>
      <w:r w:rsidR="00BE3E9A" w:rsidRPr="009C5B72">
        <w:rPr>
          <w:szCs w:val="22"/>
          <w:lang w:val="hu-HU"/>
        </w:rPr>
        <w:t>,</w:t>
      </w:r>
      <w:r w:rsidRPr="009C5B72">
        <w:rPr>
          <w:szCs w:val="22"/>
          <w:lang w:val="hu-HU"/>
        </w:rPr>
        <w:t xml:space="preserve"> egyéb dopamin antagonistákkal</w:t>
      </w:r>
      <w:r w:rsidR="00FC4F66">
        <w:rPr>
          <w:szCs w:val="22"/>
          <w:lang w:val="hu-HU"/>
        </w:rPr>
        <w:t>,</w:t>
      </w:r>
      <w:r w:rsidR="0086368A">
        <w:rPr>
          <w:szCs w:val="22"/>
          <w:lang w:val="hu-HU"/>
        </w:rPr>
        <w:t xml:space="preserve"> </w:t>
      </w:r>
      <w:r w:rsidR="00FC4F66">
        <w:rPr>
          <w:szCs w:val="22"/>
          <w:lang w:val="hu-HU"/>
        </w:rPr>
        <w:t>illetve</w:t>
      </w:r>
      <w:r w:rsidR="0086368A">
        <w:rPr>
          <w:szCs w:val="22"/>
          <w:lang w:val="hu-HU"/>
        </w:rPr>
        <w:t xml:space="preserve"> buprenorfinnal</w:t>
      </w:r>
      <w:r w:rsidR="00AC4835" w:rsidRPr="009C5B72">
        <w:rPr>
          <w:szCs w:val="22"/>
          <w:lang w:val="hu-HU"/>
        </w:rPr>
        <w:t xml:space="preserve"> (melyek befolyásolhatják a szerotonerg neurotranszmitter rendszereket) történő együttadás során (lásd 4.3 és 4.5 pont).</w:t>
      </w:r>
    </w:p>
    <w:p w14:paraId="67A84925" w14:textId="77777777" w:rsidR="0086368A" w:rsidRDefault="0086368A" w:rsidP="0086368A">
      <w:pPr>
        <w:spacing w:line="240" w:lineRule="auto"/>
        <w:rPr>
          <w:szCs w:val="22"/>
          <w:lang w:val="hu-HU"/>
        </w:rPr>
      </w:pPr>
    </w:p>
    <w:p w14:paraId="3E0B0135" w14:textId="06371BF3" w:rsidR="0086368A" w:rsidRPr="009C5B72" w:rsidRDefault="0086368A" w:rsidP="0086368A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Amennyiben klinikailag indokolt a duloxetinnel és egyéb, olyan szerotonerg</w:t>
      </w:r>
      <w:r w:rsidR="00FF2809">
        <w:rPr>
          <w:szCs w:val="22"/>
          <w:lang w:val="hu-HU"/>
        </w:rPr>
        <w:t>/</w:t>
      </w:r>
      <w:r w:rsidR="00FF2809">
        <w:rPr>
          <w:szCs w:val="22"/>
        </w:rPr>
        <w:t>neurolepticus</w:t>
      </w:r>
      <w:r w:rsidRPr="009C5B72">
        <w:rPr>
          <w:szCs w:val="22"/>
          <w:lang w:val="hu-HU"/>
        </w:rPr>
        <w:t xml:space="preserve"> szerekkel történő egyidejű kezelés, melyek befolyásolhatják a szerotonerg és/vagy a dopaminerg neurotranszmitter rendszereket, ajánlott a beteg gondos megfigyelése, különösen a kezelés kezdetén és a </w:t>
      </w:r>
      <w:r w:rsidR="00BC78E0">
        <w:rPr>
          <w:szCs w:val="22"/>
          <w:lang w:val="hu-HU"/>
        </w:rPr>
        <w:t>dózisok</w:t>
      </w:r>
      <w:r w:rsidRPr="009C5B72">
        <w:rPr>
          <w:szCs w:val="22"/>
          <w:lang w:val="hu-HU"/>
        </w:rPr>
        <w:t xml:space="preserve"> emelésekor.</w:t>
      </w:r>
    </w:p>
    <w:p w14:paraId="473A3641" w14:textId="77777777" w:rsidR="00171211" w:rsidRPr="009C5B72" w:rsidRDefault="00171211" w:rsidP="009C5B72">
      <w:pPr>
        <w:spacing w:line="240" w:lineRule="auto"/>
        <w:rPr>
          <w:szCs w:val="22"/>
          <w:lang w:val="hu-HU"/>
        </w:rPr>
      </w:pPr>
    </w:p>
    <w:p w14:paraId="1F4039F3" w14:textId="689B492E" w:rsidR="00171211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szerotonin</w:t>
      </w:r>
      <w:r w:rsidR="00D91F20">
        <w:rPr>
          <w:szCs w:val="22"/>
          <w:lang w:val="hu-HU"/>
        </w:rPr>
        <w:t>-</w:t>
      </w:r>
      <w:r w:rsidRPr="009C5B72">
        <w:rPr>
          <w:szCs w:val="22"/>
          <w:lang w:val="hu-HU"/>
        </w:rPr>
        <w:t xml:space="preserve">szindróma tünetei közé tartozhatnak a mentális állapot változásai (pl. agitáció, hallucinációk, kóma), a vegetatív instabilitás (pl. tachycardia, ingadozó vérnyomás, hyperthermia), </w:t>
      </w:r>
      <w:r w:rsidR="00015C51" w:rsidRPr="009C5B72">
        <w:rPr>
          <w:szCs w:val="22"/>
          <w:lang w:val="hu-HU"/>
        </w:rPr>
        <w:t xml:space="preserve">neuromuscularis </w:t>
      </w:r>
      <w:r w:rsidRPr="009C5B72">
        <w:rPr>
          <w:szCs w:val="22"/>
          <w:lang w:val="hu-HU"/>
        </w:rPr>
        <w:t>eltérések (pl. hyperreflexia, koordinációs zavar) és/vagy gastrointestin</w:t>
      </w:r>
      <w:r w:rsidR="00015C51" w:rsidRPr="009C5B72">
        <w:rPr>
          <w:szCs w:val="22"/>
          <w:lang w:val="hu-HU"/>
        </w:rPr>
        <w:t>a</w:t>
      </w:r>
      <w:r w:rsidRPr="009C5B72">
        <w:rPr>
          <w:szCs w:val="22"/>
          <w:lang w:val="hu-HU"/>
        </w:rPr>
        <w:t>lis tünetek (pl. hányinger, hányás, hasmenés).</w:t>
      </w:r>
      <w:r w:rsidR="00254465">
        <w:rPr>
          <w:szCs w:val="22"/>
          <w:lang w:val="hu-HU"/>
        </w:rPr>
        <w:t xml:space="preserve"> </w:t>
      </w:r>
      <w:r w:rsidR="00254465">
        <w:rPr>
          <w:szCs w:val="22"/>
        </w:rPr>
        <w:t>A szerotonin-szindróma a legsúlyosabb formájában hasonlíthat az NMS-hez, amely magában foglalja a hyperthermiát, az izommerevséget, az emelkedett szérumkreatin-kináz-szintet, a vegetatív instabilitást az életjelek esetleges gyors ingadozásával és a mentális állapot változását.</w:t>
      </w:r>
    </w:p>
    <w:p w14:paraId="7DFBED0D" w14:textId="77777777" w:rsidR="00171211" w:rsidRPr="009C5B72" w:rsidRDefault="00171211" w:rsidP="009C5B72">
      <w:pPr>
        <w:spacing w:line="240" w:lineRule="auto"/>
        <w:rPr>
          <w:szCs w:val="22"/>
          <w:lang w:val="hu-HU"/>
        </w:rPr>
      </w:pPr>
    </w:p>
    <w:p w14:paraId="44C1FA64" w14:textId="77777777" w:rsidR="00AC4835" w:rsidRPr="009C5B72" w:rsidRDefault="006B797E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 xml:space="preserve">Közönséges </w:t>
      </w:r>
      <w:r w:rsidR="00A32F60" w:rsidRPr="009C5B72">
        <w:rPr>
          <w:i/>
          <w:szCs w:val="22"/>
          <w:lang w:val="hu-HU"/>
        </w:rPr>
        <w:t>o</w:t>
      </w:r>
      <w:r w:rsidR="00AC4835" w:rsidRPr="009C5B72">
        <w:rPr>
          <w:i/>
          <w:szCs w:val="22"/>
          <w:lang w:val="hu-HU"/>
        </w:rPr>
        <w:t>rbáncfű</w:t>
      </w:r>
    </w:p>
    <w:p w14:paraId="60AFB31B" w14:textId="77777777" w:rsidR="00AC4835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Dulsevia-t és </w:t>
      </w:r>
      <w:r w:rsidR="006B797E" w:rsidRPr="009C5B72">
        <w:rPr>
          <w:szCs w:val="22"/>
          <w:lang w:val="hu-HU"/>
        </w:rPr>
        <w:t xml:space="preserve">a </w:t>
      </w:r>
      <w:r w:rsidR="00BE3E9A" w:rsidRPr="009C5B72">
        <w:rPr>
          <w:szCs w:val="22"/>
          <w:lang w:val="hu-HU"/>
        </w:rPr>
        <w:t>k</w:t>
      </w:r>
      <w:r w:rsidR="006B797E" w:rsidRPr="009C5B72">
        <w:rPr>
          <w:szCs w:val="22"/>
          <w:lang w:val="hu-HU"/>
        </w:rPr>
        <w:t xml:space="preserve">özönséges </w:t>
      </w:r>
      <w:r w:rsidR="00A32F60" w:rsidRPr="009C5B72">
        <w:rPr>
          <w:szCs w:val="22"/>
          <w:lang w:val="hu-HU"/>
        </w:rPr>
        <w:t>o</w:t>
      </w:r>
      <w:r w:rsidRPr="009C5B72">
        <w:rPr>
          <w:szCs w:val="22"/>
          <w:lang w:val="hu-HU"/>
        </w:rPr>
        <w:t>rbáncfüvet (</w:t>
      </w:r>
      <w:r w:rsidRPr="009C5B72">
        <w:rPr>
          <w:i/>
          <w:szCs w:val="22"/>
          <w:lang w:val="hu-HU"/>
        </w:rPr>
        <w:t>Hypericum perforatum)</w:t>
      </w:r>
      <w:r w:rsidRPr="009C5B72">
        <w:rPr>
          <w:szCs w:val="22"/>
          <w:lang w:val="hu-HU"/>
        </w:rPr>
        <w:t xml:space="preserve"> tartalmazó gyógynövénykészítmények egyidejű alkalmazásakor gyakrabban fordulhatnak elő mellékhatások.</w:t>
      </w:r>
    </w:p>
    <w:p w14:paraId="4F76F869" w14:textId="77777777" w:rsidR="00640AF4" w:rsidRPr="009C5B72" w:rsidRDefault="00640AF4" w:rsidP="009C5B72">
      <w:pPr>
        <w:spacing w:line="240" w:lineRule="auto"/>
        <w:rPr>
          <w:szCs w:val="22"/>
          <w:lang w:val="hu-HU"/>
        </w:rPr>
      </w:pPr>
    </w:p>
    <w:p w14:paraId="2224B9AD" w14:textId="77777777" w:rsidR="00AC4835" w:rsidRPr="009C5B72" w:rsidRDefault="00AC4835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Öngyilkosság</w:t>
      </w:r>
    </w:p>
    <w:p w14:paraId="75F3DA0A" w14:textId="77777777" w:rsidR="00AC4835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Major depresszív zavar és generalizált szorongás:</w:t>
      </w:r>
    </w:p>
    <w:p w14:paraId="2700BAAE" w14:textId="77777777" w:rsidR="00AC4835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Depresszió esetén fokozott az öngyilkossági gondolatok, az önkárosító magatartás és az öngyilkosság (öngyilkossággal kapcsolatos események) megjelenésének veszélye. A kockázat mindaddig fennáll, amíg jelentős remisszió nem következik be. Mivel előfordulhat, hogy a kezelés első néhány hete alatt, vagy még később sem történik javulás, a betegeket állapotuk javulásáig szoros ellenőrzés alatt kell tartani. Általános klinikai tapasztalat, hogy az öngyilkosság veszélye a gyógyulás korai szakaszában fokozódhat.</w:t>
      </w:r>
    </w:p>
    <w:p w14:paraId="6206613A" w14:textId="77777777" w:rsidR="00640AF4" w:rsidRPr="009C5B72" w:rsidRDefault="00640AF4" w:rsidP="009C5B72">
      <w:pPr>
        <w:spacing w:line="240" w:lineRule="auto"/>
        <w:rPr>
          <w:szCs w:val="22"/>
          <w:lang w:val="hu-HU"/>
        </w:rPr>
      </w:pPr>
    </w:p>
    <w:p w14:paraId="29CCDADE" w14:textId="77777777" w:rsidR="00AC4835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Egyéb pszichiátriai állapotokhoz – melyek kezelésére Dulsevia-t alkalmaznak – is társulhat az öngyilkossággal kapcsolatos események fokozott kockázata. Ezenfelül, ezek az állapotok együtt járhatnak major depresszív zavarral. Ezért ugyanolyan elővigyázatosság szükséges egyéb pszichiátriai zavarban szenvedő betegek, mint a major depresszív zavarban szenvedő betegek kezelésekor.</w:t>
      </w:r>
    </w:p>
    <w:p w14:paraId="32F54699" w14:textId="77777777" w:rsidR="00640AF4" w:rsidRPr="009C5B72" w:rsidRDefault="00640AF4" w:rsidP="009C5B72">
      <w:pPr>
        <w:spacing w:line="240" w:lineRule="auto"/>
        <w:rPr>
          <w:szCs w:val="22"/>
          <w:lang w:val="hu-HU"/>
        </w:rPr>
      </w:pPr>
    </w:p>
    <w:p w14:paraId="06A22E28" w14:textId="77777777" w:rsidR="00AC4835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Azok a betegek, akiknek kórelőzményében öngyilkossággal kapcsolatos események szerepelnek, vagy akiket jelentős mértékben foglalkoztatnak öngyilkossági gondolatok a terápia megkezdése előtt, az öngyilkossági gondolatok és kísérletek fokozott kockázatának vannak kitéve, ezért a kezelés alatt gondos megfigyelést igényelnek. A pszichiátriai betegségben szenvedő felnőttek bevonásával végzett, antidepresszánsokat vizsgáló, placebokontrollos klinikai vizsgálatok metaanalízise kimutatta, hogy a 25 év</w:t>
      </w:r>
      <w:r w:rsidR="006B797E" w:rsidRPr="009C5B72">
        <w:rPr>
          <w:szCs w:val="22"/>
          <w:lang w:val="hu-HU"/>
        </w:rPr>
        <w:t>es</w:t>
      </w:r>
      <w:r w:rsidRPr="009C5B72">
        <w:rPr>
          <w:szCs w:val="22"/>
          <w:lang w:val="hu-HU"/>
        </w:rPr>
        <w:t>nél fiatalabb betegekben az öngyilkos magatartás kockázata az antidepresszánst szedőkben fokozottabb, mint a placebót szedőkben.</w:t>
      </w:r>
    </w:p>
    <w:p w14:paraId="16D16E74" w14:textId="77777777" w:rsidR="00640AF4" w:rsidRPr="009C5B72" w:rsidRDefault="00640AF4" w:rsidP="009C5B72">
      <w:pPr>
        <w:spacing w:line="240" w:lineRule="auto"/>
        <w:rPr>
          <w:szCs w:val="22"/>
          <w:lang w:val="hu-HU"/>
        </w:rPr>
      </w:pPr>
    </w:p>
    <w:p w14:paraId="7B871B46" w14:textId="77777777" w:rsidR="00F45C51" w:rsidRPr="009C5B72" w:rsidRDefault="00AC4835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Duloxetin-terápia során is, illetve röviddel a kezelés abbahagyása után szuicid gondolatokkal és szuicid viselkedéssel járó eseteket jelentettek (lásd 4.8 pont).</w:t>
      </w:r>
    </w:p>
    <w:p w14:paraId="092E430B" w14:textId="77777777" w:rsidR="000E0F47" w:rsidRPr="009C5B72" w:rsidRDefault="000E0F47" w:rsidP="009C5B72">
      <w:pPr>
        <w:spacing w:line="240" w:lineRule="auto"/>
        <w:rPr>
          <w:szCs w:val="22"/>
          <w:lang w:val="hu-HU"/>
        </w:rPr>
      </w:pPr>
    </w:p>
    <w:p w14:paraId="4ECEC527" w14:textId="77777777" w:rsidR="000E0F47" w:rsidRPr="009C5B72" w:rsidRDefault="000E0F47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betegeket, és különösen a magas kockázati csoportba tartozókat a gyógyszeres kezelés során gondos felügyelet alatt kell tartani, főként a terápia kezdetén és a dózismódosításokat követően. A betegeket (és gondviselőiket) figyelmeztetni kell arra, hogy figyeljék a klinikai rosszabbodás, az öngyilkos magatartás vagy öngyilkossági gondolatok vagy szokatlan magatartásbeli változások bármilyen megjelenését</w:t>
      </w:r>
      <w:r w:rsidR="0095338B">
        <w:rPr>
          <w:szCs w:val="22"/>
          <w:lang w:val="hu-HU"/>
        </w:rPr>
        <w:t>,</w:t>
      </w:r>
      <w:r w:rsidRPr="009C5B72">
        <w:rPr>
          <w:szCs w:val="22"/>
          <w:lang w:val="hu-HU"/>
        </w:rPr>
        <w:t xml:space="preserve"> és ha a felsorolt tünetek valamelyikét észlelik, sürgősen forduljanak orvoshoz.</w:t>
      </w:r>
    </w:p>
    <w:p w14:paraId="6D6E3FEF" w14:textId="77777777" w:rsidR="00CB6652" w:rsidRPr="009C5B72" w:rsidRDefault="00CB6652" w:rsidP="009C5B72">
      <w:pPr>
        <w:spacing w:line="240" w:lineRule="auto"/>
        <w:rPr>
          <w:szCs w:val="22"/>
          <w:lang w:val="hu-HU"/>
        </w:rPr>
      </w:pPr>
    </w:p>
    <w:p w14:paraId="39979AB4" w14:textId="77777777" w:rsidR="000E0F47" w:rsidRPr="009C5B72" w:rsidRDefault="000E0F47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Diabeteses perifériás neuropathiás fájdalom</w:t>
      </w:r>
    </w:p>
    <w:p w14:paraId="0816AE01" w14:textId="77777777" w:rsidR="00FB2424" w:rsidRPr="009C5B72" w:rsidRDefault="000E0F47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Mint más, hasonló gyógyszerhatástani csoportba tartozó gyógyszerek (depresszió ellenes gyógyszerek) esetében, úgy a duloxetin-terápia során is, illetve röviddel a kezelés abbahagyása után, egy-egy esetben öngyilkossági gondolatokat és öngyilkosságra hajlamos viselkedést jelentettek. </w:t>
      </w:r>
    </w:p>
    <w:p w14:paraId="691E2232" w14:textId="77777777" w:rsidR="00AC4835" w:rsidRPr="009C5B72" w:rsidRDefault="000E0F47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Az öngyilkosság kockázati tényezői</w:t>
      </w:r>
      <w:r w:rsidR="00F70AFD" w:rsidRPr="009C5B72">
        <w:rPr>
          <w:szCs w:val="22"/>
          <w:lang w:val="hu-HU"/>
        </w:rPr>
        <w:t>t</w:t>
      </w:r>
      <w:r w:rsidRPr="009C5B72">
        <w:rPr>
          <w:szCs w:val="22"/>
          <w:lang w:val="hu-HU"/>
        </w:rPr>
        <w:t xml:space="preserve"> depress</w:t>
      </w:r>
      <w:r w:rsidR="00F70AFD" w:rsidRPr="009C5B72">
        <w:rPr>
          <w:szCs w:val="22"/>
          <w:lang w:val="hu-HU"/>
        </w:rPr>
        <w:t>zióban: lásd fent. Az orvosnak bátorítania</w:t>
      </w:r>
      <w:r w:rsidRPr="009C5B72">
        <w:rPr>
          <w:szCs w:val="22"/>
          <w:lang w:val="hu-HU"/>
        </w:rPr>
        <w:t xml:space="preserve"> kell a beteget</w:t>
      </w:r>
      <w:r w:rsidR="00F70AFD" w:rsidRPr="009C5B72">
        <w:rPr>
          <w:szCs w:val="22"/>
          <w:lang w:val="hu-HU"/>
        </w:rPr>
        <w:t xml:space="preserve"> arra</w:t>
      </w:r>
      <w:r w:rsidRPr="009C5B72">
        <w:rPr>
          <w:szCs w:val="22"/>
          <w:lang w:val="hu-HU"/>
        </w:rPr>
        <w:t>, hogy számoljon be bármilyen nyugtalanító gondolat vagy érzés jelentkezéséről.</w:t>
      </w:r>
    </w:p>
    <w:p w14:paraId="4412BD18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</w:p>
    <w:p w14:paraId="1DED0EE6" w14:textId="1DCBA15C" w:rsidR="00F70AFD" w:rsidRPr="00E35DC5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 xml:space="preserve">Alkalmazás </w:t>
      </w:r>
      <w:r w:rsidR="00D97187">
        <w:rPr>
          <w:i/>
          <w:szCs w:val="22"/>
          <w:lang w:val="hu-HU"/>
        </w:rPr>
        <w:t>18 év alatti gyermekeknél és serdülőknél</w:t>
      </w:r>
    </w:p>
    <w:p w14:paraId="2A61447B" w14:textId="77777777" w:rsidR="00F70AFD" w:rsidRPr="00951C48" w:rsidRDefault="00F70AFD" w:rsidP="009C5B72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 xml:space="preserve">Dulsevia adása nem javasolt </w:t>
      </w:r>
      <w:r w:rsidR="00BE3E9A" w:rsidRPr="00E35DC5">
        <w:rPr>
          <w:szCs w:val="22"/>
          <w:lang w:val="hu-HU"/>
        </w:rPr>
        <w:t xml:space="preserve">18 év alatti </w:t>
      </w:r>
      <w:r w:rsidRPr="00E35DC5">
        <w:rPr>
          <w:szCs w:val="22"/>
          <w:lang w:val="hu-HU"/>
        </w:rPr>
        <w:t>gyermekek és serdülők kezelésére. A klinikai vizsgálatok során antidepresszánssal kezelt gyermekeknél és serdülőknél gyakrabban figye</w:t>
      </w:r>
      <w:r w:rsidRPr="009138BF">
        <w:rPr>
          <w:szCs w:val="22"/>
          <w:lang w:val="hu-HU"/>
        </w:rPr>
        <w:t>ltek meg szuicid viselkedést (öngyilkossági kísérlet és szuicid gondolatok) és ellenséges magatartást (főként agresszivitás, ellenkezés és indulatosság), mint a placebo</w:t>
      </w:r>
      <w:r w:rsidRPr="00183EF0">
        <w:rPr>
          <w:szCs w:val="22"/>
          <w:lang w:val="hu-HU"/>
        </w:rPr>
        <w:t xml:space="preserve">csoportban. Amennyiben a klinikai </w:t>
      </w:r>
      <w:r w:rsidR="00F14FA0" w:rsidRPr="00183EF0">
        <w:rPr>
          <w:szCs w:val="22"/>
          <w:lang w:val="hu-HU"/>
        </w:rPr>
        <w:t>igény</w:t>
      </w:r>
      <w:r w:rsidRPr="00951C48">
        <w:rPr>
          <w:szCs w:val="22"/>
          <w:lang w:val="hu-HU"/>
        </w:rPr>
        <w:t xml:space="preserve"> alapján mégis az antidepresszáns-kezelés mellett döntenek, szorosan ellenőrizni kell a beteget a szuicid tünetek megjelenését illetően (lásd 5.1 pont). Ezenfelül gyermekekben és serdülőkben hiányoznak a hosszú távú biztonságossági adatok a növekedést, az érést, valamint a gondolkodás- és viselkedésbeli fejlődést illetően (lásd 4.8 pont).</w:t>
      </w:r>
    </w:p>
    <w:p w14:paraId="708CDBA0" w14:textId="77777777" w:rsidR="007A1716" w:rsidRPr="00951C48" w:rsidRDefault="007A1716" w:rsidP="009C5B72">
      <w:pPr>
        <w:spacing w:line="240" w:lineRule="auto"/>
        <w:rPr>
          <w:szCs w:val="22"/>
          <w:lang w:val="hu-HU"/>
        </w:rPr>
      </w:pPr>
    </w:p>
    <w:p w14:paraId="66D28B20" w14:textId="77777777" w:rsidR="00F70AFD" w:rsidRPr="00951C48" w:rsidRDefault="00F70AFD" w:rsidP="009C5B72">
      <w:pPr>
        <w:spacing w:line="240" w:lineRule="auto"/>
        <w:rPr>
          <w:i/>
          <w:szCs w:val="22"/>
          <w:lang w:val="hu-HU"/>
        </w:rPr>
      </w:pPr>
      <w:r w:rsidRPr="00951C48">
        <w:rPr>
          <w:i/>
          <w:szCs w:val="22"/>
          <w:lang w:val="hu-HU"/>
        </w:rPr>
        <w:t>Vérzés</w:t>
      </w:r>
    </w:p>
    <w:p w14:paraId="36302A29" w14:textId="77777777" w:rsidR="00F70AFD" w:rsidRPr="00B853FE" w:rsidRDefault="00F70AFD" w:rsidP="009C5B72">
      <w:pPr>
        <w:spacing w:line="240" w:lineRule="auto"/>
        <w:rPr>
          <w:szCs w:val="22"/>
          <w:lang w:val="hu-HU"/>
        </w:rPr>
      </w:pPr>
      <w:r w:rsidRPr="00B853FE">
        <w:rPr>
          <w:szCs w:val="22"/>
          <w:lang w:val="hu-HU"/>
        </w:rPr>
        <w:t>SSRI-k (szelektív szerotonin</w:t>
      </w:r>
      <w:r w:rsidR="00032A4C" w:rsidRPr="00B853FE">
        <w:rPr>
          <w:szCs w:val="22"/>
          <w:lang w:val="hu-HU"/>
        </w:rPr>
        <w:t>visszavétel</w:t>
      </w:r>
      <w:r w:rsidR="00443A70" w:rsidRPr="00B853FE">
        <w:rPr>
          <w:szCs w:val="22"/>
          <w:lang w:val="hu-HU"/>
        </w:rPr>
        <w:t>-</w:t>
      </w:r>
      <w:r w:rsidRPr="00B853FE">
        <w:rPr>
          <w:szCs w:val="22"/>
          <w:lang w:val="hu-HU"/>
        </w:rPr>
        <w:t>gátlók) és SNRI-k (szelektív szerotonin</w:t>
      </w:r>
      <w:r w:rsidR="00443A70" w:rsidRPr="00B853FE">
        <w:rPr>
          <w:szCs w:val="22"/>
          <w:lang w:val="hu-HU"/>
        </w:rPr>
        <w:t>-</w:t>
      </w:r>
      <w:r w:rsidRPr="00B853FE">
        <w:rPr>
          <w:szCs w:val="22"/>
          <w:lang w:val="hu-HU"/>
        </w:rPr>
        <w:t>/nor</w:t>
      </w:r>
      <w:r w:rsidRPr="007C534D">
        <w:rPr>
          <w:szCs w:val="22"/>
          <w:lang w:val="hu-HU"/>
        </w:rPr>
        <w:t>adrenalin</w:t>
      </w:r>
      <w:r w:rsidR="00032A4C" w:rsidRPr="007C534D">
        <w:rPr>
          <w:szCs w:val="22"/>
          <w:lang w:val="hu-HU"/>
        </w:rPr>
        <w:t>visszavétel</w:t>
      </w:r>
      <w:r w:rsidR="00443A70" w:rsidRPr="007C534D">
        <w:rPr>
          <w:szCs w:val="22"/>
          <w:lang w:val="hu-HU"/>
        </w:rPr>
        <w:t>-</w:t>
      </w:r>
      <w:r w:rsidRPr="007C534D">
        <w:rPr>
          <w:szCs w:val="22"/>
          <w:lang w:val="hu-HU"/>
        </w:rPr>
        <w:t xml:space="preserve">gátlók) </w:t>
      </w:r>
      <w:r w:rsidR="006121FC" w:rsidRPr="007C534D">
        <w:rPr>
          <w:szCs w:val="22"/>
          <w:lang w:val="hu-HU"/>
        </w:rPr>
        <w:t>–</w:t>
      </w:r>
      <w:r w:rsidR="00E44E4A" w:rsidRPr="007C534D">
        <w:rPr>
          <w:szCs w:val="22"/>
          <w:lang w:val="hu-HU"/>
        </w:rPr>
        <w:t xml:space="preserve"> </w:t>
      </w:r>
      <w:r w:rsidRPr="007C534D">
        <w:rPr>
          <w:szCs w:val="22"/>
          <w:lang w:val="hu-HU"/>
        </w:rPr>
        <w:t>beleértve a duloxetint</w:t>
      </w:r>
      <w:r w:rsidR="006121FC" w:rsidRPr="007C534D">
        <w:rPr>
          <w:szCs w:val="22"/>
          <w:lang w:val="hu-HU"/>
        </w:rPr>
        <w:t xml:space="preserve"> –</w:t>
      </w:r>
      <w:r w:rsidR="00E44E4A" w:rsidRPr="007C534D">
        <w:rPr>
          <w:szCs w:val="22"/>
          <w:lang w:val="hu-HU"/>
        </w:rPr>
        <w:t xml:space="preserve"> </w:t>
      </w:r>
      <w:r w:rsidRPr="007C534D">
        <w:rPr>
          <w:szCs w:val="22"/>
          <w:lang w:val="hu-HU"/>
        </w:rPr>
        <w:t xml:space="preserve">alkalmazásával kapcsolatosan vérzési rendellenességeket, például ecchymosis, purpura és gastrointestinalis vérzés előfordulását jelentették. </w:t>
      </w:r>
      <w:r w:rsidR="00D857A5" w:rsidRPr="00EE3414">
        <w:rPr>
          <w:szCs w:val="22"/>
          <w:lang w:val="hu-HU"/>
        </w:rPr>
        <w:t xml:space="preserve">A duloxetin fokozhatja a szülés utáni vérzés kockázatát (lásd 4.6 pont). </w:t>
      </w:r>
      <w:r w:rsidRPr="00B853FE">
        <w:rPr>
          <w:szCs w:val="22"/>
          <w:lang w:val="hu-HU"/>
        </w:rPr>
        <w:t xml:space="preserve">Elővigyázatosan kell eljárni azoknál a betegeknél, akik antikoagulánst és/vagy más olyan gyógyszert szednek, amelyek </w:t>
      </w:r>
      <w:r w:rsidR="001046AD" w:rsidRPr="00B853FE">
        <w:rPr>
          <w:szCs w:val="22"/>
          <w:lang w:val="hu-HU"/>
        </w:rPr>
        <w:t>ismerten</w:t>
      </w:r>
      <w:r w:rsidRPr="00B853FE">
        <w:rPr>
          <w:szCs w:val="22"/>
          <w:lang w:val="hu-HU"/>
        </w:rPr>
        <w:t xml:space="preserve"> befolyásolják a thrombocyták működését (pl. nem</w:t>
      </w:r>
      <w:r w:rsidR="00032A4C" w:rsidRPr="00B853FE">
        <w:rPr>
          <w:szCs w:val="22"/>
          <w:lang w:val="hu-HU"/>
        </w:rPr>
        <w:t>-</w:t>
      </w:r>
      <w:r w:rsidRPr="00B853FE">
        <w:rPr>
          <w:szCs w:val="22"/>
          <w:lang w:val="hu-HU"/>
        </w:rPr>
        <w:t>szteroid gyulladásgátlók vagy acetilszalicilsav), valamint azoknál, akiknek ismert vérzéshajlama van.</w:t>
      </w:r>
    </w:p>
    <w:p w14:paraId="70CE3112" w14:textId="77777777" w:rsidR="0086367A" w:rsidRPr="009C5B72" w:rsidRDefault="0086367A" w:rsidP="009C5B72">
      <w:pPr>
        <w:spacing w:line="240" w:lineRule="auto"/>
        <w:rPr>
          <w:szCs w:val="22"/>
          <w:lang w:val="hu-HU"/>
        </w:rPr>
      </w:pPr>
    </w:p>
    <w:p w14:paraId="313D7900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Hyponatraemia</w:t>
      </w:r>
    </w:p>
    <w:p w14:paraId="1E57B969" w14:textId="77777777" w:rsidR="000E0F47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Dulsevia alkalmazásakor hyponatraemiás eseteket, köztük olyan eseteket jelentettek, amikor a szérum nátriumszint 110</w:t>
      </w:r>
      <w:r w:rsidR="00063B5F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mmol/l alatti volt. A hyponatraemia oka lehet az elégtelen antidiuretikus hormon szekréciós szindróma (SIADH). A hyponatraemiás esetek többségéről idős betegeknél számoltak</w:t>
      </w:r>
      <w:r w:rsidR="000B3CCC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be, különösen akkor, ha a folyadékháztartás egyensúlyának közelmúltban történt változása vagy a folyadékháztartás egyensúlyának változására hajlamosító állapot is fennállt. Hyponatraemia fokozott kockázata esetén, úgymint időseknél, cirrhotikus vagy dehidrált betegeknél vagy diuretikumkezelés esetén, elővigyázatosság szükséges.</w:t>
      </w:r>
    </w:p>
    <w:p w14:paraId="2670C4C4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</w:p>
    <w:p w14:paraId="4F3961F4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A kezelés leállítása</w:t>
      </w:r>
    </w:p>
    <w:p w14:paraId="676FA3CE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kezelés leállításakor gyakoriak az elvonási tünetek, különösen akkor, ha a leállítás hirtelen történik (lásd 4.8 pont). A klinikai vizsgálatok során a kezelés hirtelen leállításakor észlelt nemkívánatos események a </w:t>
      </w:r>
      <w:r w:rsidR="00063B5F" w:rsidRPr="009C5B72">
        <w:rPr>
          <w:szCs w:val="22"/>
          <w:lang w:val="hu-HU"/>
        </w:rPr>
        <w:t>duloxetinnel</w:t>
      </w:r>
      <w:r w:rsidRPr="009C5B72">
        <w:rPr>
          <w:szCs w:val="22"/>
          <w:lang w:val="hu-HU"/>
        </w:rPr>
        <w:t xml:space="preserve"> kezelt betegek kb. 45%-ánál és a placebóval kezeltek 23%-ánál fordultak elő.</w:t>
      </w:r>
    </w:p>
    <w:p w14:paraId="40EC11B1" w14:textId="27FA109A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Az SSRI és SNRI készítményeknél tapasztalt elvonási tünetek kockázata több tényezőtől függhet, ide tartozik a kezelés időtartama, a terápiás dózis és a dózis csökkentésének üteme. A leggyakrabban jelentett mellékhatások a 4.8 pontban találhatók. A tünetek általában enyhék vagy közepes fokúak, mindazonáltal néhány esetben súlyosak lehetnek. Többnyire a kezelés elhagyását követő első néhány napon jelentkeznek, azonban nagyon ritkán jeleztek ilyen tüneteket olyan betegeknél is, akik figyelmetlenségből hagytak ki egy </w:t>
      </w:r>
      <w:r w:rsidR="0094355E">
        <w:rPr>
          <w:szCs w:val="22"/>
          <w:lang w:val="hu-HU"/>
        </w:rPr>
        <w:t>dózist</w:t>
      </w:r>
      <w:r w:rsidRPr="009C5B72">
        <w:rPr>
          <w:szCs w:val="22"/>
          <w:lang w:val="hu-HU"/>
        </w:rPr>
        <w:t>. A tünetek általában önmaguktól, többnyire 2 héten belül megszűnnek, bár néhány esetben hosszabb ideig (2-3 hónapig vagy tovább) is fennállhatnak. Ezért tanácsos a duloxetin adagolást legalább 2 hét alatt fokozatosan, a beteg igénye szerint csökkenteni (lásd 4.2 pont).</w:t>
      </w:r>
    </w:p>
    <w:p w14:paraId="3B6F96CE" w14:textId="77777777" w:rsidR="00063B5F" w:rsidRPr="009C5B72" w:rsidRDefault="00063B5F" w:rsidP="009C5B72">
      <w:pPr>
        <w:spacing w:line="240" w:lineRule="auto"/>
        <w:rPr>
          <w:szCs w:val="22"/>
          <w:lang w:val="hu-HU"/>
        </w:rPr>
      </w:pPr>
    </w:p>
    <w:p w14:paraId="42F93F11" w14:textId="77777777" w:rsidR="00F70AFD" w:rsidRPr="009C5B72" w:rsidRDefault="00F70AFD" w:rsidP="009C5B72">
      <w:pPr>
        <w:keepNext/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Idősek</w:t>
      </w:r>
    </w:p>
    <w:p w14:paraId="6EF54E08" w14:textId="77777777" w:rsidR="00F70AFD" w:rsidRPr="009C5B72" w:rsidRDefault="00F70AFD" w:rsidP="009C5B72">
      <w:pPr>
        <w:keepNext/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120 mg </w:t>
      </w:r>
      <w:r w:rsidR="00063B5F" w:rsidRPr="009C5B72">
        <w:rPr>
          <w:szCs w:val="22"/>
          <w:lang w:val="hu-HU"/>
        </w:rPr>
        <w:t xml:space="preserve">duloxetin </w:t>
      </w:r>
      <w:r w:rsidRPr="009C5B72">
        <w:rPr>
          <w:szCs w:val="22"/>
          <w:lang w:val="hu-HU"/>
        </w:rPr>
        <w:t>adagolással kapcsolatban major depresszív zavarban és generalizált szorongásban szenvedő idős betegekre vonatkozóan korlátozottan állnak rendelkezésre adatok. Ezért idősek kezelésekor elővigyázatosság szükséges a maximális adagolás esetén (lásd 4.2 és 5.2 pont).</w:t>
      </w:r>
    </w:p>
    <w:p w14:paraId="53BF8776" w14:textId="77777777" w:rsidR="00CB6652" w:rsidRPr="009C5B72" w:rsidRDefault="00CB6652" w:rsidP="009C5B72">
      <w:pPr>
        <w:spacing w:line="240" w:lineRule="auto"/>
        <w:rPr>
          <w:i/>
          <w:szCs w:val="22"/>
          <w:lang w:val="hu-HU"/>
        </w:rPr>
      </w:pPr>
    </w:p>
    <w:p w14:paraId="75BC8BC3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Akathisia/pszichomotoros nyugtalanság</w:t>
      </w:r>
    </w:p>
    <w:p w14:paraId="5D4AA622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Duloxetin használatához akathisia kialakulása társult, melyet szubjektíve kellemetlen vagy lehangoló nyugtalanság és mozgáskényszer jellemez, a beteg képtelen nyugodtan ülni vagy állni. Ez leginkább a kezelés első néhány hete alatt fordulhat elő. Ezen tünetek kialakulása esetén az adagolás emelése ártalmas lehet.</w:t>
      </w:r>
    </w:p>
    <w:p w14:paraId="13D44E94" w14:textId="77777777" w:rsidR="00E31313" w:rsidRPr="009C5B72" w:rsidRDefault="00E31313" w:rsidP="009C5B72">
      <w:pPr>
        <w:spacing w:line="240" w:lineRule="auto"/>
        <w:rPr>
          <w:szCs w:val="22"/>
          <w:lang w:val="hu-HU"/>
        </w:rPr>
      </w:pPr>
    </w:p>
    <w:p w14:paraId="52D750A4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Duloxetint tartalmazó gyógyszerek</w:t>
      </w:r>
    </w:p>
    <w:p w14:paraId="293D8B5B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Néhány indikációban (diabeteses neuropathiás fájdalom kezelése, major depresszív zavar, generalizált szorongás és stressz-vizeletinkontinencia) a duloxetin különböző kereskedelmi neveken van forgalomban. Kerülni kell egynél több ilyen készítmény alkalmazását.</w:t>
      </w:r>
    </w:p>
    <w:p w14:paraId="3917EB7D" w14:textId="77777777" w:rsidR="00063B5F" w:rsidRPr="009C5B72" w:rsidRDefault="00063B5F" w:rsidP="009C5B72">
      <w:pPr>
        <w:spacing w:line="240" w:lineRule="auto"/>
        <w:rPr>
          <w:szCs w:val="22"/>
          <w:lang w:val="hu-HU"/>
        </w:rPr>
      </w:pPr>
    </w:p>
    <w:p w14:paraId="65B1F48C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Hepatitis/Emelkedett májenzim-aktivitás</w:t>
      </w:r>
    </w:p>
    <w:p w14:paraId="76FF8C67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Duloxetin alkalmazásakor jelentettek májkárosodást, beleértve a májenzim-aktivitás nagyfokú emelkedését (több mint a normál érték felső határának tízszerese), hepatitist és sárgaságot (lásd 4.8</w:t>
      </w:r>
      <w:r w:rsidR="008E3152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pont). A legtöbb eset a kezelés első hónapja alatt történt. A májkárosodás túlnyomórészt hepatocellularis típusú volt. Egyéb olyan gyógyszerek szedése esetén, mely</w:t>
      </w:r>
      <w:r w:rsidR="00BB4843" w:rsidRPr="009C5B72">
        <w:rPr>
          <w:szCs w:val="22"/>
          <w:lang w:val="hu-HU"/>
        </w:rPr>
        <w:t>ek</w:t>
      </w:r>
      <w:r w:rsidRPr="009C5B72">
        <w:rPr>
          <w:szCs w:val="22"/>
          <w:lang w:val="hu-HU"/>
        </w:rPr>
        <w:t xml:space="preserve"> májkárosodást okozhatnak, a duloxetin alkalmazásakor elővigyázatosság szükséges.</w:t>
      </w:r>
    </w:p>
    <w:p w14:paraId="44BA3AB0" w14:textId="77777777" w:rsidR="00063B5F" w:rsidRDefault="00063B5F" w:rsidP="009C5B72">
      <w:pPr>
        <w:spacing w:line="240" w:lineRule="auto"/>
        <w:rPr>
          <w:szCs w:val="22"/>
          <w:lang w:val="hu-HU"/>
        </w:rPr>
      </w:pPr>
    </w:p>
    <w:p w14:paraId="376A41BD" w14:textId="77777777" w:rsidR="005B5DDF" w:rsidRPr="0046445E" w:rsidRDefault="005B5DDF" w:rsidP="005B5DDF">
      <w:pPr>
        <w:spacing w:line="240" w:lineRule="auto"/>
        <w:rPr>
          <w:i/>
          <w:szCs w:val="22"/>
          <w:lang w:val="hu-HU"/>
        </w:rPr>
      </w:pPr>
      <w:r w:rsidRPr="0046445E">
        <w:rPr>
          <w:i/>
          <w:szCs w:val="22"/>
          <w:lang w:val="hu-HU"/>
        </w:rPr>
        <w:t>Szexuális zavar</w:t>
      </w:r>
    </w:p>
    <w:p w14:paraId="0268B44C" w14:textId="77777777" w:rsidR="005B5DDF" w:rsidRDefault="005B5DDF" w:rsidP="005B5DDF">
      <w:pPr>
        <w:spacing w:line="240" w:lineRule="auto"/>
        <w:rPr>
          <w:szCs w:val="22"/>
          <w:lang w:val="hu-HU"/>
        </w:rPr>
      </w:pPr>
      <w:r w:rsidRPr="005B5DDF">
        <w:rPr>
          <w:szCs w:val="22"/>
          <w:lang w:val="hu-HU"/>
        </w:rPr>
        <w:t>A szelektív szerotonin visszavétel gátlók (SSRI-k)/szerotonin-noradrenalin visszavétel gátlók (SNRI-k) szexuális diszfunkci</w:t>
      </w:r>
      <w:r>
        <w:rPr>
          <w:szCs w:val="22"/>
          <w:lang w:val="hu-HU"/>
        </w:rPr>
        <w:t>ó tüneteit okozhatják (lásd 4.8 </w:t>
      </w:r>
      <w:r w:rsidRPr="005B5DDF">
        <w:rPr>
          <w:szCs w:val="22"/>
          <w:lang w:val="hu-HU"/>
        </w:rPr>
        <w:t>pont). Beszámoltak olyan, hosszan tartó szexuális diszfunkcióról is, ahol a tünetek a SSRI/SNRI leál</w:t>
      </w:r>
      <w:r w:rsidR="00607745">
        <w:rPr>
          <w:szCs w:val="22"/>
          <w:lang w:val="hu-HU"/>
        </w:rPr>
        <w:t>l</w:t>
      </w:r>
      <w:r w:rsidRPr="005B5DDF">
        <w:rPr>
          <w:szCs w:val="22"/>
          <w:lang w:val="hu-HU"/>
        </w:rPr>
        <w:t>ítása ellenére sem szűntek meg.</w:t>
      </w:r>
    </w:p>
    <w:p w14:paraId="05D989C6" w14:textId="77777777" w:rsidR="005B5DDF" w:rsidRPr="009C5B72" w:rsidRDefault="005B5DDF" w:rsidP="005B5DDF">
      <w:pPr>
        <w:spacing w:line="240" w:lineRule="auto"/>
        <w:rPr>
          <w:szCs w:val="22"/>
          <w:lang w:val="hu-HU"/>
        </w:rPr>
      </w:pPr>
    </w:p>
    <w:p w14:paraId="05873353" w14:textId="77777777" w:rsidR="00F70AFD" w:rsidRPr="009C5B72" w:rsidRDefault="00F70AFD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Szacharóz</w:t>
      </w:r>
    </w:p>
    <w:p w14:paraId="2EC898B6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Dulsevia szacharózt tartalmaz. Ritkán előforduló, örökletes fruktózintoleranciában, glükóz-galaktóz malabszorpcióban vagy szacharáz-izomaltáz hiányban a készítmény nem szedhető.</w:t>
      </w:r>
    </w:p>
    <w:p w14:paraId="60975715" w14:textId="77777777" w:rsidR="00F70AFD" w:rsidRPr="009C5B72" w:rsidRDefault="00F70AFD" w:rsidP="009C5B72">
      <w:pPr>
        <w:spacing w:line="240" w:lineRule="auto"/>
        <w:rPr>
          <w:szCs w:val="22"/>
          <w:lang w:val="hu-HU"/>
        </w:rPr>
      </w:pPr>
    </w:p>
    <w:p w14:paraId="28F4B931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4.5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4F714A3E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3A0444" w14:textId="77777777" w:rsidR="00063B5F" w:rsidRPr="00E35DC5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Monoamino-oxidáz inhibitorok (MAOI):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a szerotonin</w:t>
      </w:r>
      <w:r w:rsidR="00D91F20">
        <w:rPr>
          <w:rFonts w:eastAsia="Times New Roman"/>
          <w:snapToGrid/>
          <w:szCs w:val="22"/>
          <w:lang w:val="hu-HU" w:eastAsia="en-US"/>
        </w:rPr>
        <w:t>-</w:t>
      </w:r>
      <w:r w:rsidRPr="009C5B72">
        <w:rPr>
          <w:rFonts w:eastAsia="Times New Roman"/>
          <w:snapToGrid/>
          <w:szCs w:val="22"/>
          <w:lang w:val="hu-HU" w:eastAsia="en-US"/>
        </w:rPr>
        <w:t>szindróma veszélye miatt a duloxetin a nem szelektív, irreverzibilis monoamino-oxidáz inhibitorokkal (MAOI-k) kombinációban, illetve a MAOI</w:t>
      </w:r>
      <w:r w:rsidR="008E3152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kkal történő kezelés abbahagyását követő 14 napon belül nem alkalmazható. A duloxetin felezési ideje alapján legalább 5 napnak kell eltelnie a Dulsevia-kezelés abbahagyását követően, mielőtt a MAOI</w:t>
      </w:r>
      <w:r w:rsidR="00E35DC5">
        <w:rPr>
          <w:rFonts w:eastAsia="Times New Roman"/>
          <w:snapToGrid/>
          <w:szCs w:val="22"/>
          <w:lang w:val="hu-HU" w:eastAsia="en-US"/>
        </w:rPr>
        <w:t>-</w:t>
      </w:r>
      <w:r w:rsidRPr="00E35DC5">
        <w:rPr>
          <w:rFonts w:eastAsia="Times New Roman"/>
          <w:snapToGrid/>
          <w:szCs w:val="22"/>
          <w:lang w:val="hu-HU" w:eastAsia="en-US"/>
        </w:rPr>
        <w:t>kezelést elindítanák (lásd 4.3 pont).</w:t>
      </w:r>
    </w:p>
    <w:p w14:paraId="74C27313" w14:textId="77777777" w:rsidR="00063B5F" w:rsidRPr="00183EF0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2C59FF4" w14:textId="77777777" w:rsidR="00063B5F" w:rsidRPr="00951C48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51C48">
        <w:rPr>
          <w:rFonts w:eastAsia="Times New Roman"/>
          <w:snapToGrid/>
          <w:szCs w:val="22"/>
          <w:lang w:val="hu-HU" w:eastAsia="en-US"/>
        </w:rPr>
        <w:t>Dulsevia egyidejű alkalmazása szelektív, reverzibilis MAOI-kkal, mint a moklobemid, nem javasolt (lásd 4.4 pont). A linezolid nevű antibiotikum egy reverzibilis, nem szelektív MAO-gátló, és Dulsevia</w:t>
      </w:r>
      <w:r w:rsidR="008E3152" w:rsidRPr="00951C48">
        <w:rPr>
          <w:rFonts w:eastAsia="Times New Roman"/>
          <w:snapToGrid/>
          <w:szCs w:val="22"/>
          <w:lang w:val="hu-HU" w:eastAsia="en-US"/>
        </w:rPr>
        <w:noBreakHyphen/>
      </w:r>
      <w:r w:rsidRPr="00951C48">
        <w:rPr>
          <w:rFonts w:eastAsia="Times New Roman"/>
          <w:snapToGrid/>
          <w:szCs w:val="22"/>
          <w:lang w:val="hu-HU" w:eastAsia="en-US"/>
        </w:rPr>
        <w:t>val kezelt betegeknek nem adható (lásd 4.4 pont).</w:t>
      </w:r>
    </w:p>
    <w:p w14:paraId="52963DD0" w14:textId="77777777" w:rsidR="00063B5F" w:rsidRPr="00927751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8CE3D29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CYP1A2 inhibitorai</w:t>
      </w:r>
      <w:r w:rsidRPr="009C5B72">
        <w:rPr>
          <w:rFonts w:eastAsia="Times New Roman"/>
          <w:snapToGrid/>
          <w:szCs w:val="22"/>
          <w:lang w:val="hu-HU" w:eastAsia="en-US"/>
        </w:rPr>
        <w:t>: mivel a CYP1A2 szerepet játszik a duloxetin metabolizmusában, a duloxetin erős CYP1A2-inhibitorokkal történő együttadása valószínűleg magasabb duloxetin-koncentrációkat eredményez. Az erős CYP1A2 inhibitor fluvoxamin (100 mg naponta egyszer) megközelítőleg 77%</w:t>
      </w:r>
      <w:r w:rsidR="008E3152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kal csökkentette a duloxetin látszólagos plazmaclearance-ét és hatszorosára növelte az AUC</w:t>
      </w:r>
      <w:r w:rsidRPr="009C5B72">
        <w:rPr>
          <w:rFonts w:eastAsia="Times New Roman"/>
          <w:snapToGrid/>
          <w:szCs w:val="22"/>
          <w:vertAlign w:val="subscript"/>
          <w:lang w:val="hu-HU" w:eastAsia="en-US"/>
        </w:rPr>
        <w:t>0-t</w:t>
      </w:r>
      <w:r w:rsidRPr="009C5B72">
        <w:rPr>
          <w:rFonts w:eastAsia="Times New Roman"/>
          <w:snapToGrid/>
          <w:szCs w:val="22"/>
          <w:lang w:val="hu-HU" w:eastAsia="en-US"/>
        </w:rPr>
        <w:t>-t. Ezért a Dulsevia-t nem szabad együttesen alkalmazni erős CYP1A2-inhibitorokkal, mint amilyen a fluvoxamin (lásd 4.3 pont).</w:t>
      </w:r>
    </w:p>
    <w:p w14:paraId="4B0D3D9D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018334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Központi idegrendszerre ható gyógyszerek: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a duloxetin és egyéb központi idegrendszerre ható gyógyszerek kombinációjának kockázatát nem vizsgálták módszeresen, kivéve azokat az eseteket, amelyeket ez a pont tartalmaz. Ezért elővigyázatosság javasolt, ha a Dulsevia-t egyéb, centrálisan ható gyógyszerekkel és hatóanyagokkal kombinációban alkalmazzák, beleértve az alkoholt és szedatív hatású gyógyszereket (pl. benzodiazepineket, morfin hatású szereket, antipszichotikumokat, fenobarbitált, szedatív hatású antihisztaminokat).</w:t>
      </w:r>
    </w:p>
    <w:p w14:paraId="1313538F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795D7A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Szerotonerg szerek: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Ritka esetekben szerotonin</w:t>
      </w:r>
      <w:r w:rsidR="00D91F20">
        <w:rPr>
          <w:rFonts w:eastAsia="Times New Roman"/>
          <w:snapToGrid/>
          <w:szCs w:val="22"/>
          <w:lang w:val="hu-HU" w:eastAsia="en-US"/>
        </w:rPr>
        <w:t>-</w:t>
      </w:r>
      <w:r w:rsidRPr="009C5B72">
        <w:rPr>
          <w:rFonts w:eastAsia="Times New Roman"/>
          <w:snapToGrid/>
          <w:szCs w:val="22"/>
          <w:lang w:val="hu-HU" w:eastAsia="en-US"/>
        </w:rPr>
        <w:t>szindrómát jelentettek olyan SSRI-t/SNRI-t szedő betegeknél, akik egyidejűleg szerotonerg gyógyszert is kaptak. Elővigyázatosságra van szükség, ha a Dulsevia-t együtt adják szerotonerg szerekkel, pl. SSRI-kkel, SNRI-kkel, t</w:t>
      </w:r>
      <w:r w:rsidR="00BE3E9A" w:rsidRPr="009C5B72">
        <w:rPr>
          <w:rFonts w:eastAsia="Times New Roman"/>
          <w:snapToGrid/>
          <w:szCs w:val="22"/>
          <w:lang w:val="hu-HU" w:eastAsia="en-US"/>
        </w:rPr>
        <w:t>ricikluso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s antidepresszánsokkal, pl. klomipraminnal vagy amitriptilinnel, MAO-gátlókkal, mint a moklobemid vagy linezolid, </w:t>
      </w:r>
      <w:r w:rsidR="008E3152" w:rsidRPr="009C5B72">
        <w:rPr>
          <w:rFonts w:eastAsia="Times New Roman"/>
          <w:snapToGrid/>
          <w:szCs w:val="22"/>
          <w:lang w:val="hu-HU" w:eastAsia="en-US"/>
        </w:rPr>
        <w:t>k</w:t>
      </w:r>
      <w:r w:rsidR="007D2A70" w:rsidRPr="009C5B72">
        <w:rPr>
          <w:rFonts w:eastAsia="Times New Roman"/>
          <w:snapToGrid/>
          <w:szCs w:val="22"/>
          <w:lang w:val="hu-HU" w:eastAsia="en-US"/>
        </w:rPr>
        <w:t xml:space="preserve">özönséges </w:t>
      </w:r>
      <w:r w:rsidRPr="009C5B72">
        <w:rPr>
          <w:rFonts w:eastAsia="Times New Roman"/>
          <w:snapToGrid/>
          <w:szCs w:val="22"/>
          <w:lang w:val="hu-HU" w:eastAsia="en-US"/>
        </w:rPr>
        <w:t>orbáncfűvel (</w:t>
      </w:r>
      <w:r w:rsidRPr="009C5B72">
        <w:rPr>
          <w:rFonts w:eastAsia="Times New Roman"/>
          <w:i/>
          <w:snapToGrid/>
          <w:szCs w:val="22"/>
          <w:lang w:val="hu-HU" w:eastAsia="en-US"/>
        </w:rPr>
        <w:t>Hypericum perforatum</w:t>
      </w:r>
      <w:r w:rsidRPr="009C5B72">
        <w:rPr>
          <w:rFonts w:eastAsia="Times New Roman"/>
          <w:snapToGrid/>
          <w:szCs w:val="22"/>
          <w:lang w:val="hu-HU" w:eastAsia="en-US"/>
        </w:rPr>
        <w:t>) vagy triptánokkal,</w:t>
      </w:r>
      <w:r w:rsidR="00F9585D">
        <w:rPr>
          <w:rFonts w:eastAsia="Times New Roman"/>
          <w:snapToGrid/>
          <w:szCs w:val="22"/>
          <w:lang w:val="hu-HU" w:eastAsia="en-US"/>
        </w:rPr>
        <w:t xml:space="preserve"> buprenorfinnal,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tramadollal, petidinnel és triptofánnal (lásd 4.4 pont).</w:t>
      </w:r>
    </w:p>
    <w:p w14:paraId="36040AEE" w14:textId="77777777" w:rsidR="00CB6652" w:rsidRPr="009C5B72" w:rsidRDefault="00CB6652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241EBB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9C5B72">
        <w:rPr>
          <w:rFonts w:eastAsia="Times New Roman"/>
          <w:snapToGrid/>
          <w:szCs w:val="22"/>
          <w:u w:val="single"/>
          <w:lang w:val="hu-HU" w:eastAsia="en-US"/>
        </w:rPr>
        <w:t>Duloxetin hatása egyéb gyógyszerekre</w:t>
      </w:r>
    </w:p>
    <w:p w14:paraId="08BBD6B6" w14:textId="77777777" w:rsidR="008D474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CYP1A2 által metabolizált gyógyszerek: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A CYP1A2 szubsztrátjának, a teofillinnek a farmakokinetikáját a duloxetin egyidejű adása (naponta kétszer 60 mg) </w:t>
      </w:r>
      <w:r w:rsidR="008D474F" w:rsidRPr="009C5B72">
        <w:rPr>
          <w:rFonts w:eastAsia="Times New Roman"/>
          <w:snapToGrid/>
          <w:szCs w:val="22"/>
          <w:lang w:val="hu-HU" w:eastAsia="en-US"/>
        </w:rPr>
        <w:t>szignifikánsan nem befolyásolta</w:t>
      </w:r>
      <w:r w:rsidRPr="009C5B72">
        <w:rPr>
          <w:rFonts w:eastAsia="Times New Roman"/>
          <w:snapToGrid/>
          <w:szCs w:val="22"/>
          <w:lang w:val="hu-HU" w:eastAsia="en-US"/>
        </w:rPr>
        <w:t>.</w:t>
      </w:r>
    </w:p>
    <w:p w14:paraId="2928B160" w14:textId="77777777" w:rsidR="00032A4C" w:rsidRPr="009C5B72" w:rsidRDefault="00032A4C" w:rsidP="009C5B72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</w:p>
    <w:p w14:paraId="19297EA1" w14:textId="3F5BB70B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CYP2D6 által metabolizált gyógyszerek</w:t>
      </w:r>
      <w:r w:rsidRPr="009C5B72">
        <w:rPr>
          <w:rFonts w:eastAsia="Times New Roman"/>
          <w:snapToGrid/>
          <w:szCs w:val="22"/>
          <w:lang w:val="hu-HU" w:eastAsia="en-US"/>
        </w:rPr>
        <w:t>: A duloxetin közepes mértékben gátolja a CYP2D6-</w:t>
      </w:r>
      <w:r w:rsidR="008D474F" w:rsidRPr="009C5B72">
        <w:rPr>
          <w:rFonts w:eastAsia="Times New Roman"/>
          <w:snapToGrid/>
          <w:szCs w:val="22"/>
          <w:lang w:val="hu-HU" w:eastAsia="en-US"/>
        </w:rPr>
        <w:t>o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t. Napi kétszer 60 mg duloxetin és dezipramin (mely CYP2D6-szubsztrát) egyszeri </w:t>
      </w:r>
      <w:r w:rsidR="006A1803">
        <w:rPr>
          <w:rFonts w:eastAsia="Times New Roman"/>
          <w:snapToGrid/>
          <w:szCs w:val="22"/>
          <w:lang w:val="hu-HU" w:eastAsia="en-US"/>
        </w:rPr>
        <w:t>dózisának</w:t>
      </w:r>
      <w:r w:rsidR="006A1803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együttes</w:t>
      </w:r>
      <w:r w:rsidRPr="009C5B72">
        <w:rPr>
          <w:szCs w:val="22"/>
          <w:lang w:val="hu-HU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alkalmazásakor a dezipramin AUC-értéke </w:t>
      </w:r>
      <w:r w:rsidR="00BE2F47" w:rsidRPr="009C5B72">
        <w:rPr>
          <w:rFonts w:eastAsia="Times New Roman"/>
          <w:snapToGrid/>
          <w:szCs w:val="22"/>
          <w:lang w:val="hu-HU" w:eastAsia="en-US"/>
        </w:rPr>
        <w:t xml:space="preserve">a </w:t>
      </w:r>
      <w:r w:rsidRPr="009C5B72">
        <w:rPr>
          <w:rFonts w:eastAsia="Times New Roman"/>
          <w:snapToGrid/>
          <w:szCs w:val="22"/>
          <w:lang w:val="hu-HU" w:eastAsia="en-US"/>
        </w:rPr>
        <w:t>háromszorosára nőtt. A duloxetin együttadása (40 mg naponta kétszer) 71%-kal növeli a tolterodin (2 mg naponta kétszer) egyensúlyi AUC-jét, de nem befolyásolja az aktív 5-hidroxi metabolit farmakokinetikáját, és dózismódosítás nem javasolt. Elővigyázatosságra van szükség a főként CYP2D6 által metabolizálódó gyógyszereknek (risperidon, t</w:t>
      </w:r>
      <w:r w:rsidR="00BE3E9A" w:rsidRPr="009C5B72">
        <w:rPr>
          <w:rFonts w:eastAsia="Times New Roman"/>
          <w:snapToGrid/>
          <w:szCs w:val="22"/>
          <w:lang w:val="hu-HU" w:eastAsia="en-US"/>
        </w:rPr>
        <w:t>ricikluso</w:t>
      </w:r>
      <w:r w:rsidRPr="009C5B72">
        <w:rPr>
          <w:rFonts w:eastAsia="Times New Roman"/>
          <w:snapToGrid/>
          <w:szCs w:val="22"/>
          <w:lang w:val="hu-HU" w:eastAsia="en-US"/>
        </w:rPr>
        <w:t>s antidepresszánsok, mint a nortriptilin, amitriptilin és imipramin) a duloxetinnel történő együttadásakor, különösen akkor, ha szűk a terápiás tartományuk (mint a flekainid, propafenon és metoprolol).</w:t>
      </w:r>
    </w:p>
    <w:p w14:paraId="67EB964A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F190BD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Orális fogamzásgátlók és egyéb szteroidok: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i/>
          <w:snapToGrid/>
          <w:szCs w:val="22"/>
          <w:lang w:val="hu-HU" w:eastAsia="en-US"/>
        </w:rPr>
        <w:t>In vitro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vizsgálatok eredményei szerint a duloxetin nem indukálja a CYP3A katalitikus aktivitását. Specifikus </w:t>
      </w:r>
      <w:r w:rsidRPr="009C5B72">
        <w:rPr>
          <w:rFonts w:eastAsia="Times New Roman"/>
          <w:i/>
          <w:snapToGrid/>
          <w:szCs w:val="22"/>
          <w:lang w:val="hu-HU" w:eastAsia="en-US"/>
        </w:rPr>
        <w:t>in vivo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gyógyszerinterakciós vizsgálatokat nem végeztek.</w:t>
      </w:r>
    </w:p>
    <w:p w14:paraId="754A8629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709DB7D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Véralvadásgátlók és thrombocyta-aggregáció gátlók: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Duloxetin és orális véralvadásgátlók vagy thrombocyta-aggregáció gátlók kombinációjakor a vérzés esetlegesen emelkedett kockázata miatt (mely farmakodinámiás interakciónak tulajdonítható) elővigyázatosságra van szükség. Ezenfelül beszámoltak az INR-értékek növekedéséről, amikor a duloxetint warfarinnal kezelt betegnél </w:t>
      </w:r>
      <w:r w:rsidR="00BE2F47" w:rsidRPr="009C5B72">
        <w:rPr>
          <w:rFonts w:eastAsia="Times New Roman"/>
          <w:snapToGrid/>
          <w:szCs w:val="22"/>
          <w:lang w:val="hu-HU" w:eastAsia="en-US"/>
        </w:rPr>
        <w:t xml:space="preserve">egyidejűleg </w:t>
      </w:r>
      <w:r w:rsidRPr="009C5B72">
        <w:rPr>
          <w:rFonts w:eastAsia="Times New Roman"/>
          <w:snapToGrid/>
          <w:szCs w:val="22"/>
          <w:lang w:val="hu-HU" w:eastAsia="en-US"/>
        </w:rPr>
        <w:t>alkalmazták. Mindazonáltal egészséges önkénteseknél a duloxetin és warfarin egy klinikai farmakológiai vizsgálat részeként történő egyidejű alkalmazása során</w:t>
      </w:r>
      <w:r w:rsidR="008D474F" w:rsidRPr="009C5B72">
        <w:rPr>
          <w:rFonts w:eastAsia="Times New Roman"/>
          <w:snapToGrid/>
          <w:szCs w:val="22"/>
          <w:lang w:val="hu-HU" w:eastAsia="en-US"/>
        </w:rPr>
        <w:t>,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dinamikus egyensúlyi állapotban nem eredményezett a kiindulási értékhez viszonyított klinikailag jelentős változást az INR</w:t>
      </w:r>
      <w:r w:rsidR="008E3152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értékben, illetve az R- vagy S-warfarin farmakokinetikájában.</w:t>
      </w:r>
    </w:p>
    <w:p w14:paraId="60362958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DCF421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9C5B72">
        <w:rPr>
          <w:rFonts w:eastAsia="Times New Roman"/>
          <w:snapToGrid/>
          <w:szCs w:val="22"/>
          <w:u w:val="single"/>
          <w:lang w:val="hu-HU" w:eastAsia="en-US"/>
        </w:rPr>
        <w:t>Egyéb gyógyszerek hatása a duloxetinre</w:t>
      </w:r>
    </w:p>
    <w:p w14:paraId="6F8E63B0" w14:textId="77777777" w:rsidR="00063B5F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Antacid</w:t>
      </w:r>
      <w:r w:rsidR="008D474F" w:rsidRPr="009C5B72">
        <w:rPr>
          <w:rFonts w:eastAsia="Times New Roman"/>
          <w:i/>
          <w:snapToGrid/>
          <w:szCs w:val="22"/>
          <w:lang w:val="hu-HU" w:eastAsia="en-US"/>
        </w:rPr>
        <w:t>o</w:t>
      </w:r>
      <w:r w:rsidRPr="009C5B72">
        <w:rPr>
          <w:rFonts w:eastAsia="Times New Roman"/>
          <w:i/>
          <w:snapToGrid/>
          <w:szCs w:val="22"/>
          <w:lang w:val="hu-HU" w:eastAsia="en-US"/>
        </w:rPr>
        <w:t>k és H</w:t>
      </w:r>
      <w:r w:rsidRPr="009C5B72">
        <w:rPr>
          <w:rFonts w:eastAsia="Times New Roman"/>
          <w:i/>
          <w:snapToGrid/>
          <w:szCs w:val="22"/>
          <w:vertAlign w:val="subscript"/>
          <w:lang w:val="hu-HU" w:eastAsia="en-US"/>
        </w:rPr>
        <w:t>2</w:t>
      </w:r>
      <w:r w:rsidRPr="009C5B72">
        <w:rPr>
          <w:rFonts w:eastAsia="Times New Roman"/>
          <w:i/>
          <w:snapToGrid/>
          <w:szCs w:val="22"/>
          <w:lang w:val="hu-HU" w:eastAsia="en-US"/>
        </w:rPr>
        <w:t xml:space="preserve"> antagonisták: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A duloxetin alumíniu</w:t>
      </w:r>
      <w:r w:rsidR="008D474F" w:rsidRPr="009C5B72">
        <w:rPr>
          <w:rFonts w:eastAsia="Times New Roman"/>
          <w:snapToGrid/>
          <w:szCs w:val="22"/>
          <w:lang w:val="hu-HU" w:eastAsia="en-US"/>
        </w:rPr>
        <w:t>m- és magnéziumtartalmú antacido</w:t>
      </w:r>
      <w:r w:rsidRPr="009C5B72">
        <w:rPr>
          <w:rFonts w:eastAsia="Times New Roman"/>
          <w:snapToGrid/>
          <w:szCs w:val="22"/>
          <w:lang w:val="hu-HU" w:eastAsia="en-US"/>
        </w:rPr>
        <w:t>kkal, vagy famotidinnel történő együttadása nem befolyásolta jelentősen a duloxetin 40 mg-os orális dózisa után a felszívódás sebességét vagy mértékét.</w:t>
      </w:r>
    </w:p>
    <w:p w14:paraId="44933EA3" w14:textId="77777777" w:rsidR="008D474F" w:rsidRPr="009C5B72" w:rsidRDefault="008D47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D6DC0A" w14:textId="77777777" w:rsidR="00E1258C" w:rsidRPr="009C5B72" w:rsidRDefault="00063B5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i/>
          <w:snapToGrid/>
          <w:szCs w:val="22"/>
          <w:lang w:val="hu-HU" w:eastAsia="en-US"/>
        </w:rPr>
        <w:t>CYP1A2 induktorok</w:t>
      </w:r>
      <w:r w:rsidRPr="009C5B72">
        <w:rPr>
          <w:rFonts w:eastAsia="Times New Roman"/>
          <w:snapToGrid/>
          <w:szCs w:val="22"/>
          <w:lang w:val="hu-HU" w:eastAsia="en-US"/>
        </w:rPr>
        <w:t>: A populációs farmakokinetikai vizsgálatok azt mutatták, hogy a dohányzók duloxetin plazmakoncentrációi majdnem 50%-kal alacsonyabbak, mint a nemdohányzóké.</w:t>
      </w:r>
    </w:p>
    <w:p w14:paraId="50C449E4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5539D00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4.6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43BAD56D" w14:textId="77777777" w:rsidR="00F45C51" w:rsidRPr="009C5B72" w:rsidRDefault="00F45C51" w:rsidP="009C5B72">
      <w:pPr>
        <w:spacing w:line="240" w:lineRule="auto"/>
        <w:rPr>
          <w:szCs w:val="22"/>
          <w:lang w:val="hu-HU"/>
        </w:rPr>
      </w:pPr>
    </w:p>
    <w:p w14:paraId="719A9AED" w14:textId="77777777" w:rsidR="00B92CE2" w:rsidRPr="009C5B72" w:rsidRDefault="00B92CE2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Termékenység</w:t>
      </w:r>
    </w:p>
    <w:p w14:paraId="53365841" w14:textId="3C89E555" w:rsidR="00B92CE2" w:rsidRPr="009C5B72" w:rsidRDefault="00FD3B1A" w:rsidP="009C5B72">
      <w:pPr>
        <w:spacing w:line="240" w:lineRule="auto"/>
        <w:rPr>
          <w:szCs w:val="22"/>
          <w:lang w:val="hu-HU"/>
        </w:rPr>
      </w:pPr>
      <w:r w:rsidRPr="009C5B72">
        <w:rPr>
          <w:snapToGrid/>
          <w:szCs w:val="22"/>
          <w:lang w:val="hu-HU" w:eastAsia="hu-HU"/>
        </w:rPr>
        <w:t xml:space="preserve">Állatkísérletekben </w:t>
      </w:r>
      <w:r w:rsidRPr="009C5B72">
        <w:rPr>
          <w:szCs w:val="22"/>
          <w:lang w:val="hu-HU"/>
        </w:rPr>
        <w:t>a</w:t>
      </w:r>
      <w:r w:rsidR="00B92CE2" w:rsidRPr="009C5B72">
        <w:rPr>
          <w:szCs w:val="22"/>
          <w:lang w:val="hu-HU"/>
        </w:rPr>
        <w:t xml:space="preserve"> duloxetinnek nem volt hatása a férfiak termékenységére, és a nőkre gyakorolt hatás is csak olyan </w:t>
      </w:r>
      <w:r w:rsidR="006A1803">
        <w:rPr>
          <w:szCs w:val="22"/>
          <w:lang w:val="hu-HU"/>
        </w:rPr>
        <w:t>dózisoknál</w:t>
      </w:r>
      <w:r w:rsidR="006A1803" w:rsidRPr="009C5B72">
        <w:rPr>
          <w:szCs w:val="22"/>
          <w:lang w:val="hu-HU"/>
        </w:rPr>
        <w:t xml:space="preserve"> </w:t>
      </w:r>
      <w:r w:rsidR="00B92CE2" w:rsidRPr="009C5B72">
        <w:rPr>
          <w:szCs w:val="22"/>
          <w:lang w:val="hu-HU"/>
        </w:rPr>
        <w:t>volt nyilvánvaló, amelyek anyai toxicitást okoztak.</w:t>
      </w:r>
    </w:p>
    <w:p w14:paraId="66E48DA7" w14:textId="77777777" w:rsidR="00B92CE2" w:rsidRPr="009C5B72" w:rsidRDefault="00B92CE2" w:rsidP="009C5B72">
      <w:pPr>
        <w:spacing w:line="240" w:lineRule="auto"/>
        <w:rPr>
          <w:szCs w:val="22"/>
          <w:lang w:val="hu-HU"/>
        </w:rPr>
      </w:pPr>
    </w:p>
    <w:p w14:paraId="691B29EA" w14:textId="77777777" w:rsidR="00F45C51" w:rsidRPr="009C5B72" w:rsidRDefault="00F45C51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Terhesség</w:t>
      </w:r>
    </w:p>
    <w:p w14:paraId="5223E593" w14:textId="77777777" w:rsidR="006A19A4" w:rsidRPr="009C5B72" w:rsidRDefault="006A19A4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Az állatkísérletek reproduktív toxicitást mutattak a duloxetin maximális klinikai expozíciónál alacsonyabb szisztémás expozíciós szintjeinek (AUC) esetében (lásd 5.3 pont).</w:t>
      </w:r>
    </w:p>
    <w:p w14:paraId="462B2400" w14:textId="77777777" w:rsidR="006A19A4" w:rsidRDefault="006A19A4" w:rsidP="009C5B72">
      <w:pPr>
        <w:spacing w:line="240" w:lineRule="auto"/>
        <w:rPr>
          <w:szCs w:val="22"/>
          <w:lang w:val="hu-HU"/>
        </w:rPr>
      </w:pPr>
    </w:p>
    <w:p w14:paraId="0010E78D" w14:textId="77777777" w:rsidR="00871D50" w:rsidRDefault="00871D50" w:rsidP="00871D5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Két nagy mintanagyságú, megfigyeléses vizsgálat nem utalt a jelentős kongenitális malformáció kockázatának általános növekedésére (az egyik, Amerikai Egyesült Államokban végzett vizsgálatban 2500 nőt kezeltek duloxetinnel az első trimeszterben, a másik, Európai Unióban végzett vizsgálatban pedig 1500 nőt kezeltek duloxetinnel az első trimeszterben). A konkrét malformációkkal, például a szívet érintő fejlődési rendellenességekkel kapcsolatos elemzés eredményei nem voltak egyértelműek. </w:t>
      </w:r>
    </w:p>
    <w:p w14:paraId="238FADA5" w14:textId="77777777" w:rsidR="00871D50" w:rsidRDefault="00871D50" w:rsidP="00EE3414">
      <w:pPr>
        <w:pStyle w:val="Default"/>
      </w:pPr>
      <w:r>
        <w:rPr>
          <w:sz w:val="22"/>
          <w:szCs w:val="22"/>
        </w:rPr>
        <w:t xml:space="preserve">Az Európai Unióban végzett vizsgálatban azoknál az anyáknál, akik a terhesség késői szakaszában (a 20. gesztációs hét és a szülés között bármikor) részesültek duloxetin-kezelésben, megnőtt a koraszülés kockázata (kevesebb mint kétszeresére, ami azt jelenti, hogy a terhesség késői szakaszában duloxetinnel kezelt minden 100 nő közül 6 további esetben fordult elő koraszülés). Az esetek többsége a 35. és 36. gesztációs hét során fordult elő. Ez az összefüggés az amerikai vizsgálatban nem volt megfigyelhető. </w:t>
      </w:r>
    </w:p>
    <w:p w14:paraId="5A0546DE" w14:textId="77777777" w:rsidR="00083897" w:rsidRPr="009C5B72" w:rsidRDefault="00871D50" w:rsidP="00871D50">
      <w:pPr>
        <w:spacing w:line="240" w:lineRule="auto"/>
        <w:rPr>
          <w:szCs w:val="22"/>
          <w:lang w:val="hu-HU"/>
        </w:rPr>
      </w:pPr>
      <w:r w:rsidRPr="00871D50">
        <w:rPr>
          <w:szCs w:val="22"/>
          <w:lang w:val="hu-HU"/>
        </w:rPr>
        <w:t>Az amerikai megfigyelésen alapuló adatok szolgáltattak bizonyítékot arra, hogy a szülést megelőző hónapban történt duloxetin-expozíciót követően a postpartum vérzés kockázata megnőtt (kevesebb mint 2-szeresére).</w:t>
      </w:r>
    </w:p>
    <w:p w14:paraId="177C9568" w14:textId="77777777" w:rsidR="000E6C0A" w:rsidRPr="009C5B72" w:rsidRDefault="000E6C0A" w:rsidP="009C5B72">
      <w:pPr>
        <w:spacing w:line="240" w:lineRule="auto"/>
        <w:rPr>
          <w:szCs w:val="22"/>
          <w:lang w:val="hu-HU"/>
        </w:rPr>
      </w:pPr>
    </w:p>
    <w:p w14:paraId="217C79B2" w14:textId="77777777" w:rsidR="006A19A4" w:rsidRPr="009138BF" w:rsidRDefault="006A19A4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Epidemiológiai adatok arra utaltak, hogy az SSRI-k alka</w:t>
      </w:r>
      <w:r w:rsidR="00D5421C" w:rsidRPr="009C5B72">
        <w:rPr>
          <w:szCs w:val="22"/>
          <w:lang w:val="hu-HU"/>
        </w:rPr>
        <w:t>l</w:t>
      </w:r>
      <w:r w:rsidRPr="009C5B72">
        <w:rPr>
          <w:szCs w:val="22"/>
          <w:lang w:val="hu-HU"/>
        </w:rPr>
        <w:t>mazása terhesség ideje alatt, különösen a terhesség késői szakaszában, emelheti az újszülöttkori persistens pulmonalis hypertonia (PPHN) kockázatát. Bár nem végeztek vizsgálatot a PPHN SNRI-kezeléssel való összefüggését illetően, a hatásmechanizmust számításba véve (a szerotonin</w:t>
      </w:r>
      <w:r w:rsidR="009138BF">
        <w:rPr>
          <w:szCs w:val="22"/>
          <w:lang w:val="hu-HU"/>
        </w:rPr>
        <w:t>-</w:t>
      </w:r>
      <w:r w:rsidRPr="009138BF">
        <w:rPr>
          <w:szCs w:val="22"/>
          <w:lang w:val="hu-HU"/>
        </w:rPr>
        <w:t>visszavétel gátlása), a duloxetin esetén a potenciális kockázat nem zárható ki.</w:t>
      </w:r>
    </w:p>
    <w:p w14:paraId="3F555D02" w14:textId="77777777" w:rsidR="006A19A4" w:rsidRPr="00951C48" w:rsidRDefault="006A19A4" w:rsidP="009C5B72">
      <w:pPr>
        <w:keepNext/>
        <w:spacing w:line="240" w:lineRule="auto"/>
        <w:rPr>
          <w:szCs w:val="22"/>
          <w:lang w:val="hu-HU"/>
        </w:rPr>
      </w:pPr>
      <w:r w:rsidRPr="00183EF0">
        <w:rPr>
          <w:szCs w:val="22"/>
          <w:lang w:val="hu-HU"/>
        </w:rPr>
        <w:t>Mint más szerotonerg gyógyszer esetében, az újszülöttnél előfordulhatnak gyógyszerelvonási tünetek, ha az anya nem sokkal a szülés előtt szedett duloxetint. A duloxetin megvonási tünetei közé tartozhat a hypotonia, tremor, nyugtalanság, táplálási nehézség, légzési distress</w:t>
      </w:r>
      <w:r w:rsidR="000E6C0A" w:rsidRPr="00951C48">
        <w:rPr>
          <w:szCs w:val="22"/>
          <w:lang w:val="hu-HU"/>
        </w:rPr>
        <w:t>z</w:t>
      </w:r>
      <w:r w:rsidRPr="00951C48">
        <w:rPr>
          <w:szCs w:val="22"/>
          <w:lang w:val="hu-HU"/>
        </w:rPr>
        <w:t xml:space="preserve"> és görcsrohamok. Az esetek többsége a születéskor vagy azt követően néhány napon belül történt.</w:t>
      </w:r>
    </w:p>
    <w:p w14:paraId="48DDEA2C" w14:textId="77777777" w:rsidR="00A64F61" w:rsidRPr="00951C48" w:rsidRDefault="00A64F61" w:rsidP="009C5B72">
      <w:pPr>
        <w:spacing w:line="240" w:lineRule="auto"/>
        <w:rPr>
          <w:szCs w:val="22"/>
          <w:lang w:val="hu-HU"/>
        </w:rPr>
      </w:pPr>
    </w:p>
    <w:p w14:paraId="046D68AA" w14:textId="77777777" w:rsidR="006A19A4" w:rsidRPr="009C5B72" w:rsidRDefault="000E6C0A" w:rsidP="009C5B72">
      <w:pPr>
        <w:spacing w:line="240" w:lineRule="auto"/>
        <w:rPr>
          <w:szCs w:val="22"/>
          <w:lang w:val="hu-HU"/>
        </w:rPr>
      </w:pPr>
      <w:r w:rsidRPr="00927751">
        <w:rPr>
          <w:szCs w:val="22"/>
          <w:lang w:val="hu-HU"/>
        </w:rPr>
        <w:t>Dulsevia</w:t>
      </w:r>
      <w:r w:rsidR="006A19A4" w:rsidRPr="009C5B72">
        <w:rPr>
          <w:szCs w:val="22"/>
          <w:lang w:val="hu-HU"/>
        </w:rPr>
        <w:t xml:space="preserve"> terhesség alatt csak akkor alkalmazható, ha az ebből származó lehetséges előny nagyobb</w:t>
      </w:r>
      <w:r w:rsidR="009837CD">
        <w:rPr>
          <w:szCs w:val="22"/>
          <w:lang w:val="hu-HU"/>
        </w:rPr>
        <w:t>,</w:t>
      </w:r>
      <w:r w:rsidR="006A19A4" w:rsidRPr="009C5B72">
        <w:rPr>
          <w:szCs w:val="22"/>
          <w:lang w:val="hu-HU"/>
        </w:rPr>
        <w:t xml:space="preserve"> mint a magzatra gyakorolt esetleges kockázat. Nőknek javasolni kell, hogy értesítsék kezelőorvosukat, ha a kezelés ideje alatt teherbe esnek</w:t>
      </w:r>
      <w:r w:rsidR="009837CD">
        <w:rPr>
          <w:szCs w:val="22"/>
          <w:lang w:val="hu-HU"/>
        </w:rPr>
        <w:t>,</w:t>
      </w:r>
      <w:r w:rsidR="006A19A4" w:rsidRPr="009C5B72">
        <w:rPr>
          <w:szCs w:val="22"/>
          <w:lang w:val="hu-HU"/>
        </w:rPr>
        <w:t xml:space="preserve"> vagy ezt tervezik.</w:t>
      </w:r>
    </w:p>
    <w:p w14:paraId="7454EA97" w14:textId="77777777" w:rsidR="00FB2424" w:rsidRPr="009C5B72" w:rsidRDefault="00FB2424" w:rsidP="009C5B72">
      <w:pPr>
        <w:spacing w:line="240" w:lineRule="auto"/>
        <w:rPr>
          <w:szCs w:val="22"/>
          <w:lang w:val="hu-HU"/>
        </w:rPr>
      </w:pPr>
    </w:p>
    <w:p w14:paraId="78B8A2D4" w14:textId="77777777" w:rsidR="00F45C51" w:rsidRPr="009C5B72" w:rsidRDefault="00F45C51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Szoptatás</w:t>
      </w:r>
    </w:p>
    <w:p w14:paraId="5E4BA882" w14:textId="112FBA89" w:rsidR="00F45C51" w:rsidRPr="009C5B72" w:rsidRDefault="000E6C0A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Hat olyan, laktáló betegen végzett vizsgálat alapján, akik nem szoptatták gyermeküket, a duloxetin igen kis mértékben kiválasztódik az anyatejbe. A csecsemők becsült napi </w:t>
      </w:r>
      <w:r w:rsidR="007F07BD">
        <w:rPr>
          <w:szCs w:val="22"/>
          <w:lang w:val="hu-HU"/>
        </w:rPr>
        <w:t>dózisa</w:t>
      </w:r>
      <w:r w:rsidR="007F07BD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az anyai dózis megközelítőleg 0,14%-a (lásd 5.2 pont). Mivel a duloxetin biztonságossága csecsemőkben nem ismeretes, a Dulsevia szedése szoptatás alatt nem javasolt.</w:t>
      </w:r>
    </w:p>
    <w:p w14:paraId="178C690F" w14:textId="77777777" w:rsidR="000E6C0A" w:rsidRPr="009C5B72" w:rsidRDefault="000E6C0A" w:rsidP="009C5B72">
      <w:pPr>
        <w:spacing w:line="240" w:lineRule="auto"/>
        <w:rPr>
          <w:szCs w:val="22"/>
          <w:lang w:val="hu-HU"/>
        </w:rPr>
      </w:pPr>
    </w:p>
    <w:p w14:paraId="00A71229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4.7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9C5B72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Pr="009C5B72">
        <w:rPr>
          <w:rFonts w:eastAsia="Times New Roman"/>
          <w:b/>
          <w:snapToGrid/>
          <w:szCs w:val="22"/>
          <w:lang w:val="hu-HU" w:eastAsia="en-US"/>
        </w:rPr>
        <w:t>gépek kezeléséhez szükséges képességekre</w:t>
      </w:r>
    </w:p>
    <w:p w14:paraId="24705ABB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5557561" w14:textId="77777777" w:rsidR="00F45C51" w:rsidRPr="009C5B72" w:rsidRDefault="00A620F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A készítménynek a gépjárművezetéshez és a gépek kezeléséhez szükséges képességeket befolyásoló hatásait nem vizsgálták. A Dulsevia szedációt és szédülést okozhat. A betegeket tájékoztatni kell, hogy amennyiben szedációt vagy szédülést tapasztalnak, kerüljék az esetlegesen veszélyes munkákat, mint a gépjárművezetés vagy gépek kezelése.</w:t>
      </w:r>
    </w:p>
    <w:p w14:paraId="3A84C71E" w14:textId="77777777" w:rsidR="00A620FF" w:rsidRPr="009C5B72" w:rsidRDefault="00A620F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D7A6ED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4.8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762B85CC" w14:textId="77777777" w:rsidR="00147E15" w:rsidRPr="009C5B72" w:rsidRDefault="00147E15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7EB8C9AF" w14:textId="77777777" w:rsidR="00A620FF" w:rsidRPr="009C5B72" w:rsidRDefault="00A620FF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a. A biztonságossági profil összefoglalása</w:t>
      </w:r>
    </w:p>
    <w:p w14:paraId="121E320B" w14:textId="77777777" w:rsidR="00A620FF" w:rsidRPr="009C5B72" w:rsidRDefault="00A620FF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Dulsevia-val kezelt betegeknél a leggyakoribb mellékhatás a hányinger, fejfájás, szájszárazság, aluszékonyság és szédülés volt. Azonban a gyakori mellékhatások többsége enyhe vagy mérsékelt volt, általában a kezelés kezdetén jelentkeztek és többségük a terápia folytatása ellenére visszafejlődött.</w:t>
      </w:r>
    </w:p>
    <w:p w14:paraId="2B728007" w14:textId="77777777" w:rsidR="00A620FF" w:rsidRPr="009C5B72" w:rsidRDefault="00A620FF" w:rsidP="009C5B72">
      <w:pPr>
        <w:spacing w:line="240" w:lineRule="auto"/>
        <w:rPr>
          <w:szCs w:val="22"/>
          <w:lang w:val="hu-HU"/>
        </w:rPr>
      </w:pPr>
    </w:p>
    <w:p w14:paraId="62A65093" w14:textId="77777777" w:rsidR="00A620FF" w:rsidRPr="009C5B72" w:rsidRDefault="00A620FF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b. A mellékhatások táblázatos összefoglalása</w:t>
      </w:r>
    </w:p>
    <w:p w14:paraId="216E14E9" w14:textId="77777777" w:rsidR="00A620FF" w:rsidRPr="009C5B72" w:rsidRDefault="00A620FF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Az 1. táblázat a spontán jelentett és a depresszió, generalizált szorongás és diabeteses neuropathiás fájdalom indikációban végzett placebokontrollos klinikai vizsgálatok során észlelt mellékhatásokat tartalmazza. </w:t>
      </w:r>
    </w:p>
    <w:p w14:paraId="1724EBA4" w14:textId="77777777" w:rsidR="00B05E20" w:rsidRPr="009C5B72" w:rsidRDefault="00B05E20" w:rsidP="009C5B72">
      <w:pPr>
        <w:spacing w:line="240" w:lineRule="auto"/>
        <w:rPr>
          <w:szCs w:val="22"/>
          <w:lang w:val="hu-HU"/>
        </w:rPr>
      </w:pPr>
    </w:p>
    <w:p w14:paraId="7E70A081" w14:textId="77777777" w:rsidR="00A620FF" w:rsidRPr="009C5B72" w:rsidRDefault="00A620FF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1. táblázat: Mellékhatások</w:t>
      </w:r>
    </w:p>
    <w:p w14:paraId="41CA8254" w14:textId="2BC67062" w:rsidR="00A620FF" w:rsidRPr="009C5B72" w:rsidRDefault="00A620FF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Becs</w:t>
      </w:r>
      <w:r w:rsidR="00080E68" w:rsidRPr="009C5B72">
        <w:rPr>
          <w:szCs w:val="22"/>
          <w:lang w:val="hu-HU"/>
        </w:rPr>
        <w:t>ü</w:t>
      </w:r>
      <w:r w:rsidRPr="009C5B72">
        <w:rPr>
          <w:szCs w:val="22"/>
          <w:lang w:val="hu-HU"/>
        </w:rPr>
        <w:t>lt gyakoris</w:t>
      </w:r>
      <w:r w:rsidR="00B05E20" w:rsidRPr="009C5B72">
        <w:rPr>
          <w:szCs w:val="22"/>
          <w:lang w:val="hu-HU"/>
        </w:rPr>
        <w:t>á</w:t>
      </w:r>
      <w:r w:rsidRPr="009C5B72">
        <w:rPr>
          <w:szCs w:val="22"/>
          <w:lang w:val="hu-HU"/>
        </w:rPr>
        <w:t>g: Nagyon gyakori (≥1/10), gyakori (≥1/100– &lt;1/10), nem gyakori (≥1/1000 –&lt;1/100), ritka (≥1/10</w:t>
      </w:r>
      <w:r w:rsidR="00B05E20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000 –&lt;1/1000), nagyon ritka (&lt;1/10</w:t>
      </w:r>
      <w:r w:rsidR="00B05E20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000)</w:t>
      </w:r>
      <w:r w:rsidR="00A57065">
        <w:rPr>
          <w:szCs w:val="22"/>
          <w:lang w:val="hu-HU"/>
        </w:rPr>
        <w:t xml:space="preserve">, </w:t>
      </w:r>
      <w:r w:rsidR="00A57065">
        <w:rPr>
          <w:szCs w:val="22"/>
        </w:rPr>
        <w:t>nem ismert (a gyakoriság a rendelkezésre álló adatokból nem állapítható meg)</w:t>
      </w:r>
      <w:r w:rsidRPr="009C5B72">
        <w:rPr>
          <w:szCs w:val="22"/>
          <w:lang w:val="hu-HU"/>
        </w:rPr>
        <w:t>.</w:t>
      </w:r>
    </w:p>
    <w:p w14:paraId="10F6A7F6" w14:textId="77777777" w:rsidR="00CB6652" w:rsidRPr="009C5B72" w:rsidRDefault="00CB6652" w:rsidP="009C5B72">
      <w:pPr>
        <w:spacing w:line="240" w:lineRule="auto"/>
        <w:rPr>
          <w:szCs w:val="22"/>
          <w:lang w:val="hu-HU"/>
        </w:rPr>
      </w:pPr>
    </w:p>
    <w:p w14:paraId="61963ADE" w14:textId="77777777" w:rsidR="00F45C51" w:rsidRPr="009C5B72" w:rsidRDefault="00A620FF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Az egyes gyakorisági kategóriákon belül a mellékhatások csökkenő súlyosság szerint kerülnek megadásra.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408"/>
        <w:gridCol w:w="1578"/>
        <w:gridCol w:w="1657"/>
        <w:gridCol w:w="1885"/>
        <w:gridCol w:w="927"/>
        <w:gridCol w:w="1600"/>
      </w:tblGrid>
      <w:tr w:rsidR="00A57065" w:rsidRPr="009C5B72" w14:paraId="3B489E55" w14:textId="6B4329C9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D40D2" w14:textId="77777777" w:rsidR="00A57065" w:rsidRPr="009C5B72" w:rsidRDefault="00A57065" w:rsidP="009C5B72">
            <w:pPr>
              <w:pStyle w:val="Default"/>
              <w:rPr>
                <w:sz w:val="22"/>
                <w:szCs w:val="22"/>
              </w:rPr>
            </w:pPr>
            <w:r w:rsidRPr="009C5B72">
              <w:rPr>
                <w:b/>
                <w:bCs/>
                <w:sz w:val="22"/>
                <w:szCs w:val="22"/>
              </w:rPr>
              <w:t xml:space="preserve">Nagyon gyakori 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CA0E4" w14:textId="77777777" w:rsidR="00A57065" w:rsidRPr="009C5B72" w:rsidRDefault="00A57065" w:rsidP="009C5B72">
            <w:pPr>
              <w:pStyle w:val="Default"/>
              <w:rPr>
                <w:sz w:val="22"/>
                <w:szCs w:val="22"/>
              </w:rPr>
            </w:pPr>
            <w:r w:rsidRPr="009C5B72">
              <w:rPr>
                <w:b/>
                <w:bCs/>
                <w:sz w:val="22"/>
                <w:szCs w:val="22"/>
              </w:rPr>
              <w:t xml:space="preserve">Gyakori 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5142E" w14:textId="77777777" w:rsidR="00A57065" w:rsidRPr="009C5B72" w:rsidRDefault="00A57065" w:rsidP="009C5B72">
            <w:pPr>
              <w:pStyle w:val="Default"/>
              <w:rPr>
                <w:sz w:val="22"/>
                <w:szCs w:val="22"/>
              </w:rPr>
            </w:pPr>
            <w:r w:rsidRPr="009C5B72">
              <w:rPr>
                <w:b/>
                <w:bCs/>
                <w:sz w:val="22"/>
                <w:szCs w:val="22"/>
              </w:rPr>
              <w:t xml:space="preserve">Nem gyakori 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4223F" w14:textId="77777777" w:rsidR="00A57065" w:rsidRPr="009C5B72" w:rsidRDefault="00A57065" w:rsidP="009C5B72">
            <w:pPr>
              <w:pStyle w:val="Default"/>
              <w:rPr>
                <w:sz w:val="22"/>
                <w:szCs w:val="22"/>
              </w:rPr>
            </w:pPr>
            <w:r w:rsidRPr="009C5B72">
              <w:rPr>
                <w:b/>
                <w:bCs/>
                <w:sz w:val="22"/>
                <w:szCs w:val="22"/>
              </w:rPr>
              <w:t xml:space="preserve">Ritka 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29630" w14:textId="77777777" w:rsidR="00A57065" w:rsidRPr="009C5B72" w:rsidRDefault="00A57065" w:rsidP="009C5B72">
            <w:pPr>
              <w:pStyle w:val="Default"/>
              <w:rPr>
                <w:sz w:val="22"/>
                <w:szCs w:val="22"/>
              </w:rPr>
            </w:pPr>
            <w:r w:rsidRPr="009C5B72">
              <w:rPr>
                <w:b/>
                <w:bCs/>
                <w:sz w:val="22"/>
                <w:szCs w:val="22"/>
              </w:rPr>
              <w:t xml:space="preserve">Nagyon ritka 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6EA13" w14:textId="4939A073" w:rsidR="00A57065" w:rsidRPr="009C5B72" w:rsidRDefault="00A57065" w:rsidP="009C5B7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Nem ismert</w:t>
            </w:r>
          </w:p>
        </w:tc>
      </w:tr>
      <w:tr w:rsidR="00A57065" w:rsidRPr="009C5B72" w14:paraId="4964FBE5" w14:textId="406E9DAA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EEF61F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Fertőző betegségek és parazitafertőzések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3568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7A372EF8" w14:textId="0B3B55BC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206B1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BA1917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1743A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Laryngitis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4AC0F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39B73C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4B4EE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6EF6E20C" w14:textId="12AE120A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1C672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Immunrendszeri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6BB9C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0AF23A2" w14:textId="26882F6F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AD003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ABB10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872297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46C329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Anafilaxiás reakció</w:t>
            </w:r>
          </w:p>
          <w:p w14:paraId="65B9E099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Túlérzékenység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A2C38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06E0B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68A46DB0" w14:textId="2CDA8918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6B5AC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Endokrin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CA232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093AF65" w14:textId="23B45DCD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10D4F4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C64A37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19F4F2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6E75F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Hypothyreosis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6D9F0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F3CE4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65EFC7B3" w14:textId="014FD23F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7C0C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Anyagcsere- és táplálkozási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15F13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F24D852" w14:textId="5CE951D7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1B3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9A944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Étvágycsökkenés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74C92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Hyperglykaemia (különösen diabeteses betegeknél számoltak be róla)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162A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Dehidráció</w:t>
            </w:r>
          </w:p>
          <w:p w14:paraId="0CB2131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Hyponatraemia</w:t>
            </w:r>
          </w:p>
          <w:p w14:paraId="2693D15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SIADH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3E5D5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586B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FAA2C78" w14:textId="4F3ECE23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BA79E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Pszichiátriai kórképek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6E7A9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8566893" w14:textId="67A21B27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8C9CB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E22E2F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Insomnia</w:t>
            </w:r>
          </w:p>
          <w:p w14:paraId="0212BF2F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Izgatottság</w:t>
            </w:r>
          </w:p>
          <w:p w14:paraId="243D162A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Libido csökkenése</w:t>
            </w:r>
          </w:p>
          <w:p w14:paraId="5688038E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Szorongás</w:t>
            </w:r>
          </w:p>
          <w:p w14:paraId="3AFD3534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Szokásostól eltérő orgazmus</w:t>
            </w:r>
          </w:p>
          <w:p w14:paraId="1EEEE4D5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Szokatlan álmok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CD8A28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Szuicid gondolat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5,7</w:t>
            </w:r>
          </w:p>
          <w:p w14:paraId="613A0502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Alvászavar</w:t>
            </w:r>
          </w:p>
          <w:p w14:paraId="09DF0DD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Fogcsikorgatás</w:t>
            </w:r>
          </w:p>
          <w:p w14:paraId="4D2200F0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Dezorientáció</w:t>
            </w:r>
          </w:p>
          <w:p w14:paraId="2C8AD440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Apátia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D65A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Szuicid viselkedés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5,7</w:t>
            </w:r>
          </w:p>
          <w:p w14:paraId="68319FAB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Mánia</w:t>
            </w:r>
          </w:p>
          <w:p w14:paraId="52C7417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Hallucinációk</w:t>
            </w:r>
          </w:p>
          <w:p w14:paraId="4126F348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Agresszió és düh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4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4FD97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8A26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DBFBB22" w14:textId="6D7C01B7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687A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Idegrendszeri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5ACCAE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DD33199" w14:textId="3B6B0B26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AE58A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Fejfájás</w:t>
            </w:r>
          </w:p>
          <w:p w14:paraId="18C49EF9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Aluszékonyság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138701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Szédülés</w:t>
            </w:r>
          </w:p>
          <w:p w14:paraId="6A2F1551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Letargia</w:t>
            </w:r>
          </w:p>
          <w:p w14:paraId="2B51AA1B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Tremor</w:t>
            </w:r>
          </w:p>
          <w:p w14:paraId="76F793F0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Paraesthesia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35EFE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Myoclonus</w:t>
            </w:r>
          </w:p>
          <w:p w14:paraId="1D8FF30B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Akathisia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7</w:t>
            </w:r>
          </w:p>
          <w:p w14:paraId="366BAC6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Idegesség</w:t>
            </w:r>
          </w:p>
          <w:p w14:paraId="5BC11F11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Figyelemzavar</w:t>
            </w:r>
          </w:p>
          <w:p w14:paraId="1AD1A57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Ízérzészavar</w:t>
            </w:r>
          </w:p>
          <w:p w14:paraId="77C6B63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Dyskinesia</w:t>
            </w:r>
          </w:p>
          <w:p w14:paraId="1D48C428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Nyugtalan láb szindróma</w:t>
            </w:r>
          </w:p>
          <w:p w14:paraId="0B99EF4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Nem pihentető alvás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E1C5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Szerotonin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-</w:t>
            </w: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szindróma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2012E8E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Görcsrohamok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</w:t>
            </w:r>
          </w:p>
          <w:p w14:paraId="107D22C9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Pszichomotoros nyugtalanság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2BAC3616" w14:textId="77777777" w:rsidR="00A57065" w:rsidRPr="009C5B72" w:rsidRDefault="00A57065" w:rsidP="009C5B7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Extrapiramidális tünetek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3C542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785C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15976A9E" w14:textId="13F3D606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226C0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Szembetegségek és szemészeti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65689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554FD635" w14:textId="4D127BA4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1DEA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28844A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Homályos látás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7E506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Mydriasis</w:t>
            </w:r>
          </w:p>
          <w:p w14:paraId="35C9DE5D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Látásromlás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45EB1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Glaucoma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17C06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E336B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13EAEEF" w14:textId="76A77ED6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D99BE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fül és az egyensúly-érzékelő szerv betegségei és tünetei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9D852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4084BEE" w14:textId="7EAC8FF0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C9BB5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252BD5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Tinnitus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0F76CD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Forgó jellegű szédülés</w:t>
            </w:r>
          </w:p>
          <w:p w14:paraId="374D69F2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Fülfájás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629BA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BA2FB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AD556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AF37806" w14:textId="4977147D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55ADA5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Szívbetegségek és a szívvel kapcsolatos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9EDDA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0BDE46F" w14:textId="2D06BA5C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03301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C18960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Palpitatio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003D0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Tachycardia</w:t>
            </w:r>
          </w:p>
          <w:p w14:paraId="245F1788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Supraventricularis arrhythmia, főként pitvarfibrilláció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6957E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201DA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FED8D" w14:textId="3B31ADC4" w:rsidR="00A57065" w:rsidRDefault="00A57065" w:rsidP="00A5706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Stressz-cardiomyopathia (takotsubo-cardiomyopathia)</w:t>
            </w:r>
          </w:p>
          <w:p w14:paraId="76282021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754FE770" w14:textId="7C65817A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140C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Érbetegségek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53050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7D128961" w14:textId="76BB44CD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EB444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662DA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Vérnyomás emelkedés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</w:t>
            </w:r>
          </w:p>
          <w:p w14:paraId="370B3058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Kipirulás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4A7011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Ájulás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2</w:t>
            </w:r>
          </w:p>
          <w:p w14:paraId="19BA1CB0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Magas vérnyomás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3,7</w:t>
            </w:r>
          </w:p>
          <w:p w14:paraId="13EB3D9E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Orthostatikus hypotonia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2</w:t>
            </w:r>
          </w:p>
          <w:p w14:paraId="42A79A49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Hűvös végtagok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6ABB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Hypertoniás krízis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3,6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6C3C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B613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17535D7" w14:textId="2BDD2E75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D3C75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Légzőrendszeri, mellkasi és mediastinalis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4C102D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717E152F" w14:textId="041567BE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F2AB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  <w:p w14:paraId="7D364508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33799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Ásítozás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8AD70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Szorító érzés a torokban</w:t>
            </w:r>
          </w:p>
          <w:p w14:paraId="04A29F1F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Orrvérzés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BF1E48" w14:textId="77777777" w:rsidR="00A57065" w:rsidRPr="00553A96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Interstitialis tüdőbetegség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10</w:t>
            </w:r>
          </w:p>
          <w:p w14:paraId="57F9AEEF" w14:textId="77777777" w:rsidR="00A57065" w:rsidRPr="00553A96" w:rsidRDefault="00A57065" w:rsidP="004E0F5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553A96">
              <w:rPr>
                <w:rFonts w:eastAsia="Times New Roman"/>
                <w:snapToGrid/>
                <w:szCs w:val="22"/>
                <w:lang w:val="hu-HU" w:eastAsia="sl-SI"/>
              </w:rPr>
              <w:t>Eosinophil pneumonia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B8ED8E" w14:textId="77777777" w:rsidR="00A57065" w:rsidRPr="00553A96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553A9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98BE3" w14:textId="77777777" w:rsidR="00A57065" w:rsidRPr="00553A96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4B251DF" w14:textId="6EB84F37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FF998C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Emésztőrendszeri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3E353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ADF0E2F" w14:textId="08F4A1D3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BB2D4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Hányinger</w:t>
            </w:r>
          </w:p>
          <w:p w14:paraId="5E08282F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Szájszárazság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A839D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Székrekedés</w:t>
            </w:r>
          </w:p>
          <w:p w14:paraId="1A98177F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Hasmenés</w:t>
            </w:r>
          </w:p>
          <w:p w14:paraId="57CA278C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Hasi fájdalom</w:t>
            </w:r>
          </w:p>
          <w:p w14:paraId="015BF97C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Hányás</w:t>
            </w:r>
          </w:p>
          <w:p w14:paraId="407EB26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Dyspepsia</w:t>
            </w:r>
          </w:p>
          <w:p w14:paraId="5790227E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Flatulencia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881CBB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Gastrointestinalis vérzés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7</w:t>
            </w:r>
          </w:p>
          <w:p w14:paraId="33C30D6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Gastroenteritis</w:t>
            </w:r>
          </w:p>
          <w:p w14:paraId="5CE6B9C1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Eructatio</w:t>
            </w:r>
          </w:p>
          <w:p w14:paraId="1A7112E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Gastritis</w:t>
            </w:r>
          </w:p>
          <w:p w14:paraId="7EF00AE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Dysphagia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E01777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Stomatitis</w:t>
            </w:r>
          </w:p>
          <w:p w14:paraId="04F1035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Haematochezia</w:t>
            </w:r>
          </w:p>
          <w:p w14:paraId="2D1971D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Halitosis</w:t>
            </w:r>
          </w:p>
          <w:p w14:paraId="443184D9" w14:textId="77777777" w:rsidR="00A57065" w:rsidRPr="009C5B72" w:rsidRDefault="00A57065" w:rsidP="007C534D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Mikroszkópos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 xml:space="preserve"> </w:t>
            </w: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colitis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9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24BB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F0D7B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D9A161A" w14:textId="519187C9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FFA1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Máj- és epebetegségek, illetve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31C3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7387FC0" w14:textId="132E1691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EC3CE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A7FF2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B0CAE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Hepatitis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</w:t>
            </w:r>
          </w:p>
          <w:p w14:paraId="40B237AB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Emelkedett májenzim-szintek (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GPT</w:t>
            </w: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 xml:space="preserve">, 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GOT</w:t>
            </w: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, alkalikus-foszfatáz)</w:t>
            </w:r>
          </w:p>
          <w:p w14:paraId="100E6767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Akut májkárosodás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A18A73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Májelégtelenség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374921D0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Icterus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A2FFB5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46F12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42667850" w14:textId="12C600CD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8996AF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bőr és a bőr alatti szövet betegségei és tünetei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9643B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5E025019" w14:textId="56270845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26C80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969BA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Fokozott verejtékezés</w:t>
            </w:r>
          </w:p>
          <w:p w14:paraId="4549EEE5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Kiütés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E9771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Éjszakai verejtékezés</w:t>
            </w:r>
          </w:p>
          <w:p w14:paraId="07E49223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Urticaria</w:t>
            </w:r>
          </w:p>
          <w:p w14:paraId="66C6F226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Contact dermatitis</w:t>
            </w:r>
          </w:p>
          <w:p w14:paraId="794486C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Hideg verejtékezés</w:t>
            </w:r>
          </w:p>
          <w:p w14:paraId="54F44EF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Fotoszenzitivitási reakciók</w:t>
            </w:r>
          </w:p>
          <w:p w14:paraId="3B877576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Fokozott hajlam a véraláfutásra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20E20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Stevens–Johnson-szindróma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07D4CECD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Angioneuroticus oedema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E348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ind w:right="-360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Cutan vasculitis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51AEE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ind w:right="-360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1CE7490E" w14:textId="5196EA76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7B13E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csont- és izomrendszer, valamint a kötőszövet betegségei és tünetei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AD8E14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1306457B" w14:textId="0E306D9C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A540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A6AEB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Mozgásszervi fájdalom</w:t>
            </w:r>
          </w:p>
          <w:p w14:paraId="14898D68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Izomgörcs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289F9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Izommerevség</w:t>
            </w:r>
          </w:p>
          <w:p w14:paraId="08740255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Izomrángás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A2781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Trismus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A7BA6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E9B310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22B9657" w14:textId="0A877243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43FAC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Vese- és húgyúti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73B27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154D1354" w14:textId="26E4ED3C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3400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C1DC4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Dysuria</w:t>
            </w:r>
          </w:p>
          <w:p w14:paraId="617EBE25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Pollakisuria</w:t>
            </w:r>
          </w:p>
          <w:p w14:paraId="56517864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848433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Vizeletretenció</w:t>
            </w:r>
          </w:p>
          <w:p w14:paraId="0CD05346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Akadozó vizelés</w:t>
            </w:r>
          </w:p>
          <w:p w14:paraId="2F17677E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Nocturia</w:t>
            </w:r>
          </w:p>
          <w:p w14:paraId="2FEA160E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Polyuria</w:t>
            </w:r>
          </w:p>
          <w:p w14:paraId="425CE34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Gyengébb vizelet-sugár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85D50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Szokatlan szagú vizelet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067D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6DD4C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570B798" w14:textId="0B881F00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B498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nemi szervekkel és az emlőkkel kapcsolatos betegségek és tünetek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9F488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3BE87B66" w14:textId="7EC6BB5A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400175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84CB08" w14:textId="77777777" w:rsidR="00A57065" w:rsidRPr="009C5B72" w:rsidRDefault="00A57065" w:rsidP="00E35DC5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Erectilis dysfunctio</w:t>
            </w:r>
          </w:p>
          <w:p w14:paraId="7B6DD076" w14:textId="77777777" w:rsidR="00A57065" w:rsidRPr="009C5B72" w:rsidRDefault="00A57065" w:rsidP="00183EF0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Ejakulációs zavar</w:t>
            </w:r>
          </w:p>
          <w:p w14:paraId="3EE347E9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Késleltetett ejakuláció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A9807" w14:textId="77777777" w:rsidR="00A57065" w:rsidRPr="009C5B72" w:rsidRDefault="00A57065" w:rsidP="00951C4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Nőgyógyászati vérzés</w:t>
            </w:r>
          </w:p>
          <w:p w14:paraId="38B70AFA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Menstruációs zavar</w:t>
            </w:r>
          </w:p>
          <w:p w14:paraId="612CE8C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Szexuális zavar</w:t>
            </w:r>
          </w:p>
          <w:p w14:paraId="12EAA02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Herefájdalom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0E3EFF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Menopauza tünetei</w:t>
            </w:r>
          </w:p>
          <w:p w14:paraId="1393A624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Galactorrhoea</w:t>
            </w:r>
          </w:p>
          <w:p w14:paraId="22595CF7" w14:textId="77777777" w:rsidR="00A57065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Hyperprolactinaemia</w:t>
            </w:r>
          </w:p>
          <w:p w14:paraId="595037CF" w14:textId="77777777" w:rsidR="00A57065" w:rsidRDefault="00A57065" w:rsidP="00A64F61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Postpartum vérzés</w:t>
            </w:r>
            <w:r w:rsidRPr="000833C2">
              <w:rPr>
                <w:sz w:val="22"/>
                <w:szCs w:val="22"/>
                <w:vertAlign w:val="superscript"/>
              </w:rPr>
              <w:t>6</w:t>
            </w:r>
          </w:p>
          <w:p w14:paraId="7579F65C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D126B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E6382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0F475858" w14:textId="280C446D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2BA71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Általános tünetek, az alkalmazás helyén fellépő reakciók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9C709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6597DF18" w14:textId="0145A261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14F2E6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72D9C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Elesések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8</w:t>
            </w:r>
          </w:p>
          <w:p w14:paraId="0B5D7B2A" w14:textId="77777777" w:rsidR="00A57065" w:rsidRPr="009C5B72" w:rsidRDefault="00A57065" w:rsidP="00183EF0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Kimerültség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AA44C" w14:textId="77777777" w:rsidR="00A57065" w:rsidRPr="009C5B72" w:rsidRDefault="00A57065" w:rsidP="00951C48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Mellkasi fájdalom</w:t>
            </w:r>
            <w:r w:rsidRPr="009C5B72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7</w:t>
            </w:r>
          </w:p>
          <w:p w14:paraId="768DA743" w14:textId="77777777" w:rsidR="00A57065" w:rsidRPr="009C5B72" w:rsidRDefault="00A57065" w:rsidP="00951C48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Szokatlan érzés</w:t>
            </w:r>
          </w:p>
          <w:p w14:paraId="3356A343" w14:textId="77777777" w:rsidR="00A57065" w:rsidRPr="009C5B72" w:rsidRDefault="00A57065" w:rsidP="00927751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Hidegérzet</w:t>
            </w:r>
          </w:p>
          <w:p w14:paraId="1DC206CD" w14:textId="77777777" w:rsidR="00A57065" w:rsidRPr="009C5B72" w:rsidRDefault="00A57065" w:rsidP="009C5B72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Szomjúság</w:t>
            </w:r>
          </w:p>
          <w:p w14:paraId="378BA88F" w14:textId="77777777" w:rsidR="00A57065" w:rsidRPr="009C5B72" w:rsidRDefault="00A57065" w:rsidP="009C5B72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Hidegrázás</w:t>
            </w:r>
          </w:p>
          <w:p w14:paraId="03CE57BC" w14:textId="77777777" w:rsidR="00A57065" w:rsidRPr="009C5B72" w:rsidRDefault="00A57065" w:rsidP="009C5B72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Rossz közérzet</w:t>
            </w:r>
          </w:p>
          <w:p w14:paraId="1E087C59" w14:textId="77777777" w:rsidR="00A57065" w:rsidRPr="009C5B72" w:rsidRDefault="00A57065" w:rsidP="009C5B72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Melegérzet</w:t>
            </w:r>
          </w:p>
          <w:p w14:paraId="46972CE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en-US"/>
              </w:rPr>
              <w:t>Járászavar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1D00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6E5BA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30B53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27F9A8D4" w14:textId="43864FD0" w:rsidTr="00BB1B4E">
        <w:trPr>
          <w:tblCellSpacing w:w="0" w:type="dxa"/>
        </w:trPr>
        <w:tc>
          <w:tcPr>
            <w:tcW w:w="441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68359" w14:textId="77777777" w:rsidR="00A57065" w:rsidRPr="009C5B72" w:rsidRDefault="00A57065" w:rsidP="00553A96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Laboratóriumi és egyéb vizsgálatok eredményei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B0A9A5" w14:textId="77777777" w:rsidR="00A57065" w:rsidRPr="009C5B72" w:rsidRDefault="00A57065" w:rsidP="00553A96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57065" w:rsidRPr="009C5B72" w14:paraId="59829AF9" w14:textId="1E68D292" w:rsidTr="00BB1B4E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E8909" w14:textId="77777777" w:rsidR="00A57065" w:rsidRPr="009C5B72" w:rsidRDefault="00A57065" w:rsidP="00553A9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6BE4B4" w14:textId="77777777" w:rsidR="00A57065" w:rsidRPr="009C5B72" w:rsidRDefault="00A57065" w:rsidP="00E35DC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Fogyás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19D57" w14:textId="77777777" w:rsidR="00A57065" w:rsidRPr="009C5B72" w:rsidRDefault="00A57065" w:rsidP="00183EF0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Hízás</w:t>
            </w:r>
          </w:p>
          <w:p w14:paraId="616DE52D" w14:textId="77777777" w:rsidR="00A57065" w:rsidRPr="009C5B72" w:rsidRDefault="00A57065" w:rsidP="00951C48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Kreatin-foszfokináz emelkedése</w:t>
            </w:r>
          </w:p>
          <w:p w14:paraId="4FFDCFA1" w14:textId="77777777" w:rsidR="00A57065" w:rsidRPr="009C5B72" w:rsidRDefault="00A57065" w:rsidP="00951C48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Káliumszint emelkedése</w:t>
            </w:r>
          </w:p>
        </w:tc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33CFC" w14:textId="77777777" w:rsidR="00A57065" w:rsidRPr="009C5B72" w:rsidRDefault="00A57065" w:rsidP="0092775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9C5B72">
              <w:rPr>
                <w:rFonts w:eastAsia="Times New Roman"/>
                <w:snapToGrid/>
                <w:szCs w:val="22"/>
                <w:lang w:val="hu-HU" w:eastAsia="sl-SI"/>
              </w:rPr>
              <w:t>Koleszterinszint emelkedése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78629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62E449" w14:textId="77777777" w:rsidR="00A57065" w:rsidRPr="009C5B72" w:rsidRDefault="00A57065" w:rsidP="009C5B7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</w:tbl>
    <w:p w14:paraId="0280389F" w14:textId="77777777" w:rsidR="00080E68" w:rsidRPr="009C5B72" w:rsidRDefault="00080E68" w:rsidP="00553A96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sl-SI"/>
        </w:rPr>
      </w:pPr>
    </w:p>
    <w:p w14:paraId="0C08F066" w14:textId="77777777" w:rsidR="007F2DB6" w:rsidRPr="009C5B72" w:rsidRDefault="007F2DB6" w:rsidP="00E35DC5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1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A kezelés abbahagyása után jelentettek görcsrohamot és fülzúgást is.</w:t>
      </w:r>
    </w:p>
    <w:p w14:paraId="4DFB3B38" w14:textId="77777777" w:rsidR="007F2DB6" w:rsidRPr="009C5B72" w:rsidRDefault="007F2DB6" w:rsidP="00183EF0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2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Jelentettek orthostatikus hypotoniát és ájulást, különösen a kezelés kezdetén.</w:t>
      </w:r>
    </w:p>
    <w:p w14:paraId="3A1BACB9" w14:textId="77777777" w:rsidR="007F2DB6" w:rsidRPr="009C5B72" w:rsidRDefault="007F2DB6" w:rsidP="00951C48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3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Lásd 4.4 pont</w:t>
      </w:r>
      <w:r w:rsidR="00032A4C" w:rsidRPr="009C5B72">
        <w:rPr>
          <w:szCs w:val="22"/>
          <w:lang w:val="hu-HU"/>
        </w:rPr>
        <w:t>.</w:t>
      </w:r>
    </w:p>
    <w:p w14:paraId="52BE1A82" w14:textId="77777777" w:rsidR="007F2DB6" w:rsidRPr="009C5B72" w:rsidRDefault="007F2DB6" w:rsidP="00951C48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4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Jelentettek agressziót és dühöt, különösen a kezelés kezdetén vagy a kezelés abbahagyása után.</w:t>
      </w:r>
    </w:p>
    <w:p w14:paraId="620BDD3E" w14:textId="77777777" w:rsidR="007F2DB6" w:rsidRPr="009C5B72" w:rsidRDefault="007F2DB6" w:rsidP="00951C48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5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Öngyilkossági gondolatról és öngyilkos magatartásról szóló eseteket jelentettek a duloxetin</w:t>
      </w:r>
      <w:r w:rsidR="006D04CE" w:rsidRPr="009C5B72">
        <w:rPr>
          <w:szCs w:val="22"/>
          <w:lang w:val="hu-HU"/>
        </w:rPr>
        <w:t>-</w:t>
      </w:r>
      <w:r w:rsidRPr="009C5B72">
        <w:rPr>
          <w:szCs w:val="22"/>
          <w:lang w:val="hu-HU"/>
        </w:rPr>
        <w:t>terápia alatt vagy a kezelés megszakítását követő korai időszakban (lásd 4.4 pont).</w:t>
      </w:r>
    </w:p>
    <w:p w14:paraId="7C338290" w14:textId="77777777" w:rsidR="007F2DB6" w:rsidRPr="009C5B72" w:rsidRDefault="007F2DB6" w:rsidP="00927751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6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A forgalomba hozatalt követő megfigyelés során jelentett mellékhatások becsült gyakorisága</w:t>
      </w:r>
      <w:r w:rsidR="004449DB" w:rsidRPr="009C5B72">
        <w:rPr>
          <w:szCs w:val="22"/>
          <w:lang w:val="hu-HU"/>
        </w:rPr>
        <w:t>;</w:t>
      </w:r>
      <w:r w:rsidRPr="009C5B72">
        <w:rPr>
          <w:szCs w:val="22"/>
          <w:lang w:val="hu-HU"/>
        </w:rPr>
        <w:t xml:space="preserve"> nem észlelték a placebokontrollos klinikai vizsgálatok során.</w:t>
      </w:r>
    </w:p>
    <w:p w14:paraId="5F24D5DB" w14:textId="77777777" w:rsidR="007F2DB6" w:rsidRPr="009C5B72" w:rsidRDefault="007F2DB6" w:rsidP="00927751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7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Statisztikailag nem különbözik szignifikáns mértékben a placebótól.</w:t>
      </w:r>
    </w:p>
    <w:p w14:paraId="232D2307" w14:textId="77777777" w:rsidR="00A620FF" w:rsidRPr="009C5B72" w:rsidRDefault="007F2DB6" w:rsidP="009C5B72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8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Időseknél (≥65</w:t>
      </w:r>
      <w:r w:rsidR="006266DE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év) gyakoribbak voltak az elesések.</w:t>
      </w:r>
    </w:p>
    <w:p w14:paraId="15A58FAC" w14:textId="77777777" w:rsidR="00FD3B1A" w:rsidRPr="009C5B72" w:rsidRDefault="00FD3B1A" w:rsidP="009C5B72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9</w:t>
      </w:r>
      <w:r w:rsidR="00032A4C"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Az összes klinikai vizsgálati adaton alapuló becsült gyakoriság.</w:t>
      </w:r>
    </w:p>
    <w:p w14:paraId="0B8581F2" w14:textId="77777777" w:rsidR="008E3152" w:rsidRPr="00553A96" w:rsidRDefault="008E3152" w:rsidP="009C5B72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9C5B72">
        <w:rPr>
          <w:szCs w:val="22"/>
          <w:vertAlign w:val="superscript"/>
          <w:lang w:val="hu-HU"/>
        </w:rPr>
        <w:t>10</w:t>
      </w:r>
      <w:r w:rsidRPr="009C5B72">
        <w:rPr>
          <w:szCs w:val="22"/>
          <w:vertAlign w:val="superscript"/>
          <w:lang w:val="hu-HU"/>
        </w:rPr>
        <w:tab/>
      </w:r>
      <w:r w:rsidRPr="009C5B72">
        <w:rPr>
          <w:szCs w:val="22"/>
          <w:lang w:val="hu-HU"/>
        </w:rPr>
        <w:t>Placebokontrollos klinikai vizsgálatok alapján becsült gyakoriság.</w:t>
      </w:r>
    </w:p>
    <w:p w14:paraId="1BD6C6D5" w14:textId="77777777" w:rsidR="004449DB" w:rsidRPr="00553A96" w:rsidRDefault="004449DB" w:rsidP="009C5B72">
      <w:pPr>
        <w:spacing w:line="240" w:lineRule="auto"/>
        <w:rPr>
          <w:szCs w:val="22"/>
          <w:lang w:val="hu-HU"/>
        </w:rPr>
      </w:pPr>
    </w:p>
    <w:p w14:paraId="19968969" w14:textId="77777777" w:rsidR="004449DB" w:rsidRPr="00553A96" w:rsidRDefault="004449DB" w:rsidP="009C5B72">
      <w:pPr>
        <w:spacing w:line="240" w:lineRule="auto"/>
        <w:rPr>
          <w:i/>
          <w:szCs w:val="22"/>
          <w:lang w:val="hu-HU"/>
        </w:rPr>
      </w:pPr>
      <w:r w:rsidRPr="00553A96">
        <w:rPr>
          <w:i/>
          <w:szCs w:val="22"/>
          <w:lang w:val="hu-HU"/>
        </w:rPr>
        <w:t>c. Egyes kiválasztott mellékhatások leírása</w:t>
      </w:r>
    </w:p>
    <w:p w14:paraId="3F22452E" w14:textId="77777777" w:rsidR="004449DB" w:rsidRPr="00183EF0" w:rsidRDefault="004449DB" w:rsidP="009C5B72">
      <w:pPr>
        <w:spacing w:line="240" w:lineRule="auto"/>
        <w:rPr>
          <w:szCs w:val="22"/>
          <w:lang w:val="hu-HU"/>
        </w:rPr>
      </w:pPr>
      <w:r w:rsidRPr="00E35DC5">
        <w:rPr>
          <w:szCs w:val="22"/>
          <w:lang w:val="hu-HU"/>
        </w:rPr>
        <w:t>A duloxetin-kezelés leállítása gyakran vezet elvonási tünetekhez, különösen akkor, ha a leállítás hirtelen történik. Leggyakrabban szédülést, szenzoros zavarokat (beleértve a paraesthesiát vagy az áramütésszerű érzéseket, különösen a fejben), alvászavart (beleértve az álmatlanságot és élénk álmokat), kimerültséget</w:t>
      </w:r>
      <w:r w:rsidRPr="00183EF0">
        <w:rPr>
          <w:szCs w:val="22"/>
          <w:lang w:val="hu-HU"/>
        </w:rPr>
        <w:t>, aluszékonyságot, nyugtalanságot vagy szorongást, hányingert és/vagy hányást, tremort, fejfájást, izomfájdalmat, ingerlékenységet, hasmenést, fokozott verejtékezést és forgó jellegű szédülést jelentettek.</w:t>
      </w:r>
    </w:p>
    <w:p w14:paraId="20C4CCDB" w14:textId="77777777" w:rsidR="004449DB" w:rsidRPr="00951C48" w:rsidRDefault="004449DB" w:rsidP="009C5B72">
      <w:pPr>
        <w:spacing w:line="240" w:lineRule="auto"/>
        <w:rPr>
          <w:szCs w:val="22"/>
          <w:lang w:val="hu-HU"/>
        </w:rPr>
      </w:pPr>
    </w:p>
    <w:p w14:paraId="38F3AA8D" w14:textId="77777777" w:rsidR="004449DB" w:rsidRPr="00927751" w:rsidRDefault="004449DB" w:rsidP="009C5B72">
      <w:pPr>
        <w:spacing w:line="240" w:lineRule="auto"/>
        <w:rPr>
          <w:szCs w:val="22"/>
          <w:lang w:val="hu-HU"/>
        </w:rPr>
      </w:pPr>
      <w:r w:rsidRPr="00951C48">
        <w:rPr>
          <w:szCs w:val="22"/>
          <w:lang w:val="hu-HU"/>
        </w:rPr>
        <w:t>Az SSRI és SNRI készítményeknél látott tünetek általában enyhék vagy mérsékeltek, és önmaguktól megszűnnek, mindazonáltal néhány esetben lehetnek súlyosak és/vagy hosszabb ideig fennállhatnak. Amennyiben a duloxetin-kezelés a továbbiakban nem szükséges, javasolt a duloxetin adagolást fokozatosan csökkent</w:t>
      </w:r>
      <w:r w:rsidRPr="00927751">
        <w:rPr>
          <w:szCs w:val="22"/>
          <w:lang w:val="hu-HU"/>
        </w:rPr>
        <w:t>eni (lásd 4.2 és 4.4 pont).</w:t>
      </w:r>
    </w:p>
    <w:p w14:paraId="76E2B784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</w:p>
    <w:p w14:paraId="72A72A0D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Diabeteses neuropathiás fájdalomban szenvedő betegek duloxetin-kezelésével kapcsolatban végzett három klinikai vizsgálat 12 hetes akut fázisában a duloxetinnel kezelt betegekben kismértékű, de statisztikailag szignifikáns éhomi vércukorszint-növekedést észleltek. A HbA1c-érték stabil volt mind a duloxetinnel kezelt, mind a placebocsoportban. Ezen vizsgálatok kiterjesztési fázisában, melyek 52</w:t>
      </w:r>
      <w:r w:rsidR="006266DE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hétig tartottak, a HbA1c-érték mind a duloxetin-, mind a hagyományos kezelésű csoportban nőtt, azonban az átlagos emelkedés 0,3%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kal nagyobb volt a duloxetinnel kezeltek csoportjában. Az éhomi vércukorszint és az összkoleszterinszint is emelkedett kissé a duloxetinnel kezelteknél, míg a hagyományos kezelésű csoportban ezek a laboratóriumi értékek kissé csökkentek.</w:t>
      </w:r>
    </w:p>
    <w:p w14:paraId="12053288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</w:p>
    <w:p w14:paraId="6C703DFB" w14:textId="77777777" w:rsidR="004449DB" w:rsidRPr="00E35DC5" w:rsidRDefault="004449D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duloxetinnel kezelt betegekben észlelt, szívfrekvencia alapján korrigált QT-intervallum nem különbözött a placebóval kezelt betegekétől. A duloxetinnel és placebóval kezelt betegek között nem észleltek klinikailag szignifikáns különbségeket a QT</w:t>
      </w:r>
      <w:r w:rsidR="00E35DC5">
        <w:rPr>
          <w:szCs w:val="22"/>
          <w:lang w:val="hu-HU"/>
        </w:rPr>
        <w:t>-</w:t>
      </w:r>
      <w:r w:rsidRPr="00E35DC5">
        <w:rPr>
          <w:szCs w:val="22"/>
          <w:lang w:val="hu-HU"/>
        </w:rPr>
        <w:t>, PR</w:t>
      </w:r>
      <w:r w:rsidR="00E35DC5">
        <w:rPr>
          <w:szCs w:val="22"/>
          <w:lang w:val="hu-HU"/>
        </w:rPr>
        <w:t>-</w:t>
      </w:r>
      <w:r w:rsidRPr="00E35DC5">
        <w:rPr>
          <w:szCs w:val="22"/>
          <w:lang w:val="hu-HU"/>
        </w:rPr>
        <w:t>, QRS</w:t>
      </w:r>
      <w:r w:rsidR="00E35DC5">
        <w:rPr>
          <w:szCs w:val="22"/>
          <w:lang w:val="hu-HU"/>
        </w:rPr>
        <w:t>-</w:t>
      </w:r>
      <w:r w:rsidRPr="00E35DC5">
        <w:rPr>
          <w:szCs w:val="22"/>
          <w:lang w:val="hu-HU"/>
        </w:rPr>
        <w:t xml:space="preserve"> vagy QTcB</w:t>
      </w:r>
      <w:r w:rsidR="00E35DC5">
        <w:rPr>
          <w:szCs w:val="22"/>
          <w:lang w:val="hu-HU"/>
        </w:rPr>
        <w:t>-</w:t>
      </w:r>
      <w:r w:rsidRPr="00E35DC5">
        <w:rPr>
          <w:szCs w:val="22"/>
          <w:lang w:val="hu-HU"/>
        </w:rPr>
        <w:t>értékekben.</w:t>
      </w:r>
    </w:p>
    <w:p w14:paraId="2906B754" w14:textId="77777777" w:rsidR="00CB6652" w:rsidRPr="00183EF0" w:rsidRDefault="00CB6652" w:rsidP="009C5B72">
      <w:pPr>
        <w:spacing w:line="240" w:lineRule="auto"/>
        <w:rPr>
          <w:szCs w:val="22"/>
          <w:lang w:val="hu-HU"/>
        </w:rPr>
      </w:pPr>
    </w:p>
    <w:p w14:paraId="01B3CFC9" w14:textId="77777777" w:rsidR="004449DB" w:rsidRPr="00951C48" w:rsidRDefault="004449DB" w:rsidP="009C5B72">
      <w:pPr>
        <w:spacing w:line="240" w:lineRule="auto"/>
        <w:rPr>
          <w:i/>
          <w:szCs w:val="22"/>
          <w:lang w:val="hu-HU"/>
        </w:rPr>
      </w:pPr>
      <w:r w:rsidRPr="00951C48">
        <w:rPr>
          <w:i/>
          <w:szCs w:val="22"/>
          <w:lang w:val="hu-HU"/>
        </w:rPr>
        <w:t>d. Gyermekek</w:t>
      </w:r>
      <w:r w:rsidR="002D3632" w:rsidRPr="00951C48">
        <w:rPr>
          <w:i/>
          <w:szCs w:val="22"/>
          <w:lang w:val="hu-HU"/>
        </w:rPr>
        <w:t xml:space="preserve"> és serdülők</w:t>
      </w:r>
    </w:p>
    <w:p w14:paraId="6A370352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  <w:r w:rsidRPr="00927751">
        <w:rPr>
          <w:szCs w:val="22"/>
          <w:lang w:val="hu-HU"/>
        </w:rPr>
        <w:t>Összesen 509, 7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17 éves, major depresszív zavarban és 241, 7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17 éves, generalizált szorongásban szenvedő gyermekkorú beteget kezeltek duloxetinnel klinikai vizsgálatokban. Általában véve a duloxetin mellékhatásprofilja gyermekeknél és serdülőknél hasonló volt ahhoz, amit felnőtteknél észleltek.</w:t>
      </w:r>
    </w:p>
    <w:p w14:paraId="5B874E8F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</w:p>
    <w:p w14:paraId="70DDB8C3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Annál az összesen 467 gyermeknél, akiket kezdetben a klinikai vizsgálatokban a duloxetint szedők közé randomizáltak, a 10. héten átlagosan 0,1 kg-os testtömegvesztést tapasztaltak, a 353 placebóval kezelt beteg átlagosan 0,9 kg-os testtömegnövekedésével összehasonlítva. Ezt követően, a négy-hat hónapos kiterjesztéses időszakban a betegek testtömege átlagban azon kiindulási testtömeg percentil visszanyerése irányába mozdult el, amely életkorban és nemben hozzáillő társaik populációs adatai alapján várható.</w:t>
      </w:r>
    </w:p>
    <w:p w14:paraId="0505F180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</w:p>
    <w:p w14:paraId="500E7B43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maximum 9 hónapig tartó klinikai vizsgálatokban a testmagasság-percentil összesen átlagosan 1%</w:t>
      </w:r>
      <w:r w:rsidR="002D3632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os csökkenését észlelték a duloxetinnel kezelt gyermekeknél (2%-os csökkenést a 7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11 éves gyermekeknél és 0,3%-os növekedést a 12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17 éves serdülőknél) (lásd 4.4 pont).</w:t>
      </w:r>
    </w:p>
    <w:p w14:paraId="569BA948" w14:textId="77777777" w:rsidR="004449DB" w:rsidRPr="009C5B72" w:rsidRDefault="004449DB" w:rsidP="009C5B72">
      <w:pPr>
        <w:spacing w:line="240" w:lineRule="auto"/>
        <w:rPr>
          <w:szCs w:val="22"/>
          <w:lang w:val="hu-HU"/>
        </w:rPr>
      </w:pPr>
    </w:p>
    <w:p w14:paraId="2CBA173C" w14:textId="77777777" w:rsidR="00F5194B" w:rsidRPr="009C5B72" w:rsidRDefault="00F5194B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Feltételezett mellékhatások bejelentése</w:t>
      </w:r>
    </w:p>
    <w:p w14:paraId="7A1A17BC" w14:textId="77777777" w:rsidR="00F5194B" w:rsidRPr="009C5B72" w:rsidRDefault="00F5194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60D7750" w14:textId="77777777" w:rsidR="00F5194B" w:rsidRPr="00553A96" w:rsidRDefault="00F5194B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553A96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553A96">
        <w:rPr>
          <w:szCs w:val="22"/>
          <w:highlight w:val="lightGray"/>
          <w:lang w:val="hu-HU"/>
        </w:rPr>
        <w:t xml:space="preserve"> található elérhetőségek valamelyikén keresztül</w:t>
      </w:r>
      <w:r w:rsidRPr="00553A96">
        <w:rPr>
          <w:szCs w:val="22"/>
          <w:lang w:val="hu-HU"/>
        </w:rPr>
        <w:t>.</w:t>
      </w:r>
    </w:p>
    <w:p w14:paraId="5DA7272E" w14:textId="77777777" w:rsidR="00F5194B" w:rsidRPr="00E35DC5" w:rsidRDefault="00F5194B" w:rsidP="009C5B72">
      <w:pPr>
        <w:spacing w:line="240" w:lineRule="auto"/>
        <w:rPr>
          <w:szCs w:val="22"/>
          <w:u w:val="single"/>
          <w:lang w:val="hu-HU"/>
        </w:rPr>
      </w:pPr>
    </w:p>
    <w:p w14:paraId="7096F7DC" w14:textId="77777777" w:rsidR="00F45C51" w:rsidRPr="00183EF0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83EF0">
        <w:rPr>
          <w:rFonts w:eastAsia="Times New Roman"/>
          <w:b/>
          <w:snapToGrid/>
          <w:szCs w:val="22"/>
          <w:lang w:val="hu-HU" w:eastAsia="en-US"/>
        </w:rPr>
        <w:t>4.9</w:t>
      </w:r>
      <w:r w:rsidRPr="00183EF0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6AAF9F31" w14:textId="77777777" w:rsidR="00F45C51" w:rsidRPr="00951C48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E7B06C5" w14:textId="64AA6795" w:rsidR="004449DB" w:rsidRPr="009C5B72" w:rsidRDefault="004449DB" w:rsidP="009C5B72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951C48">
        <w:rPr>
          <w:szCs w:val="22"/>
          <w:lang w:val="hu-HU"/>
        </w:rPr>
        <w:t>Jelentettek túladagolásokat 5400</w:t>
      </w:r>
      <w:r w:rsidR="004758BC" w:rsidRPr="00951C48">
        <w:rPr>
          <w:szCs w:val="22"/>
          <w:lang w:val="hu-HU"/>
        </w:rPr>
        <w:t> </w:t>
      </w:r>
      <w:r w:rsidRPr="00927751">
        <w:rPr>
          <w:szCs w:val="22"/>
          <w:lang w:val="hu-HU"/>
        </w:rPr>
        <w:t xml:space="preserve">mg-os duloxetin </w:t>
      </w:r>
      <w:r w:rsidR="007F07BD">
        <w:rPr>
          <w:szCs w:val="22"/>
          <w:lang w:val="hu-HU"/>
        </w:rPr>
        <w:t>dózisokkal</w:t>
      </w:r>
      <w:r w:rsidRPr="00927751">
        <w:rPr>
          <w:szCs w:val="22"/>
          <w:lang w:val="hu-HU"/>
        </w:rPr>
        <w:t>, önmagában vagy más gyógyszerekkel kombinációban. Előfordult néhány halálos kimenetel, elsősorban kombinált túladagolás eseteiben, azonban előfordult önmagában szedett duloxetinnel is, megközelítőleg 1000</w:t>
      </w:r>
      <w:r w:rsidR="004758BC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 xml:space="preserve">mg </w:t>
      </w:r>
      <w:r w:rsidR="007F07BD">
        <w:rPr>
          <w:szCs w:val="22"/>
          <w:lang w:val="hu-HU"/>
        </w:rPr>
        <w:t>dózis</w:t>
      </w:r>
      <w:r w:rsidR="007F07BD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esetében. A túladagolás jelei és tünetei közé tartozott (monoterápiában vagy más gyógyszerekkel kombinálva adott duloxetin esetén) az aluszékonyság, a kóma, a szerotonin</w:t>
      </w:r>
      <w:r w:rsidR="00D91F20">
        <w:rPr>
          <w:szCs w:val="22"/>
          <w:lang w:val="hu-HU"/>
        </w:rPr>
        <w:t>-</w:t>
      </w:r>
      <w:r w:rsidRPr="009C5B72">
        <w:rPr>
          <w:szCs w:val="22"/>
          <w:lang w:val="hu-HU"/>
        </w:rPr>
        <w:t>szindróma, görcsrohamok, hányás és tachycardia.</w:t>
      </w:r>
    </w:p>
    <w:p w14:paraId="00BFA9F5" w14:textId="77777777" w:rsidR="004758BC" w:rsidRPr="009C5B72" w:rsidRDefault="004758BC" w:rsidP="009C5B72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53E7CF2E" w14:textId="77777777" w:rsidR="00F45C51" w:rsidRPr="009C5B72" w:rsidRDefault="004449DB" w:rsidP="009C5B72">
      <w:p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9C5B72">
        <w:rPr>
          <w:szCs w:val="22"/>
          <w:lang w:val="hu-HU"/>
        </w:rPr>
        <w:t>A duloxetinnek nincs ismert specifikus antidotuma, azonban ha szerotonin</w:t>
      </w:r>
      <w:r w:rsidR="00D91F20">
        <w:rPr>
          <w:szCs w:val="22"/>
          <w:lang w:val="hu-HU"/>
        </w:rPr>
        <w:t>-</w:t>
      </w:r>
      <w:r w:rsidRPr="009C5B72">
        <w:rPr>
          <w:szCs w:val="22"/>
          <w:lang w:val="hu-HU"/>
        </w:rPr>
        <w:t>szindróma alakul ki, megfontolható a specifikus kezelés (mint a ciproheptadin és/vagy a testhőmérséklet szabályozása). Szabad légutakat kell biztosítani. Javasolt az EKG és az alapvető életfunkciók monitorozása, valamint a megfelelő tüneti és szupportív kezelés. Gyomormosás végezhető, ha erre a bevétel után rövid idővel mód van, vagy azoknál a betegeknél, akiknek tünetei vannak. A felszívódás korlátozásában az aktív szén hasznos lehet. A duloxetin megoszlási térfogata nagy, és a forszírozott diurézis, a hemoperfúzió vagy a csereperfúzió valószínűleg nem hatásosak.</w:t>
      </w:r>
    </w:p>
    <w:p w14:paraId="7F03F3DF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55AFA759" w14:textId="77777777" w:rsidR="004758BC" w:rsidRPr="009C5B72" w:rsidRDefault="004758BC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EB3EC8E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5.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6786DAA7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</w:p>
    <w:p w14:paraId="3B7F150E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5.1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Farmakodinámiás tulajdonságok</w:t>
      </w:r>
    </w:p>
    <w:p w14:paraId="15579281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B9C1F3A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Farmakoterápiás csoport: </w:t>
      </w:r>
      <w:r w:rsidR="004758BC" w:rsidRPr="009C5B72">
        <w:rPr>
          <w:rFonts w:eastAsia="Times New Roman"/>
          <w:snapToGrid/>
          <w:szCs w:val="22"/>
          <w:lang w:val="hu-HU" w:eastAsia="en-US"/>
        </w:rPr>
        <w:t xml:space="preserve">Pszichoanaleptikumok, egyéb antidepresszánsok. </w:t>
      </w:r>
      <w:r w:rsidR="00032A4C" w:rsidRPr="009C5B72">
        <w:rPr>
          <w:rFonts w:eastAsia="Times New Roman"/>
          <w:snapToGrid/>
          <w:szCs w:val="22"/>
          <w:lang w:val="hu-HU" w:eastAsia="en-US"/>
        </w:rPr>
        <w:tab/>
      </w:r>
      <w:r w:rsidR="004758BC" w:rsidRPr="009C5B72">
        <w:rPr>
          <w:rFonts w:eastAsia="Times New Roman"/>
          <w:snapToGrid/>
          <w:szCs w:val="22"/>
          <w:lang w:val="hu-HU" w:eastAsia="en-US"/>
        </w:rPr>
        <w:t>ATC kód: N06AX21</w:t>
      </w:r>
    </w:p>
    <w:p w14:paraId="0F66CF09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6215360" w14:textId="77777777" w:rsidR="00F45C51" w:rsidRPr="009C5B72" w:rsidRDefault="00F45C51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Hatásmechanizmus</w:t>
      </w:r>
    </w:p>
    <w:p w14:paraId="7788722C" w14:textId="77777777" w:rsidR="004758BC" w:rsidRPr="00183EF0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A duloxetin egy kombinált szerotonin</w:t>
      </w:r>
      <w:r w:rsidR="009138BF">
        <w:rPr>
          <w:szCs w:val="22"/>
          <w:lang w:val="hu-HU"/>
        </w:rPr>
        <w:t>-</w:t>
      </w:r>
      <w:r w:rsidRPr="009138BF">
        <w:rPr>
          <w:szCs w:val="22"/>
          <w:lang w:val="hu-HU"/>
        </w:rPr>
        <w:t xml:space="preserve"> (5-HT) és noradrenalin</w:t>
      </w:r>
      <w:r w:rsidR="009138BF">
        <w:rPr>
          <w:szCs w:val="22"/>
          <w:lang w:val="hu-HU"/>
        </w:rPr>
        <w:t>-</w:t>
      </w:r>
      <w:r w:rsidRPr="009138BF">
        <w:rPr>
          <w:szCs w:val="22"/>
          <w:lang w:val="hu-HU"/>
        </w:rPr>
        <w:t xml:space="preserve"> (NA) </w:t>
      </w:r>
      <w:r w:rsidR="00D5421C" w:rsidRPr="009138BF">
        <w:rPr>
          <w:szCs w:val="22"/>
          <w:lang w:val="hu-HU"/>
        </w:rPr>
        <w:t>visszavétel</w:t>
      </w:r>
      <w:r w:rsidR="009138BF">
        <w:rPr>
          <w:szCs w:val="22"/>
          <w:lang w:val="hu-HU"/>
        </w:rPr>
        <w:t>-</w:t>
      </w:r>
      <w:r w:rsidRPr="009138BF">
        <w:rPr>
          <w:szCs w:val="22"/>
          <w:lang w:val="hu-HU"/>
        </w:rPr>
        <w:t>gátló. Gyengén gátolja a dopamin</w:t>
      </w:r>
      <w:r w:rsidR="009138BF">
        <w:rPr>
          <w:szCs w:val="22"/>
          <w:lang w:val="hu-HU"/>
        </w:rPr>
        <w:t>-</w:t>
      </w:r>
      <w:r w:rsidRPr="009138BF">
        <w:rPr>
          <w:szCs w:val="22"/>
          <w:lang w:val="hu-HU"/>
        </w:rPr>
        <w:t>visszavételt, és nincs szignifikáns affinitása a hisztaminerg, dopaminerg, kolinerg és adrenerg receptorokhoz. A duloxetin dózisfüggő módon növeli a szerotonin és noradrenalin extracelluláris szintjeit az álla</w:t>
      </w:r>
      <w:r w:rsidRPr="00183EF0">
        <w:rPr>
          <w:szCs w:val="22"/>
          <w:lang w:val="hu-HU"/>
        </w:rPr>
        <w:t>tok különböző agyi területeiben.</w:t>
      </w:r>
    </w:p>
    <w:p w14:paraId="4890FC31" w14:textId="77777777" w:rsidR="004758BC" w:rsidRPr="00951C48" w:rsidRDefault="004758BC" w:rsidP="009C5B72">
      <w:pPr>
        <w:spacing w:line="240" w:lineRule="auto"/>
        <w:rPr>
          <w:szCs w:val="22"/>
          <w:lang w:val="hu-HU"/>
        </w:rPr>
      </w:pPr>
    </w:p>
    <w:p w14:paraId="7D27C787" w14:textId="77777777" w:rsidR="00F45C51" w:rsidRPr="00951C48" w:rsidRDefault="00F45C51" w:rsidP="009C5B72">
      <w:pPr>
        <w:spacing w:line="240" w:lineRule="auto"/>
        <w:rPr>
          <w:szCs w:val="22"/>
          <w:u w:val="single"/>
          <w:lang w:val="hu-HU"/>
        </w:rPr>
      </w:pPr>
      <w:r w:rsidRPr="00951C48">
        <w:rPr>
          <w:szCs w:val="22"/>
          <w:u w:val="single"/>
          <w:lang w:val="hu-HU"/>
        </w:rPr>
        <w:t>Farmakodinámiás hatások</w:t>
      </w:r>
    </w:p>
    <w:p w14:paraId="7A1E7D2D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27751">
        <w:rPr>
          <w:szCs w:val="22"/>
          <w:lang w:val="hu-HU"/>
        </w:rPr>
        <w:t>A duloxetin normalizálta a fájdalomküszöböt a neuropathiás és gyulladásos fájdalom számos preklinikai modelljében, és gyengítette a fájdalomhoz társuló viselkedést a krónikusan fennálló fájd</w:t>
      </w:r>
      <w:r w:rsidRPr="009C5B72">
        <w:rPr>
          <w:szCs w:val="22"/>
          <w:lang w:val="hu-HU"/>
        </w:rPr>
        <w:t>alom egy modelljében. A duloxetin fájdalomcsökkentő hatását a központi idegrendszeri leszálló, fájdalom-gátló pályák serkentésének tulajdonítják.</w:t>
      </w:r>
    </w:p>
    <w:p w14:paraId="7EB5205A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</w:p>
    <w:p w14:paraId="05A72A63" w14:textId="77777777" w:rsidR="00F45C51" w:rsidRPr="009C5B72" w:rsidRDefault="00F45C51" w:rsidP="009C5B72">
      <w:pPr>
        <w:keepNext/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Klinikai hatásosság és biztonságosság</w:t>
      </w:r>
    </w:p>
    <w:p w14:paraId="7911DE05" w14:textId="77777777" w:rsidR="00D5421C" w:rsidRPr="009C5B72" w:rsidRDefault="00D5421C" w:rsidP="009C5B72">
      <w:pPr>
        <w:keepNext/>
        <w:spacing w:line="240" w:lineRule="auto"/>
        <w:rPr>
          <w:szCs w:val="22"/>
          <w:u w:val="single"/>
          <w:lang w:val="hu-HU"/>
        </w:rPr>
      </w:pPr>
    </w:p>
    <w:p w14:paraId="3D7F5FA6" w14:textId="77777777" w:rsidR="004758BC" w:rsidRPr="009C5B72" w:rsidRDefault="004758BC" w:rsidP="009C5B72">
      <w:pPr>
        <w:keepNext/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Major depresszív zavar:</w:t>
      </w:r>
    </w:p>
    <w:p w14:paraId="5A854AA1" w14:textId="7854BE94" w:rsidR="004758BC" w:rsidRPr="009C5B72" w:rsidRDefault="004758BC" w:rsidP="009C5B72">
      <w:pPr>
        <w:keepNext/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t egy 3158, a major depresszió DSM-IV kritériumainak megfelelő beteget bevonó klinikai programban vizsgálták (1285 betegév expozíció). 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hatásosságát </w:t>
      </w:r>
      <w:r w:rsidR="00850976" w:rsidRPr="009C5B72">
        <w:rPr>
          <w:szCs w:val="22"/>
          <w:lang w:val="hu-HU"/>
        </w:rPr>
        <w:t>–</w:t>
      </w:r>
      <w:r w:rsidRPr="009C5B72">
        <w:rPr>
          <w:szCs w:val="22"/>
          <w:lang w:val="hu-HU"/>
        </w:rPr>
        <w:t xml:space="preserve"> a javasolt napi egyszeri 60 mg </w:t>
      </w:r>
      <w:r w:rsidR="00220C04">
        <w:rPr>
          <w:szCs w:val="22"/>
          <w:lang w:val="hu-HU"/>
        </w:rPr>
        <w:t>dózisban</w:t>
      </w:r>
      <w:r w:rsidR="00220C04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 xml:space="preserve">alkalmazva </w:t>
      </w:r>
      <w:r w:rsidR="00850976" w:rsidRPr="009C5B72">
        <w:rPr>
          <w:szCs w:val="22"/>
          <w:lang w:val="hu-HU"/>
        </w:rPr>
        <w:t>–</w:t>
      </w:r>
      <w:r w:rsidRPr="009C5B72">
        <w:rPr>
          <w:szCs w:val="22"/>
          <w:lang w:val="hu-HU"/>
        </w:rPr>
        <w:t xml:space="preserve"> az elvégzett három randomizált, dupla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 xml:space="preserve">vak, placebokontrollos, rögzített dózisú akut vizsgálat, melyeket major depresszív zavarban szenvedő járóbetegek bevonásával végeztek, mindegyike kimutatta. Összességében 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hatásosságát </w:t>
      </w:r>
      <w:r w:rsidR="002D3632" w:rsidRPr="009C5B72">
        <w:rPr>
          <w:szCs w:val="22"/>
          <w:lang w:val="hu-HU"/>
        </w:rPr>
        <w:t>–</w:t>
      </w:r>
      <w:r w:rsidRPr="009C5B72">
        <w:rPr>
          <w:szCs w:val="22"/>
          <w:lang w:val="hu-HU"/>
        </w:rPr>
        <w:t xml:space="preserve"> napi 60</w:t>
      </w:r>
      <w:r w:rsidR="000528B6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 xml:space="preserve">120 mg adagolás mellett </w:t>
      </w:r>
      <w:r w:rsidR="002D3632" w:rsidRPr="009C5B72">
        <w:rPr>
          <w:szCs w:val="22"/>
          <w:lang w:val="hu-HU"/>
        </w:rPr>
        <w:t>–</w:t>
      </w:r>
      <w:r w:rsidRPr="009C5B72">
        <w:rPr>
          <w:szCs w:val="22"/>
          <w:lang w:val="hu-HU"/>
        </w:rPr>
        <w:t xml:space="preserve"> a hét randomizált, dupla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vak, placebokontrollos, rögzített dózisú akut vizsgálat közül ötben mutatták ki major depresszív zavarban szenvedő járóbeteg</w:t>
      </w:r>
      <w:r w:rsidR="000528B6" w:rsidRPr="009C5B72">
        <w:rPr>
          <w:szCs w:val="22"/>
          <w:lang w:val="hu-HU"/>
        </w:rPr>
        <w:t>e</w:t>
      </w:r>
      <w:r w:rsidRPr="009C5B72">
        <w:rPr>
          <w:szCs w:val="22"/>
          <w:lang w:val="hu-HU"/>
        </w:rPr>
        <w:t>knél.</w:t>
      </w:r>
    </w:p>
    <w:p w14:paraId="468CEED6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27B3543F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statisztikailag jobbnak bizonyult a placebónál a 17-tételes Hamilton Depression Rating Scale (HAM-D) össz-pontszámával mérve (mely tartalmazza a depressziónak mind az emocionális, mind a szomatikus tüneteit). A terápiára adott kedvező válasz, valamint a remisszió aránya is statisztikailag szignifikáns mértékben magasabb volt 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esetében, mint a placebónál. A pivotál klinikai vizsgálatokba bevont betegeknek csak egy kis hányada szenvedett súlyos depresszióban (kiindulási HAM-D</w:t>
      </w:r>
      <w:r w:rsidR="006266DE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&gt;</w:t>
      </w:r>
      <w:r w:rsidR="006266DE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25).</w:t>
      </w:r>
    </w:p>
    <w:p w14:paraId="25B3B9D3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7AEC8B52" w14:textId="77777777" w:rsidR="004758BC" w:rsidRPr="00951C48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Egy nyílt elrendezésű, relapszus-prevenció vizsgálatban azokat a betegeket, akik reagáltak a 12 hetes napi egyszeri 60 mg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akut terápiára, további 6 hónapra randomizálták vagy napi egyszeri 60</w:t>
      </w:r>
      <w:r w:rsidR="00927751">
        <w:rPr>
          <w:szCs w:val="22"/>
          <w:lang w:val="hu-HU"/>
        </w:rPr>
        <w:t> </w:t>
      </w:r>
      <w:r w:rsidRPr="00927751">
        <w:rPr>
          <w:szCs w:val="22"/>
          <w:lang w:val="hu-HU"/>
        </w:rPr>
        <w:t xml:space="preserve">mg </w:t>
      </w:r>
      <w:r w:rsidR="000528B6" w:rsidRPr="00927751">
        <w:rPr>
          <w:szCs w:val="22"/>
          <w:lang w:val="hu-HU"/>
        </w:rPr>
        <w:t>duloxetin</w:t>
      </w:r>
      <w:r w:rsidR="006062AA">
        <w:rPr>
          <w:szCs w:val="22"/>
          <w:lang w:val="hu-HU"/>
        </w:rPr>
        <w:t>-</w:t>
      </w:r>
      <w:r w:rsidRPr="006062AA">
        <w:rPr>
          <w:szCs w:val="22"/>
          <w:lang w:val="hu-HU"/>
        </w:rPr>
        <w:t xml:space="preserve"> vagy placeboterápiára. A napi egyszeri 60 mg </w:t>
      </w:r>
      <w:r w:rsidR="000528B6" w:rsidRPr="006062AA">
        <w:rPr>
          <w:szCs w:val="22"/>
          <w:lang w:val="hu-HU"/>
        </w:rPr>
        <w:t>duloxetin</w:t>
      </w:r>
      <w:r w:rsidRPr="006062AA">
        <w:rPr>
          <w:szCs w:val="22"/>
          <w:lang w:val="hu-HU"/>
        </w:rPr>
        <w:t xml:space="preserve"> statisztikailag szignifikáns módon jobbnak bizonyult a placebónál (p=0,004) a depresszió relapszus-prevenciójában, mint elsődleges eredményességi mu</w:t>
      </w:r>
      <w:r w:rsidRPr="00183EF0">
        <w:rPr>
          <w:szCs w:val="22"/>
          <w:lang w:val="hu-HU"/>
        </w:rPr>
        <w:t>tatóban, amelyet a relapszus jelentkezéséig terjedő időtartammal mértek. A 6 hónapos dupla</w:t>
      </w:r>
      <w:r w:rsidR="006D04CE" w:rsidRPr="00183EF0">
        <w:rPr>
          <w:szCs w:val="22"/>
          <w:lang w:val="hu-HU"/>
        </w:rPr>
        <w:t xml:space="preserve"> </w:t>
      </w:r>
      <w:r w:rsidRPr="00951C48">
        <w:rPr>
          <w:szCs w:val="22"/>
          <w:lang w:val="hu-HU"/>
        </w:rPr>
        <w:t>vak utánkövetéses időszak alatt a relapszus incidenciája 17% és 29% volt duloxetin és placebo esetében.</w:t>
      </w:r>
    </w:p>
    <w:p w14:paraId="5FA9C76B" w14:textId="77777777" w:rsidR="000528B6" w:rsidRPr="00951C48" w:rsidRDefault="000528B6" w:rsidP="009C5B72">
      <w:pPr>
        <w:spacing w:line="240" w:lineRule="auto"/>
        <w:rPr>
          <w:szCs w:val="22"/>
          <w:lang w:val="hu-HU"/>
        </w:rPr>
      </w:pPr>
    </w:p>
    <w:p w14:paraId="0F542CD0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51C48">
        <w:rPr>
          <w:szCs w:val="22"/>
          <w:lang w:val="hu-HU"/>
        </w:rPr>
        <w:t>Az 52-hetes, placebo</w:t>
      </w:r>
      <w:r w:rsidRPr="00927751">
        <w:rPr>
          <w:szCs w:val="22"/>
          <w:lang w:val="hu-HU"/>
        </w:rPr>
        <w:t>kontrollos kettős</w:t>
      </w:r>
      <w:r w:rsidR="006D04CE" w:rsidRPr="00927751">
        <w:rPr>
          <w:szCs w:val="22"/>
          <w:lang w:val="hu-HU"/>
        </w:rPr>
        <w:t xml:space="preserve"> </w:t>
      </w:r>
      <w:r w:rsidRPr="00927751">
        <w:rPr>
          <w:szCs w:val="22"/>
          <w:lang w:val="hu-HU"/>
        </w:rPr>
        <w:t>vak kezelés ideje alatt a duloxetinnel kezelt, visszatérő major depresszív zavarban szenvedő betegeknél szignifikánsan hosszabb volt a tünetmentes időszak (p&lt;0,001) a placebokezelésre randomizált betegekkel összehasonlítva. A megelőző nyílt (28</w:t>
      </w:r>
      <w:r w:rsidR="006266DE" w:rsidRPr="00927751">
        <w:rPr>
          <w:szCs w:val="22"/>
          <w:lang w:val="hu-HU"/>
        </w:rPr>
        <w:noBreakHyphen/>
      </w:r>
      <w:r w:rsidRPr="00927751">
        <w:rPr>
          <w:szCs w:val="22"/>
          <w:lang w:val="hu-HU"/>
        </w:rPr>
        <w:t>34 hetes) duloxetin-kezelés során valamennyi beteg reagált a duloxetinre, napi 60</w:t>
      </w:r>
      <w:r w:rsidR="006266DE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120 mg-os adagolás mellett. Az 52-hetes, placebokontrollos kettős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vak kezelési fázis alatt a duloxetinnel kezelt betegek 14,4%-a és a placebóval kezelt betegek 33,1% tapasztalta a depresszív tüneteik visszatérését (p&lt;0</w:t>
      </w:r>
      <w:r w:rsidR="002D3632" w:rsidRPr="009C5B72">
        <w:rPr>
          <w:szCs w:val="22"/>
          <w:lang w:val="hu-HU"/>
        </w:rPr>
        <w:t>,</w:t>
      </w:r>
      <w:r w:rsidRPr="009C5B72">
        <w:rPr>
          <w:szCs w:val="22"/>
          <w:lang w:val="hu-HU"/>
        </w:rPr>
        <w:t>001).</w:t>
      </w:r>
    </w:p>
    <w:p w14:paraId="2B47F258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0228D817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Külön vizsgálat értékelte a napi egyszeri adagolású 60 mg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hatását idős depressziós betegeknél (≥</w:t>
      </w:r>
      <w:r w:rsidR="000528B6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65 év), amely a duloxetinnel</w:t>
      </w:r>
      <w:r w:rsidR="00850976" w:rsidRPr="009C5B72">
        <w:rPr>
          <w:szCs w:val="22"/>
          <w:lang w:val="hu-HU"/>
        </w:rPr>
        <w:t>,</w:t>
      </w:r>
      <w:r w:rsidRPr="009C5B72">
        <w:rPr>
          <w:szCs w:val="22"/>
          <w:lang w:val="hu-HU"/>
        </w:rPr>
        <w:t xml:space="preserve"> ill. placebóval kezelt betegek között statisztikailag szignifikáns különbséget mutatott a HAMD17 érték csökkenését illetően. A napi egyszeri adagolású 60 mg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tolerálhatósága idős betegekben hasonló volt a fiatalabb felnőtteknél észlelthez. Mindazonáltal a maximális adagolással (napi 120 mg) kapcsolatban időseknél korlátozottan állnak rendelkezésre adatok, ezért ezen populáció kezelésekor elővigyázatossággal kell eljárni.</w:t>
      </w:r>
    </w:p>
    <w:p w14:paraId="73F68DB8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54A7C1DB" w14:textId="77777777" w:rsidR="004758BC" w:rsidRPr="009C5B72" w:rsidRDefault="004758BC" w:rsidP="009C5B72">
      <w:pPr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Generalizált szorongás:</w:t>
      </w:r>
    </w:p>
    <w:p w14:paraId="42C4E29F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statisztikailag szignifikáns módon jobbnak bizonyult a placebónál az öt, generalizált szorongásban szenvedő felnőtt betegeket bevonó vizsgálat mindegyikében, melyek között négy randomizált, kettős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vak, placebokontrollos akut vizsgálat és egy relapszus-prevenciós vizsgálat volt.</w:t>
      </w:r>
    </w:p>
    <w:p w14:paraId="1636D577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statisztikailag szignifikáns módon jobbnak bizonyult a placebónál, melyet a Hamilton-féle szorongás értékelő skála (HAM-A) teljes pontszám és a Sheehan Disability Scale [SDS]) globális funkcióromlás pontszám javulása alapján mértek. A terápiás v</w:t>
      </w:r>
      <w:r w:rsidR="000528B6" w:rsidRPr="009C5B72">
        <w:rPr>
          <w:szCs w:val="22"/>
          <w:lang w:val="hu-HU"/>
        </w:rPr>
        <w:t>á</w:t>
      </w:r>
      <w:r w:rsidRPr="009C5B72">
        <w:rPr>
          <w:szCs w:val="22"/>
          <w:lang w:val="hu-HU"/>
        </w:rPr>
        <w:t xml:space="preserve">lasz és a remisszió arányai is magasabbak voltak 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esetében, mint placebónál. 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hatásossága a HAM-A összpontérték javulása tekintetében a venlafaxinéhoz hasonló volt.</w:t>
      </w:r>
    </w:p>
    <w:p w14:paraId="50A7F8B1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56FC7C8F" w14:textId="662032D8" w:rsidR="004758BC" w:rsidRPr="009138BF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Egy relapszus-prevenciós vizsgálatban azokat a betegeket, akik reagáltak a nyílt (open-label) </w:t>
      </w:r>
      <w:r w:rsidR="000528B6" w:rsidRPr="009C5B72">
        <w:rPr>
          <w:szCs w:val="22"/>
          <w:lang w:val="hu-HU"/>
        </w:rPr>
        <w:t xml:space="preserve">duloxetinnel </w:t>
      </w:r>
      <w:r w:rsidRPr="009C5B72">
        <w:rPr>
          <w:szCs w:val="22"/>
          <w:lang w:val="hu-HU"/>
        </w:rPr>
        <w:t xml:space="preserve">történő 6-hónapos akut kezelésre, további 6 hónapra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- vagy placebokezelésre randomizálták. A </w:t>
      </w:r>
      <w:r w:rsidR="000528B6" w:rsidRPr="009C5B72">
        <w:rPr>
          <w:szCs w:val="22"/>
          <w:lang w:val="hu-HU"/>
        </w:rPr>
        <w:t>duloxetin napi 60</w:t>
      </w:r>
      <w:r w:rsidR="000528B6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 xml:space="preserve">120 mg </w:t>
      </w:r>
      <w:r w:rsidR="007F07BD">
        <w:rPr>
          <w:szCs w:val="22"/>
          <w:lang w:val="hu-HU"/>
        </w:rPr>
        <w:t>dózisa</w:t>
      </w:r>
      <w:r w:rsidR="007F07BD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a relapszusig eltelt idő mérése alapján statisztikailag szignifikáns módon jobbnak bizonyult a placebónál (p</w:t>
      </w:r>
      <w:r w:rsidR="006062AA">
        <w:rPr>
          <w:szCs w:val="22"/>
          <w:lang w:val="hu-HU"/>
        </w:rPr>
        <w:t xml:space="preserve"> </w:t>
      </w:r>
      <w:r w:rsidRPr="006062AA">
        <w:rPr>
          <w:szCs w:val="22"/>
          <w:lang w:val="hu-HU"/>
        </w:rPr>
        <w:t>&lt;0,001) a relapszus</w:t>
      </w:r>
      <w:r w:rsidR="000528B6" w:rsidRPr="006062AA">
        <w:rPr>
          <w:szCs w:val="22"/>
          <w:lang w:val="hu-HU"/>
        </w:rPr>
        <w:t xml:space="preserve"> </w:t>
      </w:r>
      <w:r w:rsidRPr="006062AA">
        <w:rPr>
          <w:szCs w:val="22"/>
          <w:lang w:val="hu-HU"/>
        </w:rPr>
        <w:t>megelőzésében. A 6-hónapos kettős</w:t>
      </w:r>
      <w:r w:rsidR="006D04CE" w:rsidRPr="006062AA">
        <w:rPr>
          <w:szCs w:val="22"/>
          <w:lang w:val="hu-HU"/>
        </w:rPr>
        <w:t xml:space="preserve"> </w:t>
      </w:r>
      <w:r w:rsidRPr="006062AA">
        <w:rPr>
          <w:szCs w:val="22"/>
          <w:lang w:val="hu-HU"/>
        </w:rPr>
        <w:t xml:space="preserve">vak követési időszak alatt a relapszusok előfordulása </w:t>
      </w:r>
      <w:r w:rsidR="000528B6" w:rsidRPr="006062AA">
        <w:rPr>
          <w:szCs w:val="22"/>
          <w:lang w:val="hu-HU"/>
        </w:rPr>
        <w:t>duloxetin</w:t>
      </w:r>
      <w:r w:rsidRPr="009138BF">
        <w:rPr>
          <w:szCs w:val="22"/>
          <w:lang w:val="hu-HU"/>
        </w:rPr>
        <w:t xml:space="preserve"> esetében 14%, placebo esetében 42% volt.</w:t>
      </w:r>
    </w:p>
    <w:p w14:paraId="2F43671F" w14:textId="77777777" w:rsidR="000528B6" w:rsidRPr="00183EF0" w:rsidRDefault="000528B6" w:rsidP="009C5B72">
      <w:pPr>
        <w:spacing w:line="240" w:lineRule="auto"/>
        <w:rPr>
          <w:szCs w:val="22"/>
          <w:lang w:val="hu-HU"/>
        </w:rPr>
      </w:pPr>
    </w:p>
    <w:p w14:paraId="47D7DCB0" w14:textId="41574C8D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183EF0">
        <w:rPr>
          <w:szCs w:val="22"/>
          <w:lang w:val="hu-HU"/>
        </w:rPr>
        <w:t xml:space="preserve">Klinikai vizsgálatban értékelték a napi egyszer alkalmazott </w:t>
      </w:r>
      <w:r w:rsidR="000528B6" w:rsidRPr="00183EF0">
        <w:rPr>
          <w:szCs w:val="22"/>
          <w:lang w:val="hu-HU"/>
        </w:rPr>
        <w:t>duloxetin</w:t>
      </w:r>
      <w:r w:rsidRPr="00951C48">
        <w:rPr>
          <w:szCs w:val="22"/>
          <w:lang w:val="hu-HU"/>
        </w:rPr>
        <w:t xml:space="preserve"> 30</w:t>
      </w:r>
      <w:r w:rsidR="000528B6" w:rsidRPr="00951C48">
        <w:rPr>
          <w:szCs w:val="22"/>
          <w:lang w:val="hu-HU"/>
        </w:rPr>
        <w:noBreakHyphen/>
      </w:r>
      <w:r w:rsidRPr="00951C48">
        <w:rPr>
          <w:szCs w:val="22"/>
          <w:lang w:val="hu-HU"/>
        </w:rPr>
        <w:t xml:space="preserve">120 mg (flexibilis adagolás) hatásosságát generalizált szorongásban szenvedő idős betegeknél (&gt;65 év), mely a duloxetinnel kezelt betegeknél a HAM-A teljes pontszám statisztikailag szignifikáns javulását igazolta a placebóval kezelt betegekkel összehasonlítva. Generalizált szorongásban szenvedő idős betegeknél a napi egyszer alkalmazott </w:t>
      </w:r>
      <w:r w:rsidR="000528B6" w:rsidRPr="00927751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30</w:t>
      </w:r>
      <w:r w:rsidR="000528B6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120 mg hatásossága és biztonságossága hasonló volt a fiatalabb felnőtt betegekkel végzett vizsgálatokban tapasztaltakhoz. Mindazonáltal korlátozottak a maximális (napi 120</w:t>
      </w:r>
      <w:r w:rsidR="008C6845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 xml:space="preserve">mg) </w:t>
      </w:r>
      <w:r w:rsidR="007F07BD">
        <w:rPr>
          <w:szCs w:val="22"/>
          <w:lang w:val="hu-HU"/>
        </w:rPr>
        <w:t>dózissal</w:t>
      </w:r>
      <w:r w:rsidR="007F07BD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 xml:space="preserve">kezelt idős betegekre vonatkozó adatok, ezért idős populációban ennek a </w:t>
      </w:r>
      <w:r w:rsidR="007F07BD">
        <w:rPr>
          <w:szCs w:val="22"/>
          <w:lang w:val="hu-HU"/>
        </w:rPr>
        <w:t>dózisnak</w:t>
      </w:r>
      <w:r w:rsidRPr="009C5B72">
        <w:rPr>
          <w:szCs w:val="22"/>
          <w:lang w:val="hu-HU"/>
        </w:rPr>
        <w:t xml:space="preserve"> az alkalmazásakor óvatosság javasolt.</w:t>
      </w:r>
    </w:p>
    <w:p w14:paraId="3F3A3044" w14:textId="77777777" w:rsidR="000528B6" w:rsidRPr="009C5B72" w:rsidRDefault="000528B6" w:rsidP="009C5B72">
      <w:pPr>
        <w:spacing w:line="240" w:lineRule="auto"/>
        <w:rPr>
          <w:szCs w:val="22"/>
          <w:lang w:val="hu-HU"/>
        </w:rPr>
      </w:pPr>
    </w:p>
    <w:p w14:paraId="365A82DC" w14:textId="77777777" w:rsidR="004758BC" w:rsidRPr="009C5B72" w:rsidRDefault="004758BC" w:rsidP="009C5B72">
      <w:pPr>
        <w:keepNext/>
        <w:spacing w:line="240" w:lineRule="auto"/>
        <w:rPr>
          <w:i/>
          <w:szCs w:val="22"/>
          <w:lang w:val="hu-HU"/>
        </w:rPr>
      </w:pPr>
      <w:r w:rsidRPr="009C5B72">
        <w:rPr>
          <w:i/>
          <w:szCs w:val="22"/>
          <w:lang w:val="hu-HU"/>
        </w:rPr>
        <w:t>Diabeteses perifériás neuropathiás fájdalom:</w:t>
      </w:r>
    </w:p>
    <w:p w14:paraId="495B09D0" w14:textId="77777777" w:rsidR="004758BC" w:rsidRPr="009C5B72" w:rsidRDefault="004758BC" w:rsidP="009C5B72">
      <w:pPr>
        <w:keepNext/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</w:t>
      </w:r>
      <w:r w:rsidR="000528B6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hatásosságát a diabeteses neuropathiás fájdalom kezelésére 2 randomizált, 12</w:t>
      </w:r>
      <w:r w:rsidR="000528B6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hetes, kettős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vak, placeb</w:t>
      </w:r>
      <w:r w:rsidR="006D04CE" w:rsidRPr="009C5B72">
        <w:rPr>
          <w:szCs w:val="22"/>
          <w:lang w:val="hu-HU"/>
        </w:rPr>
        <w:t>o</w:t>
      </w:r>
      <w:r w:rsidRPr="009C5B72">
        <w:rPr>
          <w:szCs w:val="22"/>
          <w:lang w:val="hu-HU"/>
        </w:rPr>
        <w:t>kontrollos, fix dózisú vizsgálatban állapították meg olyan felnőttekben (22</w:t>
      </w:r>
      <w:r w:rsidR="000528B6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88</w:t>
      </w:r>
      <w:r w:rsidR="000528B6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év), akikben a diabeteses neuropathiás fájdalom legalább 6 hónapja állt fent. A major depressziós zavar diagnosztikus kritériumainak megfelelő betegeket kizárták ezekből a vizsgálatokból. Az elsődleges eredményességi mutató a 24 órás átlagos fájdalom hetenkénti átlaga volt, amelyet a betegek naponta feljegyeztek egy 11 pontos Likert skála alapján.</w:t>
      </w:r>
    </w:p>
    <w:p w14:paraId="44944CE0" w14:textId="77777777" w:rsidR="000710F4" w:rsidRPr="009C5B72" w:rsidRDefault="000710F4" w:rsidP="009C5B72">
      <w:pPr>
        <w:spacing w:line="240" w:lineRule="auto"/>
        <w:rPr>
          <w:szCs w:val="22"/>
          <w:lang w:val="hu-HU"/>
        </w:rPr>
      </w:pPr>
    </w:p>
    <w:p w14:paraId="0855FED3" w14:textId="4D20A573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Mindkét vizsgálatban a </w:t>
      </w:r>
      <w:r w:rsidR="000710F4" w:rsidRPr="009C5B72">
        <w:rPr>
          <w:szCs w:val="22"/>
          <w:lang w:val="hu-HU"/>
        </w:rPr>
        <w:t>duloxetin</w:t>
      </w:r>
      <w:r w:rsidRPr="009C5B72">
        <w:rPr>
          <w:szCs w:val="22"/>
          <w:lang w:val="hu-HU"/>
        </w:rPr>
        <w:t xml:space="preserve"> 60 mg-os naponta egyszeri és 60 mg-os naponta kétszeri </w:t>
      </w:r>
      <w:r w:rsidR="00220C04">
        <w:rPr>
          <w:szCs w:val="22"/>
          <w:lang w:val="hu-HU"/>
        </w:rPr>
        <w:t>dózisa</w:t>
      </w:r>
      <w:r w:rsidR="00220C04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 xml:space="preserve">szignifikáns mértékben csökkentette a fájdalmat a placebóhoz képest. Néhány betegben a hatás a kezelés első hetében </w:t>
      </w:r>
      <w:r w:rsidR="000710F4" w:rsidRPr="009C5B72">
        <w:rPr>
          <w:szCs w:val="22"/>
          <w:lang w:val="hu-HU"/>
        </w:rPr>
        <w:t>jelentkezett</w:t>
      </w:r>
      <w:r w:rsidRPr="009C5B72">
        <w:rPr>
          <w:szCs w:val="22"/>
          <w:lang w:val="hu-HU"/>
        </w:rPr>
        <w:t>. A két aktív kezelési csoport átlagos javulása közötti különbség nem volt szignifikáns. A duloxetinnel kezelt betegek mintegy 65%-a számolt be a fájdalom legalább 30%-os csökkenéséről, szemben a placebóval kezeltek 40%-ával. A fájdalom legalább 50%-os csökkenésére vonatkozó értékek az előbbi sorrendben rendre 50% és 26% voltak. A klinikai válasz (50% vagy annál nagyobb javulás a fájdalom tekintetében) arányát aszerint értékelték, hogy a betegek tapasztaltak-e álmosságot a kezelés során. Az álmosságot nem észlelő betegek körében a klinikai válasz a duloxetinnel kezelt betegek 47%-ában jelent meg, a placebóval kezelteknek pedig 27%-ában. A klinikai válasz gyakorisága az álmosságot észlelő betegek körében 60% volt a duloxetinnel kezeltek esetén, és 30% a placebóval kezeltekben. Azon betegeknél, akiknél 60 napos kezelés nem eredményezett 30%-os fájdalomcsökkenést, a további kezelés során nem volt várható ezen hatékonysági szint elérése.</w:t>
      </w:r>
    </w:p>
    <w:p w14:paraId="661DA923" w14:textId="77777777" w:rsidR="000710F4" w:rsidRPr="009C5B72" w:rsidRDefault="000710F4" w:rsidP="009C5B72">
      <w:pPr>
        <w:spacing w:line="240" w:lineRule="auto"/>
        <w:rPr>
          <w:szCs w:val="22"/>
          <w:lang w:val="hu-HU"/>
        </w:rPr>
      </w:pPr>
    </w:p>
    <w:p w14:paraId="1AEE7E4E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Egy nyílt, hosszútávú, nem</w:t>
      </w:r>
      <w:r w:rsidR="006D04CE" w:rsidRPr="009C5B72">
        <w:rPr>
          <w:szCs w:val="22"/>
          <w:lang w:val="hu-HU"/>
        </w:rPr>
        <w:t xml:space="preserve"> </w:t>
      </w:r>
      <w:r w:rsidRPr="009C5B72">
        <w:rPr>
          <w:szCs w:val="22"/>
          <w:lang w:val="hu-HU"/>
        </w:rPr>
        <w:t>kontrollos vizsgálat során azoknál a betegeknél, akik reagáltak napi egyszeri 60</w:t>
      </w:r>
      <w:r w:rsidR="00CB5E63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 xml:space="preserve">mg </w:t>
      </w:r>
      <w:r w:rsidR="00CB5E63" w:rsidRPr="009C5B72">
        <w:rPr>
          <w:szCs w:val="22"/>
          <w:lang w:val="hu-HU"/>
        </w:rPr>
        <w:t xml:space="preserve">duloxetinnel </w:t>
      </w:r>
      <w:r w:rsidRPr="009C5B72">
        <w:rPr>
          <w:szCs w:val="22"/>
          <w:lang w:val="hu-HU"/>
        </w:rPr>
        <w:t>végzett 8 hetes akut kezelésre, a fájdalom csökkenése (melyet a Brief Pain Inventory (BPI) 24-órás átlagos fájdalom adatának változásával mértek) fennmaradt további 6</w:t>
      </w:r>
      <w:r w:rsidR="002D3632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hónapra.</w:t>
      </w:r>
    </w:p>
    <w:p w14:paraId="4A7040F7" w14:textId="77777777" w:rsidR="004758BC" w:rsidRPr="009C5B72" w:rsidRDefault="004758BC" w:rsidP="009C5B72">
      <w:pPr>
        <w:spacing w:line="240" w:lineRule="auto"/>
        <w:rPr>
          <w:szCs w:val="22"/>
          <w:lang w:val="hu-HU"/>
        </w:rPr>
      </w:pPr>
    </w:p>
    <w:p w14:paraId="4F791A46" w14:textId="77777777" w:rsidR="00F45C51" w:rsidRPr="009C5B72" w:rsidRDefault="00F45C51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Gyermek</w:t>
      </w:r>
      <w:r w:rsidR="00127C1D" w:rsidRPr="009C5B72">
        <w:rPr>
          <w:szCs w:val="22"/>
          <w:u w:val="single"/>
          <w:lang w:val="hu-HU"/>
        </w:rPr>
        <w:t>ek</w:t>
      </w:r>
      <w:r w:rsidR="00930A2D" w:rsidRPr="009C5B72">
        <w:rPr>
          <w:szCs w:val="22"/>
          <w:u w:val="single"/>
          <w:lang w:val="hu-HU"/>
        </w:rPr>
        <w:t xml:space="preserve"> és serdülők</w:t>
      </w:r>
    </w:p>
    <w:p w14:paraId="73F1C166" w14:textId="77777777" w:rsidR="00CB5E63" w:rsidRPr="009C5B72" w:rsidRDefault="004758BC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A duloxetint nem vizsgálták 7 éves</w:t>
      </w:r>
      <w:r w:rsidR="006B1092" w:rsidRPr="009C5B72">
        <w:rPr>
          <w:rFonts w:eastAsia="Times New Roman"/>
          <w:snapToGrid/>
          <w:szCs w:val="22"/>
          <w:lang w:val="hu-HU" w:eastAsia="en-US"/>
        </w:rPr>
        <w:t>nél fiatalabb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betegeknél.</w:t>
      </w:r>
    </w:p>
    <w:p w14:paraId="1C955B52" w14:textId="77777777" w:rsidR="00CB5E63" w:rsidRPr="009C5B72" w:rsidRDefault="00CB5E63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DD169B" w14:textId="77777777" w:rsidR="004758BC" w:rsidRPr="009C5B72" w:rsidRDefault="004758BC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Két randomizált, kettős</w:t>
      </w:r>
      <w:r w:rsidR="006D04CE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vak, párhuzamos klinikai vizsgálatot végeztek 800, 7</w:t>
      </w:r>
      <w:r w:rsidR="00CB5E63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17 éves, major depresszív zavarban szenvedő gyermekkorú beteg bevonásával (lásd 4.2 pont). E két vizsgálat magában foglalt egy 10 hetes placebo- és aktív (fluoxetin)</w:t>
      </w:r>
      <w:r w:rsidR="006D04CE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kontrollos akut fázist, amelyet egy hat hónapos aktív kontrollos kiterjesztéses kezelési szakasz követett. Sem a (30</w:t>
      </w:r>
      <w:r w:rsidR="00CB5E63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120 mg) duloxetin, sem az aktív</w:t>
      </w:r>
      <w:r w:rsidR="006D04CE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kontroll (20</w:t>
      </w:r>
      <w:r w:rsidR="00CB5E63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40 mg fluoxetin) vizsgálati kar esetében nem észleltek statisztikailag igazolt különbséget a placebóhoz képest a vizsgálat megkezdésétől a végpontig a Felülvizsgált Gyermekkori Depresszió Értékelő Skálán (Children´s Depression Rating Scale-Revised, CDS-R) elért összpontszámban. A kezelés mellékhatások miatti megszakítása nagyobb arányú volt a duloxetint szedőknél a fluoxetinnel kezeltekéhez képest, főként az émelygés miatt. A 10 hetes akut kezelési időszak során jelentettek öngyilkos magatartást (duloxetin 0/333 [0%], fluoxetin 2/225 [0,9%], placebo 1/220 [0,5%]). A vizsgálat teljes, 36 hetes időtartama alatt a 333, a vizsgálat kezdetekor duloxetin-kezelésre randomizált beteg közül 6 beteg, a 225, vizsgálat kezdetekor fluoxetin-kezelésre randomizált beteg közül pedig 3 beteg esetében tapasztaltak öngyilkos magatartást (az expozícióhoz illesztett incidencia 0,039 esemény/betegév duloxetin és 0,026 esemény/betegév fluoxetin esetén).</w:t>
      </w:r>
      <w:r w:rsidR="00CB5E63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Ezenfelül, egy betegnél, akit placebóról duloxetinre állítottak át, a duloxetin szedése során öngyilkos magatartást észleltek.</w:t>
      </w:r>
    </w:p>
    <w:p w14:paraId="44B90C87" w14:textId="77777777" w:rsidR="00CB5E63" w:rsidRPr="009C5B72" w:rsidRDefault="00CB5E63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22772E" w14:textId="7877F9A7" w:rsidR="00F45C51" w:rsidRPr="009C5B72" w:rsidRDefault="004758BC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Egy randomizált, kettős</w:t>
      </w:r>
      <w:r w:rsidR="006D04CE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vak, placebokontrollos klinikai vizsgálatot végeztek 272, 7</w:t>
      </w:r>
      <w:r w:rsidR="00CB5E63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17</w:t>
      </w:r>
      <w:r w:rsidR="00CB5E63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éves, generalizált szorongásban szenvedő beteg bevonásával. A vizsgálat egy 10</w:t>
      </w:r>
      <w:r w:rsidR="00CB5E63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hetes placebokontrollos akut fázisból és egy 18</w:t>
      </w:r>
      <w:r w:rsidR="00CB5E63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hetes kiterjesztett kezelési szakaszból állt. A vizsgálat során flexibilis adagolást alkalmaztak, mely lehetővé tette a dózis napi egyszeri 30</w:t>
      </w:r>
      <w:r w:rsidR="00CB5E63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mg-ról nagyobb </w:t>
      </w:r>
      <w:r w:rsidR="007F07BD">
        <w:rPr>
          <w:rFonts w:eastAsia="Times New Roman"/>
          <w:snapToGrid/>
          <w:szCs w:val="22"/>
          <w:lang w:val="hu-HU" w:eastAsia="en-US"/>
        </w:rPr>
        <w:t>dózisokra</w:t>
      </w:r>
      <w:r w:rsidR="007F07BD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(maximum napi egyszeri 120</w:t>
      </w:r>
      <w:r w:rsidR="00CB5E63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mg) történő lassú emelését. A GAD súlyosságát PARS (Pediatric Anxiety Rating Scale) pontszámmal mérve 10 hetes kezelést követően a duloxetin-kezelés a GAD tüneteinek a statisztikailag szignifikánsan nagyobb mértékű javulását eredményezte (a duloxetin és placebo közötti átlagos különbség 2,7 pont [95%</w:t>
      </w:r>
      <w:r w:rsidR="007B38EE" w:rsidRPr="009C5B72">
        <w:rPr>
          <w:rFonts w:eastAsia="Times New Roman"/>
          <w:snapToGrid/>
          <w:szCs w:val="22"/>
          <w:lang w:val="hu-HU" w:eastAsia="en-US"/>
        </w:rPr>
        <w:t>-os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CI</w:t>
      </w:r>
      <w:r w:rsidR="007B38EE" w:rsidRPr="009C5B72">
        <w:rPr>
          <w:rFonts w:eastAsia="Times New Roman"/>
          <w:snapToGrid/>
          <w:szCs w:val="22"/>
          <w:lang w:val="hu-HU" w:eastAsia="en-US"/>
        </w:rPr>
        <w:t>: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1,3</w:t>
      </w:r>
      <w:r w:rsidR="006266DE" w:rsidRPr="009C5B72">
        <w:rPr>
          <w:rFonts w:eastAsia="Times New Roman"/>
          <w:snapToGrid/>
          <w:szCs w:val="22"/>
          <w:lang w:val="hu-HU" w:eastAsia="en-US"/>
        </w:rPr>
        <w:noBreakHyphen/>
      </w:r>
      <w:r w:rsidRPr="009C5B72">
        <w:rPr>
          <w:rFonts w:eastAsia="Times New Roman"/>
          <w:snapToGrid/>
          <w:szCs w:val="22"/>
          <w:lang w:val="hu-HU" w:eastAsia="en-US"/>
        </w:rPr>
        <w:t>4,0]). A hatás fennmaradását nem értékelték. A 10 hetes akut kezelési szakasz során a kezelés mellékhatások miatt történt felfüggesztésében nem volt statisztikailag szignifikáns különbség a duloxetin- és a placebocsoport között. Két betegnél, akiket az akut fázis után placebóról duloxetinre állítottak át, a kiterjesztéses szakaszban a duloxetin szedése során öngyilkos magatartást észleltek. Ebben a korcsoportban a gyógyszer előny-kockázat arányára vonatkozó következtetés nem állapítottak meg (lásd 4.2 és 4.8 pontokat is).</w:t>
      </w:r>
    </w:p>
    <w:p w14:paraId="6742D4E8" w14:textId="77777777" w:rsidR="004758BC" w:rsidRDefault="004758BC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9EEC723" w14:textId="77777777" w:rsidR="00A64F61" w:rsidRPr="00EE3414" w:rsidRDefault="00A64F61" w:rsidP="009C5B72">
      <w:pPr>
        <w:spacing w:line="240" w:lineRule="auto"/>
        <w:rPr>
          <w:szCs w:val="22"/>
          <w:lang w:val="hu-HU"/>
        </w:rPr>
      </w:pPr>
      <w:r w:rsidRPr="00EE3414">
        <w:rPr>
          <w:szCs w:val="22"/>
          <w:lang w:val="hu-HU"/>
        </w:rPr>
        <w:t xml:space="preserve">Eddig egyetlen vizsgálatot végeztek fiatalkori primer fibromyalgia-szindrómában (juvenile primary fibromyalgia syndrome, JPFS) szenvedő </w:t>
      </w:r>
      <w:r w:rsidR="004E0F59" w:rsidRPr="00EE3414">
        <w:rPr>
          <w:szCs w:val="22"/>
          <w:lang w:val="hu-HU"/>
        </w:rPr>
        <w:t>gyermekek és serdülők</w:t>
      </w:r>
      <w:r w:rsidRPr="00EE3414">
        <w:rPr>
          <w:szCs w:val="22"/>
          <w:lang w:val="hu-HU"/>
        </w:rPr>
        <w:t xml:space="preserve"> bevonásával, amelyben a duloxetinnel kezelt csoport nem mutatott különbséget a placebóval kezelthez képest az elsődleges hatásossági mutató tekintetében. Ebből kifolyólag a hatásosság nem bizonyított a gyermekek és serdülők ezen betegpopulációjában. A duloxetin ezen randomizált, kettős vak, placebokontrollos, párhuzamos elrendezésű vizsgálatát 184, 13-18 éves (15,53 éves átlagéletkorú), fiatalkori primer fibromyalgia-szindrómában szenvedő </w:t>
      </w:r>
      <w:r w:rsidR="004E0F59" w:rsidRPr="00EE3414">
        <w:rPr>
          <w:szCs w:val="22"/>
          <w:lang w:val="hu-HU"/>
        </w:rPr>
        <w:t xml:space="preserve">gyermek és </w:t>
      </w:r>
      <w:r w:rsidRPr="00EE3414">
        <w:rPr>
          <w:szCs w:val="22"/>
          <w:lang w:val="hu-HU"/>
        </w:rPr>
        <w:t>serdülő bevonásával végezték. A vizsgálat egy 13 hetes kettős vak időszakból állt, amelyben a betegeket vagy napi 30 mg/60 mg duloxetinre vagy placebóra randomizálták. A duloxetin nem bizonyult hatásosnak a fájdalom csökkentése tekintetében, amelyet az elsődleges eredményességi mutatóval, a Brief Pain Inventory (BPI) értékelőskálán a vizsgálati végpontban elért átlagos fájdalompontszámmal mértek: a BPI átlagos fájdalompontszám kiinduláshoz viszonyított (legkisebb négyzetek módszerrel kiszámított) átlagos változása a 13. héten -0,97 volt a placebocsoportban, míg a duloxetin 30/60 mg csoportban -1,62 (p = 0,052). Az ebből a vizsgálatból származó biztonságossági eredmények összhangban voltak a duloxetin már ismert biztonságossági profiljával.</w:t>
      </w:r>
    </w:p>
    <w:p w14:paraId="285A510C" w14:textId="77777777" w:rsidR="00A64F61" w:rsidRPr="00B853FE" w:rsidRDefault="00A64F6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E41034" w14:textId="77777777" w:rsidR="004758BC" w:rsidRPr="009C5B72" w:rsidRDefault="004758BC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Az Európai Gyógyszerügynökség a gyermekek esetén minden korosztálynál eltekint a </w:t>
      </w:r>
      <w:r w:rsidR="00CB5E63" w:rsidRPr="009C5B72">
        <w:rPr>
          <w:rFonts w:eastAsia="Times New Roman"/>
          <w:snapToGrid/>
          <w:szCs w:val="22"/>
          <w:lang w:val="hu-HU" w:eastAsia="en-US"/>
        </w:rPr>
        <w:t>duloxetin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vizsgálati eredményeinek benyújtási kötelezettségétől major depresszív zavar, diabeteses neuropathiás fájdalom és generalizált szorongás kezelésében (lásd 4.2 pont, gyermekgyógyászati alkalmazásra vonatkozó információk).</w:t>
      </w:r>
    </w:p>
    <w:p w14:paraId="674E625F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520BB4A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9C5B72">
        <w:rPr>
          <w:b/>
          <w:szCs w:val="22"/>
          <w:lang w:val="hu-HU"/>
        </w:rPr>
        <w:t>5.2</w:t>
      </w:r>
      <w:r w:rsidRPr="009C5B72">
        <w:rPr>
          <w:b/>
          <w:szCs w:val="22"/>
          <w:lang w:val="hu-HU"/>
        </w:rPr>
        <w:tab/>
        <w:t>Farmakokinetikai tulajdonságok</w:t>
      </w:r>
    </w:p>
    <w:p w14:paraId="13BDEB7D" w14:textId="77777777" w:rsidR="00CB5E63" w:rsidRPr="009C5B72" w:rsidRDefault="00CB5E63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77FFD992" w14:textId="77777777" w:rsidR="00CB5E63" w:rsidRPr="009C5B72" w:rsidRDefault="00CB5E63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szCs w:val="22"/>
          <w:lang w:val="hu-HU"/>
        </w:rPr>
        <w:t>A duloxetinnek csak az egyik enantiomerjét alkalmazzák. A duloxetin nagymértékben metabolizálódik oxidatív enzimek (CYP1A2 és a polimorf CYP2D6) révén, amit konjugáció követ. A duloxetin farmakokinetikája nagy egyéni különbségeket mutat (általában 50</w:t>
      </w:r>
      <w:r w:rsidRPr="009C5B72">
        <w:rPr>
          <w:szCs w:val="22"/>
          <w:lang w:val="hu-HU"/>
        </w:rPr>
        <w:noBreakHyphen/>
        <w:t>60%), részben a nem, a kor, a dohányzás és a CYP2D6 metabolizációs státusz következtében.</w:t>
      </w:r>
    </w:p>
    <w:p w14:paraId="2D4ABAF7" w14:textId="77777777" w:rsidR="00CB5E63" w:rsidRPr="009C5B72" w:rsidRDefault="00CB5E63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26F35233" w14:textId="77777777" w:rsidR="00F45C51" w:rsidRPr="009C5B72" w:rsidRDefault="00F45C51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Felszívódás</w:t>
      </w:r>
    </w:p>
    <w:p w14:paraId="5FA53868" w14:textId="77777777" w:rsidR="004A071D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szCs w:val="22"/>
          <w:lang w:val="hu-HU"/>
        </w:rPr>
        <w:t>A duloxetin orális adást követően jól felszívódik, a C</w:t>
      </w:r>
      <w:r w:rsidRPr="009C5B72">
        <w:rPr>
          <w:szCs w:val="22"/>
          <w:vertAlign w:val="subscript"/>
          <w:lang w:val="hu-HU"/>
        </w:rPr>
        <w:t>max</w:t>
      </w:r>
      <w:r w:rsidRPr="009C5B72">
        <w:rPr>
          <w:szCs w:val="22"/>
          <w:lang w:val="hu-HU"/>
        </w:rPr>
        <w:t xml:space="preserve"> a bevételt követően 6 órával alakul ki. A duloxetin abszolút orális biohasznosulása 32</w:t>
      </w:r>
      <w:r w:rsidRPr="009C5B72">
        <w:rPr>
          <w:szCs w:val="22"/>
          <w:lang w:val="hu-HU"/>
        </w:rPr>
        <w:noBreakHyphen/>
        <w:t>80% (átlag 50%). Az étkezés 6 óráról 10 órára nyújtja a csúcskoncentráció kialakulását és kis mértékben (körülbelül 11%) csökkenti a felszívódás mértékét. Ezeknek a változásoknak nincs klinikai jelentősége.</w:t>
      </w:r>
    </w:p>
    <w:p w14:paraId="6071CB5D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0893A9F9" w14:textId="77777777" w:rsidR="00F45C51" w:rsidRPr="009C5B72" w:rsidRDefault="00F45C51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Eloszlás</w:t>
      </w:r>
    </w:p>
    <w:p w14:paraId="23EC5A40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A duloxetin körülbelül 96%-ban kötődik </w:t>
      </w:r>
      <w:r w:rsidR="006B1092" w:rsidRPr="009C5B72">
        <w:rPr>
          <w:szCs w:val="22"/>
          <w:lang w:val="hu-HU"/>
        </w:rPr>
        <w:t xml:space="preserve">humán </w:t>
      </w:r>
      <w:r w:rsidRPr="009C5B72">
        <w:rPr>
          <w:szCs w:val="22"/>
          <w:lang w:val="hu-HU"/>
        </w:rPr>
        <w:t>plazmafehérjékhez. A duloxetin kötődik mind az albuminhoz, mind az alfa-1 savas glikoproteinhez. A fehérjekötődést a vese- vagy májkárosodás nem befolyásolja.</w:t>
      </w:r>
    </w:p>
    <w:p w14:paraId="3D4F03D8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1B5350F5" w14:textId="77777777" w:rsidR="00F45C51" w:rsidRPr="009C5B72" w:rsidRDefault="00F45C51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Biotranszformáció</w:t>
      </w:r>
    </w:p>
    <w:p w14:paraId="66559886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szCs w:val="22"/>
          <w:lang w:val="hu-HU"/>
        </w:rPr>
        <w:t>A duloxetin nagymértékben metabolizálódik, és a metabolitok főleg a vizeletben választódnak ki. A P450</w:t>
      </w:r>
      <w:r w:rsidRPr="009C5B72">
        <w:rPr>
          <w:szCs w:val="22"/>
          <w:lang w:val="hu-HU"/>
        </w:rPr>
        <w:noBreakHyphen/>
        <w:t>2D6 és az 1A2 is katalizálja a két fő metabolit, a 4-hidroxiduloxetin glükuronid-konjugátuma, és az 5</w:t>
      </w:r>
      <w:r w:rsidRPr="009C5B72">
        <w:rPr>
          <w:szCs w:val="22"/>
          <w:lang w:val="hu-HU"/>
        </w:rPr>
        <w:noBreakHyphen/>
        <w:t xml:space="preserve">hidroxi,6-metoxiduloxetin szulfát-konjugátuma kialakulását. </w:t>
      </w:r>
      <w:r w:rsidRPr="009C5B72">
        <w:rPr>
          <w:i/>
          <w:szCs w:val="22"/>
          <w:lang w:val="hu-HU"/>
        </w:rPr>
        <w:t>In vitro</w:t>
      </w:r>
      <w:r w:rsidRPr="009C5B72">
        <w:rPr>
          <w:szCs w:val="22"/>
          <w:lang w:val="hu-HU"/>
        </w:rPr>
        <w:t xml:space="preserve"> vizsgálatok alapján a duloxetin keringő metabolitjai farmakológiailag inaktívak. A duloxetin farmakokinetikáját nem vizsgálták olyan betegekben, akik CYP2D6 szempontjából gyenge metabolizálók. Néhány adat arra utal, hogy a duloxetin plazmaszintjei magasabbak ezekben a betegekben.</w:t>
      </w:r>
    </w:p>
    <w:p w14:paraId="7CC93E7E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</w:p>
    <w:p w14:paraId="4F6F649A" w14:textId="77777777" w:rsidR="00F45C51" w:rsidRPr="009C5B72" w:rsidRDefault="00F45C51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Elimináció</w:t>
      </w:r>
    </w:p>
    <w:p w14:paraId="7F735975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szCs w:val="22"/>
          <w:lang w:val="hu-HU"/>
        </w:rPr>
        <w:t>A duloxetin eliminációs felezési ideje orális alkalmazást követően 8 és 17 óra között van (átlagosan 12</w:t>
      </w:r>
      <w:r w:rsidR="002D3632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óra). Intravénás adás után a duloxetin plazma clearance-e 22</w:t>
      </w:r>
      <w:r w:rsidRPr="009C5B72">
        <w:rPr>
          <w:szCs w:val="22"/>
          <w:lang w:val="hu-HU"/>
        </w:rPr>
        <w:noBreakHyphen/>
        <w:t>46 l/óra (átlagosan 36 l/óra). Orális adást követően a duloxetin látszólagos plazma clearance-e 33</w:t>
      </w:r>
      <w:r w:rsidRPr="009C5B72">
        <w:rPr>
          <w:szCs w:val="22"/>
          <w:lang w:val="hu-HU"/>
        </w:rPr>
        <w:noBreakHyphen/>
        <w:t>261 l/óra (átlagosan 101 l/óra).</w:t>
      </w:r>
    </w:p>
    <w:p w14:paraId="073BE4D4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1FC64E4B" w14:textId="77777777" w:rsidR="00F45C51" w:rsidRPr="009C5B72" w:rsidRDefault="00B60F4E" w:rsidP="009C5B72">
      <w:pPr>
        <w:numPr>
          <w:ilvl w:val="12"/>
          <w:numId w:val="0"/>
        </w:numPr>
        <w:spacing w:line="240" w:lineRule="auto"/>
        <w:ind w:right="-2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 xml:space="preserve">Különleges </w:t>
      </w:r>
      <w:r w:rsidR="00892932" w:rsidRPr="009C5B72">
        <w:rPr>
          <w:szCs w:val="22"/>
          <w:u w:val="single"/>
          <w:lang w:val="hu-HU"/>
        </w:rPr>
        <w:t>betegcsoportok:</w:t>
      </w:r>
    </w:p>
    <w:p w14:paraId="15B64C58" w14:textId="2DB16372" w:rsidR="00892932" w:rsidRPr="006062AA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i/>
          <w:szCs w:val="22"/>
          <w:lang w:val="hu-HU"/>
        </w:rPr>
        <w:t>Nem:</w:t>
      </w:r>
      <w:r w:rsidRPr="009C5B72">
        <w:rPr>
          <w:szCs w:val="22"/>
          <w:lang w:val="hu-HU"/>
        </w:rPr>
        <w:t xml:space="preserve"> A férfiak és nők között találtak farmakokinetikai különbségeket (nőknél a látszólagos plazma</w:t>
      </w:r>
      <w:r w:rsidR="006062AA">
        <w:rPr>
          <w:szCs w:val="22"/>
          <w:lang w:val="hu-HU"/>
        </w:rPr>
        <w:t>-</w:t>
      </w:r>
      <w:r w:rsidRPr="006062AA">
        <w:rPr>
          <w:szCs w:val="22"/>
          <w:lang w:val="hu-HU"/>
        </w:rPr>
        <w:t>clearance kb. 50%-kal alacsonyabb). A clearance</w:t>
      </w:r>
      <w:r w:rsidR="006062AA">
        <w:rPr>
          <w:szCs w:val="22"/>
          <w:lang w:val="hu-HU"/>
        </w:rPr>
        <w:t>-</w:t>
      </w:r>
      <w:r w:rsidRPr="006062AA">
        <w:rPr>
          <w:szCs w:val="22"/>
          <w:lang w:val="hu-HU"/>
        </w:rPr>
        <w:t xml:space="preserve">tartomány átfedése alapján ezek a nemhez kötött farmakokinetikai eltérések nem indokolják nőbetegek részére alacsonyabb </w:t>
      </w:r>
      <w:r w:rsidR="00220C04">
        <w:rPr>
          <w:szCs w:val="22"/>
          <w:lang w:val="hu-HU"/>
        </w:rPr>
        <w:t>dózisok</w:t>
      </w:r>
      <w:r w:rsidR="00220C04" w:rsidRPr="006062AA">
        <w:rPr>
          <w:szCs w:val="22"/>
          <w:lang w:val="hu-HU"/>
        </w:rPr>
        <w:t xml:space="preserve"> </w:t>
      </w:r>
      <w:r w:rsidRPr="006062AA">
        <w:rPr>
          <w:szCs w:val="22"/>
          <w:lang w:val="hu-HU"/>
        </w:rPr>
        <w:t>adását.</w:t>
      </w:r>
    </w:p>
    <w:p w14:paraId="0D9B8F2F" w14:textId="77777777" w:rsidR="00892932" w:rsidRPr="00183EF0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23D0AEEE" w14:textId="77777777" w:rsidR="00892932" w:rsidRPr="00951C48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183EF0">
        <w:rPr>
          <w:i/>
          <w:szCs w:val="22"/>
          <w:lang w:val="hu-HU"/>
        </w:rPr>
        <w:t>Életkor:</w:t>
      </w:r>
      <w:r w:rsidRPr="00183EF0">
        <w:rPr>
          <w:szCs w:val="22"/>
          <w:lang w:val="hu-HU"/>
        </w:rPr>
        <w:t xml:space="preserve"> A</w:t>
      </w:r>
      <w:r w:rsidRPr="00951C48">
        <w:rPr>
          <w:szCs w:val="22"/>
          <w:lang w:val="hu-HU"/>
        </w:rPr>
        <w:t>z idősebb (≥</w:t>
      </w:r>
      <w:r w:rsidR="00564F59" w:rsidRPr="00951C48">
        <w:rPr>
          <w:szCs w:val="22"/>
          <w:lang w:val="hu-HU"/>
        </w:rPr>
        <w:t> </w:t>
      </w:r>
      <w:r w:rsidRPr="00951C48">
        <w:rPr>
          <w:szCs w:val="22"/>
          <w:lang w:val="hu-HU"/>
        </w:rPr>
        <w:t>65 év) és fiatalabb nők között találtak farmakokinetikai különbségeket (az időseknél az AUC kb. 25%-kal nő, és a felezési idő kb. 25%-kal hosszabb), azonban ezeknek az eltéréseknek a nagysága nem elégséges ahhoz, hogy dózismódosításra legyen szükség. Általános javaslatként idősek kezelésekor elővigyázatosság szükséges (lásd 4.2 és 4.4 pont).</w:t>
      </w:r>
    </w:p>
    <w:p w14:paraId="17D3A46C" w14:textId="77777777" w:rsidR="00892932" w:rsidRPr="00927751" w:rsidRDefault="00892932" w:rsidP="009C5B72">
      <w:pPr>
        <w:numPr>
          <w:ilvl w:val="12"/>
          <w:numId w:val="0"/>
        </w:numPr>
        <w:spacing w:line="240" w:lineRule="auto"/>
        <w:ind w:right="-2"/>
        <w:rPr>
          <w:i/>
          <w:szCs w:val="22"/>
          <w:lang w:val="hu-HU"/>
        </w:rPr>
      </w:pPr>
    </w:p>
    <w:p w14:paraId="2D579369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i/>
          <w:szCs w:val="22"/>
          <w:lang w:val="hu-HU"/>
        </w:rPr>
        <w:t>Vesekárosodás:</w:t>
      </w:r>
      <w:r w:rsidRPr="009C5B72">
        <w:rPr>
          <w:szCs w:val="22"/>
          <w:lang w:val="hu-HU"/>
        </w:rPr>
        <w:t xml:space="preserve"> A dialízis kezelésben részesülő, végstádiumú veseelégtelenségben szenvedő betegeknél a duloxetin C</w:t>
      </w:r>
      <w:r w:rsidRPr="009C5B72">
        <w:rPr>
          <w:szCs w:val="22"/>
          <w:vertAlign w:val="subscript"/>
          <w:lang w:val="hu-HU"/>
        </w:rPr>
        <w:t>max</w:t>
      </w:r>
      <w:r w:rsidR="007B38EE" w:rsidRPr="009C5B72">
        <w:rPr>
          <w:szCs w:val="22"/>
          <w:lang w:val="hu-HU"/>
        </w:rPr>
        <w:t>-</w:t>
      </w:r>
      <w:r w:rsidRPr="009C5B72">
        <w:rPr>
          <w:szCs w:val="22"/>
          <w:lang w:val="hu-HU"/>
        </w:rPr>
        <w:t>értéke és AUC</w:t>
      </w:r>
      <w:r w:rsidR="007B38EE" w:rsidRPr="009C5B72">
        <w:rPr>
          <w:szCs w:val="22"/>
          <w:lang w:val="hu-HU"/>
        </w:rPr>
        <w:t>-</w:t>
      </w:r>
      <w:r w:rsidRPr="009C5B72">
        <w:rPr>
          <w:szCs w:val="22"/>
          <w:lang w:val="hu-HU"/>
        </w:rPr>
        <w:t>értékei kétszeresei az egészségeseknél mért értékeknek. Enyhe vagy közepesen súlyos vesekárosodásban korlátozottan állnak rendelkezésre a duloxetin farmakokinetikai adatai.</w:t>
      </w:r>
    </w:p>
    <w:p w14:paraId="13BEE443" w14:textId="77777777" w:rsidR="00B60F4E" w:rsidRPr="009C5B72" w:rsidRDefault="00B60F4E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1D478BE6" w14:textId="77777777" w:rsidR="00892932" w:rsidRPr="009C5B72" w:rsidRDefault="00892932" w:rsidP="009C5B72">
      <w:pPr>
        <w:keepNext/>
        <w:numPr>
          <w:ilvl w:val="12"/>
          <w:numId w:val="0"/>
        </w:numPr>
        <w:spacing w:line="240" w:lineRule="auto"/>
        <w:rPr>
          <w:szCs w:val="22"/>
          <w:lang w:val="hu-HU"/>
        </w:rPr>
      </w:pPr>
      <w:r w:rsidRPr="009C5B72">
        <w:rPr>
          <w:i/>
          <w:szCs w:val="22"/>
          <w:lang w:val="hu-HU"/>
        </w:rPr>
        <w:t xml:space="preserve">Májkárosodás: </w:t>
      </w:r>
      <w:r w:rsidRPr="009C5B72">
        <w:rPr>
          <w:szCs w:val="22"/>
          <w:lang w:val="hu-HU"/>
        </w:rPr>
        <w:t>A közepesen súlyos májbetegség (Child-Pugh B osztály) befolyásolja a duloxetin farmakokinetikáját. Egészséges egyénekkel összehasonlítva a duloxetin látszólagos plazma clearance</w:t>
      </w:r>
      <w:r w:rsidR="002D3632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e 79%</w:t>
      </w:r>
      <w:r w:rsidR="00564F59" w:rsidRPr="009C5B72">
        <w:rPr>
          <w:szCs w:val="22"/>
          <w:lang w:val="hu-HU"/>
        </w:rPr>
        <w:noBreakHyphen/>
      </w:r>
      <w:r w:rsidRPr="009C5B72">
        <w:rPr>
          <w:szCs w:val="22"/>
          <w:lang w:val="hu-HU"/>
        </w:rPr>
        <w:t>kal volt kisebb, a látszólagos terminális felezési idő 2,3-sz</w:t>
      </w:r>
      <w:r w:rsidR="007B38EE" w:rsidRPr="009C5B72">
        <w:rPr>
          <w:szCs w:val="22"/>
          <w:lang w:val="hu-HU"/>
        </w:rPr>
        <w:t>e</w:t>
      </w:r>
      <w:r w:rsidRPr="009C5B72">
        <w:rPr>
          <w:szCs w:val="22"/>
          <w:lang w:val="hu-HU"/>
        </w:rPr>
        <w:t>r volt hosszabb, és az AUC 3,7-szer volt nagyobb a közepesen súlyos májbetegségben szenvedő betegeknél. Enyhe vagy súlyos májelégtelenségben nem vizsgálták a duloxetin és metabolitjainak farmakokinetikáját.</w:t>
      </w:r>
    </w:p>
    <w:p w14:paraId="5CCEBAD0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i/>
          <w:szCs w:val="22"/>
          <w:lang w:val="hu-HU"/>
        </w:rPr>
      </w:pPr>
    </w:p>
    <w:p w14:paraId="01E1A99D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i/>
          <w:szCs w:val="22"/>
          <w:lang w:val="hu-HU"/>
        </w:rPr>
        <w:t>Szoptató anyák</w:t>
      </w:r>
      <w:r w:rsidRPr="009C5B72">
        <w:rPr>
          <w:szCs w:val="22"/>
          <w:lang w:val="hu-HU"/>
        </w:rPr>
        <w:t>: 6 szoptató nőnél (legalább 12 héttel a szülést követően) vizsgálták a duloxetin eloszlását. A duloxetin megtalálható az anyatejben és steady-state koncentrációi a vérben mért értékeknek megközelítőleg egynegyede. Az anyatejben lévő duloxetin mennyisége kb. 7</w:t>
      </w:r>
      <w:r w:rsidR="00564F59" w:rsidRPr="009C5B72">
        <w:rPr>
          <w:szCs w:val="22"/>
          <w:lang w:val="hu-HU"/>
        </w:rPr>
        <w:t> </w:t>
      </w:r>
      <w:r w:rsidR="002D3632" w:rsidRPr="009C5B72">
        <w:rPr>
          <w:szCs w:val="22"/>
          <w:lang w:val="hu-HU"/>
        </w:rPr>
        <w:t>mikrogramm</w:t>
      </w:r>
      <w:r w:rsidRPr="009C5B72">
        <w:rPr>
          <w:szCs w:val="22"/>
          <w:lang w:val="hu-HU"/>
        </w:rPr>
        <w:t>/nap, napi kétszer 40</w:t>
      </w:r>
      <w:r w:rsidR="00564F59" w:rsidRPr="009C5B72">
        <w:rPr>
          <w:szCs w:val="22"/>
          <w:lang w:val="hu-HU"/>
        </w:rPr>
        <w:t> </w:t>
      </w:r>
      <w:r w:rsidRPr="009C5B72">
        <w:rPr>
          <w:szCs w:val="22"/>
          <w:lang w:val="hu-HU"/>
        </w:rPr>
        <w:t>mg adagolás mellett. A szoptatás nem befolyásolta a duloxetin farmakokinetikáját.</w:t>
      </w:r>
    </w:p>
    <w:p w14:paraId="49349CAA" w14:textId="77777777" w:rsidR="00892932" w:rsidRPr="009C5B72" w:rsidRDefault="00892932" w:rsidP="009C5B72">
      <w:pPr>
        <w:numPr>
          <w:ilvl w:val="12"/>
          <w:numId w:val="0"/>
        </w:numPr>
        <w:spacing w:line="240" w:lineRule="auto"/>
        <w:ind w:right="-2"/>
        <w:rPr>
          <w:i/>
          <w:szCs w:val="22"/>
          <w:lang w:val="hu-HU"/>
        </w:rPr>
      </w:pPr>
    </w:p>
    <w:p w14:paraId="026AFB2F" w14:textId="5A960718" w:rsidR="00892932" w:rsidRPr="00951C48" w:rsidRDefault="00892932" w:rsidP="009C5B72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9C5B72">
        <w:rPr>
          <w:i/>
          <w:szCs w:val="22"/>
          <w:lang w:val="hu-HU"/>
        </w:rPr>
        <w:t>Gyermekek</w:t>
      </w:r>
      <w:r w:rsidR="00930A2D" w:rsidRPr="009C5B72">
        <w:rPr>
          <w:i/>
          <w:szCs w:val="22"/>
          <w:lang w:val="hu-HU"/>
        </w:rPr>
        <w:t xml:space="preserve"> és serdülők</w:t>
      </w:r>
      <w:r w:rsidRPr="009C5B72">
        <w:rPr>
          <w:i/>
          <w:szCs w:val="22"/>
          <w:lang w:val="hu-HU"/>
        </w:rPr>
        <w:t>:</w:t>
      </w:r>
      <w:r w:rsidRPr="009C5B72">
        <w:rPr>
          <w:szCs w:val="22"/>
          <w:lang w:val="hu-HU"/>
        </w:rPr>
        <w:t xml:space="preserve"> a naponta egyszer, </w:t>
      </w:r>
      <w:r w:rsidRPr="009C5B72">
        <w:rPr>
          <w:i/>
          <w:szCs w:val="22"/>
          <w:lang w:val="hu-HU"/>
        </w:rPr>
        <w:t>per os</w:t>
      </w:r>
      <w:r w:rsidRPr="00553A96">
        <w:rPr>
          <w:szCs w:val="22"/>
          <w:lang w:val="hu-HU"/>
        </w:rPr>
        <w:t xml:space="preserve"> 20</w:t>
      </w:r>
      <w:r w:rsidR="00564F59" w:rsidRPr="00553A96">
        <w:rPr>
          <w:szCs w:val="22"/>
          <w:lang w:val="hu-HU"/>
        </w:rPr>
        <w:noBreakHyphen/>
      </w:r>
      <w:r w:rsidRPr="00553A96">
        <w:rPr>
          <w:szCs w:val="22"/>
          <w:lang w:val="hu-HU"/>
        </w:rPr>
        <w:t>120</w:t>
      </w:r>
      <w:r w:rsidR="00564F59" w:rsidRPr="00553A96">
        <w:rPr>
          <w:szCs w:val="22"/>
          <w:lang w:val="hu-HU"/>
        </w:rPr>
        <w:t> </w:t>
      </w:r>
      <w:r w:rsidRPr="00E35DC5">
        <w:rPr>
          <w:szCs w:val="22"/>
          <w:lang w:val="hu-HU"/>
        </w:rPr>
        <w:t>mg adagolásban alkalmazott duloxetin farmakokinetikáját 7</w:t>
      </w:r>
      <w:r w:rsidR="00564F59" w:rsidRPr="00E35DC5">
        <w:rPr>
          <w:szCs w:val="22"/>
          <w:lang w:val="hu-HU"/>
        </w:rPr>
        <w:noBreakHyphen/>
      </w:r>
      <w:r w:rsidRPr="006062AA">
        <w:rPr>
          <w:szCs w:val="22"/>
          <w:lang w:val="hu-HU"/>
        </w:rPr>
        <w:t>17</w:t>
      </w:r>
      <w:r w:rsidR="00564F59" w:rsidRPr="009138BF">
        <w:rPr>
          <w:szCs w:val="22"/>
          <w:lang w:val="hu-HU"/>
        </w:rPr>
        <w:t> </w:t>
      </w:r>
      <w:r w:rsidRPr="009138BF">
        <w:rPr>
          <w:szCs w:val="22"/>
          <w:lang w:val="hu-HU"/>
        </w:rPr>
        <w:t xml:space="preserve">éves, major depresszív zavarban szenvedő gyermekeknél </w:t>
      </w:r>
      <w:r w:rsidR="00B60F4E" w:rsidRPr="009138BF">
        <w:rPr>
          <w:szCs w:val="22"/>
          <w:lang w:val="hu-HU"/>
        </w:rPr>
        <w:t xml:space="preserve">és serdülőknél </w:t>
      </w:r>
      <w:r w:rsidRPr="00183EF0">
        <w:rPr>
          <w:szCs w:val="22"/>
          <w:lang w:val="hu-HU"/>
        </w:rPr>
        <w:t xml:space="preserve">populáció modell analízisek alapján jellemezték 3 vizsgálatból származó adatok alapján. A modell által gyermekeknél </w:t>
      </w:r>
      <w:r w:rsidR="00D97187">
        <w:rPr>
          <w:szCs w:val="22"/>
          <w:lang w:val="hu-HU"/>
        </w:rPr>
        <w:t xml:space="preserve">és serdülőknél </w:t>
      </w:r>
      <w:r w:rsidRPr="00183EF0">
        <w:rPr>
          <w:szCs w:val="22"/>
          <w:lang w:val="hu-HU"/>
        </w:rPr>
        <w:t>előrejelzett duloxetin dinamikus egyensúlyi állapotú (steady state) plazma-koncentráció legtöbbször a felnőtt betegeknél megfigyelt koncentráció</w:t>
      </w:r>
      <w:r w:rsidRPr="00951C48">
        <w:rPr>
          <w:szCs w:val="22"/>
          <w:lang w:val="hu-HU"/>
        </w:rPr>
        <w:t>tartományon belül volt.</w:t>
      </w:r>
    </w:p>
    <w:p w14:paraId="5D32E0E3" w14:textId="77777777" w:rsidR="00F45C51" w:rsidRPr="00951C48" w:rsidRDefault="00F45C51" w:rsidP="009C5B72">
      <w:pPr>
        <w:numPr>
          <w:ilvl w:val="12"/>
          <w:numId w:val="0"/>
        </w:numPr>
        <w:spacing w:line="240" w:lineRule="auto"/>
        <w:ind w:right="-2"/>
        <w:rPr>
          <w:i/>
          <w:szCs w:val="22"/>
          <w:lang w:val="hu-HU"/>
        </w:rPr>
      </w:pPr>
    </w:p>
    <w:p w14:paraId="03EA41C2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27751">
        <w:rPr>
          <w:rFonts w:eastAsia="Times New Roman"/>
          <w:b/>
          <w:snapToGrid/>
          <w:szCs w:val="22"/>
          <w:lang w:val="hu-HU" w:eastAsia="en-US"/>
        </w:rPr>
        <w:t>5.3</w:t>
      </w:r>
      <w:r w:rsidRPr="00927751">
        <w:rPr>
          <w:rFonts w:eastAsia="Times New Roman"/>
          <w:b/>
          <w:snapToGrid/>
          <w:szCs w:val="22"/>
          <w:lang w:val="hu-HU" w:eastAsia="en-US"/>
        </w:rPr>
        <w:tab/>
        <w:t>A preklinikai biztonságossági vizsgálatok ere</w:t>
      </w:r>
      <w:r w:rsidRPr="009C5B72">
        <w:rPr>
          <w:rFonts w:eastAsia="Times New Roman"/>
          <w:b/>
          <w:snapToGrid/>
          <w:szCs w:val="22"/>
          <w:lang w:val="hu-HU" w:eastAsia="en-US"/>
        </w:rPr>
        <w:t>dményei</w:t>
      </w:r>
    </w:p>
    <w:p w14:paraId="4CE95910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F0A8D63" w14:textId="3CEB36AB" w:rsidR="00564F59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A duloxetin a standard vizsgálatok során nem volt genotoxikus és patkányoknál nem volt carcinogén. A patkányokban végzett </w:t>
      </w:r>
      <w:r w:rsidR="00D97187">
        <w:rPr>
          <w:rFonts w:eastAsia="Times New Roman"/>
          <w:snapToGrid/>
          <w:szCs w:val="22"/>
          <w:lang w:val="hu-HU" w:eastAsia="en-US"/>
        </w:rPr>
        <w:t>k</w:t>
      </w:r>
      <w:r w:rsidRPr="009C5B72">
        <w:rPr>
          <w:rFonts w:eastAsia="Times New Roman"/>
          <w:snapToGrid/>
          <w:szCs w:val="22"/>
          <w:lang w:val="hu-HU" w:eastAsia="en-US"/>
        </w:rPr>
        <w:t>arcinogenitási vizsgálatban, a májban többmagvú sejteket észleltek egyéb his</w:t>
      </w:r>
      <w:r w:rsidR="009F394C" w:rsidRPr="009C5B72">
        <w:rPr>
          <w:rFonts w:eastAsia="Times New Roman"/>
          <w:snapToGrid/>
          <w:szCs w:val="22"/>
          <w:lang w:val="hu-HU" w:eastAsia="en-US"/>
        </w:rPr>
        <w:t>z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topathológiai elváltozások nélkül. Az ezt létrehozó mechanizmus és ennek klinikai jelentősége nem ismeretes. A 2 évig duloxetint kapó nőstény egerekben csak nagy </w:t>
      </w:r>
      <w:r w:rsidR="007F07BD">
        <w:rPr>
          <w:rFonts w:eastAsia="Times New Roman"/>
          <w:snapToGrid/>
          <w:szCs w:val="22"/>
          <w:lang w:val="hu-HU" w:eastAsia="en-US"/>
        </w:rPr>
        <w:t>dózisok</w:t>
      </w:r>
      <w:r w:rsidR="007F07BD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esetén (144</w:t>
      </w:r>
      <w:r w:rsidR="002D3632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mg/ttkg/nap) nőtt a hepatocelluláris adenoma és carcinoma gyakorisága, de ezt a hepatikus mikroszomális enzimindukció következményének tartották. Az egéren szerzett adatok humán jelentősége nem ismert. A párzás előtt és után, valamint a korai vemhesség ideje alatt duloxetint (45</w:t>
      </w:r>
      <w:r w:rsidR="009F394C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mg/ttkg/nap) kapó nőstény patkányoknál legfeljebb a maximális klinikai expozíciónak megfelelő (AUC) szisztémás expozíciós szint mellett csökkent az anyai táplálék felhasználás és a testsúly, az ösztrusz ciklus megszakadása volt észlelhető, csökkent az élve születés aránya és az utódok túlélése, valamint az utódok növekedési retardációját tapasztalták. Egy nyulakban végzett embriotoxicitási vizsgálatban a maximális klinikai expozíció (AUC) alatti szisztémás expozíciós szint mellett cardiovascularis és csont malformatiók magasabb incidenciáját észlelték. Egy másik, a duloxetin előbbitől különböző sóját magasabb </w:t>
      </w:r>
      <w:r w:rsidR="007F07BD">
        <w:rPr>
          <w:rFonts w:eastAsia="Times New Roman"/>
          <w:snapToGrid/>
          <w:szCs w:val="22"/>
          <w:lang w:val="hu-HU" w:eastAsia="en-US"/>
        </w:rPr>
        <w:t>dózisban</w:t>
      </w:r>
      <w:r w:rsidR="007F07BD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alkalmazó vizsgálatban nem észleltek malformatiót. A patkányokban végzett prenatális/postnatális toxicitási vizsgálatok során a duloxetin adverz viselkedési hatásokat idézett elő az utódokban a maximális klinikai expozíció (AUC) alatti </w:t>
      </w:r>
      <w:r w:rsidR="007F07BD">
        <w:rPr>
          <w:rFonts w:eastAsia="Times New Roman"/>
          <w:snapToGrid/>
          <w:szCs w:val="22"/>
          <w:lang w:val="hu-HU" w:eastAsia="en-US"/>
        </w:rPr>
        <w:t>dózisok</w:t>
      </w:r>
      <w:r w:rsidR="007F07BD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Pr="009C5B72">
        <w:rPr>
          <w:rFonts w:eastAsia="Times New Roman"/>
          <w:snapToGrid/>
          <w:szCs w:val="22"/>
          <w:lang w:val="hu-HU" w:eastAsia="en-US"/>
        </w:rPr>
        <w:t>esetében.</w:t>
      </w:r>
    </w:p>
    <w:p w14:paraId="42DEC8E2" w14:textId="77777777" w:rsidR="00564F59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CD6F99" w14:textId="269D0A53" w:rsidR="00F45C51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Juvenilis patkányokon végzett vizsgálatok átmeneti neurobehaviorális hatásokat, valamint jelentősen csökkent testtömeget és táplálékfogyasztást, májenzim indukciót és hepatocellularis vakuolizációt mutattak ki 45 mg/ttkg/nap </w:t>
      </w:r>
      <w:r w:rsidR="007F07BD">
        <w:rPr>
          <w:rFonts w:eastAsia="Times New Roman"/>
          <w:snapToGrid/>
          <w:szCs w:val="22"/>
          <w:lang w:val="hu-HU" w:eastAsia="en-US"/>
        </w:rPr>
        <w:t>dózisnál</w:t>
      </w:r>
      <w:r w:rsidRPr="009C5B72">
        <w:rPr>
          <w:rFonts w:eastAsia="Times New Roman"/>
          <w:snapToGrid/>
          <w:szCs w:val="22"/>
          <w:lang w:val="hu-HU" w:eastAsia="en-US"/>
        </w:rPr>
        <w:t>. A duloxetin általános toxicitási profilja juvenilis patkányoknál hasonló volt ahhoz, amit felnőtt patkányokon tapasztaltak. A mellékhatást nem okozó dózisszintet 20</w:t>
      </w:r>
      <w:r w:rsidR="009F394C" w:rsidRPr="009C5B72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mg/ttkg/nap értékben állapították meg.</w:t>
      </w:r>
    </w:p>
    <w:p w14:paraId="1F3F3732" w14:textId="77777777" w:rsidR="00F45C51" w:rsidRPr="009C5B72" w:rsidRDefault="00F45C51" w:rsidP="009C5B72">
      <w:pPr>
        <w:spacing w:line="240" w:lineRule="auto"/>
        <w:rPr>
          <w:szCs w:val="22"/>
          <w:lang w:val="hu-HU"/>
        </w:rPr>
      </w:pPr>
    </w:p>
    <w:p w14:paraId="57354152" w14:textId="77777777" w:rsidR="00F45C51" w:rsidRPr="009C5B72" w:rsidRDefault="00F45C51" w:rsidP="009C5B72">
      <w:pPr>
        <w:spacing w:line="240" w:lineRule="auto"/>
        <w:rPr>
          <w:szCs w:val="22"/>
          <w:lang w:val="hu-HU"/>
        </w:rPr>
      </w:pPr>
    </w:p>
    <w:p w14:paraId="3117BD8F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76CFD776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1E89B2C5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6.1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39BEE6F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16DB03" w14:textId="77777777" w:rsidR="00564F59" w:rsidRPr="009C5B72" w:rsidRDefault="00564F59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Kapszula tartalma:</w:t>
      </w:r>
    </w:p>
    <w:p w14:paraId="77DCCEE3" w14:textId="77777777" w:rsidR="00564F59" w:rsidRPr="009C5B72" w:rsidRDefault="00015C51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cukorgömböcskék</w:t>
      </w:r>
      <w:r w:rsidRPr="009C5B72" w:rsidDel="00015C51">
        <w:rPr>
          <w:szCs w:val="22"/>
          <w:lang w:val="hu-HU"/>
        </w:rPr>
        <w:t xml:space="preserve"> </w:t>
      </w:r>
      <w:r w:rsidR="00564F59" w:rsidRPr="009C5B72">
        <w:rPr>
          <w:szCs w:val="22"/>
          <w:lang w:val="hu-HU"/>
        </w:rPr>
        <w:t>(szacharóz, kukoricakeményítő)</w:t>
      </w:r>
    </w:p>
    <w:p w14:paraId="6CF9E1A2" w14:textId="71A1E193" w:rsidR="00564F59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h</w:t>
      </w:r>
      <w:r w:rsidR="00564F59" w:rsidRPr="009C5B72">
        <w:rPr>
          <w:szCs w:val="22"/>
          <w:lang w:val="hu-HU"/>
        </w:rPr>
        <w:t xml:space="preserve">ipromellóz 6 </w:t>
      </w:r>
      <w:r w:rsidR="007C5C4A" w:rsidRPr="009C5B72">
        <w:rPr>
          <w:szCs w:val="22"/>
          <w:lang w:val="hu-HU"/>
        </w:rPr>
        <w:t>c</w:t>
      </w:r>
      <w:r w:rsidR="00AA2199">
        <w:rPr>
          <w:szCs w:val="22"/>
          <w:lang w:val="hu-HU"/>
        </w:rPr>
        <w:t>P</w:t>
      </w:r>
    </w:p>
    <w:p w14:paraId="4951F7C4" w14:textId="77777777" w:rsidR="00564F59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s</w:t>
      </w:r>
      <w:r w:rsidR="00564F59" w:rsidRPr="009C5B72">
        <w:rPr>
          <w:szCs w:val="22"/>
          <w:lang w:val="hu-HU"/>
        </w:rPr>
        <w:t>zacharóz</w:t>
      </w:r>
    </w:p>
    <w:p w14:paraId="46B12448" w14:textId="2C109C3C" w:rsidR="009A4183" w:rsidRPr="009C5B72" w:rsidRDefault="009A4183" w:rsidP="009C5B7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aszkorbinsav</w:t>
      </w:r>
    </w:p>
    <w:p w14:paraId="1D800660" w14:textId="77777777" w:rsidR="009A4183" w:rsidRPr="00262706" w:rsidRDefault="009A4183" w:rsidP="009A4183">
      <w:pPr>
        <w:spacing w:line="240" w:lineRule="auto"/>
        <w:rPr>
          <w:szCs w:val="22"/>
          <w:lang w:val="hu-HU"/>
        </w:rPr>
      </w:pPr>
      <w:r>
        <w:rPr>
          <w:szCs w:val="22"/>
        </w:rPr>
        <w:t>h</w:t>
      </w:r>
      <w:r w:rsidRPr="00180D4E">
        <w:rPr>
          <w:szCs w:val="22"/>
        </w:rPr>
        <w:t>ipromellóz-acetát-szukcinát</w:t>
      </w:r>
    </w:p>
    <w:p w14:paraId="1B911BAC" w14:textId="77777777" w:rsidR="00564F59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t</w:t>
      </w:r>
      <w:r w:rsidR="00564F59" w:rsidRPr="009C5B72">
        <w:rPr>
          <w:szCs w:val="22"/>
          <w:lang w:val="hu-HU"/>
        </w:rPr>
        <w:t>alkum</w:t>
      </w:r>
    </w:p>
    <w:p w14:paraId="28DF4883" w14:textId="77777777" w:rsidR="00564F59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t</w:t>
      </w:r>
      <w:r w:rsidR="00564F59" w:rsidRPr="009C5B72">
        <w:rPr>
          <w:szCs w:val="22"/>
          <w:lang w:val="hu-HU"/>
        </w:rPr>
        <w:t>rietil-citrát</w:t>
      </w:r>
    </w:p>
    <w:p w14:paraId="14FF0999" w14:textId="4EE1182F" w:rsidR="009A4183" w:rsidRPr="009C5B72" w:rsidRDefault="009A4183" w:rsidP="009C5B7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titán-dioxid (E171)</w:t>
      </w:r>
    </w:p>
    <w:p w14:paraId="18ED97D1" w14:textId="77777777" w:rsidR="00564F59" w:rsidRPr="009C5B72" w:rsidRDefault="00564F59" w:rsidP="009C5B72">
      <w:pPr>
        <w:spacing w:line="240" w:lineRule="auto"/>
        <w:rPr>
          <w:szCs w:val="22"/>
          <w:lang w:val="hu-HU"/>
        </w:rPr>
      </w:pPr>
    </w:p>
    <w:p w14:paraId="6DE5F8AD" w14:textId="77777777" w:rsidR="00564F59" w:rsidRPr="009C5B72" w:rsidRDefault="00564F59" w:rsidP="009C5B72">
      <w:pPr>
        <w:spacing w:line="240" w:lineRule="auto"/>
        <w:rPr>
          <w:szCs w:val="22"/>
          <w:u w:val="single"/>
          <w:lang w:val="hu-HU"/>
        </w:rPr>
      </w:pPr>
      <w:r w:rsidRPr="009C5B72">
        <w:rPr>
          <w:szCs w:val="22"/>
          <w:u w:val="single"/>
          <w:lang w:val="hu-HU"/>
        </w:rPr>
        <w:t>Kapszulahéj:</w:t>
      </w:r>
    </w:p>
    <w:p w14:paraId="2A81F731" w14:textId="77777777" w:rsidR="00564F59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z</w:t>
      </w:r>
      <w:r w:rsidR="00564F59" w:rsidRPr="009C5B72">
        <w:rPr>
          <w:szCs w:val="22"/>
          <w:lang w:val="hu-HU"/>
        </w:rPr>
        <w:t>selatin</w:t>
      </w:r>
    </w:p>
    <w:p w14:paraId="56F4CD78" w14:textId="77777777" w:rsidR="00564F59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t</w:t>
      </w:r>
      <w:r w:rsidR="00564F59" w:rsidRPr="009C5B72">
        <w:rPr>
          <w:szCs w:val="22"/>
          <w:lang w:val="hu-HU"/>
        </w:rPr>
        <w:t>itán-dioxid (E171)</w:t>
      </w:r>
    </w:p>
    <w:p w14:paraId="087B570E" w14:textId="77777777" w:rsidR="00564F59" w:rsidRPr="009C5B72" w:rsidRDefault="00527558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 xml:space="preserve">indigókármin </w:t>
      </w:r>
      <w:r w:rsidR="00564F59" w:rsidRPr="009C5B72">
        <w:rPr>
          <w:szCs w:val="22"/>
          <w:lang w:val="hu-HU"/>
        </w:rPr>
        <w:t>(E132)</w:t>
      </w:r>
    </w:p>
    <w:p w14:paraId="7EC75B1F" w14:textId="77777777" w:rsidR="00564F59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s</w:t>
      </w:r>
      <w:r w:rsidR="00564F59" w:rsidRPr="009C5B72">
        <w:rPr>
          <w:szCs w:val="22"/>
          <w:lang w:val="hu-HU"/>
        </w:rPr>
        <w:t>árga vas-oxid (E172) – csak a 60 mg-os kapszulánál</w:t>
      </w:r>
    </w:p>
    <w:p w14:paraId="40FFA674" w14:textId="0D53588C" w:rsidR="00F45C51" w:rsidRPr="009C5B72" w:rsidRDefault="00CB6652" w:rsidP="009C5B72">
      <w:pPr>
        <w:spacing w:line="240" w:lineRule="auto"/>
        <w:rPr>
          <w:szCs w:val="22"/>
          <w:lang w:val="hu-HU"/>
        </w:rPr>
      </w:pPr>
      <w:r w:rsidRPr="009C5B72">
        <w:rPr>
          <w:szCs w:val="22"/>
          <w:lang w:val="hu-HU"/>
        </w:rPr>
        <w:t>j</w:t>
      </w:r>
      <w:r w:rsidR="00564F59" w:rsidRPr="009C5B72">
        <w:rPr>
          <w:szCs w:val="22"/>
          <w:lang w:val="hu-HU"/>
        </w:rPr>
        <w:t xml:space="preserve">elölőfesték (sellak, </w:t>
      </w:r>
      <w:r w:rsidR="009A4183">
        <w:rPr>
          <w:szCs w:val="22"/>
        </w:rPr>
        <w:t>p</w:t>
      </w:r>
      <w:r w:rsidR="009A4183" w:rsidRPr="00180D4E">
        <w:rPr>
          <w:szCs w:val="22"/>
        </w:rPr>
        <w:t>ropilénglikol</w:t>
      </w:r>
      <w:r w:rsidR="009A4183">
        <w:rPr>
          <w:szCs w:val="22"/>
        </w:rPr>
        <w:t xml:space="preserve"> </w:t>
      </w:r>
      <w:r w:rsidR="00B93CD8">
        <w:rPr>
          <w:szCs w:val="22"/>
        </w:rPr>
        <w:t>[</w:t>
      </w:r>
      <w:r w:rsidR="009A4183">
        <w:rPr>
          <w:szCs w:val="22"/>
        </w:rPr>
        <w:t>E1520</w:t>
      </w:r>
      <w:r w:rsidR="00B93CD8">
        <w:rPr>
          <w:szCs w:val="22"/>
        </w:rPr>
        <w:t>]</w:t>
      </w:r>
      <w:r w:rsidR="009A4183">
        <w:rPr>
          <w:szCs w:val="22"/>
        </w:rPr>
        <w:t xml:space="preserve">, </w:t>
      </w:r>
      <w:r w:rsidR="00564F59" w:rsidRPr="009C5B72">
        <w:rPr>
          <w:szCs w:val="22"/>
          <w:lang w:val="hu-HU"/>
        </w:rPr>
        <w:t xml:space="preserve">fekete vas-oxid </w:t>
      </w:r>
      <w:r w:rsidR="00B93CD8">
        <w:rPr>
          <w:szCs w:val="22"/>
          <w:lang w:val="hu-HU"/>
        </w:rPr>
        <w:t>[</w:t>
      </w:r>
      <w:r w:rsidR="00564F59" w:rsidRPr="009C5B72">
        <w:rPr>
          <w:szCs w:val="22"/>
          <w:lang w:val="hu-HU"/>
        </w:rPr>
        <w:t>E172</w:t>
      </w:r>
      <w:r w:rsidR="00B93CD8">
        <w:rPr>
          <w:szCs w:val="22"/>
          <w:lang w:val="hu-HU"/>
        </w:rPr>
        <w:t>]</w:t>
      </w:r>
      <w:r w:rsidR="009A4183">
        <w:rPr>
          <w:szCs w:val="22"/>
          <w:lang w:val="hu-HU"/>
        </w:rPr>
        <w:t xml:space="preserve">, kálium-hidroxid </w:t>
      </w:r>
      <w:r w:rsidR="00B93CD8">
        <w:rPr>
          <w:szCs w:val="22"/>
          <w:lang w:val="hu-HU"/>
        </w:rPr>
        <w:t>[</w:t>
      </w:r>
      <w:r w:rsidR="009A4183">
        <w:rPr>
          <w:szCs w:val="22"/>
          <w:lang w:val="hu-HU"/>
        </w:rPr>
        <w:t>E525</w:t>
      </w:r>
      <w:r w:rsidR="00B93CD8">
        <w:rPr>
          <w:szCs w:val="22"/>
          <w:lang w:val="hu-HU"/>
        </w:rPr>
        <w:t>]</w:t>
      </w:r>
      <w:r w:rsidR="00564F59" w:rsidRPr="009C5B72">
        <w:rPr>
          <w:szCs w:val="22"/>
          <w:lang w:val="hu-HU"/>
        </w:rPr>
        <w:t>)</w:t>
      </w:r>
    </w:p>
    <w:p w14:paraId="2AA18316" w14:textId="77777777" w:rsidR="00564F59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12EBFC2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6.2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497F2402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D9532D9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4FCC8BAB" w14:textId="77777777" w:rsidR="00F45C51" w:rsidRPr="009C5B72" w:rsidRDefault="00F45C51" w:rsidP="009C5B72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7516FAFB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6.3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0DA7638D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A2CF25" w14:textId="77777777" w:rsidR="00F45C51" w:rsidRPr="009C5B72" w:rsidRDefault="00BD284F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2 év</w:t>
      </w:r>
    </w:p>
    <w:p w14:paraId="25F19DC1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13DAA63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6.4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75BE776C" w14:textId="77777777" w:rsidR="00564F59" w:rsidRPr="009C5B72" w:rsidRDefault="00564F59" w:rsidP="009C5B72">
      <w:pPr>
        <w:spacing w:line="240" w:lineRule="auto"/>
        <w:ind w:left="567" w:hanging="567"/>
        <w:outlineLvl w:val="0"/>
        <w:rPr>
          <w:rFonts w:eastAsia="Times New Roman"/>
          <w:snapToGrid/>
          <w:szCs w:val="22"/>
          <w:lang w:val="hu-HU" w:eastAsia="en-US"/>
        </w:rPr>
      </w:pPr>
    </w:p>
    <w:p w14:paraId="26F853CF" w14:textId="1B0DF460" w:rsidR="00F45C51" w:rsidRPr="009C5B72" w:rsidRDefault="00564F59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Legfeljebb </w:t>
      </w:r>
      <w:r w:rsidR="009A4183">
        <w:rPr>
          <w:rFonts w:eastAsia="Times New Roman"/>
          <w:snapToGrid/>
          <w:szCs w:val="22"/>
          <w:lang w:val="hu-HU" w:eastAsia="en-US"/>
        </w:rPr>
        <w:t>30</w:t>
      </w:r>
      <w:r w:rsidR="00B93CD8">
        <w:rPr>
          <w:rFonts w:eastAsia="Times New Roman"/>
          <w:snapToGrid/>
          <w:szCs w:val="22"/>
          <w:lang w:val="hu-HU" w:eastAsia="en-US"/>
        </w:rPr>
        <w:t> </w:t>
      </w:r>
      <w:r w:rsidRPr="009C5B72">
        <w:rPr>
          <w:rFonts w:eastAsia="Times New Roman"/>
          <w:snapToGrid/>
          <w:szCs w:val="22"/>
          <w:lang w:val="hu-HU" w:eastAsia="en-US"/>
        </w:rPr>
        <w:t>°C-on tárolandó.</w:t>
      </w:r>
    </w:p>
    <w:p w14:paraId="1FB4037E" w14:textId="77777777" w:rsidR="00077267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A nedvességtől való védelem érdekében az eredeti csomagolásban tárolandó.</w:t>
      </w:r>
    </w:p>
    <w:p w14:paraId="57F6C3B3" w14:textId="77777777" w:rsidR="00564F59" w:rsidRPr="009C5B72" w:rsidRDefault="00564F59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BE9C72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6.5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 xml:space="preserve">Csomagolás típusa és kiszerelése </w:t>
      </w:r>
    </w:p>
    <w:p w14:paraId="1B8482E7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59EA851" w14:textId="77777777" w:rsidR="006B1092" w:rsidRPr="009C5B72" w:rsidRDefault="006B1092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7, 10, 14, 28, 30, 56, 60, 90 és 100 </w:t>
      </w:r>
      <w:r w:rsidR="00D90D30" w:rsidRPr="009C5B72">
        <w:rPr>
          <w:rFonts w:eastAsia="Times New Roman"/>
          <w:snapToGrid/>
          <w:szCs w:val="22"/>
          <w:lang w:val="hu-HU" w:eastAsia="en-US"/>
        </w:rPr>
        <w:t xml:space="preserve">db 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gyomornedv-ellenálló kemény kapszula, </w:t>
      </w:r>
    </w:p>
    <w:p w14:paraId="72AC0171" w14:textId="3F2019FE" w:rsidR="007C5C4A" w:rsidRPr="009C5B72" w:rsidRDefault="007C5C4A" w:rsidP="009C5B72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9C5B72">
        <w:rPr>
          <w:rFonts w:eastAsia="TimesNewRoman"/>
          <w:snapToGrid/>
          <w:szCs w:val="22"/>
          <w:lang w:val="hu-HU" w:eastAsia="hu-HU"/>
        </w:rPr>
        <w:t>OPA/Al/PE + DES//</w:t>
      </w:r>
      <w:r w:rsidR="00B93CD8">
        <w:rPr>
          <w:rFonts w:eastAsia="TimesNewRoman"/>
          <w:snapToGrid/>
          <w:szCs w:val="22"/>
          <w:lang w:val="hu-HU" w:eastAsia="hu-HU"/>
        </w:rPr>
        <w:t>PE</w:t>
      </w:r>
      <w:r w:rsidRPr="009C5B72">
        <w:rPr>
          <w:rFonts w:eastAsia="TimesNewRoman"/>
          <w:snapToGrid/>
          <w:szCs w:val="22"/>
          <w:lang w:val="hu-HU" w:eastAsia="hu-HU"/>
        </w:rPr>
        <w:t>/</w:t>
      </w:r>
      <w:r w:rsidR="00B93CD8">
        <w:rPr>
          <w:rFonts w:eastAsia="TimesNewRoman"/>
          <w:snapToGrid/>
          <w:szCs w:val="22"/>
          <w:lang w:val="hu-HU" w:eastAsia="hu-HU"/>
        </w:rPr>
        <w:t>Al</w:t>
      </w:r>
      <w:r w:rsidRPr="009C5B72">
        <w:rPr>
          <w:rFonts w:eastAsia="TimesNewRoman"/>
          <w:snapToGrid/>
          <w:szCs w:val="22"/>
          <w:lang w:val="hu-HU" w:eastAsia="hu-HU"/>
        </w:rPr>
        <w:t xml:space="preserve"> buborékcsomagolásban és dobozban.</w:t>
      </w:r>
    </w:p>
    <w:p w14:paraId="4BC039F8" w14:textId="77777777" w:rsidR="001C3797" w:rsidRPr="009C5B72" w:rsidRDefault="001C3797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7CCAEB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56815B75" w14:textId="77777777" w:rsidR="00077267" w:rsidRPr="009C5B72" w:rsidRDefault="00077267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B9E7949" w14:textId="77777777" w:rsidR="00495D95" w:rsidRPr="009C5B72" w:rsidRDefault="00F45C51" w:rsidP="009C5B72">
      <w:pPr>
        <w:autoSpaceDE w:val="0"/>
        <w:autoSpaceDN w:val="0"/>
        <w:adjustRightInd w:val="0"/>
        <w:spacing w:line="240" w:lineRule="auto"/>
        <w:ind w:left="567" w:hanging="567"/>
        <w:rPr>
          <w:rFonts w:eastAsia="Lucida Sans Unicode"/>
          <w:b/>
          <w:snapToGrid/>
          <w:szCs w:val="22"/>
          <w:lang w:val="hu-HU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6.6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</w:t>
      </w:r>
      <w:r w:rsidR="00495D95" w:rsidRPr="009C5B72">
        <w:rPr>
          <w:rFonts w:eastAsia="Lucida Sans Unicode"/>
          <w:b/>
          <w:snapToGrid/>
          <w:szCs w:val="22"/>
          <w:lang w:val="hu-HU"/>
        </w:rPr>
        <w:t xml:space="preserve"> és egyéb, a készítmény kezelésével kapcsolatos információk</w:t>
      </w:r>
    </w:p>
    <w:p w14:paraId="499FC0EF" w14:textId="77777777" w:rsidR="00F45C51" w:rsidRPr="009C5B72" w:rsidRDefault="00F45C51" w:rsidP="009C5B72">
      <w:pPr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10B95B62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9C5B72">
        <w:rPr>
          <w:rFonts w:eastAsia="Times New Roman"/>
          <w:snapToGrid/>
          <w:szCs w:val="22"/>
          <w:lang w:val="hu-HU" w:eastAsia="en-US"/>
        </w:rPr>
        <w:t>gyógyszerekre vonatkozó</w:t>
      </w:r>
      <w:r w:rsidRPr="009C5B72">
        <w:rPr>
          <w:rFonts w:eastAsia="Times New Roman"/>
          <w:snapToGrid/>
          <w:szCs w:val="22"/>
          <w:lang w:val="hu-HU" w:eastAsia="en-US"/>
        </w:rPr>
        <w:t xml:space="preserve"> előírások szerint kell végrehajtani.</w:t>
      </w:r>
    </w:p>
    <w:p w14:paraId="31F367D0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1E26CA7" w14:textId="77777777" w:rsidR="00F728BE" w:rsidRPr="009C5B72" w:rsidRDefault="00F728BE" w:rsidP="009C5B72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9C5B72">
        <w:rPr>
          <w:rFonts w:eastAsia="Times New Roman"/>
          <w:b/>
          <w:snapToGrid/>
          <w:szCs w:val="22"/>
          <w:lang w:val="hu-HU" w:eastAsia="ar-SA"/>
        </w:rPr>
        <w:t>Megjegyzés:</w:t>
      </w:r>
      <w:r w:rsidRPr="009C5B72">
        <w:rPr>
          <w:rFonts w:eastAsia="Times New Roman"/>
          <w:snapToGrid/>
          <w:szCs w:val="22"/>
          <w:lang w:val="hu-HU" w:eastAsia="ar-SA"/>
        </w:rPr>
        <w:t xml:space="preserve"> </w:t>
      </w:r>
      <w:r w:rsidRPr="009C5B72">
        <w:rPr>
          <w:rFonts w:ascii="Wingdings" w:eastAsia="Wingdings" w:hAnsi="Wingdings"/>
          <w:snapToGrid/>
          <w:szCs w:val="22"/>
          <w:lang w:val="hu-HU" w:eastAsia="ar-SA"/>
        </w:rPr>
        <w:t></w:t>
      </w:r>
      <w:r w:rsidRPr="009C5B72">
        <w:rPr>
          <w:rFonts w:eastAsia="Times New Roman"/>
          <w:snapToGrid/>
          <w:szCs w:val="22"/>
          <w:lang w:val="hu-HU" w:eastAsia="ar-SA"/>
        </w:rPr>
        <w:t xml:space="preserve"> (egy</w:t>
      </w:r>
      <w:r w:rsidR="00495D95" w:rsidRPr="009C5B72">
        <w:rPr>
          <w:rFonts w:eastAsia="Times New Roman"/>
          <w:snapToGrid/>
          <w:szCs w:val="22"/>
          <w:lang w:val="hu-HU" w:eastAsia="ar-SA"/>
        </w:rPr>
        <w:t xml:space="preserve"> </w:t>
      </w:r>
      <w:r w:rsidRPr="009C5B72">
        <w:rPr>
          <w:rFonts w:eastAsia="Times New Roman"/>
          <w:snapToGrid/>
          <w:szCs w:val="22"/>
          <w:lang w:val="hu-HU" w:eastAsia="ar-SA"/>
        </w:rPr>
        <w:t>keresztes)</w:t>
      </w:r>
    </w:p>
    <w:p w14:paraId="466F378E" w14:textId="77777777" w:rsidR="00F728BE" w:rsidRPr="009C5B72" w:rsidRDefault="00F728BE" w:rsidP="009C5B72">
      <w:pPr>
        <w:tabs>
          <w:tab w:val="clear" w:pos="567"/>
        </w:tabs>
        <w:suppressAutoHyphens/>
        <w:spacing w:line="240" w:lineRule="auto"/>
        <w:rPr>
          <w:rFonts w:eastAsia="Times New Roman"/>
          <w:b/>
          <w:snapToGrid/>
          <w:szCs w:val="22"/>
          <w:lang w:val="hu-HU" w:eastAsia="ar-SA"/>
        </w:rPr>
      </w:pPr>
      <w:r w:rsidRPr="009C5B72">
        <w:rPr>
          <w:rFonts w:eastAsia="Times New Roman"/>
          <w:b/>
          <w:snapToGrid/>
          <w:szCs w:val="22"/>
          <w:lang w:val="hu-HU" w:eastAsia="ar-SA"/>
        </w:rPr>
        <w:t>Osztályozás:</w:t>
      </w:r>
      <w:r w:rsidRPr="009C5B72">
        <w:rPr>
          <w:rFonts w:eastAsia="Times New Roman"/>
          <w:snapToGrid/>
          <w:szCs w:val="22"/>
          <w:lang w:val="hu-HU" w:eastAsia="ar-SA"/>
        </w:rPr>
        <w:t xml:space="preserve"> </w:t>
      </w:r>
      <w:r w:rsidRPr="009C5B72">
        <w:rPr>
          <w:rFonts w:eastAsia="Times New Roman"/>
          <w:b/>
          <w:snapToGrid/>
          <w:szCs w:val="22"/>
          <w:lang w:val="hu-HU" w:eastAsia="ar-SA"/>
        </w:rPr>
        <w:t>II. csoport</w:t>
      </w:r>
    </w:p>
    <w:p w14:paraId="33B32A36" w14:textId="77777777" w:rsidR="00F728BE" w:rsidRPr="009C5B72" w:rsidRDefault="00F728BE" w:rsidP="009C5B72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9C5B72">
        <w:rPr>
          <w:rFonts w:eastAsia="Times New Roman"/>
          <w:snapToGrid/>
          <w:szCs w:val="22"/>
          <w:lang w:val="hu-HU" w:eastAsia="ar-SA"/>
        </w:rPr>
        <w:t>Kizárólag orvosi rendelvényhez kötött gyógyszer (V).</w:t>
      </w:r>
    </w:p>
    <w:p w14:paraId="7B673B78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42617357" w14:textId="77777777" w:rsidR="00CB6652" w:rsidRPr="009C5B72" w:rsidRDefault="00CB6652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F92971D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7.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25BC0A74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9E9D297" w14:textId="77777777" w:rsidR="00F45C51" w:rsidRPr="009C5B72" w:rsidRDefault="001C3797" w:rsidP="009C5B72">
      <w:pPr>
        <w:spacing w:line="240" w:lineRule="auto"/>
        <w:ind w:left="567" w:hanging="567"/>
        <w:outlineLvl w:val="0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KRKA, d.d., Novo mesto, Šmarješka cesta 6, 8501 Novo mesto, Szlovénia</w:t>
      </w:r>
    </w:p>
    <w:p w14:paraId="5A40CB83" w14:textId="77777777" w:rsidR="001C3797" w:rsidRPr="009C5B72" w:rsidRDefault="001C3797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02CC4692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71BC0AAE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8.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55F2A588" w14:textId="77777777" w:rsidR="00746EF5" w:rsidRPr="009C5B72" w:rsidRDefault="00746EF5" w:rsidP="009C5B72">
      <w:pPr>
        <w:spacing w:line="240" w:lineRule="auto"/>
        <w:ind w:left="567" w:hanging="567"/>
        <w:outlineLvl w:val="0"/>
        <w:rPr>
          <w:rFonts w:eastAsia="Times New Roman"/>
          <w:snapToGrid/>
          <w:szCs w:val="22"/>
          <w:lang w:val="hu-HU" w:eastAsia="en-US"/>
        </w:rPr>
      </w:pPr>
    </w:p>
    <w:p w14:paraId="58C52799" w14:textId="77777777" w:rsidR="00F45C51" w:rsidRPr="009C5B72" w:rsidRDefault="00746EF5" w:rsidP="009C5B72">
      <w:pPr>
        <w:spacing w:line="240" w:lineRule="auto"/>
        <w:ind w:left="567" w:hanging="567"/>
        <w:outlineLvl w:val="0"/>
        <w:rPr>
          <w:szCs w:val="22"/>
          <w:u w:val="single"/>
          <w:lang w:val="hu-HU"/>
        </w:rPr>
      </w:pPr>
      <w:r w:rsidRPr="009C5B72">
        <w:rPr>
          <w:bCs/>
          <w:snapToGrid/>
          <w:color w:val="000000"/>
          <w:szCs w:val="22"/>
          <w:u w:val="single"/>
          <w:lang w:val="hu-HU" w:eastAsia="hu-HU"/>
        </w:rPr>
        <w:t>Dulsevia 30 mg gyomornedv-ellenálló kemény kapszula</w:t>
      </w:r>
    </w:p>
    <w:p w14:paraId="1E8D0694" w14:textId="77777777" w:rsidR="00746EF5" w:rsidRPr="009138BF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553A96">
        <w:rPr>
          <w:snapToGrid/>
          <w:color w:val="000000"/>
          <w:szCs w:val="22"/>
          <w:lang w:val="hu-HU" w:eastAsia="hu-HU"/>
        </w:rPr>
        <w:t>OGYI-T-22821/</w:t>
      </w:r>
      <w:r w:rsidR="001A0B93" w:rsidRPr="00553A96">
        <w:rPr>
          <w:snapToGrid/>
          <w:color w:val="000000"/>
          <w:szCs w:val="22"/>
          <w:lang w:val="hu-HU" w:eastAsia="hu-HU"/>
        </w:rPr>
        <w:t>01</w:t>
      </w:r>
      <w:r w:rsidR="00787BCE" w:rsidRPr="00553A96">
        <w:rPr>
          <w:snapToGrid/>
          <w:color w:val="000000"/>
          <w:szCs w:val="22"/>
          <w:lang w:val="hu-HU" w:eastAsia="hu-HU"/>
        </w:rPr>
        <w:t xml:space="preserve"> </w:t>
      </w:r>
      <w:r w:rsidR="001A0B93" w:rsidRPr="00553A96">
        <w:rPr>
          <w:snapToGrid/>
          <w:color w:val="000000"/>
          <w:szCs w:val="22"/>
          <w:lang w:val="hu-HU" w:eastAsia="hu-HU"/>
        </w:rPr>
        <w:tab/>
      </w:r>
      <w:r w:rsidRPr="00E35DC5">
        <w:rPr>
          <w:snapToGrid/>
          <w:color w:val="000000"/>
          <w:szCs w:val="22"/>
          <w:lang w:val="hu-HU" w:eastAsia="hu-HU"/>
        </w:rPr>
        <w:t>7</w:t>
      </w:r>
      <w:r w:rsidR="00D90D30" w:rsidRPr="00E35DC5">
        <w:rPr>
          <w:snapToGrid/>
          <w:color w:val="000000"/>
          <w:szCs w:val="22"/>
          <w:lang w:val="hu-HU" w:eastAsia="hu-HU"/>
        </w:rPr>
        <w:t>×</w:t>
      </w:r>
      <w:r w:rsidRPr="009138BF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2342281F" w14:textId="77777777" w:rsidR="00746EF5" w:rsidRPr="009138BF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138BF">
        <w:rPr>
          <w:snapToGrid/>
          <w:color w:val="000000"/>
          <w:szCs w:val="22"/>
          <w:lang w:val="hu-HU" w:eastAsia="hu-HU"/>
        </w:rPr>
        <w:t>OGYI-T-22821/</w:t>
      </w:r>
      <w:r w:rsidR="001A0B93" w:rsidRPr="009138BF">
        <w:rPr>
          <w:snapToGrid/>
          <w:color w:val="000000"/>
          <w:szCs w:val="22"/>
          <w:lang w:val="hu-HU" w:eastAsia="hu-HU"/>
        </w:rPr>
        <w:t xml:space="preserve">02 </w:t>
      </w:r>
      <w:r w:rsidR="001A0B93" w:rsidRPr="009138BF">
        <w:rPr>
          <w:snapToGrid/>
          <w:color w:val="000000"/>
          <w:szCs w:val="22"/>
          <w:lang w:val="hu-HU" w:eastAsia="hu-HU"/>
        </w:rPr>
        <w:tab/>
      </w:r>
      <w:r w:rsidRPr="009138BF">
        <w:rPr>
          <w:snapToGrid/>
          <w:color w:val="000000"/>
          <w:szCs w:val="22"/>
          <w:lang w:val="hu-HU" w:eastAsia="hu-HU"/>
        </w:rPr>
        <w:t>10</w:t>
      </w:r>
      <w:r w:rsidR="00D90D30" w:rsidRPr="009138BF">
        <w:rPr>
          <w:snapToGrid/>
          <w:color w:val="000000"/>
          <w:szCs w:val="22"/>
          <w:lang w:val="hu-HU" w:eastAsia="hu-HU"/>
        </w:rPr>
        <w:t>×</w:t>
      </w:r>
      <w:r w:rsidRPr="009138BF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C09E442" w14:textId="77777777" w:rsidR="00746EF5" w:rsidRPr="00951C48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183EF0">
        <w:rPr>
          <w:snapToGrid/>
          <w:color w:val="000000"/>
          <w:szCs w:val="22"/>
          <w:lang w:val="hu-HU" w:eastAsia="hu-HU"/>
        </w:rPr>
        <w:t>OGYI-T-22821/</w:t>
      </w:r>
      <w:r w:rsidR="001A0B93" w:rsidRPr="00183EF0">
        <w:rPr>
          <w:snapToGrid/>
          <w:color w:val="000000"/>
          <w:szCs w:val="22"/>
          <w:lang w:val="hu-HU" w:eastAsia="hu-HU"/>
        </w:rPr>
        <w:t xml:space="preserve">03 </w:t>
      </w:r>
      <w:r w:rsidR="001A0B93" w:rsidRPr="00183EF0">
        <w:rPr>
          <w:snapToGrid/>
          <w:color w:val="000000"/>
          <w:szCs w:val="22"/>
          <w:lang w:val="hu-HU" w:eastAsia="hu-HU"/>
        </w:rPr>
        <w:tab/>
      </w:r>
      <w:r w:rsidRPr="00951C48">
        <w:rPr>
          <w:snapToGrid/>
          <w:color w:val="000000"/>
          <w:szCs w:val="22"/>
          <w:lang w:val="hu-HU" w:eastAsia="hu-HU"/>
        </w:rPr>
        <w:t>14</w:t>
      </w:r>
      <w:r w:rsidR="00D90D30" w:rsidRPr="00951C48">
        <w:rPr>
          <w:snapToGrid/>
          <w:color w:val="000000"/>
          <w:szCs w:val="22"/>
          <w:lang w:val="hu-HU" w:eastAsia="hu-HU"/>
        </w:rPr>
        <w:t>×</w:t>
      </w:r>
      <w:r w:rsidRPr="00951C48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2869E40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27751">
        <w:rPr>
          <w:snapToGrid/>
          <w:color w:val="000000"/>
          <w:szCs w:val="22"/>
          <w:lang w:val="hu-HU" w:eastAsia="hu-HU"/>
        </w:rPr>
        <w:t>OGYI-T-22821/</w:t>
      </w:r>
      <w:r w:rsidR="001A0B93" w:rsidRPr="00927751">
        <w:rPr>
          <w:snapToGrid/>
          <w:color w:val="000000"/>
          <w:szCs w:val="22"/>
          <w:lang w:val="hu-HU" w:eastAsia="hu-HU"/>
        </w:rPr>
        <w:t xml:space="preserve">04 </w:t>
      </w:r>
      <w:r w:rsidR="001A0B93" w:rsidRPr="00927751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28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171FB21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1A0B93" w:rsidRPr="009C5B72">
        <w:rPr>
          <w:snapToGrid/>
          <w:color w:val="000000"/>
          <w:szCs w:val="22"/>
          <w:lang w:val="hu-HU" w:eastAsia="hu-HU"/>
        </w:rPr>
        <w:t xml:space="preserve">05 </w:t>
      </w:r>
      <w:r w:rsidR="001A0B93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30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6CBC00D2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 xml:space="preserve">OGYI-T-22821/06 </w:t>
      </w:r>
      <w:r w:rsidR="001A0B93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56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3785E58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1A0B93" w:rsidRPr="009C5B72">
        <w:rPr>
          <w:snapToGrid/>
          <w:color w:val="000000"/>
          <w:szCs w:val="22"/>
          <w:lang w:val="hu-HU" w:eastAsia="hu-HU"/>
        </w:rPr>
        <w:t xml:space="preserve">07 </w:t>
      </w:r>
      <w:r w:rsidR="001A0B93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60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BC818BB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1A0B93" w:rsidRPr="009C5B72">
        <w:rPr>
          <w:snapToGrid/>
          <w:color w:val="000000"/>
          <w:szCs w:val="22"/>
          <w:lang w:val="hu-HU" w:eastAsia="hu-HU"/>
        </w:rPr>
        <w:t xml:space="preserve">08 </w:t>
      </w:r>
      <w:r w:rsidR="001A0B93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90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066991B5" w14:textId="77777777" w:rsidR="00EC221F" w:rsidRPr="009C5B72" w:rsidRDefault="00746EF5" w:rsidP="009C5B72">
      <w:pPr>
        <w:spacing w:line="240" w:lineRule="auto"/>
        <w:ind w:left="2268" w:hanging="2268"/>
        <w:rPr>
          <w:i/>
          <w:iCs/>
          <w:szCs w:val="22"/>
          <w:lang w:val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1A0B93" w:rsidRPr="009C5B72">
        <w:rPr>
          <w:snapToGrid/>
          <w:color w:val="000000"/>
          <w:szCs w:val="22"/>
          <w:lang w:val="hu-HU" w:eastAsia="hu-HU"/>
        </w:rPr>
        <w:t xml:space="preserve">09 </w:t>
      </w:r>
      <w:r w:rsidR="001A0B93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100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1B078314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0A3C6432" w14:textId="77777777" w:rsidR="00746EF5" w:rsidRPr="009C5B72" w:rsidRDefault="00746EF5" w:rsidP="009C5B72">
      <w:pPr>
        <w:keepNext/>
        <w:spacing w:line="240" w:lineRule="auto"/>
        <w:ind w:left="567" w:hanging="567"/>
        <w:outlineLvl w:val="0"/>
        <w:rPr>
          <w:bCs/>
          <w:snapToGrid/>
          <w:color w:val="000000"/>
          <w:szCs w:val="22"/>
          <w:u w:val="single"/>
          <w:lang w:val="hu-HU" w:eastAsia="hu-HU"/>
        </w:rPr>
      </w:pPr>
      <w:r w:rsidRPr="009C5B72">
        <w:rPr>
          <w:bCs/>
          <w:snapToGrid/>
          <w:color w:val="000000"/>
          <w:szCs w:val="22"/>
          <w:u w:val="single"/>
          <w:lang w:val="hu-HU" w:eastAsia="hu-HU"/>
        </w:rPr>
        <w:t xml:space="preserve">Dulsevia </w:t>
      </w:r>
      <w:r w:rsidR="00AD2C1F" w:rsidRPr="009C5B72">
        <w:rPr>
          <w:bCs/>
          <w:snapToGrid/>
          <w:color w:val="000000"/>
          <w:szCs w:val="22"/>
          <w:u w:val="single"/>
          <w:lang w:val="hu-HU" w:eastAsia="hu-HU"/>
        </w:rPr>
        <w:t xml:space="preserve">60 </w:t>
      </w:r>
      <w:r w:rsidRPr="009C5B72">
        <w:rPr>
          <w:bCs/>
          <w:snapToGrid/>
          <w:color w:val="000000"/>
          <w:szCs w:val="22"/>
          <w:u w:val="single"/>
          <w:lang w:val="hu-HU" w:eastAsia="hu-HU"/>
        </w:rPr>
        <w:t>mg gyomornedv-ellenálló kemény kapszula</w:t>
      </w:r>
    </w:p>
    <w:p w14:paraId="49DC820B" w14:textId="77777777" w:rsidR="00746EF5" w:rsidRPr="006062AA" w:rsidRDefault="00746EF5" w:rsidP="009C5B7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553A96">
        <w:rPr>
          <w:snapToGrid/>
          <w:color w:val="000000"/>
          <w:szCs w:val="22"/>
          <w:lang w:val="hu-HU" w:eastAsia="hu-HU"/>
        </w:rPr>
        <w:t>OGYI-T-22821/</w:t>
      </w:r>
      <w:r w:rsidR="00CE36AA" w:rsidRPr="00553A96">
        <w:rPr>
          <w:snapToGrid/>
          <w:color w:val="000000"/>
          <w:szCs w:val="22"/>
          <w:lang w:val="hu-HU" w:eastAsia="hu-HU"/>
        </w:rPr>
        <w:t xml:space="preserve">10 </w:t>
      </w:r>
      <w:r w:rsidR="00CE36AA" w:rsidRPr="00553A96">
        <w:rPr>
          <w:snapToGrid/>
          <w:color w:val="000000"/>
          <w:szCs w:val="22"/>
          <w:lang w:val="hu-HU" w:eastAsia="hu-HU"/>
        </w:rPr>
        <w:tab/>
      </w:r>
      <w:r w:rsidRPr="00E35DC5">
        <w:rPr>
          <w:snapToGrid/>
          <w:color w:val="000000"/>
          <w:szCs w:val="22"/>
          <w:lang w:val="hu-HU" w:eastAsia="hu-HU"/>
        </w:rPr>
        <w:t>7</w:t>
      </w:r>
      <w:r w:rsidR="00D90D30" w:rsidRPr="006062AA">
        <w:rPr>
          <w:snapToGrid/>
          <w:color w:val="000000"/>
          <w:szCs w:val="22"/>
          <w:lang w:val="hu-HU" w:eastAsia="hu-HU"/>
        </w:rPr>
        <w:t>×</w:t>
      </w:r>
      <w:r w:rsidRPr="006062AA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2B75BC76" w14:textId="77777777" w:rsidR="00746EF5" w:rsidRPr="009138BF" w:rsidRDefault="00746EF5" w:rsidP="009C5B7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138BF">
        <w:rPr>
          <w:snapToGrid/>
          <w:color w:val="000000"/>
          <w:szCs w:val="22"/>
          <w:lang w:val="hu-HU" w:eastAsia="hu-HU"/>
        </w:rPr>
        <w:t>OGYI-T-22821/</w:t>
      </w:r>
      <w:r w:rsidR="00CE36AA" w:rsidRPr="009138BF">
        <w:rPr>
          <w:snapToGrid/>
          <w:color w:val="000000"/>
          <w:szCs w:val="22"/>
          <w:lang w:val="hu-HU" w:eastAsia="hu-HU"/>
        </w:rPr>
        <w:t xml:space="preserve">11 </w:t>
      </w:r>
      <w:r w:rsidR="00CE36AA" w:rsidRPr="009138BF">
        <w:rPr>
          <w:snapToGrid/>
          <w:color w:val="000000"/>
          <w:szCs w:val="22"/>
          <w:lang w:val="hu-HU" w:eastAsia="hu-HU"/>
        </w:rPr>
        <w:tab/>
      </w:r>
      <w:r w:rsidRPr="009138BF">
        <w:rPr>
          <w:snapToGrid/>
          <w:color w:val="000000"/>
          <w:szCs w:val="22"/>
          <w:lang w:val="hu-HU" w:eastAsia="hu-HU"/>
        </w:rPr>
        <w:t>10</w:t>
      </w:r>
      <w:r w:rsidR="00D90D30" w:rsidRPr="009138BF">
        <w:rPr>
          <w:snapToGrid/>
          <w:color w:val="000000"/>
          <w:szCs w:val="22"/>
          <w:lang w:val="hu-HU" w:eastAsia="hu-HU"/>
        </w:rPr>
        <w:t>×</w:t>
      </w:r>
      <w:r w:rsidRPr="009138BF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5ECBB3E3" w14:textId="77777777" w:rsidR="00746EF5" w:rsidRPr="00951C48" w:rsidRDefault="00746EF5" w:rsidP="009C5B7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138BF">
        <w:rPr>
          <w:snapToGrid/>
          <w:color w:val="000000"/>
          <w:szCs w:val="22"/>
          <w:lang w:val="hu-HU" w:eastAsia="hu-HU"/>
        </w:rPr>
        <w:t>OGYI-T-22821/</w:t>
      </w:r>
      <w:r w:rsidR="00CE36AA" w:rsidRPr="00183EF0">
        <w:rPr>
          <w:snapToGrid/>
          <w:color w:val="000000"/>
          <w:szCs w:val="22"/>
          <w:lang w:val="hu-HU" w:eastAsia="hu-HU"/>
        </w:rPr>
        <w:t xml:space="preserve">12 </w:t>
      </w:r>
      <w:r w:rsidR="00CE36AA" w:rsidRPr="00183EF0">
        <w:rPr>
          <w:snapToGrid/>
          <w:color w:val="000000"/>
          <w:szCs w:val="22"/>
          <w:lang w:val="hu-HU" w:eastAsia="hu-HU"/>
        </w:rPr>
        <w:tab/>
      </w:r>
      <w:r w:rsidRPr="00183EF0">
        <w:rPr>
          <w:snapToGrid/>
          <w:color w:val="000000"/>
          <w:szCs w:val="22"/>
          <w:lang w:val="hu-HU" w:eastAsia="hu-HU"/>
        </w:rPr>
        <w:t>14</w:t>
      </w:r>
      <w:r w:rsidR="00D90D30" w:rsidRPr="00951C48">
        <w:rPr>
          <w:snapToGrid/>
          <w:color w:val="000000"/>
          <w:szCs w:val="22"/>
          <w:lang w:val="hu-HU" w:eastAsia="hu-HU"/>
        </w:rPr>
        <w:t>×</w:t>
      </w:r>
      <w:r w:rsidRPr="00951C48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47C0EE12" w14:textId="77777777" w:rsidR="00746EF5" w:rsidRPr="009C5B72" w:rsidRDefault="00746EF5" w:rsidP="009C5B7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51C48">
        <w:rPr>
          <w:snapToGrid/>
          <w:color w:val="000000"/>
          <w:szCs w:val="22"/>
          <w:lang w:val="hu-HU" w:eastAsia="hu-HU"/>
        </w:rPr>
        <w:t>OGYI-T-22821/</w:t>
      </w:r>
      <w:r w:rsidR="00CE36AA" w:rsidRPr="00927751">
        <w:rPr>
          <w:snapToGrid/>
          <w:color w:val="000000"/>
          <w:szCs w:val="22"/>
          <w:lang w:val="hu-HU" w:eastAsia="hu-HU"/>
        </w:rPr>
        <w:t xml:space="preserve">13 </w:t>
      </w:r>
      <w:r w:rsidR="00CE36AA" w:rsidRPr="00927751">
        <w:rPr>
          <w:snapToGrid/>
          <w:color w:val="000000"/>
          <w:szCs w:val="22"/>
          <w:lang w:val="hu-HU" w:eastAsia="hu-HU"/>
        </w:rPr>
        <w:tab/>
      </w:r>
      <w:r w:rsidRPr="00927751">
        <w:rPr>
          <w:snapToGrid/>
          <w:color w:val="000000"/>
          <w:szCs w:val="22"/>
          <w:lang w:val="hu-HU" w:eastAsia="hu-HU"/>
        </w:rPr>
        <w:t>28</w:t>
      </w:r>
      <w:r w:rsidR="00D90D30" w:rsidRPr="00927751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4F7A03E0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CE36AA" w:rsidRPr="009C5B72">
        <w:rPr>
          <w:snapToGrid/>
          <w:color w:val="000000"/>
          <w:szCs w:val="22"/>
          <w:lang w:val="hu-HU" w:eastAsia="hu-HU"/>
        </w:rPr>
        <w:t xml:space="preserve">14 </w:t>
      </w:r>
      <w:r w:rsidR="00CE36AA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30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16F39254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CE36AA" w:rsidRPr="009C5B72">
        <w:rPr>
          <w:snapToGrid/>
          <w:color w:val="000000"/>
          <w:szCs w:val="22"/>
          <w:lang w:val="hu-HU" w:eastAsia="hu-HU"/>
        </w:rPr>
        <w:t xml:space="preserve">15 </w:t>
      </w:r>
      <w:r w:rsidR="00CE36AA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56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19414DDA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CE36AA" w:rsidRPr="009C5B72">
        <w:rPr>
          <w:snapToGrid/>
          <w:color w:val="000000"/>
          <w:szCs w:val="22"/>
          <w:lang w:val="hu-HU" w:eastAsia="hu-HU"/>
        </w:rPr>
        <w:t xml:space="preserve">16 </w:t>
      </w:r>
      <w:r w:rsidR="00CE36AA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60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7954538C" w14:textId="77777777" w:rsidR="00746EF5" w:rsidRPr="009C5B72" w:rsidRDefault="00746EF5" w:rsidP="009C5B72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2268" w:hanging="2268"/>
        <w:rPr>
          <w:snapToGrid/>
          <w:color w:val="000000"/>
          <w:szCs w:val="22"/>
          <w:lang w:val="hu-HU" w:eastAsia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CE36AA" w:rsidRPr="009C5B72">
        <w:rPr>
          <w:snapToGrid/>
          <w:color w:val="000000"/>
          <w:szCs w:val="22"/>
          <w:lang w:val="hu-HU" w:eastAsia="hu-HU"/>
        </w:rPr>
        <w:t xml:space="preserve">17 </w:t>
      </w:r>
      <w:r w:rsidR="00CE36AA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90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33161A45" w14:textId="77777777" w:rsidR="00746EF5" w:rsidRPr="009C5B72" w:rsidRDefault="00746EF5" w:rsidP="009C5B72">
      <w:pPr>
        <w:spacing w:line="240" w:lineRule="auto"/>
        <w:ind w:left="2268" w:hanging="2268"/>
        <w:outlineLvl w:val="0"/>
        <w:rPr>
          <w:i/>
          <w:szCs w:val="22"/>
          <w:lang w:val="hu-HU"/>
        </w:rPr>
      </w:pPr>
      <w:r w:rsidRPr="009C5B72">
        <w:rPr>
          <w:snapToGrid/>
          <w:color w:val="000000"/>
          <w:szCs w:val="22"/>
          <w:lang w:val="hu-HU" w:eastAsia="hu-HU"/>
        </w:rPr>
        <w:t>OGYI-T-22821/</w:t>
      </w:r>
      <w:r w:rsidR="00CE36AA" w:rsidRPr="009C5B72">
        <w:rPr>
          <w:snapToGrid/>
          <w:color w:val="000000"/>
          <w:szCs w:val="22"/>
          <w:lang w:val="hu-HU" w:eastAsia="hu-HU"/>
        </w:rPr>
        <w:t xml:space="preserve">18 </w:t>
      </w:r>
      <w:r w:rsidR="00CE36AA" w:rsidRPr="009C5B72">
        <w:rPr>
          <w:snapToGrid/>
          <w:color w:val="000000"/>
          <w:szCs w:val="22"/>
          <w:lang w:val="hu-HU" w:eastAsia="hu-HU"/>
        </w:rPr>
        <w:tab/>
      </w:r>
      <w:r w:rsidRPr="009C5B72">
        <w:rPr>
          <w:snapToGrid/>
          <w:color w:val="000000"/>
          <w:szCs w:val="22"/>
          <w:lang w:val="hu-HU" w:eastAsia="hu-HU"/>
        </w:rPr>
        <w:t>100</w:t>
      </w:r>
      <w:r w:rsidR="00D90D30" w:rsidRPr="009C5B72">
        <w:rPr>
          <w:snapToGrid/>
          <w:color w:val="000000"/>
          <w:szCs w:val="22"/>
          <w:lang w:val="hu-HU" w:eastAsia="hu-HU"/>
        </w:rPr>
        <w:t>×</w:t>
      </w:r>
      <w:r w:rsidRPr="009C5B72">
        <w:rPr>
          <w:snapToGrid/>
          <w:color w:val="000000"/>
          <w:szCs w:val="22"/>
          <w:lang w:val="hu-HU" w:eastAsia="hu-HU"/>
        </w:rPr>
        <w:tab/>
        <w:t>buborékcsomagolásban</w:t>
      </w:r>
    </w:p>
    <w:p w14:paraId="71FA9F02" w14:textId="77777777" w:rsidR="00CA6136" w:rsidRPr="009C5B72" w:rsidRDefault="00CA6136" w:rsidP="009C5B72">
      <w:pPr>
        <w:spacing w:line="240" w:lineRule="auto"/>
        <w:ind w:left="567" w:hanging="567"/>
        <w:outlineLvl w:val="0"/>
        <w:rPr>
          <w:i/>
          <w:szCs w:val="22"/>
          <w:lang w:val="hu-HU"/>
        </w:rPr>
      </w:pPr>
    </w:p>
    <w:p w14:paraId="36B2F6AE" w14:textId="77777777" w:rsidR="00CB6652" w:rsidRPr="009C5B72" w:rsidRDefault="00CB6652" w:rsidP="009C5B72">
      <w:pPr>
        <w:spacing w:line="240" w:lineRule="auto"/>
        <w:ind w:left="567" w:hanging="567"/>
        <w:outlineLvl w:val="0"/>
        <w:rPr>
          <w:i/>
          <w:szCs w:val="22"/>
          <w:lang w:val="hu-HU"/>
        </w:rPr>
      </w:pPr>
    </w:p>
    <w:p w14:paraId="0AAE3ADE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9.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9C5B72">
        <w:rPr>
          <w:b/>
          <w:szCs w:val="22"/>
          <w:lang w:val="hu-HU"/>
        </w:rPr>
        <w:t xml:space="preserve"> DÁTUMA</w:t>
      </w:r>
    </w:p>
    <w:p w14:paraId="59151F54" w14:textId="77777777" w:rsidR="00F45C51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5FBAB3" w14:textId="77777777" w:rsidR="00746EF5" w:rsidRPr="009C5B72" w:rsidRDefault="00F45C51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C5B72">
        <w:rPr>
          <w:rFonts w:eastAsia="Times New Roman"/>
          <w:snapToGrid/>
          <w:szCs w:val="22"/>
          <w:lang w:val="hu-HU" w:eastAsia="en-US"/>
        </w:rPr>
        <w:t>A forgalomba hozatali engedély első kiadásának dátuma</w:t>
      </w:r>
      <w:r w:rsidR="0029347B" w:rsidRPr="009C5B72">
        <w:rPr>
          <w:rFonts w:eastAsia="Times New Roman"/>
          <w:snapToGrid/>
          <w:szCs w:val="22"/>
          <w:lang w:val="hu-HU" w:eastAsia="en-US"/>
        </w:rPr>
        <w:t>:</w:t>
      </w:r>
      <w:r w:rsidR="00BD284F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="00746EF5" w:rsidRPr="009C5B72">
        <w:rPr>
          <w:rFonts w:eastAsia="Times New Roman"/>
          <w:snapToGrid/>
          <w:szCs w:val="22"/>
          <w:lang w:val="hu-HU" w:eastAsia="en-US"/>
        </w:rPr>
        <w:t>2015.</w:t>
      </w:r>
      <w:r w:rsidR="0033453A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="002D3632" w:rsidRPr="009C5B72">
        <w:rPr>
          <w:rFonts w:eastAsia="Times New Roman"/>
          <w:snapToGrid/>
          <w:szCs w:val="22"/>
          <w:lang w:val="hu-HU" w:eastAsia="en-US"/>
        </w:rPr>
        <w:t>április</w:t>
      </w:r>
      <w:r w:rsidR="0033453A" w:rsidRPr="009C5B72">
        <w:rPr>
          <w:rFonts w:eastAsia="Times New Roman"/>
          <w:snapToGrid/>
          <w:szCs w:val="22"/>
          <w:lang w:val="hu-HU" w:eastAsia="en-US"/>
        </w:rPr>
        <w:t xml:space="preserve"> </w:t>
      </w:r>
      <w:r w:rsidR="00746EF5" w:rsidRPr="009C5B72">
        <w:rPr>
          <w:rFonts w:eastAsia="Times New Roman"/>
          <w:snapToGrid/>
          <w:szCs w:val="22"/>
          <w:lang w:val="hu-HU" w:eastAsia="en-US"/>
        </w:rPr>
        <w:t>13.</w:t>
      </w:r>
    </w:p>
    <w:p w14:paraId="658A2F0E" w14:textId="77777777" w:rsidR="00B853FE" w:rsidRPr="009C5B72" w:rsidRDefault="00B853FE" w:rsidP="00B853F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26942">
        <w:rPr>
          <w:rFonts w:eastAsia="Times New Roman"/>
          <w:snapToGrid/>
          <w:szCs w:val="22"/>
          <w:lang w:val="hu-HU" w:eastAsia="en-US"/>
        </w:rPr>
        <w:t>A forgalomba hozatali engedély legutóbbi megújításának dátuma: 20</w:t>
      </w:r>
      <w:r>
        <w:rPr>
          <w:rFonts w:eastAsia="Times New Roman"/>
          <w:snapToGrid/>
          <w:szCs w:val="22"/>
          <w:lang w:val="hu-HU" w:eastAsia="en-US"/>
        </w:rPr>
        <w:t>20</w:t>
      </w:r>
      <w:r w:rsidRPr="00626942">
        <w:rPr>
          <w:rFonts w:eastAsia="Times New Roman"/>
          <w:snapToGrid/>
          <w:szCs w:val="22"/>
          <w:lang w:val="hu-HU" w:eastAsia="en-US"/>
        </w:rPr>
        <w:t xml:space="preserve">. </w:t>
      </w:r>
      <w:r w:rsidRPr="00626942">
        <w:rPr>
          <w:rFonts w:eastAsia="Times New Roman"/>
          <w:bCs/>
          <w:snapToGrid/>
          <w:szCs w:val="22"/>
          <w:lang w:val="hu-HU" w:eastAsia="en-US"/>
        </w:rPr>
        <w:t>február</w:t>
      </w:r>
      <w:r w:rsidRPr="00626942">
        <w:rPr>
          <w:rFonts w:eastAsia="Times New Roman"/>
          <w:snapToGrid/>
          <w:szCs w:val="22"/>
          <w:lang w:val="hu-HU" w:eastAsia="en-US"/>
        </w:rPr>
        <w:t xml:space="preserve"> </w:t>
      </w:r>
      <w:r>
        <w:rPr>
          <w:rFonts w:eastAsia="Times New Roman"/>
          <w:snapToGrid/>
          <w:szCs w:val="22"/>
          <w:lang w:val="hu-HU" w:eastAsia="en-US"/>
        </w:rPr>
        <w:t>3</w:t>
      </w:r>
      <w:r w:rsidRPr="00626942">
        <w:rPr>
          <w:rFonts w:eastAsia="Times New Roman"/>
          <w:snapToGrid/>
          <w:szCs w:val="22"/>
          <w:lang w:val="hu-HU" w:eastAsia="en-US"/>
        </w:rPr>
        <w:t>.</w:t>
      </w:r>
    </w:p>
    <w:p w14:paraId="013C179D" w14:textId="77777777" w:rsidR="00CA6136" w:rsidRPr="009C5B72" w:rsidRDefault="00CA6136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962883F" w14:textId="77777777" w:rsidR="00D730D0" w:rsidRPr="009C5B72" w:rsidRDefault="00D730D0" w:rsidP="009C5B72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11CB27" w14:textId="77777777" w:rsidR="00F45C51" w:rsidRPr="009C5B72" w:rsidRDefault="00F45C51" w:rsidP="009C5B72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C5B72">
        <w:rPr>
          <w:rFonts w:eastAsia="Times New Roman"/>
          <w:b/>
          <w:snapToGrid/>
          <w:szCs w:val="22"/>
          <w:lang w:val="hu-HU" w:eastAsia="en-US"/>
        </w:rPr>
        <w:t>10.</w:t>
      </w:r>
      <w:r w:rsidRPr="009C5B72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2E82CDC6" w14:textId="2A02B0DE" w:rsidR="00C34DCD" w:rsidRPr="00D71E77" w:rsidRDefault="00C34DCD" w:rsidP="009A4183">
      <w:pPr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52DB9739" w14:textId="772B13BA" w:rsidR="00746EF5" w:rsidRPr="00D71E77" w:rsidRDefault="00C34DCD" w:rsidP="00D71E77">
      <w:pPr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  <w:r w:rsidRPr="00D71E77">
        <w:rPr>
          <w:rFonts w:eastAsia="Times New Roman"/>
          <w:snapToGrid/>
          <w:szCs w:val="22"/>
          <w:lang w:val="hu-HU" w:eastAsia="en-US"/>
        </w:rPr>
        <w:t>2026. március 27.</w:t>
      </w:r>
    </w:p>
    <w:sectPr w:rsidR="00746EF5" w:rsidRPr="00D71E77" w:rsidSect="00765559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4A967" w14:textId="77777777" w:rsidR="00C05C91" w:rsidRDefault="00C05C91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DD0DF6C" w14:textId="77777777" w:rsidR="00C05C91" w:rsidRDefault="00C05C91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">
    <w:altName w:val="Times New Roman"/>
    <w:charset w:val="0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7CA6C" w14:textId="77777777" w:rsidR="00E320A0" w:rsidRPr="00765559" w:rsidRDefault="00E320A0" w:rsidP="00765559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8DC25" w14:textId="77777777" w:rsidR="00B93CD8" w:rsidRPr="00B93CD8" w:rsidRDefault="00B93CD8" w:rsidP="00B93CD8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  <w:lang w:val="hu-HU"/>
      </w:rPr>
    </w:pPr>
    <w:r w:rsidRPr="00B93CD8">
      <w:rPr>
        <w:rFonts w:ascii="Times New Roman" w:hAnsi="Times New Roman"/>
        <w:sz w:val="18"/>
        <w:szCs w:val="18"/>
        <w:lang w:val="hu-HU"/>
      </w:rPr>
      <w:t>NNGYK/ETGY/22467/2025</w:t>
    </w:r>
  </w:p>
  <w:p w14:paraId="13B6157E" w14:textId="3AD2BF34" w:rsidR="007A3A85" w:rsidRPr="00BB1B4E" w:rsidRDefault="00B93CD8" w:rsidP="007C534D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  <w:lang w:val="hu-HU"/>
      </w:rPr>
    </w:pPr>
    <w:r w:rsidRPr="00B93CD8">
      <w:rPr>
        <w:rFonts w:ascii="Times New Roman" w:hAnsi="Times New Roman"/>
        <w:sz w:val="18"/>
        <w:szCs w:val="18"/>
        <w:lang w:val="hu-HU"/>
      </w:rPr>
      <w:t>NNGYK/ETGY/22468/2025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54863" w14:textId="77777777" w:rsidR="00C05C91" w:rsidRDefault="00C05C91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B069CE6" w14:textId="77777777" w:rsidR="00C05C91" w:rsidRDefault="00C05C91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07469" w14:textId="2648F83E" w:rsidR="001E5EF0" w:rsidRPr="00765559" w:rsidRDefault="001E5EF0" w:rsidP="00184A13">
    <w:pPr>
      <w:pStyle w:val="lfej"/>
      <w:jc w:val="center"/>
      <w:rPr>
        <w:sz w:val="18"/>
        <w:szCs w:val="18"/>
      </w:rPr>
    </w:pPr>
    <w:r w:rsidRPr="00765559">
      <w:rPr>
        <w:sz w:val="18"/>
        <w:szCs w:val="18"/>
      </w:rPr>
      <w:fldChar w:fldCharType="begin"/>
    </w:r>
    <w:r w:rsidRPr="00765559">
      <w:rPr>
        <w:sz w:val="18"/>
        <w:szCs w:val="18"/>
      </w:rPr>
      <w:instrText>PAGE   \* MERGEFORMAT</w:instrText>
    </w:r>
    <w:r w:rsidRPr="00765559">
      <w:rPr>
        <w:sz w:val="18"/>
        <w:szCs w:val="18"/>
      </w:rPr>
      <w:fldChar w:fldCharType="separate"/>
    </w:r>
    <w:r w:rsidR="00D71E77" w:rsidRPr="00D71E77">
      <w:rPr>
        <w:noProof/>
        <w:sz w:val="18"/>
        <w:szCs w:val="18"/>
        <w:lang w:val="hu-HU"/>
      </w:rPr>
      <w:t>2</w:t>
    </w:r>
    <w:r w:rsidRPr="0076555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615394"/>
    <w:multiLevelType w:val="hybridMultilevel"/>
    <w:tmpl w:val="4FF0122A"/>
    <w:lvl w:ilvl="0" w:tplc="298C29C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81E36"/>
    <w:multiLevelType w:val="hybridMultilevel"/>
    <w:tmpl w:val="BCD023FC"/>
    <w:lvl w:ilvl="0" w:tplc="9B86F8F6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426850"/>
    <w:multiLevelType w:val="hybridMultilevel"/>
    <w:tmpl w:val="475048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13B106C"/>
    <w:multiLevelType w:val="hybridMultilevel"/>
    <w:tmpl w:val="B9BE599E"/>
    <w:lvl w:ilvl="0" w:tplc="6D1C5002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3F585775"/>
    <w:multiLevelType w:val="hybridMultilevel"/>
    <w:tmpl w:val="D4263C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1F2D0B"/>
    <w:multiLevelType w:val="hybridMultilevel"/>
    <w:tmpl w:val="754C7F2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58B56C73"/>
    <w:multiLevelType w:val="hybridMultilevel"/>
    <w:tmpl w:val="1FCE9E4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2E83EC2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AD417F6"/>
    <w:multiLevelType w:val="hybridMultilevel"/>
    <w:tmpl w:val="4C1C20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6" w15:restartNumberingAfterBreak="0">
    <w:nsid w:val="6F35085E"/>
    <w:multiLevelType w:val="hybridMultilevel"/>
    <w:tmpl w:val="6900B8D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31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2"/>
  </w:num>
  <w:num w:numId="6">
    <w:abstractNumId w:val="29"/>
  </w:num>
  <w:num w:numId="7">
    <w:abstractNumId w:val="21"/>
  </w:num>
  <w:num w:numId="8">
    <w:abstractNumId w:val="23"/>
  </w:num>
  <w:num w:numId="9">
    <w:abstractNumId w:val="37"/>
  </w:num>
  <w:num w:numId="10">
    <w:abstractNumId w:val="11"/>
  </w:num>
  <w:num w:numId="11">
    <w:abstractNumId w:val="34"/>
  </w:num>
  <w:num w:numId="12">
    <w:abstractNumId w:val="22"/>
  </w:num>
  <w:num w:numId="13">
    <w:abstractNumId w:val="19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5"/>
  </w:num>
  <w:num w:numId="17">
    <w:abstractNumId w:val="26"/>
  </w:num>
  <w:num w:numId="18">
    <w:abstractNumId w:val="28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7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0"/>
  </w:num>
  <w:num w:numId="43">
    <w:abstractNumId w:val="25"/>
  </w:num>
  <w:num w:numId="44">
    <w:abstractNumId w:val="17"/>
  </w:num>
  <w:num w:numId="45">
    <w:abstractNumId w:val="33"/>
  </w:num>
  <w:num w:numId="46">
    <w:abstractNumId w:val="36"/>
  </w:num>
  <w:num w:numId="47">
    <w:abstractNumId w:val="18"/>
  </w:num>
  <w:num w:numId="48">
    <w:abstractNumId w:val="16"/>
  </w:num>
  <w:num w:numId="49">
    <w:abstractNumId w:val="2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164F"/>
    <w:rsid w:val="000121D6"/>
    <w:rsid w:val="000150D3"/>
    <w:rsid w:val="00015C51"/>
    <w:rsid w:val="00015C5B"/>
    <w:rsid w:val="000166C1"/>
    <w:rsid w:val="000177FF"/>
    <w:rsid w:val="00020AE8"/>
    <w:rsid w:val="00023F29"/>
    <w:rsid w:val="00025EBE"/>
    <w:rsid w:val="00030445"/>
    <w:rsid w:val="000318C7"/>
    <w:rsid w:val="00032A4C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28B6"/>
    <w:rsid w:val="00053809"/>
    <w:rsid w:val="000538C2"/>
    <w:rsid w:val="00053914"/>
    <w:rsid w:val="00053EFA"/>
    <w:rsid w:val="00054756"/>
    <w:rsid w:val="000549FF"/>
    <w:rsid w:val="000560C5"/>
    <w:rsid w:val="00056C49"/>
    <w:rsid w:val="00056DF3"/>
    <w:rsid w:val="00056FE0"/>
    <w:rsid w:val="000603C8"/>
    <w:rsid w:val="00060656"/>
    <w:rsid w:val="000608A4"/>
    <w:rsid w:val="00060AA1"/>
    <w:rsid w:val="0006247C"/>
    <w:rsid w:val="000631FD"/>
    <w:rsid w:val="00063B5F"/>
    <w:rsid w:val="00070B1E"/>
    <w:rsid w:val="000710F4"/>
    <w:rsid w:val="00071F8A"/>
    <w:rsid w:val="00073E04"/>
    <w:rsid w:val="0007628D"/>
    <w:rsid w:val="00077267"/>
    <w:rsid w:val="0007752B"/>
    <w:rsid w:val="00080AB8"/>
    <w:rsid w:val="00080E68"/>
    <w:rsid w:val="000813A7"/>
    <w:rsid w:val="00081DAB"/>
    <w:rsid w:val="0008235E"/>
    <w:rsid w:val="00082A8E"/>
    <w:rsid w:val="000833C2"/>
    <w:rsid w:val="00083897"/>
    <w:rsid w:val="000855CA"/>
    <w:rsid w:val="0009351E"/>
    <w:rsid w:val="0009479A"/>
    <w:rsid w:val="00095D13"/>
    <w:rsid w:val="00095E44"/>
    <w:rsid w:val="00097218"/>
    <w:rsid w:val="0009755A"/>
    <w:rsid w:val="00097D13"/>
    <w:rsid w:val="000A1232"/>
    <w:rsid w:val="000A13ED"/>
    <w:rsid w:val="000A37F8"/>
    <w:rsid w:val="000A7976"/>
    <w:rsid w:val="000B0097"/>
    <w:rsid w:val="000B101F"/>
    <w:rsid w:val="000B1F4B"/>
    <w:rsid w:val="000B2F27"/>
    <w:rsid w:val="000B2F58"/>
    <w:rsid w:val="000B3762"/>
    <w:rsid w:val="000B37A8"/>
    <w:rsid w:val="000B3CCC"/>
    <w:rsid w:val="000B3F71"/>
    <w:rsid w:val="000B51D9"/>
    <w:rsid w:val="000B6240"/>
    <w:rsid w:val="000C1063"/>
    <w:rsid w:val="000C1738"/>
    <w:rsid w:val="000C308F"/>
    <w:rsid w:val="000C5A4E"/>
    <w:rsid w:val="000C635D"/>
    <w:rsid w:val="000C6E81"/>
    <w:rsid w:val="000C700C"/>
    <w:rsid w:val="000C7DD2"/>
    <w:rsid w:val="000C7F49"/>
    <w:rsid w:val="000D1AEE"/>
    <w:rsid w:val="000D1F4F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EA9"/>
    <w:rsid w:val="000E46A3"/>
    <w:rsid w:val="000E5726"/>
    <w:rsid w:val="000E6C0A"/>
    <w:rsid w:val="000E6C94"/>
    <w:rsid w:val="000F1A39"/>
    <w:rsid w:val="000F1BB2"/>
    <w:rsid w:val="000F2204"/>
    <w:rsid w:val="000F3F94"/>
    <w:rsid w:val="00101CAD"/>
    <w:rsid w:val="00103501"/>
    <w:rsid w:val="00103B2D"/>
    <w:rsid w:val="00103CD2"/>
    <w:rsid w:val="00104061"/>
    <w:rsid w:val="001046AD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401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45771"/>
    <w:rsid w:val="00147E15"/>
    <w:rsid w:val="00151BA4"/>
    <w:rsid w:val="00151E9D"/>
    <w:rsid w:val="00152F3B"/>
    <w:rsid w:val="00153FE7"/>
    <w:rsid w:val="0015704C"/>
    <w:rsid w:val="00160D3C"/>
    <w:rsid w:val="00161E87"/>
    <w:rsid w:val="00162232"/>
    <w:rsid w:val="00162EDD"/>
    <w:rsid w:val="00163D6C"/>
    <w:rsid w:val="0016566C"/>
    <w:rsid w:val="00171211"/>
    <w:rsid w:val="0017265B"/>
    <w:rsid w:val="001727F0"/>
    <w:rsid w:val="00172B06"/>
    <w:rsid w:val="001752D8"/>
    <w:rsid w:val="00175931"/>
    <w:rsid w:val="00176B25"/>
    <w:rsid w:val="00176C1A"/>
    <w:rsid w:val="00180F31"/>
    <w:rsid w:val="0018238B"/>
    <w:rsid w:val="00183419"/>
    <w:rsid w:val="0018394A"/>
    <w:rsid w:val="00183EF0"/>
    <w:rsid w:val="00184A13"/>
    <w:rsid w:val="001856B1"/>
    <w:rsid w:val="00186A9D"/>
    <w:rsid w:val="001874A6"/>
    <w:rsid w:val="0018765B"/>
    <w:rsid w:val="00190913"/>
    <w:rsid w:val="00195F65"/>
    <w:rsid w:val="001A07E2"/>
    <w:rsid w:val="001A0B93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64BA"/>
    <w:rsid w:val="001B752A"/>
    <w:rsid w:val="001C00B7"/>
    <w:rsid w:val="001C0102"/>
    <w:rsid w:val="001C35E9"/>
    <w:rsid w:val="001C36BD"/>
    <w:rsid w:val="001C3733"/>
    <w:rsid w:val="001C3797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5EF0"/>
    <w:rsid w:val="001E64BD"/>
    <w:rsid w:val="001E64D1"/>
    <w:rsid w:val="001E77C3"/>
    <w:rsid w:val="001E77F1"/>
    <w:rsid w:val="001F090B"/>
    <w:rsid w:val="001F180A"/>
    <w:rsid w:val="001F1A28"/>
    <w:rsid w:val="001F1D22"/>
    <w:rsid w:val="001F35E8"/>
    <w:rsid w:val="001F38F9"/>
    <w:rsid w:val="001F4014"/>
    <w:rsid w:val="001F445E"/>
    <w:rsid w:val="00201213"/>
    <w:rsid w:val="0020165E"/>
    <w:rsid w:val="00201EFB"/>
    <w:rsid w:val="00202E50"/>
    <w:rsid w:val="0020313B"/>
    <w:rsid w:val="00203290"/>
    <w:rsid w:val="00203EB5"/>
    <w:rsid w:val="00205180"/>
    <w:rsid w:val="00207F81"/>
    <w:rsid w:val="002109F4"/>
    <w:rsid w:val="00211B2E"/>
    <w:rsid w:val="00211FDA"/>
    <w:rsid w:val="002160C2"/>
    <w:rsid w:val="00217C41"/>
    <w:rsid w:val="00220C04"/>
    <w:rsid w:val="00222701"/>
    <w:rsid w:val="00222BB9"/>
    <w:rsid w:val="00222C0E"/>
    <w:rsid w:val="002249FA"/>
    <w:rsid w:val="002258D6"/>
    <w:rsid w:val="00226DFC"/>
    <w:rsid w:val="002274FB"/>
    <w:rsid w:val="002309D2"/>
    <w:rsid w:val="0023315B"/>
    <w:rsid w:val="002347FE"/>
    <w:rsid w:val="00234FAA"/>
    <w:rsid w:val="00235DA3"/>
    <w:rsid w:val="0024178D"/>
    <w:rsid w:val="00244893"/>
    <w:rsid w:val="00245DCF"/>
    <w:rsid w:val="00246C65"/>
    <w:rsid w:val="00250730"/>
    <w:rsid w:val="0025261B"/>
    <w:rsid w:val="002542A8"/>
    <w:rsid w:val="002542BA"/>
    <w:rsid w:val="00254465"/>
    <w:rsid w:val="00260A11"/>
    <w:rsid w:val="00260EC2"/>
    <w:rsid w:val="0026169A"/>
    <w:rsid w:val="00262763"/>
    <w:rsid w:val="00262AAC"/>
    <w:rsid w:val="00264BEA"/>
    <w:rsid w:val="002653F9"/>
    <w:rsid w:val="002654C2"/>
    <w:rsid w:val="002658D2"/>
    <w:rsid w:val="00266B0C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2EB"/>
    <w:rsid w:val="002844B0"/>
    <w:rsid w:val="00285586"/>
    <w:rsid w:val="00286322"/>
    <w:rsid w:val="00290262"/>
    <w:rsid w:val="00290C3B"/>
    <w:rsid w:val="00291607"/>
    <w:rsid w:val="0029347B"/>
    <w:rsid w:val="00296C1F"/>
    <w:rsid w:val="0029769E"/>
    <w:rsid w:val="002A0C34"/>
    <w:rsid w:val="002A1B59"/>
    <w:rsid w:val="002A4039"/>
    <w:rsid w:val="002A41E6"/>
    <w:rsid w:val="002A525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89D"/>
    <w:rsid w:val="002D0C23"/>
    <w:rsid w:val="002D1023"/>
    <w:rsid w:val="002D1459"/>
    <w:rsid w:val="002D1470"/>
    <w:rsid w:val="002D21CF"/>
    <w:rsid w:val="002D3632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688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0DBE"/>
    <w:rsid w:val="00320203"/>
    <w:rsid w:val="00322002"/>
    <w:rsid w:val="00323890"/>
    <w:rsid w:val="00324129"/>
    <w:rsid w:val="003247B0"/>
    <w:rsid w:val="00325E81"/>
    <w:rsid w:val="003320E0"/>
    <w:rsid w:val="0033453A"/>
    <w:rsid w:val="0033486D"/>
    <w:rsid w:val="003367C4"/>
    <w:rsid w:val="00336D8E"/>
    <w:rsid w:val="003376B3"/>
    <w:rsid w:val="00342993"/>
    <w:rsid w:val="003429DD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928"/>
    <w:rsid w:val="00361A6E"/>
    <w:rsid w:val="00362983"/>
    <w:rsid w:val="00363D7F"/>
    <w:rsid w:val="00367C66"/>
    <w:rsid w:val="00371864"/>
    <w:rsid w:val="0037233D"/>
    <w:rsid w:val="003728DD"/>
    <w:rsid w:val="003736EF"/>
    <w:rsid w:val="003737E3"/>
    <w:rsid w:val="00374F4A"/>
    <w:rsid w:val="00380D80"/>
    <w:rsid w:val="00381E38"/>
    <w:rsid w:val="00382C18"/>
    <w:rsid w:val="00382CD3"/>
    <w:rsid w:val="00385A7E"/>
    <w:rsid w:val="00386C66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0E"/>
    <w:rsid w:val="003B3317"/>
    <w:rsid w:val="003B52D4"/>
    <w:rsid w:val="003B5947"/>
    <w:rsid w:val="003B5AD5"/>
    <w:rsid w:val="003C1CA5"/>
    <w:rsid w:val="003C1EC7"/>
    <w:rsid w:val="003C3BDE"/>
    <w:rsid w:val="003C64A0"/>
    <w:rsid w:val="003C7726"/>
    <w:rsid w:val="003C7BA3"/>
    <w:rsid w:val="003D21C8"/>
    <w:rsid w:val="003D4015"/>
    <w:rsid w:val="003D4E9C"/>
    <w:rsid w:val="003E038E"/>
    <w:rsid w:val="003E0D78"/>
    <w:rsid w:val="003E3277"/>
    <w:rsid w:val="003E3A1D"/>
    <w:rsid w:val="003E4445"/>
    <w:rsid w:val="003E46D2"/>
    <w:rsid w:val="003E6CA0"/>
    <w:rsid w:val="003F2FDE"/>
    <w:rsid w:val="003F330B"/>
    <w:rsid w:val="003F3842"/>
    <w:rsid w:val="003F5756"/>
    <w:rsid w:val="003F6FDF"/>
    <w:rsid w:val="004016F5"/>
    <w:rsid w:val="004017CB"/>
    <w:rsid w:val="0040451C"/>
    <w:rsid w:val="004045AA"/>
    <w:rsid w:val="00404876"/>
    <w:rsid w:val="00404A0D"/>
    <w:rsid w:val="00405229"/>
    <w:rsid w:val="00405CC9"/>
    <w:rsid w:val="00410E7D"/>
    <w:rsid w:val="004138DE"/>
    <w:rsid w:val="00414B2F"/>
    <w:rsid w:val="00415E58"/>
    <w:rsid w:val="00416231"/>
    <w:rsid w:val="0041784D"/>
    <w:rsid w:val="004208AB"/>
    <w:rsid w:val="004219EF"/>
    <w:rsid w:val="0042271D"/>
    <w:rsid w:val="00426CD9"/>
    <w:rsid w:val="00430FEB"/>
    <w:rsid w:val="004310EE"/>
    <w:rsid w:val="004319FD"/>
    <w:rsid w:val="00433677"/>
    <w:rsid w:val="00433DCE"/>
    <w:rsid w:val="004340D5"/>
    <w:rsid w:val="00434880"/>
    <w:rsid w:val="004359A0"/>
    <w:rsid w:val="00437A8B"/>
    <w:rsid w:val="004406C1"/>
    <w:rsid w:val="00442C1B"/>
    <w:rsid w:val="00443A70"/>
    <w:rsid w:val="004449DB"/>
    <w:rsid w:val="004460E9"/>
    <w:rsid w:val="00447B6F"/>
    <w:rsid w:val="00453C11"/>
    <w:rsid w:val="004557B0"/>
    <w:rsid w:val="00457946"/>
    <w:rsid w:val="00457BB9"/>
    <w:rsid w:val="00457D8B"/>
    <w:rsid w:val="00460A17"/>
    <w:rsid w:val="00463F32"/>
    <w:rsid w:val="0046445E"/>
    <w:rsid w:val="00464B3D"/>
    <w:rsid w:val="00470CB5"/>
    <w:rsid w:val="00471EAB"/>
    <w:rsid w:val="004723EE"/>
    <w:rsid w:val="0047451B"/>
    <w:rsid w:val="004758BC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5D95"/>
    <w:rsid w:val="00496414"/>
    <w:rsid w:val="00497A38"/>
    <w:rsid w:val="00497F75"/>
    <w:rsid w:val="004A071D"/>
    <w:rsid w:val="004A1977"/>
    <w:rsid w:val="004A3815"/>
    <w:rsid w:val="004A45BD"/>
    <w:rsid w:val="004A4656"/>
    <w:rsid w:val="004A77B0"/>
    <w:rsid w:val="004B1CED"/>
    <w:rsid w:val="004B3252"/>
    <w:rsid w:val="004B34A7"/>
    <w:rsid w:val="004B3B06"/>
    <w:rsid w:val="004B4643"/>
    <w:rsid w:val="004B4AD0"/>
    <w:rsid w:val="004B5F8A"/>
    <w:rsid w:val="004B64AD"/>
    <w:rsid w:val="004B723B"/>
    <w:rsid w:val="004B741E"/>
    <w:rsid w:val="004B7F67"/>
    <w:rsid w:val="004C1994"/>
    <w:rsid w:val="004C3026"/>
    <w:rsid w:val="004D10ED"/>
    <w:rsid w:val="004D4080"/>
    <w:rsid w:val="004E05FD"/>
    <w:rsid w:val="004E0DC7"/>
    <w:rsid w:val="004E0F59"/>
    <w:rsid w:val="004E1A0D"/>
    <w:rsid w:val="004E23F5"/>
    <w:rsid w:val="004E2804"/>
    <w:rsid w:val="004E4151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22AF"/>
    <w:rsid w:val="005151DA"/>
    <w:rsid w:val="0051587A"/>
    <w:rsid w:val="005158FA"/>
    <w:rsid w:val="005165AB"/>
    <w:rsid w:val="005169AD"/>
    <w:rsid w:val="00516FF5"/>
    <w:rsid w:val="005208B9"/>
    <w:rsid w:val="005221F0"/>
    <w:rsid w:val="00524807"/>
    <w:rsid w:val="00525361"/>
    <w:rsid w:val="00525FF9"/>
    <w:rsid w:val="00527558"/>
    <w:rsid w:val="00531D11"/>
    <w:rsid w:val="00532D3F"/>
    <w:rsid w:val="0053383B"/>
    <w:rsid w:val="0053386D"/>
    <w:rsid w:val="0053791F"/>
    <w:rsid w:val="00540DD1"/>
    <w:rsid w:val="00544BD7"/>
    <w:rsid w:val="00547538"/>
    <w:rsid w:val="005535BA"/>
    <w:rsid w:val="00553A96"/>
    <w:rsid w:val="00553BFA"/>
    <w:rsid w:val="00553D8D"/>
    <w:rsid w:val="0055608E"/>
    <w:rsid w:val="0056077E"/>
    <w:rsid w:val="00561E41"/>
    <w:rsid w:val="005629EE"/>
    <w:rsid w:val="0056368B"/>
    <w:rsid w:val="005648FA"/>
    <w:rsid w:val="00564D50"/>
    <w:rsid w:val="00564F59"/>
    <w:rsid w:val="005655B6"/>
    <w:rsid w:val="00567346"/>
    <w:rsid w:val="00567944"/>
    <w:rsid w:val="005706CF"/>
    <w:rsid w:val="0057371B"/>
    <w:rsid w:val="005737B4"/>
    <w:rsid w:val="00574616"/>
    <w:rsid w:val="00575EB8"/>
    <w:rsid w:val="00577670"/>
    <w:rsid w:val="00582A9B"/>
    <w:rsid w:val="005832AB"/>
    <w:rsid w:val="0058437C"/>
    <w:rsid w:val="0058606E"/>
    <w:rsid w:val="00587706"/>
    <w:rsid w:val="005935F4"/>
    <w:rsid w:val="005A346E"/>
    <w:rsid w:val="005A73CF"/>
    <w:rsid w:val="005B1804"/>
    <w:rsid w:val="005B409C"/>
    <w:rsid w:val="005B52CE"/>
    <w:rsid w:val="005B5DDF"/>
    <w:rsid w:val="005B798B"/>
    <w:rsid w:val="005C0D5B"/>
    <w:rsid w:val="005C1FAE"/>
    <w:rsid w:val="005C2162"/>
    <w:rsid w:val="005C39E8"/>
    <w:rsid w:val="005C5660"/>
    <w:rsid w:val="005D1B49"/>
    <w:rsid w:val="005D3D51"/>
    <w:rsid w:val="005D3EC0"/>
    <w:rsid w:val="005D4B68"/>
    <w:rsid w:val="005D67BB"/>
    <w:rsid w:val="005E11C1"/>
    <w:rsid w:val="005E2563"/>
    <w:rsid w:val="005E394C"/>
    <w:rsid w:val="005E42BF"/>
    <w:rsid w:val="005E4E70"/>
    <w:rsid w:val="005E65BB"/>
    <w:rsid w:val="005E729C"/>
    <w:rsid w:val="005F0DA0"/>
    <w:rsid w:val="005F4914"/>
    <w:rsid w:val="005F6103"/>
    <w:rsid w:val="005F62B7"/>
    <w:rsid w:val="005F6869"/>
    <w:rsid w:val="005F6BB9"/>
    <w:rsid w:val="00603148"/>
    <w:rsid w:val="006062AA"/>
    <w:rsid w:val="00606FC7"/>
    <w:rsid w:val="00607745"/>
    <w:rsid w:val="00610456"/>
    <w:rsid w:val="00611473"/>
    <w:rsid w:val="00611B36"/>
    <w:rsid w:val="006121FC"/>
    <w:rsid w:val="00613A34"/>
    <w:rsid w:val="00614500"/>
    <w:rsid w:val="00615ADA"/>
    <w:rsid w:val="00615CC5"/>
    <w:rsid w:val="006221CD"/>
    <w:rsid w:val="006237D8"/>
    <w:rsid w:val="006262E0"/>
    <w:rsid w:val="0062669E"/>
    <w:rsid w:val="006266A9"/>
    <w:rsid w:val="006266DE"/>
    <w:rsid w:val="00630426"/>
    <w:rsid w:val="006316C1"/>
    <w:rsid w:val="00631ED4"/>
    <w:rsid w:val="00633BC7"/>
    <w:rsid w:val="00635E9C"/>
    <w:rsid w:val="00637163"/>
    <w:rsid w:val="00637B41"/>
    <w:rsid w:val="00640AF4"/>
    <w:rsid w:val="006414EE"/>
    <w:rsid w:val="00642D0A"/>
    <w:rsid w:val="006451EE"/>
    <w:rsid w:val="00646130"/>
    <w:rsid w:val="00646FE1"/>
    <w:rsid w:val="006470ED"/>
    <w:rsid w:val="00647E20"/>
    <w:rsid w:val="006529D2"/>
    <w:rsid w:val="00657F1A"/>
    <w:rsid w:val="00660727"/>
    <w:rsid w:val="00661140"/>
    <w:rsid w:val="00667893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87209"/>
    <w:rsid w:val="00690127"/>
    <w:rsid w:val="00691BFF"/>
    <w:rsid w:val="00695227"/>
    <w:rsid w:val="006953C1"/>
    <w:rsid w:val="00696175"/>
    <w:rsid w:val="00696EB2"/>
    <w:rsid w:val="006A16E9"/>
    <w:rsid w:val="006A1803"/>
    <w:rsid w:val="006A18FE"/>
    <w:rsid w:val="006A19A4"/>
    <w:rsid w:val="006A5450"/>
    <w:rsid w:val="006B0199"/>
    <w:rsid w:val="006B0A32"/>
    <w:rsid w:val="006B0BD8"/>
    <w:rsid w:val="006B1092"/>
    <w:rsid w:val="006B22A3"/>
    <w:rsid w:val="006B285F"/>
    <w:rsid w:val="006B3279"/>
    <w:rsid w:val="006B797E"/>
    <w:rsid w:val="006B7CDB"/>
    <w:rsid w:val="006C0251"/>
    <w:rsid w:val="006C1822"/>
    <w:rsid w:val="006C2B9A"/>
    <w:rsid w:val="006C38EA"/>
    <w:rsid w:val="006C39BB"/>
    <w:rsid w:val="006C4502"/>
    <w:rsid w:val="006D04CE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7CC"/>
    <w:rsid w:val="00700793"/>
    <w:rsid w:val="00701C2D"/>
    <w:rsid w:val="00702162"/>
    <w:rsid w:val="00703930"/>
    <w:rsid w:val="00703F6A"/>
    <w:rsid w:val="00704070"/>
    <w:rsid w:val="00705744"/>
    <w:rsid w:val="0070610E"/>
    <w:rsid w:val="00706FEA"/>
    <w:rsid w:val="00707759"/>
    <w:rsid w:val="00710081"/>
    <w:rsid w:val="00710B0D"/>
    <w:rsid w:val="00713CB5"/>
    <w:rsid w:val="007141A9"/>
    <w:rsid w:val="007153E5"/>
    <w:rsid w:val="0071558B"/>
    <w:rsid w:val="00715601"/>
    <w:rsid w:val="007208F3"/>
    <w:rsid w:val="00721189"/>
    <w:rsid w:val="007221C3"/>
    <w:rsid w:val="00722F2C"/>
    <w:rsid w:val="007253A4"/>
    <w:rsid w:val="007254D1"/>
    <w:rsid w:val="00725B32"/>
    <w:rsid w:val="00725B3C"/>
    <w:rsid w:val="00733D54"/>
    <w:rsid w:val="00734629"/>
    <w:rsid w:val="00736A4F"/>
    <w:rsid w:val="00736E76"/>
    <w:rsid w:val="00737753"/>
    <w:rsid w:val="00740CE9"/>
    <w:rsid w:val="00740EAB"/>
    <w:rsid w:val="007423E0"/>
    <w:rsid w:val="007428E3"/>
    <w:rsid w:val="00743511"/>
    <w:rsid w:val="0074394E"/>
    <w:rsid w:val="00746EF5"/>
    <w:rsid w:val="007471D2"/>
    <w:rsid w:val="00747E6C"/>
    <w:rsid w:val="0075079A"/>
    <w:rsid w:val="00750ABC"/>
    <w:rsid w:val="00750D0A"/>
    <w:rsid w:val="00751863"/>
    <w:rsid w:val="00751D93"/>
    <w:rsid w:val="00752300"/>
    <w:rsid w:val="00754582"/>
    <w:rsid w:val="007546F8"/>
    <w:rsid w:val="00755BAB"/>
    <w:rsid w:val="00757BA2"/>
    <w:rsid w:val="0076080E"/>
    <w:rsid w:val="007615E5"/>
    <w:rsid w:val="0076411D"/>
    <w:rsid w:val="00765559"/>
    <w:rsid w:val="007670F8"/>
    <w:rsid w:val="007671D4"/>
    <w:rsid w:val="00770A85"/>
    <w:rsid w:val="00772E22"/>
    <w:rsid w:val="00772F2D"/>
    <w:rsid w:val="00773DC9"/>
    <w:rsid w:val="0077572E"/>
    <w:rsid w:val="007765E1"/>
    <w:rsid w:val="0078031B"/>
    <w:rsid w:val="00782CB3"/>
    <w:rsid w:val="00784F44"/>
    <w:rsid w:val="00785239"/>
    <w:rsid w:val="00786672"/>
    <w:rsid w:val="007872CF"/>
    <w:rsid w:val="00787BCE"/>
    <w:rsid w:val="0079201C"/>
    <w:rsid w:val="00792495"/>
    <w:rsid w:val="0079307F"/>
    <w:rsid w:val="007947C4"/>
    <w:rsid w:val="00795CE1"/>
    <w:rsid w:val="007A06AC"/>
    <w:rsid w:val="007A1716"/>
    <w:rsid w:val="007A3A85"/>
    <w:rsid w:val="007A60CB"/>
    <w:rsid w:val="007A6272"/>
    <w:rsid w:val="007B1014"/>
    <w:rsid w:val="007B103F"/>
    <w:rsid w:val="007B1484"/>
    <w:rsid w:val="007B1A10"/>
    <w:rsid w:val="007B38EE"/>
    <w:rsid w:val="007B3A4D"/>
    <w:rsid w:val="007B5510"/>
    <w:rsid w:val="007B6659"/>
    <w:rsid w:val="007B76AB"/>
    <w:rsid w:val="007B7DBD"/>
    <w:rsid w:val="007C01DE"/>
    <w:rsid w:val="007C24B6"/>
    <w:rsid w:val="007C315F"/>
    <w:rsid w:val="007C453E"/>
    <w:rsid w:val="007C45D3"/>
    <w:rsid w:val="007C534D"/>
    <w:rsid w:val="007C597B"/>
    <w:rsid w:val="007C5C4A"/>
    <w:rsid w:val="007C61CB"/>
    <w:rsid w:val="007C7461"/>
    <w:rsid w:val="007C760C"/>
    <w:rsid w:val="007D08FD"/>
    <w:rsid w:val="007D0AD2"/>
    <w:rsid w:val="007D1584"/>
    <w:rsid w:val="007D2044"/>
    <w:rsid w:val="007D2A70"/>
    <w:rsid w:val="007D2D55"/>
    <w:rsid w:val="007D4F33"/>
    <w:rsid w:val="007D65C7"/>
    <w:rsid w:val="007D701A"/>
    <w:rsid w:val="007D74D2"/>
    <w:rsid w:val="007D79B5"/>
    <w:rsid w:val="007E037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07BD"/>
    <w:rsid w:val="007F1A40"/>
    <w:rsid w:val="007F1D17"/>
    <w:rsid w:val="007F2DB6"/>
    <w:rsid w:val="007F2E65"/>
    <w:rsid w:val="007F2F4B"/>
    <w:rsid w:val="007F43BA"/>
    <w:rsid w:val="007F44E6"/>
    <w:rsid w:val="007F45D1"/>
    <w:rsid w:val="007F6DC3"/>
    <w:rsid w:val="008006B4"/>
    <w:rsid w:val="00801A3F"/>
    <w:rsid w:val="00802789"/>
    <w:rsid w:val="00803695"/>
    <w:rsid w:val="00803FD4"/>
    <w:rsid w:val="0080481C"/>
    <w:rsid w:val="0080494A"/>
    <w:rsid w:val="00804A38"/>
    <w:rsid w:val="00804C54"/>
    <w:rsid w:val="008056DD"/>
    <w:rsid w:val="008065E1"/>
    <w:rsid w:val="0081104C"/>
    <w:rsid w:val="00811D2A"/>
    <w:rsid w:val="00812D16"/>
    <w:rsid w:val="00817905"/>
    <w:rsid w:val="00817A54"/>
    <w:rsid w:val="00817C04"/>
    <w:rsid w:val="00820037"/>
    <w:rsid w:val="00821865"/>
    <w:rsid w:val="00822D6B"/>
    <w:rsid w:val="0082327D"/>
    <w:rsid w:val="0082433D"/>
    <w:rsid w:val="00826509"/>
    <w:rsid w:val="0083354D"/>
    <w:rsid w:val="0083561B"/>
    <w:rsid w:val="0083685F"/>
    <w:rsid w:val="008371F6"/>
    <w:rsid w:val="00837D78"/>
    <w:rsid w:val="00837E03"/>
    <w:rsid w:val="00840D79"/>
    <w:rsid w:val="00842A21"/>
    <w:rsid w:val="008431CC"/>
    <w:rsid w:val="008439BF"/>
    <w:rsid w:val="008440C5"/>
    <w:rsid w:val="008450A5"/>
    <w:rsid w:val="00845DAD"/>
    <w:rsid w:val="00850976"/>
    <w:rsid w:val="00852EE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67A"/>
    <w:rsid w:val="0086368A"/>
    <w:rsid w:val="008643FC"/>
    <w:rsid w:val="00864529"/>
    <w:rsid w:val="008649B9"/>
    <w:rsid w:val="0086784F"/>
    <w:rsid w:val="00870394"/>
    <w:rsid w:val="0087073B"/>
    <w:rsid w:val="00871D50"/>
    <w:rsid w:val="008770D4"/>
    <w:rsid w:val="0088127F"/>
    <w:rsid w:val="008815EF"/>
    <w:rsid w:val="00885273"/>
    <w:rsid w:val="00885F2C"/>
    <w:rsid w:val="00886386"/>
    <w:rsid w:val="0088701C"/>
    <w:rsid w:val="00887823"/>
    <w:rsid w:val="00887BA4"/>
    <w:rsid w:val="0089174C"/>
    <w:rsid w:val="00892932"/>
    <w:rsid w:val="00892EB4"/>
    <w:rsid w:val="0089499B"/>
    <w:rsid w:val="00894ACA"/>
    <w:rsid w:val="00894E87"/>
    <w:rsid w:val="00894EC5"/>
    <w:rsid w:val="008957AC"/>
    <w:rsid w:val="008967B5"/>
    <w:rsid w:val="008A038B"/>
    <w:rsid w:val="008A03AC"/>
    <w:rsid w:val="008A186D"/>
    <w:rsid w:val="008A2B4E"/>
    <w:rsid w:val="008A345A"/>
    <w:rsid w:val="008A3DB9"/>
    <w:rsid w:val="008A53A7"/>
    <w:rsid w:val="008A6A5C"/>
    <w:rsid w:val="008A7316"/>
    <w:rsid w:val="008B1921"/>
    <w:rsid w:val="008B500A"/>
    <w:rsid w:val="008B7CFB"/>
    <w:rsid w:val="008C0293"/>
    <w:rsid w:val="008C1610"/>
    <w:rsid w:val="008C2F1E"/>
    <w:rsid w:val="008C30E5"/>
    <w:rsid w:val="008C3B5B"/>
    <w:rsid w:val="008C409F"/>
    <w:rsid w:val="008C602D"/>
    <w:rsid w:val="008C6845"/>
    <w:rsid w:val="008C6BCC"/>
    <w:rsid w:val="008C7643"/>
    <w:rsid w:val="008D098D"/>
    <w:rsid w:val="008D135A"/>
    <w:rsid w:val="008D2205"/>
    <w:rsid w:val="008D2331"/>
    <w:rsid w:val="008D36CD"/>
    <w:rsid w:val="008D4380"/>
    <w:rsid w:val="008D474F"/>
    <w:rsid w:val="008D48D1"/>
    <w:rsid w:val="008D5B7E"/>
    <w:rsid w:val="008E1581"/>
    <w:rsid w:val="008E3152"/>
    <w:rsid w:val="008F2C49"/>
    <w:rsid w:val="008F769E"/>
    <w:rsid w:val="008F7CFF"/>
    <w:rsid w:val="008F7ED1"/>
    <w:rsid w:val="00901C8D"/>
    <w:rsid w:val="009027BC"/>
    <w:rsid w:val="00904A4D"/>
    <w:rsid w:val="00905074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38BF"/>
    <w:rsid w:val="00917B00"/>
    <w:rsid w:val="00917C0F"/>
    <w:rsid w:val="0092040E"/>
    <w:rsid w:val="00920C6C"/>
    <w:rsid w:val="00921986"/>
    <w:rsid w:val="009227D9"/>
    <w:rsid w:val="009253FC"/>
    <w:rsid w:val="00925D9E"/>
    <w:rsid w:val="00927392"/>
    <w:rsid w:val="00927623"/>
    <w:rsid w:val="00927751"/>
    <w:rsid w:val="00927791"/>
    <w:rsid w:val="00930607"/>
    <w:rsid w:val="00930A2D"/>
    <w:rsid w:val="00930D0A"/>
    <w:rsid w:val="009329BA"/>
    <w:rsid w:val="0093304D"/>
    <w:rsid w:val="009345FF"/>
    <w:rsid w:val="009356C6"/>
    <w:rsid w:val="009356D3"/>
    <w:rsid w:val="00936939"/>
    <w:rsid w:val="0094053B"/>
    <w:rsid w:val="00942040"/>
    <w:rsid w:val="00942C9F"/>
    <w:rsid w:val="0094355E"/>
    <w:rsid w:val="00944276"/>
    <w:rsid w:val="00945631"/>
    <w:rsid w:val="00947549"/>
    <w:rsid w:val="00951BDD"/>
    <w:rsid w:val="00951C48"/>
    <w:rsid w:val="0095338B"/>
    <w:rsid w:val="00955DC8"/>
    <w:rsid w:val="0095793C"/>
    <w:rsid w:val="0096111E"/>
    <w:rsid w:val="00961125"/>
    <w:rsid w:val="00961951"/>
    <w:rsid w:val="009626F4"/>
    <w:rsid w:val="00963BD1"/>
    <w:rsid w:val="00966B1F"/>
    <w:rsid w:val="009705E0"/>
    <w:rsid w:val="00970C06"/>
    <w:rsid w:val="00973381"/>
    <w:rsid w:val="00974518"/>
    <w:rsid w:val="00975B88"/>
    <w:rsid w:val="00980FE0"/>
    <w:rsid w:val="009837CD"/>
    <w:rsid w:val="00983A15"/>
    <w:rsid w:val="00983D7E"/>
    <w:rsid w:val="00987E64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4183"/>
    <w:rsid w:val="009A777F"/>
    <w:rsid w:val="009B39D3"/>
    <w:rsid w:val="009B536C"/>
    <w:rsid w:val="009B6496"/>
    <w:rsid w:val="009B69D5"/>
    <w:rsid w:val="009C01DA"/>
    <w:rsid w:val="009C070E"/>
    <w:rsid w:val="009C20CC"/>
    <w:rsid w:val="009C2422"/>
    <w:rsid w:val="009C3558"/>
    <w:rsid w:val="009C562E"/>
    <w:rsid w:val="009C5B72"/>
    <w:rsid w:val="009C7531"/>
    <w:rsid w:val="009D220C"/>
    <w:rsid w:val="009D221F"/>
    <w:rsid w:val="009D2C53"/>
    <w:rsid w:val="009D53E0"/>
    <w:rsid w:val="009D5FB5"/>
    <w:rsid w:val="009E09F0"/>
    <w:rsid w:val="009E19E8"/>
    <w:rsid w:val="009E377C"/>
    <w:rsid w:val="009E458A"/>
    <w:rsid w:val="009E4B0F"/>
    <w:rsid w:val="009E5DFC"/>
    <w:rsid w:val="009E7EE5"/>
    <w:rsid w:val="009F02F3"/>
    <w:rsid w:val="009F1789"/>
    <w:rsid w:val="009F36D2"/>
    <w:rsid w:val="009F394C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023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1288"/>
    <w:rsid w:val="00A32F60"/>
    <w:rsid w:val="00A330C5"/>
    <w:rsid w:val="00A34068"/>
    <w:rsid w:val="00A343F3"/>
    <w:rsid w:val="00A34D76"/>
    <w:rsid w:val="00A365D0"/>
    <w:rsid w:val="00A37428"/>
    <w:rsid w:val="00A402B8"/>
    <w:rsid w:val="00A4360E"/>
    <w:rsid w:val="00A443A6"/>
    <w:rsid w:val="00A446D9"/>
    <w:rsid w:val="00A45A1A"/>
    <w:rsid w:val="00A47F32"/>
    <w:rsid w:val="00A50972"/>
    <w:rsid w:val="00A53220"/>
    <w:rsid w:val="00A538E6"/>
    <w:rsid w:val="00A540C1"/>
    <w:rsid w:val="00A56800"/>
    <w:rsid w:val="00A56D7E"/>
    <w:rsid w:val="00A57065"/>
    <w:rsid w:val="00A5729F"/>
    <w:rsid w:val="00A57404"/>
    <w:rsid w:val="00A575BD"/>
    <w:rsid w:val="00A57AB2"/>
    <w:rsid w:val="00A60EEC"/>
    <w:rsid w:val="00A620FF"/>
    <w:rsid w:val="00A64F61"/>
    <w:rsid w:val="00A65BD9"/>
    <w:rsid w:val="00A65C1E"/>
    <w:rsid w:val="00A66718"/>
    <w:rsid w:val="00A705C6"/>
    <w:rsid w:val="00A70B31"/>
    <w:rsid w:val="00A72A72"/>
    <w:rsid w:val="00A759FE"/>
    <w:rsid w:val="00A76D67"/>
    <w:rsid w:val="00A776B8"/>
    <w:rsid w:val="00A80A6A"/>
    <w:rsid w:val="00A80DD3"/>
    <w:rsid w:val="00A81437"/>
    <w:rsid w:val="00A827A3"/>
    <w:rsid w:val="00A85357"/>
    <w:rsid w:val="00A902DD"/>
    <w:rsid w:val="00A91617"/>
    <w:rsid w:val="00A91F99"/>
    <w:rsid w:val="00A920F9"/>
    <w:rsid w:val="00A93207"/>
    <w:rsid w:val="00A9482B"/>
    <w:rsid w:val="00A9508B"/>
    <w:rsid w:val="00A95230"/>
    <w:rsid w:val="00A96FA8"/>
    <w:rsid w:val="00A9770A"/>
    <w:rsid w:val="00A97A85"/>
    <w:rsid w:val="00AA0DD3"/>
    <w:rsid w:val="00AA1C07"/>
    <w:rsid w:val="00AA2199"/>
    <w:rsid w:val="00AA3688"/>
    <w:rsid w:val="00AA3831"/>
    <w:rsid w:val="00AA5887"/>
    <w:rsid w:val="00AA6484"/>
    <w:rsid w:val="00AA6644"/>
    <w:rsid w:val="00AA7213"/>
    <w:rsid w:val="00AB107C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835"/>
    <w:rsid w:val="00AC68C6"/>
    <w:rsid w:val="00AC6D1C"/>
    <w:rsid w:val="00AC70ED"/>
    <w:rsid w:val="00AC75AA"/>
    <w:rsid w:val="00AC79C1"/>
    <w:rsid w:val="00AC7CA4"/>
    <w:rsid w:val="00AD2C1F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2AD4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5E20"/>
    <w:rsid w:val="00B06321"/>
    <w:rsid w:val="00B072F7"/>
    <w:rsid w:val="00B074F8"/>
    <w:rsid w:val="00B145CD"/>
    <w:rsid w:val="00B17FAB"/>
    <w:rsid w:val="00B2099F"/>
    <w:rsid w:val="00B22C5F"/>
    <w:rsid w:val="00B23687"/>
    <w:rsid w:val="00B23714"/>
    <w:rsid w:val="00B2400B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6D0F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0F4E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2707"/>
    <w:rsid w:val="00B853FE"/>
    <w:rsid w:val="00B86608"/>
    <w:rsid w:val="00B87847"/>
    <w:rsid w:val="00B90477"/>
    <w:rsid w:val="00B92AA5"/>
    <w:rsid w:val="00B92CE2"/>
    <w:rsid w:val="00B93669"/>
    <w:rsid w:val="00B93CD8"/>
    <w:rsid w:val="00B94FB3"/>
    <w:rsid w:val="00B96744"/>
    <w:rsid w:val="00B97977"/>
    <w:rsid w:val="00BA6419"/>
    <w:rsid w:val="00BA6550"/>
    <w:rsid w:val="00BA7E34"/>
    <w:rsid w:val="00BB0EDC"/>
    <w:rsid w:val="00BB1B4E"/>
    <w:rsid w:val="00BB2437"/>
    <w:rsid w:val="00BB2F21"/>
    <w:rsid w:val="00BB32A1"/>
    <w:rsid w:val="00BB3642"/>
    <w:rsid w:val="00BB4843"/>
    <w:rsid w:val="00BB66AB"/>
    <w:rsid w:val="00BC0AD6"/>
    <w:rsid w:val="00BC3584"/>
    <w:rsid w:val="00BC4673"/>
    <w:rsid w:val="00BC78E0"/>
    <w:rsid w:val="00BD284F"/>
    <w:rsid w:val="00BD4C08"/>
    <w:rsid w:val="00BD5B0B"/>
    <w:rsid w:val="00BE0AA9"/>
    <w:rsid w:val="00BE1905"/>
    <w:rsid w:val="00BE1CB6"/>
    <w:rsid w:val="00BE2A1F"/>
    <w:rsid w:val="00BE2F47"/>
    <w:rsid w:val="00BE3E9A"/>
    <w:rsid w:val="00BE4ED6"/>
    <w:rsid w:val="00BE54F3"/>
    <w:rsid w:val="00BE5F67"/>
    <w:rsid w:val="00BE7920"/>
    <w:rsid w:val="00BF2CD1"/>
    <w:rsid w:val="00BF2DC9"/>
    <w:rsid w:val="00BF4194"/>
    <w:rsid w:val="00BF4B6A"/>
    <w:rsid w:val="00BF5135"/>
    <w:rsid w:val="00C009F5"/>
    <w:rsid w:val="00C01129"/>
    <w:rsid w:val="00C02239"/>
    <w:rsid w:val="00C022E1"/>
    <w:rsid w:val="00C0398D"/>
    <w:rsid w:val="00C0539F"/>
    <w:rsid w:val="00C05C91"/>
    <w:rsid w:val="00C11E4C"/>
    <w:rsid w:val="00C14792"/>
    <w:rsid w:val="00C14954"/>
    <w:rsid w:val="00C1667B"/>
    <w:rsid w:val="00C16BEB"/>
    <w:rsid w:val="00C1743B"/>
    <w:rsid w:val="00C17D23"/>
    <w:rsid w:val="00C20CA6"/>
    <w:rsid w:val="00C23398"/>
    <w:rsid w:val="00C23B23"/>
    <w:rsid w:val="00C23B89"/>
    <w:rsid w:val="00C26C22"/>
    <w:rsid w:val="00C27B03"/>
    <w:rsid w:val="00C3089B"/>
    <w:rsid w:val="00C34B40"/>
    <w:rsid w:val="00C34DCD"/>
    <w:rsid w:val="00C35836"/>
    <w:rsid w:val="00C41CD3"/>
    <w:rsid w:val="00C43438"/>
    <w:rsid w:val="00C43DF2"/>
    <w:rsid w:val="00C44264"/>
    <w:rsid w:val="00C46251"/>
    <w:rsid w:val="00C478CF"/>
    <w:rsid w:val="00C4790F"/>
    <w:rsid w:val="00C47FC0"/>
    <w:rsid w:val="00C5072A"/>
    <w:rsid w:val="00C51EDF"/>
    <w:rsid w:val="00C528CC"/>
    <w:rsid w:val="00C53ABD"/>
    <w:rsid w:val="00C53AD3"/>
    <w:rsid w:val="00C53C94"/>
    <w:rsid w:val="00C56E1B"/>
    <w:rsid w:val="00C57741"/>
    <w:rsid w:val="00C57E52"/>
    <w:rsid w:val="00C60B41"/>
    <w:rsid w:val="00C6210E"/>
    <w:rsid w:val="00C62568"/>
    <w:rsid w:val="00C633A2"/>
    <w:rsid w:val="00C635A1"/>
    <w:rsid w:val="00C64143"/>
    <w:rsid w:val="00C6434D"/>
    <w:rsid w:val="00C652E5"/>
    <w:rsid w:val="00C659F1"/>
    <w:rsid w:val="00C661FB"/>
    <w:rsid w:val="00C66261"/>
    <w:rsid w:val="00C67446"/>
    <w:rsid w:val="00C7356B"/>
    <w:rsid w:val="00C7697F"/>
    <w:rsid w:val="00C80C02"/>
    <w:rsid w:val="00C8136C"/>
    <w:rsid w:val="00C82FFA"/>
    <w:rsid w:val="00C85521"/>
    <w:rsid w:val="00C863EE"/>
    <w:rsid w:val="00C879CA"/>
    <w:rsid w:val="00C91D81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29"/>
    <w:rsid w:val="00CA6136"/>
    <w:rsid w:val="00CA6BCC"/>
    <w:rsid w:val="00CA71DA"/>
    <w:rsid w:val="00CB18EC"/>
    <w:rsid w:val="00CB1BF3"/>
    <w:rsid w:val="00CB5032"/>
    <w:rsid w:val="00CB5E63"/>
    <w:rsid w:val="00CB62AC"/>
    <w:rsid w:val="00CB6652"/>
    <w:rsid w:val="00CB6D66"/>
    <w:rsid w:val="00CB6DB8"/>
    <w:rsid w:val="00CB77EA"/>
    <w:rsid w:val="00CB7DF6"/>
    <w:rsid w:val="00CC303F"/>
    <w:rsid w:val="00CC3C96"/>
    <w:rsid w:val="00CC56FF"/>
    <w:rsid w:val="00CC6061"/>
    <w:rsid w:val="00CC7BA7"/>
    <w:rsid w:val="00CD077C"/>
    <w:rsid w:val="00CD1ACE"/>
    <w:rsid w:val="00CD342A"/>
    <w:rsid w:val="00CD3940"/>
    <w:rsid w:val="00CD4E32"/>
    <w:rsid w:val="00CD7E60"/>
    <w:rsid w:val="00CE36AA"/>
    <w:rsid w:val="00CE3AE5"/>
    <w:rsid w:val="00CE5429"/>
    <w:rsid w:val="00CE6A0B"/>
    <w:rsid w:val="00CF0950"/>
    <w:rsid w:val="00CF3B07"/>
    <w:rsid w:val="00CF4C13"/>
    <w:rsid w:val="00CF625A"/>
    <w:rsid w:val="00CF6384"/>
    <w:rsid w:val="00CF67F9"/>
    <w:rsid w:val="00CF6902"/>
    <w:rsid w:val="00CF7924"/>
    <w:rsid w:val="00D00A9B"/>
    <w:rsid w:val="00D06E88"/>
    <w:rsid w:val="00D11F90"/>
    <w:rsid w:val="00D13527"/>
    <w:rsid w:val="00D150F1"/>
    <w:rsid w:val="00D15E4E"/>
    <w:rsid w:val="00D161AC"/>
    <w:rsid w:val="00D17402"/>
    <w:rsid w:val="00D174BB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63E7"/>
    <w:rsid w:val="00D514E5"/>
    <w:rsid w:val="00D539D5"/>
    <w:rsid w:val="00D5421C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448"/>
    <w:rsid w:val="00D66264"/>
    <w:rsid w:val="00D662F2"/>
    <w:rsid w:val="00D665F1"/>
    <w:rsid w:val="00D6711E"/>
    <w:rsid w:val="00D67EF6"/>
    <w:rsid w:val="00D7148C"/>
    <w:rsid w:val="00D71E77"/>
    <w:rsid w:val="00D72FD2"/>
    <w:rsid w:val="00D730D0"/>
    <w:rsid w:val="00D73B08"/>
    <w:rsid w:val="00D74763"/>
    <w:rsid w:val="00D76ADD"/>
    <w:rsid w:val="00D80127"/>
    <w:rsid w:val="00D805D1"/>
    <w:rsid w:val="00D82FD7"/>
    <w:rsid w:val="00D84FA6"/>
    <w:rsid w:val="00D857A5"/>
    <w:rsid w:val="00D85978"/>
    <w:rsid w:val="00D85ECC"/>
    <w:rsid w:val="00D864C7"/>
    <w:rsid w:val="00D86552"/>
    <w:rsid w:val="00D86EB7"/>
    <w:rsid w:val="00D909D1"/>
    <w:rsid w:val="00D90D30"/>
    <w:rsid w:val="00D91F20"/>
    <w:rsid w:val="00D92B5E"/>
    <w:rsid w:val="00D93388"/>
    <w:rsid w:val="00D94604"/>
    <w:rsid w:val="00D94A92"/>
    <w:rsid w:val="00D95457"/>
    <w:rsid w:val="00D95E2A"/>
    <w:rsid w:val="00D97187"/>
    <w:rsid w:val="00D9738C"/>
    <w:rsid w:val="00D97A40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0BA2"/>
    <w:rsid w:val="00DC1BA1"/>
    <w:rsid w:val="00DC36B8"/>
    <w:rsid w:val="00DC53F2"/>
    <w:rsid w:val="00DC6B01"/>
    <w:rsid w:val="00DC751D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64B"/>
    <w:rsid w:val="00DE5B0F"/>
    <w:rsid w:val="00DF2CB1"/>
    <w:rsid w:val="00DF33CF"/>
    <w:rsid w:val="00DF4D10"/>
    <w:rsid w:val="00DF5C62"/>
    <w:rsid w:val="00DF5E1A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5D6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313"/>
    <w:rsid w:val="00E320A0"/>
    <w:rsid w:val="00E326EA"/>
    <w:rsid w:val="00E34308"/>
    <w:rsid w:val="00E34CA3"/>
    <w:rsid w:val="00E35DC5"/>
    <w:rsid w:val="00E37DA6"/>
    <w:rsid w:val="00E37FE3"/>
    <w:rsid w:val="00E42BFA"/>
    <w:rsid w:val="00E43AAA"/>
    <w:rsid w:val="00E44C62"/>
    <w:rsid w:val="00E44E4A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832"/>
    <w:rsid w:val="00E849DE"/>
    <w:rsid w:val="00E85948"/>
    <w:rsid w:val="00E86536"/>
    <w:rsid w:val="00E87EE7"/>
    <w:rsid w:val="00E9167E"/>
    <w:rsid w:val="00E922A4"/>
    <w:rsid w:val="00E924F9"/>
    <w:rsid w:val="00E93F3F"/>
    <w:rsid w:val="00E96846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D281F"/>
    <w:rsid w:val="00ED50F6"/>
    <w:rsid w:val="00ED613A"/>
    <w:rsid w:val="00ED6CFA"/>
    <w:rsid w:val="00ED6D53"/>
    <w:rsid w:val="00EE1855"/>
    <w:rsid w:val="00EE2B68"/>
    <w:rsid w:val="00EE3414"/>
    <w:rsid w:val="00EE6D70"/>
    <w:rsid w:val="00EF1386"/>
    <w:rsid w:val="00EF2491"/>
    <w:rsid w:val="00EF256B"/>
    <w:rsid w:val="00EF4A41"/>
    <w:rsid w:val="00EF5277"/>
    <w:rsid w:val="00EF52FB"/>
    <w:rsid w:val="00EF5CAD"/>
    <w:rsid w:val="00EF611F"/>
    <w:rsid w:val="00EF71DF"/>
    <w:rsid w:val="00F1030E"/>
    <w:rsid w:val="00F10925"/>
    <w:rsid w:val="00F12500"/>
    <w:rsid w:val="00F12F6C"/>
    <w:rsid w:val="00F12F7D"/>
    <w:rsid w:val="00F13DAE"/>
    <w:rsid w:val="00F14FA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5B21"/>
    <w:rsid w:val="00F27AE8"/>
    <w:rsid w:val="00F31360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3AC0"/>
    <w:rsid w:val="00F664CE"/>
    <w:rsid w:val="00F67155"/>
    <w:rsid w:val="00F7058F"/>
    <w:rsid w:val="00F70AFD"/>
    <w:rsid w:val="00F70D21"/>
    <w:rsid w:val="00F70FEF"/>
    <w:rsid w:val="00F72505"/>
    <w:rsid w:val="00F728BE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6D0F"/>
    <w:rsid w:val="00F8730A"/>
    <w:rsid w:val="00F90601"/>
    <w:rsid w:val="00F95595"/>
    <w:rsid w:val="00F9585D"/>
    <w:rsid w:val="00F961BB"/>
    <w:rsid w:val="00FA072C"/>
    <w:rsid w:val="00FA2ACE"/>
    <w:rsid w:val="00FB11BE"/>
    <w:rsid w:val="00FB1357"/>
    <w:rsid w:val="00FB13FA"/>
    <w:rsid w:val="00FB1B56"/>
    <w:rsid w:val="00FB2255"/>
    <w:rsid w:val="00FB2424"/>
    <w:rsid w:val="00FB4C6F"/>
    <w:rsid w:val="00FB6181"/>
    <w:rsid w:val="00FC04FC"/>
    <w:rsid w:val="00FC4F66"/>
    <w:rsid w:val="00FC5E76"/>
    <w:rsid w:val="00FC69CF"/>
    <w:rsid w:val="00FC7214"/>
    <w:rsid w:val="00FD0B70"/>
    <w:rsid w:val="00FD11B8"/>
    <w:rsid w:val="00FD1440"/>
    <w:rsid w:val="00FD1489"/>
    <w:rsid w:val="00FD2DA9"/>
    <w:rsid w:val="00FD34A8"/>
    <w:rsid w:val="00FD3B1A"/>
    <w:rsid w:val="00FD3E97"/>
    <w:rsid w:val="00FD426D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4BBB"/>
    <w:rsid w:val="00FE557C"/>
    <w:rsid w:val="00FE7236"/>
    <w:rsid w:val="00FF0AEC"/>
    <w:rsid w:val="00FF2809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07B3F3A3"/>
  <w15:chartTrackingRefBased/>
  <w15:docId w15:val="{C874D4C9-4953-4280-9059-1D40FA824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1E5EF0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D463E7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6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1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6789</Words>
  <Characters>50804</Characters>
  <Application>Microsoft Office Word</Application>
  <DocSecurity>0</DocSecurity>
  <Lines>423</Lines>
  <Paragraphs>114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57479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2026-03-27T11:34:00Z</dcterms:created>
  <dcterms:modified xsi:type="dcterms:W3CDTF">2026-03-27T11:34:00Z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