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E6B82" w14:textId="77777777" w:rsidR="0068157B" w:rsidRPr="00336525" w:rsidRDefault="0068157B" w:rsidP="00B052B1">
      <w:pPr>
        <w:tabs>
          <w:tab w:val="left" w:pos="567"/>
        </w:tabs>
        <w:rPr>
          <w:rFonts w:eastAsia="SimSun" w:cs="Times New Roman"/>
          <w:snapToGrid w:val="0"/>
          <w:color w:val="auto"/>
          <w:szCs w:val="22"/>
          <w:lang w:eastAsia="zh-CN" w:bidi="ar-SA"/>
        </w:rPr>
      </w:pPr>
      <w:bookmarkStart w:id="0" w:name="_GoBack"/>
      <w:bookmarkEnd w:id="0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1.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GYÓGYSZER NEVE</w:t>
      </w:r>
    </w:p>
    <w:p w14:paraId="358F025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A5897B9" w14:textId="77777777" w:rsidR="0029197E" w:rsidRPr="00336525" w:rsidRDefault="00AB580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Asduter</w:t>
      </w:r>
      <w:r w:rsidR="0029197E" w:rsidRPr="00336525">
        <w:rPr>
          <w:sz w:val="22"/>
          <w:szCs w:val="22"/>
          <w:lang w:val="hu-HU"/>
        </w:rPr>
        <w:t xml:space="preserve"> 15</w:t>
      </w:r>
      <w:r w:rsidR="00B052B1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mg tabletta</w:t>
      </w:r>
    </w:p>
    <w:p w14:paraId="43C15F4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C714D8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1B753D6" w14:textId="77777777" w:rsidR="0068157B" w:rsidRPr="00336525" w:rsidRDefault="0068157B" w:rsidP="00B052B1">
      <w:pPr>
        <w:tabs>
          <w:tab w:val="left" w:pos="567"/>
        </w:tabs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bookmarkStart w:id="1" w:name="bookmark1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2.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ab/>
        <w:t>MINŐSÉGI ÉS MENNYISÉGI ÖSSZETÉTEL</w:t>
      </w:r>
    </w:p>
    <w:bookmarkEnd w:id="1"/>
    <w:p w14:paraId="011809E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</w:p>
    <w:p w14:paraId="12403EC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336525">
        <w:rPr>
          <w:sz w:val="22"/>
          <w:szCs w:val="22"/>
          <w:lang w:val="hu-HU"/>
        </w:rPr>
        <w:t>15</w:t>
      </w:r>
      <w:r w:rsidR="005339A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aripiprazol</w:t>
      </w:r>
      <w:r w:rsidR="00026020">
        <w:rPr>
          <w:sz w:val="22"/>
          <w:szCs w:val="22"/>
          <w:lang w:val="hu-HU"/>
        </w:rPr>
        <w:t>t tartalmaz</w:t>
      </w:r>
      <w:r w:rsidRPr="00336525">
        <w:rPr>
          <w:sz w:val="22"/>
          <w:szCs w:val="22"/>
          <w:lang w:val="hu-HU"/>
        </w:rPr>
        <w:t xml:space="preserve"> tablettánként.</w:t>
      </w:r>
    </w:p>
    <w:p w14:paraId="45B6298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6B1EBF">
        <w:rPr>
          <w:rStyle w:val="Szvegtrzs1"/>
          <w:color w:val="auto"/>
          <w:sz w:val="22"/>
          <w:szCs w:val="22"/>
        </w:rPr>
        <w:t>Ismert hatású segédanyag</w:t>
      </w:r>
      <w:r w:rsidRPr="006B1EBF">
        <w:rPr>
          <w:sz w:val="22"/>
          <w:szCs w:val="22"/>
          <w:u w:val="single"/>
          <w:lang w:val="hu-HU"/>
        </w:rPr>
        <w:t>:</w:t>
      </w:r>
      <w:r w:rsidR="00AB580E" w:rsidRPr="006B1EBF">
        <w:rPr>
          <w:sz w:val="22"/>
          <w:szCs w:val="22"/>
          <w:u w:val="single"/>
          <w:lang w:val="hu-HU"/>
        </w:rPr>
        <w:t xml:space="preserve"> </w:t>
      </w:r>
      <w:r w:rsidR="00AB580E" w:rsidRPr="00336525">
        <w:rPr>
          <w:sz w:val="22"/>
          <w:szCs w:val="22"/>
          <w:lang w:val="hu-HU"/>
        </w:rPr>
        <w:t>73</w:t>
      </w:r>
      <w:r w:rsidRPr="00336525">
        <w:rPr>
          <w:sz w:val="22"/>
          <w:szCs w:val="22"/>
          <w:lang w:val="hu-HU"/>
        </w:rPr>
        <w:t>,</w:t>
      </w:r>
      <w:r w:rsidR="00AB580E" w:rsidRPr="00336525">
        <w:rPr>
          <w:sz w:val="22"/>
          <w:szCs w:val="22"/>
          <w:lang w:val="hu-HU"/>
        </w:rPr>
        <w:t>94</w:t>
      </w:r>
      <w:r w:rsidR="005339A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laktóz</w:t>
      </w:r>
      <w:r w:rsidR="00026020">
        <w:rPr>
          <w:sz w:val="22"/>
          <w:szCs w:val="22"/>
          <w:lang w:val="hu-HU"/>
        </w:rPr>
        <w:t>t tartalmaz</w:t>
      </w:r>
      <w:r w:rsidRPr="00336525">
        <w:rPr>
          <w:sz w:val="22"/>
          <w:szCs w:val="22"/>
          <w:lang w:val="hu-HU"/>
        </w:rPr>
        <w:t xml:space="preserve"> tablettánként</w:t>
      </w:r>
      <w:r w:rsidR="009F741A" w:rsidRPr="00336525">
        <w:rPr>
          <w:sz w:val="22"/>
          <w:szCs w:val="22"/>
          <w:lang w:val="hu-HU"/>
        </w:rPr>
        <w:t>.</w:t>
      </w:r>
    </w:p>
    <w:p w14:paraId="7864B47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segédanyagok teljes listáját lásd a 6.1</w:t>
      </w:r>
      <w:r w:rsidR="005339A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pontban.</w:t>
      </w:r>
    </w:p>
    <w:p w14:paraId="4A6D12A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571523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76C78CC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2" w:name="bookmark2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3.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GYÓGYSZERFORMA</w:t>
      </w:r>
    </w:p>
    <w:bookmarkEnd w:id="2"/>
    <w:p w14:paraId="1763225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12A5E84" w14:textId="77777777" w:rsidR="00165D5C" w:rsidRPr="00336525" w:rsidRDefault="00AB580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T</w:t>
      </w:r>
      <w:r w:rsidR="00165D5C" w:rsidRPr="00336525">
        <w:rPr>
          <w:sz w:val="22"/>
          <w:szCs w:val="22"/>
          <w:lang w:val="hu-HU"/>
        </w:rPr>
        <w:t>abletta</w:t>
      </w:r>
    </w:p>
    <w:p w14:paraId="6178DD25" w14:textId="77777777" w:rsidR="0029197E" w:rsidRPr="00336525" w:rsidRDefault="00AB580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Világossárga</w:t>
      </w:r>
      <w:r w:rsidR="0029197E" w:rsidRPr="00336525">
        <w:rPr>
          <w:sz w:val="22"/>
          <w:szCs w:val="22"/>
          <w:lang w:val="hu-HU"/>
        </w:rPr>
        <w:t xml:space="preserve">, kerek, </w:t>
      </w:r>
      <w:r w:rsidRPr="00336525">
        <w:rPr>
          <w:sz w:val="22"/>
          <w:szCs w:val="22"/>
          <w:lang w:val="hu-HU"/>
        </w:rPr>
        <w:t>lapos, metszett élű</w:t>
      </w:r>
      <w:r w:rsidR="00B052B1" w:rsidRPr="00336525">
        <w:rPr>
          <w:sz w:val="22"/>
          <w:szCs w:val="22"/>
          <w:lang w:val="hu-HU"/>
        </w:rPr>
        <w:t>, 6,8</w:t>
      </w:r>
      <w:r w:rsidR="00B052B1" w:rsidRPr="00336525">
        <w:rPr>
          <w:sz w:val="22"/>
          <w:szCs w:val="22"/>
          <w:lang w:val="hu-HU"/>
        </w:rPr>
        <w:noBreakHyphen/>
        <w:t>7,</w:t>
      </w:r>
      <w:r w:rsidRPr="00336525">
        <w:rPr>
          <w:sz w:val="22"/>
          <w:szCs w:val="22"/>
          <w:lang w:val="hu-HU"/>
        </w:rPr>
        <w:t>2 mm átmérőjű tabletta.</w:t>
      </w:r>
    </w:p>
    <w:p w14:paraId="74C8C38F" w14:textId="77777777" w:rsidR="00B052B1" w:rsidRPr="00336525" w:rsidRDefault="00B052B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5032D1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5E6048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bookmarkStart w:id="3" w:name="bookmark3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4.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ab/>
        <w:t>KLINIKAI JELLEMZŐK</w:t>
      </w:r>
    </w:p>
    <w:p w14:paraId="14479C5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bookmarkStart w:id="4" w:name="bookmark4"/>
      <w:bookmarkEnd w:id="3"/>
    </w:p>
    <w:p w14:paraId="1A455035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4.1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Terápiás javallatok</w:t>
      </w:r>
    </w:p>
    <w:bookmarkEnd w:id="4"/>
    <w:p w14:paraId="7022C73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1423BA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5E70F8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schizophrenia kezelésére javallott, felnőttek és 15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vagy idősebb serdülők részére.</w:t>
      </w:r>
    </w:p>
    <w:p w14:paraId="64F7ADC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5E70F8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közepes</w:t>
      </w:r>
      <w:r w:rsidR="00CA19B1" w:rsidRPr="00336525">
        <w:rPr>
          <w:sz w:val="22"/>
          <w:szCs w:val="22"/>
          <w:lang w:val="hu-HU"/>
        </w:rPr>
        <w:t>en súlyos és súlyos</w:t>
      </w:r>
      <w:r w:rsidRPr="00336525">
        <w:rPr>
          <w:sz w:val="22"/>
          <w:szCs w:val="22"/>
          <w:lang w:val="hu-HU"/>
        </w:rPr>
        <w:t xml:space="preserve"> mániás epizódok kezelésére javallott bipoláris </w:t>
      </w:r>
      <w:r w:rsidR="004E1476" w:rsidRPr="00336525">
        <w:rPr>
          <w:sz w:val="22"/>
          <w:szCs w:val="22"/>
          <w:lang w:val="hu-HU"/>
        </w:rPr>
        <w:t xml:space="preserve">affektív </w:t>
      </w:r>
      <w:r w:rsidRPr="00336525">
        <w:rPr>
          <w:sz w:val="22"/>
          <w:szCs w:val="22"/>
          <w:lang w:val="hu-HU"/>
        </w:rPr>
        <w:t>zavar I-es típusában, valamint új mániás epizód megelőzésére olyan felnőtteknél, akiknél túlnyomóan mániás epizódok észlelhetők</w:t>
      </w:r>
      <w:r w:rsidR="00CA19B1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és akik</w:t>
      </w:r>
      <w:r w:rsidR="00CA19B1" w:rsidRPr="00336525">
        <w:rPr>
          <w:sz w:val="22"/>
          <w:szCs w:val="22"/>
          <w:lang w:val="hu-HU"/>
        </w:rPr>
        <w:t>nek a</w:t>
      </w:r>
      <w:r w:rsidRPr="00336525">
        <w:rPr>
          <w:sz w:val="22"/>
          <w:szCs w:val="22"/>
          <w:lang w:val="hu-HU"/>
        </w:rPr>
        <w:t xml:space="preserve"> mániás epizódja aripiprazol</w:t>
      </w:r>
      <w:r w:rsidR="00CA19B1" w:rsidRPr="00336525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kezelésre reagált (lásd 5.</w:t>
      </w:r>
      <w:r w:rsidR="00CA19B1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</w:t>
      </w:r>
    </w:p>
    <w:p w14:paraId="0CD21D3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5E70F8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</w:t>
      </w:r>
      <w:r w:rsidR="00CA19B1" w:rsidRPr="00336525">
        <w:rPr>
          <w:sz w:val="22"/>
          <w:szCs w:val="22"/>
          <w:lang w:val="hu-HU"/>
        </w:rPr>
        <w:t xml:space="preserve">közepesen súlyos és súlyos </w:t>
      </w:r>
      <w:r w:rsidRPr="00336525">
        <w:rPr>
          <w:sz w:val="22"/>
          <w:szCs w:val="22"/>
          <w:lang w:val="hu-HU"/>
        </w:rPr>
        <w:t>mániás epizódok legfeljebb 12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 kezelésére javallott bipoláris</w:t>
      </w:r>
      <w:r w:rsidR="009F741A" w:rsidRPr="00336525">
        <w:rPr>
          <w:sz w:val="22"/>
          <w:szCs w:val="22"/>
          <w:lang w:val="hu-HU"/>
        </w:rPr>
        <w:t xml:space="preserve"> affektív</w:t>
      </w:r>
      <w:r w:rsidRPr="00336525">
        <w:rPr>
          <w:sz w:val="22"/>
          <w:szCs w:val="22"/>
          <w:lang w:val="hu-HU"/>
        </w:rPr>
        <w:t xml:space="preserve"> zavar I</w:t>
      </w:r>
      <w:r w:rsidR="00B052B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típusában, 13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vagy idősebb serdülők részére (lásd 5.</w:t>
      </w:r>
      <w:r w:rsidR="00CA19B1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</w:t>
      </w:r>
    </w:p>
    <w:p w14:paraId="73B759D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BFF446E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5" w:name="bookmark5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4.2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Adagolás és alkalmazás</w:t>
      </w:r>
    </w:p>
    <w:bookmarkEnd w:id="5"/>
    <w:p w14:paraId="6AF1255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</w:rPr>
      </w:pPr>
    </w:p>
    <w:p w14:paraId="40339F8E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</w:rPr>
      </w:pPr>
      <w:r w:rsidRPr="00336525">
        <w:rPr>
          <w:rStyle w:val="Bodytext31"/>
          <w:iCs/>
          <w:color w:val="auto"/>
          <w:sz w:val="22"/>
          <w:szCs w:val="22"/>
        </w:rPr>
        <w:t>Adagolás</w:t>
      </w:r>
    </w:p>
    <w:p w14:paraId="177CCFB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2A3A9EF7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Felnőttek</w:t>
      </w:r>
    </w:p>
    <w:p w14:paraId="25F135A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Schizophrenia</w:t>
      </w:r>
      <w:r w:rsidRPr="00336525">
        <w:rPr>
          <w:rStyle w:val="BodytextItalic"/>
          <w:color w:val="auto"/>
          <w:sz w:val="22"/>
          <w:szCs w:val="22"/>
        </w:rPr>
        <w:t>:</w:t>
      </w:r>
      <w:r w:rsidRPr="00336525">
        <w:rPr>
          <w:sz w:val="22"/>
          <w:szCs w:val="22"/>
          <w:lang w:val="hu-HU"/>
        </w:rPr>
        <w:t xml:space="preserve"> </w:t>
      </w:r>
      <w:r w:rsidR="004E1476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r w:rsidR="005E70F8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javasolt kezdő adagja egyszer 10 vagy 15</w:t>
      </w:r>
      <w:r w:rsidR="001D2B2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naponta, fenntartó adagja </w:t>
      </w:r>
      <w:r w:rsidR="001D2B2E" w:rsidRPr="00336525">
        <w:rPr>
          <w:sz w:val="22"/>
          <w:szCs w:val="22"/>
          <w:lang w:val="hu-HU"/>
        </w:rPr>
        <w:t xml:space="preserve">napi </w:t>
      </w:r>
      <w:r w:rsidRPr="00336525">
        <w:rPr>
          <w:sz w:val="22"/>
          <w:szCs w:val="22"/>
          <w:lang w:val="hu-HU"/>
        </w:rPr>
        <w:t>15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mg, egyszer naponta, étkezéstől függetlenül.</w:t>
      </w:r>
    </w:p>
    <w:p w14:paraId="31A361C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5E70F8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a </w:t>
      </w:r>
      <w:r w:rsidR="001D2B2E" w:rsidRPr="00336525">
        <w:rPr>
          <w:sz w:val="22"/>
          <w:szCs w:val="22"/>
          <w:lang w:val="hu-HU"/>
        </w:rPr>
        <w:t xml:space="preserve">napi </w:t>
      </w:r>
      <w:r w:rsidRPr="00336525">
        <w:rPr>
          <w:sz w:val="22"/>
          <w:szCs w:val="22"/>
          <w:lang w:val="hu-HU"/>
        </w:rPr>
        <w:t>10</w:t>
      </w:r>
      <w:r w:rsidR="001D2B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30</w:t>
      </w:r>
      <w:r w:rsidR="001D2B2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dózistartományban hatásos. </w:t>
      </w:r>
      <w:r w:rsidR="004E1476" w:rsidRPr="00336525">
        <w:rPr>
          <w:sz w:val="22"/>
          <w:szCs w:val="22"/>
          <w:lang w:val="hu-HU"/>
        </w:rPr>
        <w:t>A n</w:t>
      </w:r>
      <w:r w:rsidRPr="00336525">
        <w:rPr>
          <w:sz w:val="22"/>
          <w:szCs w:val="22"/>
          <w:lang w:val="hu-HU"/>
        </w:rPr>
        <w:t>api 15</w:t>
      </w:r>
      <w:r w:rsidR="001D2B2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ot meghaladó adagoknál nem bizonyított a nagyobb </w:t>
      </w:r>
      <w:r w:rsidR="004E1476" w:rsidRPr="00336525">
        <w:rPr>
          <w:sz w:val="22"/>
          <w:szCs w:val="22"/>
          <w:lang w:val="hu-HU"/>
        </w:rPr>
        <w:t xml:space="preserve">mértékű </w:t>
      </w:r>
      <w:r w:rsidRPr="00336525">
        <w:rPr>
          <w:sz w:val="22"/>
          <w:szCs w:val="22"/>
          <w:lang w:val="hu-HU"/>
        </w:rPr>
        <w:t>hatékonyság, azonban egyes betegek</w:t>
      </w:r>
      <w:r w:rsidR="004E1476" w:rsidRPr="00336525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magasabb dózis </w:t>
      </w:r>
      <w:r w:rsidR="004E1476" w:rsidRPr="00336525">
        <w:rPr>
          <w:sz w:val="22"/>
          <w:szCs w:val="22"/>
          <w:lang w:val="hu-HU"/>
        </w:rPr>
        <w:t xml:space="preserve">hatásos </w:t>
      </w:r>
      <w:r w:rsidRPr="00336525">
        <w:rPr>
          <w:sz w:val="22"/>
          <w:szCs w:val="22"/>
          <w:lang w:val="hu-HU"/>
        </w:rPr>
        <w:t>lehet. A maximális napi adag nem haladhatja meg a 30</w:t>
      </w:r>
      <w:r w:rsidR="00146F6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ot.</w:t>
      </w:r>
    </w:p>
    <w:p w14:paraId="63EA74D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49157B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Mániás epizódok bipoláris </w:t>
      </w:r>
      <w:r w:rsidR="004E1476"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affektív 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zavar I-es típusában:</w:t>
      </w:r>
      <w:r w:rsidRPr="00336525">
        <w:rPr>
          <w:sz w:val="22"/>
          <w:szCs w:val="22"/>
          <w:lang w:val="hu-HU"/>
        </w:rPr>
        <w:t xml:space="preserve"> </w:t>
      </w:r>
      <w:r w:rsidR="004E1476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r w:rsidR="005E70F8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javasolt kezdő adagja naponta egyszer 15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mg, étkezéstől függetlenül, monoterápiaként vagy kombinált kezelésként (lásd 5.</w:t>
      </w:r>
      <w:r w:rsidR="004E1476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 Néhány beteg</w:t>
      </w:r>
      <w:r w:rsidR="004E1476" w:rsidRPr="00336525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magasabb dózis </w:t>
      </w:r>
      <w:r w:rsidR="004E1476" w:rsidRPr="00336525">
        <w:rPr>
          <w:sz w:val="22"/>
          <w:szCs w:val="22"/>
          <w:lang w:val="hu-HU"/>
        </w:rPr>
        <w:t xml:space="preserve">hatásos </w:t>
      </w:r>
      <w:r w:rsidRPr="00336525">
        <w:rPr>
          <w:sz w:val="22"/>
          <w:szCs w:val="22"/>
          <w:lang w:val="hu-HU"/>
        </w:rPr>
        <w:t>lehet. A maximális napi adag nem haladhatja meg a 30</w:t>
      </w:r>
      <w:r w:rsidR="00146F6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ot.</w:t>
      </w:r>
    </w:p>
    <w:p w14:paraId="46DFBC4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0461E9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Mániás epizód kiújulásának megelőzése bipoláris </w:t>
      </w:r>
      <w:r w:rsidR="00B020D0"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affektív 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zavar I</w:t>
      </w:r>
      <w:r w:rsidR="00B052B1" w:rsidRPr="00336525">
        <w:rPr>
          <w:rStyle w:val="BodytextItalic"/>
          <w:i w:val="0"/>
          <w:color w:val="auto"/>
          <w:sz w:val="22"/>
          <w:szCs w:val="22"/>
          <w:u w:val="single"/>
        </w:rPr>
        <w:noBreakHyphen/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es típusában:</w:t>
      </w:r>
      <w:r w:rsidRPr="00336525">
        <w:rPr>
          <w:sz w:val="22"/>
          <w:szCs w:val="22"/>
          <w:lang w:val="hu-HU"/>
        </w:rPr>
        <w:t xml:space="preserve"> </w:t>
      </w:r>
      <w:r w:rsidR="00B020D0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>zon betegek esetében, akik a mániás epizód kiújulásának megelőzésére aripiprazolt kapnak monoterápi</w:t>
      </w:r>
      <w:r w:rsidR="00B020D0" w:rsidRPr="00336525">
        <w:rPr>
          <w:sz w:val="22"/>
          <w:szCs w:val="22"/>
          <w:lang w:val="hu-HU"/>
        </w:rPr>
        <w:t>ában</w:t>
      </w:r>
      <w:r w:rsidRPr="00336525">
        <w:rPr>
          <w:sz w:val="22"/>
          <w:szCs w:val="22"/>
          <w:lang w:val="hu-HU"/>
        </w:rPr>
        <w:t xml:space="preserve"> vagy kombinált </w:t>
      </w:r>
      <w:r w:rsidR="00B020D0" w:rsidRPr="00336525">
        <w:rPr>
          <w:sz w:val="22"/>
          <w:szCs w:val="22"/>
          <w:lang w:val="hu-HU"/>
        </w:rPr>
        <w:t>terápiában</w:t>
      </w:r>
      <w:r w:rsidRPr="00336525">
        <w:rPr>
          <w:sz w:val="22"/>
          <w:szCs w:val="22"/>
          <w:lang w:val="hu-HU"/>
        </w:rPr>
        <w:t xml:space="preserve">, a terápiát </w:t>
      </w:r>
      <w:r w:rsidR="00CA6284" w:rsidRPr="00336525">
        <w:rPr>
          <w:sz w:val="22"/>
          <w:szCs w:val="22"/>
          <w:lang w:val="hu-HU"/>
        </w:rPr>
        <w:t>azonos</w:t>
      </w:r>
      <w:r w:rsidRPr="00336525">
        <w:rPr>
          <w:sz w:val="22"/>
          <w:szCs w:val="22"/>
          <w:lang w:val="hu-HU"/>
        </w:rPr>
        <w:t xml:space="preserve"> adaggal kell folytatni. A napi adag módosítását, beleértve a dóziscsökkentést a klinikai állapot alapján kell mérlegelni.</w:t>
      </w:r>
    </w:p>
    <w:p w14:paraId="6D0FA4C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C3122B0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Gyermekek</w:t>
      </w:r>
      <w:r w:rsidR="00026020">
        <w:rPr>
          <w:rStyle w:val="Bodytext31"/>
          <w:i/>
          <w:iCs/>
          <w:color w:val="auto"/>
          <w:sz w:val="22"/>
          <w:szCs w:val="22"/>
          <w:u w:val="none"/>
        </w:rPr>
        <w:t xml:space="preserve"> és serdülők</w:t>
      </w:r>
    </w:p>
    <w:p w14:paraId="044558ED" w14:textId="50A086F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15</w:t>
      </w:r>
      <w:r w:rsidR="00106C25" w:rsidRPr="00336525">
        <w:rPr>
          <w:rStyle w:val="BodytextItalic"/>
          <w:i w:val="0"/>
          <w:color w:val="auto"/>
          <w:sz w:val="22"/>
          <w:szCs w:val="22"/>
          <w:u w:val="single"/>
        </w:rPr>
        <w:t> 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éves vagy idősebb schizophréniában szenvedő serdülők:</w:t>
      </w:r>
      <w:r w:rsidRPr="00336525">
        <w:rPr>
          <w:sz w:val="22"/>
          <w:szCs w:val="22"/>
          <w:lang w:val="hu-HU"/>
        </w:rPr>
        <w:t xml:space="preserve"> </w:t>
      </w:r>
      <w:r w:rsidR="00CA6284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r w:rsidR="00146F61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javasolt adagja </w:t>
      </w:r>
      <w:r w:rsidR="00CA6284" w:rsidRPr="00336525">
        <w:rPr>
          <w:sz w:val="22"/>
          <w:szCs w:val="22"/>
          <w:lang w:val="hu-HU"/>
        </w:rPr>
        <w:t xml:space="preserve">naponta </w:t>
      </w:r>
      <w:r w:rsidRPr="00336525">
        <w:rPr>
          <w:sz w:val="22"/>
          <w:szCs w:val="22"/>
          <w:lang w:val="hu-HU"/>
        </w:rPr>
        <w:t xml:space="preserve">10 mg, napi egyszeri adagban, étkezéstől függetlenül alkalmazva. A kezelést két napig </w:t>
      </w:r>
      <w:r w:rsidR="00CA6284" w:rsidRPr="00336525">
        <w:rPr>
          <w:sz w:val="22"/>
          <w:szCs w:val="22"/>
          <w:lang w:val="hu-HU"/>
        </w:rPr>
        <w:t>2 </w:t>
      </w:r>
      <w:r w:rsidRPr="00336525">
        <w:rPr>
          <w:sz w:val="22"/>
          <w:szCs w:val="22"/>
          <w:lang w:val="hu-HU"/>
        </w:rPr>
        <w:t>mg</w:t>
      </w:r>
      <w:r w:rsidR="00CA628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mal kell kezdeni, további két napig </w:t>
      </w:r>
      <w:r w:rsidR="00CA6284" w:rsidRPr="00336525">
        <w:rPr>
          <w:sz w:val="22"/>
          <w:szCs w:val="22"/>
          <w:lang w:val="hu-HU"/>
        </w:rPr>
        <w:t>5 </w:t>
      </w:r>
      <w:r w:rsidRPr="00336525">
        <w:rPr>
          <w:sz w:val="22"/>
          <w:szCs w:val="22"/>
          <w:lang w:val="hu-HU"/>
        </w:rPr>
        <w:t>mg</w:t>
      </w:r>
      <w:r w:rsidR="00CA628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ra emelve, az ajánlott napi </w:t>
      </w:r>
      <w:r w:rsidR="00CA6284" w:rsidRPr="00336525">
        <w:rPr>
          <w:sz w:val="22"/>
          <w:szCs w:val="22"/>
          <w:lang w:val="hu-HU"/>
        </w:rPr>
        <w:t>10 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adag eléréséhez. Amennyiben szükséges, a következő dózisnöveléseket 5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os </w:t>
      </w:r>
      <w:r w:rsidR="00FF747F" w:rsidRPr="00336525">
        <w:rPr>
          <w:sz w:val="22"/>
          <w:szCs w:val="22"/>
          <w:lang w:val="hu-HU"/>
        </w:rPr>
        <w:t xml:space="preserve">emelésekkel </w:t>
      </w:r>
      <w:r w:rsidRPr="00336525">
        <w:rPr>
          <w:sz w:val="22"/>
          <w:szCs w:val="22"/>
          <w:lang w:val="hu-HU"/>
        </w:rPr>
        <w:t>kell elvégezni, a napi maximális 30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adag túllépése nélkül (lásd 5.1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  <w:r w:rsidR="00C5424B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Az </w:t>
      </w:r>
      <w:r w:rsidR="00106C25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a 10</w:t>
      </w:r>
      <w:r w:rsidR="00FA0D1E" w:rsidRPr="00336525">
        <w:rPr>
          <w:sz w:val="22"/>
          <w:szCs w:val="22"/>
          <w:lang w:val="hu-HU"/>
        </w:rPr>
        <w:noBreakHyphen/>
        <w:t>30 </w:t>
      </w:r>
      <w:r w:rsidRPr="00336525">
        <w:rPr>
          <w:sz w:val="22"/>
          <w:szCs w:val="22"/>
          <w:lang w:val="hu-HU"/>
        </w:rPr>
        <w:t xml:space="preserve">mg/nap dózistartományban hatásos. Napi </w:t>
      </w:r>
      <w:r w:rsidRPr="00336525">
        <w:rPr>
          <w:sz w:val="22"/>
          <w:szCs w:val="22"/>
          <w:lang w:val="hu-HU"/>
        </w:rPr>
        <w:lastRenderedPageBreak/>
        <w:t>10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B052B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adagnál nagyobb adagok fokozott hatásossága nem bizonyított, azonban egyes betegek</w:t>
      </w:r>
      <w:r w:rsidR="00FA0D1E" w:rsidRPr="00336525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magasabb dózis </w:t>
      </w:r>
      <w:r w:rsidR="00FA0D1E" w:rsidRPr="00336525">
        <w:rPr>
          <w:sz w:val="22"/>
          <w:szCs w:val="22"/>
          <w:lang w:val="hu-HU"/>
        </w:rPr>
        <w:t>kedvezőbb</w:t>
      </w:r>
      <w:r w:rsidRPr="00336525">
        <w:rPr>
          <w:sz w:val="22"/>
          <w:szCs w:val="22"/>
          <w:lang w:val="hu-HU"/>
        </w:rPr>
        <w:t xml:space="preserve"> lehet.</w:t>
      </w:r>
    </w:p>
    <w:p w14:paraId="737124D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106C25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nem javasolt 15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kor alatti schizophreniás betegek számára, a biztonságosságra és hatásosságra vonatkozó adatok elégtelensége miatt (lásd 4.8 és 5.</w:t>
      </w:r>
      <w:r w:rsidR="00FA0D1E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</w:t>
      </w:r>
    </w:p>
    <w:p w14:paraId="569FDE9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4E2A4800" w14:textId="3965F2B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Mániás epizódok bipoláris </w:t>
      </w:r>
      <w:r w:rsidR="00523DF6"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affektív 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zavar I</w:t>
      </w:r>
      <w:r w:rsidR="00B052B1" w:rsidRPr="00336525">
        <w:rPr>
          <w:rStyle w:val="BodytextItalic"/>
          <w:i w:val="0"/>
          <w:color w:val="auto"/>
          <w:sz w:val="22"/>
          <w:szCs w:val="22"/>
          <w:u w:val="single"/>
        </w:rPr>
        <w:noBreakHyphen/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es típusában, 13</w:t>
      </w:r>
      <w:r w:rsidR="00106C25" w:rsidRPr="00336525">
        <w:rPr>
          <w:rStyle w:val="BodytextItalic"/>
          <w:i w:val="0"/>
          <w:color w:val="auto"/>
          <w:sz w:val="22"/>
          <w:szCs w:val="22"/>
          <w:u w:val="single"/>
        </w:rPr>
        <w:t> 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éves vagy idősebb serdülőknél:</w:t>
      </w:r>
      <w:r w:rsidRPr="00336525">
        <w:rPr>
          <w:sz w:val="22"/>
          <w:szCs w:val="22"/>
          <w:lang w:val="hu-HU"/>
        </w:rPr>
        <w:t xml:space="preserve"> </w:t>
      </w:r>
      <w:r w:rsidR="00523DF6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r w:rsidR="00106C25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javasolt adagja naponta 10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mg, napi egyszeri adagolásban, étkezéstől függetlenül. A kezelést két napig 2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mal kell kezdeni, további 2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napig 5 mg</w:t>
      </w:r>
      <w:r w:rsidR="00106C2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ra emelve, az ajánlott napi 10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adag eléréséhez.</w:t>
      </w:r>
      <w:r w:rsidR="005E364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 kezelést a tünetek kontrollálásához szükséges legrövidebb ideig kell folytatni</w:t>
      </w:r>
      <w:r w:rsidR="00E83182" w:rsidRPr="00336525">
        <w:rPr>
          <w:sz w:val="22"/>
          <w:szCs w:val="22"/>
          <w:lang w:val="hu-HU"/>
        </w:rPr>
        <w:t xml:space="preserve"> és</w:t>
      </w:r>
      <w:r w:rsidRPr="00336525">
        <w:rPr>
          <w:sz w:val="22"/>
          <w:szCs w:val="22"/>
          <w:lang w:val="hu-HU"/>
        </w:rPr>
        <w:t xml:space="preserve"> ez az időtartam nem haladhatja meg a </w:t>
      </w:r>
      <w:r w:rsidR="00E83182" w:rsidRPr="00336525">
        <w:rPr>
          <w:sz w:val="22"/>
          <w:szCs w:val="22"/>
          <w:lang w:val="hu-HU"/>
        </w:rPr>
        <w:t>12 </w:t>
      </w:r>
      <w:r w:rsidRPr="00336525">
        <w:rPr>
          <w:sz w:val="22"/>
          <w:szCs w:val="22"/>
          <w:lang w:val="hu-HU"/>
        </w:rPr>
        <w:t>hetet. A napi 10</w:t>
      </w:r>
      <w:r w:rsidR="005E3647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5E364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adagnál nagyobb adagok fokozott hatásossága nem bizonyított, és a 30</w:t>
      </w:r>
      <w:r w:rsidR="005E3647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5E364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os napi adag alkalmazása a jelentős </w:t>
      </w:r>
      <w:r w:rsidR="00C5424B">
        <w:rPr>
          <w:sz w:val="22"/>
          <w:szCs w:val="22"/>
          <w:lang w:val="hu-HU"/>
        </w:rPr>
        <w:t>mellék</w:t>
      </w:r>
      <w:r w:rsidRPr="00336525">
        <w:rPr>
          <w:sz w:val="22"/>
          <w:szCs w:val="22"/>
          <w:lang w:val="hu-HU"/>
        </w:rPr>
        <w:t xml:space="preserve">hatások, többek között az extrapiramidális tünetekkel összefüggő </w:t>
      </w:r>
      <w:r w:rsidR="00E83182" w:rsidRPr="00336525">
        <w:rPr>
          <w:sz w:val="22"/>
          <w:szCs w:val="22"/>
          <w:lang w:val="hu-HU"/>
        </w:rPr>
        <w:t>események</w:t>
      </w:r>
      <w:r w:rsidRPr="00336525">
        <w:rPr>
          <w:sz w:val="22"/>
          <w:szCs w:val="22"/>
          <w:lang w:val="hu-HU"/>
        </w:rPr>
        <w:t xml:space="preserve">, az aluszékonyság, a fáradtság és a súlygyarapodás </w:t>
      </w:r>
      <w:r w:rsidR="009803EF" w:rsidRPr="00336525">
        <w:rPr>
          <w:sz w:val="22"/>
          <w:szCs w:val="22"/>
          <w:lang w:val="hu-HU"/>
        </w:rPr>
        <w:t>gyakoribb</w:t>
      </w:r>
      <w:r w:rsidRPr="00336525">
        <w:rPr>
          <w:sz w:val="22"/>
          <w:szCs w:val="22"/>
          <w:lang w:val="hu-HU"/>
        </w:rPr>
        <w:t xml:space="preserve"> előfordulásával jár (lásd 4.8</w:t>
      </w:r>
      <w:r w:rsidR="005E3647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 Ezért napi 10</w:t>
      </w:r>
      <w:r w:rsidR="006D6AF3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6D6AF3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nál nagyobb adagok csak kivételes esetekben és szoros klinikai monitorozás mellett adhatók (lásd 4.4, 4.8 és 5.1</w:t>
      </w:r>
      <w:r w:rsidR="006D6AF3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</w:p>
    <w:p w14:paraId="47191459" w14:textId="77777777" w:rsidR="00C5424B" w:rsidRDefault="00C5424B" w:rsidP="00C5424B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336525">
        <w:rPr>
          <w:sz w:val="22"/>
          <w:szCs w:val="22"/>
        </w:rPr>
        <w:t>Fiatalabb betegeknél nagyobb az aripiprazollal összefüggő nemkívánatos esemé</w:t>
      </w:r>
      <w:r>
        <w:rPr>
          <w:sz w:val="22"/>
          <w:szCs w:val="22"/>
        </w:rPr>
        <w:t>nyek előfordulásának kockázata.</w:t>
      </w:r>
    </w:p>
    <w:p w14:paraId="282E66D6" w14:textId="77777777" w:rsidR="00C5424B" w:rsidRPr="00336525" w:rsidRDefault="00C5424B" w:rsidP="00C5424B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336525">
        <w:rPr>
          <w:sz w:val="22"/>
          <w:szCs w:val="22"/>
        </w:rPr>
        <w:t>Ezért az Asduter alkalmazása 13 éves kor alatt nem javasolt (lásd 4.8 és 5.1 pont).</w:t>
      </w:r>
    </w:p>
    <w:p w14:paraId="172BE4AE" w14:textId="77777777" w:rsidR="00106C25" w:rsidRPr="00336525" w:rsidRDefault="00106C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D3164E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Autista betegséggel társult ingerlékenység:</w:t>
      </w:r>
      <w:r w:rsidRPr="00336525">
        <w:rPr>
          <w:sz w:val="22"/>
          <w:szCs w:val="22"/>
          <w:lang w:val="hu-HU"/>
        </w:rPr>
        <w:t xml:space="preserve"> </w:t>
      </w:r>
      <w:r w:rsidR="000B5F50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r w:rsidR="00810829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biztonságosságát és hatásosságát gyermekek és 18</w:t>
      </w:r>
      <w:r w:rsidR="0081082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kor alatti serdülők esetében nem igazolták. A jelenleg rendelkezésre álló adatok leírása az 5.1</w:t>
      </w:r>
      <w:r w:rsidR="0081082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pontban található, azonban</w:t>
      </w:r>
      <w:r w:rsidR="000B5F50" w:rsidRPr="00336525">
        <w:rPr>
          <w:sz w:val="22"/>
          <w:szCs w:val="22"/>
          <w:lang w:val="hu-HU"/>
        </w:rPr>
        <w:t xml:space="preserve"> nincs</w:t>
      </w:r>
      <w:r w:rsidRPr="00336525">
        <w:rPr>
          <w:sz w:val="22"/>
          <w:szCs w:val="22"/>
          <w:lang w:val="hu-HU"/>
        </w:rPr>
        <w:t xml:space="preserve"> adagolásra vonatkozó javaslat.</w:t>
      </w:r>
    </w:p>
    <w:p w14:paraId="5AF9769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F477C4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Tourette-szindrómá</w:t>
      </w:r>
      <w:r w:rsidR="000B5F50" w:rsidRPr="00336525">
        <w:rPr>
          <w:rStyle w:val="BodytextItalic"/>
          <w:i w:val="0"/>
          <w:color w:val="auto"/>
          <w:sz w:val="22"/>
          <w:szCs w:val="22"/>
          <w:u w:val="single"/>
        </w:rPr>
        <w:t>val összefüggő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 xml:space="preserve"> izomrángás („ti</w:t>
      </w:r>
      <w:r w:rsidR="000B5F50" w:rsidRPr="00336525">
        <w:rPr>
          <w:rStyle w:val="BodytextItalic"/>
          <w:i w:val="0"/>
          <w:color w:val="auto"/>
          <w:sz w:val="22"/>
          <w:szCs w:val="22"/>
          <w:u w:val="single"/>
        </w:rPr>
        <w:t>k</w:t>
      </w:r>
      <w:r w:rsidRPr="00336525">
        <w:rPr>
          <w:rStyle w:val="BodytextItalic"/>
          <w:i w:val="0"/>
          <w:color w:val="auto"/>
          <w:sz w:val="22"/>
          <w:szCs w:val="22"/>
          <w:u w:val="single"/>
        </w:rPr>
        <w:t>”):</w:t>
      </w:r>
      <w:r w:rsidRPr="00336525">
        <w:rPr>
          <w:sz w:val="22"/>
          <w:szCs w:val="22"/>
          <w:lang w:val="hu-HU"/>
        </w:rPr>
        <w:t xml:space="preserve"> az </w:t>
      </w:r>
      <w:r w:rsidR="00810829" w:rsidRPr="00336525">
        <w:rPr>
          <w:sz w:val="22"/>
          <w:szCs w:val="22"/>
          <w:lang w:val="hu-HU"/>
        </w:rPr>
        <w:t xml:space="preserve">Asduter </w:t>
      </w:r>
      <w:r w:rsidRPr="00336525">
        <w:rPr>
          <w:sz w:val="22"/>
          <w:szCs w:val="22"/>
          <w:lang w:val="hu-HU"/>
        </w:rPr>
        <w:t>biztonságosságát és hatásosságát még nem állapították meg 6 és 18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 közötti gyermekeknél és serdülőknél. A jelenleg rendelkezésre álló adatok leírása az 5.1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pontban található, azonban </w:t>
      </w:r>
      <w:r w:rsidR="00707EE5" w:rsidRPr="00336525">
        <w:rPr>
          <w:sz w:val="22"/>
          <w:szCs w:val="22"/>
          <w:lang w:val="hu-HU"/>
        </w:rPr>
        <w:t xml:space="preserve">nincs </w:t>
      </w:r>
      <w:r w:rsidRPr="00336525">
        <w:rPr>
          <w:sz w:val="22"/>
          <w:szCs w:val="22"/>
          <w:lang w:val="hu-HU"/>
        </w:rPr>
        <w:t>adagolásra vonatkozó javaslat.</w:t>
      </w:r>
    </w:p>
    <w:p w14:paraId="6477D8E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4C914B2" w14:textId="77777777" w:rsidR="00C5424B" w:rsidRPr="002045A9" w:rsidRDefault="00C5424B" w:rsidP="00C5424B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i/>
          <w:iCs/>
          <w:sz w:val="22"/>
          <w:szCs w:val="22"/>
        </w:rPr>
      </w:pPr>
      <w:r w:rsidRPr="002045A9">
        <w:rPr>
          <w:i/>
          <w:iCs/>
          <w:sz w:val="22"/>
          <w:szCs w:val="22"/>
        </w:rPr>
        <w:t>Különleges betegcsoportok</w:t>
      </w:r>
    </w:p>
    <w:p w14:paraId="112BD765" w14:textId="77777777" w:rsidR="00C5424B" w:rsidRDefault="00C5424B" w:rsidP="00C5424B">
      <w:pPr>
        <w:widowControl/>
        <w:rPr>
          <w:iCs/>
          <w:color w:val="auto"/>
          <w:szCs w:val="22"/>
        </w:rPr>
      </w:pPr>
    </w:p>
    <w:p w14:paraId="59F2F24A" w14:textId="50A968D6" w:rsidR="0029197E" w:rsidRPr="000021B1" w:rsidRDefault="00C5424B" w:rsidP="00A03E58">
      <w:pPr>
        <w:widowControl/>
        <w:rPr>
          <w:szCs w:val="22"/>
        </w:rPr>
      </w:pPr>
      <w:r w:rsidRPr="00A03E58">
        <w:rPr>
          <w:i/>
          <w:iCs/>
          <w:color w:val="auto"/>
          <w:szCs w:val="22"/>
        </w:rPr>
        <w:t>Májkárosodás</w:t>
      </w:r>
    </w:p>
    <w:p w14:paraId="5845EE5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Enyhe</w:t>
      </w:r>
      <w:r w:rsidR="00026020">
        <w:rPr>
          <w:sz w:val="22"/>
          <w:szCs w:val="22"/>
          <w:lang w:val="hu-HU"/>
        </w:rPr>
        <w:t>,</w:t>
      </w:r>
      <w:r w:rsidR="00707EE5" w:rsidRPr="00336525">
        <w:rPr>
          <w:sz w:val="22"/>
          <w:szCs w:val="22"/>
          <w:lang w:val="hu-HU"/>
        </w:rPr>
        <w:t xml:space="preserve"> ill. </w:t>
      </w:r>
      <w:r w:rsidRPr="00336525">
        <w:rPr>
          <w:sz w:val="22"/>
          <w:szCs w:val="22"/>
          <w:lang w:val="hu-HU"/>
        </w:rPr>
        <w:t>közepes fokú májkárosodásban szenvedő betegeknél az adagolás módosítása</w:t>
      </w:r>
      <w:r w:rsidR="00707EE5" w:rsidRPr="00336525">
        <w:rPr>
          <w:sz w:val="22"/>
          <w:szCs w:val="22"/>
          <w:lang w:val="hu-HU"/>
        </w:rPr>
        <w:t xml:space="preserve"> nem szükséges</w:t>
      </w:r>
      <w:r w:rsidRPr="00336525">
        <w:rPr>
          <w:sz w:val="22"/>
          <w:szCs w:val="22"/>
          <w:lang w:val="hu-HU"/>
        </w:rPr>
        <w:t xml:space="preserve">. Súlyos májkárosodásban szenvedő betegeknél a rendelkezésre álló adatok nem elegendőek az adagolásra vonatkozó ajánlások </w:t>
      </w:r>
      <w:r w:rsidR="003B0F1C" w:rsidRPr="00336525">
        <w:rPr>
          <w:sz w:val="22"/>
          <w:szCs w:val="22"/>
          <w:lang w:val="hu-HU"/>
        </w:rPr>
        <w:t>felállításához</w:t>
      </w:r>
      <w:r w:rsidRPr="00336525">
        <w:rPr>
          <w:sz w:val="22"/>
          <w:szCs w:val="22"/>
          <w:lang w:val="hu-HU"/>
        </w:rPr>
        <w:t>. Ezeknél a betegeknél az adagolást körültekintően kell végezni. A maximális napi 30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682DF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adag alkalmazása körültekintést igényel súlyos májbetegségben szenvedő betegek esetében (lásd 5.2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</w:p>
    <w:p w14:paraId="0DD5DB0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03F3C7B" w14:textId="0E27C2CC" w:rsidR="0029197E" w:rsidRPr="00FC52E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Vesekárosodás</w:t>
      </w:r>
    </w:p>
    <w:p w14:paraId="75001E5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Vesekárosodásban szenvedő betegeknél az adagolás módosítása nem szükséges.</w:t>
      </w:r>
    </w:p>
    <w:p w14:paraId="2098B96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E0DC7D7" w14:textId="77777777" w:rsidR="0029197E" w:rsidRPr="00FC52E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Idősek</w:t>
      </w:r>
    </w:p>
    <w:p w14:paraId="11B83CA7" w14:textId="3E92BEAC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682DFD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kezelés hatásosságát schizophreniában és a bipoláris </w:t>
      </w:r>
      <w:r w:rsidR="003B0F1C" w:rsidRPr="00336525">
        <w:rPr>
          <w:sz w:val="22"/>
          <w:szCs w:val="22"/>
          <w:lang w:val="hu-HU"/>
        </w:rPr>
        <w:t xml:space="preserve">affektív </w:t>
      </w:r>
      <w:r w:rsidR="003F3081" w:rsidRPr="00336525">
        <w:rPr>
          <w:sz w:val="22"/>
          <w:szCs w:val="22"/>
          <w:lang w:val="hu-HU"/>
        </w:rPr>
        <w:t>zavar I</w:t>
      </w:r>
      <w:r w:rsidR="003F308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es </w:t>
      </w:r>
      <w:r w:rsidR="00C5424B" w:rsidRPr="00336525">
        <w:rPr>
          <w:sz w:val="22"/>
          <w:szCs w:val="22"/>
          <w:lang w:val="hu-HU"/>
        </w:rPr>
        <w:t>típusá</w:t>
      </w:r>
      <w:r w:rsidR="00C5424B">
        <w:rPr>
          <w:sz w:val="22"/>
          <w:szCs w:val="22"/>
          <w:lang w:val="hu-HU"/>
        </w:rPr>
        <w:t>nál</w:t>
      </w:r>
      <w:r w:rsidR="00C5424B" w:rsidRPr="00336525">
        <w:rPr>
          <w:sz w:val="22"/>
          <w:szCs w:val="22"/>
          <w:lang w:val="hu-HU"/>
        </w:rPr>
        <w:t xml:space="preserve"> </w:t>
      </w:r>
      <w:r w:rsidR="00C5424B" w:rsidRPr="00544DB5">
        <w:rPr>
          <w:sz w:val="22"/>
          <w:szCs w:val="22"/>
          <w:lang w:val="hu-HU"/>
        </w:rPr>
        <w:t xml:space="preserve">jelentkező mániás epizódokban </w:t>
      </w:r>
      <w:r w:rsidR="003B0F1C" w:rsidRPr="00336525">
        <w:rPr>
          <w:sz w:val="22"/>
          <w:szCs w:val="22"/>
          <w:lang w:val="hu-HU"/>
        </w:rPr>
        <w:t>65 </w:t>
      </w:r>
      <w:r w:rsidRPr="00336525">
        <w:rPr>
          <w:sz w:val="22"/>
          <w:szCs w:val="22"/>
          <w:lang w:val="hu-HU"/>
        </w:rPr>
        <w:t xml:space="preserve">éves vagy idősebb </w:t>
      </w:r>
      <w:r w:rsidR="000021B1" w:rsidRPr="0017524C">
        <w:rPr>
          <w:sz w:val="22"/>
          <w:szCs w:val="22"/>
          <w:lang w:val="hu-HU"/>
        </w:rPr>
        <w:t>betegeknél</w:t>
      </w:r>
      <w:r w:rsidR="000021B1" w:rsidRPr="00336525">
        <w:rPr>
          <w:sz w:val="22"/>
          <w:szCs w:val="22"/>
          <w:lang w:val="hu-HU"/>
        </w:rPr>
        <w:t xml:space="preserve"> </w:t>
      </w:r>
      <w:r w:rsidR="003B0F1C" w:rsidRPr="00336525">
        <w:rPr>
          <w:sz w:val="22"/>
          <w:szCs w:val="22"/>
          <w:lang w:val="hu-HU"/>
        </w:rPr>
        <w:t>nem állapították meg</w:t>
      </w:r>
      <w:r w:rsidRPr="00336525">
        <w:rPr>
          <w:sz w:val="22"/>
          <w:szCs w:val="22"/>
          <w:lang w:val="hu-HU"/>
        </w:rPr>
        <w:t>. Ezen betegcsoport nagyobb érzékenysége miatt, klinikailag indokolt esetben alacsonyabb kezdő dózis alkalmazása mérlegelendő (lásd 4.4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</w:p>
    <w:p w14:paraId="63FB995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35EA01" w14:textId="77777777" w:rsidR="0029197E" w:rsidRPr="00FC52E1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sz w:val="22"/>
          <w:szCs w:val="22"/>
          <w:lang w:val="hu-HU"/>
        </w:rPr>
      </w:pPr>
      <w:r w:rsidRPr="00FC52E1">
        <w:rPr>
          <w:rStyle w:val="Bodytext31"/>
          <w:color w:val="auto"/>
          <w:sz w:val="22"/>
          <w:szCs w:val="22"/>
          <w:u w:val="none"/>
        </w:rPr>
        <w:t>Nemek közti különbség</w:t>
      </w:r>
      <w:r w:rsidRPr="00FC52E1">
        <w:rPr>
          <w:i/>
          <w:sz w:val="22"/>
          <w:szCs w:val="22"/>
          <w:lang w:val="hu-HU"/>
        </w:rPr>
        <w:t xml:space="preserve"> </w:t>
      </w:r>
    </w:p>
    <w:p w14:paraId="1D5F14F0" w14:textId="77777777" w:rsidR="0029197E" w:rsidRPr="00336525" w:rsidRDefault="007060E0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</w:t>
      </w:r>
      <w:r w:rsidR="0029197E" w:rsidRPr="00336525">
        <w:rPr>
          <w:sz w:val="22"/>
          <w:szCs w:val="22"/>
          <w:lang w:val="hu-HU"/>
        </w:rPr>
        <w:t xml:space="preserve">z adagolás módosítása </w:t>
      </w:r>
      <w:r w:rsidRPr="00336525">
        <w:rPr>
          <w:sz w:val="22"/>
          <w:szCs w:val="22"/>
          <w:lang w:val="hu-HU"/>
        </w:rPr>
        <w:t xml:space="preserve">nem szükséges </w:t>
      </w:r>
      <w:r w:rsidR="0029197E" w:rsidRPr="00336525">
        <w:rPr>
          <w:sz w:val="22"/>
          <w:szCs w:val="22"/>
          <w:lang w:val="hu-HU"/>
        </w:rPr>
        <w:t>nőbetegek esetében a férfi betegekhez képest (lásd 5.2</w:t>
      </w:r>
      <w:r w:rsidR="00682DFD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63B2F63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9D145E" w14:textId="77777777" w:rsidR="0029197E" w:rsidRPr="00FC52E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Dohányzás</w:t>
      </w:r>
    </w:p>
    <w:p w14:paraId="1C23394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682DFD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metabolizmusa alapján nem szükséges az adagolás módosítása dohány</w:t>
      </w:r>
      <w:r w:rsidR="007441C4" w:rsidRPr="00336525">
        <w:rPr>
          <w:sz w:val="22"/>
          <w:szCs w:val="22"/>
          <w:lang w:val="hu-HU"/>
        </w:rPr>
        <w:t>zók</w:t>
      </w:r>
      <w:r w:rsidRPr="00336525">
        <w:rPr>
          <w:sz w:val="22"/>
          <w:szCs w:val="22"/>
          <w:lang w:val="hu-HU"/>
        </w:rPr>
        <w:t xml:space="preserve"> esetében</w:t>
      </w:r>
    </w:p>
    <w:p w14:paraId="0E5A596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(lásd 4.5 pont).</w:t>
      </w:r>
    </w:p>
    <w:p w14:paraId="3B2485C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32C25F1" w14:textId="77777777" w:rsidR="0029197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FC52E1">
        <w:rPr>
          <w:rStyle w:val="Bodytext31"/>
          <w:i/>
          <w:iCs/>
          <w:color w:val="auto"/>
          <w:sz w:val="22"/>
          <w:szCs w:val="22"/>
          <w:u w:val="none"/>
        </w:rPr>
        <w:t>Dózismódosítás interakciók miatt</w:t>
      </w:r>
    </w:p>
    <w:p w14:paraId="4FB84672" w14:textId="1EA9A640" w:rsidR="0029197E" w:rsidRPr="00336525" w:rsidRDefault="00C5424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Erős</w:t>
      </w:r>
      <w:r w:rsidRPr="00336525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CYP3A4 vagy CYP2D6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inhibitorok és </w:t>
      </w:r>
      <w:r w:rsidR="007441C4" w:rsidRPr="00336525">
        <w:rPr>
          <w:sz w:val="22"/>
          <w:szCs w:val="22"/>
          <w:lang w:val="hu-HU"/>
        </w:rPr>
        <w:t xml:space="preserve">az </w:t>
      </w:r>
      <w:r w:rsidR="0029197E" w:rsidRPr="00336525">
        <w:rPr>
          <w:sz w:val="22"/>
          <w:szCs w:val="22"/>
          <w:lang w:val="hu-HU"/>
        </w:rPr>
        <w:t>aripiprazol egyidejű alkalmazásakor az aripiprazol dózisát csökkenteni kell. Amikor a kombinált kezelés során a CYP3A4</w:t>
      </w:r>
      <w:r w:rsidR="000021B1">
        <w:rPr>
          <w:sz w:val="22"/>
          <w:szCs w:val="22"/>
          <w:lang w:val="hu-HU"/>
        </w:rPr>
        <w:t>-</w:t>
      </w:r>
      <w:r w:rsidR="0029197E" w:rsidRPr="00336525">
        <w:rPr>
          <w:sz w:val="22"/>
          <w:szCs w:val="22"/>
          <w:lang w:val="hu-HU"/>
        </w:rPr>
        <w:t xml:space="preserve"> vagy CYP2D6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>inhibitorok alkalmazás</w:t>
      </w:r>
      <w:r w:rsidR="007441C4" w:rsidRPr="00336525">
        <w:rPr>
          <w:sz w:val="22"/>
          <w:szCs w:val="22"/>
          <w:lang w:val="hu-HU"/>
        </w:rPr>
        <w:t>a befejeződik</w:t>
      </w:r>
      <w:r w:rsidR="0029197E" w:rsidRPr="00336525">
        <w:rPr>
          <w:sz w:val="22"/>
          <w:szCs w:val="22"/>
          <w:lang w:val="hu-HU"/>
        </w:rPr>
        <w:t xml:space="preserve">, </w:t>
      </w:r>
      <w:r w:rsidRPr="0017524C">
        <w:rPr>
          <w:sz w:val="22"/>
          <w:szCs w:val="22"/>
          <w:lang w:val="hu-HU"/>
        </w:rPr>
        <w:t>akkor</w:t>
      </w:r>
      <w:r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az aripiprazol dózisát meg kell </w:t>
      </w:r>
      <w:r w:rsidR="007441C4" w:rsidRPr="00336525">
        <w:rPr>
          <w:sz w:val="22"/>
          <w:szCs w:val="22"/>
          <w:lang w:val="hu-HU"/>
        </w:rPr>
        <w:t>emelni</w:t>
      </w:r>
      <w:r w:rsidR="0029197E" w:rsidRPr="00336525">
        <w:rPr>
          <w:sz w:val="22"/>
          <w:szCs w:val="22"/>
          <w:lang w:val="hu-HU"/>
        </w:rPr>
        <w:t xml:space="preserve"> (lásd 4.5</w:t>
      </w:r>
      <w:r w:rsidR="00682DFD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46B30DEC" w14:textId="6D5BAFF3" w:rsidR="0029197E" w:rsidRPr="00336525" w:rsidRDefault="00C5424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Erős</w:t>
      </w:r>
      <w:r w:rsidR="007D118F" w:rsidRPr="00336525" w:rsidDel="007D118F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CYP3A4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induktorok és az aripiprazol egyidejű alkalmazásakor az aripiprazol dózisát </w:t>
      </w:r>
      <w:r w:rsidR="007D118F" w:rsidRPr="00336525">
        <w:rPr>
          <w:sz w:val="22"/>
          <w:szCs w:val="22"/>
          <w:lang w:val="hu-HU"/>
        </w:rPr>
        <w:t>emelni</w:t>
      </w:r>
      <w:r w:rsidR="0029197E" w:rsidRPr="00336525">
        <w:rPr>
          <w:sz w:val="22"/>
          <w:szCs w:val="22"/>
          <w:lang w:val="hu-HU"/>
        </w:rPr>
        <w:t xml:space="preserve"> kell. Amikor a kombinált kezelés során a CYP3A4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induktor </w:t>
      </w:r>
      <w:r w:rsidR="007D118F" w:rsidRPr="00336525">
        <w:rPr>
          <w:sz w:val="22"/>
          <w:szCs w:val="22"/>
          <w:lang w:val="hu-HU"/>
        </w:rPr>
        <w:t>alkalmazása befejeződik, akkor az aripiprazol dózisát csökkenteni kell a javasolt dózisra</w:t>
      </w:r>
      <w:r w:rsidR="0029197E" w:rsidRPr="00336525">
        <w:rPr>
          <w:sz w:val="22"/>
          <w:szCs w:val="22"/>
          <w:lang w:val="hu-HU"/>
        </w:rPr>
        <w:t xml:space="preserve"> (lásd 4.5</w:t>
      </w:r>
      <w:r w:rsidR="00682DFD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5E29F21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38867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Az alkalmazás módja</w:t>
      </w:r>
    </w:p>
    <w:p w14:paraId="358C3D1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682DFD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tabletta szájon át alkalmazandó.</w:t>
      </w:r>
    </w:p>
    <w:p w14:paraId="60110A8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8CDAF18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6" w:name="bookmark6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4.3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Ellenjavallatok</w:t>
      </w:r>
    </w:p>
    <w:bookmarkEnd w:id="6"/>
    <w:p w14:paraId="55C2DB3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F60F9B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készítmény hatóanyagával vagy a 6.1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pontban felsorolt bármely segédanyagával szembeni túlérzékenység.</w:t>
      </w:r>
    </w:p>
    <w:p w14:paraId="3657C8E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0C40CD4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7" w:name="bookmark7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4.4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7"/>
    <w:p w14:paraId="5C2D0D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77D744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antipszichotikus kezelés ideje alatt a beteg klinikai állapotának javulása több napot, illetve néhány hetet is igénybe vehet. A betegeket ebben az időszakban mindvégig szoros megfigyelés alatt kell tartani.</w:t>
      </w:r>
    </w:p>
    <w:p w14:paraId="32E1ABF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68E1D96" w14:textId="77777777" w:rsidR="00C5424B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sz w:val="22"/>
          <w:szCs w:val="22"/>
          <w:lang w:val="hu-HU"/>
        </w:rPr>
      </w:pPr>
      <w:r w:rsidRPr="00336525">
        <w:rPr>
          <w:rStyle w:val="Szvegtrzs1"/>
          <w:b/>
          <w:color w:val="auto"/>
          <w:sz w:val="22"/>
          <w:szCs w:val="22"/>
          <w:u w:val="none"/>
        </w:rPr>
        <w:t>Öngyilkossági hajlam</w:t>
      </w:r>
    </w:p>
    <w:p w14:paraId="297BDF05" w14:textId="05E419EA" w:rsidR="0029197E" w:rsidRPr="00336525" w:rsidRDefault="0029197E" w:rsidP="009759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 </w:t>
      </w:r>
      <w:r w:rsidR="00392FF6" w:rsidRPr="00336525">
        <w:rPr>
          <w:sz w:val="22"/>
          <w:szCs w:val="22"/>
          <w:lang w:val="hu-HU"/>
        </w:rPr>
        <w:t xml:space="preserve">szuicid viselkedés </w:t>
      </w:r>
      <w:r w:rsidRPr="00336525">
        <w:rPr>
          <w:sz w:val="22"/>
          <w:szCs w:val="22"/>
          <w:lang w:val="hu-HU"/>
        </w:rPr>
        <w:t xml:space="preserve">a pszichotikus </w:t>
      </w:r>
      <w:r w:rsidR="00392FF6" w:rsidRPr="00336525">
        <w:rPr>
          <w:sz w:val="22"/>
          <w:szCs w:val="22"/>
          <w:lang w:val="hu-HU"/>
        </w:rPr>
        <w:t>meg</w:t>
      </w:r>
      <w:r w:rsidRPr="00336525">
        <w:rPr>
          <w:sz w:val="22"/>
          <w:szCs w:val="22"/>
          <w:lang w:val="hu-HU"/>
        </w:rPr>
        <w:t>beteg</w:t>
      </w:r>
      <w:r w:rsidR="00392FF6" w:rsidRPr="00336525">
        <w:rPr>
          <w:sz w:val="22"/>
          <w:szCs w:val="22"/>
          <w:lang w:val="hu-HU"/>
        </w:rPr>
        <w:t>edések</w:t>
      </w:r>
      <w:r w:rsidRPr="00336525">
        <w:rPr>
          <w:sz w:val="22"/>
          <w:szCs w:val="22"/>
          <w:lang w:val="hu-HU"/>
        </w:rPr>
        <w:t xml:space="preserve"> és a hangulatzavarok velejárója; már röviddel az antipszichotikus terápia megkezdése, vagy </w:t>
      </w:r>
      <w:r w:rsidR="00392FF6" w:rsidRPr="00336525">
        <w:rPr>
          <w:sz w:val="22"/>
          <w:szCs w:val="22"/>
          <w:lang w:val="hu-HU"/>
        </w:rPr>
        <w:t>az átállítás</w:t>
      </w:r>
      <w:r w:rsidRPr="00336525">
        <w:rPr>
          <w:sz w:val="22"/>
          <w:szCs w:val="22"/>
          <w:lang w:val="hu-HU"/>
        </w:rPr>
        <w:t xml:space="preserve"> után is beszámoltak néhány ilyen esetről, ideértve az aripiprazol-kezelést is (lásd 4.8</w:t>
      </w:r>
      <w:r w:rsidR="00CE5D9A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pont). A nagy kockázatú betegek antipszichotikus </w:t>
      </w:r>
      <w:r w:rsidR="00C5424B">
        <w:rPr>
          <w:sz w:val="22"/>
          <w:szCs w:val="22"/>
          <w:lang w:val="hu-HU"/>
        </w:rPr>
        <w:t>kezelését</w:t>
      </w:r>
      <w:r w:rsidR="00C5424B" w:rsidRPr="00336525">
        <w:rPr>
          <w:sz w:val="22"/>
          <w:szCs w:val="22"/>
          <w:lang w:val="hu-HU"/>
        </w:rPr>
        <w:t xml:space="preserve"> </w:t>
      </w:r>
      <w:r w:rsidR="000C2714" w:rsidRPr="00336525">
        <w:rPr>
          <w:sz w:val="22"/>
          <w:szCs w:val="22"/>
          <w:lang w:val="hu-HU"/>
        </w:rPr>
        <w:t>szoros felügyelet alatt kell végezni</w:t>
      </w:r>
      <w:r w:rsidRPr="00336525">
        <w:rPr>
          <w:sz w:val="22"/>
          <w:szCs w:val="22"/>
          <w:lang w:val="hu-HU"/>
        </w:rPr>
        <w:t>.</w:t>
      </w:r>
    </w:p>
    <w:p w14:paraId="102795C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9A9369A" w14:textId="77777777" w:rsidR="00C5424B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A03E58">
        <w:rPr>
          <w:rStyle w:val="Szvegtrzs1"/>
          <w:color w:val="auto"/>
          <w:sz w:val="22"/>
          <w:szCs w:val="22"/>
        </w:rPr>
        <w:t>Szív- és érrendszeri betegségek</w:t>
      </w:r>
    </w:p>
    <w:p w14:paraId="4BA086D7" w14:textId="77777777" w:rsidR="00C5424B" w:rsidRPr="00A03E58" w:rsidRDefault="00C5424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06835126" w14:textId="10CDD2F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aripiprazol óvatosan alkalmazandó ismert szív- és érrendszeri betegségben szenvedő </w:t>
      </w:r>
      <w:r w:rsidR="000021B1" w:rsidRPr="0017524C">
        <w:rPr>
          <w:sz w:val="22"/>
          <w:szCs w:val="22"/>
          <w:lang w:val="hu-HU"/>
        </w:rPr>
        <w:t>betegeknél</w:t>
      </w:r>
      <w:r w:rsidR="000021B1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(ha a kórtörténetben myocardialis infarctus vagy ischaemiás szívbetegség, szívelégtelenség vagy ingerületvezetési zavar szerepel), </w:t>
      </w:r>
      <w:r w:rsidR="00DF51BE" w:rsidRPr="00336525">
        <w:rPr>
          <w:sz w:val="22"/>
          <w:szCs w:val="22"/>
          <w:lang w:val="hu-HU"/>
        </w:rPr>
        <w:t>cerebrovascularis megbetegedésben</w:t>
      </w:r>
      <w:r w:rsidRPr="00336525">
        <w:rPr>
          <w:sz w:val="22"/>
          <w:szCs w:val="22"/>
          <w:lang w:val="hu-HU"/>
        </w:rPr>
        <w:t>, olyan állapotokban, amelyek a betegeket vérnyomásesésre hajlamosíthatják (</w:t>
      </w:r>
      <w:r w:rsidR="00DF51BE" w:rsidRPr="00336525">
        <w:rPr>
          <w:sz w:val="22"/>
          <w:szCs w:val="22"/>
          <w:lang w:val="hu-HU"/>
        </w:rPr>
        <w:t>dehidratáció</w:t>
      </w:r>
      <w:r w:rsidRPr="00336525">
        <w:rPr>
          <w:sz w:val="22"/>
          <w:szCs w:val="22"/>
          <w:lang w:val="hu-HU"/>
        </w:rPr>
        <w:t xml:space="preserve">, hypovolaemia, és kezelés vérnyomáscsökkentő gyógyszerekkel) vagy magasvérnyomás-betegség esetén, ideértve az accelerált és malignus </w:t>
      </w:r>
      <w:r w:rsidR="00DF51BE" w:rsidRPr="0017524C">
        <w:rPr>
          <w:sz w:val="22"/>
          <w:szCs w:val="22"/>
          <w:lang w:val="hu-HU"/>
        </w:rPr>
        <w:t>h</w:t>
      </w:r>
      <w:r w:rsidR="0017524C">
        <w:rPr>
          <w:sz w:val="22"/>
          <w:szCs w:val="22"/>
          <w:lang w:val="hu-HU"/>
        </w:rPr>
        <w:t>y</w:t>
      </w:r>
      <w:r w:rsidR="00DF51BE" w:rsidRPr="0017524C">
        <w:rPr>
          <w:sz w:val="22"/>
          <w:szCs w:val="22"/>
          <w:lang w:val="hu-HU"/>
        </w:rPr>
        <w:t>perten</w:t>
      </w:r>
      <w:r w:rsidR="0017524C">
        <w:rPr>
          <w:sz w:val="22"/>
          <w:szCs w:val="22"/>
          <w:lang w:val="hu-HU"/>
        </w:rPr>
        <w:t>s</w:t>
      </w:r>
      <w:r w:rsidR="00DF51BE" w:rsidRPr="0017524C">
        <w:rPr>
          <w:sz w:val="22"/>
          <w:szCs w:val="22"/>
          <w:lang w:val="hu-HU"/>
        </w:rPr>
        <w:t>i</w:t>
      </w:r>
      <w:r w:rsidR="0017524C">
        <w:rPr>
          <w:sz w:val="22"/>
          <w:szCs w:val="22"/>
          <w:lang w:val="hu-HU"/>
        </w:rPr>
        <w:t>o</w:t>
      </w:r>
      <w:r w:rsidR="00DF51BE" w:rsidRPr="0017524C">
        <w:rPr>
          <w:sz w:val="22"/>
          <w:szCs w:val="22"/>
          <w:lang w:val="hu-HU"/>
        </w:rPr>
        <w:t>t</w:t>
      </w:r>
      <w:r w:rsidRPr="00336525">
        <w:rPr>
          <w:sz w:val="22"/>
          <w:szCs w:val="22"/>
          <w:lang w:val="hu-HU"/>
        </w:rPr>
        <w:t xml:space="preserve"> is.</w:t>
      </w:r>
      <w:r w:rsidR="00E6180F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Az antipszichotikus gyógyszerekkel összefüggésben vénás thromboembolia (VTE) es</w:t>
      </w:r>
      <w:r w:rsidR="002C5B2C" w:rsidRPr="00336525">
        <w:rPr>
          <w:sz w:val="22"/>
          <w:szCs w:val="22"/>
          <w:lang w:val="hu-HU"/>
        </w:rPr>
        <w:t>e</w:t>
      </w:r>
      <w:r w:rsidRPr="00336525">
        <w:rPr>
          <w:sz w:val="22"/>
          <w:szCs w:val="22"/>
          <w:lang w:val="hu-HU"/>
        </w:rPr>
        <w:t xml:space="preserve">teit jelentették. Mivel az antipszichotikumokkal kezelt betegeknél </w:t>
      </w:r>
      <w:r w:rsidR="008C4318" w:rsidRPr="00336525">
        <w:rPr>
          <w:sz w:val="22"/>
          <w:szCs w:val="22"/>
          <w:lang w:val="hu-HU"/>
        </w:rPr>
        <w:t>gyakran észlelhetők</w:t>
      </w:r>
      <w:r w:rsidRPr="00336525">
        <w:rPr>
          <w:sz w:val="22"/>
          <w:szCs w:val="22"/>
          <w:lang w:val="hu-HU"/>
        </w:rPr>
        <w:t xml:space="preserve"> a VTE szerzett kockázati tényezői, az </w:t>
      </w:r>
      <w:r w:rsidR="00E6180F">
        <w:rPr>
          <w:sz w:val="22"/>
          <w:szCs w:val="22"/>
          <w:lang w:val="hu-HU"/>
        </w:rPr>
        <w:t>aripiprazol</w:t>
      </w:r>
      <w:r w:rsidR="000021B1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kezelés előtt és alatt a VTE minden lehetséges rizikófaktorát azonosítani kell, és megelőző intézkedéseket kell tenni.</w:t>
      </w:r>
    </w:p>
    <w:p w14:paraId="76CCC67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8E5BA43" w14:textId="77777777" w:rsidR="00E6180F" w:rsidRPr="002045A9" w:rsidRDefault="00E6180F" w:rsidP="00E6180F">
      <w:pPr>
        <w:widowControl/>
        <w:rPr>
          <w:rFonts w:cs="Times New Roman"/>
          <w:color w:val="auto"/>
          <w:szCs w:val="22"/>
          <w:u w:val="single"/>
        </w:rPr>
      </w:pPr>
      <w:r w:rsidRPr="002045A9">
        <w:rPr>
          <w:rFonts w:cs="Times New Roman"/>
          <w:color w:val="auto"/>
          <w:szCs w:val="22"/>
          <w:u w:val="single"/>
        </w:rPr>
        <w:t>QT</w:t>
      </w:r>
      <w:r w:rsidRPr="002045A9">
        <w:rPr>
          <w:rFonts w:cs="Times New Roman"/>
          <w:color w:val="auto"/>
          <w:szCs w:val="22"/>
          <w:u w:val="single"/>
        </w:rPr>
        <w:noBreakHyphen/>
        <w:t>szakasz megnyúlása</w:t>
      </w:r>
    </w:p>
    <w:p w14:paraId="102774AF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54B416F8" w14:textId="0FAC4DB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aripiprazollal </w:t>
      </w:r>
      <w:r w:rsidR="008C4318" w:rsidRPr="00336525">
        <w:rPr>
          <w:sz w:val="22"/>
          <w:szCs w:val="22"/>
          <w:lang w:val="hu-HU"/>
        </w:rPr>
        <w:t>történt</w:t>
      </w:r>
      <w:r w:rsidRPr="00336525">
        <w:rPr>
          <w:sz w:val="22"/>
          <w:szCs w:val="22"/>
          <w:lang w:val="hu-HU"/>
        </w:rPr>
        <w:t xml:space="preserve"> klinikai vizsgálatokban a QT</w:t>
      </w:r>
      <w:r w:rsidR="00AB6702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intervallum megnyúlásának előfordulási gyakorisága hasonló volt a placeb</w:t>
      </w:r>
      <w:r w:rsidR="008C4318" w:rsidRPr="00336525">
        <w:rPr>
          <w:sz w:val="22"/>
          <w:szCs w:val="22"/>
          <w:lang w:val="hu-HU"/>
        </w:rPr>
        <w:t>óéhoz</w:t>
      </w:r>
      <w:r w:rsidRPr="00336525">
        <w:rPr>
          <w:sz w:val="22"/>
          <w:szCs w:val="22"/>
          <w:lang w:val="hu-HU"/>
        </w:rPr>
        <w:t xml:space="preserve">. </w:t>
      </w:r>
      <w:r w:rsidR="00E6180F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>z aripiprazolt körültekintően kell alkalmazni azon betegek</w:t>
      </w:r>
      <w:r w:rsidR="008C4318" w:rsidRPr="00336525">
        <w:rPr>
          <w:sz w:val="22"/>
          <w:szCs w:val="22"/>
          <w:lang w:val="hu-HU"/>
        </w:rPr>
        <w:t xml:space="preserve"> esetében</w:t>
      </w:r>
      <w:r w:rsidRPr="00336525">
        <w:rPr>
          <w:sz w:val="22"/>
          <w:szCs w:val="22"/>
          <w:lang w:val="hu-HU"/>
        </w:rPr>
        <w:t xml:space="preserve">, </w:t>
      </w:r>
      <w:r w:rsidR="008C4318" w:rsidRPr="00336525">
        <w:rPr>
          <w:sz w:val="22"/>
          <w:szCs w:val="22"/>
          <w:lang w:val="hu-HU"/>
        </w:rPr>
        <w:t xml:space="preserve">akiknél a családi anamnézisben </w:t>
      </w:r>
      <w:r w:rsidRPr="00336525">
        <w:rPr>
          <w:sz w:val="22"/>
          <w:szCs w:val="22"/>
          <w:lang w:val="hu-HU"/>
        </w:rPr>
        <w:t>QT</w:t>
      </w:r>
      <w:r w:rsidR="00AB6702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intervallum megnyúlás</w:t>
      </w:r>
      <w:r w:rsidR="008C4318" w:rsidRPr="00336525">
        <w:rPr>
          <w:sz w:val="22"/>
          <w:szCs w:val="22"/>
          <w:lang w:val="hu-HU"/>
        </w:rPr>
        <w:t xml:space="preserve"> előfordul</w:t>
      </w:r>
      <w:r w:rsidR="00E6180F">
        <w:rPr>
          <w:sz w:val="22"/>
          <w:szCs w:val="22"/>
          <w:lang w:val="hu-HU"/>
        </w:rPr>
        <w:t xml:space="preserve"> (lásd 4.8 pont)</w:t>
      </w:r>
      <w:r w:rsidRPr="00336525">
        <w:rPr>
          <w:sz w:val="22"/>
          <w:szCs w:val="22"/>
          <w:lang w:val="hu-HU"/>
        </w:rPr>
        <w:t>.</w:t>
      </w:r>
    </w:p>
    <w:p w14:paraId="1BE2072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93A3671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Tardiv dyskinesia</w:t>
      </w:r>
    </w:p>
    <w:p w14:paraId="594778DF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F4EB77" w14:textId="4F3EA9FB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Egyéves, vagy rövidebb időtartamú klinikai vizsgálatokban </w:t>
      </w:r>
      <w:r w:rsidR="00EE0109" w:rsidRPr="00336525">
        <w:rPr>
          <w:sz w:val="22"/>
          <w:szCs w:val="22"/>
          <w:lang w:val="hu-HU"/>
        </w:rPr>
        <w:t xml:space="preserve">ritkán hirtelen fellépő dyskinesia előfordulását jelentették </w:t>
      </w:r>
      <w:r w:rsidRPr="00336525">
        <w:rPr>
          <w:sz w:val="22"/>
          <w:szCs w:val="22"/>
          <w:lang w:val="hu-HU"/>
        </w:rPr>
        <w:t xml:space="preserve">aripiprazol-kezelés során. </w:t>
      </w:r>
      <w:r w:rsidR="00EE0109" w:rsidRPr="00336525">
        <w:rPr>
          <w:sz w:val="22"/>
          <w:szCs w:val="22"/>
          <w:lang w:val="hu-HU"/>
        </w:rPr>
        <w:t xml:space="preserve">Ha a tardiv dyskinesia jelei és tünetei jelentkeznek az </w:t>
      </w:r>
      <w:r w:rsidR="00722D3F" w:rsidRPr="00336525">
        <w:rPr>
          <w:sz w:val="22"/>
          <w:szCs w:val="22"/>
          <w:lang w:val="hu-HU"/>
        </w:rPr>
        <w:t>Asduter</w:t>
      </w:r>
      <w:r w:rsidR="008F4F48" w:rsidRPr="00336525">
        <w:rPr>
          <w:sz w:val="22"/>
          <w:szCs w:val="22"/>
          <w:lang w:val="hu-HU"/>
        </w:rPr>
        <w:t xml:space="preserve"> tablettáv</w:t>
      </w:r>
      <w:r w:rsidR="00EE0109" w:rsidRPr="00336525">
        <w:rPr>
          <w:sz w:val="22"/>
          <w:szCs w:val="22"/>
          <w:lang w:val="hu-HU"/>
        </w:rPr>
        <w:t>al kezelt betegen, a dózis csökkentését vagy a kezelés felfüggesztését kell mérlegelni. Ezek a tünetek átmenetileg súlyosbodhatnak, ill. még a terápia abbahagyása után is felléphetnek</w:t>
      </w:r>
      <w:r w:rsidR="009A693E" w:rsidRPr="00336525">
        <w:rPr>
          <w:sz w:val="22"/>
          <w:szCs w:val="22"/>
          <w:lang w:val="hu-HU"/>
        </w:rPr>
        <w:t>.</w:t>
      </w:r>
    </w:p>
    <w:p w14:paraId="3FF9EFA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26B8EB7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A03E58">
        <w:rPr>
          <w:rStyle w:val="Szvegtrzs1"/>
          <w:color w:val="auto"/>
          <w:sz w:val="22"/>
          <w:szCs w:val="22"/>
        </w:rPr>
        <w:t>Egyéb extrap</w:t>
      </w:r>
      <w:r w:rsidR="009A693E" w:rsidRPr="00A03E58">
        <w:rPr>
          <w:rStyle w:val="Szvegtrzs1"/>
          <w:color w:val="auto"/>
          <w:sz w:val="22"/>
          <w:szCs w:val="22"/>
        </w:rPr>
        <w:t>i</w:t>
      </w:r>
      <w:r w:rsidRPr="00A03E58">
        <w:rPr>
          <w:rStyle w:val="Szvegtrzs1"/>
          <w:color w:val="auto"/>
          <w:sz w:val="22"/>
          <w:szCs w:val="22"/>
        </w:rPr>
        <w:t>ramidális tünetek</w:t>
      </w:r>
    </w:p>
    <w:p w14:paraId="234EF366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26DC5FB5" w14:textId="0ABCF299" w:rsidR="0029197E" w:rsidRPr="00336525" w:rsidRDefault="00A92870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gyermekekkel végzett klinikai vizsgálataiban akathisia és parkinsonismus kialakulását figyelték meg</w:t>
      </w:r>
      <w:r w:rsidR="0029197E" w:rsidRPr="00336525">
        <w:rPr>
          <w:sz w:val="22"/>
          <w:szCs w:val="22"/>
          <w:lang w:val="hu-HU"/>
        </w:rPr>
        <w:t xml:space="preserve">. Ha az </w:t>
      </w:r>
      <w:r w:rsidR="00722D3F" w:rsidRPr="00336525">
        <w:rPr>
          <w:sz w:val="22"/>
          <w:szCs w:val="22"/>
          <w:lang w:val="hu-HU"/>
        </w:rPr>
        <w:t>Asduter</w:t>
      </w:r>
      <w:r w:rsidR="008F4F48" w:rsidRPr="00336525">
        <w:rPr>
          <w:sz w:val="22"/>
          <w:szCs w:val="22"/>
          <w:lang w:val="hu-HU"/>
        </w:rPr>
        <w:t xml:space="preserve"> tablettáv</w:t>
      </w:r>
      <w:r w:rsidR="009F741A" w:rsidRPr="00336525">
        <w:rPr>
          <w:sz w:val="22"/>
          <w:szCs w:val="22"/>
          <w:lang w:val="hu-HU"/>
        </w:rPr>
        <w:t>al</w:t>
      </w:r>
      <w:r w:rsidR="0029197E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kezelt betegnél egyéb extrapiramidális tünetek jelentkeznek, az adag csökkentését és </w:t>
      </w:r>
      <w:r w:rsidR="009F741A" w:rsidRPr="00336525">
        <w:rPr>
          <w:sz w:val="22"/>
          <w:szCs w:val="22"/>
          <w:lang w:val="hu-HU"/>
        </w:rPr>
        <w:t xml:space="preserve">a </w:t>
      </w:r>
      <w:r w:rsidRPr="00336525">
        <w:rPr>
          <w:sz w:val="22"/>
          <w:szCs w:val="22"/>
          <w:lang w:val="hu-HU"/>
        </w:rPr>
        <w:t>szoros klinikai monitorozást kell mérlegelni</w:t>
      </w:r>
      <w:r w:rsidR="0029197E" w:rsidRPr="00336525">
        <w:rPr>
          <w:sz w:val="22"/>
          <w:szCs w:val="22"/>
          <w:lang w:val="hu-HU"/>
        </w:rPr>
        <w:t>.</w:t>
      </w:r>
    </w:p>
    <w:p w14:paraId="6F50597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884818B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sz w:val="22"/>
          <w:szCs w:val="22"/>
          <w:u w:val="single"/>
          <w:lang w:val="hu-HU"/>
        </w:rPr>
        <w:t>Neuroleptikus malignus szindróma (NMS)</w:t>
      </w:r>
    </w:p>
    <w:p w14:paraId="0E6A9993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A925B6B" w14:textId="19D8896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NMS az antipszichotikumok alkalmazásával összefüggésben jelentkező, potenciálisan halálos kimenetelű tünetegyüttes. Klinikai vizsgálatokban, aripiprazol kezelés során ritkán jelentették NMS előfordulását. Az NMS klinikai tünetei: magas láz, izommerevség, megváltozott tudatállapot, vegetatív labilitás (szabálytalan pulzus</w:t>
      </w:r>
      <w:r w:rsidR="00AD04A8" w:rsidRPr="00336525">
        <w:rPr>
          <w:sz w:val="22"/>
          <w:szCs w:val="22"/>
          <w:lang w:val="hu-HU"/>
        </w:rPr>
        <w:t xml:space="preserve"> vagy</w:t>
      </w:r>
      <w:r w:rsidRPr="00336525">
        <w:rPr>
          <w:sz w:val="22"/>
          <w:szCs w:val="22"/>
          <w:lang w:val="hu-HU"/>
        </w:rPr>
        <w:t xml:space="preserve"> vérnyomás-ingadozás, tachycardia, verejtékezés és szívritmuszavar). További lehetséges tünetek: emelkedett kreatin-foszfokináz szint, myoglobinuria (rhabdomyolysis), és akut veseelégtelenség. Beszámoltak emelkedett kreatin-foszfokináz szintről és rhabdomyolisisről aripiprazol-kezelés során, jóllehet nem feltétlenül a neuroleptikus malignus szindrómával összefüggésben. </w:t>
      </w:r>
      <w:r w:rsidR="00A92870" w:rsidRPr="00336525">
        <w:rPr>
          <w:sz w:val="22"/>
          <w:szCs w:val="22"/>
          <w:lang w:val="hu-HU"/>
        </w:rPr>
        <w:t>Ha a betegen az NMS</w:t>
      </w:r>
      <w:r w:rsidR="00722D3F" w:rsidRPr="00336525">
        <w:rPr>
          <w:sz w:val="22"/>
          <w:szCs w:val="22"/>
          <w:lang w:val="hu-HU"/>
        </w:rPr>
        <w:noBreakHyphen/>
      </w:r>
      <w:r w:rsidR="00A92870" w:rsidRPr="00336525">
        <w:rPr>
          <w:sz w:val="22"/>
          <w:szCs w:val="22"/>
          <w:lang w:val="hu-HU"/>
        </w:rPr>
        <w:t xml:space="preserve">re jellemző jelek és tünetek megjelennek, illetve ha ismeretlen eredetű magas láza van az NMS bármely egyéb tünete </w:t>
      </w:r>
      <w:r w:rsidR="009F741A" w:rsidRPr="00336525">
        <w:rPr>
          <w:sz w:val="22"/>
          <w:szCs w:val="22"/>
          <w:lang w:val="hu-HU"/>
        </w:rPr>
        <w:t>nélkül</w:t>
      </w:r>
      <w:r w:rsidR="00A92870" w:rsidRPr="00336525">
        <w:rPr>
          <w:sz w:val="22"/>
          <w:szCs w:val="22"/>
          <w:lang w:val="hu-HU"/>
        </w:rPr>
        <w:t>, minden antipszichotikus gyógyszer, köztük</w:t>
      </w:r>
      <w:r w:rsidRPr="00336525">
        <w:rPr>
          <w:sz w:val="22"/>
          <w:szCs w:val="22"/>
          <w:lang w:val="hu-HU"/>
        </w:rPr>
        <w:t xml:space="preserve"> az </w:t>
      </w:r>
      <w:r w:rsidR="00722D3F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adagolását is </w:t>
      </w:r>
      <w:r w:rsidR="00A92870" w:rsidRPr="00336525">
        <w:rPr>
          <w:sz w:val="22"/>
          <w:szCs w:val="22"/>
          <w:lang w:val="hu-HU"/>
        </w:rPr>
        <w:t>fel kell függeszteni</w:t>
      </w:r>
      <w:r w:rsidR="00E03BBC">
        <w:rPr>
          <w:sz w:val="22"/>
          <w:szCs w:val="22"/>
          <w:lang w:val="hu-HU"/>
        </w:rPr>
        <w:t xml:space="preserve"> </w:t>
      </w:r>
      <w:r w:rsidR="00BE6AC4">
        <w:rPr>
          <w:sz w:val="22"/>
          <w:szCs w:val="22"/>
          <w:lang w:val="hu-HU"/>
        </w:rPr>
        <w:t>(lásd 4.8 pont)</w:t>
      </w:r>
      <w:r w:rsidRPr="00336525">
        <w:rPr>
          <w:sz w:val="22"/>
          <w:szCs w:val="22"/>
          <w:lang w:val="hu-HU"/>
        </w:rPr>
        <w:t>.</w:t>
      </w:r>
    </w:p>
    <w:p w14:paraId="4BC9E87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BE914B3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Görcsroham</w:t>
      </w:r>
    </w:p>
    <w:p w14:paraId="57CBD238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14C9B37" w14:textId="3C75433A" w:rsidR="0029197E" w:rsidRPr="00336525" w:rsidRDefault="009F741A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K</w:t>
      </w:r>
      <w:r w:rsidR="00A92870" w:rsidRPr="00336525">
        <w:rPr>
          <w:sz w:val="22"/>
          <w:szCs w:val="22"/>
          <w:lang w:val="hu-HU"/>
        </w:rPr>
        <w:t>linikai vizsgálatokban</w:t>
      </w:r>
      <w:r w:rsidRPr="00336525">
        <w:rPr>
          <w:sz w:val="22"/>
          <w:szCs w:val="22"/>
          <w:lang w:val="hu-HU"/>
        </w:rPr>
        <w:t>,</w:t>
      </w:r>
      <w:r w:rsidR="00A92870" w:rsidRPr="00336525">
        <w:rPr>
          <w:sz w:val="22"/>
          <w:szCs w:val="22"/>
          <w:lang w:val="hu-HU"/>
        </w:rPr>
        <w:t xml:space="preserve"> aripiprazol kezelés alatt</w:t>
      </w:r>
      <w:r w:rsidRPr="00336525">
        <w:rPr>
          <w:sz w:val="22"/>
          <w:szCs w:val="22"/>
          <w:lang w:val="hu-HU"/>
        </w:rPr>
        <w:t>,</w:t>
      </w:r>
      <w:r w:rsidR="00A92870" w:rsidRPr="00336525">
        <w:rPr>
          <w:sz w:val="22"/>
          <w:szCs w:val="22"/>
          <w:lang w:val="hu-HU"/>
        </w:rPr>
        <w:t xml:space="preserve"> ritkán görcsroham előfordulását jelentették. Ezért az aripiprazolt körültekintéssel kell alkalmazni olyan betegeknél, akiknek kórtörténetében görcsroham szerepel, illetve görcsrohammal járó betegségeik vannak</w:t>
      </w:r>
      <w:r w:rsidR="00344E04">
        <w:rPr>
          <w:sz w:val="22"/>
          <w:szCs w:val="22"/>
          <w:lang w:val="hu-HU"/>
        </w:rPr>
        <w:t xml:space="preserve"> (lásd 4.8 pont)</w:t>
      </w:r>
      <w:r w:rsidR="0029197E" w:rsidRPr="00336525">
        <w:rPr>
          <w:sz w:val="22"/>
          <w:szCs w:val="22"/>
          <w:lang w:val="hu-HU"/>
        </w:rPr>
        <w:t>.</w:t>
      </w:r>
    </w:p>
    <w:p w14:paraId="32EB63E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B643D02" w14:textId="77777777" w:rsidR="00344E04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A03E58">
        <w:rPr>
          <w:rStyle w:val="Szvegtrzs1"/>
          <w:color w:val="auto"/>
          <w:sz w:val="22"/>
          <w:szCs w:val="22"/>
        </w:rPr>
        <w:t>Demenciához társuló psychosisban szenvedő idős betegek</w:t>
      </w:r>
      <w:r w:rsidR="00722D3F" w:rsidRPr="00A03E58">
        <w:rPr>
          <w:rStyle w:val="Szvegtrzs1"/>
          <w:color w:val="auto"/>
          <w:sz w:val="22"/>
          <w:szCs w:val="22"/>
        </w:rPr>
        <w:t>:</w:t>
      </w:r>
    </w:p>
    <w:p w14:paraId="1F853006" w14:textId="79A0D338" w:rsidR="0029197E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</w:p>
    <w:p w14:paraId="539015CB" w14:textId="77777777" w:rsidR="00344E04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 xml:space="preserve">Megnövekedett </w:t>
      </w:r>
      <w:r w:rsidR="00AE0CB7" w:rsidRPr="00336525">
        <w:rPr>
          <w:rStyle w:val="Bodytext31"/>
          <w:i/>
          <w:iCs/>
          <w:color w:val="auto"/>
          <w:sz w:val="22"/>
          <w:szCs w:val="22"/>
          <w:u w:val="none"/>
        </w:rPr>
        <w:t>mortalitás</w:t>
      </w:r>
    </w:p>
    <w:p w14:paraId="59A0EEC0" w14:textId="29D412AA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>Három, placebokontrollos klinikai vizsgálatban (N</w:t>
      </w:r>
      <w:r w:rsidR="00C55484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>=</w:t>
      </w:r>
      <w:r w:rsidR="00C55484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938; </w:t>
      </w:r>
      <w:r w:rsidR="00E8437C" w:rsidRPr="00336525">
        <w:rPr>
          <w:i w:val="0"/>
          <w:sz w:val="22"/>
          <w:szCs w:val="22"/>
          <w:lang w:val="hu-HU"/>
        </w:rPr>
        <w:t xml:space="preserve">átlagos </w:t>
      </w:r>
      <w:r w:rsidRPr="00336525">
        <w:rPr>
          <w:i w:val="0"/>
          <w:sz w:val="22"/>
          <w:szCs w:val="22"/>
          <w:lang w:val="hu-HU"/>
        </w:rPr>
        <w:t>életkor: 82,4</w:t>
      </w:r>
      <w:r w:rsidR="00722D3F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év; </w:t>
      </w:r>
      <w:r w:rsidR="00E8437C" w:rsidRPr="00336525">
        <w:rPr>
          <w:i w:val="0"/>
          <w:sz w:val="22"/>
          <w:szCs w:val="22"/>
          <w:lang w:val="hu-HU"/>
        </w:rPr>
        <w:t>korhatár</w:t>
      </w:r>
      <w:r w:rsidRPr="00336525">
        <w:rPr>
          <w:i w:val="0"/>
          <w:sz w:val="22"/>
          <w:szCs w:val="22"/>
          <w:lang w:val="hu-HU"/>
        </w:rPr>
        <w:t>: 56</w:t>
      </w:r>
      <w:r w:rsidR="00E8437C" w:rsidRPr="00336525">
        <w:rPr>
          <w:i w:val="0"/>
          <w:sz w:val="22"/>
          <w:szCs w:val="22"/>
          <w:lang w:val="hu-HU"/>
        </w:rPr>
        <w:noBreakHyphen/>
        <w:t>99 </w:t>
      </w:r>
      <w:r w:rsidRPr="00336525">
        <w:rPr>
          <w:i w:val="0"/>
          <w:sz w:val="22"/>
          <w:szCs w:val="22"/>
          <w:lang w:val="hu-HU"/>
        </w:rPr>
        <w:t>év) az aripiprazollal kezelt, Alzheimer</w:t>
      </w:r>
      <w:r w:rsidR="00722D3F" w:rsidRPr="00336525">
        <w:rPr>
          <w:i w:val="0"/>
          <w:sz w:val="22"/>
          <w:szCs w:val="22"/>
          <w:lang w:val="hu-HU"/>
        </w:rPr>
        <w:noBreakHyphen/>
      </w:r>
      <w:r w:rsidRPr="00336525">
        <w:rPr>
          <w:i w:val="0"/>
          <w:sz w:val="22"/>
          <w:szCs w:val="22"/>
          <w:lang w:val="hu-HU"/>
        </w:rPr>
        <w:t xml:space="preserve">kórhoz társuló psychosisban szenvedő idős betegek körében, az aripiprazollal kezelt betegek esetében nagyobb volt a </w:t>
      </w:r>
      <w:r w:rsidR="000E4D59" w:rsidRPr="00336525">
        <w:rPr>
          <w:i w:val="0"/>
          <w:sz w:val="22"/>
          <w:szCs w:val="22"/>
          <w:lang w:val="hu-HU"/>
        </w:rPr>
        <w:t>fatális kimenetelű történések</w:t>
      </w:r>
      <w:r w:rsidRPr="00336525">
        <w:rPr>
          <w:i w:val="0"/>
          <w:sz w:val="22"/>
          <w:szCs w:val="22"/>
          <w:lang w:val="hu-HU"/>
        </w:rPr>
        <w:t xml:space="preserve"> kockázata a placebóval kezeltekéhez viszonyítva. A mortalitás az aripiprazollal kezelt betegek esetében 3,5%, míg a placebocsoportban 1,7% volt. Bár a halál oka különböző volt, a legtöbb esetben cardiovasculáris (pl. szívelégtelenség, hirtelen halál), vagy fertőzéses (pl. tüdőgyulladás) eredetű volt</w:t>
      </w:r>
      <w:r w:rsidR="00344E04">
        <w:rPr>
          <w:i w:val="0"/>
          <w:sz w:val="22"/>
          <w:szCs w:val="22"/>
          <w:lang w:val="hu-HU"/>
        </w:rPr>
        <w:t xml:space="preserve"> </w:t>
      </w:r>
      <w:r w:rsidR="00344E04" w:rsidRPr="00A03E58">
        <w:rPr>
          <w:i w:val="0"/>
          <w:sz w:val="22"/>
          <w:szCs w:val="22"/>
          <w:lang w:val="hu-HU"/>
        </w:rPr>
        <w:t>(lásd 4.8 pont)</w:t>
      </w:r>
      <w:r w:rsidRPr="00FC52E1">
        <w:rPr>
          <w:i w:val="0"/>
          <w:sz w:val="22"/>
          <w:szCs w:val="22"/>
          <w:lang w:val="hu-HU"/>
        </w:rPr>
        <w:t>.</w:t>
      </w:r>
    </w:p>
    <w:p w14:paraId="0DF42C12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6B4B6CBA" w14:textId="77777777" w:rsidR="00344E04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Cerebrovascularis mellékhatások</w:t>
      </w:r>
    </w:p>
    <w:p w14:paraId="479712A2" w14:textId="47DCDF65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 xml:space="preserve">Ugyanezen vizsgálatokban cerebrovascularis mellékhatásokról (pl. stroke, átmeneti ischemiás attack) – </w:t>
      </w:r>
      <w:r w:rsidR="00C43971" w:rsidRPr="00336525">
        <w:rPr>
          <w:i w:val="0"/>
          <w:sz w:val="22"/>
          <w:szCs w:val="22"/>
          <w:lang w:val="hu-HU"/>
        </w:rPr>
        <w:t>beleértve a fatális kimentelű történéseket is</w:t>
      </w:r>
      <w:r w:rsidRPr="00336525">
        <w:rPr>
          <w:i w:val="0"/>
          <w:sz w:val="22"/>
          <w:szCs w:val="22"/>
          <w:lang w:val="hu-HU"/>
        </w:rPr>
        <w:t xml:space="preserve"> – számoltak be (átlag</w:t>
      </w:r>
      <w:r w:rsidR="00C43971" w:rsidRPr="00336525">
        <w:rPr>
          <w:i w:val="0"/>
          <w:sz w:val="22"/>
          <w:szCs w:val="22"/>
          <w:lang w:val="hu-HU"/>
        </w:rPr>
        <w:t xml:space="preserve">os </w:t>
      </w:r>
      <w:r w:rsidRPr="00336525">
        <w:rPr>
          <w:i w:val="0"/>
          <w:sz w:val="22"/>
          <w:szCs w:val="22"/>
          <w:lang w:val="hu-HU"/>
        </w:rPr>
        <w:t xml:space="preserve">életkor: </w:t>
      </w:r>
      <w:r w:rsidR="00C43971" w:rsidRPr="00336525">
        <w:rPr>
          <w:i w:val="0"/>
          <w:sz w:val="22"/>
          <w:szCs w:val="22"/>
          <w:lang w:val="hu-HU"/>
        </w:rPr>
        <w:t>84 </w:t>
      </w:r>
      <w:r w:rsidRPr="00336525">
        <w:rPr>
          <w:i w:val="0"/>
          <w:sz w:val="22"/>
          <w:szCs w:val="22"/>
          <w:lang w:val="hu-HU"/>
        </w:rPr>
        <w:t xml:space="preserve">év; </w:t>
      </w:r>
      <w:r w:rsidR="00C43971" w:rsidRPr="00336525">
        <w:rPr>
          <w:i w:val="0"/>
          <w:sz w:val="22"/>
          <w:szCs w:val="22"/>
          <w:lang w:val="hu-HU"/>
        </w:rPr>
        <w:t>korhatár</w:t>
      </w:r>
      <w:r w:rsidRPr="00336525">
        <w:rPr>
          <w:i w:val="0"/>
          <w:sz w:val="22"/>
          <w:szCs w:val="22"/>
          <w:lang w:val="hu-HU"/>
        </w:rPr>
        <w:t>: 78</w:t>
      </w:r>
      <w:r w:rsidR="00C43971" w:rsidRPr="00336525">
        <w:rPr>
          <w:i w:val="0"/>
          <w:sz w:val="22"/>
          <w:szCs w:val="22"/>
          <w:lang w:val="hu-HU"/>
        </w:rPr>
        <w:noBreakHyphen/>
        <w:t>88 </w:t>
      </w:r>
      <w:r w:rsidRPr="00336525">
        <w:rPr>
          <w:i w:val="0"/>
          <w:sz w:val="22"/>
          <w:szCs w:val="22"/>
          <w:lang w:val="hu-HU"/>
        </w:rPr>
        <w:t>év). Összességében az aripiprazollal kezelt betegek 1,3%-ánál, míg a placebóval kezeltek 0,6</w:t>
      </w:r>
      <w:r w:rsidR="00CF35CB" w:rsidRPr="00336525">
        <w:rPr>
          <w:i w:val="0"/>
          <w:sz w:val="22"/>
          <w:szCs w:val="22"/>
          <w:lang w:val="hu-HU"/>
        </w:rPr>
        <w:t>%</w:t>
      </w:r>
      <w:r w:rsidR="00CF35CB" w:rsidRPr="00336525">
        <w:rPr>
          <w:i w:val="0"/>
          <w:sz w:val="22"/>
          <w:szCs w:val="22"/>
          <w:lang w:val="hu-HU"/>
        </w:rPr>
        <w:noBreakHyphen/>
      </w:r>
      <w:r w:rsidRPr="00336525">
        <w:rPr>
          <w:i w:val="0"/>
          <w:sz w:val="22"/>
          <w:szCs w:val="22"/>
          <w:lang w:val="hu-HU"/>
        </w:rPr>
        <w:t xml:space="preserve">ánál jelentettek cerebrovascularis mellékhatásokat </w:t>
      </w:r>
      <w:r w:rsidR="00CF35CB" w:rsidRPr="00336525">
        <w:rPr>
          <w:i w:val="0"/>
          <w:sz w:val="22"/>
          <w:szCs w:val="22"/>
          <w:lang w:val="hu-HU"/>
        </w:rPr>
        <w:t xml:space="preserve">a fenti </w:t>
      </w:r>
      <w:r w:rsidRPr="00336525">
        <w:rPr>
          <w:i w:val="0"/>
          <w:sz w:val="22"/>
          <w:szCs w:val="22"/>
          <w:lang w:val="hu-HU"/>
        </w:rPr>
        <w:t xml:space="preserve">vizsgálatokban. Ez a különbség </w:t>
      </w:r>
      <w:r w:rsidR="00CF35CB" w:rsidRPr="00336525">
        <w:rPr>
          <w:i w:val="0"/>
          <w:sz w:val="22"/>
          <w:szCs w:val="22"/>
          <w:lang w:val="hu-HU"/>
        </w:rPr>
        <w:t>nem bizonyult statisztikailag szignifikánsnak</w:t>
      </w:r>
      <w:r w:rsidRPr="00336525">
        <w:rPr>
          <w:i w:val="0"/>
          <w:sz w:val="22"/>
          <w:szCs w:val="22"/>
          <w:lang w:val="hu-HU"/>
        </w:rPr>
        <w:t xml:space="preserve">. </w:t>
      </w:r>
      <w:r w:rsidR="00CF35CB" w:rsidRPr="00336525">
        <w:rPr>
          <w:i w:val="0"/>
          <w:sz w:val="22"/>
          <w:szCs w:val="22"/>
          <w:lang w:val="hu-HU"/>
        </w:rPr>
        <w:t xml:space="preserve">Azonban az egyik vizsgálatban, amelyben fix dózisokat alkalmaztak, a cerebrovascularis mellékhatások előfordulási gyakorisága szignifikáns mértékben </w:t>
      </w:r>
      <w:r w:rsidRPr="00336525">
        <w:rPr>
          <w:i w:val="0"/>
          <w:sz w:val="22"/>
          <w:szCs w:val="22"/>
          <w:lang w:val="hu-HU"/>
        </w:rPr>
        <w:t>dózisfüggőnek bizonyult az aripiprazollal kezelt betegcsoportban</w:t>
      </w:r>
      <w:r w:rsidR="00344E04">
        <w:rPr>
          <w:i w:val="0"/>
          <w:sz w:val="22"/>
          <w:szCs w:val="22"/>
          <w:lang w:val="hu-HU"/>
        </w:rPr>
        <w:t xml:space="preserve"> </w:t>
      </w:r>
      <w:r w:rsidR="00344E04" w:rsidRPr="002045A9">
        <w:rPr>
          <w:i w:val="0"/>
          <w:sz w:val="22"/>
          <w:szCs w:val="22"/>
          <w:lang w:val="hu-HU"/>
        </w:rPr>
        <w:t>(lásd 4.8 pont)</w:t>
      </w:r>
      <w:r w:rsidRPr="00336525">
        <w:rPr>
          <w:i w:val="0"/>
          <w:sz w:val="22"/>
          <w:szCs w:val="22"/>
          <w:lang w:val="hu-HU"/>
        </w:rPr>
        <w:t>.</w:t>
      </w:r>
    </w:p>
    <w:p w14:paraId="09B29C75" w14:textId="77777777" w:rsidR="00344E04" w:rsidRDefault="00344E0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428F28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r w:rsidR="00A8485C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</w:t>
      </w:r>
      <w:r w:rsidR="00CF35CB" w:rsidRPr="00336525">
        <w:rPr>
          <w:sz w:val="22"/>
          <w:szCs w:val="22"/>
          <w:lang w:val="hu-HU"/>
        </w:rPr>
        <w:t>dementiához társuló psychotikus kórképek kezelésére nem javallott</w:t>
      </w:r>
      <w:r w:rsidRPr="00336525">
        <w:rPr>
          <w:sz w:val="22"/>
          <w:szCs w:val="22"/>
          <w:lang w:val="hu-HU"/>
        </w:rPr>
        <w:t>.</w:t>
      </w:r>
    </w:p>
    <w:p w14:paraId="51EDA79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445289" w14:textId="7F730526" w:rsidR="00A02825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Hypergly</w:t>
      </w:r>
      <w:r w:rsidR="000021B1">
        <w:rPr>
          <w:rStyle w:val="Szvegtrzs1"/>
          <w:color w:val="auto"/>
          <w:sz w:val="22"/>
          <w:szCs w:val="22"/>
        </w:rPr>
        <w:t>k</w:t>
      </w:r>
      <w:r w:rsidRPr="00A03E58">
        <w:rPr>
          <w:rStyle w:val="Szvegtrzs1"/>
          <w:color w:val="auto"/>
          <w:sz w:val="22"/>
          <w:szCs w:val="22"/>
        </w:rPr>
        <w:t>aemia és diabetes mellitus</w:t>
      </w:r>
    </w:p>
    <w:p w14:paraId="491F0818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864EA5" w14:textId="369C599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Néhány esetben szélsőséges, ketoacidosissal, hyperosmoláris comával társuló, vagy fatális hypergly</w:t>
      </w:r>
      <w:r w:rsidR="000021B1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aemiáról számoltak be atípusos antipszichotikumokkal kezelt betegeknél</w:t>
      </w:r>
      <w:r w:rsidR="004412AD" w:rsidRPr="00336525">
        <w:rPr>
          <w:sz w:val="22"/>
          <w:szCs w:val="22"/>
          <w:lang w:val="hu-HU"/>
        </w:rPr>
        <w:t>, beleértve az aripiprazolt</w:t>
      </w:r>
      <w:r w:rsidRPr="00336525">
        <w:rPr>
          <w:sz w:val="22"/>
          <w:szCs w:val="22"/>
          <w:lang w:val="hu-HU"/>
        </w:rPr>
        <w:t xml:space="preserve">. </w:t>
      </w:r>
      <w:r w:rsidR="009F741A" w:rsidRPr="00336525">
        <w:rPr>
          <w:sz w:val="22"/>
          <w:szCs w:val="22"/>
          <w:lang w:val="hu-HU"/>
        </w:rPr>
        <w:t xml:space="preserve">A </w:t>
      </w:r>
      <w:r w:rsidR="004412AD" w:rsidRPr="00336525">
        <w:rPr>
          <w:sz w:val="22"/>
          <w:szCs w:val="22"/>
          <w:lang w:val="hu-HU"/>
        </w:rPr>
        <w:t>súlyos komplikációkra hajlamosító rizikófaktorok köz</w:t>
      </w:r>
      <w:r w:rsidR="009F741A" w:rsidRPr="00336525">
        <w:rPr>
          <w:sz w:val="22"/>
          <w:szCs w:val="22"/>
          <w:lang w:val="hu-HU"/>
        </w:rPr>
        <w:t>öt</w:t>
      </w:r>
      <w:r w:rsidR="004412AD" w:rsidRPr="00336525">
        <w:rPr>
          <w:sz w:val="22"/>
          <w:szCs w:val="22"/>
          <w:lang w:val="hu-HU"/>
        </w:rPr>
        <w:t>t szerepel az elhízás és a családi anamnézisben előforduló cukorbetegség</w:t>
      </w:r>
      <w:r w:rsidRPr="00336525">
        <w:rPr>
          <w:sz w:val="22"/>
          <w:szCs w:val="22"/>
          <w:lang w:val="hu-HU"/>
        </w:rPr>
        <w:t>. Klinikai vizsgálatok során nem volt szignifikáns különbség az aripiprazollal kezelt és a placebocsoport között a hypergly</w:t>
      </w:r>
      <w:r w:rsidR="008230FD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 xml:space="preserve">aemiával </w:t>
      </w:r>
      <w:r w:rsidR="008230FD" w:rsidRPr="00336525">
        <w:rPr>
          <w:sz w:val="22"/>
          <w:szCs w:val="22"/>
          <w:lang w:val="hu-HU"/>
        </w:rPr>
        <w:t>összefüggésbe hozható</w:t>
      </w:r>
      <w:r w:rsidRPr="00336525">
        <w:rPr>
          <w:sz w:val="22"/>
          <w:szCs w:val="22"/>
          <w:lang w:val="hu-HU"/>
        </w:rPr>
        <w:t xml:space="preserve"> mellékhatások (</w:t>
      </w:r>
      <w:r w:rsidR="008230FD" w:rsidRPr="00336525">
        <w:rPr>
          <w:sz w:val="22"/>
          <w:szCs w:val="22"/>
          <w:lang w:val="hu-HU"/>
        </w:rPr>
        <w:t>beleértve a diabetest is</w:t>
      </w:r>
      <w:r w:rsidRPr="00336525">
        <w:rPr>
          <w:sz w:val="22"/>
          <w:szCs w:val="22"/>
          <w:lang w:val="hu-HU"/>
        </w:rPr>
        <w:t>), vagy a kóros laboratóriumi vércukorértékek előfordulási gyakoriság</w:t>
      </w:r>
      <w:r w:rsidR="008230FD" w:rsidRPr="00336525">
        <w:rPr>
          <w:sz w:val="22"/>
          <w:szCs w:val="22"/>
          <w:lang w:val="hu-HU"/>
        </w:rPr>
        <w:t>át tekintve</w:t>
      </w:r>
      <w:r w:rsidRPr="00336525">
        <w:rPr>
          <w:sz w:val="22"/>
          <w:szCs w:val="22"/>
          <w:lang w:val="hu-HU"/>
        </w:rPr>
        <w:t xml:space="preserve">. </w:t>
      </w:r>
      <w:r w:rsidR="008230FD" w:rsidRPr="00336525">
        <w:rPr>
          <w:sz w:val="22"/>
          <w:szCs w:val="22"/>
          <w:lang w:val="hu-HU"/>
        </w:rPr>
        <w:t xml:space="preserve">A hyperglykaemiával összefüggésbe hozható mellékhatások kockázatát illetőleg nincsenek pontos összehasonlító elemzések az </w:t>
      </w:r>
      <w:r w:rsidR="00C00FD0" w:rsidRPr="00336525">
        <w:rPr>
          <w:sz w:val="22"/>
          <w:szCs w:val="22"/>
          <w:lang w:val="hu-HU"/>
        </w:rPr>
        <w:t>Asduter</w:t>
      </w:r>
      <w:r w:rsidR="008230FD" w:rsidRPr="00336525">
        <w:rPr>
          <w:sz w:val="22"/>
          <w:szCs w:val="22"/>
          <w:lang w:val="hu-HU"/>
        </w:rPr>
        <w:t xml:space="preserve"> és más atípusos antipszichotikumokra vonatkozóan. Ha egy beteget bármely antipszichotikummal (beleértve az </w:t>
      </w:r>
      <w:r w:rsidR="009B1EC3" w:rsidRPr="00336525">
        <w:rPr>
          <w:sz w:val="22"/>
          <w:szCs w:val="22"/>
          <w:lang w:val="hu-HU"/>
        </w:rPr>
        <w:t>Asduter</w:t>
      </w:r>
      <w:r w:rsidR="008F4F48" w:rsidRPr="00336525">
        <w:rPr>
          <w:sz w:val="22"/>
          <w:szCs w:val="22"/>
          <w:lang w:val="hu-HU"/>
        </w:rPr>
        <w:t xml:space="preserve"> tablettá</w:t>
      </w:r>
      <w:r w:rsidR="008230FD" w:rsidRPr="00336525">
        <w:rPr>
          <w:sz w:val="22"/>
          <w:szCs w:val="22"/>
          <w:lang w:val="hu-HU"/>
        </w:rPr>
        <w:t>t is) kezelnek, gondos megfigyelés alatt kell tartani, hogy nem észlelhetők-e rajta a hyperglykaemia jelei és tünetei (pl. polydipsia, polyurea, polyphagia és gyengeség érzet). A már kialakult diabetes mellitus esetén</w:t>
      </w:r>
      <w:r w:rsidR="008230FD" w:rsidRPr="0017524C">
        <w:rPr>
          <w:sz w:val="22"/>
          <w:szCs w:val="22"/>
          <w:lang w:val="hu-HU"/>
        </w:rPr>
        <w:t xml:space="preserve">, </w:t>
      </w:r>
      <w:r w:rsidR="0017524C">
        <w:rPr>
          <w:sz w:val="22"/>
          <w:szCs w:val="22"/>
          <w:lang w:val="hu-HU"/>
        </w:rPr>
        <w:t>illetve,</w:t>
      </w:r>
      <w:r w:rsidR="0017524C" w:rsidRPr="0017524C">
        <w:rPr>
          <w:sz w:val="22"/>
          <w:szCs w:val="22"/>
          <w:lang w:val="hu-HU"/>
        </w:rPr>
        <w:t xml:space="preserve"> </w:t>
      </w:r>
      <w:r w:rsidR="008230FD" w:rsidRPr="0017524C">
        <w:rPr>
          <w:sz w:val="22"/>
          <w:szCs w:val="22"/>
          <w:lang w:val="hu-HU"/>
        </w:rPr>
        <w:t xml:space="preserve">ha nagy a </w:t>
      </w:r>
      <w:r w:rsidR="0017524C" w:rsidRPr="0017524C">
        <w:rPr>
          <w:sz w:val="22"/>
          <w:szCs w:val="22"/>
          <w:lang w:val="hu-HU"/>
        </w:rPr>
        <w:t xml:space="preserve">cukorbetegség kialakulásának </w:t>
      </w:r>
      <w:r w:rsidR="008230FD" w:rsidRPr="0017524C">
        <w:rPr>
          <w:sz w:val="22"/>
          <w:szCs w:val="22"/>
          <w:lang w:val="hu-HU"/>
        </w:rPr>
        <w:t>kockázata, rendszeresen ellenőrizni kell,</w:t>
      </w:r>
      <w:r w:rsidR="008230FD" w:rsidRPr="00336525">
        <w:rPr>
          <w:sz w:val="22"/>
          <w:szCs w:val="22"/>
          <w:lang w:val="hu-HU"/>
        </w:rPr>
        <w:t xml:space="preserve"> hogy nem romlott-e a vércukorszint-kontroll</w:t>
      </w:r>
      <w:r w:rsidR="00A02825">
        <w:rPr>
          <w:sz w:val="22"/>
          <w:szCs w:val="22"/>
          <w:lang w:val="hu-HU"/>
        </w:rPr>
        <w:t xml:space="preserve"> </w:t>
      </w:r>
      <w:r w:rsidR="00A02825" w:rsidRPr="00A03E58">
        <w:rPr>
          <w:sz w:val="22"/>
          <w:szCs w:val="22"/>
          <w:lang w:val="hu-HU"/>
        </w:rPr>
        <w:t>(lásd 4.8 pont)</w:t>
      </w:r>
      <w:r w:rsidR="009F741A" w:rsidRPr="00336525">
        <w:rPr>
          <w:sz w:val="22"/>
          <w:szCs w:val="22"/>
          <w:lang w:val="hu-HU"/>
        </w:rPr>
        <w:t>.</w:t>
      </w:r>
    </w:p>
    <w:p w14:paraId="2983E63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4227589" w14:textId="77777777" w:rsidR="00A02825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Túlérzékenység</w:t>
      </w:r>
    </w:p>
    <w:p w14:paraId="7903E826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EE02C7" w14:textId="16A897F5" w:rsidR="0029197E" w:rsidRPr="003365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rStyle w:val="Szvegtrzs1"/>
          <w:color w:val="auto"/>
          <w:sz w:val="22"/>
          <w:szCs w:val="22"/>
          <w:u w:val="none"/>
        </w:rPr>
        <w:t>Az</w:t>
      </w:r>
      <w:r w:rsidR="0029197E" w:rsidRPr="00336525">
        <w:rPr>
          <w:sz w:val="22"/>
          <w:szCs w:val="22"/>
          <w:lang w:val="hu-HU"/>
        </w:rPr>
        <w:t xml:space="preserve"> aripiprazol alkalmazásakor előfordulhatnak allergiás tünetekben megnyilvánuló túlérzékenységi reakciók (lásd 4.8</w:t>
      </w:r>
      <w:r w:rsidR="009B1EC3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36ED414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EDB7A7" w14:textId="77777777" w:rsidR="00A02825" w:rsidRPr="00A03E58" w:rsidRDefault="007E4E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u w:val="single"/>
        </w:rPr>
      </w:pPr>
      <w:r w:rsidRPr="00A03E58">
        <w:rPr>
          <w:rStyle w:val="Szvegtrzs1"/>
          <w:color w:val="auto"/>
          <w:sz w:val="22"/>
          <w:szCs w:val="22"/>
        </w:rPr>
        <w:t>Testtömeg-növekedés</w:t>
      </w:r>
    </w:p>
    <w:p w14:paraId="28AB555D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</w:pPr>
    </w:p>
    <w:p w14:paraId="4FF6A681" w14:textId="5408F0A4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Schizophréniás és bipoláris mániás </w:t>
      </w:r>
      <w:r w:rsidRPr="0017524C">
        <w:rPr>
          <w:sz w:val="22"/>
          <w:szCs w:val="22"/>
          <w:lang w:val="hu-HU"/>
        </w:rPr>
        <w:t>betegek</w:t>
      </w:r>
      <w:r w:rsidR="000021B1" w:rsidRPr="0017524C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</w:t>
      </w:r>
      <w:r w:rsidR="00173A17" w:rsidRPr="00336525">
        <w:rPr>
          <w:sz w:val="22"/>
          <w:szCs w:val="22"/>
          <w:lang w:val="hu-HU"/>
        </w:rPr>
        <w:t xml:space="preserve">társbetegségeknek </w:t>
      </w:r>
      <w:r w:rsidRPr="00336525">
        <w:rPr>
          <w:sz w:val="22"/>
          <w:szCs w:val="22"/>
          <w:lang w:val="hu-HU"/>
        </w:rPr>
        <w:t xml:space="preserve">köszönhetően, az antipszichotikumok ismert hatásaként, és a nem megfelelő életmód következtében gyakran észlelhető súlygyarapodás, amely súlyos szövődményekhez vezethet. A forgalomba hozatalt követően az </w:t>
      </w:r>
      <w:r w:rsidR="007E4E7E" w:rsidRPr="00336525">
        <w:rPr>
          <w:sz w:val="22"/>
          <w:szCs w:val="22"/>
          <w:lang w:val="hu-HU"/>
        </w:rPr>
        <w:t>aripiprazollal</w:t>
      </w:r>
      <w:r w:rsidR="006B1EBF">
        <w:rPr>
          <w:sz w:val="22"/>
          <w:szCs w:val="22"/>
          <w:lang w:val="hu-HU"/>
        </w:rPr>
        <w:t xml:space="preserve"> kezelt betegeknél</w:t>
      </w:r>
      <w:r w:rsidRPr="00336525">
        <w:rPr>
          <w:sz w:val="22"/>
          <w:szCs w:val="22"/>
          <w:lang w:val="hu-HU"/>
        </w:rPr>
        <w:t xml:space="preserve"> is beszámoltak </w:t>
      </w:r>
      <w:r w:rsidR="007E4E7E" w:rsidRPr="00336525">
        <w:rPr>
          <w:sz w:val="22"/>
          <w:szCs w:val="22"/>
          <w:lang w:val="hu-HU"/>
        </w:rPr>
        <w:t>testtömeg-növekedés</w:t>
      </w:r>
      <w:r w:rsidRPr="00336525">
        <w:rPr>
          <w:sz w:val="22"/>
          <w:szCs w:val="22"/>
          <w:lang w:val="hu-HU"/>
        </w:rPr>
        <w:t>r</w:t>
      </w:r>
      <w:r w:rsidR="007E4E7E" w:rsidRPr="00336525">
        <w:rPr>
          <w:sz w:val="22"/>
          <w:szCs w:val="22"/>
          <w:lang w:val="hu-HU"/>
        </w:rPr>
        <w:t>ő</w:t>
      </w:r>
      <w:r w:rsidRPr="00336525">
        <w:rPr>
          <w:sz w:val="22"/>
          <w:szCs w:val="22"/>
          <w:lang w:val="hu-HU"/>
        </w:rPr>
        <w:t>l. Ha ez előfordul</w:t>
      </w:r>
      <w:r w:rsidR="007E4E7E" w:rsidRPr="00336525">
        <w:rPr>
          <w:sz w:val="22"/>
          <w:szCs w:val="22"/>
          <w:lang w:val="hu-HU"/>
        </w:rPr>
        <w:t>t</w:t>
      </w:r>
      <w:r w:rsidRPr="00336525">
        <w:rPr>
          <w:sz w:val="22"/>
          <w:szCs w:val="22"/>
          <w:lang w:val="hu-HU"/>
        </w:rPr>
        <w:t xml:space="preserve">, akkor általában jelentős rizikófaktorokkal (pl. </w:t>
      </w:r>
      <w:r w:rsidRPr="0017524C">
        <w:rPr>
          <w:sz w:val="22"/>
          <w:szCs w:val="22"/>
          <w:lang w:val="hu-HU"/>
        </w:rPr>
        <w:t>diabetes</w:t>
      </w:r>
      <w:r w:rsidR="0017524C">
        <w:rPr>
          <w:sz w:val="22"/>
          <w:szCs w:val="22"/>
          <w:lang w:val="hu-HU"/>
        </w:rPr>
        <w:t>es</w:t>
      </w:r>
      <w:r w:rsidRPr="00336525">
        <w:rPr>
          <w:sz w:val="22"/>
          <w:szCs w:val="22"/>
          <w:lang w:val="hu-HU"/>
        </w:rPr>
        <w:t xml:space="preserve"> </w:t>
      </w:r>
      <w:r w:rsidR="00A02825">
        <w:rPr>
          <w:sz w:val="22"/>
          <w:szCs w:val="22"/>
          <w:lang w:val="hu-HU"/>
        </w:rPr>
        <w:t>anamnesis</w:t>
      </w:r>
      <w:r w:rsidRPr="00336525">
        <w:rPr>
          <w:sz w:val="22"/>
          <w:szCs w:val="22"/>
          <w:lang w:val="hu-HU"/>
        </w:rPr>
        <w:t xml:space="preserve">, pajzsmirigybetegség, hypophysis adenoma) terhelt betegeken </w:t>
      </w:r>
      <w:r w:rsidR="007E4E7E" w:rsidRPr="00336525">
        <w:rPr>
          <w:sz w:val="22"/>
          <w:szCs w:val="22"/>
          <w:lang w:val="hu-HU"/>
        </w:rPr>
        <w:t xml:space="preserve">volt </w:t>
      </w:r>
      <w:r w:rsidRPr="00336525">
        <w:rPr>
          <w:sz w:val="22"/>
          <w:szCs w:val="22"/>
          <w:lang w:val="hu-HU"/>
        </w:rPr>
        <w:t xml:space="preserve">észlelhető. </w:t>
      </w:r>
      <w:r w:rsidR="007E4E7E" w:rsidRPr="00336525">
        <w:rPr>
          <w:sz w:val="22"/>
          <w:szCs w:val="22"/>
          <w:lang w:val="hu-HU"/>
        </w:rPr>
        <w:t>A klinikai vizsgálatok során az aripiprazol nem okozott klinikailag jelentős testtömeg-növekedést felnőtteknél (lásd 5.1</w:t>
      </w:r>
      <w:r w:rsidR="009B1EC3" w:rsidRPr="00336525">
        <w:rPr>
          <w:sz w:val="22"/>
          <w:szCs w:val="22"/>
          <w:lang w:val="hu-HU"/>
        </w:rPr>
        <w:t> </w:t>
      </w:r>
      <w:r w:rsidR="007E4E7E" w:rsidRPr="00336525">
        <w:rPr>
          <w:sz w:val="22"/>
          <w:szCs w:val="22"/>
          <w:lang w:val="hu-HU"/>
        </w:rPr>
        <w:t xml:space="preserve">pont). A bipoláris </w:t>
      </w:r>
      <w:r w:rsidR="007E4E7E" w:rsidRPr="0017524C">
        <w:rPr>
          <w:sz w:val="22"/>
          <w:szCs w:val="22"/>
          <w:lang w:val="hu-HU"/>
        </w:rPr>
        <w:t>mániában</w:t>
      </w:r>
      <w:r w:rsidR="007E4E7E" w:rsidRPr="00336525">
        <w:rPr>
          <w:sz w:val="22"/>
          <w:szCs w:val="22"/>
          <w:lang w:val="hu-HU"/>
        </w:rPr>
        <w:t xml:space="preserve"> szenvedő serdülőkorú betegekkel végzett klinikai vizsgálatokban kimutatták, hogy az aripiprazol 4</w:t>
      </w:r>
      <w:r w:rsidR="009B1EC3" w:rsidRPr="00336525">
        <w:rPr>
          <w:sz w:val="22"/>
          <w:szCs w:val="22"/>
          <w:lang w:val="hu-HU"/>
        </w:rPr>
        <w:t> </w:t>
      </w:r>
      <w:r w:rsidR="007E4E7E" w:rsidRPr="00336525">
        <w:rPr>
          <w:sz w:val="22"/>
          <w:szCs w:val="22"/>
          <w:lang w:val="hu-HU"/>
        </w:rPr>
        <w:t xml:space="preserve">hetes kezelés után testtömeg-növekedéssel járt. Bipoláris </w:t>
      </w:r>
      <w:r w:rsidR="007E4E7E" w:rsidRPr="0017524C">
        <w:rPr>
          <w:sz w:val="22"/>
          <w:szCs w:val="22"/>
          <w:lang w:val="hu-HU"/>
        </w:rPr>
        <w:t>mániában</w:t>
      </w:r>
      <w:r w:rsidR="007E4E7E" w:rsidRPr="00336525">
        <w:rPr>
          <w:sz w:val="22"/>
          <w:szCs w:val="22"/>
          <w:lang w:val="hu-HU"/>
        </w:rPr>
        <w:t xml:space="preserve"> szenvedő serdülőkorú betegeknél a testtömeg-növekedést monitorozni kell. Klinikailag jelentős testtömeg-növekedés esetén az adag csökkentése mérlegelendő (lásd 4.8</w:t>
      </w:r>
      <w:r w:rsidR="009B1EC3" w:rsidRPr="00336525">
        <w:rPr>
          <w:sz w:val="22"/>
          <w:szCs w:val="22"/>
          <w:lang w:val="hu-HU"/>
        </w:rPr>
        <w:t> </w:t>
      </w:r>
      <w:r w:rsidR="007E4E7E" w:rsidRPr="00336525">
        <w:rPr>
          <w:sz w:val="22"/>
          <w:szCs w:val="22"/>
          <w:lang w:val="hu-HU"/>
        </w:rPr>
        <w:t>pont).</w:t>
      </w:r>
    </w:p>
    <w:p w14:paraId="445E74E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6B7E482" w14:textId="77777777" w:rsidR="00A02825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Dysphagia</w:t>
      </w:r>
    </w:p>
    <w:p w14:paraId="07C65594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ECDB61A" w14:textId="2DCF58BD" w:rsidR="0029197E" w:rsidRPr="00336525" w:rsidRDefault="007E4E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antipszichotikus kezelés – az aripiprazolt is beleértve – elégtelen nyelőcsőmotilitással és aspirációval járt. Az </w:t>
      </w:r>
      <w:r w:rsidR="00C00FD0" w:rsidRPr="00336525">
        <w:rPr>
          <w:sz w:val="22"/>
          <w:szCs w:val="22"/>
          <w:lang w:val="hu-HU"/>
        </w:rPr>
        <w:t>Asduter</w:t>
      </w:r>
      <w:r w:rsidR="007D4658">
        <w:rPr>
          <w:sz w:val="22"/>
          <w:szCs w:val="22"/>
          <w:lang w:val="hu-HU"/>
        </w:rPr>
        <w:noBreakHyphen/>
        <w:t>t</w:t>
      </w:r>
      <w:r w:rsidRPr="00336525">
        <w:rPr>
          <w:sz w:val="22"/>
          <w:szCs w:val="22"/>
          <w:lang w:val="hu-HU"/>
        </w:rPr>
        <w:t xml:space="preserve"> óvatosan kell alkalmazni azon betegek esetében akiknél fennáll az aspirációs tüdőgyulladás veszélye</w:t>
      </w:r>
      <w:r w:rsidR="0029197E" w:rsidRPr="00336525">
        <w:rPr>
          <w:sz w:val="22"/>
          <w:szCs w:val="22"/>
          <w:lang w:val="hu-HU"/>
        </w:rPr>
        <w:t>.</w:t>
      </w:r>
    </w:p>
    <w:p w14:paraId="14CFEB2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077CD345" w14:textId="101D740E" w:rsidR="007D4658" w:rsidRPr="00A03E58" w:rsidRDefault="00BE6AC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BE6AC4">
        <w:rPr>
          <w:rStyle w:val="Szvegtrzs1"/>
          <w:color w:val="auto"/>
          <w:sz w:val="22"/>
          <w:szCs w:val="22"/>
        </w:rPr>
        <w:t>Szerencsejáték-betegség</w:t>
      </w:r>
      <w:r w:rsidR="007D4658">
        <w:rPr>
          <w:rStyle w:val="Szvegtrzs1"/>
          <w:color w:val="auto"/>
          <w:sz w:val="22"/>
          <w:szCs w:val="22"/>
        </w:rPr>
        <w:t xml:space="preserve"> és</w:t>
      </w:r>
      <w:r w:rsidR="007D4658" w:rsidRPr="007D4658">
        <w:t xml:space="preserve"> </w:t>
      </w:r>
      <w:r w:rsidR="007D4658" w:rsidRPr="007D4658">
        <w:rPr>
          <w:rStyle w:val="Szvegtrzs1"/>
          <w:color w:val="auto"/>
          <w:sz w:val="22"/>
          <w:szCs w:val="22"/>
        </w:rPr>
        <w:t>egyéb impulzuskontroll-zavarok</w:t>
      </w:r>
    </w:p>
    <w:p w14:paraId="5AC1B5F6" w14:textId="77777777" w:rsidR="007D4658" w:rsidRDefault="007D465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46E8B89" w14:textId="068C0EC6" w:rsidR="007D4658" w:rsidRPr="00733E08" w:rsidRDefault="007D4658" w:rsidP="007D4658">
      <w:pPr>
        <w:widowControl/>
        <w:rPr>
          <w:szCs w:val="22"/>
        </w:rPr>
      </w:pPr>
      <w:r w:rsidRPr="00733E08">
        <w:rPr>
          <w:szCs w:val="22"/>
        </w:rPr>
        <w:t>Az aripiprazol-kezelés alatt a betegeknél fokozódhatnak a kényszerek, különösen a játékszenvedély, és előfordulhat, hogy a betegek nem képesek kontrollálni ezeket a kényszereket. Beszámoltak egyéb kényszeres viselkedésekről is, például: fokozott szexuális kényszer, kényszeres vásárlás, falási rohamok vagy kényszeres evés, valamint egyéb impulzív-kompulzív viselkedések. Fontos, hogy az aripiprazol-kezelés ideje alatt a gyógyszert felíró orvos a betegeknél vagy a gondjukat viselő személyeknél konkrétan rákérdezzen a játékszenvedély, szexuális kényszerek, kényszeres vásárlás, falási rohamok vagy kényszeres evés, valamint egyéb kényszerek esetleges kialakulására vagy fokozódására. Megjegyzendő, hogy az impulzuskontroll-zavarok tünetei összefügghetnek az alapbetegséggel is; néhány esetben azonban arról számoltak be, hogy a kényszerek megszűntek a gyógyszer adagjának csökkentése vagy a gyógyszer leállítása után. Ha az impulzuskontroll-zavarokat nem ismerik fel, azok a betegre és másokra nézve káros következményekkel járhatnak. Meg kell fontolni az adag csökkentését vagy a gyógyszer leállítását, ha a betegnél ilyen kényszerek alakulnak ki az aripiprazol-kezelés alatt (lásd 4.8 pont).</w:t>
      </w:r>
    </w:p>
    <w:p w14:paraId="2FEBF990" w14:textId="230FF4A4" w:rsidR="00871AD2" w:rsidRDefault="00871AD2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D1C748" w14:textId="77777777" w:rsidR="007D4658" w:rsidRPr="00FC52E1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A03E58">
        <w:rPr>
          <w:rStyle w:val="Szvegtrzs1"/>
          <w:color w:val="auto"/>
          <w:sz w:val="22"/>
          <w:szCs w:val="22"/>
        </w:rPr>
        <w:t>Laktóz</w:t>
      </w:r>
    </w:p>
    <w:p w14:paraId="2CD6D0F3" w14:textId="77777777" w:rsidR="007D4658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481AD22B" w14:textId="77777777" w:rsidR="007D4658" w:rsidRPr="00336525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Asduter tabletta laktózt tartalmaz. Ritkán előforduló, örökletes galaktóz-intoleranciában, laktóz-intoleranciában vagy glükóz-galaktóz malabszorpcióban a készítmény nem szedhető.</w:t>
      </w:r>
    </w:p>
    <w:p w14:paraId="47FD97EF" w14:textId="77777777" w:rsidR="007D4658" w:rsidRPr="00336525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6BA7D45" w14:textId="77777777" w:rsidR="007D4658" w:rsidRPr="0018733D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>
        <w:rPr>
          <w:rStyle w:val="Szvegtrzs1"/>
          <w:color w:val="auto"/>
          <w:sz w:val="22"/>
          <w:szCs w:val="22"/>
        </w:rPr>
        <w:t>F</w:t>
      </w:r>
      <w:r w:rsidRPr="007D4658">
        <w:rPr>
          <w:rStyle w:val="Szvegtrzs1"/>
          <w:color w:val="auto"/>
          <w:sz w:val="22"/>
          <w:szCs w:val="22"/>
        </w:rPr>
        <w:t>igyelemhiányos hiperaktivitás zavar</w:t>
      </w:r>
      <w:r>
        <w:rPr>
          <w:rStyle w:val="Szvegtrzs1"/>
          <w:color w:val="auto"/>
          <w:sz w:val="22"/>
          <w:szCs w:val="22"/>
        </w:rPr>
        <w:t xml:space="preserve"> (</w:t>
      </w:r>
      <w:r w:rsidRPr="00A03E58">
        <w:rPr>
          <w:rStyle w:val="Szvegtrzs1"/>
          <w:color w:val="auto"/>
          <w:sz w:val="22"/>
          <w:szCs w:val="22"/>
        </w:rPr>
        <w:t>ADHD</w:t>
      </w:r>
      <w:r>
        <w:rPr>
          <w:rStyle w:val="Szvegtrzs1"/>
          <w:color w:val="auto"/>
          <w:sz w:val="22"/>
          <w:szCs w:val="22"/>
        </w:rPr>
        <w:t>)</w:t>
      </w:r>
      <w:r w:rsidRPr="00A03E58">
        <w:rPr>
          <w:rStyle w:val="Szvegtrzs1"/>
          <w:color w:val="auto"/>
          <w:sz w:val="22"/>
          <w:szCs w:val="22"/>
        </w:rPr>
        <w:t xml:space="preserve"> kísérőbetegségben szenvedő betegek</w:t>
      </w:r>
    </w:p>
    <w:p w14:paraId="1B64AAEB" w14:textId="77777777" w:rsidR="007D4658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7FFDAD98" w14:textId="77777777" w:rsidR="007D4658" w:rsidRPr="00336525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bipoláris affektív zavar I-es típusának és az ADHD</w:t>
      </w:r>
      <w:r w:rsidR="00CC4BE1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nak magas komorbiditási gyakorisága ellenére nagyon korlátozott mennyiségű adat áll rendelkezésre az aripiprazol és a stimulánsok egyidejű alkalmazásával kapcsolatban. Ezért ezen gyógyszerek egyidejű alkalmazásakor fokozott elővigyázatosság szükséges.</w:t>
      </w:r>
    </w:p>
    <w:p w14:paraId="41F99136" w14:textId="77777777" w:rsidR="00507F57" w:rsidRDefault="00507F57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E449B29" w14:textId="77777777" w:rsidR="00FC52E1" w:rsidRPr="00A03E58" w:rsidRDefault="00507F57" w:rsidP="00507F57">
      <w:pPr>
        <w:widowControl/>
        <w:rPr>
          <w:rFonts w:eastAsia="Times New Roman" w:cs="Times New Roman"/>
          <w:color w:val="auto"/>
          <w:szCs w:val="22"/>
          <w:u w:val="single"/>
          <w:lang w:eastAsia="pl-PL"/>
        </w:rPr>
      </w:pPr>
      <w:r w:rsidRPr="00A03E58">
        <w:rPr>
          <w:rFonts w:eastAsia="Times New Roman" w:cs="Times New Roman"/>
          <w:color w:val="auto"/>
          <w:szCs w:val="22"/>
          <w:u w:val="single"/>
          <w:lang w:eastAsia="pl-PL"/>
        </w:rPr>
        <w:t>Elesés</w:t>
      </w:r>
    </w:p>
    <w:p w14:paraId="490145DE" w14:textId="77777777" w:rsidR="00CC4BE1" w:rsidRDefault="00CC4BE1" w:rsidP="00507F57">
      <w:pPr>
        <w:widowControl/>
        <w:rPr>
          <w:rFonts w:eastAsia="Times New Roman" w:cs="Times New Roman"/>
          <w:color w:val="auto"/>
          <w:szCs w:val="22"/>
          <w:lang w:eastAsia="pl-PL"/>
        </w:rPr>
      </w:pPr>
    </w:p>
    <w:p w14:paraId="50E2248C" w14:textId="68BA854E" w:rsidR="00507F57" w:rsidRPr="00507F57" w:rsidRDefault="00FC52E1" w:rsidP="00507F57">
      <w:pPr>
        <w:widowControl/>
        <w:rPr>
          <w:rFonts w:eastAsia="Times New Roman" w:cs="Times New Roman"/>
          <w:color w:val="auto"/>
          <w:szCs w:val="22"/>
          <w:lang w:eastAsia="pl-PL" w:bidi="ar-SA"/>
        </w:rPr>
      </w:pPr>
      <w:r>
        <w:rPr>
          <w:rFonts w:eastAsia="Times New Roman" w:cs="Times New Roman"/>
          <w:color w:val="auto"/>
          <w:szCs w:val="22"/>
          <w:lang w:eastAsia="pl-PL"/>
        </w:rPr>
        <w:t>A</w:t>
      </w:r>
      <w:r w:rsidR="00507F57" w:rsidRPr="00507F57">
        <w:rPr>
          <w:rFonts w:eastAsia="Times New Roman" w:cs="Times New Roman"/>
          <w:color w:val="auto"/>
          <w:szCs w:val="22"/>
          <w:lang w:eastAsia="pl-PL"/>
        </w:rPr>
        <w:t xml:space="preserve">z </w:t>
      </w:r>
      <w:r w:rsidRPr="0017524C">
        <w:rPr>
          <w:rFonts w:eastAsia="Times New Roman" w:cs="Times New Roman"/>
          <w:color w:val="auto"/>
          <w:szCs w:val="22"/>
          <w:lang w:eastAsia="pl-PL"/>
        </w:rPr>
        <w:t>Asduter</w:t>
      </w:r>
      <w:r w:rsidRPr="00507F57">
        <w:rPr>
          <w:rFonts w:eastAsia="Times New Roman" w:cs="Times New Roman"/>
          <w:color w:val="auto"/>
          <w:szCs w:val="22"/>
          <w:lang w:eastAsia="pl-PL"/>
        </w:rPr>
        <w:t xml:space="preserve"> </w:t>
      </w:r>
      <w:r w:rsidR="00507F57" w:rsidRPr="00507F57">
        <w:rPr>
          <w:rFonts w:eastAsia="Times New Roman" w:cs="Times New Roman"/>
          <w:color w:val="auto"/>
          <w:szCs w:val="22"/>
          <w:lang w:eastAsia="pl-PL"/>
        </w:rPr>
        <w:t>szomnolenciát, poszturális hipotóniát, motoros és szenzoros instabilitást idézhet elő, amely eleséshez vezethet. Óvatosan kell eljárni a fokozott kockázatnak kitett betegek kezelésekor, és meg kell fontolni alacsonyabb kezdő adag alkalmazását (pl. idős vagy legyengült betegeknél; lásd 4.2</w:t>
      </w:r>
      <w:r>
        <w:rPr>
          <w:rFonts w:eastAsia="Times New Roman" w:cs="Times New Roman"/>
          <w:color w:val="auto"/>
          <w:szCs w:val="22"/>
          <w:lang w:eastAsia="pl-PL"/>
        </w:rPr>
        <w:t> </w:t>
      </w:r>
      <w:r w:rsidR="00507F57" w:rsidRPr="00507F57">
        <w:rPr>
          <w:rFonts w:eastAsia="Times New Roman" w:cs="Times New Roman"/>
          <w:color w:val="auto"/>
          <w:szCs w:val="22"/>
          <w:lang w:eastAsia="pl-PL"/>
        </w:rPr>
        <w:t>pont).</w:t>
      </w:r>
    </w:p>
    <w:p w14:paraId="0EA0F2F8" w14:textId="77777777" w:rsidR="00FE279F" w:rsidRPr="00336525" w:rsidRDefault="00FE279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E9AA4E6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8" w:name="bookmark8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4.5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Gyógyszerkölcsönhatások és egyéb interakciók</w:t>
      </w:r>
    </w:p>
    <w:bookmarkEnd w:id="8"/>
    <w:p w14:paraId="3DB506E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4D60BB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aripiprazol </w:t>
      </w:r>
      <w:r w:rsidR="00B052B1" w:rsidRPr="00336525">
        <w:rPr>
          <w:sz w:val="22"/>
          <w:szCs w:val="22"/>
          <w:lang w:val="hu-HU"/>
        </w:rPr>
        <w:t>alfa</w:t>
      </w:r>
      <w:r w:rsidRPr="00336525">
        <w:rPr>
          <w:rStyle w:val="Bodytext5pt"/>
          <w:color w:val="auto"/>
          <w:sz w:val="22"/>
          <w:szCs w:val="22"/>
          <w:vertAlign w:val="subscript"/>
        </w:rPr>
        <w:t>1</w:t>
      </w:r>
      <w:r w:rsidRPr="00336525">
        <w:rPr>
          <w:sz w:val="22"/>
          <w:szCs w:val="22"/>
          <w:lang w:val="hu-HU"/>
        </w:rPr>
        <w:t>-adrenerg receptor antagonista hatása miatt fokozhatja bizonyos vérnyomáscsökkentő gyógyszerek hatását.</w:t>
      </w:r>
    </w:p>
    <w:p w14:paraId="028BDF0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AF87CFE" w14:textId="241C52F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elsődleges központi idegrendszeri hatásai miatt körültekintés szükséges, ha az aripiprazolt alkohollal vagy olyan egyéb központi idegrendszerre ható gyógyszerekkel alkalmazzák együtt, amelyek mellékhatás</w:t>
      </w:r>
      <w:r w:rsidR="00372325" w:rsidRPr="00336525">
        <w:rPr>
          <w:sz w:val="22"/>
          <w:szCs w:val="22"/>
          <w:lang w:val="hu-HU"/>
        </w:rPr>
        <w:t>profiljában</w:t>
      </w:r>
      <w:r w:rsidR="00127EF8" w:rsidRPr="00336525">
        <w:rPr>
          <w:sz w:val="22"/>
          <w:szCs w:val="22"/>
          <w:lang w:val="hu-HU"/>
        </w:rPr>
        <w:t xml:space="preserve"> átfedés van</w:t>
      </w:r>
      <w:r w:rsidRPr="00336525">
        <w:rPr>
          <w:sz w:val="22"/>
          <w:szCs w:val="22"/>
          <w:lang w:val="hu-HU"/>
        </w:rPr>
        <w:t xml:space="preserve"> </w:t>
      </w:r>
      <w:r w:rsidRPr="0017524C">
        <w:rPr>
          <w:sz w:val="22"/>
          <w:szCs w:val="22"/>
          <w:lang w:val="hu-HU"/>
        </w:rPr>
        <w:t>(pl. a szedáció)</w:t>
      </w:r>
      <w:r w:rsidR="004D2CEC" w:rsidRPr="0017524C">
        <w:rPr>
          <w:sz w:val="22"/>
          <w:szCs w:val="22"/>
          <w:lang w:val="hu-HU"/>
        </w:rPr>
        <w:t xml:space="preserve"> (lásd 4.8 pont)</w:t>
      </w:r>
      <w:r w:rsidR="00CC4BE1" w:rsidRPr="0017524C">
        <w:rPr>
          <w:sz w:val="22"/>
          <w:szCs w:val="22"/>
          <w:lang w:val="hu-HU"/>
        </w:rPr>
        <w:t>.</w:t>
      </w:r>
    </w:p>
    <w:p w14:paraId="39DFE78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DC1186D" w14:textId="77777777" w:rsidR="00372325" w:rsidRPr="00336525" w:rsidRDefault="003723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Fokozott óvatosság szükséges, ha aripiprazolt olyan gyógyszerekkel együtt alkalmaznak, melyekről köztudott, hogy QT</w:t>
      </w:r>
      <w:r w:rsidR="00B052B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megnyúlást, vagy elektrolitegyensúly-zavart okoznak.</w:t>
      </w:r>
      <w:r w:rsidRPr="00336525" w:rsidDel="00372325">
        <w:rPr>
          <w:sz w:val="22"/>
          <w:szCs w:val="22"/>
          <w:lang w:val="hu-HU"/>
        </w:rPr>
        <w:t xml:space="preserve"> </w:t>
      </w:r>
    </w:p>
    <w:p w14:paraId="53D3024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10A970F" w14:textId="77777777" w:rsidR="0029197E" w:rsidRPr="00336525" w:rsidRDefault="004C5A7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 xml:space="preserve">Egyéb gyógyszerek, amelyek befolyásolják az </w:t>
      </w:r>
      <w:r w:rsidR="004D2CEC" w:rsidRPr="00336525">
        <w:rPr>
          <w:sz w:val="22"/>
          <w:szCs w:val="22"/>
          <w:u w:val="single"/>
          <w:lang w:val="hu-HU"/>
        </w:rPr>
        <w:t>Asduter</w:t>
      </w:r>
      <w:r w:rsidR="0029197E" w:rsidRPr="00336525">
        <w:rPr>
          <w:rStyle w:val="Szvegtrzs1"/>
          <w:color w:val="auto"/>
          <w:sz w:val="22"/>
          <w:szCs w:val="22"/>
        </w:rPr>
        <w:t xml:space="preserve"> hatás</w:t>
      </w:r>
      <w:r w:rsidRPr="00336525">
        <w:rPr>
          <w:rStyle w:val="Szvegtrzs1"/>
          <w:color w:val="auto"/>
          <w:sz w:val="22"/>
          <w:szCs w:val="22"/>
        </w:rPr>
        <w:t>át</w:t>
      </w:r>
    </w:p>
    <w:p w14:paraId="5C236960" w14:textId="6DA778F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gyomorsavszekréciót gátló, H</w:t>
      </w:r>
      <w:r w:rsidRPr="00336525">
        <w:rPr>
          <w:rStyle w:val="Bodytext5pt0"/>
          <w:color w:val="auto"/>
          <w:sz w:val="22"/>
          <w:szCs w:val="22"/>
          <w:vertAlign w:val="subscript"/>
        </w:rPr>
        <w:t>2</w:t>
      </w:r>
      <w:r w:rsidRPr="00336525">
        <w:rPr>
          <w:rStyle w:val="Bodytext5pt"/>
          <w:color w:val="auto"/>
          <w:sz w:val="22"/>
          <w:szCs w:val="22"/>
        </w:rPr>
        <w:t>-</w:t>
      </w:r>
      <w:r w:rsidRPr="00336525">
        <w:rPr>
          <w:sz w:val="22"/>
          <w:szCs w:val="22"/>
          <w:lang w:val="hu-HU"/>
        </w:rPr>
        <w:t xml:space="preserve">antagonista famotidin csökkenti az </w:t>
      </w:r>
      <w:r w:rsidR="00693A92" w:rsidRPr="00336525">
        <w:rPr>
          <w:sz w:val="22"/>
          <w:szCs w:val="22"/>
          <w:lang w:val="hu-HU"/>
        </w:rPr>
        <w:t>aripiprazol felszívódási sebességét, de ez a hatás klinikailag nem jelentős</w:t>
      </w:r>
      <w:r w:rsidRPr="00336525">
        <w:rPr>
          <w:sz w:val="22"/>
          <w:szCs w:val="22"/>
          <w:lang w:val="hu-HU"/>
        </w:rPr>
        <w:t>.</w:t>
      </w:r>
      <w:r w:rsidR="00FC52E1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Az aripiprazol többféle úton metabolizálódik, ezekben </w:t>
      </w:r>
      <w:r w:rsidR="00FC52E1" w:rsidRPr="0017524C">
        <w:rPr>
          <w:sz w:val="22"/>
          <w:szCs w:val="22"/>
          <w:lang w:val="hu-HU"/>
        </w:rPr>
        <w:t xml:space="preserve">a </w:t>
      </w:r>
      <w:r w:rsidRPr="0017524C">
        <w:rPr>
          <w:sz w:val="22"/>
          <w:szCs w:val="22"/>
          <w:lang w:val="hu-HU"/>
        </w:rPr>
        <w:t xml:space="preserve">CYP2D6 és </w:t>
      </w:r>
      <w:r w:rsidR="00FC52E1" w:rsidRPr="0017524C">
        <w:rPr>
          <w:sz w:val="22"/>
          <w:szCs w:val="22"/>
          <w:lang w:val="hu-HU"/>
        </w:rPr>
        <w:t xml:space="preserve">a </w:t>
      </w:r>
      <w:r w:rsidRPr="0017524C">
        <w:rPr>
          <w:sz w:val="22"/>
          <w:szCs w:val="22"/>
          <w:lang w:val="hu-HU"/>
        </w:rPr>
        <w:t>CYP3A4</w:t>
      </w:r>
      <w:r w:rsidRPr="00336525">
        <w:rPr>
          <w:sz w:val="22"/>
          <w:szCs w:val="22"/>
          <w:lang w:val="hu-HU"/>
        </w:rPr>
        <w:t xml:space="preserve"> enzimek közreműködnek, a CYP1A enzimek azonban nem. Ennek következtében dohány</w:t>
      </w:r>
      <w:r w:rsidR="00615707" w:rsidRPr="00336525">
        <w:rPr>
          <w:sz w:val="22"/>
          <w:szCs w:val="22"/>
          <w:lang w:val="hu-HU"/>
        </w:rPr>
        <w:t>zók</w:t>
      </w:r>
      <w:r w:rsidRPr="00336525">
        <w:rPr>
          <w:sz w:val="22"/>
          <w:szCs w:val="22"/>
          <w:lang w:val="hu-HU"/>
        </w:rPr>
        <w:t xml:space="preserve"> esetében nem szükséges a dózis módosítása.</w:t>
      </w:r>
    </w:p>
    <w:p w14:paraId="558E7F6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6B9C7F0" w14:textId="77777777" w:rsidR="0029197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Kinidin és más CYP2D6</w:t>
      </w:r>
      <w:r w:rsidR="00C00FD0" w:rsidRPr="00975921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inhibitorok</w:t>
      </w:r>
    </w:p>
    <w:p w14:paraId="30382D43" w14:textId="4CD86E27" w:rsidR="0029197E" w:rsidRPr="00336525" w:rsidRDefault="000041A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e</w:t>
      </w:r>
      <w:r w:rsidR="00615707" w:rsidRPr="00336525">
        <w:rPr>
          <w:sz w:val="22"/>
          <w:szCs w:val="22"/>
          <w:lang w:val="hu-HU"/>
        </w:rPr>
        <w:t>gészséges önkénteseken végzett klinikai vizsgálatban, egy erős CYP2D6</w:t>
      </w:r>
      <w:r w:rsidR="00C00FD0" w:rsidRPr="00336525">
        <w:rPr>
          <w:sz w:val="22"/>
          <w:szCs w:val="22"/>
          <w:lang w:val="hu-HU"/>
        </w:rPr>
        <w:noBreakHyphen/>
      </w:r>
      <w:r w:rsidR="00615707" w:rsidRPr="00336525">
        <w:rPr>
          <w:sz w:val="22"/>
          <w:szCs w:val="22"/>
          <w:lang w:val="hu-HU"/>
        </w:rPr>
        <w:t>inhibitor (kinidin) 107%</w:t>
      </w:r>
      <w:r w:rsidR="004D2CEC" w:rsidRPr="00336525">
        <w:rPr>
          <w:sz w:val="22"/>
          <w:szCs w:val="22"/>
          <w:lang w:val="hu-HU"/>
        </w:rPr>
        <w:noBreakHyphen/>
      </w:r>
      <w:r w:rsidR="00615707" w:rsidRPr="00336525">
        <w:rPr>
          <w:sz w:val="22"/>
          <w:szCs w:val="22"/>
          <w:lang w:val="hu-HU"/>
        </w:rPr>
        <w:t>kal növelte az aripiprazol AUC-értékét, a C</w:t>
      </w:r>
      <w:r w:rsidR="00615707" w:rsidRPr="00336525">
        <w:rPr>
          <w:sz w:val="22"/>
          <w:szCs w:val="22"/>
          <w:vertAlign w:val="subscript"/>
          <w:lang w:val="hu-HU"/>
        </w:rPr>
        <w:t>max</w:t>
      </w:r>
      <w:r w:rsidR="00615707" w:rsidRPr="00336525">
        <w:rPr>
          <w:sz w:val="22"/>
          <w:szCs w:val="22"/>
          <w:lang w:val="hu-HU"/>
        </w:rPr>
        <w:t>-értéke változatlan volt. Az aktív metabolitnak, a dehidro-aripiprazolnak az</w:t>
      </w:r>
      <w:r w:rsidR="00615707" w:rsidRPr="00336525" w:rsidDel="00615707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AUC értéke 32%</w:t>
      </w:r>
      <w:r w:rsidR="004D2CEC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>kal, C</w:t>
      </w:r>
      <w:r w:rsidR="0029197E" w:rsidRPr="00336525">
        <w:rPr>
          <w:rStyle w:val="Bodytext5pt"/>
          <w:color w:val="auto"/>
          <w:sz w:val="22"/>
          <w:szCs w:val="22"/>
          <w:vertAlign w:val="subscript"/>
        </w:rPr>
        <w:t>max</w:t>
      </w:r>
      <w:r w:rsidR="0029197E" w:rsidRPr="00336525">
        <w:rPr>
          <w:rStyle w:val="Bodytext5pt"/>
          <w:color w:val="auto"/>
          <w:sz w:val="22"/>
          <w:szCs w:val="22"/>
        </w:rPr>
        <w:t xml:space="preserve"> </w:t>
      </w:r>
      <w:r w:rsidR="0029197E" w:rsidRPr="00336525">
        <w:rPr>
          <w:sz w:val="22"/>
          <w:szCs w:val="22"/>
          <w:lang w:val="hu-HU"/>
        </w:rPr>
        <w:t>értéke 47%</w:t>
      </w:r>
      <w:r w:rsidR="004D2CEC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kal csökkent. Ha kinidinnel együtt alkalmazzák, az </w:t>
      </w:r>
      <w:r w:rsidR="000B5D6F" w:rsidRPr="00336525">
        <w:rPr>
          <w:sz w:val="22"/>
          <w:szCs w:val="22"/>
          <w:lang w:val="hu-HU"/>
        </w:rPr>
        <w:t>aripiprazol</w:t>
      </w:r>
      <w:r w:rsidR="0029197E" w:rsidRPr="00336525">
        <w:rPr>
          <w:sz w:val="22"/>
          <w:szCs w:val="22"/>
          <w:lang w:val="hu-HU"/>
        </w:rPr>
        <w:t xml:space="preserve"> </w:t>
      </w:r>
      <w:r w:rsidR="00FC52E1">
        <w:rPr>
          <w:sz w:val="22"/>
          <w:szCs w:val="22"/>
          <w:lang w:val="hu-HU"/>
        </w:rPr>
        <w:t>dózisát</w:t>
      </w:r>
      <w:r w:rsidR="00FC52E1" w:rsidRPr="00336525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az előírt dózis kb. felére kell csökkenteni. </w:t>
      </w:r>
      <w:r w:rsidR="00615707" w:rsidRPr="00336525">
        <w:rPr>
          <w:sz w:val="22"/>
          <w:szCs w:val="22"/>
          <w:lang w:val="hu-HU"/>
        </w:rPr>
        <w:t>Más, erős CYP2D6</w:t>
      </w:r>
      <w:r w:rsidR="000B5D6F" w:rsidRPr="00336525">
        <w:rPr>
          <w:sz w:val="22"/>
          <w:szCs w:val="22"/>
          <w:lang w:val="hu-HU"/>
        </w:rPr>
        <w:noBreakHyphen/>
      </w:r>
      <w:r w:rsidR="00615707" w:rsidRPr="00336525">
        <w:rPr>
          <w:sz w:val="22"/>
          <w:szCs w:val="22"/>
          <w:lang w:val="hu-HU"/>
        </w:rPr>
        <w:t>inhibitorok esetében, pl. ilyen a fluoxetin és a paroxetin, hasonló hatások várhatóak, ezért hasonlóképpen a dózis csökkentése szükséges</w:t>
      </w:r>
      <w:r w:rsidRPr="00336525">
        <w:rPr>
          <w:sz w:val="22"/>
          <w:szCs w:val="22"/>
          <w:lang w:val="hu-HU"/>
        </w:rPr>
        <w:t>.</w:t>
      </w:r>
    </w:p>
    <w:p w14:paraId="762D2C78" w14:textId="77777777" w:rsidR="000041A1" w:rsidRPr="00336525" w:rsidRDefault="000041A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E0FDC39" w14:textId="77777777" w:rsidR="0029197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Ketokonazol és más CYP3A4</w:t>
      </w:r>
      <w:r w:rsidR="000716E0" w:rsidRPr="00975921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inhibitorok</w:t>
      </w:r>
    </w:p>
    <w:p w14:paraId="3A2012D0" w14:textId="7A0CE3B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egészséges önkénteseken végzett klinikai vizsgálatban, egy erős CYP3A4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inhibitor (ketokonazol) az aripiprazol AUC értékét 63%</w:t>
      </w:r>
      <w:r w:rsidR="00CE6B0C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kal, a C</w:t>
      </w:r>
      <w:r w:rsidRPr="00336525">
        <w:rPr>
          <w:rStyle w:val="Bodytext5pt"/>
          <w:color w:val="auto"/>
          <w:sz w:val="22"/>
          <w:szCs w:val="22"/>
          <w:vertAlign w:val="subscript"/>
        </w:rPr>
        <w:t>max</w:t>
      </w:r>
      <w:r w:rsidRPr="00336525">
        <w:rPr>
          <w:rStyle w:val="Bodytext5pt"/>
          <w:color w:val="auto"/>
          <w:sz w:val="22"/>
          <w:szCs w:val="22"/>
        </w:rPr>
        <w:t xml:space="preserve"> </w:t>
      </w:r>
      <w:r w:rsidRPr="00336525">
        <w:rPr>
          <w:sz w:val="22"/>
          <w:szCs w:val="22"/>
          <w:lang w:val="hu-HU"/>
        </w:rPr>
        <w:t>értékét 37%</w:t>
      </w:r>
      <w:r w:rsidR="00CE6B0C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kal növelte. A dehidro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 AUC és C</w:t>
      </w:r>
      <w:r w:rsidRPr="00336525">
        <w:rPr>
          <w:rStyle w:val="Bodytext5pt"/>
          <w:color w:val="auto"/>
          <w:sz w:val="22"/>
          <w:szCs w:val="22"/>
          <w:vertAlign w:val="subscript"/>
        </w:rPr>
        <w:t>max</w:t>
      </w:r>
      <w:r w:rsidRPr="00336525">
        <w:rPr>
          <w:sz w:val="22"/>
          <w:szCs w:val="22"/>
          <w:lang w:val="hu-HU"/>
        </w:rPr>
        <w:t xml:space="preserve"> értékei 77%</w:t>
      </w:r>
      <w:r w:rsidR="00CE6B0C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kal illetve 43%</w:t>
      </w:r>
      <w:r w:rsidR="00CE6B0C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kal </w:t>
      </w:r>
      <w:r w:rsidR="000041A1" w:rsidRPr="00336525">
        <w:rPr>
          <w:sz w:val="22"/>
          <w:szCs w:val="22"/>
          <w:lang w:val="hu-HU"/>
        </w:rPr>
        <w:t xml:space="preserve">emelkedtek. A CYP2D6 </w:t>
      </w:r>
      <w:r w:rsidR="00071372">
        <w:rPr>
          <w:sz w:val="22"/>
          <w:szCs w:val="22"/>
          <w:lang w:val="hu-HU"/>
        </w:rPr>
        <w:t xml:space="preserve">lassú </w:t>
      </w:r>
      <w:r w:rsidR="00EF171C">
        <w:rPr>
          <w:sz w:val="22"/>
          <w:szCs w:val="22"/>
          <w:lang w:val="hu-HU"/>
        </w:rPr>
        <w:t>metabolizáló betegeknél</w:t>
      </w:r>
      <w:r w:rsidR="000041A1" w:rsidRPr="00336525">
        <w:rPr>
          <w:sz w:val="22"/>
          <w:szCs w:val="22"/>
          <w:lang w:val="hu-HU"/>
        </w:rPr>
        <w:t xml:space="preserve"> az erős CYP3A4</w:t>
      </w:r>
      <w:r w:rsidR="000716E0" w:rsidRPr="00336525">
        <w:rPr>
          <w:sz w:val="22"/>
          <w:szCs w:val="22"/>
          <w:lang w:val="hu-HU"/>
        </w:rPr>
        <w:noBreakHyphen/>
      </w:r>
      <w:r w:rsidR="000041A1" w:rsidRPr="00336525">
        <w:rPr>
          <w:sz w:val="22"/>
          <w:szCs w:val="22"/>
          <w:lang w:val="hu-HU"/>
        </w:rPr>
        <w:t xml:space="preserve">inhibitorok egyidejű alkalmazása az aripiprazol magasabb plazmakoncentrációját eredményezheti, összehasonlítva a CYP2D6 </w:t>
      </w:r>
      <w:r w:rsidR="00071372">
        <w:rPr>
          <w:sz w:val="22"/>
          <w:szCs w:val="22"/>
          <w:lang w:val="hu-HU"/>
        </w:rPr>
        <w:t xml:space="preserve">normál </w:t>
      </w:r>
      <w:r w:rsidR="00EF171C">
        <w:rPr>
          <w:sz w:val="22"/>
          <w:szCs w:val="22"/>
          <w:lang w:val="hu-HU"/>
        </w:rPr>
        <w:t>metabolizálókkal</w:t>
      </w:r>
      <w:r w:rsidR="000041A1" w:rsidRPr="00336525">
        <w:rPr>
          <w:sz w:val="22"/>
          <w:szCs w:val="22"/>
          <w:lang w:val="hu-HU"/>
        </w:rPr>
        <w:t>. Amennyiben a ketokonazol vagy más erős CYP3A4</w:t>
      </w:r>
      <w:r w:rsidR="000716E0" w:rsidRPr="00336525">
        <w:rPr>
          <w:sz w:val="22"/>
          <w:szCs w:val="22"/>
          <w:lang w:val="hu-HU"/>
        </w:rPr>
        <w:noBreakHyphen/>
      </w:r>
      <w:r w:rsidR="000041A1" w:rsidRPr="00336525">
        <w:rPr>
          <w:sz w:val="22"/>
          <w:szCs w:val="22"/>
          <w:lang w:val="hu-HU"/>
        </w:rPr>
        <w:t xml:space="preserve">inhibitorok együttes adása az </w:t>
      </w:r>
      <w:r w:rsidR="000B5D6F" w:rsidRPr="00336525">
        <w:rPr>
          <w:sz w:val="22"/>
          <w:szCs w:val="22"/>
          <w:lang w:val="hu-HU"/>
        </w:rPr>
        <w:t>aripiprazollal</w:t>
      </w:r>
      <w:r w:rsidR="000041A1" w:rsidRPr="00336525">
        <w:rPr>
          <w:sz w:val="22"/>
          <w:szCs w:val="22"/>
          <w:lang w:val="hu-HU"/>
        </w:rPr>
        <w:t xml:space="preserve"> felmerül, a potenciális előnyöket és a potenciális kockázatokat mérlegelni kell. A ketokonazol és az </w:t>
      </w:r>
      <w:r w:rsidR="000716E0" w:rsidRPr="00336525">
        <w:rPr>
          <w:sz w:val="22"/>
          <w:szCs w:val="22"/>
          <w:lang w:val="hu-HU"/>
        </w:rPr>
        <w:t>aripiprazol</w:t>
      </w:r>
      <w:r w:rsidR="000041A1" w:rsidRPr="00336525">
        <w:rPr>
          <w:sz w:val="22"/>
          <w:szCs w:val="22"/>
          <w:lang w:val="hu-HU"/>
        </w:rPr>
        <w:t xml:space="preserve"> egyidejű alkalmazása esetén, az </w:t>
      </w:r>
      <w:r w:rsidR="000716E0" w:rsidRPr="00336525">
        <w:rPr>
          <w:sz w:val="22"/>
          <w:szCs w:val="22"/>
          <w:lang w:val="hu-HU"/>
        </w:rPr>
        <w:t>aripiprazol</w:t>
      </w:r>
      <w:r w:rsidR="000041A1" w:rsidRPr="00336525">
        <w:rPr>
          <w:sz w:val="22"/>
          <w:szCs w:val="22"/>
          <w:lang w:val="hu-HU"/>
        </w:rPr>
        <w:t xml:space="preserve"> dózisát körülbelül az előírt dózis felére kell csökkenteni. Egyéb erős CYP3A4</w:t>
      </w:r>
      <w:r w:rsidR="000716E0" w:rsidRPr="00336525">
        <w:rPr>
          <w:sz w:val="22"/>
          <w:szCs w:val="22"/>
          <w:lang w:val="hu-HU"/>
        </w:rPr>
        <w:noBreakHyphen/>
      </w:r>
      <w:r w:rsidR="000041A1" w:rsidRPr="00336525">
        <w:rPr>
          <w:sz w:val="22"/>
          <w:szCs w:val="22"/>
          <w:lang w:val="hu-HU"/>
        </w:rPr>
        <w:t xml:space="preserve">inhibitorok, pl. </w:t>
      </w:r>
      <w:r w:rsidR="000041A1" w:rsidRPr="0017524C">
        <w:rPr>
          <w:sz w:val="22"/>
          <w:szCs w:val="22"/>
          <w:lang w:val="hu-HU"/>
        </w:rPr>
        <w:t>a</w:t>
      </w:r>
      <w:r w:rsidR="000021B1" w:rsidRPr="0017524C">
        <w:rPr>
          <w:sz w:val="22"/>
          <w:szCs w:val="22"/>
          <w:lang w:val="hu-HU"/>
        </w:rPr>
        <w:t>z</w:t>
      </w:r>
      <w:r w:rsidR="000041A1" w:rsidRPr="00336525">
        <w:rPr>
          <w:sz w:val="22"/>
          <w:szCs w:val="22"/>
          <w:lang w:val="hu-HU"/>
        </w:rPr>
        <w:t xml:space="preserve"> itrakonazol és a HIV proteázgátlók esetében hasonló hatások várhatóak, ezért hasonlóképpen a dózis csökkentése szükséges</w:t>
      </w:r>
      <w:r w:rsidR="00237F89">
        <w:rPr>
          <w:sz w:val="22"/>
          <w:szCs w:val="22"/>
          <w:lang w:val="hu-HU"/>
        </w:rPr>
        <w:t xml:space="preserve"> </w:t>
      </w:r>
      <w:r w:rsidR="00237F89" w:rsidRPr="009562AD">
        <w:rPr>
          <w:sz w:val="22"/>
          <w:szCs w:val="22"/>
          <w:lang w:val="hu-HU"/>
        </w:rPr>
        <w:t>(lásd 4.2 pont)</w:t>
      </w:r>
      <w:r w:rsidR="000041A1" w:rsidRPr="00336525">
        <w:rPr>
          <w:sz w:val="22"/>
          <w:szCs w:val="22"/>
          <w:lang w:val="hu-HU"/>
        </w:rPr>
        <w:t>.</w:t>
      </w:r>
      <w:r w:rsidR="00237F89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 CYP2D6</w:t>
      </w:r>
      <w:r w:rsidR="000041A1" w:rsidRPr="00336525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 </w:t>
      </w:r>
      <w:r w:rsidR="000041A1" w:rsidRPr="00336525">
        <w:rPr>
          <w:sz w:val="22"/>
          <w:szCs w:val="22"/>
          <w:lang w:val="hu-HU"/>
        </w:rPr>
        <w:t xml:space="preserve">vagy </w:t>
      </w:r>
      <w:r w:rsidRPr="00336525">
        <w:rPr>
          <w:sz w:val="22"/>
          <w:szCs w:val="22"/>
          <w:lang w:val="hu-HU"/>
        </w:rPr>
        <w:t>CYP3A4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inhibitorok alkalmazásának </w:t>
      </w:r>
      <w:r w:rsidR="000041A1" w:rsidRPr="00336525">
        <w:rPr>
          <w:sz w:val="22"/>
          <w:szCs w:val="22"/>
          <w:lang w:val="hu-HU"/>
        </w:rPr>
        <w:t>megszakítása</w:t>
      </w:r>
      <w:r w:rsidRPr="00336525">
        <w:rPr>
          <w:sz w:val="22"/>
          <w:szCs w:val="22"/>
          <w:lang w:val="hu-HU"/>
        </w:rPr>
        <w:t xml:space="preserve"> után az </w:t>
      </w:r>
      <w:r w:rsidR="00CB3B4E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dózisát az egyidejű </w:t>
      </w:r>
      <w:r w:rsidR="000041A1" w:rsidRPr="00336525">
        <w:rPr>
          <w:sz w:val="22"/>
          <w:szCs w:val="22"/>
          <w:lang w:val="hu-HU"/>
        </w:rPr>
        <w:t>terápiát megelőző kiindulási szintre kell növelni</w:t>
      </w:r>
      <w:r w:rsidRPr="00336525">
        <w:rPr>
          <w:sz w:val="22"/>
          <w:szCs w:val="22"/>
          <w:lang w:val="hu-HU"/>
        </w:rPr>
        <w:t>.</w:t>
      </w:r>
      <w:r w:rsidR="00237F89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Gyenge CYP3A4</w:t>
      </w:r>
      <w:r w:rsidR="000041A1" w:rsidRPr="00336525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 (pl. diltiazem) vagy CYP2D6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inhibitorok </w:t>
      </w:r>
      <w:r w:rsidR="00237F89">
        <w:rPr>
          <w:sz w:val="22"/>
          <w:szCs w:val="22"/>
          <w:lang w:val="hu-HU"/>
        </w:rPr>
        <w:t>(pl.</w:t>
      </w:r>
      <w:r w:rsidR="00237F89" w:rsidRPr="00336525">
        <w:rPr>
          <w:sz w:val="22"/>
          <w:szCs w:val="22"/>
          <w:lang w:val="hu-HU"/>
        </w:rPr>
        <w:t xml:space="preserve"> escitalopram)</w:t>
      </w:r>
      <w:r w:rsidR="00237F89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és </w:t>
      </w:r>
      <w:r w:rsidR="00CB3B4E" w:rsidRPr="00336525">
        <w:rPr>
          <w:sz w:val="22"/>
          <w:szCs w:val="22"/>
          <w:lang w:val="hu-HU"/>
        </w:rPr>
        <w:t>Asduter</w:t>
      </w:r>
      <w:r w:rsidRPr="00336525">
        <w:rPr>
          <w:sz w:val="22"/>
          <w:szCs w:val="22"/>
          <w:lang w:val="hu-HU"/>
        </w:rPr>
        <w:t xml:space="preserve"> egyidejű alkalmazása során a</w:t>
      </w:r>
      <w:r w:rsidR="000021B1">
        <w:rPr>
          <w:sz w:val="22"/>
          <w:szCs w:val="22"/>
          <w:lang w:val="hu-HU"/>
        </w:rPr>
        <w:t>z</w:t>
      </w:r>
      <w:r w:rsidRPr="00336525">
        <w:rPr>
          <w:sz w:val="22"/>
          <w:szCs w:val="22"/>
          <w:lang w:val="hu-HU"/>
        </w:rPr>
        <w:t xml:space="preserve"> aripiprazol </w:t>
      </w:r>
      <w:r w:rsidR="000021B1">
        <w:rPr>
          <w:sz w:val="22"/>
          <w:szCs w:val="22"/>
          <w:lang w:val="hu-HU"/>
        </w:rPr>
        <w:t>plazma</w:t>
      </w:r>
      <w:r w:rsidRPr="00336525">
        <w:rPr>
          <w:sz w:val="22"/>
          <w:szCs w:val="22"/>
          <w:lang w:val="hu-HU"/>
        </w:rPr>
        <w:t>koncentráció</w:t>
      </w:r>
      <w:r w:rsidR="000021B1">
        <w:rPr>
          <w:sz w:val="22"/>
          <w:szCs w:val="22"/>
          <w:lang w:val="hu-HU"/>
        </w:rPr>
        <w:t>jának</w:t>
      </w:r>
      <w:r w:rsidRPr="00336525">
        <w:rPr>
          <w:sz w:val="22"/>
          <w:szCs w:val="22"/>
          <w:lang w:val="hu-HU"/>
        </w:rPr>
        <w:t xml:space="preserve"> mérsékelt növekedésére lehet számítani.</w:t>
      </w:r>
    </w:p>
    <w:p w14:paraId="7B7E8372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3F85B8AE" w14:textId="77777777" w:rsidR="0029197E" w:rsidRPr="0018733D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Karbamazepin és más CYP3A4</w:t>
      </w:r>
      <w:r w:rsidR="000716E0" w:rsidRPr="00975921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in</w:t>
      </w:r>
      <w:r w:rsidR="00AD04A8" w:rsidRPr="00975921">
        <w:rPr>
          <w:rStyle w:val="Bodytext31"/>
          <w:i/>
          <w:iCs/>
          <w:color w:val="auto"/>
          <w:sz w:val="22"/>
          <w:szCs w:val="22"/>
          <w:u w:val="none"/>
        </w:rPr>
        <w:t>duktorok</w:t>
      </w:r>
    </w:p>
    <w:p w14:paraId="43DD7B55" w14:textId="67E5BD40" w:rsidR="0029197E" w:rsidRPr="00336525" w:rsidRDefault="00237F8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1B3489">
        <w:rPr>
          <w:sz w:val="22"/>
          <w:szCs w:val="22"/>
          <w:lang w:val="hu-HU"/>
        </w:rPr>
        <w:t>Miután az orális aripiprazol-kezelésben részesülő szkizofrén vagy szkizoaffektív betegeknek egyidejűleg erős CYP3A4-induktor karbamazepint adtak,</w:t>
      </w:r>
      <w:r w:rsidRPr="00EE7FC2">
        <w:rPr>
          <w:sz w:val="22"/>
          <w:szCs w:val="22"/>
          <w:lang w:val="hu-HU"/>
        </w:rPr>
        <w:t xml:space="preserve"> </w:t>
      </w:r>
      <w:r w:rsidR="00790807" w:rsidRPr="00336525">
        <w:rPr>
          <w:sz w:val="22"/>
          <w:szCs w:val="22"/>
          <w:lang w:val="hu-HU"/>
        </w:rPr>
        <w:t>az aripiprazol C</w:t>
      </w:r>
      <w:r w:rsidR="00790807" w:rsidRPr="00336525">
        <w:rPr>
          <w:sz w:val="22"/>
          <w:szCs w:val="22"/>
          <w:vertAlign w:val="subscript"/>
          <w:lang w:val="hu-HU"/>
        </w:rPr>
        <w:t>max</w:t>
      </w:r>
      <w:r w:rsidR="00790807" w:rsidRPr="00336525">
        <w:rPr>
          <w:sz w:val="22"/>
          <w:szCs w:val="22"/>
          <w:lang w:val="hu-HU"/>
        </w:rPr>
        <w:t xml:space="preserve"> és az AUC mértani középértékei 68%</w:t>
      </w:r>
      <w:r w:rsidR="001F036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kal és 73%</w:t>
      </w:r>
      <w:r w:rsidR="001F036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 xml:space="preserve">kal alacsonyabbak voltak, </w:t>
      </w:r>
      <w:r w:rsidR="00C8260E">
        <w:rPr>
          <w:sz w:val="22"/>
          <w:szCs w:val="22"/>
          <w:lang w:val="hu-HU"/>
        </w:rPr>
        <w:t>mint</w:t>
      </w:r>
      <w:r w:rsidR="00C8260E" w:rsidRPr="00336525">
        <w:rPr>
          <w:sz w:val="22"/>
          <w:szCs w:val="22"/>
          <w:lang w:val="hu-HU"/>
        </w:rPr>
        <w:t xml:space="preserve"> </w:t>
      </w:r>
      <w:r w:rsidR="00790807" w:rsidRPr="00336525">
        <w:rPr>
          <w:sz w:val="22"/>
          <w:szCs w:val="22"/>
          <w:lang w:val="hu-HU"/>
        </w:rPr>
        <w:t>amikor az aripiprazolt (30</w:t>
      </w:r>
      <w:r w:rsidR="001F0360" w:rsidRPr="00336525">
        <w:rPr>
          <w:sz w:val="22"/>
          <w:szCs w:val="22"/>
          <w:lang w:val="hu-HU"/>
        </w:rPr>
        <w:t> </w:t>
      </w:r>
      <w:r w:rsidR="00790807" w:rsidRPr="00336525">
        <w:rPr>
          <w:sz w:val="22"/>
          <w:szCs w:val="22"/>
          <w:lang w:val="hu-HU"/>
        </w:rPr>
        <w:t>mg) önmagában alkalmazták. Hasonlóképpen a dehidro</w:t>
      </w:r>
      <w:r w:rsidR="001F036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aripiprazol C</w:t>
      </w:r>
      <w:r w:rsidR="00790807" w:rsidRPr="00336525">
        <w:rPr>
          <w:sz w:val="22"/>
          <w:szCs w:val="22"/>
          <w:vertAlign w:val="subscript"/>
          <w:lang w:val="hu-HU"/>
        </w:rPr>
        <w:t>max</w:t>
      </w:r>
      <w:r w:rsidR="00790807" w:rsidRPr="00336525">
        <w:rPr>
          <w:sz w:val="22"/>
          <w:szCs w:val="22"/>
          <w:lang w:val="hu-HU"/>
        </w:rPr>
        <w:t xml:space="preserve"> és AUC mértani középértékei 69%</w:t>
      </w:r>
      <w:r w:rsidR="001F036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kal és 71%</w:t>
      </w:r>
      <w:r w:rsidR="001F036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kal voltak alacsonyabbak karbamazepin egyidejű alkalmazása után, mint az önmagában alkalmazott, aripiprazol monoterápiát követően.</w:t>
      </w:r>
      <w:r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Az </w:t>
      </w:r>
      <w:r w:rsidR="001F0360" w:rsidRPr="00336525">
        <w:rPr>
          <w:sz w:val="22"/>
          <w:szCs w:val="22"/>
          <w:lang w:val="hu-HU"/>
        </w:rPr>
        <w:t>Asduter</w:t>
      </w:r>
      <w:r w:rsidR="0029197E" w:rsidRPr="00336525">
        <w:rPr>
          <w:sz w:val="22"/>
          <w:szCs w:val="22"/>
          <w:lang w:val="hu-HU"/>
        </w:rPr>
        <w:t xml:space="preserve"> dózisát kétszeresére kell növelni, ha a karbamazepint és az </w:t>
      </w:r>
      <w:r w:rsidR="000716E0" w:rsidRPr="00336525">
        <w:rPr>
          <w:sz w:val="22"/>
          <w:szCs w:val="22"/>
          <w:lang w:val="hu-HU"/>
        </w:rPr>
        <w:t>aripiprazolt</w:t>
      </w:r>
      <w:r w:rsidR="0029197E" w:rsidRPr="00336525">
        <w:rPr>
          <w:sz w:val="22"/>
          <w:szCs w:val="22"/>
          <w:lang w:val="hu-HU"/>
        </w:rPr>
        <w:t xml:space="preserve"> együttesen alkalmazzák. </w:t>
      </w:r>
      <w:r w:rsidR="00C8260E">
        <w:rPr>
          <w:sz w:val="22"/>
          <w:szCs w:val="22"/>
          <w:lang w:val="hu-HU"/>
        </w:rPr>
        <w:t xml:space="preserve">Aripiprazol </w:t>
      </w:r>
      <w:r w:rsidR="00C8260E" w:rsidRPr="0017524C">
        <w:rPr>
          <w:sz w:val="22"/>
          <w:szCs w:val="22"/>
          <w:lang w:val="hu-HU"/>
        </w:rPr>
        <w:t>és m</w:t>
      </w:r>
      <w:r w:rsidR="00790807" w:rsidRPr="0017524C">
        <w:rPr>
          <w:sz w:val="22"/>
          <w:szCs w:val="22"/>
          <w:lang w:val="hu-HU"/>
        </w:rPr>
        <w:t>ás</w:t>
      </w:r>
      <w:r w:rsidR="00790807" w:rsidRPr="00336525">
        <w:rPr>
          <w:sz w:val="22"/>
          <w:szCs w:val="22"/>
          <w:lang w:val="hu-HU"/>
        </w:rPr>
        <w:t xml:space="preserve"> CYP3A4</w:t>
      </w:r>
      <w:r w:rsidR="000716E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 xml:space="preserve">induktorok (pl. rifampicin, rifabutin, fenitoin, fenobarbitál, primidon, efavirenz, nevirapin és </w:t>
      </w:r>
      <w:r w:rsidR="0017524C">
        <w:rPr>
          <w:sz w:val="22"/>
          <w:szCs w:val="22"/>
          <w:lang w:val="hu-HU"/>
        </w:rPr>
        <w:t xml:space="preserve">közönséges </w:t>
      </w:r>
      <w:r w:rsidR="00790807" w:rsidRPr="0017524C">
        <w:rPr>
          <w:sz w:val="22"/>
          <w:szCs w:val="22"/>
          <w:lang w:val="hu-HU"/>
        </w:rPr>
        <w:t>orbáncfű</w:t>
      </w:r>
      <w:r w:rsidR="00790807" w:rsidRPr="00336525">
        <w:rPr>
          <w:sz w:val="22"/>
          <w:szCs w:val="22"/>
          <w:lang w:val="hu-HU"/>
        </w:rPr>
        <w:t xml:space="preserve">) </w:t>
      </w:r>
      <w:r w:rsidR="00C8260E" w:rsidRPr="00575042">
        <w:rPr>
          <w:sz w:val="22"/>
          <w:szCs w:val="22"/>
          <w:lang w:val="hu-HU"/>
        </w:rPr>
        <w:t>egyidejű alkalmazásakor</w:t>
      </w:r>
      <w:r w:rsidR="00C8260E">
        <w:rPr>
          <w:sz w:val="22"/>
          <w:szCs w:val="22"/>
          <w:lang w:val="hu-HU"/>
        </w:rPr>
        <w:t xml:space="preserve"> </w:t>
      </w:r>
      <w:r w:rsidR="00790807" w:rsidRPr="00336525">
        <w:rPr>
          <w:sz w:val="22"/>
          <w:szCs w:val="22"/>
          <w:lang w:val="hu-HU"/>
        </w:rPr>
        <w:t>hasonló hatások várhatóak, ezért hasonlóképpen a dózis növelése szükséges. Az erős CYP3A4</w:t>
      </w:r>
      <w:r w:rsidR="000716E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induktorok alkalmazásának abbahagyása</w:t>
      </w:r>
      <w:r w:rsidR="0029197E" w:rsidRPr="00336525">
        <w:rPr>
          <w:sz w:val="22"/>
          <w:szCs w:val="22"/>
          <w:lang w:val="hu-HU"/>
        </w:rPr>
        <w:t xml:space="preserve"> után az </w:t>
      </w:r>
      <w:r w:rsidR="001F0360" w:rsidRPr="00336525">
        <w:rPr>
          <w:sz w:val="22"/>
          <w:szCs w:val="22"/>
          <w:lang w:val="hu-HU"/>
        </w:rPr>
        <w:t>Asduter</w:t>
      </w:r>
      <w:r w:rsidR="0029197E" w:rsidRPr="00336525">
        <w:rPr>
          <w:sz w:val="22"/>
          <w:szCs w:val="22"/>
          <w:lang w:val="hu-HU"/>
        </w:rPr>
        <w:t xml:space="preserve"> adagját a javasolt dózisra kell csökkenteni.</w:t>
      </w:r>
    </w:p>
    <w:p w14:paraId="22D1401A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5094DF37" w14:textId="77777777" w:rsidR="0029197E" w:rsidRPr="0097592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Valproát és lítium</w:t>
      </w:r>
    </w:p>
    <w:p w14:paraId="7A441C8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Aripiprazol és valproát vagy lítium együttes alkalmazása esetén nem változott klinikailag jelentős mértékben az aripiprazol koncentrációja</w:t>
      </w:r>
      <w:r w:rsidR="00C8260E" w:rsidRPr="00C8260E">
        <w:rPr>
          <w:sz w:val="22"/>
          <w:szCs w:val="22"/>
          <w:lang w:val="hu-HU"/>
        </w:rPr>
        <w:t>, ezért nincs szükség az adag módosítására az aripiprazol és a valproát vagy a lítium egyidejű alkalmazásakor</w:t>
      </w:r>
      <w:r w:rsidRPr="00336525">
        <w:rPr>
          <w:sz w:val="22"/>
          <w:szCs w:val="22"/>
          <w:lang w:val="hu-HU"/>
        </w:rPr>
        <w:t>.</w:t>
      </w:r>
    </w:p>
    <w:p w14:paraId="2207D8FD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21C2952" w14:textId="77777777" w:rsidR="00C8260E" w:rsidRPr="002045A9" w:rsidRDefault="00C8260E" w:rsidP="00C8260E">
      <w:pPr>
        <w:widowControl/>
        <w:rPr>
          <w:rFonts w:cs="Times New Roman"/>
          <w:color w:val="auto"/>
          <w:szCs w:val="22"/>
          <w:u w:val="single"/>
        </w:rPr>
      </w:pPr>
      <w:r w:rsidRPr="002045A9">
        <w:rPr>
          <w:rFonts w:cs="Times New Roman"/>
          <w:color w:val="auto"/>
          <w:szCs w:val="22"/>
          <w:u w:val="single"/>
        </w:rPr>
        <w:t xml:space="preserve">Az </w:t>
      </w:r>
      <w:r w:rsidRPr="00C90C81">
        <w:rPr>
          <w:szCs w:val="22"/>
          <w:u w:val="single"/>
        </w:rPr>
        <w:t>aripiprazol</w:t>
      </w:r>
      <w:r w:rsidRPr="002045A9">
        <w:rPr>
          <w:rFonts w:cs="Times New Roman"/>
          <w:color w:val="auto"/>
          <w:szCs w:val="22"/>
          <w:u w:val="single"/>
        </w:rPr>
        <w:t xml:space="preserve"> lehetséges hatása más gyógyszerekre</w:t>
      </w:r>
    </w:p>
    <w:p w14:paraId="2D69E63D" w14:textId="77777777" w:rsidR="00C8260E" w:rsidRDefault="00C8260E" w:rsidP="00C8260E">
      <w:pPr>
        <w:widowControl/>
        <w:rPr>
          <w:szCs w:val="22"/>
        </w:rPr>
      </w:pPr>
    </w:p>
    <w:p w14:paraId="52B27585" w14:textId="77777777" w:rsidR="00C8260E" w:rsidRPr="00C90C81" w:rsidRDefault="00C8260E" w:rsidP="00C8260E">
      <w:pPr>
        <w:widowControl/>
        <w:rPr>
          <w:szCs w:val="22"/>
        </w:rPr>
      </w:pPr>
      <w:r w:rsidRPr="00C90C81">
        <w:rPr>
          <w:szCs w:val="22"/>
        </w:rPr>
        <w:t xml:space="preserve">Klinikai vizsgálatokban a napi 10 mg és 30 mg közötti dózisú aripiprazolnak nem volt jelentős hatása a CYP2D6 (dextrometorfán/3-metoximorfinán arány), CYP2C9 (warfarin), CYP2C19 (omeprazol) és CYP3A4 (dextrometorfán) enzimek szubsztrátjainak metabolizmusára. Ezenkívül </w:t>
      </w:r>
      <w:r w:rsidRPr="00C90C81">
        <w:rPr>
          <w:i/>
          <w:szCs w:val="22"/>
        </w:rPr>
        <w:t>in vitro</w:t>
      </w:r>
      <w:r w:rsidRPr="00C90C81">
        <w:rPr>
          <w:szCs w:val="22"/>
        </w:rPr>
        <w:t xml:space="preserve"> az aripiprazol és a dehidro</w:t>
      </w:r>
      <w:r w:rsidRPr="00C90C81">
        <w:rPr>
          <w:szCs w:val="22"/>
        </w:rPr>
        <w:noBreakHyphen/>
        <w:t>aripiprazol nem módosította a CYP1A2 enzimen keresztül történő metabolizmust. Ennélfogva nem valószínű, hogy az aripiprazol klinikailag jelentős gyógyszerinterakciókat okozna ezeken az enzimeken keresztül.</w:t>
      </w:r>
    </w:p>
    <w:p w14:paraId="23535479" w14:textId="77777777" w:rsidR="00C8260E" w:rsidRPr="00C90C81" w:rsidRDefault="00C8260E" w:rsidP="00C8260E">
      <w:pPr>
        <w:widowControl/>
        <w:rPr>
          <w:szCs w:val="22"/>
        </w:rPr>
      </w:pPr>
    </w:p>
    <w:p w14:paraId="4EDC61AD" w14:textId="77777777" w:rsidR="00C8260E" w:rsidRPr="00C90C81" w:rsidRDefault="00C8260E" w:rsidP="00C8260E">
      <w:pPr>
        <w:widowControl/>
        <w:rPr>
          <w:szCs w:val="22"/>
        </w:rPr>
      </w:pPr>
      <w:r w:rsidRPr="00C90C81">
        <w:rPr>
          <w:szCs w:val="22"/>
        </w:rPr>
        <w:t>Az aripiprazol valproáttal, lítiummal vagy lamotriginnel történő együttes alkalmazása esetén</w:t>
      </w:r>
      <w:r w:rsidRPr="00C90C81" w:rsidDel="003E5C43">
        <w:rPr>
          <w:szCs w:val="22"/>
        </w:rPr>
        <w:t xml:space="preserve"> </w:t>
      </w:r>
      <w:r w:rsidRPr="00C90C81">
        <w:rPr>
          <w:szCs w:val="22"/>
        </w:rPr>
        <w:t>nem változott klinikailag jelentős mértékben a valproát, a lítium vagy a lamotrigin koncentrációja.</w:t>
      </w:r>
    </w:p>
    <w:p w14:paraId="779BFAC4" w14:textId="77777777" w:rsidR="00C8260E" w:rsidRPr="00336525" w:rsidRDefault="00C8260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5F03800" w14:textId="739A26C0" w:rsidR="00C8260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Szerotonin</w:t>
      </w:r>
      <w:r w:rsidR="000021B1">
        <w:rPr>
          <w:rStyle w:val="Bodytext31"/>
          <w:i/>
          <w:iCs/>
          <w:color w:val="auto"/>
          <w:sz w:val="22"/>
          <w:szCs w:val="22"/>
          <w:u w:val="none"/>
        </w:rPr>
        <w:t>-</w:t>
      </w: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szindróma</w:t>
      </w:r>
    </w:p>
    <w:p w14:paraId="5BA12925" w14:textId="409BE7C5" w:rsidR="00B27514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>Szerotonin</w:t>
      </w:r>
      <w:r w:rsidR="000021B1">
        <w:rPr>
          <w:i w:val="0"/>
          <w:sz w:val="22"/>
          <w:szCs w:val="22"/>
          <w:lang w:val="hu-HU"/>
        </w:rPr>
        <w:t>-</w:t>
      </w:r>
      <w:r w:rsidRPr="00336525">
        <w:rPr>
          <w:i w:val="0"/>
          <w:sz w:val="22"/>
          <w:szCs w:val="22"/>
          <w:lang w:val="hu-HU"/>
        </w:rPr>
        <w:t xml:space="preserve">szindrómás esetekről számoltak be aripiprazolt szedő betegeknél. </w:t>
      </w:r>
      <w:r w:rsidR="00B27514" w:rsidRPr="00336525">
        <w:rPr>
          <w:i w:val="0"/>
          <w:sz w:val="22"/>
          <w:szCs w:val="22"/>
          <w:lang w:val="hu-HU"/>
        </w:rPr>
        <w:t xml:space="preserve">Ennek az állapotnak a </w:t>
      </w:r>
      <w:r w:rsidR="00B27514" w:rsidRPr="0017524C">
        <w:rPr>
          <w:i w:val="0"/>
          <w:sz w:val="22"/>
          <w:szCs w:val="22"/>
          <w:lang w:val="hu-HU"/>
        </w:rPr>
        <w:t>lehetséges</w:t>
      </w:r>
      <w:r w:rsidR="00B27514" w:rsidRPr="00336525">
        <w:rPr>
          <w:i w:val="0"/>
          <w:sz w:val="22"/>
          <w:szCs w:val="22"/>
          <w:lang w:val="hu-HU"/>
        </w:rPr>
        <w:t xml:space="preserve"> jelei és tünetei különösen más szerotonerg </w:t>
      </w:r>
      <w:r w:rsidR="007B3924" w:rsidRPr="00336525">
        <w:rPr>
          <w:i w:val="0"/>
          <w:sz w:val="22"/>
          <w:szCs w:val="22"/>
          <w:lang w:val="hu-HU"/>
        </w:rPr>
        <w:t>gyógyszerekkel,</w:t>
      </w:r>
      <w:r w:rsidR="007B3924" w:rsidRPr="007B3924">
        <w:rPr>
          <w:i w:val="0"/>
          <w:iCs w:val="0"/>
          <w:sz w:val="22"/>
          <w:szCs w:val="22"/>
        </w:rPr>
        <w:t xml:space="preserve"> </w:t>
      </w:r>
      <w:r w:rsidR="007B3924" w:rsidRPr="002045A9">
        <w:rPr>
          <w:i w:val="0"/>
          <w:iCs w:val="0"/>
          <w:sz w:val="22"/>
          <w:szCs w:val="22"/>
        </w:rPr>
        <w:t>mint például a szelektív szerotoninvisszavétel-gátlók/szelektív szerotonin-noradrenalinvisszavétel-gátlók (SSRI/SNRI), vagy az aripiprazol koncentrációját növelő gyógyszerekkel való egyidejű alkalmazás esetén jelentkezhetnek (lásd 4.8 pont)</w:t>
      </w:r>
      <w:r w:rsidR="00B27514" w:rsidRPr="00336525">
        <w:rPr>
          <w:i w:val="0"/>
          <w:sz w:val="22"/>
          <w:szCs w:val="22"/>
          <w:lang w:val="hu-HU"/>
        </w:rPr>
        <w:t>.</w:t>
      </w:r>
    </w:p>
    <w:p w14:paraId="3AFCABE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5B8454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9" w:name="bookmark9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4.6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Termékenység, terhesség és szoptatás</w:t>
      </w:r>
    </w:p>
    <w:bookmarkEnd w:id="9"/>
    <w:p w14:paraId="73F041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631F641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Terhesség</w:t>
      </w:r>
    </w:p>
    <w:p w14:paraId="464FAB95" w14:textId="77777777" w:rsidR="007B3924" w:rsidRDefault="007B3924" w:rsidP="00B052B1">
      <w:pPr>
        <w:pStyle w:val="Default"/>
        <w:rPr>
          <w:color w:val="auto"/>
          <w:sz w:val="22"/>
          <w:szCs w:val="22"/>
        </w:rPr>
      </w:pPr>
    </w:p>
    <w:p w14:paraId="79765C2D" w14:textId="2CFA6335" w:rsidR="003E5C43" w:rsidRDefault="003E5C43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Terhes nőkön aripiprazollal nem végeztek megfelelő és jól kontrollált vizsgálatokat. Fejlődési rendellenességeket jelentettek, bár az aripiprazollal való ok-okozati összefüggését nem tudták megállapítani. Állatokon végzett kísérletek alapján nem lehet kizárni a potenciális fejlődési toxicitást (lásd 5.3</w:t>
      </w:r>
      <w:r w:rsidR="001F036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pont). A betegekkel közölni kell, hogy értesítsék kezelőorvosukat, ha teherbe esnek vagy terhességet terveznek aripiprazollal történő kezelés ideje alatt. Elegendő humán gyógyszerbiztonsági adat hiányában és állatokon végzett reprodukciós vizsgálatokból származó adatok alapján, </w:t>
      </w:r>
      <w:r w:rsidRPr="0017524C">
        <w:rPr>
          <w:color w:val="auto"/>
          <w:sz w:val="22"/>
          <w:szCs w:val="22"/>
        </w:rPr>
        <w:t>ezt a gyógyszert nem lehet alkalmazni</w:t>
      </w:r>
      <w:r w:rsidRPr="00336525">
        <w:rPr>
          <w:color w:val="auto"/>
          <w:sz w:val="22"/>
          <w:szCs w:val="22"/>
        </w:rPr>
        <w:t xml:space="preserve"> terhesség ideje alatt, </w:t>
      </w:r>
      <w:r w:rsidR="007B3924" w:rsidRPr="00336525">
        <w:rPr>
          <w:color w:val="auto"/>
          <w:sz w:val="22"/>
          <w:szCs w:val="22"/>
        </w:rPr>
        <w:t>kivéve,</w:t>
      </w:r>
      <w:r w:rsidRPr="00336525">
        <w:rPr>
          <w:color w:val="auto"/>
          <w:sz w:val="22"/>
          <w:szCs w:val="22"/>
        </w:rPr>
        <w:t xml:space="preserve"> ha a várható előny egyértelműen meghaladja a potenciális magzati kockázatot.</w:t>
      </w:r>
    </w:p>
    <w:p w14:paraId="4CBB1D83" w14:textId="77777777" w:rsidR="007B3924" w:rsidRPr="00336525" w:rsidRDefault="007B3924" w:rsidP="00B052B1">
      <w:pPr>
        <w:pStyle w:val="Default"/>
        <w:rPr>
          <w:color w:val="auto"/>
          <w:sz w:val="22"/>
          <w:szCs w:val="22"/>
        </w:rPr>
      </w:pPr>
    </w:p>
    <w:p w14:paraId="41680B79" w14:textId="3CC2C9B0" w:rsidR="002A1DEB" w:rsidRPr="00336525" w:rsidRDefault="003E5C43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Azoknál az újszülötteknél, akik a terhesség harmadik trimeszterében antipszichotikumok </w:t>
      </w:r>
      <w:r w:rsidR="0017524C">
        <w:rPr>
          <w:sz w:val="22"/>
          <w:szCs w:val="22"/>
          <w:lang w:val="hu-HU"/>
        </w:rPr>
        <w:t>hatásának</w:t>
      </w:r>
      <w:r w:rsidR="0017524C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(így aripiprazolnak) voltak kitéve, születésük után fennáll a mellékhatások (pl. extrapiramidális és/vagy elvonási tünetek) jelentkezésének kockázata, amelyek változó súlyosságúak és időtartamúak lehetnek. Beszámoltak izgatottság, </w:t>
      </w:r>
      <w:r w:rsidR="00AD04A8" w:rsidRPr="00336525">
        <w:rPr>
          <w:sz w:val="22"/>
          <w:szCs w:val="22"/>
          <w:lang w:val="hu-HU"/>
        </w:rPr>
        <w:t>izomtónus-fok</w:t>
      </w:r>
      <w:r w:rsidR="00561BB5" w:rsidRPr="00336525">
        <w:rPr>
          <w:sz w:val="22"/>
          <w:szCs w:val="22"/>
          <w:lang w:val="hu-HU"/>
        </w:rPr>
        <w:t>o</w:t>
      </w:r>
      <w:r w:rsidR="00AD04A8" w:rsidRPr="00336525">
        <w:rPr>
          <w:sz w:val="22"/>
          <w:szCs w:val="22"/>
          <w:lang w:val="hu-HU"/>
        </w:rPr>
        <w:t>zódás,</w:t>
      </w:r>
      <w:r w:rsidR="00D64F2E" w:rsidRPr="00336525">
        <w:rPr>
          <w:sz w:val="22"/>
          <w:szCs w:val="22"/>
          <w:lang w:val="hu-HU"/>
        </w:rPr>
        <w:t xml:space="preserve"> </w:t>
      </w:r>
      <w:r w:rsidR="00AD04A8" w:rsidRPr="00336525">
        <w:rPr>
          <w:sz w:val="22"/>
          <w:szCs w:val="22"/>
          <w:lang w:val="hu-HU"/>
        </w:rPr>
        <w:t>izomtónus-csökkenés</w:t>
      </w:r>
      <w:r w:rsidRPr="00336525">
        <w:rPr>
          <w:sz w:val="22"/>
          <w:szCs w:val="22"/>
          <w:lang w:val="hu-HU"/>
        </w:rPr>
        <w:t>, remegés, aluszékonyság, légzési elégtelenség vagy táplálási zavarok előfordulásáról. Ezért az újszülötteket szoros megfigyelés alatt kell tartani</w:t>
      </w:r>
      <w:r w:rsidR="007B3924">
        <w:rPr>
          <w:sz w:val="22"/>
          <w:szCs w:val="22"/>
          <w:lang w:val="hu-HU"/>
        </w:rPr>
        <w:t xml:space="preserve"> (lásd 4.8 pont)</w:t>
      </w:r>
      <w:r w:rsidRPr="00336525">
        <w:rPr>
          <w:sz w:val="22"/>
          <w:szCs w:val="22"/>
          <w:lang w:val="hu-HU"/>
        </w:rPr>
        <w:t>.</w:t>
      </w:r>
    </w:p>
    <w:p w14:paraId="4F8CF57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DB21E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Szoptatás</w:t>
      </w:r>
    </w:p>
    <w:p w14:paraId="655AB4CF" w14:textId="77777777" w:rsidR="007B3924" w:rsidRDefault="007B392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D74356" w14:textId="17C02A19" w:rsidR="008961ED" w:rsidRDefault="002A1DE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</w:t>
      </w:r>
      <w:r w:rsidR="007B3924">
        <w:rPr>
          <w:sz w:val="22"/>
          <w:szCs w:val="22"/>
          <w:lang w:val="hu-HU"/>
        </w:rPr>
        <w:t xml:space="preserve"> vagy annak metabolitjai</w:t>
      </w:r>
      <w:r w:rsidRPr="00336525">
        <w:rPr>
          <w:sz w:val="22"/>
          <w:szCs w:val="22"/>
          <w:lang w:val="hu-HU"/>
        </w:rPr>
        <w:t xml:space="preserve"> </w:t>
      </w:r>
      <w:r w:rsidR="007B3924" w:rsidRPr="00336525">
        <w:rPr>
          <w:sz w:val="22"/>
          <w:szCs w:val="22"/>
          <w:lang w:val="hu-HU"/>
        </w:rPr>
        <w:t>kiválasztód</w:t>
      </w:r>
      <w:r w:rsidR="007B3924">
        <w:rPr>
          <w:sz w:val="22"/>
          <w:szCs w:val="22"/>
          <w:lang w:val="hu-HU"/>
        </w:rPr>
        <w:t>na</w:t>
      </w:r>
      <w:r w:rsidR="007B3924" w:rsidRPr="00336525">
        <w:rPr>
          <w:sz w:val="22"/>
          <w:szCs w:val="22"/>
          <w:lang w:val="hu-HU"/>
        </w:rPr>
        <w:t xml:space="preserve">k </w:t>
      </w:r>
      <w:r w:rsidRPr="00336525">
        <w:rPr>
          <w:sz w:val="22"/>
          <w:szCs w:val="22"/>
          <w:lang w:val="hu-HU"/>
        </w:rPr>
        <w:t>a humán anyatejbe.</w:t>
      </w:r>
      <w:r w:rsidRPr="00336525" w:rsidDel="002A1DEB">
        <w:rPr>
          <w:sz w:val="22"/>
          <w:szCs w:val="22"/>
          <w:lang w:val="hu-HU"/>
        </w:rPr>
        <w:t xml:space="preserve"> </w:t>
      </w:r>
      <w:r w:rsidR="007B3924" w:rsidRPr="00C90C81">
        <w:rPr>
          <w:sz w:val="22"/>
          <w:szCs w:val="22"/>
          <w:lang w:val="hu-HU"/>
        </w:rPr>
        <w:t xml:space="preserve">Alkalmazása előtt el kell dönteni, hogy a szoptatástól tekintenek el, vagy az </w:t>
      </w:r>
      <w:r w:rsidR="007B3924">
        <w:rPr>
          <w:sz w:val="22"/>
          <w:szCs w:val="22"/>
          <w:lang w:val="hu-HU"/>
        </w:rPr>
        <w:t>Asduter</w:t>
      </w:r>
      <w:r w:rsidR="007B3924" w:rsidRPr="00C90C81">
        <w:rPr>
          <w:sz w:val="22"/>
          <w:szCs w:val="22"/>
          <w:lang w:val="hu-HU"/>
        </w:rPr>
        <w:t>-kezelést állítják le/függesztik fel, figyelembe véve a szoptatás előnyeit a gyermek, illetve a terápia előnyeit az anya szempontjából.</w:t>
      </w:r>
    </w:p>
    <w:p w14:paraId="543F27C9" w14:textId="421BCDA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5E6394A" w14:textId="77777777" w:rsidR="008961ED" w:rsidRPr="001B3489" w:rsidRDefault="008961ED" w:rsidP="008961ED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Termékenység</w:t>
      </w:r>
    </w:p>
    <w:p w14:paraId="3C309B9B" w14:textId="77777777" w:rsidR="0018733D" w:rsidRDefault="0018733D" w:rsidP="008961ED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14:paraId="2FCE6D57" w14:textId="77777777" w:rsidR="008961ED" w:rsidRPr="00B52824" w:rsidRDefault="008961ED" w:rsidP="008961ED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>Reprodukciós toxicitási vizsgálatok adatai alapján az aripiprazol nem befolyásolta a termékenységet.</w:t>
      </w:r>
    </w:p>
    <w:p w14:paraId="1D4568E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D5B4D8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0" w:name="bookmark10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4.7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10"/>
    <w:p w14:paraId="438776E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0653276" w14:textId="4CC7FFDC" w:rsidR="0029197E" w:rsidRDefault="008961ED" w:rsidP="00A03E58">
      <w:pPr>
        <w:rPr>
          <w:szCs w:val="22"/>
        </w:rPr>
      </w:pPr>
      <w:r w:rsidRPr="00C90C81">
        <w:rPr>
          <w:rFonts w:eastAsia="Times New Roman" w:cs="Times New Roman"/>
          <w:color w:val="auto"/>
          <w:szCs w:val="22"/>
          <w:lang w:bidi="ar-SA"/>
        </w:rPr>
        <w:t xml:space="preserve">Az esetleges idegrendszeri, illetve vizuális hatások – például szedáció, aluszékonyság, syncope, homályos látás és kettős látás – miatt az </w:t>
      </w:r>
      <w:r>
        <w:rPr>
          <w:rFonts w:eastAsia="Times New Roman" w:cs="Times New Roman"/>
          <w:color w:val="auto"/>
          <w:szCs w:val="22"/>
          <w:lang w:bidi="ar-SA"/>
        </w:rPr>
        <w:t>Asduter</w:t>
      </w:r>
      <w:r w:rsidRPr="00C90C81">
        <w:rPr>
          <w:rFonts w:eastAsia="Times New Roman" w:cs="Times New Roman"/>
          <w:color w:val="auto"/>
          <w:szCs w:val="22"/>
          <w:lang w:bidi="ar-SA"/>
        </w:rPr>
        <w:t xml:space="preserve"> enyhe vagy közepes mértékben befolyásolja a gépjárművezetéshez és a gépek kezeléséhez szükséges képességeket (lásd 4.8 pont).</w:t>
      </w:r>
    </w:p>
    <w:p w14:paraId="354DABF7" w14:textId="77777777" w:rsidR="00B20364" w:rsidRPr="00336525" w:rsidRDefault="00B2036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FCAE71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4.8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Nemkívánatos hatások, mellékhatások</w:t>
      </w:r>
    </w:p>
    <w:p w14:paraId="260F43D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32A9EE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A biztonságossági profil összefoglalása</w:t>
      </w:r>
    </w:p>
    <w:p w14:paraId="3C413021" w14:textId="77777777" w:rsidR="008961ED" w:rsidRDefault="008961E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BE036E2" w14:textId="2FAF7F7A" w:rsidR="000E3D1D" w:rsidRPr="00336525" w:rsidRDefault="000E3D1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Placebokontrollos klinikai vizsgálatokban leggyakrabban jelentett mellékhatások az akathisia és a hányinger voltak, melyek mindegyike a </w:t>
      </w:r>
      <w:r w:rsidRPr="0017524C">
        <w:rPr>
          <w:i/>
          <w:sz w:val="22"/>
          <w:szCs w:val="22"/>
          <w:lang w:val="hu-HU"/>
        </w:rPr>
        <w:t>per os</w:t>
      </w:r>
      <w:r w:rsidRPr="00336525">
        <w:rPr>
          <w:sz w:val="22"/>
          <w:szCs w:val="22"/>
          <w:lang w:val="hu-HU"/>
        </w:rPr>
        <w:t xml:space="preserve"> aripiprazollal kezelt betegek több mint 3%</w:t>
      </w:r>
      <w:r w:rsidR="00C00FD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ánál fordult elő.</w:t>
      </w:r>
    </w:p>
    <w:p w14:paraId="53A64E3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E13BD8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A mellékhatások táblázatos felsorolása</w:t>
      </w:r>
    </w:p>
    <w:p w14:paraId="465B595C" w14:textId="77777777" w:rsidR="008961ED" w:rsidRDefault="008961E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97FEC6C" w14:textId="77777777" w:rsidR="008961ED" w:rsidRPr="009562AD" w:rsidRDefault="008961ED" w:rsidP="008961ED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>Az aripiprazollal összefüggésbe hozott mellékhatások előfordulási arányát az alábbi táblázat tartalmazza. A táblázat a klinikai vizsgálatokban és/vagy a forgalomba hozatal utáni alkalmazás során jelentett nemkívánatos eseményeken alapul.</w:t>
      </w:r>
    </w:p>
    <w:p w14:paraId="7B9DC871" w14:textId="77777777" w:rsidR="008961ED" w:rsidRPr="009562AD" w:rsidRDefault="008961ED" w:rsidP="008961ED">
      <w:pPr>
        <w:pStyle w:val="Default"/>
        <w:rPr>
          <w:sz w:val="22"/>
          <w:szCs w:val="22"/>
        </w:rPr>
      </w:pPr>
    </w:p>
    <w:p w14:paraId="6F1F95C1" w14:textId="77777777" w:rsidR="008961ED" w:rsidRPr="009562AD" w:rsidRDefault="008961ED" w:rsidP="008961ED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>A gyógyszer okozta mellékhatások szervrendszer és gyakoriság alapján vannak felsorolva; nagyon gyakori (≥ 1/10); gyakori (≥ 1/100 </w:t>
      </w:r>
      <w:r w:rsidRPr="009562AD">
        <w:rPr>
          <w:sz w:val="22"/>
          <w:szCs w:val="22"/>
        </w:rPr>
        <w:noBreakHyphen/>
        <w:t> &lt; 1/10); nem gyakori (≥ 1/1000 </w:t>
      </w:r>
      <w:r w:rsidRPr="009562AD">
        <w:rPr>
          <w:sz w:val="22"/>
          <w:szCs w:val="22"/>
        </w:rPr>
        <w:noBreakHyphen/>
        <w:t> &lt; 1/100); ritka (≥ 1/10 000 </w:t>
      </w:r>
      <w:r w:rsidRPr="009562AD">
        <w:rPr>
          <w:sz w:val="22"/>
          <w:szCs w:val="22"/>
        </w:rPr>
        <w:noBreakHyphen/>
        <w:t xml:space="preserve"> &lt; 1/1000), nagyon ritka (&lt; 1/10 000) és nem ismert (a </w:t>
      </w:r>
      <w:r>
        <w:rPr>
          <w:sz w:val="22"/>
          <w:szCs w:val="22"/>
        </w:rPr>
        <w:t xml:space="preserve">gyakoriság a </w:t>
      </w:r>
      <w:r w:rsidRPr="009562AD">
        <w:rPr>
          <w:sz w:val="22"/>
          <w:szCs w:val="22"/>
        </w:rPr>
        <w:t>rendelkezésre álló adatokból nem állapítható meg). Az egyes gyakorisági kategóriákon belül a nemkívánatos hatások csökkenő súlyosság szerint kerülnek megadásra.</w:t>
      </w:r>
    </w:p>
    <w:p w14:paraId="29C0ECF3" w14:textId="77777777" w:rsidR="008961ED" w:rsidRPr="009562AD" w:rsidRDefault="008961ED" w:rsidP="008961ED">
      <w:pPr>
        <w:pStyle w:val="Default"/>
        <w:rPr>
          <w:sz w:val="22"/>
          <w:szCs w:val="22"/>
        </w:rPr>
      </w:pPr>
    </w:p>
    <w:p w14:paraId="694EE60A" w14:textId="77777777" w:rsidR="008961ED" w:rsidRPr="00B52824" w:rsidRDefault="008961ED" w:rsidP="008961ED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>A forgalomba hozatal utáni alkalmazás során jelentett nemkívánatos hatások spontán beszámolókon alapulnak, ezért a gyakoriságuk nem állapítható meg. Emiatt ezeknek a nemkívánatos eseményeknek a gyakoriságát a „nem ismert” kategóriába sorolták.</w:t>
      </w:r>
    </w:p>
    <w:p w14:paraId="12DBFD94" w14:textId="77777777" w:rsidR="008961ED" w:rsidRDefault="008961E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1768"/>
        <w:gridCol w:w="2118"/>
        <w:gridCol w:w="3177"/>
      </w:tblGrid>
      <w:tr w:rsidR="008961ED" w:rsidRPr="009562AD" w14:paraId="4C03356C" w14:textId="77777777" w:rsidTr="00D14832">
        <w:trPr>
          <w:cantSplit/>
          <w:tblHeader/>
        </w:trPr>
        <w:tc>
          <w:tcPr>
            <w:tcW w:w="2020" w:type="dxa"/>
          </w:tcPr>
          <w:p w14:paraId="1C9BD87B" w14:textId="77777777" w:rsidR="008961ED" w:rsidRPr="002045A9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74" w:type="dxa"/>
          </w:tcPr>
          <w:p w14:paraId="21CCA5A0" w14:textId="77777777" w:rsidR="008961ED" w:rsidRPr="00B52824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B52824">
              <w:rPr>
                <w:b/>
                <w:sz w:val="22"/>
                <w:szCs w:val="22"/>
              </w:rPr>
              <w:t>Gyakori</w:t>
            </w:r>
          </w:p>
        </w:tc>
        <w:tc>
          <w:tcPr>
            <w:tcW w:w="2126" w:type="dxa"/>
          </w:tcPr>
          <w:p w14:paraId="42FAB4C8" w14:textId="77777777" w:rsidR="008961ED" w:rsidRPr="00EE7FC2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EE7FC2">
              <w:rPr>
                <w:b/>
                <w:sz w:val="22"/>
                <w:szCs w:val="22"/>
              </w:rPr>
              <w:t>Nem gyakori</w:t>
            </w:r>
          </w:p>
        </w:tc>
        <w:tc>
          <w:tcPr>
            <w:tcW w:w="3345" w:type="dxa"/>
          </w:tcPr>
          <w:p w14:paraId="26F62557" w14:textId="77777777" w:rsidR="008961ED" w:rsidRPr="0094306D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94306D">
              <w:rPr>
                <w:b/>
                <w:sz w:val="22"/>
                <w:szCs w:val="22"/>
              </w:rPr>
              <w:t>Nem ismert</w:t>
            </w:r>
          </w:p>
        </w:tc>
      </w:tr>
      <w:tr w:rsidR="008961ED" w:rsidRPr="009562AD" w14:paraId="34EBA2AB" w14:textId="77777777" w:rsidTr="00D14832">
        <w:trPr>
          <w:cantSplit/>
        </w:trPr>
        <w:tc>
          <w:tcPr>
            <w:tcW w:w="2020" w:type="dxa"/>
          </w:tcPr>
          <w:p w14:paraId="322560A1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774" w:type="dxa"/>
          </w:tcPr>
          <w:p w14:paraId="5EF8C5A5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08C33DE3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4529D301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Leukopenia</w:t>
            </w:r>
          </w:p>
          <w:p w14:paraId="7090A746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Neutropenia</w:t>
            </w:r>
          </w:p>
          <w:p w14:paraId="786E276E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Thrombocytopenia</w:t>
            </w:r>
          </w:p>
        </w:tc>
      </w:tr>
      <w:tr w:rsidR="008961ED" w:rsidRPr="009562AD" w14:paraId="417DB7DF" w14:textId="77777777" w:rsidTr="00D14832">
        <w:trPr>
          <w:cantSplit/>
        </w:trPr>
        <w:tc>
          <w:tcPr>
            <w:tcW w:w="2020" w:type="dxa"/>
          </w:tcPr>
          <w:p w14:paraId="4ECC4FC3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Immunrendszeri betegségek és tünetek</w:t>
            </w:r>
          </w:p>
        </w:tc>
        <w:tc>
          <w:tcPr>
            <w:tcW w:w="1774" w:type="dxa"/>
          </w:tcPr>
          <w:p w14:paraId="0F1CDD49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6161ED25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04D3840E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 xml:space="preserve">Allergiás reakció (pl. anaphylaxiás reakció, angioödéma, ideértve a nyelvduzzanatot, nyelvödémát, arcödémát, </w:t>
            </w:r>
            <w:r>
              <w:rPr>
                <w:sz w:val="22"/>
                <w:szCs w:val="22"/>
              </w:rPr>
              <w:t xml:space="preserve">allergiás </w:t>
            </w:r>
            <w:r w:rsidRPr="0094306D">
              <w:rPr>
                <w:sz w:val="22"/>
                <w:szCs w:val="22"/>
              </w:rPr>
              <w:t>pruritust vagy csalánkiütést is)</w:t>
            </w:r>
          </w:p>
        </w:tc>
      </w:tr>
      <w:tr w:rsidR="008961ED" w:rsidRPr="009562AD" w14:paraId="5C930E36" w14:textId="77777777" w:rsidTr="00D14832">
        <w:trPr>
          <w:cantSplit/>
        </w:trPr>
        <w:tc>
          <w:tcPr>
            <w:tcW w:w="2020" w:type="dxa"/>
          </w:tcPr>
          <w:p w14:paraId="0F03B4FD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Endokrin betegségek és tünetek</w:t>
            </w:r>
          </w:p>
        </w:tc>
        <w:tc>
          <w:tcPr>
            <w:tcW w:w="1774" w:type="dxa"/>
          </w:tcPr>
          <w:p w14:paraId="1C43129F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42E26E4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Hyperprolactinaemia</w:t>
            </w:r>
          </w:p>
          <w:p w14:paraId="0996DD76" w14:textId="77777777" w:rsidR="008961ED" w:rsidRPr="00EE7FC2" w:rsidRDefault="008961ED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vér prolaktinszintjének csökkenése</w:t>
            </w:r>
          </w:p>
        </w:tc>
        <w:tc>
          <w:tcPr>
            <w:tcW w:w="3345" w:type="dxa"/>
          </w:tcPr>
          <w:p w14:paraId="7BBAA92B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Diabeteses hyperosmolaris coma</w:t>
            </w:r>
          </w:p>
          <w:p w14:paraId="42F8C464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Diabeteses ketoacidosis</w:t>
            </w:r>
          </w:p>
        </w:tc>
      </w:tr>
      <w:tr w:rsidR="008961ED" w:rsidRPr="009562AD" w14:paraId="31297EC9" w14:textId="77777777" w:rsidTr="00D14832">
        <w:trPr>
          <w:cantSplit/>
        </w:trPr>
        <w:tc>
          <w:tcPr>
            <w:tcW w:w="2020" w:type="dxa"/>
          </w:tcPr>
          <w:p w14:paraId="10951E50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774" w:type="dxa"/>
          </w:tcPr>
          <w:p w14:paraId="43B89DBB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52824">
              <w:rPr>
                <w:sz w:val="22"/>
                <w:szCs w:val="22"/>
              </w:rPr>
              <w:t>Diabetes mellitus</w:t>
            </w:r>
          </w:p>
        </w:tc>
        <w:tc>
          <w:tcPr>
            <w:tcW w:w="2126" w:type="dxa"/>
          </w:tcPr>
          <w:p w14:paraId="1C87F164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Hypergly</w:t>
            </w:r>
            <w:r>
              <w:rPr>
                <w:sz w:val="22"/>
                <w:szCs w:val="22"/>
              </w:rPr>
              <w:t>k</w:t>
            </w:r>
            <w:r w:rsidRPr="00EE7FC2">
              <w:rPr>
                <w:sz w:val="22"/>
                <w:szCs w:val="22"/>
              </w:rPr>
              <w:t>aemia</w:t>
            </w:r>
          </w:p>
        </w:tc>
        <w:tc>
          <w:tcPr>
            <w:tcW w:w="3345" w:type="dxa"/>
          </w:tcPr>
          <w:p w14:paraId="264456BB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Hyponatraemia</w:t>
            </w:r>
          </w:p>
          <w:p w14:paraId="26C00FC3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Anorexia</w:t>
            </w:r>
          </w:p>
        </w:tc>
      </w:tr>
      <w:tr w:rsidR="008961ED" w:rsidRPr="009562AD" w14:paraId="4CCA0527" w14:textId="77777777" w:rsidTr="00D14832">
        <w:trPr>
          <w:cantSplit/>
        </w:trPr>
        <w:tc>
          <w:tcPr>
            <w:tcW w:w="2020" w:type="dxa"/>
          </w:tcPr>
          <w:p w14:paraId="1FF1C1C8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Pszichiátriai kórképek</w:t>
            </w:r>
          </w:p>
        </w:tc>
        <w:tc>
          <w:tcPr>
            <w:tcW w:w="1774" w:type="dxa"/>
          </w:tcPr>
          <w:p w14:paraId="18A3EA8D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52824">
              <w:rPr>
                <w:sz w:val="22"/>
                <w:szCs w:val="22"/>
              </w:rPr>
              <w:t>Álmatlanság</w:t>
            </w:r>
          </w:p>
          <w:p w14:paraId="6369F558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Szorongás</w:t>
            </w:r>
          </w:p>
          <w:p w14:paraId="72F60DCD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Nyugtalanság</w:t>
            </w:r>
          </w:p>
        </w:tc>
        <w:tc>
          <w:tcPr>
            <w:tcW w:w="2126" w:type="dxa"/>
          </w:tcPr>
          <w:p w14:paraId="647C73B2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Depresszió</w:t>
            </w:r>
          </w:p>
          <w:p w14:paraId="156F682E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Hypersexualitas</w:t>
            </w:r>
          </w:p>
        </w:tc>
        <w:tc>
          <w:tcPr>
            <w:tcW w:w="3345" w:type="dxa"/>
          </w:tcPr>
          <w:p w14:paraId="6DFC717E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Öngyilkossági kísérlet, suicid gondolatok és befejezett öngyilkosság (lásd 4.4 pont)</w:t>
            </w:r>
          </w:p>
          <w:p w14:paraId="4C52215A" w14:textId="121BC6AC" w:rsidR="00BE6AC4" w:rsidRDefault="00BE6AC4" w:rsidP="00D14832">
            <w:pPr>
              <w:pStyle w:val="Default"/>
              <w:rPr>
                <w:sz w:val="22"/>
                <w:szCs w:val="22"/>
              </w:rPr>
            </w:pPr>
            <w:r w:rsidRPr="00BE6AC4">
              <w:rPr>
                <w:sz w:val="22"/>
                <w:szCs w:val="22"/>
              </w:rPr>
              <w:t>Szerencsejáték-betegség</w:t>
            </w:r>
          </w:p>
          <w:p w14:paraId="39590F61" w14:textId="5B119370" w:rsidR="008961ED" w:rsidRPr="009562AD" w:rsidRDefault="008961ED" w:rsidP="00D14832">
            <w:pPr>
              <w:pStyle w:val="Defaul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Impulzuskontroll-zavar</w:t>
            </w:r>
          </w:p>
          <w:p w14:paraId="28AFDB40" w14:textId="77777777" w:rsidR="008961ED" w:rsidRPr="009562AD" w:rsidRDefault="008961ED" w:rsidP="00D14832">
            <w:pPr>
              <w:pStyle w:val="Defaul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Falási rohamok</w:t>
            </w:r>
          </w:p>
          <w:p w14:paraId="7D7AE603" w14:textId="77777777" w:rsidR="008961ED" w:rsidRPr="009562AD" w:rsidRDefault="008961ED" w:rsidP="00D14832">
            <w:pPr>
              <w:pStyle w:val="Defaul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Kényszeres vásárlás</w:t>
            </w:r>
          </w:p>
          <w:p w14:paraId="6ED6F108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1B3489">
              <w:rPr>
                <w:sz w:val="22"/>
                <w:szCs w:val="22"/>
              </w:rPr>
              <w:t>Poriománia</w:t>
            </w:r>
          </w:p>
          <w:p w14:paraId="46E9A822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Agresszivitás</w:t>
            </w:r>
          </w:p>
          <w:p w14:paraId="0CE3ED4E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Izgatottság</w:t>
            </w:r>
          </w:p>
          <w:p w14:paraId="1F1391B8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Idegesség</w:t>
            </w:r>
          </w:p>
        </w:tc>
      </w:tr>
      <w:tr w:rsidR="008961ED" w:rsidRPr="009562AD" w14:paraId="38E7BCE1" w14:textId="77777777" w:rsidTr="00D14832">
        <w:trPr>
          <w:cantSplit/>
        </w:trPr>
        <w:tc>
          <w:tcPr>
            <w:tcW w:w="2020" w:type="dxa"/>
          </w:tcPr>
          <w:p w14:paraId="7D3483A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Idegrendszeri betegségek és tünetek</w:t>
            </w:r>
          </w:p>
        </w:tc>
        <w:tc>
          <w:tcPr>
            <w:tcW w:w="1774" w:type="dxa"/>
          </w:tcPr>
          <w:p w14:paraId="62AC943C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52824">
              <w:rPr>
                <w:sz w:val="22"/>
                <w:szCs w:val="22"/>
              </w:rPr>
              <w:t>Akathisia</w:t>
            </w:r>
          </w:p>
          <w:p w14:paraId="11BF9C8A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Extrapyramidalis zavar</w:t>
            </w:r>
          </w:p>
          <w:p w14:paraId="7EE50C55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Tremor</w:t>
            </w:r>
          </w:p>
          <w:p w14:paraId="34170D8B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Fejfájás</w:t>
            </w:r>
          </w:p>
          <w:p w14:paraId="736F604A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Sedatio</w:t>
            </w:r>
          </w:p>
          <w:p w14:paraId="12CDEC13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Somnolentia</w:t>
            </w:r>
          </w:p>
          <w:p w14:paraId="00E64BAE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Szédülés</w:t>
            </w:r>
          </w:p>
        </w:tc>
        <w:tc>
          <w:tcPr>
            <w:tcW w:w="2126" w:type="dxa"/>
          </w:tcPr>
          <w:p w14:paraId="1DF1FD39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Tardiv dyskinesia</w:t>
            </w:r>
          </w:p>
          <w:p w14:paraId="678C3139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Dystonia</w:t>
            </w:r>
          </w:p>
          <w:p w14:paraId="084941EC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Nyugtalan láb szindróma</w:t>
            </w:r>
          </w:p>
        </w:tc>
        <w:tc>
          <w:tcPr>
            <w:tcW w:w="3345" w:type="dxa"/>
          </w:tcPr>
          <w:p w14:paraId="7D72AD3C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N</w:t>
            </w:r>
            <w:r w:rsidRPr="001B3489">
              <w:rPr>
                <w:sz w:val="22"/>
                <w:szCs w:val="22"/>
              </w:rPr>
              <w:t>euroleptikus malignus szindróma</w:t>
            </w:r>
          </w:p>
          <w:p w14:paraId="336CC0F9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Grand mal típusú roham</w:t>
            </w:r>
          </w:p>
          <w:p w14:paraId="6E33D2C4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S</w:t>
            </w:r>
            <w:r w:rsidRPr="001B3489">
              <w:rPr>
                <w:sz w:val="22"/>
                <w:szCs w:val="22"/>
              </w:rPr>
              <w:t>zerotonin szindróma</w:t>
            </w:r>
          </w:p>
          <w:p w14:paraId="55299FE3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Beszédzavar</w:t>
            </w:r>
          </w:p>
        </w:tc>
      </w:tr>
      <w:tr w:rsidR="008961ED" w:rsidRPr="009562AD" w14:paraId="50DB61DA" w14:textId="77777777" w:rsidTr="00D14832">
        <w:trPr>
          <w:cantSplit/>
        </w:trPr>
        <w:tc>
          <w:tcPr>
            <w:tcW w:w="2020" w:type="dxa"/>
          </w:tcPr>
          <w:p w14:paraId="2D45CF6B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Szembetegségek és szemészeti tünetek</w:t>
            </w:r>
          </w:p>
        </w:tc>
        <w:tc>
          <w:tcPr>
            <w:tcW w:w="1774" w:type="dxa"/>
          </w:tcPr>
          <w:p w14:paraId="6A3300E1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52824">
              <w:rPr>
                <w:sz w:val="22"/>
                <w:szCs w:val="22"/>
              </w:rPr>
              <w:t>Homályos látás</w:t>
            </w:r>
          </w:p>
        </w:tc>
        <w:tc>
          <w:tcPr>
            <w:tcW w:w="2126" w:type="dxa"/>
          </w:tcPr>
          <w:p w14:paraId="41B59CBE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Kettős látás</w:t>
            </w:r>
          </w:p>
          <w:p w14:paraId="6F4AF92A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Fényérzékenység</w:t>
            </w:r>
          </w:p>
        </w:tc>
        <w:tc>
          <w:tcPr>
            <w:tcW w:w="3345" w:type="dxa"/>
          </w:tcPr>
          <w:p w14:paraId="2A45BFCA" w14:textId="77777777" w:rsidR="008961ED" w:rsidRPr="0094306D" w:rsidRDefault="008961ED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Okulogíriás krízis</w:t>
            </w:r>
          </w:p>
        </w:tc>
      </w:tr>
      <w:tr w:rsidR="008961ED" w:rsidRPr="009562AD" w14:paraId="57FDFE67" w14:textId="77777777" w:rsidTr="00D14832">
        <w:trPr>
          <w:cantSplit/>
        </w:trPr>
        <w:tc>
          <w:tcPr>
            <w:tcW w:w="2020" w:type="dxa"/>
          </w:tcPr>
          <w:p w14:paraId="0B45CE40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774" w:type="dxa"/>
          </w:tcPr>
          <w:p w14:paraId="10062FDD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866F71E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Tachycardia</w:t>
            </w:r>
          </w:p>
        </w:tc>
        <w:tc>
          <w:tcPr>
            <w:tcW w:w="3345" w:type="dxa"/>
          </w:tcPr>
          <w:p w14:paraId="01231ED5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A51258">
              <w:rPr>
                <w:sz w:val="22"/>
                <w:szCs w:val="22"/>
              </w:rPr>
              <w:t>Hirtelen</w:t>
            </w:r>
            <w:r>
              <w:rPr>
                <w:sz w:val="22"/>
                <w:szCs w:val="22"/>
              </w:rPr>
              <w:t xml:space="preserve"> bekövetkező, megmagyarázatlan</w:t>
            </w:r>
            <w:r w:rsidRPr="00A51258" w:rsidDel="0034679C">
              <w:rPr>
                <w:sz w:val="22"/>
                <w:szCs w:val="22"/>
              </w:rPr>
              <w:t xml:space="preserve"> </w:t>
            </w:r>
            <w:r w:rsidRPr="00A51258">
              <w:rPr>
                <w:sz w:val="22"/>
                <w:szCs w:val="22"/>
              </w:rPr>
              <w:t>halál</w:t>
            </w:r>
            <w:r>
              <w:rPr>
                <w:sz w:val="22"/>
                <w:szCs w:val="22"/>
              </w:rPr>
              <w:t xml:space="preserve"> </w:t>
            </w:r>
          </w:p>
          <w:p w14:paraId="3B627831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Torsades de pointes</w:t>
            </w:r>
          </w:p>
          <w:p w14:paraId="4BA9CD16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Ventricularis arrhythmia</w:t>
            </w:r>
          </w:p>
          <w:p w14:paraId="4C2DAFC4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Szív</w:t>
            </w:r>
            <w:r>
              <w:rPr>
                <w:sz w:val="22"/>
                <w:szCs w:val="22"/>
              </w:rPr>
              <w:t>meg</w:t>
            </w:r>
            <w:r w:rsidRPr="009562AD">
              <w:rPr>
                <w:sz w:val="22"/>
                <w:szCs w:val="22"/>
              </w:rPr>
              <w:t>állás</w:t>
            </w:r>
          </w:p>
          <w:p w14:paraId="0FBCC5D4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Bradycardia</w:t>
            </w:r>
          </w:p>
        </w:tc>
      </w:tr>
      <w:tr w:rsidR="008961ED" w:rsidRPr="009562AD" w14:paraId="7EA4DE32" w14:textId="77777777" w:rsidTr="00D14832">
        <w:trPr>
          <w:cantSplit/>
        </w:trPr>
        <w:tc>
          <w:tcPr>
            <w:tcW w:w="2020" w:type="dxa"/>
          </w:tcPr>
          <w:p w14:paraId="46158B96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Érbetegségek és tünetek</w:t>
            </w:r>
          </w:p>
        </w:tc>
        <w:tc>
          <w:tcPr>
            <w:tcW w:w="1774" w:type="dxa"/>
          </w:tcPr>
          <w:p w14:paraId="4398CEFC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8497D0D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Orthostaticus hypotonia</w:t>
            </w:r>
          </w:p>
        </w:tc>
        <w:tc>
          <w:tcPr>
            <w:tcW w:w="3345" w:type="dxa"/>
          </w:tcPr>
          <w:p w14:paraId="164F3DF5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 xml:space="preserve">Venás thromboembolisatio </w:t>
            </w:r>
            <w:r w:rsidRPr="009562AD">
              <w:rPr>
                <w:sz w:val="22"/>
                <w:szCs w:val="22"/>
              </w:rPr>
              <w:t>(beleértve a pulmonalis emboliát és a mélyvénás thrombosist)</w:t>
            </w:r>
          </w:p>
          <w:p w14:paraId="7908987F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Hypertonia</w:t>
            </w:r>
          </w:p>
          <w:p w14:paraId="59CF3EB0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Syncope</w:t>
            </w:r>
          </w:p>
        </w:tc>
      </w:tr>
      <w:tr w:rsidR="008961ED" w:rsidRPr="009562AD" w14:paraId="61FE9082" w14:textId="77777777" w:rsidTr="00D14832">
        <w:trPr>
          <w:cantSplit/>
        </w:trPr>
        <w:tc>
          <w:tcPr>
            <w:tcW w:w="2020" w:type="dxa"/>
          </w:tcPr>
          <w:p w14:paraId="15ED1276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1774" w:type="dxa"/>
          </w:tcPr>
          <w:p w14:paraId="42E9FABB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2544A4D0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Csuklás</w:t>
            </w:r>
          </w:p>
        </w:tc>
        <w:tc>
          <w:tcPr>
            <w:tcW w:w="3345" w:type="dxa"/>
          </w:tcPr>
          <w:p w14:paraId="557380F9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Aspirációs pneumonia</w:t>
            </w:r>
          </w:p>
          <w:p w14:paraId="4B27C040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Laryngospasmus</w:t>
            </w:r>
          </w:p>
          <w:p w14:paraId="4F073163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Oropharyngealis görcs</w:t>
            </w:r>
          </w:p>
        </w:tc>
      </w:tr>
      <w:tr w:rsidR="008961ED" w:rsidRPr="009562AD" w14:paraId="76627189" w14:textId="77777777" w:rsidTr="00D14832">
        <w:trPr>
          <w:cantSplit/>
        </w:trPr>
        <w:tc>
          <w:tcPr>
            <w:tcW w:w="2020" w:type="dxa"/>
          </w:tcPr>
          <w:p w14:paraId="7DFABA7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774" w:type="dxa"/>
          </w:tcPr>
          <w:p w14:paraId="16D169DD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52824">
              <w:rPr>
                <w:sz w:val="22"/>
                <w:szCs w:val="22"/>
              </w:rPr>
              <w:t>Székrekedés</w:t>
            </w:r>
          </w:p>
          <w:p w14:paraId="7AD700F3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EE7FC2">
              <w:rPr>
                <w:sz w:val="22"/>
                <w:szCs w:val="22"/>
              </w:rPr>
              <w:t>Dyspepsia</w:t>
            </w:r>
          </w:p>
          <w:p w14:paraId="254C56ED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Hányinger</w:t>
            </w:r>
          </w:p>
          <w:p w14:paraId="7CAF8442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  <w:lang w:bidi="hu-HU"/>
              </w:rPr>
              <w:t>Fokozott nyáltermelés</w:t>
            </w:r>
          </w:p>
          <w:p w14:paraId="7471C0B9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Hányás</w:t>
            </w:r>
          </w:p>
        </w:tc>
        <w:tc>
          <w:tcPr>
            <w:tcW w:w="2126" w:type="dxa"/>
          </w:tcPr>
          <w:p w14:paraId="4AFB7703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C118708" w14:textId="77777777" w:rsidR="008961ED" w:rsidRPr="00DB2E63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DB2E63">
              <w:rPr>
                <w:sz w:val="22"/>
                <w:szCs w:val="22"/>
              </w:rPr>
              <w:t>Pancreatitis</w:t>
            </w:r>
          </w:p>
          <w:p w14:paraId="377608AF" w14:textId="77777777" w:rsidR="008961ED" w:rsidRPr="00795A1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795A19">
              <w:rPr>
                <w:sz w:val="22"/>
                <w:szCs w:val="22"/>
              </w:rPr>
              <w:t>Dysphagia</w:t>
            </w:r>
          </w:p>
          <w:p w14:paraId="4638060E" w14:textId="77777777" w:rsidR="008961ED" w:rsidRPr="00611446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11446">
              <w:rPr>
                <w:sz w:val="22"/>
                <w:szCs w:val="22"/>
              </w:rPr>
              <w:t>Hasmenés</w:t>
            </w:r>
          </w:p>
          <w:p w14:paraId="6E4D10D0" w14:textId="77777777" w:rsidR="008961ED" w:rsidRPr="00FD5B97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611446">
              <w:rPr>
                <w:sz w:val="22"/>
                <w:szCs w:val="22"/>
                <w:lang w:bidi="hu-HU"/>
              </w:rPr>
              <w:t>Hasi diszkomfort</w:t>
            </w:r>
          </w:p>
          <w:p w14:paraId="1D8AF194" w14:textId="77777777" w:rsidR="008961ED" w:rsidRPr="00DB2E63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D5B97">
              <w:rPr>
                <w:sz w:val="22"/>
                <w:szCs w:val="22"/>
                <w:lang w:bidi="hu-HU"/>
              </w:rPr>
              <w:t xml:space="preserve">Gyomortáji </w:t>
            </w:r>
            <w:r w:rsidRPr="00F9457F">
              <w:rPr>
                <w:sz w:val="22"/>
                <w:szCs w:val="22"/>
              </w:rPr>
              <w:t>diszkomfort</w:t>
            </w:r>
          </w:p>
        </w:tc>
      </w:tr>
      <w:tr w:rsidR="008961ED" w:rsidRPr="009562AD" w14:paraId="748698EB" w14:textId="77777777" w:rsidTr="00D14832">
        <w:trPr>
          <w:cantSplit/>
        </w:trPr>
        <w:tc>
          <w:tcPr>
            <w:tcW w:w="2020" w:type="dxa"/>
          </w:tcPr>
          <w:p w14:paraId="39AA8C81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Máj- és epebetegségek, illetve tünetek</w:t>
            </w:r>
          </w:p>
        </w:tc>
        <w:tc>
          <w:tcPr>
            <w:tcW w:w="1774" w:type="dxa"/>
          </w:tcPr>
          <w:p w14:paraId="5EDD14E4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62775B79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17FD1956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Májelégtelenség</w:t>
            </w:r>
          </w:p>
          <w:p w14:paraId="63C1ACB1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Hepatitis</w:t>
            </w:r>
          </w:p>
          <w:p w14:paraId="180AE1D6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Sárgaság</w:t>
            </w:r>
          </w:p>
        </w:tc>
      </w:tr>
      <w:tr w:rsidR="008961ED" w:rsidRPr="009562AD" w14:paraId="560244E2" w14:textId="77777777" w:rsidTr="00D14832">
        <w:trPr>
          <w:cantSplit/>
        </w:trPr>
        <w:tc>
          <w:tcPr>
            <w:tcW w:w="2020" w:type="dxa"/>
          </w:tcPr>
          <w:p w14:paraId="6AA568D4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774" w:type="dxa"/>
          </w:tcPr>
          <w:p w14:paraId="66B377C9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0E075402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4A2E791D" w14:textId="77777777" w:rsidR="008961ED" w:rsidRDefault="008961ED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Kiütés</w:t>
            </w:r>
          </w:p>
          <w:p w14:paraId="73E923B3" w14:textId="77777777" w:rsidR="008961ED" w:rsidRDefault="008961ED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Photosensitivitasos reakció</w:t>
            </w:r>
          </w:p>
          <w:p w14:paraId="520B85E2" w14:textId="77777777" w:rsidR="008961ED" w:rsidRDefault="008961ED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Alopecia</w:t>
            </w:r>
          </w:p>
          <w:p w14:paraId="1F1C12AF" w14:textId="77777777" w:rsidR="008961ED" w:rsidRDefault="008961ED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Hyperhidrosis</w:t>
            </w:r>
          </w:p>
          <w:p w14:paraId="1305866A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Eosinophiliával és szisztémás tünetekkel járó gyógyszerreakció (DRESS-szindróma) </w:t>
            </w:r>
          </w:p>
        </w:tc>
      </w:tr>
      <w:tr w:rsidR="008961ED" w:rsidRPr="009562AD" w14:paraId="79D6A027" w14:textId="77777777" w:rsidTr="00D14832">
        <w:trPr>
          <w:cantSplit/>
        </w:trPr>
        <w:tc>
          <w:tcPr>
            <w:tcW w:w="2020" w:type="dxa"/>
          </w:tcPr>
          <w:p w14:paraId="30196AAB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774" w:type="dxa"/>
          </w:tcPr>
          <w:p w14:paraId="5A1DF06B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499D31F4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E924BDD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Rhabdomyolysis</w:t>
            </w:r>
          </w:p>
          <w:p w14:paraId="3D75182E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Myalgia</w:t>
            </w:r>
          </w:p>
          <w:p w14:paraId="502D6DB5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Izommerevség</w:t>
            </w:r>
          </w:p>
        </w:tc>
      </w:tr>
      <w:tr w:rsidR="008961ED" w:rsidRPr="009562AD" w14:paraId="3E278C6A" w14:textId="77777777" w:rsidTr="00D14832">
        <w:trPr>
          <w:cantSplit/>
        </w:trPr>
        <w:tc>
          <w:tcPr>
            <w:tcW w:w="2020" w:type="dxa"/>
          </w:tcPr>
          <w:p w14:paraId="39CAEB7C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Vese- és húgyúti betegségek és tünetek</w:t>
            </w:r>
          </w:p>
        </w:tc>
        <w:tc>
          <w:tcPr>
            <w:tcW w:w="1774" w:type="dxa"/>
          </w:tcPr>
          <w:p w14:paraId="38B8BC81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22246D24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6A7BD478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Vizelet-incontinentia</w:t>
            </w:r>
          </w:p>
          <w:p w14:paraId="2B92E9FE" w14:textId="77777777" w:rsidR="008961ED" w:rsidRPr="00DB4297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9457F">
              <w:rPr>
                <w:sz w:val="22"/>
                <w:szCs w:val="22"/>
              </w:rPr>
              <w:t>Vizeletretenció</w:t>
            </w:r>
          </w:p>
        </w:tc>
      </w:tr>
      <w:tr w:rsidR="008961ED" w:rsidRPr="009562AD" w14:paraId="69695638" w14:textId="77777777" w:rsidTr="00D14832">
        <w:trPr>
          <w:cantSplit/>
        </w:trPr>
        <w:tc>
          <w:tcPr>
            <w:tcW w:w="2020" w:type="dxa"/>
          </w:tcPr>
          <w:p w14:paraId="0E42A1D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terhesség, a gyermekágyi és a perinatális időszak alatt jelentkező betegségek és tünetek</w:t>
            </w:r>
          </w:p>
        </w:tc>
        <w:tc>
          <w:tcPr>
            <w:tcW w:w="1774" w:type="dxa"/>
          </w:tcPr>
          <w:p w14:paraId="2D486F95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4EED67DE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04B68718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Újszülöttkori gyógyszermegvonási tünetegyüttes (lásd 4.6</w:t>
            </w:r>
            <w:r w:rsidRPr="000E02A8">
              <w:rPr>
                <w:sz w:val="22"/>
                <w:szCs w:val="22"/>
              </w:rPr>
              <w:t> pont)</w:t>
            </w:r>
          </w:p>
        </w:tc>
      </w:tr>
      <w:tr w:rsidR="008961ED" w:rsidRPr="009562AD" w14:paraId="18B50083" w14:textId="77777777" w:rsidTr="00D14832">
        <w:trPr>
          <w:cantSplit/>
        </w:trPr>
        <w:tc>
          <w:tcPr>
            <w:tcW w:w="2020" w:type="dxa"/>
          </w:tcPr>
          <w:p w14:paraId="091D8C85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774" w:type="dxa"/>
          </w:tcPr>
          <w:p w14:paraId="4DA48C8D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3CB0ECF1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6A7EACB8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Priapismus</w:t>
            </w:r>
          </w:p>
        </w:tc>
      </w:tr>
      <w:tr w:rsidR="008961ED" w:rsidRPr="009562AD" w14:paraId="572EE9AD" w14:textId="77777777" w:rsidTr="00D14832">
        <w:trPr>
          <w:cantSplit/>
        </w:trPr>
        <w:tc>
          <w:tcPr>
            <w:tcW w:w="2020" w:type="dxa"/>
          </w:tcPr>
          <w:p w14:paraId="72E16A1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774" w:type="dxa"/>
          </w:tcPr>
          <w:p w14:paraId="4CB0FA82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B52824">
              <w:rPr>
                <w:sz w:val="22"/>
                <w:szCs w:val="22"/>
              </w:rPr>
              <w:t>Kimerültség</w:t>
            </w:r>
          </w:p>
        </w:tc>
        <w:tc>
          <w:tcPr>
            <w:tcW w:w="2126" w:type="dxa"/>
          </w:tcPr>
          <w:p w14:paraId="3C871F93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6D315C8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Testhőmérséklet szabályozás zavara</w:t>
            </w:r>
            <w:r w:rsidRPr="000E02A8">
              <w:rPr>
                <w:sz w:val="22"/>
                <w:szCs w:val="22"/>
              </w:rPr>
              <w:t xml:space="preserve"> (pl. hypothermia, láz)</w:t>
            </w:r>
          </w:p>
          <w:p w14:paraId="0AF76929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Mellkasi fájdalom</w:t>
            </w:r>
          </w:p>
          <w:p w14:paraId="5089F2A8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Perifériás ödéma</w:t>
            </w:r>
          </w:p>
        </w:tc>
      </w:tr>
      <w:tr w:rsidR="008961ED" w:rsidRPr="009562AD" w14:paraId="6187317F" w14:textId="77777777" w:rsidTr="00D14832">
        <w:trPr>
          <w:cantSplit/>
        </w:trPr>
        <w:tc>
          <w:tcPr>
            <w:tcW w:w="2020" w:type="dxa"/>
          </w:tcPr>
          <w:p w14:paraId="3DC77919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774" w:type="dxa"/>
          </w:tcPr>
          <w:p w14:paraId="287D9976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7575147D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79FEA56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Testtömeg</w:t>
            </w:r>
            <w:r>
              <w:rPr>
                <w:sz w:val="22"/>
                <w:szCs w:val="22"/>
              </w:rPr>
              <w:noBreakHyphen/>
              <w:t>csökkenés</w:t>
            </w:r>
          </w:p>
          <w:p w14:paraId="3CEDA083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Testtömeg</w:t>
            </w:r>
            <w:r>
              <w:rPr>
                <w:sz w:val="22"/>
                <w:szCs w:val="22"/>
              </w:rPr>
              <w:noBreakHyphen/>
              <w:t>gyarapodás</w:t>
            </w:r>
          </w:p>
          <w:p w14:paraId="03338F12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 xml:space="preserve">Emelkedett </w:t>
            </w:r>
            <w:r>
              <w:rPr>
                <w:sz w:val="22"/>
                <w:szCs w:val="22"/>
              </w:rPr>
              <w:t xml:space="preserve">glutamát-piruvát-transzamináz-szint </w:t>
            </w:r>
            <w:r w:rsidRPr="009562AD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GPT</w:t>
            </w:r>
            <w:r w:rsidRPr="000E02A8">
              <w:rPr>
                <w:sz w:val="22"/>
                <w:szCs w:val="22"/>
              </w:rPr>
              <w:t>)</w:t>
            </w:r>
          </w:p>
          <w:p w14:paraId="6C0451F8" w14:textId="77777777" w:rsidR="008961ED" w:rsidRPr="000E02A8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 xml:space="preserve">Emelkedett </w:t>
            </w:r>
            <w:r>
              <w:rPr>
                <w:sz w:val="22"/>
                <w:szCs w:val="22"/>
              </w:rPr>
              <w:t>glutamát-oxálacetát-transzamináz-szint</w:t>
            </w:r>
            <w:r w:rsidRPr="009562AD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GOT</w:t>
            </w:r>
            <w:r w:rsidRPr="000E02A8">
              <w:rPr>
                <w:sz w:val="22"/>
                <w:szCs w:val="22"/>
              </w:rPr>
              <w:t>)</w:t>
            </w:r>
          </w:p>
          <w:p w14:paraId="7CC98C48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Emelkedett gamma-glutamil-transzferáz</w:t>
            </w:r>
            <w:r>
              <w:rPr>
                <w:sz w:val="22"/>
                <w:szCs w:val="22"/>
              </w:rPr>
              <w:t>-szint</w:t>
            </w:r>
            <w:r w:rsidRPr="009562AD">
              <w:rPr>
                <w:sz w:val="22"/>
                <w:szCs w:val="22"/>
              </w:rPr>
              <w:t xml:space="preserve"> (GGT)</w:t>
            </w:r>
          </w:p>
          <w:p w14:paraId="5B179A5E" w14:textId="77777777" w:rsidR="008961E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Emelkedett alkalikus-foszfatáz</w:t>
            </w:r>
            <w:r>
              <w:rPr>
                <w:sz w:val="22"/>
                <w:szCs w:val="22"/>
              </w:rPr>
              <w:t>-szint</w:t>
            </w:r>
          </w:p>
          <w:p w14:paraId="3389FDDD" w14:textId="77777777" w:rsidR="008961ED" w:rsidRDefault="008961ED" w:rsidP="00D14832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QT</w:t>
            </w:r>
            <w:r>
              <w:rPr>
                <w:sz w:val="22"/>
                <w:szCs w:val="22"/>
              </w:rPr>
              <w:noBreakHyphen/>
              <w:t xml:space="preserve">megnyúlás </w:t>
            </w:r>
          </w:p>
          <w:p w14:paraId="4FDCC879" w14:textId="77777777" w:rsidR="008961ED" w:rsidRPr="0094306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4306D">
              <w:rPr>
                <w:sz w:val="22"/>
                <w:szCs w:val="22"/>
              </w:rPr>
              <w:t>Emelkedett vércukorszint</w:t>
            </w:r>
          </w:p>
          <w:p w14:paraId="6403A4D8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0E02A8">
              <w:rPr>
                <w:sz w:val="22"/>
                <w:szCs w:val="22"/>
              </w:rPr>
              <w:t>Emelkedett glikozilált haemoglobin</w:t>
            </w:r>
            <w:r>
              <w:rPr>
                <w:sz w:val="22"/>
                <w:szCs w:val="22"/>
              </w:rPr>
              <w:t>-</w:t>
            </w:r>
            <w:r w:rsidRPr="000E02A8">
              <w:rPr>
                <w:sz w:val="22"/>
                <w:szCs w:val="22"/>
              </w:rPr>
              <w:t>szint</w:t>
            </w:r>
          </w:p>
          <w:p w14:paraId="7AD7D8F8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</w:rPr>
              <w:t>A vércukorszint ingadozása</w:t>
            </w:r>
          </w:p>
          <w:p w14:paraId="45AB8E84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9562AD">
              <w:rPr>
                <w:sz w:val="22"/>
                <w:szCs w:val="22"/>
                <w:lang w:bidi="hu-HU"/>
              </w:rPr>
              <w:t>Emelkedett kreatin-foszfokináz</w:t>
            </w:r>
            <w:r>
              <w:rPr>
                <w:sz w:val="22"/>
                <w:szCs w:val="22"/>
                <w:lang w:bidi="hu-HU"/>
              </w:rPr>
              <w:t>-szint</w:t>
            </w:r>
          </w:p>
        </w:tc>
      </w:tr>
    </w:tbl>
    <w:p w14:paraId="2ABEC6F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73E3C98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Egyes kiválasztott mellékhatások leírása</w:t>
      </w:r>
    </w:p>
    <w:p w14:paraId="04B7D535" w14:textId="77777777" w:rsidR="008961ED" w:rsidRDefault="008961ED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1B7B0189" w14:textId="77777777" w:rsidR="00694A3F" w:rsidRPr="00975921" w:rsidRDefault="00694A3F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  <w:u w:val="none"/>
        </w:rPr>
      </w:pPr>
      <w:r>
        <w:rPr>
          <w:rStyle w:val="Bodytext31"/>
          <w:i/>
          <w:iCs/>
          <w:color w:val="auto"/>
          <w:sz w:val="22"/>
          <w:szCs w:val="22"/>
          <w:u w:val="none"/>
        </w:rPr>
        <w:t>Felnőttek</w:t>
      </w:r>
    </w:p>
    <w:p w14:paraId="58F6AFD9" w14:textId="77777777" w:rsidR="00694A3F" w:rsidRDefault="00694A3F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0AC4F1D3" w14:textId="77777777" w:rsidR="008961ED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Extrapiramidális tünetek (EPS)</w:t>
      </w:r>
    </w:p>
    <w:p w14:paraId="407DE4E6" w14:textId="6822D74F" w:rsidR="00B052B1" w:rsidRPr="00336525" w:rsidRDefault="00777594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A03E58">
        <w:rPr>
          <w:i w:val="0"/>
          <w:sz w:val="22"/>
          <w:szCs w:val="22"/>
          <w:lang w:val="hu-HU"/>
        </w:rPr>
        <w:t>Schizophrenia</w:t>
      </w:r>
      <w:r w:rsidR="00694A3F">
        <w:rPr>
          <w:i w:val="0"/>
          <w:sz w:val="22"/>
          <w:szCs w:val="22"/>
          <w:lang w:val="hu-HU"/>
        </w:rPr>
        <w:t>:</w:t>
      </w:r>
      <w:r w:rsidRPr="00336525">
        <w:rPr>
          <w:i w:val="0"/>
          <w:sz w:val="22"/>
          <w:szCs w:val="22"/>
          <w:lang w:val="hu-HU"/>
        </w:rPr>
        <w:t xml:space="preserve"> egy 52 hetes, hosszú</w:t>
      </w:r>
      <w:r w:rsidR="00026020">
        <w:rPr>
          <w:i w:val="0"/>
          <w:sz w:val="22"/>
          <w:szCs w:val="22"/>
          <w:lang w:val="hu-HU"/>
        </w:rPr>
        <w:t xml:space="preserve"> </w:t>
      </w:r>
      <w:r w:rsidRPr="00336525">
        <w:rPr>
          <w:i w:val="0"/>
          <w:sz w:val="22"/>
          <w:szCs w:val="22"/>
          <w:lang w:val="hu-HU"/>
        </w:rPr>
        <w:t>távú, kontrollos klinikai vizsgálatban az aripiprazollal kezelt betegekben az EPS, beleértve a parkinsonismust, akathisiát, dystoniát és dyskinesiát</w:t>
      </w:r>
      <w:r w:rsidR="009F741A" w:rsidRPr="00336525">
        <w:rPr>
          <w:i w:val="0"/>
          <w:sz w:val="22"/>
          <w:szCs w:val="22"/>
          <w:lang w:val="hu-HU"/>
        </w:rPr>
        <w:t>,</w:t>
      </w:r>
      <w:r w:rsidRPr="00336525">
        <w:rPr>
          <w:i w:val="0"/>
          <w:sz w:val="22"/>
          <w:szCs w:val="22"/>
          <w:lang w:val="hu-HU"/>
        </w:rPr>
        <w:t xml:space="preserve"> összességében ritkábban fordult elő (25,8%), mint </w:t>
      </w:r>
      <w:r w:rsidR="00694A3F" w:rsidRPr="0017524C">
        <w:rPr>
          <w:i w:val="0"/>
          <w:sz w:val="22"/>
          <w:szCs w:val="22"/>
          <w:lang w:val="hu-HU"/>
        </w:rPr>
        <w:t>azoknál</w:t>
      </w:r>
      <w:r w:rsidR="00694A3F">
        <w:rPr>
          <w:i w:val="0"/>
          <w:sz w:val="22"/>
          <w:szCs w:val="22"/>
          <w:lang w:val="hu-HU"/>
        </w:rPr>
        <w:t xml:space="preserve">, </w:t>
      </w:r>
      <w:r w:rsidRPr="00336525">
        <w:rPr>
          <w:i w:val="0"/>
          <w:sz w:val="22"/>
          <w:szCs w:val="22"/>
          <w:lang w:val="hu-HU"/>
        </w:rPr>
        <w:t>akiket haloperidollal kezeltek (57,3%). Egy 26</w:t>
      </w:r>
      <w:r w:rsidR="00E96E8B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hetes, </w:t>
      </w:r>
      <w:r w:rsidRPr="0017524C">
        <w:rPr>
          <w:i w:val="0"/>
          <w:sz w:val="22"/>
          <w:szCs w:val="22"/>
          <w:lang w:val="hu-HU"/>
        </w:rPr>
        <w:t>hosszú</w:t>
      </w:r>
      <w:r w:rsidR="0017524C">
        <w:rPr>
          <w:i w:val="0"/>
          <w:sz w:val="22"/>
          <w:szCs w:val="22"/>
          <w:lang w:val="hu-HU"/>
        </w:rPr>
        <w:t xml:space="preserve"> </w:t>
      </w:r>
      <w:r w:rsidRPr="0017524C">
        <w:rPr>
          <w:i w:val="0"/>
          <w:sz w:val="22"/>
          <w:szCs w:val="22"/>
          <w:lang w:val="hu-HU"/>
        </w:rPr>
        <w:t>távú</w:t>
      </w:r>
      <w:r w:rsidRPr="00336525">
        <w:rPr>
          <w:i w:val="0"/>
          <w:sz w:val="22"/>
          <w:szCs w:val="22"/>
          <w:lang w:val="hu-HU"/>
        </w:rPr>
        <w:t xml:space="preserve">, placebokontrollos vizsgálatban az EPS előfordulási gyakorisága 19% volt az aripiprazollal kezelt és 13,1% a placebóval kezelt betegeknél. Egy másik </w:t>
      </w:r>
      <w:r w:rsidRPr="0017524C">
        <w:rPr>
          <w:i w:val="0"/>
          <w:sz w:val="22"/>
          <w:szCs w:val="22"/>
          <w:lang w:val="hu-HU"/>
        </w:rPr>
        <w:t>hosszú</w:t>
      </w:r>
      <w:r w:rsidR="000021B1" w:rsidRPr="0017524C">
        <w:rPr>
          <w:i w:val="0"/>
          <w:sz w:val="22"/>
          <w:szCs w:val="22"/>
          <w:lang w:val="hu-HU"/>
        </w:rPr>
        <w:t xml:space="preserve"> </w:t>
      </w:r>
      <w:r w:rsidRPr="0017524C">
        <w:rPr>
          <w:i w:val="0"/>
          <w:sz w:val="22"/>
          <w:szCs w:val="22"/>
          <w:lang w:val="hu-HU"/>
        </w:rPr>
        <w:t>távú</w:t>
      </w:r>
      <w:r w:rsidRPr="00336525">
        <w:rPr>
          <w:i w:val="0"/>
          <w:sz w:val="22"/>
          <w:szCs w:val="22"/>
          <w:lang w:val="hu-HU"/>
        </w:rPr>
        <w:t>, 26</w:t>
      </w:r>
      <w:r w:rsidR="00E96E8B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>hetes, kontrollos vizsgálatban az EPS előfordulási gyakorisága 14,8% volt az aripiprazollal kezelt betegeknél, és 15,1% az olanzapinnal kezelt betegeknél.</w:t>
      </w:r>
    </w:p>
    <w:p w14:paraId="38C31CB4" w14:textId="77777777" w:rsidR="00E96E8B" w:rsidRPr="00336525" w:rsidRDefault="00E96E8B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3030F45E" w14:textId="1BAADD60" w:rsidR="00777594" w:rsidRPr="00336525" w:rsidRDefault="00777594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Cs w:val="0"/>
          <w:sz w:val="22"/>
          <w:szCs w:val="22"/>
          <w:lang w:val="hu-HU"/>
        </w:rPr>
        <w:t>Mániás epizódok bipoláris affektív zavar I</w:t>
      </w:r>
      <w:r w:rsidR="00E96E8B" w:rsidRPr="00336525">
        <w:rPr>
          <w:iCs w:val="0"/>
          <w:sz w:val="22"/>
          <w:szCs w:val="22"/>
          <w:lang w:val="hu-HU"/>
        </w:rPr>
        <w:noBreakHyphen/>
      </w:r>
      <w:r w:rsidRPr="00336525">
        <w:rPr>
          <w:iCs w:val="0"/>
          <w:sz w:val="22"/>
          <w:szCs w:val="22"/>
          <w:lang w:val="hu-HU"/>
        </w:rPr>
        <w:t>es típusában</w:t>
      </w:r>
      <w:r w:rsidR="00694A3F">
        <w:rPr>
          <w:iCs w:val="0"/>
          <w:sz w:val="22"/>
          <w:szCs w:val="22"/>
          <w:lang w:val="hu-HU"/>
        </w:rPr>
        <w:t>:</w:t>
      </w:r>
      <w:r w:rsidRPr="00336525">
        <w:rPr>
          <w:i w:val="0"/>
          <w:iCs w:val="0"/>
          <w:sz w:val="22"/>
          <w:szCs w:val="22"/>
          <w:lang w:val="hu-HU"/>
        </w:rPr>
        <w:t xml:space="preserve"> </w:t>
      </w:r>
      <w:r w:rsidRPr="00336525">
        <w:rPr>
          <w:i w:val="0"/>
          <w:sz w:val="22"/>
          <w:szCs w:val="22"/>
          <w:lang w:val="hu-HU"/>
        </w:rPr>
        <w:t>egy 12</w:t>
      </w:r>
      <w:r w:rsidR="00E96E8B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>hetes kontrollos klinikai vizsgálatban az EPS előfordulási gyakorisága 23,5% volt az aripiprazollal kezelt betegekben és 53,3% a haloperidollal kezelt betegek esetében. Egy másik 12</w:t>
      </w:r>
      <w:r w:rsidR="00DC5E81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>hetes vizsgálatban az EPS előfordulási gyakorisága 26,6% volt az aripiprazollal kezelt betegekben és 17,6% azoknál, akiket lítiummal kezeltek. A hosszútávú 26 hetes, placebokontrollos klinikai vizsgálat fenntartó fázisában az EPS előfordulási gyakorisága 18,2% volt az aripiprazollal kezelt betegek esetében és 15,7% a placebóval kezeltek csoportjában.</w:t>
      </w:r>
    </w:p>
    <w:p w14:paraId="611B7EDB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76DE870D" w14:textId="77777777" w:rsidR="00694A3F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Akathisia</w:t>
      </w:r>
    </w:p>
    <w:p w14:paraId="51EFE25A" w14:textId="04FB600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 xml:space="preserve">Placebokontrollos vizsgálatokban az akathisia előfordulási gyakorisága bipoláris betegekben 12,1% volt </w:t>
      </w:r>
      <w:r w:rsidR="009F741A" w:rsidRPr="00336525">
        <w:rPr>
          <w:i w:val="0"/>
          <w:sz w:val="22"/>
          <w:szCs w:val="22"/>
          <w:lang w:val="hu-HU"/>
        </w:rPr>
        <w:t xml:space="preserve">az </w:t>
      </w:r>
      <w:r w:rsidRPr="00336525">
        <w:rPr>
          <w:i w:val="0"/>
          <w:sz w:val="22"/>
          <w:szCs w:val="22"/>
          <w:lang w:val="hu-HU"/>
        </w:rPr>
        <w:t>aripiprazol</w:t>
      </w:r>
      <w:r w:rsidR="00026020">
        <w:rPr>
          <w:i w:val="0"/>
          <w:sz w:val="22"/>
          <w:szCs w:val="22"/>
          <w:lang w:val="hu-HU"/>
        </w:rPr>
        <w:t>-</w:t>
      </w:r>
      <w:r w:rsidRPr="00336525">
        <w:rPr>
          <w:i w:val="0"/>
          <w:sz w:val="22"/>
          <w:szCs w:val="22"/>
          <w:lang w:val="hu-HU"/>
        </w:rPr>
        <w:t xml:space="preserve"> és 3,2% </w:t>
      </w:r>
      <w:r w:rsidR="009F741A" w:rsidRPr="00336525">
        <w:rPr>
          <w:i w:val="0"/>
          <w:sz w:val="22"/>
          <w:szCs w:val="22"/>
          <w:lang w:val="hu-HU"/>
        </w:rPr>
        <w:t xml:space="preserve">a </w:t>
      </w:r>
      <w:r w:rsidRPr="00336525">
        <w:rPr>
          <w:i w:val="0"/>
          <w:sz w:val="22"/>
          <w:szCs w:val="22"/>
          <w:lang w:val="hu-HU"/>
        </w:rPr>
        <w:t xml:space="preserve">placebokezelés </w:t>
      </w:r>
      <w:r w:rsidR="00777594" w:rsidRPr="00336525">
        <w:rPr>
          <w:i w:val="0"/>
          <w:sz w:val="22"/>
          <w:szCs w:val="22"/>
          <w:lang w:val="hu-HU"/>
        </w:rPr>
        <w:t>mellett</w:t>
      </w:r>
      <w:r w:rsidRPr="00336525">
        <w:rPr>
          <w:i w:val="0"/>
          <w:sz w:val="22"/>
          <w:szCs w:val="22"/>
          <w:lang w:val="hu-HU"/>
        </w:rPr>
        <w:t xml:space="preserve">. Schizophreniás betegekben az akathisia előfordulási gyakorisága 6,2% volt </w:t>
      </w:r>
      <w:r w:rsidR="009F741A" w:rsidRPr="00336525">
        <w:rPr>
          <w:i w:val="0"/>
          <w:sz w:val="22"/>
          <w:szCs w:val="22"/>
          <w:lang w:val="hu-HU"/>
        </w:rPr>
        <w:t xml:space="preserve">az </w:t>
      </w:r>
      <w:r w:rsidRPr="00336525">
        <w:rPr>
          <w:i w:val="0"/>
          <w:sz w:val="22"/>
          <w:szCs w:val="22"/>
          <w:lang w:val="hu-HU"/>
        </w:rPr>
        <w:t xml:space="preserve">aripiprazol és 3,0% </w:t>
      </w:r>
      <w:r w:rsidR="009F741A" w:rsidRPr="00336525">
        <w:rPr>
          <w:i w:val="0"/>
          <w:sz w:val="22"/>
          <w:szCs w:val="22"/>
          <w:lang w:val="hu-HU"/>
        </w:rPr>
        <w:t xml:space="preserve">a </w:t>
      </w:r>
      <w:r w:rsidRPr="00336525">
        <w:rPr>
          <w:i w:val="0"/>
          <w:sz w:val="22"/>
          <w:szCs w:val="22"/>
          <w:lang w:val="hu-HU"/>
        </w:rPr>
        <w:t>placebo mellett.</w:t>
      </w:r>
    </w:p>
    <w:p w14:paraId="7ACB6E6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</w:rPr>
      </w:pPr>
    </w:p>
    <w:p w14:paraId="69588D0F" w14:textId="77777777" w:rsidR="00694A3F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Dystonia</w:t>
      </w:r>
    </w:p>
    <w:p w14:paraId="052878A8" w14:textId="1B37958E" w:rsidR="00E27BC6" w:rsidRPr="00336525" w:rsidRDefault="00E27BC6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>Gyógyszercsoportra jellemző hatás</w:t>
      </w:r>
      <w:r w:rsidR="00694A3F">
        <w:rPr>
          <w:i w:val="0"/>
          <w:sz w:val="22"/>
          <w:szCs w:val="22"/>
          <w:lang w:val="hu-HU"/>
        </w:rPr>
        <w:t>:</w:t>
      </w:r>
      <w:r w:rsidRPr="00336525">
        <w:rPr>
          <w:i w:val="0"/>
          <w:sz w:val="22"/>
          <w:szCs w:val="22"/>
          <w:lang w:val="hu-HU"/>
        </w:rPr>
        <w:t xml:space="preserve"> dystoniás tünetek, izomcsoportok tartós kóros kontrakciója előfordulhat az arra hajlamos egyéneknél a kezelés első néhány napján. A dystoniás tünetek közé tartozik a nyaki izmok görcse, ami néha a garat összeszűkülésévé progrediál, nyelési nehézséget, légzési nehézséget és/vagy a nyelv protr</w:t>
      </w:r>
      <w:r w:rsidR="003E79BC" w:rsidRPr="00336525">
        <w:rPr>
          <w:i w:val="0"/>
          <w:sz w:val="22"/>
          <w:szCs w:val="22"/>
          <w:lang w:val="hu-HU"/>
        </w:rPr>
        <w:t>u</w:t>
      </w:r>
      <w:r w:rsidRPr="00336525">
        <w:rPr>
          <w:i w:val="0"/>
          <w:sz w:val="22"/>
          <w:szCs w:val="22"/>
          <w:lang w:val="hu-HU"/>
        </w:rPr>
        <w:t xml:space="preserve">sióját okozva. Míg ezek a tünetek </w:t>
      </w:r>
      <w:r w:rsidRPr="0041593E">
        <w:rPr>
          <w:i w:val="0"/>
          <w:sz w:val="22"/>
          <w:szCs w:val="22"/>
          <w:lang w:val="hu-HU"/>
        </w:rPr>
        <w:t>előfordulhatnak alacsony adagoknál, gyakrabban, súlyosabban és erőteljesebben jelennek meg az</w:t>
      </w:r>
      <w:r w:rsidRPr="00336525">
        <w:rPr>
          <w:i w:val="0"/>
          <w:sz w:val="22"/>
          <w:szCs w:val="22"/>
          <w:lang w:val="hu-HU"/>
        </w:rPr>
        <w:t xml:space="preserve"> elsőgenerációs antipszichotikus gyógyszerek magasabb adagjainál. Az akut dystonia emelkedett kockázatát figyelték meg férfiaknál és a fiatalabb korosztályú betegeknél.</w:t>
      </w:r>
    </w:p>
    <w:p w14:paraId="7CA97056" w14:textId="77777777" w:rsidR="00DC5E81" w:rsidRDefault="00DC5E81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0B479300" w14:textId="77777777" w:rsidR="00394672" w:rsidRPr="009562AD" w:rsidRDefault="00394672" w:rsidP="00394672">
      <w:pPr>
        <w:pStyle w:val="Bodytext30"/>
        <w:widowControl/>
        <w:spacing w:line="240" w:lineRule="auto"/>
        <w:jc w:val="left"/>
        <w:rPr>
          <w:sz w:val="22"/>
          <w:szCs w:val="22"/>
          <w:lang w:val="hu-HU"/>
        </w:rPr>
      </w:pPr>
      <w:r w:rsidRPr="009562AD">
        <w:rPr>
          <w:sz w:val="22"/>
          <w:szCs w:val="22"/>
          <w:lang w:val="hu-HU"/>
        </w:rPr>
        <w:t>Prolaktin</w:t>
      </w:r>
    </w:p>
    <w:p w14:paraId="53DF0EF0" w14:textId="77777777" w:rsidR="00394672" w:rsidRPr="009562AD" w:rsidRDefault="00394672" w:rsidP="00394672">
      <w:pPr>
        <w:pStyle w:val="Bodytext30"/>
        <w:widowControl/>
        <w:spacing w:line="240" w:lineRule="auto"/>
        <w:jc w:val="left"/>
        <w:rPr>
          <w:i w:val="0"/>
          <w:sz w:val="22"/>
          <w:szCs w:val="22"/>
          <w:lang w:val="hu-HU"/>
        </w:rPr>
      </w:pPr>
      <w:r w:rsidRPr="009562AD">
        <w:rPr>
          <w:i w:val="0"/>
          <w:sz w:val="22"/>
          <w:szCs w:val="22"/>
          <w:lang w:val="hu-HU"/>
        </w:rPr>
        <w:t>A jóváhagyott indikációkban végzett klinikai vizsgálatokban és a forgalomba hozatal után az aripiprazol alkalmazásakor a prolaktin szérumszintjének kiindulási értékekhez viszonyított emelkedését és csökkenését egyaránt megfigyelték (lásd 5.1 pont).</w:t>
      </w:r>
    </w:p>
    <w:p w14:paraId="2F4CDFE9" w14:textId="77777777" w:rsidR="00394672" w:rsidRPr="009562AD" w:rsidRDefault="00394672" w:rsidP="00394672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3336B580" w14:textId="77777777" w:rsidR="00394672" w:rsidRPr="002045A9" w:rsidRDefault="00394672" w:rsidP="00394672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i/>
          <w:iCs/>
          <w:sz w:val="22"/>
          <w:szCs w:val="22"/>
        </w:rPr>
      </w:pPr>
      <w:r w:rsidRPr="002045A9">
        <w:rPr>
          <w:i/>
          <w:iCs/>
          <w:sz w:val="22"/>
          <w:szCs w:val="22"/>
        </w:rPr>
        <w:t>Laboratóriumi értékek</w:t>
      </w:r>
    </w:p>
    <w:p w14:paraId="54DDD0C2" w14:textId="77777777" w:rsidR="00394672" w:rsidRPr="009562AD" w:rsidRDefault="00394672" w:rsidP="00394672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9562AD">
        <w:rPr>
          <w:sz w:val="22"/>
          <w:szCs w:val="22"/>
        </w:rPr>
        <w:t>Az aripiprazol</w:t>
      </w:r>
      <w:r>
        <w:rPr>
          <w:sz w:val="22"/>
          <w:szCs w:val="22"/>
        </w:rPr>
        <w:t>-</w:t>
      </w:r>
      <w:r w:rsidRPr="009562AD">
        <w:rPr>
          <w:sz w:val="22"/>
          <w:szCs w:val="22"/>
        </w:rPr>
        <w:t xml:space="preserve"> és a placebokezelés összehasonlítása nem mutatott orvosi szempontból jelentős eltéréseket azon betegek arányait tekintve, akiknél klinikailag jelentős változásokat tapasztaltak a rutin laboratóriumi és lipid-értékekben (lásd 5.1 pont). A CPK (kreatin foszfokináz) emelkedését figyelték meg</w:t>
      </w:r>
      <w:r w:rsidR="00260A06">
        <w:rPr>
          <w:sz w:val="22"/>
          <w:szCs w:val="22"/>
        </w:rPr>
        <w:t xml:space="preserve"> – </w:t>
      </w:r>
      <w:r w:rsidRPr="009562AD">
        <w:rPr>
          <w:sz w:val="22"/>
          <w:szCs w:val="22"/>
        </w:rPr>
        <w:t>amely általában átmeneti és tünetmentes volt</w:t>
      </w:r>
      <w:r w:rsidR="00260A06">
        <w:rPr>
          <w:sz w:val="22"/>
          <w:szCs w:val="22"/>
        </w:rPr>
        <w:t xml:space="preserve"> – </w:t>
      </w:r>
      <w:r w:rsidRPr="009562AD">
        <w:rPr>
          <w:sz w:val="22"/>
          <w:szCs w:val="22"/>
        </w:rPr>
        <w:t>az aripiprazollal kezelt betegek 3,5%</w:t>
      </w:r>
      <w:r w:rsidRPr="009562AD">
        <w:rPr>
          <w:sz w:val="22"/>
          <w:szCs w:val="22"/>
        </w:rPr>
        <w:noBreakHyphen/>
        <w:t>ánál, a placebót kapó betegek 2,0%</w:t>
      </w:r>
      <w:r w:rsidRPr="009562AD">
        <w:rPr>
          <w:sz w:val="22"/>
          <w:szCs w:val="22"/>
        </w:rPr>
        <w:noBreakHyphen/>
        <w:t xml:space="preserve">ával szemben. </w:t>
      </w:r>
    </w:p>
    <w:p w14:paraId="5C9E7379" w14:textId="77777777" w:rsidR="00394672" w:rsidRPr="00336525" w:rsidRDefault="00394672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62D369EE" w14:textId="77777777" w:rsidR="00E27BC6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sz w:val="22"/>
          <w:szCs w:val="22"/>
          <w:lang w:val="hu-HU"/>
        </w:rPr>
      </w:pPr>
      <w:r w:rsidRPr="00A03E58">
        <w:rPr>
          <w:rStyle w:val="Szvegtrzs1"/>
          <w:i/>
          <w:color w:val="auto"/>
          <w:sz w:val="22"/>
          <w:szCs w:val="22"/>
        </w:rPr>
        <w:t>Gyermekek</w:t>
      </w:r>
      <w:r w:rsidR="00026020" w:rsidRPr="00A03E58">
        <w:rPr>
          <w:rStyle w:val="Szvegtrzs1"/>
          <w:i/>
          <w:color w:val="auto"/>
          <w:sz w:val="22"/>
          <w:szCs w:val="22"/>
        </w:rPr>
        <w:t xml:space="preserve"> és serdülők</w:t>
      </w:r>
    </w:p>
    <w:p w14:paraId="6393AA1F" w14:textId="77777777" w:rsidR="00260A06" w:rsidRDefault="00260A06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32F25F39" w14:textId="614D1E66" w:rsidR="0029197E" w:rsidRPr="0097592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Schizophrenia 15</w:t>
      </w:r>
      <w:r w:rsidR="00260A06">
        <w:rPr>
          <w:rStyle w:val="Bodytext31"/>
          <w:i/>
          <w:iCs/>
          <w:color w:val="auto"/>
          <w:sz w:val="22"/>
          <w:szCs w:val="22"/>
          <w:u w:val="none"/>
        </w:rPr>
        <w:t> </w:t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éves vagy idősebb serdülőknél</w:t>
      </w:r>
    </w:p>
    <w:p w14:paraId="173BE022" w14:textId="7ACE9040" w:rsidR="00F81A09" w:rsidRPr="00336525" w:rsidRDefault="00F81A09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Egy rövid</w:t>
      </w:r>
      <w:r w:rsidR="00026020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>távú, placebokontrollos klinikai vizsgálatban, melybe 302, schizophréniában szenvedő serdülőkorút (13</w:t>
      </w:r>
      <w:r w:rsidRPr="00336525">
        <w:rPr>
          <w:color w:val="auto"/>
          <w:sz w:val="22"/>
          <w:szCs w:val="22"/>
        </w:rPr>
        <w:noBreakHyphen/>
        <w:t>17</w:t>
      </w:r>
      <w:r w:rsidR="000F500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éves) vontak be, a mellékhatások típusa és gyakorisága hasonló volt, mint a felnőtteknél, kivéve a következő mellékhatásokat, melyeket gyakrabban jelentettek aripiprazolt kapó serdülőkorúak, mint aripiprazolt kapó felnőttek esetében (és gyakrabban, mint a placebót kapóknál): álmosságot/szedációt és extrapiramidális zavart nagyon gyakran jelentettek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1/10) valamint szájszárazságot, megnövekedett étvágyat és orthostatikus </w:t>
      </w:r>
      <w:r w:rsidRPr="0041593E">
        <w:rPr>
          <w:color w:val="auto"/>
          <w:sz w:val="22"/>
          <w:szCs w:val="22"/>
        </w:rPr>
        <w:t>h</w:t>
      </w:r>
      <w:r w:rsidR="0041593E">
        <w:rPr>
          <w:color w:val="auto"/>
          <w:sz w:val="22"/>
          <w:szCs w:val="22"/>
        </w:rPr>
        <w:t>y</w:t>
      </w:r>
      <w:r w:rsidRPr="0041593E">
        <w:rPr>
          <w:color w:val="auto"/>
          <w:sz w:val="22"/>
          <w:szCs w:val="22"/>
        </w:rPr>
        <w:t>poten</w:t>
      </w:r>
      <w:r w:rsidR="0041593E">
        <w:rPr>
          <w:color w:val="auto"/>
          <w:sz w:val="22"/>
          <w:szCs w:val="22"/>
        </w:rPr>
        <w:t>s</w:t>
      </w:r>
      <w:r w:rsidRPr="0041593E">
        <w:rPr>
          <w:color w:val="auto"/>
          <w:sz w:val="22"/>
          <w:szCs w:val="22"/>
        </w:rPr>
        <w:t>i</w:t>
      </w:r>
      <w:r w:rsidR="0041593E">
        <w:rPr>
          <w:color w:val="auto"/>
          <w:sz w:val="22"/>
          <w:szCs w:val="22"/>
        </w:rPr>
        <w:t>o</w:t>
      </w:r>
      <w:r w:rsidRPr="0041593E">
        <w:rPr>
          <w:color w:val="auto"/>
          <w:sz w:val="22"/>
          <w:szCs w:val="22"/>
        </w:rPr>
        <w:t>t</w:t>
      </w:r>
      <w:r w:rsidRPr="00336525">
        <w:rPr>
          <w:color w:val="auto"/>
          <w:sz w:val="22"/>
          <w:szCs w:val="22"/>
        </w:rPr>
        <w:t xml:space="preserve"> gyakran jelentettek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1/100, &lt; 1/10).</w:t>
      </w:r>
    </w:p>
    <w:p w14:paraId="6F122455" w14:textId="77777777" w:rsidR="00F81A09" w:rsidRPr="00336525" w:rsidRDefault="00F81A09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vizsgálat nyílt, 26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hetes kiterjesztése során a biztonságossági profil hasonló volt ahhoz, amit a rövid</w:t>
      </w:r>
      <w:r w:rsidR="00026020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>távú, placebokontrollos vizsgálatban tapasztaltak.</w:t>
      </w:r>
    </w:p>
    <w:p w14:paraId="2608C29F" w14:textId="77777777" w:rsidR="00260A06" w:rsidRDefault="00260A06" w:rsidP="00260A06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>Egy hosszú távú, kettős vak, placebokontrollos vizsgálatban a biztonságossági profil szintén hasonló volt, kivéve a következő reakciókat, amelyeket gyakrabban jelentettek, mint a placebót szedő gyermekgyógyászati betegeknél: testsúlycsökkenésről, a vér emelkedett inzulinszintjéről, arrhythmiáról és leukopeniáról gyakran (≥ 1/100</w:t>
      </w:r>
      <w:r>
        <w:rPr>
          <w:sz w:val="22"/>
          <w:szCs w:val="22"/>
        </w:rPr>
        <w:t xml:space="preserve">, </w:t>
      </w:r>
      <w:r w:rsidRPr="009562AD">
        <w:rPr>
          <w:sz w:val="22"/>
          <w:szCs w:val="22"/>
        </w:rPr>
        <w:t>&lt; 1/10) számoltak be.</w:t>
      </w:r>
    </w:p>
    <w:p w14:paraId="391F1D69" w14:textId="77777777" w:rsidR="00260A06" w:rsidRDefault="00260A0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80515A9" w14:textId="6180EBB9" w:rsidR="00F81A09" w:rsidRDefault="00F81A0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összevont serdülőkorú skizofrén populációban (13</w:t>
      </w:r>
      <w:r w:rsidR="000F500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korban) a legfeljebb 2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 évig tartó expozíció esetén az alacsony szérum prolaktinszint előfordulási gyakorisága a nőknél (&lt; 3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ng/ml) 29,5%, a férfiaknál (&lt; 2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ng/ml) 48,3% volt.</w:t>
      </w:r>
      <w:r w:rsidR="00260A06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 serdülőkorú (13</w:t>
      </w:r>
      <w:r w:rsidR="000F500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éves) skizofrén populációban, akik akár 72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hónapig 5</w:t>
      </w:r>
      <w:r w:rsidR="000F500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30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aripiprazolt kaptak, az alacsony szérum prolaktinszint előfordulási gyakorisága a nőknél (&lt;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3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ng/ml) 25,6%, a férfiaknál (&lt;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2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ng/ml) 45,0% volt.</w:t>
      </w:r>
    </w:p>
    <w:p w14:paraId="661CB61B" w14:textId="77777777" w:rsidR="00260A06" w:rsidRPr="00336525" w:rsidRDefault="00260A06" w:rsidP="00A03E58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>Két hosszú távú vizsgálatban, amelyben</w:t>
      </w:r>
      <w:r>
        <w:rPr>
          <w:sz w:val="22"/>
          <w:szCs w:val="22"/>
        </w:rPr>
        <w:t xml:space="preserve"> gyermek- és</w:t>
      </w:r>
      <w:r w:rsidRPr="009562AD">
        <w:rPr>
          <w:sz w:val="22"/>
          <w:szCs w:val="22"/>
        </w:rPr>
        <w:t xml:space="preserve"> serdülőkorú (</w:t>
      </w:r>
      <w:r>
        <w:rPr>
          <w:sz w:val="22"/>
          <w:szCs w:val="22"/>
        </w:rPr>
        <w:t>13 és 17 év közötti</w:t>
      </w:r>
      <w:r w:rsidRPr="009562AD">
        <w:rPr>
          <w:sz w:val="22"/>
          <w:szCs w:val="22"/>
        </w:rPr>
        <w:t>) schizophreniás és bipoláris betegeket kezeltek aripiprazollal, az alacsony szérum prolaktinszint előfordulási gyakorisága nőknél (&lt; 3 ng/ml) 37,0%, a férfiaknál (&lt; 2 ng/ml) 59,4% volt.</w:t>
      </w:r>
    </w:p>
    <w:p w14:paraId="76830F1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CE79531" w14:textId="10247EB9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r w:rsidRPr="00336525">
        <w:rPr>
          <w:i/>
          <w:iCs/>
          <w:color w:val="auto"/>
          <w:sz w:val="22"/>
          <w:szCs w:val="22"/>
        </w:rPr>
        <w:t>Mániás epizódok bipoláris affektív zavar I</w:t>
      </w:r>
      <w:r w:rsidR="000716E0" w:rsidRPr="00336525">
        <w:rPr>
          <w:i/>
          <w:iCs/>
          <w:color w:val="auto"/>
          <w:sz w:val="22"/>
          <w:szCs w:val="22"/>
        </w:rPr>
        <w:noBreakHyphen/>
      </w:r>
      <w:r w:rsidRPr="00336525">
        <w:rPr>
          <w:i/>
          <w:iCs/>
          <w:color w:val="auto"/>
          <w:sz w:val="22"/>
          <w:szCs w:val="22"/>
        </w:rPr>
        <w:t>es típusában, 13</w:t>
      </w:r>
      <w:r w:rsidR="00260A06">
        <w:rPr>
          <w:i/>
          <w:iCs/>
          <w:color w:val="auto"/>
          <w:sz w:val="22"/>
          <w:szCs w:val="22"/>
        </w:rPr>
        <w:t> </w:t>
      </w:r>
      <w:r w:rsidRPr="00336525">
        <w:rPr>
          <w:i/>
          <w:iCs/>
          <w:color w:val="auto"/>
          <w:sz w:val="22"/>
          <w:szCs w:val="22"/>
        </w:rPr>
        <w:t xml:space="preserve">éves vagy idősebb </w:t>
      </w:r>
      <w:r w:rsidR="000021B1" w:rsidRPr="0041593E">
        <w:rPr>
          <w:i/>
          <w:iCs/>
          <w:color w:val="auto"/>
          <w:sz w:val="22"/>
          <w:szCs w:val="22"/>
        </w:rPr>
        <w:t>gyermekeknél</w:t>
      </w:r>
      <w:r w:rsidR="000021B1">
        <w:rPr>
          <w:i/>
          <w:iCs/>
          <w:color w:val="auto"/>
          <w:sz w:val="22"/>
          <w:szCs w:val="22"/>
        </w:rPr>
        <w:t xml:space="preserve"> és </w:t>
      </w:r>
      <w:r w:rsidRPr="00336525">
        <w:rPr>
          <w:i/>
          <w:iCs/>
          <w:color w:val="auto"/>
          <w:sz w:val="22"/>
          <w:szCs w:val="22"/>
        </w:rPr>
        <w:t>serdülőknél</w:t>
      </w:r>
    </w:p>
    <w:p w14:paraId="7B53418E" w14:textId="77777777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mellékhatások gyakorisága és típusa bipoláris affektív zavar I</w:t>
      </w:r>
      <w:r w:rsidR="00C05128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es típusában szenvedő serdülőkorúaknál hasonló volt a felnőtteknél tapasztaltakhoz, a következő mellékhatások kivételével: nagyon gyakori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1/10)</w:t>
      </w:r>
      <w:r w:rsidR="009F741A" w:rsidRPr="00336525">
        <w:rPr>
          <w:color w:val="auto"/>
          <w:sz w:val="22"/>
          <w:szCs w:val="22"/>
        </w:rPr>
        <w:t>:</w:t>
      </w:r>
      <w:r w:rsidRPr="00336525">
        <w:rPr>
          <w:color w:val="auto"/>
          <w:sz w:val="22"/>
          <w:szCs w:val="22"/>
        </w:rPr>
        <w:t xml:space="preserve"> aluszékonyság (23,0%), extrapiramidális zavar (18,4%), akathisia (16,0%), és fáradtság (11,8%); és gyakori</w:t>
      </w:r>
      <w:r w:rsidR="009F741A" w:rsidRPr="00336525">
        <w:rPr>
          <w:color w:val="auto"/>
          <w:sz w:val="22"/>
          <w:szCs w:val="22"/>
        </w:rPr>
        <w:t>:</w:t>
      </w:r>
      <w:r w:rsidRPr="00336525">
        <w:rPr>
          <w:color w:val="auto"/>
          <w:sz w:val="22"/>
          <w:szCs w:val="22"/>
        </w:rPr>
        <w:t xml:space="preserve">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1/100, &lt;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1/10) felhasi fájdalom a has felső részén, emelkedett szívfrekvencia, megnövekedett testtömeg, megnövekedett étvágy, izomrángás és dyskinesia.</w:t>
      </w:r>
    </w:p>
    <w:p w14:paraId="4406CCBD" w14:textId="77777777" w:rsidR="00260A06" w:rsidRDefault="00260A06" w:rsidP="00B052B1">
      <w:pPr>
        <w:pStyle w:val="Default"/>
        <w:rPr>
          <w:color w:val="auto"/>
          <w:sz w:val="22"/>
          <w:szCs w:val="22"/>
        </w:rPr>
      </w:pPr>
    </w:p>
    <w:p w14:paraId="53E934B8" w14:textId="77777777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következő mellékhatások esetén fennállt a dózis-hatás összefüggés lehetősége: extrapiramidális zavar (előfordulási gyakoriságok: 10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 9,1%, 30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 28,8%, placebo 1,7%) és akathisia (előfordulási gyakoriságok: 10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 12,</w:t>
      </w:r>
      <w:r w:rsidR="00090390" w:rsidRPr="00336525">
        <w:rPr>
          <w:color w:val="auto"/>
          <w:sz w:val="22"/>
          <w:szCs w:val="22"/>
        </w:rPr>
        <w:t>1%, 30 mg 20,3%, placebo 1,7%).</w:t>
      </w:r>
    </w:p>
    <w:p w14:paraId="34984A51" w14:textId="77777777" w:rsidR="00090390" w:rsidRPr="00336525" w:rsidRDefault="00090390" w:rsidP="00B052B1">
      <w:pPr>
        <w:pStyle w:val="Default"/>
        <w:rPr>
          <w:color w:val="auto"/>
          <w:sz w:val="22"/>
          <w:szCs w:val="22"/>
        </w:rPr>
      </w:pPr>
    </w:p>
    <w:p w14:paraId="5167C63D" w14:textId="77777777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bipoláris affektív zavar I</w:t>
      </w:r>
      <w:r w:rsidR="00C05128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es típusában szenvedő serdülőknél a testtömeg átlagos változása 2,4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kg volt az aripiprazollal és 0,2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kg a placebóval 12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hetes kezelés után, valamint 5,8</w:t>
      </w:r>
      <w:r w:rsidR="006230E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kg az aripiprazollal és 2,3</w:t>
      </w:r>
      <w:r w:rsidR="006230E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kg a pl</w:t>
      </w:r>
      <w:r w:rsidR="00090390" w:rsidRPr="00336525">
        <w:rPr>
          <w:color w:val="auto"/>
          <w:sz w:val="22"/>
          <w:szCs w:val="22"/>
        </w:rPr>
        <w:t>acebóval 30</w:t>
      </w:r>
      <w:r w:rsidR="006230E8" w:rsidRPr="00336525">
        <w:rPr>
          <w:color w:val="auto"/>
          <w:sz w:val="22"/>
          <w:szCs w:val="22"/>
        </w:rPr>
        <w:t> </w:t>
      </w:r>
      <w:r w:rsidR="00090390" w:rsidRPr="00336525">
        <w:rPr>
          <w:color w:val="auto"/>
          <w:sz w:val="22"/>
          <w:szCs w:val="22"/>
        </w:rPr>
        <w:t>hetes kezelés után.</w:t>
      </w:r>
    </w:p>
    <w:p w14:paraId="152CF093" w14:textId="77777777" w:rsidR="00090390" w:rsidRPr="00336525" w:rsidRDefault="00090390" w:rsidP="00B052B1">
      <w:pPr>
        <w:pStyle w:val="Default"/>
        <w:rPr>
          <w:color w:val="auto"/>
          <w:sz w:val="22"/>
          <w:szCs w:val="22"/>
        </w:rPr>
      </w:pPr>
    </w:p>
    <w:p w14:paraId="7815E5C8" w14:textId="77777777" w:rsidR="0029197E" w:rsidRPr="00336525" w:rsidRDefault="000F500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gyermekpopulációban gyakrabban figyeltek meg aluszékonyságot és fáradtságot a bipoláris affektív</w:t>
      </w:r>
      <w:r w:rsidR="0029197E" w:rsidRPr="00336525">
        <w:rPr>
          <w:sz w:val="22"/>
          <w:szCs w:val="22"/>
          <w:lang w:val="hu-HU"/>
        </w:rPr>
        <w:t xml:space="preserve"> zavarban szenvedő, mint schizophreniás betegeknél.</w:t>
      </w:r>
    </w:p>
    <w:p w14:paraId="7B1D1433" w14:textId="77777777" w:rsidR="000F5008" w:rsidRPr="00336525" w:rsidRDefault="000F500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9CF41F" w14:textId="77777777" w:rsidR="000F5008" w:rsidRPr="00336525" w:rsidRDefault="000F500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bipoláris affektív zavarban szenvedő gyermekpopulációban (10</w:t>
      </w:r>
      <w:r w:rsidR="0009039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090390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év) maximum 30</w:t>
      </w:r>
      <w:r w:rsidR="00090390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 kezelés mellett az alacsony szérum prolaktinszint előfordulási gyakorisága lányoknál (&lt;</w:t>
      </w:r>
      <w:r w:rsidR="00C0512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3</w:t>
      </w:r>
      <w:r w:rsidR="00C0512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ng/ml) 28,0%, fiúknál pedig (&lt;</w:t>
      </w:r>
      <w:r w:rsidR="00C0512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2</w:t>
      </w:r>
      <w:r w:rsidR="00C0512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ng/ml) 53,3% volt.</w:t>
      </w:r>
    </w:p>
    <w:p w14:paraId="114E0C07" w14:textId="77777777" w:rsidR="00260A06" w:rsidRDefault="00260A06" w:rsidP="00260A06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14:paraId="7A3015F2" w14:textId="4EA1620A" w:rsidR="00260A06" w:rsidRPr="00A03E58" w:rsidRDefault="00BE6AC4" w:rsidP="00260A06">
      <w:pPr>
        <w:pStyle w:val="Default"/>
        <w:rPr>
          <w:sz w:val="22"/>
          <w:szCs w:val="22"/>
        </w:rPr>
      </w:pPr>
      <w:r w:rsidRPr="00BE6AC4">
        <w:rPr>
          <w:i/>
          <w:iCs/>
          <w:sz w:val="22"/>
          <w:szCs w:val="22"/>
        </w:rPr>
        <w:t>Szerencsejáték-betegség</w:t>
      </w:r>
      <w:r>
        <w:rPr>
          <w:i/>
          <w:iCs/>
          <w:sz w:val="22"/>
          <w:szCs w:val="22"/>
        </w:rPr>
        <w:t xml:space="preserve"> </w:t>
      </w:r>
      <w:r w:rsidR="00260A06" w:rsidRPr="00A03E58">
        <w:rPr>
          <w:i/>
          <w:iCs/>
          <w:sz w:val="22"/>
          <w:szCs w:val="22"/>
        </w:rPr>
        <w:t>és egyéb impulzuskontroll-zavarok</w:t>
      </w:r>
    </w:p>
    <w:p w14:paraId="21C6E7F7" w14:textId="203B0442" w:rsidR="00260A06" w:rsidRPr="00B52824" w:rsidRDefault="00260A06" w:rsidP="00260A06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 xml:space="preserve">Aripiprazollal kezelt betegeknél </w:t>
      </w:r>
      <w:r w:rsidR="00BE6AC4">
        <w:rPr>
          <w:sz w:val="22"/>
          <w:szCs w:val="22"/>
        </w:rPr>
        <w:t>s</w:t>
      </w:r>
      <w:r w:rsidR="00BE6AC4" w:rsidRPr="00BE6AC4">
        <w:rPr>
          <w:sz w:val="22"/>
          <w:szCs w:val="22"/>
        </w:rPr>
        <w:t>zerencsejáték-betegség</w:t>
      </w:r>
      <w:r w:rsidRPr="001B3489">
        <w:rPr>
          <w:sz w:val="22"/>
          <w:szCs w:val="22"/>
        </w:rPr>
        <w:t>, hiperszexualitás, kényszeres vásárlás, valamint falási rohamok vagy kényszeres evés jelentkezhet (lásd 4.4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pont).</w:t>
      </w:r>
    </w:p>
    <w:p w14:paraId="38C522D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DD601C5" w14:textId="77777777" w:rsidR="0068157B" w:rsidRPr="00A03E58" w:rsidRDefault="0068157B" w:rsidP="00B052B1">
      <w:pPr>
        <w:widowControl/>
        <w:tabs>
          <w:tab w:val="left" w:pos="567"/>
        </w:tabs>
        <w:rPr>
          <w:rFonts w:eastAsia="SimSun" w:cs="Times New Roman"/>
          <w:snapToGrid w:val="0"/>
          <w:color w:val="auto"/>
          <w:szCs w:val="22"/>
          <w:u w:val="single"/>
          <w:lang w:eastAsia="zh-CN" w:bidi="ar-SA"/>
        </w:rPr>
      </w:pPr>
      <w:r w:rsidRPr="00A03E58">
        <w:rPr>
          <w:rFonts w:eastAsia="SimSun" w:cs="Times New Roman"/>
          <w:snapToGrid w:val="0"/>
          <w:color w:val="auto"/>
          <w:szCs w:val="22"/>
          <w:u w:val="single"/>
          <w:lang w:eastAsia="zh-CN" w:bidi="ar-SA"/>
        </w:rPr>
        <w:t>Feltételezett mellékhatások bejelentése</w:t>
      </w:r>
    </w:p>
    <w:p w14:paraId="160ECBD8" w14:textId="77777777" w:rsidR="0029197E" w:rsidRPr="00336525" w:rsidRDefault="0068157B" w:rsidP="00B052B1">
      <w:pPr>
        <w:widowControl/>
        <w:tabs>
          <w:tab w:val="left" w:pos="567"/>
        </w:tabs>
        <w:rPr>
          <w:rFonts w:cs="Times New Roman"/>
          <w:color w:val="auto"/>
          <w:szCs w:val="22"/>
        </w:rPr>
      </w:pPr>
      <w:r w:rsidRPr="00336525">
        <w:rPr>
          <w:rFonts w:eastAsia="SimSun" w:cs="Times New Roman"/>
          <w:snapToGrid w:val="0"/>
          <w:color w:val="auto"/>
          <w:szCs w:val="22"/>
          <w:lang w:eastAsia="zh-CN" w:bidi="ar-SA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Pr="00336525">
        <w:rPr>
          <w:rFonts w:eastAsia="SimSun" w:cs="Times New Roman"/>
          <w:snapToGrid w:val="0"/>
          <w:color w:val="auto"/>
          <w:szCs w:val="22"/>
          <w:lang w:eastAsia="zh-CN"/>
        </w:rPr>
        <w:t xml:space="preserve">Az egészségügyi szakembereket kérjük, hogy jelentsék be a feltételezett mellékhatásokat a hatóság részére az </w:t>
      </w:r>
      <w:hyperlink r:id="rId8" w:history="1">
        <w:r w:rsidRPr="00336525">
          <w:rPr>
            <w:rFonts w:eastAsia="SimSun" w:cs="Times New Roman"/>
            <w:snapToGrid w:val="0"/>
            <w:color w:val="auto"/>
            <w:szCs w:val="22"/>
            <w:u w:val="single"/>
            <w:lang w:eastAsia="zh-CN"/>
          </w:rPr>
          <w:t>V.</w:t>
        </w:r>
        <w:r w:rsidR="00B052B1" w:rsidRPr="00336525">
          <w:rPr>
            <w:rFonts w:eastAsia="SimSun" w:cs="Times New Roman"/>
            <w:snapToGrid w:val="0"/>
            <w:color w:val="auto"/>
            <w:szCs w:val="22"/>
            <w:u w:val="single"/>
            <w:lang w:eastAsia="zh-CN"/>
          </w:rPr>
          <w:t> </w:t>
        </w:r>
        <w:r w:rsidRPr="00336525">
          <w:rPr>
            <w:rFonts w:eastAsia="SimSun" w:cs="Times New Roman"/>
            <w:snapToGrid w:val="0"/>
            <w:color w:val="auto"/>
            <w:szCs w:val="22"/>
            <w:u w:val="single"/>
            <w:lang w:eastAsia="zh-CN"/>
          </w:rPr>
          <w:t>függelékben</w:t>
        </w:r>
      </w:hyperlink>
      <w:r w:rsidRPr="00336525">
        <w:rPr>
          <w:rFonts w:eastAsia="SimSun" w:cs="Times New Roman"/>
          <w:snapToGrid w:val="0"/>
          <w:color w:val="auto"/>
          <w:szCs w:val="22"/>
          <w:lang w:eastAsia="zh-CN"/>
        </w:rPr>
        <w:t xml:space="preserve"> található elérhetőségek valamelyikén keresztül.</w:t>
      </w:r>
    </w:p>
    <w:p w14:paraId="50AED8E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EC357E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1" w:name="bookmark11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4.9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Túladagolás</w:t>
      </w:r>
    </w:p>
    <w:bookmarkEnd w:id="11"/>
    <w:p w14:paraId="070F1D4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69E395D1" w14:textId="77777777" w:rsidR="00A9078C" w:rsidRPr="00336525" w:rsidRDefault="00A9078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i/>
          <w:color w:val="auto"/>
          <w:sz w:val="22"/>
          <w:szCs w:val="22"/>
          <w:u w:val="none"/>
        </w:rPr>
        <w:t>Jelek és tünetek</w:t>
      </w:r>
    </w:p>
    <w:p w14:paraId="5AF76F61" w14:textId="73695EDA" w:rsidR="00A9078C" w:rsidRPr="00336525" w:rsidRDefault="00A9078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  <w:r w:rsidRPr="00336525">
        <w:rPr>
          <w:rStyle w:val="Szvegtrzs1"/>
          <w:color w:val="auto"/>
          <w:sz w:val="22"/>
          <w:szCs w:val="22"/>
          <w:u w:val="none"/>
        </w:rPr>
        <w:t>Klinikai vizsgálatok során és a forgalomba hozatalt követően az aripiprazollal monoterápiáb</w:t>
      </w:r>
      <w:r w:rsidR="00F914B6" w:rsidRPr="00336525">
        <w:rPr>
          <w:rStyle w:val="Szvegtrzs1"/>
          <w:color w:val="auto"/>
          <w:sz w:val="22"/>
          <w:szCs w:val="22"/>
          <w:u w:val="none"/>
        </w:rPr>
        <w:t>a</w:t>
      </w:r>
      <w:r w:rsidRPr="00336525">
        <w:rPr>
          <w:rStyle w:val="Szvegtrzs1"/>
          <w:color w:val="auto"/>
          <w:sz w:val="22"/>
          <w:szCs w:val="22"/>
          <w:u w:val="none"/>
        </w:rPr>
        <w:t>n véletlen vagy szándékos akut túladagolásról számoltak be: felnőtt betegek maximálisan 1260</w:t>
      </w:r>
      <w:r w:rsidR="006A54DC" w:rsidRPr="00336525">
        <w:rPr>
          <w:rStyle w:val="Szvegtrzs1"/>
          <w:color w:val="auto"/>
          <w:sz w:val="22"/>
          <w:szCs w:val="22"/>
          <w:u w:val="none"/>
        </w:rPr>
        <w:t> 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mg aripiprazolt vettek be fatális következmények nélkül. </w:t>
      </w:r>
      <w:r w:rsidR="009F741A" w:rsidRPr="00336525">
        <w:rPr>
          <w:rStyle w:val="Szvegtrzs1"/>
          <w:color w:val="auto"/>
          <w:sz w:val="22"/>
          <w:szCs w:val="22"/>
          <w:u w:val="none"/>
        </w:rPr>
        <w:t>Orvosi</w:t>
      </w:r>
      <w:r w:rsidR="00FE5EC8" w:rsidRPr="00336525">
        <w:rPr>
          <w:rStyle w:val="Szvegtrzs1"/>
          <w:color w:val="auto"/>
          <w:sz w:val="22"/>
          <w:szCs w:val="22"/>
          <w:u w:val="none"/>
        </w:rPr>
        <w:t xml:space="preserve"> szempontból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 </w:t>
      </w:r>
      <w:r w:rsidR="009F741A" w:rsidRPr="00336525">
        <w:rPr>
          <w:rStyle w:val="Szvegtrzs1"/>
          <w:color w:val="auto"/>
          <w:sz w:val="22"/>
          <w:szCs w:val="22"/>
          <w:u w:val="none"/>
        </w:rPr>
        <w:t xml:space="preserve">potenciálisan 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jelentős </w:t>
      </w:r>
      <w:r w:rsidR="00FE5EC8" w:rsidRPr="00336525">
        <w:rPr>
          <w:rStyle w:val="Szvegtrzs1"/>
          <w:color w:val="auto"/>
          <w:sz w:val="22"/>
          <w:szCs w:val="22"/>
          <w:u w:val="none"/>
        </w:rPr>
        <w:t>panaszként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 és tünetként letargiát, megemelkedett vérnyomást, </w:t>
      </w:r>
      <w:r w:rsidRPr="0041593E">
        <w:rPr>
          <w:rStyle w:val="Szvegtrzs1"/>
          <w:color w:val="auto"/>
          <w:sz w:val="22"/>
          <w:szCs w:val="22"/>
          <w:u w:val="none"/>
        </w:rPr>
        <w:t>somnolen</w:t>
      </w:r>
      <w:r w:rsidR="0041593E">
        <w:rPr>
          <w:rStyle w:val="Szvegtrzs1"/>
          <w:color w:val="auto"/>
          <w:sz w:val="22"/>
          <w:szCs w:val="22"/>
          <w:u w:val="none"/>
        </w:rPr>
        <w:t>t</w:t>
      </w:r>
      <w:r w:rsidRPr="0041593E">
        <w:rPr>
          <w:rStyle w:val="Szvegtrzs1"/>
          <w:color w:val="auto"/>
          <w:sz w:val="22"/>
          <w:szCs w:val="22"/>
          <w:u w:val="none"/>
        </w:rPr>
        <w:t>iát</w:t>
      </w:r>
      <w:r w:rsidRPr="00336525">
        <w:rPr>
          <w:rStyle w:val="Szvegtrzs1"/>
          <w:color w:val="auto"/>
          <w:sz w:val="22"/>
          <w:szCs w:val="22"/>
          <w:u w:val="none"/>
        </w:rPr>
        <w:t>, tachycardiát, hányingert, hányást és diarrhoeát észleltek. Ezen kívül gyermekek esetében szintén beszámoltak monoterápiában történt (maximálisan 195</w:t>
      </w:r>
      <w:r w:rsidR="006A54DC" w:rsidRPr="00336525">
        <w:rPr>
          <w:rStyle w:val="Szvegtrzs1"/>
          <w:color w:val="auto"/>
          <w:sz w:val="22"/>
          <w:szCs w:val="22"/>
          <w:u w:val="none"/>
        </w:rPr>
        <w:t> </w:t>
      </w:r>
      <w:r w:rsidRPr="00336525">
        <w:rPr>
          <w:rStyle w:val="Szvegtrzs1"/>
          <w:color w:val="auto"/>
          <w:sz w:val="22"/>
          <w:szCs w:val="22"/>
          <w:u w:val="none"/>
        </w:rPr>
        <w:t>mg dózissal) véletlen aripiprazol-túladagolásról fatális következmények nélkül. Az orvosi szempontból potenciálisan súlyos jelek és tünetek többek között aluszékonyság, átmeneti eszméletvesztés és extrapyramidális tünetek formájában jelentkeztek.</w:t>
      </w:r>
    </w:p>
    <w:p w14:paraId="6178D12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2FBA03F" w14:textId="77777777" w:rsidR="0029197E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color w:val="auto"/>
          <w:sz w:val="22"/>
          <w:szCs w:val="22"/>
          <w:u w:val="none"/>
        </w:rPr>
      </w:pPr>
      <w:r w:rsidRPr="00336525">
        <w:rPr>
          <w:rStyle w:val="Szvegtrzs1"/>
          <w:i/>
          <w:color w:val="auto"/>
          <w:sz w:val="22"/>
          <w:szCs w:val="22"/>
          <w:u w:val="none"/>
        </w:rPr>
        <w:t>T</w:t>
      </w:r>
      <w:r w:rsidR="0029197E" w:rsidRPr="00336525">
        <w:rPr>
          <w:rStyle w:val="Szvegtrzs1"/>
          <w:i/>
          <w:color w:val="auto"/>
          <w:sz w:val="22"/>
          <w:szCs w:val="22"/>
          <w:u w:val="none"/>
        </w:rPr>
        <w:t>úladagolás kezelése</w:t>
      </w:r>
    </w:p>
    <w:p w14:paraId="3A3F991B" w14:textId="77777777" w:rsidR="006A54DC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Túladagolás esetén a támogató kezelésre kell fektetni a hangsúlyt, biztosítani kell a légút átjárhatóságát, az oxigénellátást, a légzést, továbbá tüneti kezelést kell végezni. Több gyógyszer együttes alkalmazásának lehetőségét mérlegelni kell. Ezért azonnal meg kell kezdeni a cardiovascularis monitorozást, amelynek a lehetséges arrhythmiák kimutatása céljából folyamatos elektrokardiográfiás vizsgálatot is tartalmaznia kell. Bármilyen igazolt vagy feltételezett túladagolás esetén a szoros orvosi felügyeletet és a monitorozást a beteg felépüléséig folytatni kell.</w:t>
      </w:r>
    </w:p>
    <w:p w14:paraId="34E18357" w14:textId="77777777" w:rsidR="006A54DC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A7874F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után egy órával beadott aktív szén (</w:t>
      </w:r>
      <w:r w:rsidR="006A54DC" w:rsidRPr="00336525">
        <w:rPr>
          <w:sz w:val="22"/>
          <w:szCs w:val="22"/>
          <w:lang w:val="hu-HU"/>
        </w:rPr>
        <w:t>50 </w:t>
      </w:r>
      <w:r w:rsidRPr="00336525">
        <w:rPr>
          <w:sz w:val="22"/>
          <w:szCs w:val="22"/>
          <w:lang w:val="hu-HU"/>
        </w:rPr>
        <w:t>g) kb. 41%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kal csökkentette az aripiprazol C</w:t>
      </w:r>
      <w:r w:rsidRPr="00336525">
        <w:rPr>
          <w:sz w:val="22"/>
          <w:szCs w:val="22"/>
          <w:vertAlign w:val="subscript"/>
          <w:lang w:val="hu-HU"/>
        </w:rPr>
        <w:t>max</w:t>
      </w:r>
      <w:r w:rsidR="006A54DC" w:rsidRPr="00336525">
        <w:rPr>
          <w:sz w:val="22"/>
          <w:szCs w:val="22"/>
          <w:lang w:val="hu-HU"/>
        </w:rPr>
        <w:t xml:space="preserve"> értékét</w:t>
      </w:r>
      <w:r w:rsidRPr="00336525">
        <w:rPr>
          <w:sz w:val="22"/>
          <w:szCs w:val="22"/>
          <w:lang w:val="hu-HU"/>
        </w:rPr>
        <w:t>, illetve kb. 51%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kal az AUC értékét</w:t>
      </w:r>
      <w:r w:rsidR="006A54DC" w:rsidRPr="00336525">
        <w:rPr>
          <w:sz w:val="22"/>
          <w:szCs w:val="22"/>
          <w:lang w:val="hu-HU"/>
        </w:rPr>
        <w:t xml:space="preserve">, ami </w:t>
      </w:r>
      <w:r w:rsidRPr="00336525">
        <w:rPr>
          <w:sz w:val="22"/>
          <w:szCs w:val="22"/>
          <w:lang w:val="hu-HU"/>
        </w:rPr>
        <w:t>azt sugallja, hogy az aktív szén hatékony lehet túladagolás kezelésé</w:t>
      </w:r>
      <w:r w:rsidR="006A54DC" w:rsidRPr="00336525">
        <w:rPr>
          <w:sz w:val="22"/>
          <w:szCs w:val="22"/>
          <w:lang w:val="hu-HU"/>
        </w:rPr>
        <w:t>ben</w:t>
      </w:r>
      <w:r w:rsidRPr="00336525">
        <w:rPr>
          <w:sz w:val="22"/>
          <w:szCs w:val="22"/>
          <w:lang w:val="hu-HU"/>
        </w:rPr>
        <w:t>.</w:t>
      </w:r>
    </w:p>
    <w:p w14:paraId="0A2C628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CCA85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color w:val="auto"/>
          <w:sz w:val="22"/>
          <w:szCs w:val="22"/>
          <w:u w:val="none"/>
        </w:rPr>
      </w:pPr>
      <w:r w:rsidRPr="00336525">
        <w:rPr>
          <w:rStyle w:val="Szvegtrzs1"/>
          <w:i/>
          <w:color w:val="auto"/>
          <w:sz w:val="22"/>
          <w:szCs w:val="22"/>
          <w:u w:val="none"/>
        </w:rPr>
        <w:t>Hemodialízis</w:t>
      </w:r>
    </w:p>
    <w:p w14:paraId="3D63D106" w14:textId="77777777" w:rsidR="006A54DC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Habár nem ismert a hemodialízis hatása aripiprazollal történt túladagolás kezelésére, nem valószínű, hogy a hemodialízis hatékony lenne túladagolás esetén, mivel az aripiprazol jelentős mértékben kötődik a plazmafehérjékhez.</w:t>
      </w:r>
    </w:p>
    <w:p w14:paraId="3956B9D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F23F45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162D21B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2" w:name="bookmark12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5.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FARMAKOLÓGIAI TULAJDONSÁGOK</w:t>
      </w:r>
    </w:p>
    <w:p w14:paraId="3723175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bookmarkStart w:id="13" w:name="bookmark13"/>
      <w:bookmarkEnd w:id="12"/>
    </w:p>
    <w:p w14:paraId="58446EE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5.1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Farmakodinámiás tulajdonságok</w:t>
      </w:r>
    </w:p>
    <w:bookmarkEnd w:id="13"/>
    <w:p w14:paraId="545E7FA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853582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Farmakoterápiás csoport: egyéb antipszichotikumok, ATC kód; N05AX12 </w:t>
      </w:r>
    </w:p>
    <w:p w14:paraId="40696BA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7544C00" w14:textId="77777777" w:rsidR="0022547D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Hatásmechanizmus</w:t>
      </w:r>
    </w:p>
    <w:p w14:paraId="67F45D69" w14:textId="1168E2F0" w:rsidR="00EA1AE3" w:rsidRDefault="0027252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Feltételezik, hogy az aripiprazol a hatását schizophreniában és bipoláris affektív zavar I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típusában a D</w:t>
      </w:r>
      <w:r w:rsidRPr="00336525">
        <w:rPr>
          <w:sz w:val="22"/>
          <w:szCs w:val="22"/>
          <w:vertAlign w:val="subscript"/>
          <w:lang w:val="hu-HU"/>
        </w:rPr>
        <w:t>2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dopamin receptorokon és az 5</w:t>
      </w:r>
      <w:r w:rsidR="00EA1AE3">
        <w:rPr>
          <w:sz w:val="22"/>
          <w:szCs w:val="22"/>
          <w:lang w:val="hu-HU"/>
        </w:rPr>
        <w:noBreakHyphen/>
      </w:r>
      <w:r w:rsidR="00EA1AE3" w:rsidRPr="00336525">
        <w:rPr>
          <w:sz w:val="22"/>
          <w:szCs w:val="22"/>
          <w:lang w:val="hu-HU"/>
        </w:rPr>
        <w:t>HT</w:t>
      </w:r>
      <w:r w:rsidR="00EA1AE3" w:rsidRPr="00336525">
        <w:rPr>
          <w:sz w:val="22"/>
          <w:szCs w:val="22"/>
          <w:vertAlign w:val="subscript"/>
          <w:lang w:val="hu-HU"/>
        </w:rPr>
        <w:t>1</w:t>
      </w:r>
      <w:r w:rsidR="00EA1AE3">
        <w:rPr>
          <w:sz w:val="22"/>
          <w:szCs w:val="22"/>
          <w:vertAlign w:val="subscript"/>
          <w:lang w:val="hu-HU"/>
        </w:rPr>
        <w:t>A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szerotonin receptorokon parciális agonista és az 5</w:t>
      </w:r>
      <w:r w:rsidR="00EA1AE3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HT</w:t>
      </w:r>
      <w:r w:rsidRPr="00336525">
        <w:rPr>
          <w:sz w:val="22"/>
          <w:szCs w:val="22"/>
          <w:vertAlign w:val="subscript"/>
          <w:lang w:val="hu-HU"/>
        </w:rPr>
        <w:t>2</w:t>
      </w:r>
      <w:r w:rsidR="00EA1AE3">
        <w:rPr>
          <w:sz w:val="22"/>
          <w:szCs w:val="22"/>
          <w:vertAlign w:val="subscript"/>
          <w:lang w:val="hu-HU"/>
        </w:rPr>
        <w:t>A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szerotonin receptorokon antagonista hatása révén fejti ki. Az aripiprazol állatkísérletekben dopaminerg hyperaktivitásnál antagonista, dopaminerg hypoaktivitásnál agonista hatásúnak bizonyult. Az aripiprazol </w:t>
      </w:r>
      <w:r w:rsidRPr="00336525">
        <w:rPr>
          <w:i/>
          <w:iCs/>
          <w:sz w:val="22"/>
          <w:szCs w:val="22"/>
          <w:lang w:val="hu-HU"/>
        </w:rPr>
        <w:t xml:space="preserve">in vitro </w:t>
      </w:r>
      <w:r w:rsidRPr="00336525">
        <w:rPr>
          <w:sz w:val="22"/>
          <w:szCs w:val="22"/>
          <w:lang w:val="hu-HU"/>
        </w:rPr>
        <w:t>nagy affinitással kötődött a D</w:t>
      </w:r>
      <w:r w:rsidRPr="00336525">
        <w:rPr>
          <w:sz w:val="22"/>
          <w:szCs w:val="22"/>
          <w:vertAlign w:val="subscript"/>
          <w:lang w:val="hu-HU"/>
        </w:rPr>
        <w:t>2</w:t>
      </w:r>
      <w:r w:rsidRPr="00336525">
        <w:rPr>
          <w:sz w:val="22"/>
          <w:szCs w:val="22"/>
          <w:lang w:val="hu-HU"/>
        </w:rPr>
        <w:t>- és D</w:t>
      </w:r>
      <w:r w:rsidRPr="00336525">
        <w:rPr>
          <w:sz w:val="22"/>
          <w:szCs w:val="22"/>
          <w:vertAlign w:val="subscript"/>
          <w:lang w:val="hu-HU"/>
        </w:rPr>
        <w:t>3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dopamin receptorokhoz, az 5</w:t>
      </w:r>
      <w:r w:rsidR="00EA1AE3">
        <w:rPr>
          <w:sz w:val="22"/>
          <w:szCs w:val="22"/>
          <w:lang w:val="hu-HU"/>
        </w:rPr>
        <w:noBreakHyphen/>
      </w:r>
      <w:r w:rsidR="00EA1AE3" w:rsidRPr="00336525">
        <w:rPr>
          <w:sz w:val="22"/>
          <w:szCs w:val="22"/>
          <w:lang w:val="hu-HU"/>
        </w:rPr>
        <w:t>HT</w:t>
      </w:r>
      <w:r w:rsidR="00EA1AE3" w:rsidRPr="00336525">
        <w:rPr>
          <w:sz w:val="22"/>
          <w:szCs w:val="22"/>
          <w:vertAlign w:val="subscript"/>
          <w:lang w:val="hu-HU"/>
        </w:rPr>
        <w:t>1</w:t>
      </w:r>
      <w:r w:rsidR="00EA1AE3">
        <w:rPr>
          <w:sz w:val="22"/>
          <w:szCs w:val="22"/>
          <w:vertAlign w:val="subscript"/>
          <w:lang w:val="hu-HU"/>
        </w:rPr>
        <w:t>A</w:t>
      </w:r>
      <w:r w:rsidRPr="00336525">
        <w:rPr>
          <w:sz w:val="22"/>
          <w:szCs w:val="22"/>
          <w:lang w:val="hu-HU"/>
        </w:rPr>
        <w:t>- és az 5</w:t>
      </w:r>
      <w:r w:rsidR="00EA1AE3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HT</w:t>
      </w:r>
      <w:r w:rsidRPr="00336525">
        <w:rPr>
          <w:sz w:val="22"/>
          <w:szCs w:val="22"/>
          <w:vertAlign w:val="subscript"/>
          <w:lang w:val="hu-HU"/>
        </w:rPr>
        <w:t>2</w:t>
      </w:r>
      <w:r w:rsidR="00EA1AE3">
        <w:rPr>
          <w:sz w:val="22"/>
          <w:szCs w:val="22"/>
          <w:vertAlign w:val="subscript"/>
          <w:lang w:val="hu-HU"/>
        </w:rPr>
        <w:t>A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szerotonin receptorokhoz és kisebb affinitással a D</w:t>
      </w:r>
      <w:r w:rsidRPr="00336525">
        <w:rPr>
          <w:sz w:val="22"/>
          <w:szCs w:val="22"/>
          <w:vertAlign w:val="subscript"/>
          <w:lang w:val="hu-HU"/>
        </w:rPr>
        <w:t>4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dopamin receptorokhoz, az </w:t>
      </w:r>
      <w:r w:rsidR="00EA1AE3" w:rsidRPr="00336525">
        <w:rPr>
          <w:sz w:val="22"/>
          <w:szCs w:val="22"/>
          <w:lang w:val="hu-HU"/>
        </w:rPr>
        <w:t>5</w:t>
      </w:r>
      <w:r w:rsidR="00EA1AE3">
        <w:rPr>
          <w:sz w:val="22"/>
          <w:szCs w:val="22"/>
          <w:lang w:val="hu-HU"/>
        </w:rPr>
        <w:noBreakHyphen/>
      </w:r>
      <w:r w:rsidR="00EA1AE3" w:rsidRPr="00336525">
        <w:rPr>
          <w:sz w:val="22"/>
          <w:szCs w:val="22"/>
          <w:lang w:val="hu-HU"/>
        </w:rPr>
        <w:t>HT</w:t>
      </w:r>
      <w:r w:rsidR="00EA1AE3" w:rsidRPr="00336525">
        <w:rPr>
          <w:sz w:val="22"/>
          <w:szCs w:val="22"/>
          <w:vertAlign w:val="subscript"/>
          <w:lang w:val="hu-HU"/>
        </w:rPr>
        <w:t>2</w:t>
      </w:r>
      <w:r w:rsidR="00EA1AE3">
        <w:rPr>
          <w:sz w:val="22"/>
          <w:szCs w:val="22"/>
          <w:vertAlign w:val="subscript"/>
          <w:lang w:val="hu-HU"/>
        </w:rPr>
        <w:t>C</w:t>
      </w:r>
      <w:r w:rsidRPr="00336525">
        <w:rPr>
          <w:sz w:val="22"/>
          <w:szCs w:val="22"/>
          <w:lang w:val="hu-HU"/>
        </w:rPr>
        <w:t>- és az 5</w:t>
      </w:r>
      <w:r w:rsidR="00EA1AE3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HT</w:t>
      </w:r>
      <w:r w:rsidRPr="00336525">
        <w:rPr>
          <w:sz w:val="22"/>
          <w:szCs w:val="22"/>
          <w:vertAlign w:val="subscript"/>
          <w:lang w:val="hu-HU"/>
        </w:rPr>
        <w:t>7</w:t>
      </w:r>
      <w:r w:rsidRPr="00336525">
        <w:rPr>
          <w:sz w:val="22"/>
          <w:szCs w:val="22"/>
          <w:lang w:val="hu-HU"/>
        </w:rPr>
        <w:t>-szerotonin receptorokhoz, az alfa</w:t>
      </w:r>
      <w:r w:rsidR="00255AB4" w:rsidRPr="00336525">
        <w:rPr>
          <w:sz w:val="22"/>
          <w:szCs w:val="22"/>
          <w:vertAlign w:val="subscript"/>
          <w:lang w:val="hu-HU"/>
        </w:rPr>
        <w:t>1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adrenerg és a H</w:t>
      </w:r>
      <w:r w:rsidRPr="00336525">
        <w:rPr>
          <w:sz w:val="22"/>
          <w:szCs w:val="22"/>
          <w:vertAlign w:val="subscript"/>
          <w:lang w:val="hu-HU"/>
        </w:rPr>
        <w:t>1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hisztamin receptorokhoz. Az aripiprazol mérsékelt affinitással kötődött a szerotonin újrafelvétel helyén és nem mutatott értékelhető affinitást a muszkarin receptorokhoz. A dopamin és szerotonin receptor altípusoktól eltérő receptorokkal való interakció lehet a magyarázata az aripiprazol egyéb klinikai hatásainak.</w:t>
      </w:r>
    </w:p>
    <w:p w14:paraId="24B074F1" w14:textId="77777777" w:rsidR="00EA1AE3" w:rsidRDefault="00EA1AE3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082F554" w14:textId="6DB39A62" w:rsidR="0027252F" w:rsidRPr="00336525" w:rsidRDefault="0027252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Napi egyszeri, 0,5</w:t>
      </w:r>
      <w:r w:rsidR="00255AB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30</w:t>
      </w:r>
      <w:r w:rsidR="00255AB4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közötti dózistartományban, két hétig aripiprazollal kezelt egészséges önkéntesekben</w:t>
      </w:r>
      <w:r w:rsidR="00255AB4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dózisfüggő csökkenés jelentkezett a C</w:t>
      </w:r>
      <w:r w:rsidR="00255AB4" w:rsidRPr="00336525">
        <w:rPr>
          <w:sz w:val="22"/>
          <w:szCs w:val="22"/>
          <w:vertAlign w:val="superscript"/>
          <w:lang w:val="hu-HU"/>
        </w:rPr>
        <w:t>11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rakloprid kötődésében</w:t>
      </w:r>
      <w:r w:rsidR="00255AB4" w:rsidRPr="00336525">
        <w:rPr>
          <w:sz w:val="22"/>
          <w:szCs w:val="22"/>
          <w:lang w:val="hu-HU"/>
        </w:rPr>
        <w:t xml:space="preserve"> (</w:t>
      </w:r>
      <w:r w:rsidRPr="00336525">
        <w:rPr>
          <w:sz w:val="22"/>
          <w:szCs w:val="22"/>
          <w:lang w:val="hu-HU"/>
        </w:rPr>
        <w:t>amely egy D</w:t>
      </w:r>
      <w:r w:rsidRPr="00336525">
        <w:rPr>
          <w:sz w:val="22"/>
          <w:szCs w:val="22"/>
          <w:vertAlign w:val="subscript"/>
          <w:lang w:val="hu-HU"/>
        </w:rPr>
        <w:t>2</w:t>
      </w:r>
      <w:r w:rsidRPr="00336525">
        <w:rPr>
          <w:sz w:val="22"/>
          <w:szCs w:val="22"/>
          <w:lang w:val="hu-HU"/>
        </w:rPr>
        <w:t>/D</w:t>
      </w:r>
      <w:r w:rsidRPr="00336525">
        <w:rPr>
          <w:sz w:val="22"/>
          <w:szCs w:val="22"/>
          <w:vertAlign w:val="subscript"/>
          <w:lang w:val="hu-HU"/>
        </w:rPr>
        <w:t>3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receptor ligandum</w:t>
      </w:r>
      <w:r w:rsidR="00255AB4" w:rsidRPr="00336525">
        <w:rPr>
          <w:sz w:val="22"/>
          <w:szCs w:val="22"/>
          <w:lang w:val="hu-HU"/>
        </w:rPr>
        <w:t>)</w:t>
      </w:r>
      <w:r w:rsidRPr="00336525">
        <w:rPr>
          <w:sz w:val="22"/>
          <w:szCs w:val="22"/>
          <w:lang w:val="hu-HU"/>
        </w:rPr>
        <w:t xml:space="preserve"> a nucleus caudatushoz és a putamenhez, pozitronemissziós tomográffal mérve.</w:t>
      </w:r>
    </w:p>
    <w:p w14:paraId="5B0A5EB2" w14:textId="77777777" w:rsidR="00255AB4" w:rsidRPr="00336525" w:rsidRDefault="00255AB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7DFC1E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Klinikai hatásosság és biztonságosság</w:t>
      </w:r>
    </w:p>
    <w:p w14:paraId="1E1FBD8D" w14:textId="77777777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42B787E4" w14:textId="77777777" w:rsidR="00EA1AE3" w:rsidRDefault="00EA1AE3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>
        <w:rPr>
          <w:rStyle w:val="Bodytext31"/>
          <w:i/>
          <w:iCs/>
          <w:color w:val="auto"/>
          <w:sz w:val="22"/>
          <w:szCs w:val="22"/>
        </w:rPr>
        <w:t>Felnőttek</w:t>
      </w:r>
    </w:p>
    <w:p w14:paraId="15E4FC1D" w14:textId="77777777" w:rsidR="00EA1AE3" w:rsidRPr="00975921" w:rsidRDefault="00EA1AE3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0CA8A68D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</w:rPr>
        <w:t>Schizophrenia</w:t>
      </w:r>
    </w:p>
    <w:p w14:paraId="3D0A23AC" w14:textId="1E369A2A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Három</w:t>
      </w:r>
      <w:r w:rsidR="00255AB4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rövid távú (4</w:t>
      </w:r>
      <w:r w:rsidR="006C6AF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6</w:t>
      </w:r>
      <w:r w:rsidR="006C6AF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hetes)</w:t>
      </w:r>
      <w:r w:rsidR="00255AB4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placebokontrollos vizsgálatban, amelyekben 1228 </w:t>
      </w:r>
      <w:r w:rsidRPr="0041593E">
        <w:rPr>
          <w:sz w:val="22"/>
          <w:szCs w:val="22"/>
          <w:lang w:val="hu-HU"/>
        </w:rPr>
        <w:t>schizophr</w:t>
      </w:r>
      <w:r w:rsidR="0041593E">
        <w:rPr>
          <w:sz w:val="22"/>
          <w:szCs w:val="22"/>
          <w:lang w:val="hu-HU"/>
        </w:rPr>
        <w:t>e</w:t>
      </w:r>
      <w:r w:rsidRPr="0041593E">
        <w:rPr>
          <w:sz w:val="22"/>
          <w:szCs w:val="22"/>
          <w:lang w:val="hu-HU"/>
        </w:rPr>
        <w:t>niás</w:t>
      </w:r>
      <w:r w:rsidRPr="00336525">
        <w:rPr>
          <w:sz w:val="22"/>
          <w:szCs w:val="22"/>
          <w:lang w:val="hu-HU"/>
        </w:rPr>
        <w:t xml:space="preserve">, pozitív vagy negatív tüneteket mutató felnőtt beteg vett részt, </w:t>
      </w:r>
      <w:r w:rsidR="00255AB4" w:rsidRPr="00336525">
        <w:rPr>
          <w:sz w:val="22"/>
          <w:szCs w:val="22"/>
          <w:lang w:val="hu-HU"/>
        </w:rPr>
        <w:t>az aripiprazol statisztikailag jelentősen nagyobb mértékű javulást mutatott a pszichotikus tünetekben a placebóval összehasonlítva.</w:t>
      </w:r>
    </w:p>
    <w:p w14:paraId="49075D0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A8852FF" w14:textId="77777777" w:rsidR="00975921" w:rsidRDefault="0029197E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Az </w:t>
      </w:r>
      <w:r w:rsidR="006C6AFE" w:rsidRPr="00336525">
        <w:rPr>
          <w:color w:val="auto"/>
          <w:sz w:val="22"/>
          <w:szCs w:val="22"/>
        </w:rPr>
        <w:t xml:space="preserve">aripiprazol </w:t>
      </w:r>
      <w:r w:rsidR="00255AB4" w:rsidRPr="00336525">
        <w:rPr>
          <w:color w:val="auto"/>
          <w:sz w:val="22"/>
          <w:szCs w:val="22"/>
        </w:rPr>
        <w:t>hatásos a klinikai kórkép javulásának fenntartásában folyamatos terápia alatt olyan felnőtt betegeknél, akik a kezdeti kezelésre reagáltak. Egy haloperidol</w:t>
      </w:r>
      <w:r w:rsidR="006C6AFE" w:rsidRPr="00336525">
        <w:rPr>
          <w:color w:val="auto"/>
          <w:sz w:val="22"/>
          <w:szCs w:val="22"/>
        </w:rPr>
        <w:noBreakHyphen/>
      </w:r>
      <w:r w:rsidR="00255AB4" w:rsidRPr="00336525">
        <w:rPr>
          <w:color w:val="auto"/>
          <w:sz w:val="22"/>
          <w:szCs w:val="22"/>
        </w:rPr>
        <w:t>kontrollos vizsgálatban azon betegek aránya, akiknél az 52.</w:t>
      </w:r>
      <w:r w:rsidR="006C6AFE" w:rsidRPr="00336525">
        <w:rPr>
          <w:color w:val="auto"/>
          <w:sz w:val="22"/>
          <w:szCs w:val="22"/>
        </w:rPr>
        <w:t> </w:t>
      </w:r>
      <w:r w:rsidR="00255AB4" w:rsidRPr="00336525">
        <w:rPr>
          <w:color w:val="auto"/>
          <w:sz w:val="22"/>
          <w:szCs w:val="22"/>
        </w:rPr>
        <w:t xml:space="preserve">hétnél fennállt a gyógyszeres kezelésre adott válasz, mindkét csoportban hasonló volt (aripiprazol 77% és haloperidol 73%). Az aripiprazollal kezelt csoportban szignifikánsan magasabb volt a vizsgálatot befejező betegek aránya (43%), mint a haloperidol csoportban (30%). A mért pontértékek alapján, amelyeket másodlagos végpontnak tekintettek, az alkalmazott mérőskálák alapján (a PANSS és a </w:t>
      </w:r>
      <w:r w:rsidR="00255AB4" w:rsidRPr="00336525">
        <w:rPr>
          <w:noProof/>
          <w:color w:val="auto"/>
          <w:sz w:val="22"/>
          <w:szCs w:val="22"/>
        </w:rPr>
        <w:t>Montgomery</w:t>
      </w:r>
      <w:r w:rsidR="006C6AFE" w:rsidRPr="00336525">
        <w:rPr>
          <w:noProof/>
          <w:color w:val="auto"/>
          <w:sz w:val="22"/>
          <w:szCs w:val="22"/>
        </w:rPr>
        <w:noBreakHyphen/>
      </w:r>
      <w:r w:rsidR="00255AB4" w:rsidRPr="00336525">
        <w:rPr>
          <w:noProof/>
          <w:color w:val="auto"/>
          <w:sz w:val="22"/>
          <w:szCs w:val="22"/>
        </w:rPr>
        <w:t>Asberg Depresszió Mérőskála</w:t>
      </w:r>
      <w:r w:rsidR="00975921">
        <w:rPr>
          <w:noProof/>
          <w:color w:val="auto"/>
          <w:sz w:val="22"/>
          <w:szCs w:val="22"/>
        </w:rPr>
        <w:t xml:space="preserve"> </w:t>
      </w:r>
      <w:r w:rsidR="00975921" w:rsidRPr="0094454B">
        <w:rPr>
          <w:noProof/>
          <w:color w:val="auto"/>
          <w:sz w:val="22"/>
          <w:szCs w:val="22"/>
        </w:rPr>
        <w:t>[Montgomery–Åsberg Depression Rating Scale, MADRS]</w:t>
      </w:r>
      <w:r w:rsidR="00255AB4" w:rsidRPr="00336525">
        <w:rPr>
          <w:noProof/>
          <w:color w:val="auto"/>
          <w:sz w:val="22"/>
          <w:szCs w:val="22"/>
        </w:rPr>
        <w:t>) s</w:t>
      </w:r>
      <w:r w:rsidR="00255AB4" w:rsidRPr="00336525">
        <w:rPr>
          <w:color w:val="auto"/>
          <w:sz w:val="22"/>
          <w:szCs w:val="22"/>
        </w:rPr>
        <w:t>zignifikáns javulást mutattak a haloperidollal szemben.</w:t>
      </w:r>
    </w:p>
    <w:p w14:paraId="1AE4D3BC" w14:textId="2FC4FAC6" w:rsidR="00255AB4" w:rsidRPr="00336525" w:rsidRDefault="00255AB4" w:rsidP="00B052B1">
      <w:pPr>
        <w:pStyle w:val="Default"/>
        <w:rPr>
          <w:color w:val="auto"/>
          <w:sz w:val="22"/>
          <w:szCs w:val="22"/>
        </w:rPr>
      </w:pPr>
    </w:p>
    <w:p w14:paraId="579B97A1" w14:textId="77777777" w:rsidR="0029197E" w:rsidRPr="00336525" w:rsidRDefault="00255AB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26</w:t>
      </w:r>
      <w:r w:rsidR="006C6AF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hetes, placebokontrollos, felnőtteken végzett vizsgálatban, amelyben krónikus schizophreniában szenvedő, stabil betegek vettek részt, az aripiprazol szignifikánsan nagyobb mértékű csökkenést eredményezett a relapszus arányában: 34% az aripiprazol</w:t>
      </w:r>
      <w:r w:rsidR="005837DD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csoportban és 57% a placebocsoportban.</w:t>
      </w:r>
    </w:p>
    <w:p w14:paraId="0714EE8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90E9DBC" w14:textId="77777777" w:rsidR="006C6AFE" w:rsidRPr="00336525" w:rsidRDefault="0067784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iCs/>
          <w:sz w:val="22"/>
          <w:szCs w:val="22"/>
          <w:lang w:val="hu-HU"/>
        </w:rPr>
      </w:pPr>
      <w:r w:rsidRPr="00336525">
        <w:rPr>
          <w:i/>
          <w:iCs/>
          <w:sz w:val="22"/>
          <w:szCs w:val="22"/>
          <w:lang w:val="hu-HU"/>
        </w:rPr>
        <w:t>Testtömeg-növekedé</w:t>
      </w:r>
      <w:r w:rsidR="006C6AFE" w:rsidRPr="00336525">
        <w:rPr>
          <w:i/>
          <w:iCs/>
          <w:sz w:val="22"/>
          <w:szCs w:val="22"/>
          <w:lang w:val="hu-HU"/>
        </w:rPr>
        <w:t>s</w:t>
      </w:r>
    </w:p>
    <w:p w14:paraId="50C60B17" w14:textId="77777777" w:rsidR="0067784F" w:rsidRPr="00336525" w:rsidRDefault="006C6AF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</w:t>
      </w:r>
      <w:r w:rsidR="0067784F" w:rsidRPr="00336525">
        <w:rPr>
          <w:sz w:val="22"/>
          <w:szCs w:val="22"/>
          <w:lang w:val="hu-HU"/>
        </w:rPr>
        <w:t xml:space="preserve"> klinikai vizsgálatok során az aripiprazol nem idézett elő klinikailag releváns testtömeg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növekedést. Egy 26 hetes, olanzapin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kontrollos, kettős</w:t>
      </w:r>
      <w:r w:rsidR="00026020">
        <w:rPr>
          <w:sz w:val="22"/>
          <w:szCs w:val="22"/>
          <w:lang w:val="hu-HU"/>
        </w:rPr>
        <w:t xml:space="preserve"> </w:t>
      </w:r>
      <w:r w:rsidR="0067784F" w:rsidRPr="00336525">
        <w:rPr>
          <w:sz w:val="22"/>
          <w:szCs w:val="22"/>
          <w:lang w:val="hu-HU"/>
        </w:rPr>
        <w:t>vak, multinacionális vizsgálatban, amelyben 314 schizophreniás felnőtt beteg vett részt, és amelyben az elsődleges végpont a testtömeg-növekedés volt, szignifikánsan kevesebb betegnek volt legalább 7%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os testtömeg-növekedése a kiindulási értékhez viszonyítva (pl. legalább 5,6</w:t>
      </w:r>
      <w:r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kg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os testtömeg-növekedés egy átlagos, kb. 80,5</w:t>
      </w:r>
      <w:r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kg kiindulási testtömeghez képest) az aripiprazollal kezelteknél (N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=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18 vagy az értékelhető betegek 13%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a) összehasonlítva az olanzapinnal kezeltekkel (N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=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 xml:space="preserve">45 vagy az értékelhető betegek 33%-a). </w:t>
      </w:r>
    </w:p>
    <w:p w14:paraId="58A44A5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1C5F042" w14:textId="77777777" w:rsidR="006C6AF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BodytextItalic"/>
          <w:color w:val="auto"/>
          <w:sz w:val="22"/>
          <w:szCs w:val="22"/>
        </w:rPr>
        <w:t>Lipid-paraméterek</w:t>
      </w:r>
    </w:p>
    <w:p w14:paraId="119EF456" w14:textId="77777777" w:rsidR="0029197E" w:rsidRPr="00336525" w:rsidRDefault="006C6AF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F</w:t>
      </w:r>
      <w:r w:rsidR="0029197E" w:rsidRPr="00336525">
        <w:rPr>
          <w:sz w:val="22"/>
          <w:szCs w:val="22"/>
          <w:lang w:val="hu-HU"/>
        </w:rPr>
        <w:t xml:space="preserve">elnőtteken </w:t>
      </w:r>
      <w:r w:rsidR="00F264A4" w:rsidRPr="00336525">
        <w:rPr>
          <w:sz w:val="22"/>
          <w:szCs w:val="22"/>
          <w:lang w:val="hu-HU"/>
        </w:rPr>
        <w:t>végzett placebokontrollos klinikai vizsgálatok lipid</w:t>
      </w:r>
      <w:r w:rsidRPr="00336525">
        <w:rPr>
          <w:sz w:val="22"/>
          <w:szCs w:val="22"/>
          <w:lang w:val="hu-HU"/>
        </w:rPr>
        <w:noBreakHyphen/>
      </w:r>
      <w:r w:rsidR="00F264A4" w:rsidRPr="00336525">
        <w:rPr>
          <w:sz w:val="22"/>
          <w:szCs w:val="22"/>
          <w:lang w:val="hu-HU"/>
        </w:rPr>
        <w:t>paramétereinek összevont analízise nem igazolta, hogy az aripiprazol klinikailag jelentős mértékű változást okozna az összkoleszterin-, a triglicerid-, H</w:t>
      </w:r>
      <w:r w:rsidR="003812A4">
        <w:rPr>
          <w:sz w:val="22"/>
          <w:szCs w:val="22"/>
          <w:lang w:val="hu-HU"/>
        </w:rPr>
        <w:t>DL</w:t>
      </w:r>
      <w:r w:rsidR="00AC61B9">
        <w:rPr>
          <w:sz w:val="22"/>
          <w:szCs w:val="22"/>
          <w:lang w:val="hu-HU"/>
        </w:rPr>
        <w:t xml:space="preserve"> (</w:t>
      </w:r>
      <w:r w:rsidR="00AC61B9" w:rsidRPr="002045A9">
        <w:rPr>
          <w:i/>
          <w:sz w:val="22"/>
          <w:szCs w:val="22"/>
          <w:lang w:val="en-GB"/>
        </w:rPr>
        <w:t>High Density Lipoprotein</w:t>
      </w:r>
      <w:r w:rsidR="00AC61B9">
        <w:rPr>
          <w:sz w:val="22"/>
          <w:szCs w:val="22"/>
          <w:lang w:val="hu-HU"/>
        </w:rPr>
        <w:t>)</w:t>
      </w:r>
      <w:r w:rsidR="003812A4">
        <w:rPr>
          <w:sz w:val="22"/>
          <w:szCs w:val="22"/>
          <w:lang w:val="hu-HU"/>
        </w:rPr>
        <w:t>- és LDL</w:t>
      </w:r>
      <w:r w:rsidR="00AC61B9">
        <w:rPr>
          <w:sz w:val="22"/>
          <w:szCs w:val="22"/>
          <w:lang w:val="hu-HU"/>
        </w:rPr>
        <w:t xml:space="preserve"> (</w:t>
      </w:r>
      <w:r w:rsidR="00AC61B9" w:rsidRPr="002045A9">
        <w:rPr>
          <w:i/>
          <w:sz w:val="22"/>
          <w:szCs w:val="22"/>
          <w:lang w:val="hu-HU"/>
        </w:rPr>
        <w:t>Low Density Lipoprotein</w:t>
      </w:r>
      <w:r w:rsidR="00AC61B9">
        <w:rPr>
          <w:sz w:val="22"/>
          <w:szCs w:val="22"/>
          <w:lang w:val="hu-HU"/>
        </w:rPr>
        <w:t>)</w:t>
      </w:r>
      <w:r w:rsidR="003812A4">
        <w:rPr>
          <w:sz w:val="22"/>
          <w:szCs w:val="22"/>
          <w:lang w:val="hu-HU"/>
        </w:rPr>
        <w:noBreakHyphen/>
      </w:r>
      <w:r w:rsidR="00F264A4" w:rsidRPr="00336525">
        <w:rPr>
          <w:sz w:val="22"/>
          <w:szCs w:val="22"/>
          <w:lang w:val="hu-HU"/>
        </w:rPr>
        <w:t>szintekben</w:t>
      </w:r>
      <w:r w:rsidR="0029197E" w:rsidRPr="00336525">
        <w:rPr>
          <w:sz w:val="22"/>
          <w:szCs w:val="22"/>
          <w:lang w:val="hu-HU"/>
        </w:rPr>
        <w:t>.</w:t>
      </w:r>
    </w:p>
    <w:p w14:paraId="617AC922" w14:textId="77777777" w:rsidR="00975921" w:rsidRPr="00A03E58" w:rsidRDefault="00975921" w:rsidP="00975921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4"/>
          <w:szCs w:val="22"/>
        </w:rPr>
      </w:pPr>
    </w:p>
    <w:p w14:paraId="3E8302CE" w14:textId="77777777" w:rsidR="00975921" w:rsidRPr="00A03E58" w:rsidRDefault="00975921" w:rsidP="00975921">
      <w:pPr>
        <w:widowControl/>
        <w:rPr>
          <w:rFonts w:cs="Times New Roman"/>
          <w:i/>
          <w:iCs/>
          <w:color w:val="auto"/>
          <w:szCs w:val="22"/>
        </w:rPr>
      </w:pPr>
      <w:r w:rsidRPr="00A03E58">
        <w:rPr>
          <w:rFonts w:cs="Times New Roman"/>
          <w:i/>
          <w:iCs/>
          <w:color w:val="auto"/>
          <w:szCs w:val="22"/>
        </w:rPr>
        <w:t>Prolaktin</w:t>
      </w:r>
    </w:p>
    <w:p w14:paraId="430F706D" w14:textId="77777777" w:rsidR="00975921" w:rsidRPr="00A03E58" w:rsidRDefault="00975921" w:rsidP="00975921">
      <w:pPr>
        <w:widowControl/>
        <w:rPr>
          <w:rFonts w:cs="Times New Roman"/>
          <w:iCs/>
          <w:color w:val="auto"/>
          <w:szCs w:val="22"/>
        </w:rPr>
      </w:pPr>
      <w:r w:rsidRPr="00A03E58">
        <w:rPr>
          <w:rFonts w:cs="Times New Roman"/>
          <w:iCs/>
          <w:color w:val="auto"/>
          <w:szCs w:val="22"/>
        </w:rPr>
        <w:t>A prolaktinszinteket az aripiprazol összes dózisának minden vizsgálatában mérték (n = 28 242). A hyperprolactinaemia előfordulási gyakorisága, illetve a prolaktin szérumszintjének emelkedése hasonló mértékű volt az aripiprazollal kezelt betegeknél (0,3%) és a placebóval kezelt betegeknél (0,2%). Az aripiprazolt kapó betegeknél a hyperprolactinaemia jelentkezéséig eltelt medián idő 42 nap, a hyperprolactinaemia medián időtartama pedig 34 nap volt.</w:t>
      </w:r>
    </w:p>
    <w:p w14:paraId="4258EC66" w14:textId="77777777" w:rsidR="00975921" w:rsidRPr="00A03E58" w:rsidRDefault="00975921" w:rsidP="00975921">
      <w:pPr>
        <w:widowControl/>
        <w:rPr>
          <w:rFonts w:cs="Times New Roman"/>
          <w:iCs/>
          <w:color w:val="auto"/>
          <w:szCs w:val="22"/>
        </w:rPr>
      </w:pPr>
    </w:p>
    <w:p w14:paraId="6871E6FC" w14:textId="77777777" w:rsidR="00975921" w:rsidRPr="00A03E58" w:rsidRDefault="00975921" w:rsidP="00975921">
      <w:pPr>
        <w:widowControl/>
        <w:rPr>
          <w:rFonts w:cs="Times New Roman"/>
          <w:iCs/>
          <w:color w:val="auto"/>
          <w:szCs w:val="22"/>
        </w:rPr>
      </w:pPr>
      <w:r w:rsidRPr="00A03E58">
        <w:rPr>
          <w:rFonts w:cs="Times New Roman"/>
          <w:iCs/>
          <w:color w:val="auto"/>
          <w:szCs w:val="22"/>
        </w:rPr>
        <w:t>A hypoprolactinaemia előfordulási gyakorisága, illetve a prolaktin szérumszintjének csökkenése 0,4% volt az aripiprazollal kezelt betegeknél, illetve 0,02% a placebóval kezelt betegeknél. Az aripiprazolt kapó betegeknél a hypoprolactinaemia jelentkezéséig eltelt medián idő 30 nap, a hypoprolactinaemia medián időtartama pedig 194 nap volt.</w:t>
      </w:r>
    </w:p>
    <w:p w14:paraId="74B73AE5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345B4BDE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</w:rPr>
        <w:t xml:space="preserve">Mániás epizód a bipoláris </w:t>
      </w:r>
      <w:r w:rsidR="00A26B39" w:rsidRPr="00336525">
        <w:rPr>
          <w:rStyle w:val="Bodytext31"/>
          <w:i/>
          <w:iCs/>
          <w:color w:val="auto"/>
          <w:sz w:val="22"/>
          <w:szCs w:val="22"/>
        </w:rPr>
        <w:t xml:space="preserve">affektív </w:t>
      </w:r>
      <w:r w:rsidRPr="00336525">
        <w:rPr>
          <w:rStyle w:val="Bodytext31"/>
          <w:i/>
          <w:iCs/>
          <w:color w:val="auto"/>
          <w:sz w:val="22"/>
          <w:szCs w:val="22"/>
        </w:rPr>
        <w:t>zavar I</w:t>
      </w:r>
      <w:r w:rsidR="00DA16E7" w:rsidRPr="00336525">
        <w:rPr>
          <w:rStyle w:val="Bodytext31"/>
          <w:i/>
          <w:iCs/>
          <w:color w:val="auto"/>
          <w:sz w:val="22"/>
          <w:szCs w:val="22"/>
        </w:rPr>
        <w:noBreakHyphen/>
      </w:r>
      <w:r w:rsidRPr="00336525">
        <w:rPr>
          <w:rStyle w:val="Bodytext31"/>
          <w:i/>
          <w:iCs/>
          <w:color w:val="auto"/>
          <w:sz w:val="22"/>
          <w:szCs w:val="22"/>
        </w:rPr>
        <w:t>es típusában</w:t>
      </w:r>
    </w:p>
    <w:p w14:paraId="2D7A540C" w14:textId="77777777" w:rsidR="00A26B39" w:rsidRDefault="00A26B39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Két 3</w:t>
      </w:r>
      <w:r w:rsidR="00F728B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hetes, flexibilis dózisú, placebokontrollos, monoterápiás klinikai vizsgálatba bevont, a bipoláris affektív zavar I</w:t>
      </w:r>
      <w:r w:rsidR="00F728B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es típusának mániás vagy kevert epizódjában szenvedő betegek esetében az aripiprazol a placebóhoz viszonyítva a 3</w:t>
      </w:r>
      <w:r w:rsidR="00F728B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hét alatt hatékonyabban csökkentette a mániás tüneteket. Ezen vizsgálatokba egyaránt vontak be pszichotikus és nem pszichotikus állapotú, valamint rapid- és nem rapid ciklusú betegeket.</w:t>
      </w:r>
    </w:p>
    <w:p w14:paraId="48F72660" w14:textId="77777777" w:rsidR="00B903AE" w:rsidRPr="00336525" w:rsidRDefault="00B903AE" w:rsidP="00B052B1">
      <w:pPr>
        <w:pStyle w:val="Default"/>
        <w:rPr>
          <w:color w:val="auto"/>
          <w:sz w:val="22"/>
          <w:szCs w:val="22"/>
        </w:rPr>
      </w:pPr>
    </w:p>
    <w:p w14:paraId="4C881ECB" w14:textId="77777777" w:rsidR="00A26B39" w:rsidRPr="00336525" w:rsidRDefault="00A26B3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3</w:t>
      </w:r>
      <w:r w:rsidR="00F728B0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hetes, fix</w:t>
      </w:r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dózisú, placebokontrollos, monoterápiás vizsgálatba bevont bipoláris affektív zavar I</w:t>
      </w:r>
      <w:r w:rsidR="00F728B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típusának mániás vagy kevert fázisában szenvedő betegeknél az aripiprazol nem mutatott nagyobb hatékonyságot a placebóhoz viszonyítva.</w:t>
      </w:r>
    </w:p>
    <w:p w14:paraId="1D123D7F" w14:textId="77777777" w:rsidR="00A26B39" w:rsidRPr="00336525" w:rsidRDefault="00A26B3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FCDEC4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Két </w:t>
      </w:r>
      <w:r w:rsidR="007217EA" w:rsidRPr="00336525">
        <w:rPr>
          <w:sz w:val="22"/>
          <w:szCs w:val="22"/>
          <w:lang w:val="hu-HU"/>
        </w:rPr>
        <w:t>12 </w:t>
      </w:r>
      <w:r w:rsidRPr="00336525">
        <w:rPr>
          <w:sz w:val="22"/>
          <w:szCs w:val="22"/>
          <w:lang w:val="hu-HU"/>
        </w:rPr>
        <w:t>hetes, placebo- és aktív</w:t>
      </w:r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kontrollos monoterápiás vizsgálatba bevont, a bipoláris </w:t>
      </w:r>
      <w:r w:rsidR="007217EA" w:rsidRPr="00336525">
        <w:rPr>
          <w:sz w:val="22"/>
          <w:szCs w:val="22"/>
          <w:lang w:val="hu-HU"/>
        </w:rPr>
        <w:t xml:space="preserve">affektív </w:t>
      </w:r>
      <w:r w:rsidRPr="00336525">
        <w:rPr>
          <w:sz w:val="22"/>
          <w:szCs w:val="22"/>
          <w:lang w:val="hu-HU"/>
        </w:rPr>
        <w:t>zavar I</w:t>
      </w:r>
      <w:r w:rsidR="00606D5B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típusának mániás vagy kevert epizódjában szenvedő, pszichotikus/nem pszichotikus betegeknél az aripiprazol a 3.</w:t>
      </w:r>
      <w:r w:rsidR="00606D5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 hatásosabb volt a placebónál. </w:t>
      </w:r>
      <w:r w:rsidR="00A26B39" w:rsidRPr="00336525">
        <w:rPr>
          <w:sz w:val="22"/>
          <w:szCs w:val="22"/>
          <w:lang w:val="hu-HU"/>
        </w:rPr>
        <w:t>A fenntartó hatás hasonló volt, mint a lítiumé vagy a haloperidolé a 12.</w:t>
      </w:r>
      <w:r w:rsidR="00606D5B" w:rsidRPr="00336525">
        <w:rPr>
          <w:sz w:val="22"/>
          <w:szCs w:val="22"/>
          <w:lang w:val="hu-HU"/>
        </w:rPr>
        <w:t> </w:t>
      </w:r>
      <w:r w:rsidR="00A26B39" w:rsidRPr="00336525">
        <w:rPr>
          <w:sz w:val="22"/>
          <w:szCs w:val="22"/>
          <w:lang w:val="hu-HU"/>
        </w:rPr>
        <w:t>héten</w:t>
      </w:r>
      <w:r w:rsidRPr="00336525">
        <w:rPr>
          <w:sz w:val="22"/>
          <w:szCs w:val="22"/>
          <w:lang w:val="hu-HU"/>
        </w:rPr>
        <w:t>. Az aripiprazol emellett a betegek hasonló hányadánál idézte elő a mániás tünetek remisszióját a 12.</w:t>
      </w:r>
      <w:r w:rsidR="00606D5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héten, mint a lítium vagy a haloperidol.</w:t>
      </w:r>
    </w:p>
    <w:p w14:paraId="79ED5F8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27625F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 </w:t>
      </w:r>
      <w:r w:rsidR="007217EA" w:rsidRPr="00336525">
        <w:rPr>
          <w:sz w:val="22"/>
          <w:szCs w:val="22"/>
          <w:lang w:val="hu-HU"/>
        </w:rPr>
        <w:t>6 </w:t>
      </w:r>
      <w:r w:rsidRPr="00336525">
        <w:rPr>
          <w:sz w:val="22"/>
          <w:szCs w:val="22"/>
          <w:lang w:val="hu-HU"/>
        </w:rPr>
        <w:t>hetes, placebokontrollos klinikai vizsgálatba bevont</w:t>
      </w:r>
      <w:r w:rsidR="007217EA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a bipoláris </w:t>
      </w:r>
      <w:r w:rsidR="007217EA" w:rsidRPr="00336525">
        <w:rPr>
          <w:sz w:val="22"/>
          <w:szCs w:val="22"/>
          <w:lang w:val="hu-HU"/>
        </w:rPr>
        <w:t xml:space="preserve">affektív </w:t>
      </w:r>
      <w:r w:rsidRPr="00336525">
        <w:rPr>
          <w:sz w:val="22"/>
          <w:szCs w:val="22"/>
          <w:lang w:val="hu-HU"/>
        </w:rPr>
        <w:t>zavar I</w:t>
      </w:r>
      <w:r w:rsidR="00606D5B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</w:t>
      </w:r>
      <w:r w:rsidR="007217EA" w:rsidRPr="00336525">
        <w:rPr>
          <w:sz w:val="22"/>
          <w:szCs w:val="22"/>
          <w:lang w:val="hu-HU"/>
        </w:rPr>
        <w:t>nak</w:t>
      </w:r>
      <w:r w:rsidRPr="00336525">
        <w:rPr>
          <w:sz w:val="22"/>
          <w:szCs w:val="22"/>
          <w:lang w:val="hu-HU"/>
        </w:rPr>
        <w:t xml:space="preserve"> mániás vagy kevert epizódjában szenvedő, pszichotikus/nem pszichotikus állapotú betegeknél, </w:t>
      </w:r>
      <w:r w:rsidR="007217EA" w:rsidRPr="00336525">
        <w:rPr>
          <w:sz w:val="22"/>
          <w:szCs w:val="22"/>
          <w:lang w:val="hu-HU"/>
        </w:rPr>
        <w:t>akik kéthetes terápiás szérumszint mellett részlegesen nem reagáltak a lítium vagy valproát monoterápiára, az aripiprazol kiegészítő kezelésként adagolva hatékonyabban csökkentette a mániás tüneteket, mint a lítium vagy valproát monoterápia.</w:t>
      </w:r>
    </w:p>
    <w:p w14:paraId="299C4F6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C9FCD6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 </w:t>
      </w:r>
      <w:r w:rsidR="007217EA" w:rsidRPr="00336525">
        <w:rPr>
          <w:sz w:val="22"/>
          <w:szCs w:val="22"/>
          <w:lang w:val="hu-HU"/>
        </w:rPr>
        <w:t>26 </w:t>
      </w:r>
      <w:r w:rsidRPr="00336525">
        <w:rPr>
          <w:sz w:val="22"/>
          <w:szCs w:val="22"/>
          <w:lang w:val="hu-HU"/>
        </w:rPr>
        <w:t xml:space="preserve">hetes, placebokontrollos klinikai vizsgálatban, melyet </w:t>
      </w:r>
      <w:r w:rsidR="007217EA" w:rsidRPr="00336525">
        <w:rPr>
          <w:sz w:val="22"/>
          <w:szCs w:val="22"/>
          <w:lang w:val="hu-HU"/>
        </w:rPr>
        <w:t>74 </w:t>
      </w:r>
      <w:r w:rsidRPr="00336525">
        <w:rPr>
          <w:sz w:val="22"/>
          <w:szCs w:val="22"/>
          <w:lang w:val="hu-HU"/>
        </w:rPr>
        <w:t>hetes kiterjesztés követett, azoknál a mániás betegeknél, akik a randomizációt megelőző stabilizálási fázisban az aripiprazollal remisszióba kerültek, az aripiprazol a placebónál hatásosabban előzte meg a bipoláris betegség kiújulását (ami elsősorban a mánia kiújulásának megelőzésében mutatkozott meg), de nem bizonyult hatásosabbnak a depresszió kiújulásának megelőzésében.</w:t>
      </w:r>
    </w:p>
    <w:p w14:paraId="4996F8B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1C2FEAF" w14:textId="2350151B" w:rsidR="007217EA" w:rsidRPr="00336525" w:rsidRDefault="0029197E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Egy </w:t>
      </w:r>
      <w:r w:rsidR="007217EA" w:rsidRPr="00336525">
        <w:rPr>
          <w:color w:val="auto"/>
          <w:sz w:val="22"/>
          <w:szCs w:val="22"/>
        </w:rPr>
        <w:t>52 </w:t>
      </w:r>
      <w:r w:rsidRPr="00336525">
        <w:rPr>
          <w:color w:val="auto"/>
          <w:sz w:val="22"/>
          <w:szCs w:val="22"/>
        </w:rPr>
        <w:t>hetes, placebokontrollos klinikai vizsgálatban</w:t>
      </w:r>
      <w:r w:rsidR="007217EA" w:rsidRPr="00336525">
        <w:rPr>
          <w:color w:val="auto"/>
          <w:sz w:val="22"/>
          <w:szCs w:val="22"/>
        </w:rPr>
        <w:t>,</w:t>
      </w:r>
      <w:r w:rsidRPr="00336525">
        <w:rPr>
          <w:color w:val="auto"/>
          <w:sz w:val="22"/>
          <w:szCs w:val="22"/>
        </w:rPr>
        <w:t xml:space="preserve"> a bipoláris </w:t>
      </w:r>
      <w:r w:rsidR="007217EA" w:rsidRPr="00336525">
        <w:rPr>
          <w:color w:val="auto"/>
          <w:sz w:val="22"/>
          <w:szCs w:val="22"/>
        </w:rPr>
        <w:t xml:space="preserve">affektív </w:t>
      </w:r>
      <w:r w:rsidRPr="00336525">
        <w:rPr>
          <w:color w:val="auto"/>
          <w:sz w:val="22"/>
          <w:szCs w:val="22"/>
        </w:rPr>
        <w:t>zavar I</w:t>
      </w:r>
      <w:r w:rsidR="00606D5B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 xml:space="preserve">es típusának aktuálisan mániás vagy kevert epizódjában szenvedő </w:t>
      </w:r>
      <w:r w:rsidR="007217EA" w:rsidRPr="00336525">
        <w:rPr>
          <w:color w:val="auto"/>
          <w:sz w:val="22"/>
          <w:szCs w:val="22"/>
        </w:rPr>
        <w:t>betegeknél, akik fen</w:t>
      </w:r>
      <w:r w:rsidR="00E938FD" w:rsidRPr="00336525">
        <w:rPr>
          <w:color w:val="auto"/>
          <w:sz w:val="22"/>
          <w:szCs w:val="22"/>
        </w:rPr>
        <w:t>n</w:t>
      </w:r>
      <w:r w:rsidR="007217EA" w:rsidRPr="00336525">
        <w:rPr>
          <w:color w:val="auto"/>
          <w:sz w:val="22"/>
          <w:szCs w:val="22"/>
        </w:rPr>
        <w:t>tartott remissziót értek el (</w:t>
      </w:r>
      <w:r w:rsidR="00BC35E2">
        <w:rPr>
          <w:i/>
          <w:iCs/>
          <w:sz w:val="22"/>
          <w:szCs w:val="22"/>
        </w:rPr>
        <w:t xml:space="preserve">Young Mania Rating Scale </w:t>
      </w:r>
      <w:r w:rsidR="00BC35E2">
        <w:rPr>
          <w:sz w:val="22"/>
          <w:szCs w:val="22"/>
        </w:rPr>
        <w:t xml:space="preserve">[YMRS] </w:t>
      </w:r>
      <w:r w:rsidR="00BC35E2" w:rsidRPr="009562AD">
        <w:rPr>
          <w:color w:val="auto"/>
          <w:sz w:val="22"/>
          <w:szCs w:val="22"/>
        </w:rPr>
        <w:t>és MADRS</w:t>
      </w:r>
      <w:r w:rsidR="007217EA" w:rsidRPr="00336525">
        <w:rPr>
          <w:color w:val="auto"/>
          <w:sz w:val="22"/>
          <w:szCs w:val="22"/>
        </w:rPr>
        <w:t xml:space="preserve"> teljes pontszám ≤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>12) a lítiumhoz vagy a valproáthoz 12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 xml:space="preserve"> héten át adott aripiprazollal (10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>mg/nap</w:t>
      </w:r>
      <w:r w:rsidR="00E938FD" w:rsidRPr="00336525">
        <w:rPr>
          <w:color w:val="auto"/>
          <w:sz w:val="22"/>
          <w:szCs w:val="22"/>
        </w:rPr>
        <w:noBreakHyphen/>
      </w:r>
      <w:r w:rsidR="007217EA" w:rsidRPr="00336525">
        <w:rPr>
          <w:color w:val="auto"/>
          <w:sz w:val="22"/>
          <w:szCs w:val="22"/>
        </w:rPr>
        <w:t>30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>mg/nap), a kiegészítő aripiprazol-terápia nagyobb hatékonyságot mutatott a placeb</w:t>
      </w:r>
      <w:r w:rsidR="00E938FD" w:rsidRPr="00336525">
        <w:rPr>
          <w:color w:val="auto"/>
          <w:sz w:val="22"/>
          <w:szCs w:val="22"/>
        </w:rPr>
        <w:t>ó</w:t>
      </w:r>
      <w:r w:rsidR="007217EA" w:rsidRPr="00336525">
        <w:rPr>
          <w:color w:val="auto"/>
          <w:sz w:val="22"/>
          <w:szCs w:val="22"/>
        </w:rPr>
        <w:t>hoz képest, 46%</w:t>
      </w:r>
      <w:r w:rsidR="00606D5B" w:rsidRPr="00336525">
        <w:rPr>
          <w:color w:val="auto"/>
          <w:sz w:val="22"/>
          <w:szCs w:val="22"/>
        </w:rPr>
        <w:noBreakHyphen/>
      </w:r>
      <w:r w:rsidR="007217EA" w:rsidRPr="00336525">
        <w:rPr>
          <w:color w:val="auto"/>
          <w:sz w:val="22"/>
          <w:szCs w:val="22"/>
        </w:rPr>
        <w:t>kal csökkentette (relatív hazárd: 0,54) a bipoláris betegség kiújulásának kockázatát és 65%</w:t>
      </w:r>
      <w:r w:rsidR="00606D5B" w:rsidRPr="00336525">
        <w:rPr>
          <w:color w:val="auto"/>
          <w:sz w:val="22"/>
          <w:szCs w:val="22"/>
        </w:rPr>
        <w:noBreakHyphen/>
      </w:r>
      <w:r w:rsidR="007217EA" w:rsidRPr="00336525">
        <w:rPr>
          <w:color w:val="auto"/>
          <w:sz w:val="22"/>
          <w:szCs w:val="22"/>
        </w:rPr>
        <w:t>kal a mánia (relatív hazárd: 0,35) kiújulásának kockázatát, de nem előzte meg hatékonyabban a depresszió kiújulását a placeb</w:t>
      </w:r>
      <w:r w:rsidR="00E938FD" w:rsidRPr="00336525">
        <w:rPr>
          <w:color w:val="auto"/>
          <w:sz w:val="22"/>
          <w:szCs w:val="22"/>
        </w:rPr>
        <w:t>ó</w:t>
      </w:r>
      <w:r w:rsidR="007217EA" w:rsidRPr="00336525">
        <w:rPr>
          <w:color w:val="auto"/>
          <w:sz w:val="22"/>
          <w:szCs w:val="22"/>
        </w:rPr>
        <w:t>hoz képest. A kiegészítő aripiprazol-terápia nagyobb hatékonyságot mutatott a placeb</w:t>
      </w:r>
      <w:r w:rsidR="00E938FD" w:rsidRPr="00336525">
        <w:rPr>
          <w:color w:val="auto"/>
          <w:sz w:val="22"/>
          <w:szCs w:val="22"/>
        </w:rPr>
        <w:t>ó</w:t>
      </w:r>
      <w:r w:rsidR="007217EA" w:rsidRPr="00336525">
        <w:rPr>
          <w:color w:val="auto"/>
          <w:sz w:val="22"/>
          <w:szCs w:val="22"/>
        </w:rPr>
        <w:t xml:space="preserve">hoz képest a másodlagos végpont értékelésnél, </w:t>
      </w:r>
      <w:r w:rsidR="00BC35E2" w:rsidRPr="009562AD">
        <w:rPr>
          <w:color w:val="auto"/>
          <w:sz w:val="22"/>
          <w:szCs w:val="22"/>
        </w:rPr>
        <w:t xml:space="preserve">a </w:t>
      </w:r>
      <w:r w:rsidR="00BC35E2">
        <w:rPr>
          <w:i/>
          <w:iCs/>
          <w:sz w:val="22"/>
          <w:szCs w:val="22"/>
        </w:rPr>
        <w:t xml:space="preserve">Clinical Global Impression Score – Bipolar version </w:t>
      </w:r>
      <w:r w:rsidR="00BC35E2">
        <w:rPr>
          <w:sz w:val="22"/>
          <w:szCs w:val="22"/>
        </w:rPr>
        <w:t xml:space="preserve">(CGI-BP) </w:t>
      </w:r>
      <w:r w:rsidR="00BC35E2">
        <w:rPr>
          <w:i/>
          <w:iCs/>
          <w:sz w:val="22"/>
          <w:szCs w:val="22"/>
        </w:rPr>
        <w:t xml:space="preserve">Severity of Illness </w:t>
      </w:r>
      <w:r w:rsidR="00BC35E2">
        <w:rPr>
          <w:sz w:val="22"/>
          <w:szCs w:val="22"/>
        </w:rPr>
        <w:t xml:space="preserve">(SOI; mánia) </w:t>
      </w:r>
      <w:r w:rsidR="007217EA" w:rsidRPr="00336525">
        <w:rPr>
          <w:color w:val="auto"/>
          <w:sz w:val="22"/>
          <w:szCs w:val="22"/>
        </w:rPr>
        <w:t>súlyossági pontszáma alapján. Ebbe a vizsgálatba a vizsgálók olyan betegeket választottak be, akik nyílt vizsgálatban lítium vagy valproát monoterápiára részlegesen nem reagáltak. A betegeket legalább 12</w:t>
      </w:r>
      <w:r w:rsidR="00606D5B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>hétig adott aripiprazol és változatlanul adott hangulatjavító gyógyszer kombinációjával stabilizálták.</w:t>
      </w:r>
    </w:p>
    <w:p w14:paraId="50B13F56" w14:textId="77777777" w:rsidR="007217EA" w:rsidRPr="00336525" w:rsidRDefault="007217EA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stabilizált betegeket ezután kettős</w:t>
      </w:r>
      <w:r w:rsidR="00026020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 xml:space="preserve">vak klinikai vizsgálatban randomizálták a változatlanul adott hangulatjavító gyógyszer és aripiprazol vagy placebo kombinációs kezelésre. A randomizált fázisban </w:t>
      </w:r>
      <w:r w:rsidR="00E938FD" w:rsidRPr="00336525">
        <w:rPr>
          <w:color w:val="auto"/>
          <w:sz w:val="22"/>
          <w:szCs w:val="22"/>
        </w:rPr>
        <w:t xml:space="preserve">4 </w:t>
      </w:r>
      <w:r w:rsidRPr="00336525">
        <w:rPr>
          <w:color w:val="auto"/>
          <w:sz w:val="22"/>
          <w:szCs w:val="22"/>
        </w:rPr>
        <w:t>hangulatjavító gyógyszert tartalmazó alcsoportot értékeltek: aripiprazol+lítium, aripiprazol+valproát, placebo+lítium, placebo+valproát.</w:t>
      </w:r>
    </w:p>
    <w:p w14:paraId="3AD7B630" w14:textId="77777777" w:rsidR="0029197E" w:rsidRPr="00336525" w:rsidRDefault="007217EA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Kaplan</w:t>
      </w:r>
      <w:r w:rsidR="00606D5B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Meier érték a kombinációs kezelési csoportban a hangulatváltozási epizódok kiújulásának tekintetében 16% volt az aripiprazol+lítium, és 18% volt az aripiprazol+valproát esetében, 45% a placebo+lítium és 19% a placebo</w:t>
      </w:r>
      <w:r w:rsidR="00E938FD" w:rsidRPr="00336525">
        <w:rPr>
          <w:sz w:val="22"/>
          <w:szCs w:val="22"/>
          <w:lang w:val="hu-HU"/>
        </w:rPr>
        <w:t>+</w:t>
      </w:r>
      <w:r w:rsidRPr="00336525">
        <w:rPr>
          <w:sz w:val="22"/>
          <w:szCs w:val="22"/>
          <w:lang w:val="hu-HU"/>
        </w:rPr>
        <w:t>valproát esetében.</w:t>
      </w:r>
    </w:p>
    <w:p w14:paraId="0075112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61FC41C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  <w:r w:rsidRPr="00336525">
        <w:rPr>
          <w:rStyle w:val="Szvegtrzs1"/>
          <w:color w:val="auto"/>
          <w:sz w:val="22"/>
          <w:szCs w:val="22"/>
        </w:rPr>
        <w:t>Gyermekek</w:t>
      </w:r>
      <w:r w:rsidR="00026020">
        <w:rPr>
          <w:rStyle w:val="Szvegtrzs1"/>
          <w:color w:val="auto"/>
          <w:sz w:val="22"/>
          <w:szCs w:val="22"/>
        </w:rPr>
        <w:t xml:space="preserve"> és serdülők</w:t>
      </w:r>
    </w:p>
    <w:p w14:paraId="2BB32FD4" w14:textId="77777777" w:rsidR="00CA15B5" w:rsidRPr="0018733D" w:rsidRDefault="00CA15B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43EAC33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</w:rPr>
        <w:t>Schizophrenia serdülők</w:t>
      </w:r>
      <w:r w:rsidR="00026020">
        <w:rPr>
          <w:rStyle w:val="Bodytext31"/>
          <w:i/>
          <w:iCs/>
          <w:color w:val="auto"/>
          <w:sz w:val="22"/>
          <w:szCs w:val="22"/>
        </w:rPr>
        <w:t>nél</w:t>
      </w:r>
    </w:p>
    <w:p w14:paraId="77FDA613" w14:textId="52468034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6</w:t>
      </w:r>
      <w:r w:rsidR="00B7751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</w:t>
      </w:r>
      <w:r w:rsidRPr="0041593E">
        <w:rPr>
          <w:sz w:val="22"/>
          <w:szCs w:val="22"/>
          <w:lang w:val="hu-HU"/>
        </w:rPr>
        <w:t>placebokontrollos</w:t>
      </w:r>
      <w:r w:rsidRPr="00336525">
        <w:rPr>
          <w:sz w:val="22"/>
          <w:szCs w:val="22"/>
          <w:lang w:val="hu-HU"/>
        </w:rPr>
        <w:t xml:space="preserve"> vizsgálatba bevont 302, schizophréniában szenvedő pozitív és negatív tüneteket mutató serdülőkorúnál (13</w:t>
      </w:r>
      <w:r w:rsidR="00FF677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FF6774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éves) az aripiprazol a pszichotikus tünetek statisztikailag szignifikánsan nagyobb mértékű </w:t>
      </w:r>
      <w:r w:rsidR="00FF6774" w:rsidRPr="00336525">
        <w:rPr>
          <w:sz w:val="22"/>
          <w:szCs w:val="22"/>
          <w:lang w:val="hu-HU"/>
        </w:rPr>
        <w:t>javulásával járt</w:t>
      </w:r>
      <w:r w:rsidRPr="00336525">
        <w:rPr>
          <w:sz w:val="22"/>
          <w:szCs w:val="22"/>
          <w:lang w:val="hu-HU"/>
        </w:rPr>
        <w:t>, mint a placebo.</w:t>
      </w:r>
      <w:r w:rsidR="00CA15B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 15</w:t>
      </w:r>
      <w:r w:rsidR="00FF677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FF6774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 közötti serdülőkorú betegeken – akik a teljes bevont populáció 74%</w:t>
      </w:r>
      <w:r w:rsidR="00B052B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át tették ki – elvégzett részelemzés szerint, a vizsgálat 26</w:t>
      </w:r>
      <w:r w:rsidR="00B7751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hetes, nyílt kiterjesztésében a hatás fennmaradását figyelték meg.</w:t>
      </w:r>
    </w:p>
    <w:p w14:paraId="58D92588" w14:textId="77777777" w:rsidR="00CA15B5" w:rsidRPr="00B52824" w:rsidRDefault="00CA15B5" w:rsidP="00CA15B5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>Egy 60 és 89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 xml:space="preserve">hét közötti időtartamú, randomizált, kettős vak, placebokontrollos vizsgálatban, amelyben </w:t>
      </w:r>
      <w:r>
        <w:rPr>
          <w:sz w:val="22"/>
          <w:szCs w:val="22"/>
        </w:rPr>
        <w:t xml:space="preserve">gyermek- és </w:t>
      </w:r>
      <w:r w:rsidRPr="001B3489">
        <w:rPr>
          <w:sz w:val="22"/>
          <w:szCs w:val="22"/>
        </w:rPr>
        <w:t>serdülőkorú schizophreniás betegek (n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 xml:space="preserve">146; életkor: </w:t>
      </w:r>
      <w:r>
        <w:rPr>
          <w:sz w:val="22"/>
          <w:szCs w:val="22"/>
        </w:rPr>
        <w:t>13 és 17 év között</w:t>
      </w:r>
      <w:r w:rsidRPr="001B3489">
        <w:rPr>
          <w:sz w:val="22"/>
          <w:szCs w:val="22"/>
        </w:rPr>
        <w:t>) vettek részt, statisztikailag szignifikáns különbség volt a pszichotikus tünetek relapszusának aránya tekintetében az aripiprazollal kezelt csoport (19,39%) és a placebót kapó csoport (37,50%) között. A relatív hazárd (HR) pontbecslése 0,461 volt (95%</w:t>
      </w:r>
      <w:r w:rsidRPr="00B52824">
        <w:rPr>
          <w:sz w:val="22"/>
          <w:szCs w:val="22"/>
        </w:rPr>
        <w:noBreakHyphen/>
      </w:r>
      <w:r w:rsidRPr="001B3489">
        <w:rPr>
          <w:sz w:val="22"/>
          <w:szCs w:val="22"/>
        </w:rPr>
        <w:t xml:space="preserve">os konfidenciaintervallum, </w:t>
      </w:r>
      <w:r>
        <w:rPr>
          <w:sz w:val="22"/>
          <w:szCs w:val="22"/>
        </w:rPr>
        <w:t>0,242 és 0,879 között</w:t>
      </w:r>
      <w:r w:rsidRPr="001B3489">
        <w:rPr>
          <w:sz w:val="22"/>
          <w:szCs w:val="22"/>
        </w:rPr>
        <w:t xml:space="preserve">) a teljes populációban. Az alcsoportok elemzései során kapott HR pontbecslése 0,495 volt a </w:t>
      </w:r>
      <w:r w:rsidRPr="0004117B">
        <w:rPr>
          <w:sz w:val="22"/>
          <w:szCs w:val="22"/>
        </w:rPr>
        <w:t>13</w:t>
      </w:r>
      <w:r w:rsidRPr="0004117B">
        <w:rPr>
          <w:sz w:val="22"/>
          <w:szCs w:val="22"/>
        </w:rPr>
        <w:noBreakHyphen/>
        <w:t>14 éves</w:t>
      </w:r>
      <w:r w:rsidRPr="001B3489">
        <w:rPr>
          <w:sz w:val="22"/>
          <w:szCs w:val="22"/>
        </w:rPr>
        <w:t xml:space="preserve"> betegek, illetve 0,454 a </w:t>
      </w:r>
      <w:r w:rsidRPr="0004117B">
        <w:rPr>
          <w:sz w:val="22"/>
          <w:szCs w:val="22"/>
        </w:rPr>
        <w:t>15</w:t>
      </w:r>
      <w:r w:rsidRPr="0004117B">
        <w:rPr>
          <w:sz w:val="22"/>
          <w:szCs w:val="22"/>
        </w:rPr>
        <w:noBreakHyphen/>
        <w:t>17 éves</w:t>
      </w:r>
      <w:r w:rsidRPr="001B3489">
        <w:rPr>
          <w:sz w:val="22"/>
          <w:szCs w:val="22"/>
        </w:rPr>
        <w:t xml:space="preserve"> betegek esetében. Ugyanakkor, a fiatalabbik (</w:t>
      </w:r>
      <w:r>
        <w:rPr>
          <w:sz w:val="22"/>
          <w:szCs w:val="22"/>
        </w:rPr>
        <w:t>13 és 14 év közötti</w:t>
      </w:r>
      <w:r w:rsidRPr="001B3489">
        <w:rPr>
          <w:sz w:val="22"/>
          <w:szCs w:val="22"/>
        </w:rPr>
        <w:t>) korcsoportban a HR becsült értéke nem volt pontos, és azt tükrözte, hogy abban a csoportban kevesebb számú beteg (aripiprazol,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29; placebo,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12) volt. Ennek a becslésnek a konfidenciaintervalluma (amely 0,151</w:t>
      </w:r>
      <w:r w:rsidRPr="00B52824">
        <w:rPr>
          <w:sz w:val="22"/>
          <w:szCs w:val="22"/>
        </w:rPr>
        <w:noBreakHyphen/>
      </w:r>
      <w:r w:rsidRPr="001B3489">
        <w:rPr>
          <w:sz w:val="22"/>
          <w:szCs w:val="22"/>
        </w:rPr>
        <w:t>től 1,628</w:t>
      </w:r>
      <w:r w:rsidRPr="00B52824">
        <w:rPr>
          <w:sz w:val="22"/>
          <w:szCs w:val="22"/>
        </w:rPr>
        <w:noBreakHyphen/>
      </w:r>
      <w:r w:rsidRPr="001B3489">
        <w:rPr>
          <w:sz w:val="22"/>
          <w:szCs w:val="22"/>
        </w:rPr>
        <w:t>ig terjedt) alapján nem lehetett következtetéseket levonni a terápiás hatás jelenlétét illetően. Ezzel szemben, az idősebbik alcsoportban (aripiprazol,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69; placebo,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36) mért HR 95%</w:t>
      </w:r>
      <w:r w:rsidRPr="00B52824">
        <w:rPr>
          <w:sz w:val="22"/>
          <w:szCs w:val="22"/>
        </w:rPr>
        <w:noBreakHyphen/>
      </w:r>
      <w:r w:rsidRPr="001B3489">
        <w:rPr>
          <w:sz w:val="22"/>
          <w:szCs w:val="22"/>
        </w:rPr>
        <w:t>os konfidenciaintervalluma 0,242 és 0,879 között volt, így az idősebb betegeknél meg lehetett állapítani a kezelés hatását.</w:t>
      </w:r>
    </w:p>
    <w:p w14:paraId="1297401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Italic0"/>
          <w:color w:val="auto"/>
          <w:sz w:val="22"/>
          <w:szCs w:val="22"/>
        </w:rPr>
      </w:pPr>
    </w:p>
    <w:p w14:paraId="4F8356A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Italic0"/>
          <w:color w:val="auto"/>
          <w:sz w:val="22"/>
          <w:szCs w:val="22"/>
        </w:rPr>
      </w:pPr>
      <w:r w:rsidRPr="00336525">
        <w:rPr>
          <w:rStyle w:val="BodytextItalic0"/>
          <w:color w:val="auto"/>
          <w:sz w:val="22"/>
          <w:szCs w:val="22"/>
        </w:rPr>
        <w:t>Mániás epizódok bipoláris affektív zavar I</w:t>
      </w:r>
      <w:r w:rsidR="00B77512" w:rsidRPr="00336525">
        <w:rPr>
          <w:rStyle w:val="BodytextItalic0"/>
          <w:color w:val="auto"/>
          <w:sz w:val="22"/>
          <w:szCs w:val="22"/>
        </w:rPr>
        <w:noBreakHyphen/>
      </w:r>
      <w:r w:rsidRPr="00336525">
        <w:rPr>
          <w:rStyle w:val="BodytextItalic0"/>
          <w:color w:val="auto"/>
          <w:sz w:val="22"/>
          <w:szCs w:val="22"/>
        </w:rPr>
        <w:t>es típusában, gyermekeknél és serdülők</w:t>
      </w:r>
      <w:r w:rsidR="00026020">
        <w:rPr>
          <w:rStyle w:val="BodytextItalic0"/>
          <w:color w:val="auto"/>
          <w:sz w:val="22"/>
          <w:szCs w:val="22"/>
        </w:rPr>
        <w:t>nél</w:t>
      </w:r>
    </w:p>
    <w:p w14:paraId="7CA00E65" w14:textId="31EE9B7B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30</w:t>
      </w:r>
      <w:r w:rsidR="00B7751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</w:t>
      </w:r>
      <w:r w:rsidRPr="0041593E">
        <w:rPr>
          <w:sz w:val="22"/>
          <w:szCs w:val="22"/>
          <w:lang w:val="hu-HU"/>
        </w:rPr>
        <w:t>placebokontrollos</w:t>
      </w:r>
      <w:r w:rsidRPr="00336525">
        <w:rPr>
          <w:sz w:val="22"/>
          <w:szCs w:val="22"/>
          <w:lang w:val="hu-HU"/>
        </w:rPr>
        <w:t xml:space="preserve"> vizsgálatban 296 olyan gyermeket és serdülőkorút</w:t>
      </w:r>
      <w:r w:rsidR="00F03827" w:rsidRPr="00336525">
        <w:rPr>
          <w:sz w:val="22"/>
          <w:szCs w:val="22"/>
          <w:lang w:val="hu-HU"/>
        </w:rPr>
        <w:t xml:space="preserve"> (10</w:t>
      </w:r>
      <w:r w:rsidR="00770F85" w:rsidRPr="00336525">
        <w:rPr>
          <w:sz w:val="22"/>
          <w:szCs w:val="22"/>
          <w:lang w:val="hu-HU"/>
        </w:rPr>
        <w:noBreakHyphen/>
      </w:r>
      <w:r w:rsidR="0091073D" w:rsidRPr="00336525">
        <w:rPr>
          <w:sz w:val="22"/>
          <w:szCs w:val="22"/>
          <w:lang w:val="hu-HU"/>
        </w:rPr>
        <w:t>17</w:t>
      </w:r>
      <w:r w:rsidR="0091073D">
        <w:rPr>
          <w:sz w:val="22"/>
          <w:szCs w:val="22"/>
          <w:lang w:val="hu-HU"/>
        </w:rPr>
        <w:t> </w:t>
      </w:r>
      <w:r w:rsidR="00F03827" w:rsidRPr="00336525">
        <w:rPr>
          <w:sz w:val="22"/>
          <w:szCs w:val="22"/>
          <w:lang w:val="hu-HU"/>
        </w:rPr>
        <w:t xml:space="preserve">éves) </w:t>
      </w:r>
      <w:r w:rsidRPr="00336525">
        <w:rPr>
          <w:sz w:val="22"/>
          <w:szCs w:val="22"/>
          <w:lang w:val="hu-HU"/>
        </w:rPr>
        <w:t xml:space="preserve">értékeltek, </w:t>
      </w:r>
      <w:r w:rsidR="00E30B83" w:rsidRPr="00336525">
        <w:rPr>
          <w:sz w:val="22"/>
          <w:szCs w:val="22"/>
          <w:lang w:val="hu-HU"/>
        </w:rPr>
        <w:t>akik megfeleltek a bipoláris affektív zavar I</w:t>
      </w:r>
      <w:r w:rsidR="00770F85" w:rsidRPr="00336525">
        <w:rPr>
          <w:sz w:val="22"/>
          <w:szCs w:val="22"/>
          <w:lang w:val="hu-HU"/>
        </w:rPr>
        <w:noBreakHyphen/>
      </w:r>
      <w:r w:rsidR="00E30B83" w:rsidRPr="00336525">
        <w:rPr>
          <w:sz w:val="22"/>
          <w:szCs w:val="22"/>
          <w:lang w:val="hu-HU"/>
        </w:rPr>
        <w:t>es típusában előforduló, pszichotikus jellemzőkkel járó vagy anélküli, mániás vagy kevert epizódokra vonatkozó DSM</w:t>
      </w:r>
      <w:r w:rsidR="00770F85" w:rsidRPr="00336525">
        <w:rPr>
          <w:sz w:val="22"/>
          <w:szCs w:val="22"/>
          <w:lang w:val="hu-HU"/>
        </w:rPr>
        <w:noBreakHyphen/>
      </w:r>
      <w:r w:rsidR="00E30B83" w:rsidRPr="00336525">
        <w:rPr>
          <w:sz w:val="22"/>
          <w:szCs w:val="22"/>
          <w:lang w:val="hu-HU"/>
        </w:rPr>
        <w:t xml:space="preserve">IV </w:t>
      </w:r>
      <w:r w:rsidR="00CA15B5">
        <w:rPr>
          <w:sz w:val="22"/>
          <w:szCs w:val="22"/>
        </w:rPr>
        <w:t>(</w:t>
      </w:r>
      <w:r w:rsidR="00CA15B5">
        <w:rPr>
          <w:i/>
          <w:iCs/>
          <w:sz w:val="22"/>
          <w:szCs w:val="22"/>
        </w:rPr>
        <w:t>Diagnostic and Statistical Manual of Mental Disorders</w:t>
      </w:r>
      <w:r w:rsidR="00CA15B5">
        <w:rPr>
          <w:sz w:val="22"/>
          <w:szCs w:val="22"/>
        </w:rPr>
        <w:t xml:space="preserve">) </w:t>
      </w:r>
      <w:r w:rsidR="00E30B83" w:rsidRPr="00336525">
        <w:rPr>
          <w:sz w:val="22"/>
          <w:szCs w:val="22"/>
          <w:lang w:val="hu-HU"/>
        </w:rPr>
        <w:t>kritériumoknak, és a kiindulási Y</w:t>
      </w:r>
      <w:r w:rsidR="00770F85" w:rsidRPr="00336525">
        <w:rPr>
          <w:sz w:val="22"/>
          <w:szCs w:val="22"/>
          <w:lang w:val="hu-HU"/>
        </w:rPr>
        <w:noBreakHyphen/>
      </w:r>
      <w:r w:rsidR="00E30B83" w:rsidRPr="00336525">
        <w:rPr>
          <w:sz w:val="22"/>
          <w:szCs w:val="22"/>
          <w:lang w:val="hu-HU"/>
        </w:rPr>
        <w:t>MRS pontszám ≥ 20 volt. Az elsődleges hatásossági vizsgálatba bekerült betegek közül 139  betegnél szerepelt aktuálisan kísérő diagnózisként ADHD.</w:t>
      </w:r>
    </w:p>
    <w:p w14:paraId="23552EB5" w14:textId="77777777" w:rsidR="00CA15B5" w:rsidRPr="00336525" w:rsidRDefault="00CA15B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5ED8C8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a kezelés 4. és 12.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hetén, az Y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MRS összpontszám kiindulási értékhez viszonyított változása tekintetében jobbnak bizonyult a placebónál. Egy post hoc analízis során a placebóhoz viszonyított javulás kifejezettebb volt ADHD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ban is szenvedő betegeknél, mint az ADHD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ban nem szenvedő csoportban, ahol nem volt különbség a placebóhoz képest. Kiújulást megelőző hatást nem igazoltak.</w:t>
      </w:r>
    </w:p>
    <w:p w14:paraId="5534E86A" w14:textId="77777777" w:rsidR="00CA112D" w:rsidRPr="00336525" w:rsidRDefault="00CA112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6EB362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leggyakoribb, kezeléssel összefüggő nemkívánatos esemény a 30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ot szedő betegeknél az extrap</w:t>
      </w:r>
      <w:r w:rsidR="00415443" w:rsidRPr="00336525">
        <w:rPr>
          <w:sz w:val="22"/>
          <w:szCs w:val="22"/>
          <w:lang w:val="hu-HU"/>
        </w:rPr>
        <w:t>i</w:t>
      </w:r>
      <w:r w:rsidRPr="00336525">
        <w:rPr>
          <w:sz w:val="22"/>
          <w:szCs w:val="22"/>
          <w:lang w:val="hu-HU"/>
        </w:rPr>
        <w:t>ramidális zavar (28,3%), az aluszékonyság (27,3%), a fejfájás (23,2%), és a hányinger (14,1%) volt. Az átlagos test</w:t>
      </w:r>
      <w:r w:rsidR="00415443" w:rsidRPr="00336525">
        <w:rPr>
          <w:sz w:val="22"/>
          <w:szCs w:val="22"/>
          <w:lang w:val="hu-HU"/>
        </w:rPr>
        <w:t>tömeg</w:t>
      </w:r>
      <w:r w:rsidR="00770F85" w:rsidRPr="00336525">
        <w:rPr>
          <w:sz w:val="22"/>
          <w:szCs w:val="22"/>
          <w:lang w:val="hu-HU"/>
        </w:rPr>
        <w:noBreakHyphen/>
      </w:r>
      <w:r w:rsidR="00415443" w:rsidRPr="00336525">
        <w:rPr>
          <w:sz w:val="22"/>
          <w:szCs w:val="22"/>
          <w:lang w:val="hu-HU"/>
        </w:rPr>
        <w:t>n</w:t>
      </w:r>
      <w:r w:rsidRPr="00336525">
        <w:rPr>
          <w:sz w:val="22"/>
          <w:szCs w:val="22"/>
          <w:lang w:val="hu-HU"/>
        </w:rPr>
        <w:t>övekedés a 30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 kezelési szakaszban 2,9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 volt, a placebóval kezelt betegeknél észlelt 0,</w:t>
      </w:r>
      <w:r w:rsidR="00415443" w:rsidRPr="00336525">
        <w:rPr>
          <w:sz w:val="22"/>
          <w:szCs w:val="22"/>
          <w:lang w:val="hu-HU"/>
        </w:rPr>
        <w:t>98 </w:t>
      </w:r>
      <w:r w:rsidRPr="00336525">
        <w:rPr>
          <w:sz w:val="22"/>
          <w:szCs w:val="22"/>
          <w:lang w:val="hu-HU"/>
        </w:rPr>
        <w:t>kg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hoz képest.</w:t>
      </w:r>
    </w:p>
    <w:p w14:paraId="08884B5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FBED052" w14:textId="77777777" w:rsidR="0029197E" w:rsidRPr="005F763A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18733D">
        <w:rPr>
          <w:rStyle w:val="Bodytext31"/>
          <w:i/>
          <w:iCs/>
          <w:color w:val="auto"/>
          <w:sz w:val="22"/>
          <w:szCs w:val="22"/>
          <w:u w:val="none"/>
        </w:rPr>
        <w:t>Autista betegséggel társult ingerlékenységben szenvedő gyermekek (lásd 4.2</w:t>
      </w:r>
      <w:r w:rsidR="00323178" w:rsidRPr="0018733D">
        <w:rPr>
          <w:rStyle w:val="Bodytext31"/>
          <w:i/>
          <w:iCs/>
          <w:color w:val="auto"/>
          <w:sz w:val="22"/>
          <w:szCs w:val="22"/>
          <w:u w:val="none"/>
        </w:rPr>
        <w:t> </w:t>
      </w:r>
      <w:r w:rsidRPr="005F763A">
        <w:rPr>
          <w:rStyle w:val="Bodytext31"/>
          <w:i/>
          <w:iCs/>
          <w:color w:val="auto"/>
          <w:sz w:val="22"/>
          <w:szCs w:val="22"/>
          <w:u w:val="none"/>
        </w:rPr>
        <w:t>pont)</w:t>
      </w:r>
    </w:p>
    <w:p w14:paraId="064ACED5" w14:textId="466BE0FB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aripiprazolt 6 és 17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 közötti betegeken, két, 8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placebokontrollos vizsgálatban </w:t>
      </w:r>
      <w:r w:rsidR="007E6005" w:rsidRPr="00336525">
        <w:rPr>
          <w:sz w:val="22"/>
          <w:szCs w:val="22"/>
          <w:lang w:val="hu-HU"/>
        </w:rPr>
        <w:t xml:space="preserve">[egy flexibilis dózisú </w:t>
      </w:r>
      <w:r w:rsidR="00CA15B5" w:rsidRPr="001B3489">
        <w:rPr>
          <w:sz w:val="22"/>
          <w:szCs w:val="22"/>
          <w:lang w:val="hu-HU"/>
        </w:rPr>
        <w:t>(</w:t>
      </w:r>
      <w:r w:rsidR="00CA15B5">
        <w:rPr>
          <w:sz w:val="22"/>
          <w:szCs w:val="22"/>
        </w:rPr>
        <w:t>2</w:t>
      </w:r>
      <w:r w:rsidR="00CA15B5">
        <w:rPr>
          <w:sz w:val="22"/>
          <w:szCs w:val="22"/>
          <w:lang w:val="hu-HU"/>
        </w:rPr>
        <w:t> </w:t>
      </w:r>
      <w:r w:rsidR="00CA15B5">
        <w:rPr>
          <w:sz w:val="22"/>
          <w:szCs w:val="22"/>
        </w:rPr>
        <w:t>mg/nap és 15</w:t>
      </w:r>
      <w:r w:rsidR="00CA15B5">
        <w:rPr>
          <w:sz w:val="22"/>
          <w:szCs w:val="22"/>
          <w:lang w:val="hu-HU"/>
        </w:rPr>
        <w:t> </w:t>
      </w:r>
      <w:r w:rsidR="00CA15B5">
        <w:rPr>
          <w:sz w:val="22"/>
          <w:szCs w:val="22"/>
        </w:rPr>
        <w:t>mg/nap közötti</w:t>
      </w:r>
      <w:r w:rsidR="00CA15B5" w:rsidRPr="001B3489">
        <w:rPr>
          <w:sz w:val="22"/>
          <w:szCs w:val="22"/>
          <w:lang w:val="hu-HU"/>
        </w:rPr>
        <w:t>)</w:t>
      </w:r>
      <w:r w:rsidR="007E6005" w:rsidRPr="00336525">
        <w:rPr>
          <w:sz w:val="22"/>
          <w:szCs w:val="22"/>
          <w:lang w:val="hu-HU"/>
        </w:rPr>
        <w:t xml:space="preserve"> és egy fix dózisú (5</w:t>
      </w:r>
      <w:r w:rsidR="00CA15B5">
        <w:rPr>
          <w:sz w:val="22"/>
          <w:szCs w:val="22"/>
          <w:lang w:val="hu-HU"/>
        </w:rPr>
        <w:t> mg/nap</w:t>
      </w:r>
      <w:r w:rsidR="007E6005" w:rsidRPr="00336525">
        <w:rPr>
          <w:sz w:val="22"/>
          <w:szCs w:val="22"/>
          <w:lang w:val="hu-HU"/>
        </w:rPr>
        <w:t>, 10</w:t>
      </w:r>
      <w:r w:rsidR="00CA15B5">
        <w:rPr>
          <w:sz w:val="22"/>
          <w:szCs w:val="22"/>
          <w:lang w:val="hu-HU"/>
        </w:rPr>
        <w:t> mg/nap</w:t>
      </w:r>
      <w:r w:rsidR="007E6005" w:rsidRPr="00336525">
        <w:rPr>
          <w:sz w:val="22"/>
          <w:szCs w:val="22"/>
          <w:lang w:val="hu-HU"/>
        </w:rPr>
        <w:t xml:space="preserve"> vagy 15 mg/nap)] és egy 52 hetes nyílt vizsgálatban értékelték. Ezekben a vizsgálatokban a kezdő dózis 2 mg/nap volt, ami egy hét után 5 mg/napra emelkedett, és a kívánt dózis eléréséig hetente 5 mg/nappal növekedett. A betegek több mint 75%</w:t>
      </w:r>
      <w:r w:rsidR="00B052B1" w:rsidRPr="00336525">
        <w:rPr>
          <w:sz w:val="22"/>
          <w:szCs w:val="22"/>
          <w:lang w:val="hu-HU"/>
        </w:rPr>
        <w:noBreakHyphen/>
      </w:r>
      <w:r w:rsidR="007E6005" w:rsidRPr="00336525">
        <w:rPr>
          <w:sz w:val="22"/>
          <w:szCs w:val="22"/>
          <w:lang w:val="hu-HU"/>
        </w:rPr>
        <w:t>a 13</w:t>
      </w:r>
      <w:r w:rsidR="00B052B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év alatti volt. Az aripiprazol az Aberráns Viselkedést Vizsgáló Teszt Ingerlékenységi alskáláján statisztikailag nagyobb hatékonyságot mutatott, mint a placebo. Ugyanakkor ennek az eredménynek a klinikai jelentősége nem igazolt. A biztonságossági profil tartalmazta a testtömeg-növekedést és a prolaktinszint változását. A hosszútávú biztonságossági vizsgálat időtartamát 52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hétre korlátozták. Az összegzett vizsgálatokban az alacsony szérum prolaktinszint előfordulási gyakorisága nőknél (&lt;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3</w:t>
      </w:r>
      <w:r w:rsidR="00B052B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ng/ml) és férfiaknál (&lt;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2</w:t>
      </w:r>
      <w:r w:rsidR="00B052B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ng/ml) az aripiprazollal kezelt betegeknél rendre 27/46 (</w:t>
      </w:r>
      <w:r w:rsidR="007E6005" w:rsidRPr="0041593E">
        <w:rPr>
          <w:sz w:val="22"/>
          <w:szCs w:val="22"/>
          <w:lang w:val="hu-HU"/>
        </w:rPr>
        <w:t>58,7%)</w:t>
      </w:r>
      <w:r w:rsidR="007E6005" w:rsidRPr="00336525">
        <w:rPr>
          <w:sz w:val="22"/>
          <w:szCs w:val="22"/>
          <w:lang w:val="hu-HU"/>
        </w:rPr>
        <w:t xml:space="preserve"> és 258/298 (86,6%) volt. A </w:t>
      </w:r>
      <w:r w:rsidR="007E6005" w:rsidRPr="0041593E">
        <w:rPr>
          <w:sz w:val="22"/>
          <w:szCs w:val="22"/>
          <w:lang w:val="hu-HU"/>
        </w:rPr>
        <w:t>placebokontrollos</w:t>
      </w:r>
      <w:r w:rsidR="007E6005" w:rsidRPr="00336525">
        <w:rPr>
          <w:sz w:val="22"/>
          <w:szCs w:val="22"/>
          <w:lang w:val="hu-HU"/>
        </w:rPr>
        <w:t xml:space="preserve"> vizsgálatokban az átlagos testtömeg-növekedés 0,4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kg volt a placebóval és 1,6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kg az aripiprazollal kezelt betegek esetében.</w:t>
      </w:r>
    </w:p>
    <w:p w14:paraId="7EED6A5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5165955" w14:textId="7C9F4C6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aripiprazolt egy placebokontrollos vizsgálatban hosszú távú fenntartó terápiaként is értékelték. A 13</w:t>
      </w:r>
      <w:r w:rsidR="00FB5B34">
        <w:rPr>
          <w:sz w:val="22"/>
          <w:szCs w:val="22"/>
          <w:lang w:val="hu-HU"/>
        </w:rPr>
        <w:t xml:space="preserve"> és </w:t>
      </w:r>
      <w:r w:rsidRPr="00336525">
        <w:rPr>
          <w:sz w:val="22"/>
          <w:szCs w:val="22"/>
          <w:lang w:val="hu-HU"/>
        </w:rPr>
        <w:t>26</w:t>
      </w:r>
      <w:r w:rsidR="00B052B1" w:rsidRPr="00336525">
        <w:rPr>
          <w:sz w:val="22"/>
          <w:szCs w:val="22"/>
          <w:lang w:val="hu-HU"/>
        </w:rPr>
        <w:t> </w:t>
      </w:r>
      <w:r w:rsidR="00FB5B34" w:rsidRPr="00336525">
        <w:rPr>
          <w:sz w:val="22"/>
          <w:szCs w:val="22"/>
          <w:lang w:val="hu-HU"/>
        </w:rPr>
        <w:t>h</w:t>
      </w:r>
      <w:r w:rsidR="00FB5B34">
        <w:rPr>
          <w:sz w:val="22"/>
          <w:szCs w:val="22"/>
          <w:lang w:val="hu-HU"/>
        </w:rPr>
        <w:t>é</w:t>
      </w:r>
      <w:r w:rsidR="00FB5B34" w:rsidRPr="00336525">
        <w:rPr>
          <w:sz w:val="22"/>
          <w:szCs w:val="22"/>
          <w:lang w:val="hu-HU"/>
        </w:rPr>
        <w:t>t</w:t>
      </w:r>
      <w:r w:rsidR="00FB5B34">
        <w:rPr>
          <w:sz w:val="22"/>
          <w:szCs w:val="22"/>
          <w:lang w:val="hu-HU"/>
        </w:rPr>
        <w:t xml:space="preserve"> közötti</w:t>
      </w:r>
      <w:r w:rsidR="00FB5B34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stabilizációs aripiprazol kezelést </w:t>
      </w:r>
      <w:r w:rsidR="00FB5B34" w:rsidRPr="001B3489">
        <w:rPr>
          <w:sz w:val="22"/>
          <w:szCs w:val="22"/>
          <w:lang w:val="hu-HU"/>
        </w:rPr>
        <w:t>(</w:t>
      </w:r>
      <w:r w:rsidR="00FB5B34">
        <w:rPr>
          <w:sz w:val="22"/>
          <w:szCs w:val="22"/>
        </w:rPr>
        <w:t>2</w:t>
      </w:r>
      <w:r w:rsidR="00FB5B34">
        <w:rPr>
          <w:sz w:val="22"/>
          <w:szCs w:val="22"/>
          <w:lang w:val="hu-HU"/>
        </w:rPr>
        <w:t> </w:t>
      </w:r>
      <w:r w:rsidR="00FB5B34">
        <w:rPr>
          <w:sz w:val="22"/>
          <w:szCs w:val="22"/>
        </w:rPr>
        <w:t>mg/nap és 15</w:t>
      </w:r>
      <w:r w:rsidR="00FB5B34">
        <w:rPr>
          <w:sz w:val="22"/>
          <w:szCs w:val="22"/>
          <w:lang w:val="hu-HU"/>
        </w:rPr>
        <w:t> </w:t>
      </w:r>
      <w:r w:rsidR="00FB5B34">
        <w:rPr>
          <w:sz w:val="22"/>
          <w:szCs w:val="22"/>
        </w:rPr>
        <w:t>mg/nap között</w:t>
      </w:r>
      <w:r w:rsidR="00FB5B34" w:rsidRPr="001B3489">
        <w:rPr>
          <w:sz w:val="22"/>
          <w:szCs w:val="22"/>
          <w:lang w:val="hu-HU"/>
        </w:rPr>
        <w:t>)</w:t>
      </w:r>
      <w:r w:rsidRPr="00336525">
        <w:rPr>
          <w:sz w:val="22"/>
          <w:szCs w:val="22"/>
          <w:lang w:val="hu-HU"/>
        </w:rPr>
        <w:t xml:space="preserve"> követően a stabil terápiás választ mutató betegeknél az aripiprazolt további 16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héten át, fenntartó kezelésként alkalmazták vagy placebóval helyettesítették. A 16.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 </w:t>
      </w:r>
      <w:r w:rsidR="008E53AB" w:rsidRPr="00336525">
        <w:rPr>
          <w:sz w:val="22"/>
          <w:szCs w:val="22"/>
          <w:lang w:val="hu-HU"/>
        </w:rPr>
        <w:t xml:space="preserve">a </w:t>
      </w:r>
      <w:r w:rsidRPr="00336525">
        <w:rPr>
          <w:sz w:val="22"/>
          <w:szCs w:val="22"/>
          <w:lang w:val="hu-HU"/>
        </w:rPr>
        <w:t>Kaplan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Meier-féle relapszus-arány 35% volt aripiprazol</w:t>
      </w:r>
      <w:r w:rsidR="00026020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kezelés, ill. 52% placebokezelés esetén. A 16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héten belüli relapszus relatív kockázata (aripiprazol/placebo) 0,57 volt (statisztikailag nem szignifikáns különbség). Az aripiprazolt szedő csoportban a stabilizációs időszak (maximum 26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hét) során az átlagos test</w:t>
      </w:r>
      <w:r w:rsidR="00B40231" w:rsidRPr="00336525">
        <w:rPr>
          <w:sz w:val="22"/>
          <w:szCs w:val="22"/>
          <w:lang w:val="hu-HU"/>
        </w:rPr>
        <w:t>tömeg</w:t>
      </w:r>
      <w:r w:rsidRPr="00336525">
        <w:rPr>
          <w:sz w:val="22"/>
          <w:szCs w:val="22"/>
          <w:lang w:val="hu-HU"/>
        </w:rPr>
        <w:t>gyarapodás 3,2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 volt és a vizsgálat második fázisában (16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hét) további, átlagosan 2,2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növekedést figyeltek meg az aripiprazol esetén, a placebo mellett észlelt 0,6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hoz képest. Extrap</w:t>
      </w:r>
      <w:r w:rsidR="00B40231" w:rsidRPr="00336525">
        <w:rPr>
          <w:sz w:val="22"/>
          <w:szCs w:val="22"/>
          <w:lang w:val="hu-HU"/>
        </w:rPr>
        <w:t>i</w:t>
      </w:r>
      <w:r w:rsidRPr="00336525">
        <w:rPr>
          <w:sz w:val="22"/>
          <w:szCs w:val="22"/>
          <w:lang w:val="hu-HU"/>
        </w:rPr>
        <w:t>ramidális tüneteket főként a stabilizációs szakaszban, a betegek 17</w:t>
      </w:r>
      <w:r w:rsidR="00B40231" w:rsidRPr="00336525">
        <w:rPr>
          <w:sz w:val="22"/>
          <w:szCs w:val="22"/>
          <w:lang w:val="hu-HU"/>
        </w:rPr>
        <w:t>%</w:t>
      </w:r>
      <w:r w:rsidR="00B4023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ánál jelentettek, az esetek 6,5%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ban remegéssel együtt.</w:t>
      </w:r>
    </w:p>
    <w:p w14:paraId="756E134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AE67F4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</w:rPr>
        <w:t>Tourette-szindrómával összefüggő izomrángás („ti</w:t>
      </w:r>
      <w:r w:rsidR="0024047F" w:rsidRPr="00336525">
        <w:rPr>
          <w:rStyle w:val="Bodytext31"/>
          <w:i/>
          <w:iCs/>
          <w:color w:val="auto"/>
          <w:sz w:val="22"/>
          <w:szCs w:val="22"/>
        </w:rPr>
        <w:t>k</w:t>
      </w:r>
      <w:r w:rsidRPr="00336525">
        <w:rPr>
          <w:rStyle w:val="Bodytext31"/>
          <w:i/>
          <w:iCs/>
          <w:color w:val="auto"/>
          <w:sz w:val="22"/>
          <w:szCs w:val="22"/>
        </w:rPr>
        <w:t>”) gyermekeknél (lásd 4.2</w:t>
      </w:r>
      <w:r w:rsidR="00323178" w:rsidRPr="00336525">
        <w:rPr>
          <w:rStyle w:val="Bodytext31"/>
          <w:i/>
          <w:iCs/>
          <w:color w:val="auto"/>
          <w:sz w:val="22"/>
          <w:szCs w:val="22"/>
        </w:rPr>
        <w:t> </w:t>
      </w:r>
      <w:r w:rsidRPr="00336525">
        <w:rPr>
          <w:rStyle w:val="Bodytext31"/>
          <w:i/>
          <w:iCs/>
          <w:color w:val="auto"/>
          <w:sz w:val="22"/>
          <w:szCs w:val="22"/>
        </w:rPr>
        <w:t>pont)</w:t>
      </w:r>
    </w:p>
    <w:p w14:paraId="17AEBE9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hatásosságát Tourette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szindrómás gyermekeken (aripiprazol: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99, placebo: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44) vizsgálták egy randomizált, kettős</w:t>
      </w:r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vak, placebokontrollos, 8</w:t>
      </w:r>
      <w:r w:rsidR="002F77B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 vizsgálatban, melynek során a testsúly alapján meghatározott kezelési csoportokban a betegeket fix dózisokkal kezelték a napi 5</w:t>
      </w:r>
      <w:r w:rsidR="0024047F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20 mg dózistartományban, </w:t>
      </w:r>
      <w:r w:rsidR="0024047F" w:rsidRPr="00336525">
        <w:rPr>
          <w:sz w:val="22"/>
          <w:szCs w:val="22"/>
          <w:lang w:val="hu-HU"/>
        </w:rPr>
        <w:t>2 </w:t>
      </w:r>
      <w:r w:rsidRPr="00336525">
        <w:rPr>
          <w:sz w:val="22"/>
          <w:szCs w:val="22"/>
          <w:lang w:val="hu-HU"/>
        </w:rPr>
        <w:t>mg kezdő dózissal. A betegek 7</w:t>
      </w:r>
      <w:r w:rsidR="0024047F" w:rsidRPr="00336525">
        <w:rPr>
          <w:sz w:val="22"/>
          <w:szCs w:val="22"/>
          <w:lang w:val="hu-HU"/>
        </w:rPr>
        <w:noBreakHyphen/>
        <w:t>17 </w:t>
      </w:r>
      <w:r w:rsidRPr="00336525">
        <w:rPr>
          <w:sz w:val="22"/>
          <w:szCs w:val="22"/>
          <w:lang w:val="hu-HU"/>
        </w:rPr>
        <w:t>évesek voltak és kiinduláskor átlagosan 30</w:t>
      </w:r>
      <w:r w:rsidR="002F77B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 volt a „ti</w:t>
      </w:r>
      <w:r w:rsidR="0024047F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”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összpontszámuk a „ti</w:t>
      </w:r>
      <w:r w:rsidR="0024047F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”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ek súlyosságát felmérő Yale Global Tic Severity Scale skálán (TTS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YGTSS). Az aripiprazolt kapó csoportban a 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 pontszám a kiinduláshoz képest a 8.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hétre 13,35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ponttal javult </w:t>
      </w:r>
      <w:r w:rsidR="0024047F" w:rsidRPr="00336525">
        <w:rPr>
          <w:sz w:val="22"/>
          <w:szCs w:val="22"/>
          <w:lang w:val="hu-HU"/>
        </w:rPr>
        <w:t>az alacsony</w:t>
      </w:r>
      <w:r w:rsidRPr="00336525">
        <w:rPr>
          <w:sz w:val="22"/>
          <w:szCs w:val="22"/>
          <w:lang w:val="hu-HU"/>
        </w:rPr>
        <w:t xml:space="preserve"> dózist (5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vagy 10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mg) kapó csoportban, illetve 16,94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ponttal a nagy dózist (10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vagy 20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mg) kapó csoportban, szemben a placebót kapó csoportban elért 7,09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pontos javulással.</w:t>
      </w:r>
    </w:p>
    <w:p w14:paraId="25D14B05" w14:textId="77777777" w:rsidR="0024047F" w:rsidRPr="00336525" w:rsidRDefault="0024047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937B4D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Tourette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szindrómás gyermekekben (aripiprazol: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32, placebo: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29) az aripiprazol hatásosságát a napi 2</w:t>
      </w:r>
      <w:r w:rsidR="0024047F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20</w:t>
      </w:r>
      <w:r w:rsidR="0024047F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rugalmas dózistartományban, </w:t>
      </w:r>
      <w:r w:rsidR="00660895" w:rsidRPr="00336525">
        <w:rPr>
          <w:sz w:val="22"/>
          <w:szCs w:val="22"/>
          <w:lang w:val="hu-HU"/>
        </w:rPr>
        <w:t>2 </w:t>
      </w:r>
      <w:r w:rsidRPr="00336525">
        <w:rPr>
          <w:sz w:val="22"/>
          <w:szCs w:val="22"/>
          <w:lang w:val="hu-HU"/>
        </w:rPr>
        <w:t>mg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os induló dózis alkalmazásával is értékelték egy Dél</w:t>
      </w:r>
      <w:r w:rsidR="0066089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Koreában elvégzett </w:t>
      </w:r>
      <w:r w:rsidR="00660895" w:rsidRPr="00336525">
        <w:rPr>
          <w:sz w:val="22"/>
          <w:szCs w:val="22"/>
          <w:lang w:val="hu-HU"/>
        </w:rPr>
        <w:t>10 </w:t>
      </w:r>
      <w:r w:rsidRPr="00336525">
        <w:rPr>
          <w:sz w:val="22"/>
          <w:szCs w:val="22"/>
          <w:lang w:val="hu-HU"/>
        </w:rPr>
        <w:t>hetes, randomizált, kettős</w:t>
      </w:r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vak, placebokontrollos vizsgálatban. A betegek 6</w:t>
      </w:r>
      <w:r w:rsidR="00660895" w:rsidRPr="00336525">
        <w:rPr>
          <w:sz w:val="22"/>
          <w:szCs w:val="22"/>
          <w:lang w:val="hu-HU"/>
        </w:rPr>
        <w:noBreakHyphen/>
        <w:t>18 </w:t>
      </w:r>
      <w:r w:rsidRPr="00336525">
        <w:rPr>
          <w:sz w:val="22"/>
          <w:szCs w:val="22"/>
          <w:lang w:val="hu-HU"/>
        </w:rPr>
        <w:t>évesek voltak, és „ti</w:t>
      </w:r>
      <w:r w:rsidR="000E6D7C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”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összpontszámuk átlagosan 29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 volt a 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 skálán. A 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 pontszám a kiinduláshoz képest a 10.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hétre 14,97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ponttal javult az aripiprazolt kapó csoportban, illetve 9,62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ponttal a placebót kapó csoportban.</w:t>
      </w:r>
    </w:p>
    <w:p w14:paraId="1921748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37FF90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 fent említett két rövid távú vizsgálat egyikében sem határozták meg a hatásossági eredmények klinikai relevanciáját, tekintettel a kezelés hatásának a </w:t>
      </w:r>
      <w:r w:rsidR="000E6D7C" w:rsidRPr="00336525">
        <w:rPr>
          <w:sz w:val="22"/>
          <w:szCs w:val="22"/>
          <w:lang w:val="hu-HU"/>
        </w:rPr>
        <w:t xml:space="preserve">jelentős </w:t>
      </w:r>
      <w:r w:rsidRPr="00336525">
        <w:rPr>
          <w:sz w:val="22"/>
          <w:szCs w:val="22"/>
          <w:lang w:val="hu-HU"/>
        </w:rPr>
        <w:t xml:space="preserve">placebo hatáshoz viszonyított mértékére, valamint a pszichoszociális képességre kifejtett, nem egyértelmű hatásokra. Nem állnak rendelkezésre hosszú távú adatok arra vonatkozóan, hogy az aripiprazol mennyire hatásos és biztonságos az </w:t>
      </w:r>
      <w:r w:rsidR="009579FB" w:rsidRPr="00336525">
        <w:rPr>
          <w:sz w:val="22"/>
          <w:szCs w:val="22"/>
          <w:lang w:val="hu-HU"/>
        </w:rPr>
        <w:t xml:space="preserve">ilyen </w:t>
      </w:r>
      <w:r w:rsidRPr="00336525">
        <w:rPr>
          <w:sz w:val="22"/>
          <w:szCs w:val="22"/>
          <w:lang w:val="hu-HU"/>
        </w:rPr>
        <w:t>fluktuáló zavarban szenvedő betegeknél.</w:t>
      </w:r>
    </w:p>
    <w:p w14:paraId="4F81F5F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7C5A579" w14:textId="77777777" w:rsidR="009579FB" w:rsidRPr="00336525" w:rsidRDefault="009579F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Európai Gyógyszerügynökség a gyermekek esetén minden korosztálynál halasztást engedélyez az aripiprazol vizsgálati eredményeinek benyújtási kötelezettségét illetően, a schizophrenia és a bipoláris affektív zavar kezelésében (lásd 4.2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pont, gyermekgyógyászati alkalmazásra vonatkozó információk). </w:t>
      </w:r>
    </w:p>
    <w:p w14:paraId="0469FB4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0D8E6D2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bookmarkStart w:id="14" w:name="bookmark14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5.2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ab/>
        <w:t>Farmakokinetikai tulajdonságok</w:t>
      </w:r>
    </w:p>
    <w:bookmarkEnd w:id="14"/>
    <w:p w14:paraId="4C1BE9F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65EAB2D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Felszívódás</w:t>
      </w:r>
    </w:p>
    <w:p w14:paraId="77DCD333" w14:textId="77777777" w:rsidR="009579FB" w:rsidRPr="00336525" w:rsidRDefault="009579F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jól felszívódik, csúcskoncentrációját a plazmában a bevételt követő 3</w:t>
      </w:r>
      <w:r w:rsidRPr="00336525">
        <w:rPr>
          <w:sz w:val="22"/>
          <w:szCs w:val="22"/>
          <w:lang w:val="hu-HU"/>
        </w:rPr>
        <w:noBreakHyphen/>
        <w:t>5. órában éri el. Az aripiprazol minimális pre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szisztémás metabolizmuson megy keresztül. A tabletta gyógyszerforma abszolút orális biohasznosulása 87%. Magas zsírtartalmú ételeknek nincs hatása az aripiprazol farmakokinetikájára.</w:t>
      </w:r>
    </w:p>
    <w:p w14:paraId="6D9F429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11CA667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Eloszlás</w:t>
      </w:r>
    </w:p>
    <w:p w14:paraId="1CC97AF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szervezetben az aripiprazol nagymértékben eloszlik, látszólagos eloszlási térfogata 4,9</w:t>
      </w:r>
      <w:r w:rsidR="002F77B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l/kg, amely kiterjedt extravascularis eloszlásra utal. Terápiás koncentráció esetén az aripiprazol és a dehidro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 több mint 99%-</w:t>
      </w:r>
      <w:r w:rsidR="009579FB" w:rsidRPr="00336525">
        <w:rPr>
          <w:sz w:val="22"/>
          <w:szCs w:val="22"/>
          <w:lang w:val="hu-HU"/>
        </w:rPr>
        <w:t>ban</w:t>
      </w:r>
      <w:r w:rsidRPr="00336525">
        <w:rPr>
          <w:sz w:val="22"/>
          <w:szCs w:val="22"/>
          <w:lang w:val="hu-HU"/>
        </w:rPr>
        <w:t xml:space="preserve"> kötődik szérumfehérjékhez, elsősorban az albuminhoz.</w:t>
      </w:r>
    </w:p>
    <w:p w14:paraId="787FDF4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CA5767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Biotranszformáció</w:t>
      </w:r>
    </w:p>
    <w:p w14:paraId="52BDAA3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aripiprazol a májban nagymértékben metabolizálódik, elsősorban három biotranszformációs úton: dehidrogénezéssel, hidroxilációval és </w:t>
      </w:r>
      <w:r w:rsidRPr="00336525">
        <w:rPr>
          <w:i/>
          <w:sz w:val="22"/>
          <w:szCs w:val="22"/>
          <w:lang w:val="hu-HU"/>
        </w:rPr>
        <w:t>N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dealkilációval. </w:t>
      </w:r>
      <w:r w:rsidRPr="00336525">
        <w:rPr>
          <w:rStyle w:val="BodytextItalic"/>
          <w:color w:val="auto"/>
          <w:sz w:val="22"/>
          <w:szCs w:val="22"/>
        </w:rPr>
        <w:t>In vitro</w:t>
      </w:r>
      <w:r w:rsidRPr="00336525">
        <w:rPr>
          <w:sz w:val="22"/>
          <w:szCs w:val="22"/>
          <w:lang w:val="hu-HU"/>
        </w:rPr>
        <w:t xml:space="preserve"> vizsgálatok kimutatták, hogy a dehidrogénezésért és a hidroxilációért a CYP3A4 és a CYP2D6 enzim a felelős, míg az </w:t>
      </w:r>
      <w:r w:rsidRPr="00336525">
        <w:rPr>
          <w:i/>
          <w:sz w:val="22"/>
          <w:szCs w:val="22"/>
          <w:lang w:val="hu-HU"/>
        </w:rPr>
        <w:t>N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dealkilációt a CYP3A4 katalizálja. A szisztémás keringésben túlnyomó részt az aripiprazol mutatható ki. Egyensúlyi állapotban a dehidro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aripiprazol, az aktív metabolit teszi ki az aripiprazol plazma AUC értékének kb. 40%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át.</w:t>
      </w:r>
    </w:p>
    <w:p w14:paraId="5136C4C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D291D1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Elimináció</w:t>
      </w:r>
    </w:p>
    <w:p w14:paraId="6D4D66F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aripiprazol átlagos eliminációs felezési ideje CYP2D6 gyors metabolizálók esetében megközelítőleg </w:t>
      </w:r>
      <w:r w:rsidR="009579FB" w:rsidRPr="00336525">
        <w:rPr>
          <w:sz w:val="22"/>
          <w:szCs w:val="22"/>
          <w:lang w:val="hu-HU"/>
        </w:rPr>
        <w:t>75 </w:t>
      </w:r>
      <w:r w:rsidRPr="00336525">
        <w:rPr>
          <w:sz w:val="22"/>
          <w:szCs w:val="22"/>
          <w:lang w:val="hu-HU"/>
        </w:rPr>
        <w:t xml:space="preserve">óra, lassú metabolizálókban </w:t>
      </w:r>
      <w:r w:rsidR="009579FB" w:rsidRPr="00336525">
        <w:rPr>
          <w:sz w:val="22"/>
          <w:szCs w:val="22"/>
          <w:lang w:val="hu-HU"/>
        </w:rPr>
        <w:t>146 </w:t>
      </w:r>
      <w:r w:rsidRPr="00336525">
        <w:rPr>
          <w:sz w:val="22"/>
          <w:szCs w:val="22"/>
          <w:lang w:val="hu-HU"/>
        </w:rPr>
        <w:t>óra.</w:t>
      </w:r>
    </w:p>
    <w:p w14:paraId="4D744F13" w14:textId="77777777" w:rsidR="009579FB" w:rsidRPr="00336525" w:rsidRDefault="009579F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20A660C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aripiprazol teljes test clearance </w:t>
      </w:r>
      <w:r w:rsidR="009579FB" w:rsidRPr="00336525">
        <w:rPr>
          <w:sz w:val="22"/>
          <w:szCs w:val="22"/>
          <w:lang w:val="hu-HU"/>
        </w:rPr>
        <w:t xml:space="preserve">értéke </w:t>
      </w:r>
      <w:r w:rsidRPr="00336525">
        <w:rPr>
          <w:sz w:val="22"/>
          <w:szCs w:val="22"/>
          <w:lang w:val="hu-HU"/>
        </w:rPr>
        <w:t>0,7</w:t>
      </w:r>
      <w:r w:rsidR="009579F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ml/perc/ttkg, </w:t>
      </w:r>
      <w:r w:rsidR="009579FB" w:rsidRPr="00336525">
        <w:rPr>
          <w:sz w:val="22"/>
          <w:szCs w:val="22"/>
          <w:lang w:val="hu-HU"/>
        </w:rPr>
        <w:t xml:space="preserve">ami </w:t>
      </w:r>
      <w:r w:rsidRPr="00336525">
        <w:rPr>
          <w:sz w:val="22"/>
          <w:szCs w:val="22"/>
          <w:lang w:val="hu-HU"/>
        </w:rPr>
        <w:t>döntően hepatikus.</w:t>
      </w:r>
    </w:p>
    <w:p w14:paraId="63F97B2D" w14:textId="77777777" w:rsidR="00FB5B34" w:rsidRPr="00336525" w:rsidRDefault="00FB5B3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4F75C9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C</w:t>
      </w:r>
      <w:r w:rsidRPr="00336525">
        <w:rPr>
          <w:sz w:val="22"/>
          <w:szCs w:val="22"/>
          <w:vertAlign w:val="superscript"/>
          <w:lang w:val="hu-HU"/>
        </w:rPr>
        <w:t>14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izotóppal jelzett aripiprazol egyszeri, orális adását követően, a </w:t>
      </w:r>
      <w:r w:rsidR="005D5E9B" w:rsidRPr="00336525">
        <w:rPr>
          <w:sz w:val="22"/>
          <w:szCs w:val="22"/>
          <w:lang w:val="hu-HU"/>
        </w:rPr>
        <w:t xml:space="preserve">mért </w:t>
      </w:r>
      <w:r w:rsidRPr="00336525">
        <w:rPr>
          <w:sz w:val="22"/>
          <w:szCs w:val="22"/>
          <w:lang w:val="hu-HU"/>
        </w:rPr>
        <w:t>radioaktivitás kb. 27%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 vizeletben kb. 60%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a a </w:t>
      </w:r>
      <w:r w:rsidR="006B1EBF">
        <w:rPr>
          <w:sz w:val="22"/>
          <w:szCs w:val="22"/>
          <w:lang w:val="hu-HU"/>
        </w:rPr>
        <w:t>székletben</w:t>
      </w:r>
      <w:r w:rsidRPr="00336525">
        <w:rPr>
          <w:sz w:val="22"/>
          <w:szCs w:val="22"/>
          <w:lang w:val="hu-HU"/>
        </w:rPr>
        <w:t xml:space="preserve"> jelent meg. Az aripiprazol kevesebb mint 1%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 ürült változatlan formában a vizelettel és megközelítőleg 18%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a ürült változatlan formában a </w:t>
      </w:r>
      <w:r w:rsidR="006B1EBF">
        <w:rPr>
          <w:sz w:val="22"/>
          <w:szCs w:val="22"/>
          <w:lang w:val="hu-HU"/>
        </w:rPr>
        <w:t>széklettel</w:t>
      </w:r>
      <w:r w:rsidRPr="00336525">
        <w:rPr>
          <w:sz w:val="22"/>
          <w:szCs w:val="22"/>
          <w:lang w:val="hu-HU"/>
        </w:rPr>
        <w:t>.</w:t>
      </w:r>
    </w:p>
    <w:p w14:paraId="50A9002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8E495D6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Gyermekek</w:t>
      </w:r>
      <w:r w:rsidR="00026020">
        <w:rPr>
          <w:rStyle w:val="Bodytext31"/>
          <w:i/>
          <w:iCs/>
          <w:color w:val="auto"/>
          <w:sz w:val="22"/>
          <w:szCs w:val="22"/>
          <w:u w:val="none"/>
        </w:rPr>
        <w:t xml:space="preserve"> és serdülők</w:t>
      </w:r>
    </w:p>
    <w:p w14:paraId="6454F0B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és dehidro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aripiprazol farmakokinetikája </w:t>
      </w:r>
      <w:r w:rsidR="003E3E21" w:rsidRPr="00336525">
        <w:rPr>
          <w:sz w:val="22"/>
          <w:szCs w:val="22"/>
          <w:lang w:val="hu-HU"/>
        </w:rPr>
        <w:t>a testtömegek közötti különbségek korrigálása után a 10</w:t>
      </w:r>
      <w:r w:rsidR="00C20E2E" w:rsidRPr="00336525">
        <w:rPr>
          <w:sz w:val="22"/>
          <w:szCs w:val="22"/>
          <w:lang w:val="hu-HU"/>
        </w:rPr>
        <w:noBreakHyphen/>
      </w:r>
      <w:r w:rsidR="003E3E21" w:rsidRPr="00336525">
        <w:rPr>
          <w:sz w:val="22"/>
          <w:szCs w:val="22"/>
          <w:lang w:val="hu-HU"/>
        </w:rPr>
        <w:t>17</w:t>
      </w:r>
      <w:r w:rsidR="00871AD2" w:rsidRPr="00336525">
        <w:rPr>
          <w:sz w:val="22"/>
          <w:szCs w:val="22"/>
          <w:lang w:val="hu-HU"/>
        </w:rPr>
        <w:t> </w:t>
      </w:r>
      <w:r w:rsidR="003E3E21" w:rsidRPr="00336525">
        <w:rPr>
          <w:sz w:val="22"/>
          <w:szCs w:val="22"/>
          <w:lang w:val="hu-HU"/>
        </w:rPr>
        <w:t>éves gyermekkorú betegek esetén a felnőttekéhez hasonló volt</w:t>
      </w:r>
      <w:r w:rsidRPr="00336525">
        <w:rPr>
          <w:sz w:val="22"/>
          <w:szCs w:val="22"/>
          <w:lang w:val="hu-HU"/>
        </w:rPr>
        <w:t>.</w:t>
      </w:r>
    </w:p>
    <w:p w14:paraId="29A331E9" w14:textId="59071F43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0822112B" w14:textId="77777777" w:rsidR="000021B1" w:rsidRPr="006B799B" w:rsidRDefault="000021B1" w:rsidP="000021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u w:val="single"/>
        </w:rPr>
      </w:pPr>
      <w:r w:rsidRPr="006B799B">
        <w:rPr>
          <w:i w:val="0"/>
          <w:sz w:val="22"/>
          <w:szCs w:val="22"/>
          <w:u w:val="single"/>
        </w:rPr>
        <w:t>Farmakokinetika különleges betegcsoportoknál</w:t>
      </w:r>
    </w:p>
    <w:p w14:paraId="01473D10" w14:textId="77777777" w:rsidR="000021B1" w:rsidRPr="00336525" w:rsidRDefault="000021B1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74BE8F88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Idősek</w:t>
      </w:r>
    </w:p>
    <w:p w14:paraId="4D95571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farmakokinetikai jellemzőiben nincs különbség egészséges idős és fiatalabb egyének között, illetve – egy populációs farmakokinetikai analízis szerint – schizophreniás betegeknél sincs észrevehető hatása az életkornak.</w:t>
      </w:r>
    </w:p>
    <w:p w14:paraId="753A9213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6302CDC0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Nemek közti különbség</w:t>
      </w:r>
    </w:p>
    <w:p w14:paraId="7D9C197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Az aripiprazol farmakokinetikai jellemzőiben nincs különbség egészséges férfiak és nők között, illetve – egy populációs farmakokinetikai analízis szerint – a schizophreniás betegekben sem mutatható ki nemek közti különbségből fakadó eltérés.</w:t>
      </w:r>
    </w:p>
    <w:p w14:paraId="688AA8F9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2A814D46" w14:textId="6A193FF8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Dohányzás</w:t>
      </w:r>
    </w:p>
    <w:p w14:paraId="3D7E30B9" w14:textId="5CCF7D3A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Populációs farmakokinetikai vizsgálat nem igazolt</w:t>
      </w:r>
      <w:r w:rsidR="00FB5B34">
        <w:rPr>
          <w:sz w:val="22"/>
          <w:szCs w:val="22"/>
          <w:lang w:val="hu-HU"/>
        </w:rPr>
        <w:t xml:space="preserve">a, </w:t>
      </w:r>
      <w:r w:rsidR="00FB5B34" w:rsidRPr="008E58D9">
        <w:rPr>
          <w:sz w:val="22"/>
          <w:szCs w:val="22"/>
          <w:lang w:val="hu-HU"/>
        </w:rPr>
        <w:t>hogy a dohányzás klinikailag szignifikáns hatást fejt ki az aripiprazol farmakokinetikájára.</w:t>
      </w:r>
    </w:p>
    <w:p w14:paraId="2D200F30" w14:textId="77777777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41F36015" w14:textId="77777777" w:rsidR="00FB5B34" w:rsidRDefault="00FB5B34" w:rsidP="00FB5B34">
      <w:pPr>
        <w:widowControl/>
        <w:rPr>
          <w:i/>
          <w:iCs/>
          <w:color w:val="auto"/>
          <w:szCs w:val="22"/>
        </w:rPr>
      </w:pPr>
      <w:r>
        <w:rPr>
          <w:i/>
          <w:iCs/>
          <w:color w:val="auto"/>
          <w:szCs w:val="22"/>
        </w:rPr>
        <w:t>R</w:t>
      </w:r>
      <w:r w:rsidRPr="00336525">
        <w:rPr>
          <w:i/>
          <w:iCs/>
          <w:color w:val="auto"/>
          <w:szCs w:val="22"/>
        </w:rPr>
        <w:t>assz</w:t>
      </w:r>
    </w:p>
    <w:p w14:paraId="30B9CF96" w14:textId="77777777" w:rsidR="00FB5B34" w:rsidRPr="00B6657E" w:rsidRDefault="00FB5B34" w:rsidP="00FB5B34">
      <w:pPr>
        <w:widowControl/>
        <w:rPr>
          <w:i/>
          <w:iCs/>
          <w:color w:val="auto"/>
          <w:szCs w:val="22"/>
        </w:rPr>
      </w:pPr>
      <w:r w:rsidRPr="008E58D9">
        <w:rPr>
          <w:color w:val="auto"/>
          <w:szCs w:val="22"/>
        </w:rPr>
        <w:t>A populációs farmakokinetikai értékelés során semmilyen bizonyíték sem szólt amellett, hogy az aripiprazol farmakokinetikai jellemzőiben rasszok közötti különbségek lennének.</w:t>
      </w:r>
    </w:p>
    <w:p w14:paraId="635D6BAE" w14:textId="77777777" w:rsidR="00FB5B34" w:rsidRPr="0018733D" w:rsidRDefault="00FB5B34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11F8E946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Vesekárosodás</w:t>
      </w:r>
    </w:p>
    <w:p w14:paraId="1519EDF6" w14:textId="77777777" w:rsidR="00C001A8" w:rsidRPr="00336525" w:rsidRDefault="00C001A8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iCs w:val="0"/>
          <w:sz w:val="22"/>
          <w:szCs w:val="22"/>
          <w:lang w:val="hu-HU"/>
        </w:rPr>
      </w:pPr>
      <w:r w:rsidRPr="00336525">
        <w:rPr>
          <w:i w:val="0"/>
          <w:iCs w:val="0"/>
          <w:sz w:val="22"/>
          <w:szCs w:val="22"/>
          <w:lang w:val="hu-HU"/>
        </w:rPr>
        <w:t>Az aripiprazol és a dehidro</w:t>
      </w:r>
      <w:r w:rsidR="00C20E2E" w:rsidRPr="00336525">
        <w:rPr>
          <w:i w:val="0"/>
          <w:iCs w:val="0"/>
          <w:sz w:val="22"/>
          <w:szCs w:val="22"/>
          <w:lang w:val="hu-HU"/>
        </w:rPr>
        <w:noBreakHyphen/>
      </w:r>
      <w:r w:rsidRPr="00336525">
        <w:rPr>
          <w:i w:val="0"/>
          <w:iCs w:val="0"/>
          <w:sz w:val="22"/>
          <w:szCs w:val="22"/>
          <w:lang w:val="hu-HU"/>
        </w:rPr>
        <w:t>aripiprazol farmakokinetikai jellemzői hasonlóak voltak súlyos vesebetegségben szenvedő betegeknél és egészséges fiatal egyéneknél.</w:t>
      </w:r>
    </w:p>
    <w:p w14:paraId="1ECAAD71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606C8EEE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Májkárosodás</w:t>
      </w:r>
    </w:p>
    <w:p w14:paraId="3FB43A3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Különböző fokú, májcirrhosisban szenvedő betegeken (Child</w:t>
      </w:r>
      <w:r w:rsidR="00871AD2" w:rsidRPr="00336525">
        <w:rPr>
          <w:sz w:val="22"/>
          <w:szCs w:val="22"/>
          <w:lang w:val="hu-HU"/>
        </w:rPr>
        <w:noBreakHyphen/>
      </w:r>
      <w:r w:rsidR="003812A4">
        <w:rPr>
          <w:sz w:val="22"/>
          <w:szCs w:val="22"/>
          <w:lang w:val="hu-HU"/>
        </w:rPr>
        <w:t>Pugh </w:t>
      </w:r>
      <w:r w:rsidRPr="00336525">
        <w:rPr>
          <w:sz w:val="22"/>
          <w:szCs w:val="22"/>
          <w:lang w:val="hu-HU"/>
        </w:rPr>
        <w:t>A, B és C</w:t>
      </w:r>
      <w:r w:rsidR="00871AD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stádium) egyszeri dózissal végzett vizsgálatban a májkárosodás nem volt szignifikáns hatással az aripiprazol és a dehidro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 farmakokinetikájára. Azonban a vizsgálatban csak 3 olyan beteg vett részt, akiknek C</w:t>
      </w:r>
      <w:r w:rsidR="00871AD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stádiumú májcirrhosisa volt és ez nem elegendő arra, hogy következtetést vonjunk le metabolikus kapacitásukra vonatkozóan.</w:t>
      </w:r>
    </w:p>
    <w:p w14:paraId="002A568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34741C0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5" w:name="bookmark15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5.3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preklinikai biztonságossági vizsgálatok eredményei</w:t>
      </w:r>
    </w:p>
    <w:bookmarkEnd w:id="15"/>
    <w:p w14:paraId="0FB25D7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8B9342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hagyományos - farmakológiai biztonságossági, ismételt dózistoxicitási, genotoxicitási, karcinogenitási</w:t>
      </w:r>
      <w:r w:rsidR="00107CCC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a reprodukcióra-, és a fejlődésre kifejtett toxicitási - vizsgálatokból származó nem klinikai jellegű adatok azt igazolták, hogy a készítmény alkalmazásakor humán vonatkozásban különleges kockázat nem várható.</w:t>
      </w:r>
    </w:p>
    <w:p w14:paraId="0412179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5205692" w14:textId="1F03F33D" w:rsidR="00601022" w:rsidRPr="00336525" w:rsidRDefault="00601022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Toxikológiailag jelentős hatásokat csak olyan dózisok illetve expozíciók esetében figyeltek meg, amelyek a maximális humán dózis vagy expozíció mértékét jelentősen meghaladták, ami azt jelzi, hogy ezeknek a hatásoknak kevés vagy semmilyen jelentősége nincs a klinikai alkalmazás szempontjából. Ezek a hatások a következők voltak: dózisfüggő adrenocorticalis toxicitás (lipofuscin pigment akkumuláció és/vagy parenchyma sejt pusztulás), ami patkányokban 104</w:t>
      </w:r>
      <w:r w:rsidR="00C20E2E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hét után jelentkezett, 20</w:t>
      </w:r>
      <w:r w:rsidR="00FB5B34">
        <w:rPr>
          <w:color w:val="auto"/>
          <w:sz w:val="22"/>
          <w:szCs w:val="22"/>
        </w:rPr>
        <w:t> </w:t>
      </w:r>
      <w:r w:rsidR="00FB5B34" w:rsidRPr="00336525">
        <w:rPr>
          <w:color w:val="auto"/>
          <w:sz w:val="22"/>
          <w:szCs w:val="22"/>
        </w:rPr>
        <w:t xml:space="preserve">mg/ttkg/nap </w:t>
      </w:r>
      <w:r w:rsidR="00FB5B34">
        <w:rPr>
          <w:color w:val="auto"/>
          <w:sz w:val="22"/>
          <w:szCs w:val="22"/>
        </w:rPr>
        <w:t xml:space="preserve">és </w:t>
      </w:r>
      <w:r w:rsidRPr="00336525">
        <w:rPr>
          <w:color w:val="auto"/>
          <w:sz w:val="22"/>
          <w:szCs w:val="22"/>
        </w:rPr>
        <w:t>60</w:t>
      </w:r>
      <w:r w:rsidR="00772001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mg/ttkg/nap </w:t>
      </w:r>
      <w:r w:rsidR="00FB5B34">
        <w:rPr>
          <w:color w:val="auto"/>
          <w:sz w:val="22"/>
          <w:szCs w:val="22"/>
        </w:rPr>
        <w:t xml:space="preserve">közötti </w:t>
      </w:r>
      <w:r w:rsidRPr="00336525">
        <w:rPr>
          <w:color w:val="auto"/>
          <w:sz w:val="22"/>
          <w:szCs w:val="22"/>
        </w:rPr>
        <w:t>adagolás mellett (ami az ajánlott maximális humán dózishoz tartozó, egyensúlyi állapotban mért átlagos AUC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értéknek 3</w:t>
      </w:r>
      <w:r w:rsidR="00772001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10</w:t>
      </w:r>
      <w:r w:rsidR="00871AD2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szerese), emelkedett adrenocorticalis carcinoma és kombinált adrenocorticalis adenoma/carcinoma nőstény patkányokban</w:t>
      </w:r>
      <w:r w:rsidR="00772001" w:rsidRPr="00336525">
        <w:rPr>
          <w:color w:val="auto"/>
          <w:sz w:val="22"/>
          <w:szCs w:val="22"/>
        </w:rPr>
        <w:t>,</w:t>
      </w:r>
      <w:r w:rsidRPr="00336525">
        <w:rPr>
          <w:color w:val="auto"/>
          <w:sz w:val="22"/>
          <w:szCs w:val="22"/>
        </w:rPr>
        <w:t xml:space="preserve"> 60</w:t>
      </w:r>
      <w:r w:rsidR="00C20E2E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mg/ttkg/nap adagolás mellett (ami az ajánlott maximális humán dózishoz tartozó, egyensúlyi állapotban mért átlagos AUC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értéknek 10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szerese). A legmagasabb nem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tumorkeltő expoz</w:t>
      </w:r>
      <w:r w:rsidR="00772001" w:rsidRPr="00336525">
        <w:rPr>
          <w:color w:val="auto"/>
          <w:sz w:val="22"/>
          <w:szCs w:val="22"/>
        </w:rPr>
        <w:t>í</w:t>
      </w:r>
      <w:r w:rsidRPr="00336525">
        <w:rPr>
          <w:color w:val="auto"/>
          <w:sz w:val="22"/>
          <w:szCs w:val="22"/>
        </w:rPr>
        <w:t>ció nőstény patkányokban a javasolt dózis mellett észlelt humán expozíció 7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szerese volt.</w:t>
      </w:r>
    </w:p>
    <w:p w14:paraId="04A600E6" w14:textId="77777777" w:rsidR="00772001" w:rsidRPr="00336525" w:rsidRDefault="00772001" w:rsidP="00B052B1">
      <w:pPr>
        <w:pStyle w:val="Default"/>
        <w:rPr>
          <w:color w:val="auto"/>
          <w:sz w:val="22"/>
          <w:szCs w:val="22"/>
        </w:rPr>
      </w:pPr>
    </w:p>
    <w:p w14:paraId="6F7D3392" w14:textId="425F5ACD" w:rsidR="00601022" w:rsidRPr="00336525" w:rsidRDefault="00601022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További hatásként cholelithiasist is megfigyeltek, amelyet az aripiprazol hidroxi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metabolitjainak szulfát konjugátumainak precipitációja eredményezett majmok epéjében, napi 25</w:t>
      </w:r>
      <w:r w:rsidR="00FB5B34">
        <w:rPr>
          <w:color w:val="auto"/>
          <w:sz w:val="22"/>
          <w:szCs w:val="22"/>
        </w:rPr>
        <w:t> </w:t>
      </w:r>
      <w:r w:rsidR="00FB5B34" w:rsidRPr="00336525">
        <w:rPr>
          <w:color w:val="auto"/>
          <w:sz w:val="22"/>
          <w:szCs w:val="22"/>
        </w:rPr>
        <w:t xml:space="preserve">mg/ttkg </w:t>
      </w:r>
      <w:r w:rsidR="00FB5B34">
        <w:rPr>
          <w:color w:val="auto"/>
          <w:sz w:val="22"/>
          <w:szCs w:val="22"/>
        </w:rPr>
        <w:t xml:space="preserve">és </w:t>
      </w:r>
      <w:r w:rsidRPr="00336525">
        <w:rPr>
          <w:color w:val="auto"/>
          <w:sz w:val="22"/>
          <w:szCs w:val="22"/>
        </w:rPr>
        <w:t>125</w:t>
      </w:r>
      <w:r w:rsidR="000716E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mg/ttkg </w:t>
      </w:r>
      <w:r w:rsidR="00FB5B34">
        <w:rPr>
          <w:color w:val="auto"/>
          <w:sz w:val="22"/>
          <w:szCs w:val="22"/>
        </w:rPr>
        <w:t xml:space="preserve">közötti </w:t>
      </w:r>
      <w:r w:rsidRPr="00336525">
        <w:rPr>
          <w:color w:val="auto"/>
          <w:sz w:val="22"/>
          <w:szCs w:val="22"/>
        </w:rPr>
        <w:t>ismételt orális adagolást követően (a javasolt maximális klinikai dózishoz tartozó, egyensú</w:t>
      </w:r>
      <w:r w:rsidR="003812A4">
        <w:rPr>
          <w:color w:val="auto"/>
          <w:sz w:val="22"/>
          <w:szCs w:val="22"/>
        </w:rPr>
        <w:t>lyi állapotban mért átlagos AUC</w:t>
      </w:r>
      <w:r w:rsidR="003812A4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érték 1</w:t>
      </w:r>
      <w:r w:rsidR="00772001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3-szorosa, illetve a mg/testfelület m</w:t>
      </w:r>
      <w:r w:rsidRPr="00336525">
        <w:rPr>
          <w:color w:val="auto"/>
          <w:sz w:val="22"/>
          <w:szCs w:val="22"/>
          <w:vertAlign w:val="superscript"/>
        </w:rPr>
        <w:t>2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re számított javasolt maximális humán dózis 16</w:t>
      </w:r>
      <w:r w:rsidR="00772001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81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szerese). Azonban a javasolt legnagyobb dózisnál (30 mg/nap) a hidroxi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aripiprazol szulfát konjugátumainak koncentrációja a humán epében nem volt több a majmok epéjében mért</w:t>
      </w:r>
      <w:r w:rsidR="00772001" w:rsidRPr="00336525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>koncentráció 6%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ánál a 39</w:t>
      </w:r>
      <w:r w:rsidR="000716E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hetes vizsgálat során, valamint jóval alatta volt (6%) az </w:t>
      </w:r>
      <w:r w:rsidRPr="00336525">
        <w:rPr>
          <w:i/>
          <w:iCs/>
          <w:color w:val="auto"/>
          <w:sz w:val="22"/>
          <w:szCs w:val="22"/>
        </w:rPr>
        <w:t xml:space="preserve">in vitro </w:t>
      </w:r>
      <w:r w:rsidRPr="00336525">
        <w:rPr>
          <w:color w:val="auto"/>
          <w:sz w:val="22"/>
          <w:szCs w:val="22"/>
        </w:rPr>
        <w:t xml:space="preserve">oldhatósági határértékeknek. </w:t>
      </w:r>
    </w:p>
    <w:p w14:paraId="313054D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63365B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fiatal patkányokon és kutyákon, ismételt dózisokkal elvégzett vizsgálatban, az aripiprazol toxicitási profilja hasonló volt ahhoz, mint amit felnőtt állatokon figyeltek meg és nem volt bizonyíték neurotoxicitásra vagy a fejlődést károsító mellékhatásokra.</w:t>
      </w:r>
    </w:p>
    <w:p w14:paraId="1CD109E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A74904C" w14:textId="77777777" w:rsidR="00772001" w:rsidRPr="00336525" w:rsidRDefault="0029197E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Teljeskörű, standard genotoxicitási vizsgálatok eredményei alapján, az aripiprazol nem bizonyult genotoxikusnak. </w:t>
      </w:r>
      <w:r w:rsidR="00772001" w:rsidRPr="00336525">
        <w:rPr>
          <w:color w:val="auto"/>
          <w:sz w:val="22"/>
          <w:szCs w:val="22"/>
        </w:rPr>
        <w:t xml:space="preserve">Az aripiprazol a reprodukciós toxicitási vizsgálatokban nem károsította a fertilitást. </w:t>
      </w:r>
    </w:p>
    <w:p w14:paraId="04D076C0" w14:textId="77777777" w:rsidR="0029197E" w:rsidRPr="00336525" w:rsidRDefault="0077200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Fejlődési toxicitást, beleértve a dózisfüggő, késleltetett magzati csontképződést és a lehetséges teratogén hatásokat, figyeltek meg egyrészt patkányokon, olyan dózisoknál, amelyek szubterápiás expozíciót eredményeztek (AUC alapján), másrészt nyulakon, olyan dózisoknál, amelyek a maximális, javasolt klinikai dózist követő egyensúlyi AUC átlagérték 3- és 11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szeresének megfelelő expozíciót eredményeztek. Anyai toxicitás jelentkezett a fejlődési toxicitást kiváltó dózisokhoz hasonló mennyiségeknél.</w:t>
      </w:r>
    </w:p>
    <w:p w14:paraId="4C684DA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8772E4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F37E968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6" w:name="bookmark16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GYÓGYSZERÉSZETI JELLEMZŐK</w:t>
      </w:r>
    </w:p>
    <w:p w14:paraId="4F0225C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bookmarkStart w:id="17" w:name="bookmark17"/>
      <w:bookmarkEnd w:id="16"/>
    </w:p>
    <w:p w14:paraId="20702BD2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6.1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Segédanyagok felsorolása</w:t>
      </w:r>
    </w:p>
    <w:bookmarkEnd w:id="17"/>
    <w:p w14:paraId="0A4DD9A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7A49923" w14:textId="5F2B3553" w:rsidR="0029197E" w:rsidRPr="00336525" w:rsidRDefault="00A932F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29197E" w:rsidRPr="00336525">
        <w:rPr>
          <w:sz w:val="22"/>
          <w:szCs w:val="22"/>
          <w:lang w:val="hu-HU"/>
        </w:rPr>
        <w:t>aktóz-monohidrát</w:t>
      </w:r>
    </w:p>
    <w:p w14:paraId="3093C502" w14:textId="17A99C9A" w:rsidR="0029197E" w:rsidRPr="00336525" w:rsidRDefault="00A932F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</w:t>
      </w:r>
      <w:r w:rsidR="006B1EBF">
        <w:rPr>
          <w:sz w:val="22"/>
          <w:szCs w:val="22"/>
          <w:lang w:val="hu-HU"/>
        </w:rPr>
        <w:t>ukoricakeményítő</w:t>
      </w:r>
    </w:p>
    <w:p w14:paraId="2FF9A9C8" w14:textId="60E9858D" w:rsidR="00871AD2" w:rsidRPr="00336525" w:rsidRDefault="00A932FF" w:rsidP="00871AD2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871AD2" w:rsidRPr="00336525">
        <w:rPr>
          <w:sz w:val="22"/>
          <w:szCs w:val="22"/>
          <w:lang w:val="hu-HU"/>
        </w:rPr>
        <w:t>ikrokristályos cellulóz</w:t>
      </w:r>
    </w:p>
    <w:p w14:paraId="17F31F25" w14:textId="79B5689B" w:rsidR="0029197E" w:rsidRPr="00336525" w:rsidRDefault="00A932F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</w:t>
      </w:r>
      <w:r w:rsidR="0029197E" w:rsidRPr="00336525">
        <w:rPr>
          <w:sz w:val="22"/>
          <w:szCs w:val="22"/>
          <w:lang w:val="hu-HU"/>
        </w:rPr>
        <w:t>idroxipropilcellulóz</w:t>
      </w:r>
    </w:p>
    <w:p w14:paraId="64FE9ED6" w14:textId="3F7B0236" w:rsidR="00871AD2" w:rsidRPr="00336525" w:rsidRDefault="00A932FF" w:rsidP="00871AD2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</w:t>
      </w:r>
      <w:r w:rsidR="00871AD2" w:rsidRPr="00336525">
        <w:rPr>
          <w:sz w:val="22"/>
          <w:szCs w:val="22"/>
          <w:lang w:val="hu-HU"/>
        </w:rPr>
        <w:t>agnézium-sztearát</w:t>
      </w:r>
    </w:p>
    <w:p w14:paraId="17207420" w14:textId="6D10ADDA" w:rsidR="00871AD2" w:rsidRPr="00336525" w:rsidRDefault="00A932F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871AD2" w:rsidRPr="00336525">
        <w:rPr>
          <w:sz w:val="22"/>
          <w:szCs w:val="22"/>
          <w:lang w:val="hu-HU"/>
        </w:rPr>
        <w:t>árga vas-oxid (E172)</w:t>
      </w:r>
    </w:p>
    <w:p w14:paraId="5313B72E" w14:textId="4498C963" w:rsidR="00871AD2" w:rsidRPr="00336525" w:rsidRDefault="00A932F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v</w:t>
      </w:r>
      <w:r w:rsidR="00DB7B19" w:rsidRPr="00DB7B19">
        <w:rPr>
          <w:sz w:val="22"/>
          <w:szCs w:val="22"/>
          <w:lang w:val="hu-HU"/>
        </w:rPr>
        <w:t xml:space="preserve">ízmentes </w:t>
      </w:r>
      <w:r w:rsidR="00DB7B19">
        <w:rPr>
          <w:sz w:val="22"/>
          <w:szCs w:val="22"/>
          <w:lang w:val="hu-HU"/>
        </w:rPr>
        <w:t>k</w:t>
      </w:r>
      <w:r w:rsidR="00871AD2" w:rsidRPr="00336525">
        <w:rPr>
          <w:sz w:val="22"/>
          <w:szCs w:val="22"/>
          <w:lang w:val="hu-HU"/>
        </w:rPr>
        <w:t>olloid szilícium-dioxid</w:t>
      </w:r>
    </w:p>
    <w:p w14:paraId="36674B7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3C6A8FD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6.2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Inkompatibilitások</w:t>
      </w:r>
    </w:p>
    <w:p w14:paraId="674DB17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A9D63D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Nem értelmezhető.</w:t>
      </w:r>
    </w:p>
    <w:p w14:paraId="730B170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B7E3F2F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6.3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Felhasználhatósági időtartam</w:t>
      </w:r>
    </w:p>
    <w:p w14:paraId="054A9C0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A4FB978" w14:textId="77777777" w:rsidR="0029197E" w:rsidRPr="00336525" w:rsidRDefault="003E2C1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</w:t>
      </w:r>
      <w:r w:rsidR="00871AD2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év</w:t>
      </w:r>
    </w:p>
    <w:p w14:paraId="7F8AE1AB" w14:textId="77777777" w:rsidR="00871AD2" w:rsidRPr="00336525" w:rsidRDefault="00871AD2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Felhasználhatósági időtartam a HDPE tartály első felbontása után: </w:t>
      </w:r>
      <w:r w:rsidR="009F16DF">
        <w:rPr>
          <w:sz w:val="22"/>
          <w:szCs w:val="22"/>
          <w:lang w:val="hu-HU"/>
        </w:rPr>
        <w:t>56</w:t>
      </w:r>
      <w:r w:rsidRPr="00336525">
        <w:rPr>
          <w:sz w:val="22"/>
          <w:szCs w:val="22"/>
          <w:lang w:val="hu-HU"/>
        </w:rPr>
        <w:t> nap különleges tárolási hőmérséklet nélkül.</w:t>
      </w:r>
    </w:p>
    <w:p w14:paraId="0E005C5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EE3ACA8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6.4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Különleges tárolási előírások</w:t>
      </w:r>
    </w:p>
    <w:p w14:paraId="3F63793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62DA75D" w14:textId="77777777" w:rsidR="0029197E" w:rsidRPr="00336525" w:rsidRDefault="00871AD2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nedvességtől való védelem érdekében az eredeti csomagolásban tárolandó.</w:t>
      </w:r>
    </w:p>
    <w:p w14:paraId="007A9513" w14:textId="77777777" w:rsidR="00871AD2" w:rsidRPr="00336525" w:rsidRDefault="00871AD2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HDPE tartály felbontá</w:t>
      </w:r>
      <w:r w:rsidR="003403B5">
        <w:rPr>
          <w:sz w:val="22"/>
          <w:szCs w:val="22"/>
          <w:lang w:val="hu-HU"/>
        </w:rPr>
        <w:t>s utáni tárolási körülményeit lá</w:t>
      </w:r>
      <w:r w:rsidRPr="00336525">
        <w:rPr>
          <w:sz w:val="22"/>
          <w:szCs w:val="22"/>
          <w:lang w:val="hu-HU"/>
        </w:rPr>
        <w:t>sd a 6.3 pontban.</w:t>
      </w:r>
    </w:p>
    <w:p w14:paraId="79B597C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8D5928" w14:textId="77777777" w:rsidR="0029197E" w:rsidRDefault="00CA112D" w:rsidP="00DE179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6.5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 xml:space="preserve">Csomagolás típusa és kiszerelése </w:t>
      </w:r>
    </w:p>
    <w:p w14:paraId="37A23610" w14:textId="77777777" w:rsidR="00DE179A" w:rsidRPr="009E4884" w:rsidRDefault="00DE179A" w:rsidP="00DE179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color w:val="auto"/>
          <w:szCs w:val="22"/>
          <w:lang w:eastAsia="en-US" w:bidi="ar-SA"/>
        </w:rPr>
      </w:pPr>
    </w:p>
    <w:p w14:paraId="6500D82E" w14:textId="77777777" w:rsidR="00871AD2" w:rsidRPr="00336525" w:rsidRDefault="009E48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D1513B">
        <w:rPr>
          <w:sz w:val="22"/>
          <w:szCs w:val="22"/>
          <w:lang w:val="hu-HU"/>
        </w:rPr>
        <w:t>Tabletták OPA/alumínium/PVC//alumínium buborékcsomagolásban</w:t>
      </w:r>
      <w:r>
        <w:rPr>
          <w:sz w:val="22"/>
          <w:szCs w:val="22"/>
          <w:lang w:val="hu-HU"/>
        </w:rPr>
        <w:t xml:space="preserve"> és dobozban</w:t>
      </w:r>
      <w:r w:rsidR="00871AD2" w:rsidRPr="00336525">
        <w:rPr>
          <w:sz w:val="22"/>
          <w:szCs w:val="22"/>
          <w:lang w:val="hu-HU"/>
        </w:rPr>
        <w:t>: 28 db, 56 db vagy 98 db tabletta.</w:t>
      </w:r>
    </w:p>
    <w:p w14:paraId="6C724AC7" w14:textId="77777777" w:rsidR="0029197E" w:rsidRPr="00336525" w:rsidRDefault="009E48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D1513B">
        <w:rPr>
          <w:sz w:val="22"/>
          <w:szCs w:val="22"/>
          <w:lang w:val="hu-HU"/>
        </w:rPr>
        <w:t xml:space="preserve">Tabletták </w:t>
      </w:r>
      <w:r>
        <w:rPr>
          <w:sz w:val="22"/>
          <w:szCs w:val="22"/>
          <w:lang w:val="hu-HU"/>
        </w:rPr>
        <w:t xml:space="preserve">garanciazáras, leparttintható </w:t>
      </w:r>
      <w:r w:rsidRPr="00D1513B">
        <w:rPr>
          <w:sz w:val="22"/>
          <w:szCs w:val="22"/>
          <w:lang w:val="hu-HU"/>
        </w:rPr>
        <w:t xml:space="preserve">LDPE zárókupakkal és </w:t>
      </w:r>
      <w:r>
        <w:rPr>
          <w:sz w:val="22"/>
          <w:szCs w:val="22"/>
          <w:lang w:val="hu-HU"/>
        </w:rPr>
        <w:t>szűk pórusú</w:t>
      </w:r>
      <w:r w:rsidRPr="00D1513B">
        <w:rPr>
          <w:sz w:val="22"/>
          <w:szCs w:val="22"/>
          <w:lang w:val="hu-HU"/>
        </w:rPr>
        <w:t xml:space="preserve"> szilikagél SMG nedvességmegkötő</w:t>
      </w:r>
      <w:r>
        <w:rPr>
          <w:sz w:val="22"/>
          <w:szCs w:val="22"/>
          <w:lang w:val="hu-HU"/>
        </w:rPr>
        <w:t xml:space="preserve"> betéttel</w:t>
      </w:r>
      <w:r w:rsidRPr="00D1513B">
        <w:rPr>
          <w:sz w:val="22"/>
          <w:szCs w:val="22"/>
          <w:lang w:val="hu-HU"/>
        </w:rPr>
        <w:t xml:space="preserve"> ellátott HDPE tartályban</w:t>
      </w:r>
      <w:r>
        <w:rPr>
          <w:sz w:val="22"/>
          <w:szCs w:val="22"/>
          <w:lang w:val="hu-HU"/>
        </w:rPr>
        <w:t xml:space="preserve"> és dobozban</w:t>
      </w:r>
      <w:r w:rsidR="00CC5809" w:rsidRPr="00336525">
        <w:rPr>
          <w:sz w:val="22"/>
          <w:szCs w:val="22"/>
          <w:lang w:val="hu-HU"/>
        </w:rPr>
        <w:t xml:space="preserve">: </w:t>
      </w:r>
      <w:r w:rsidRPr="00336525">
        <w:rPr>
          <w:sz w:val="22"/>
          <w:szCs w:val="22"/>
          <w:lang w:val="hu-HU"/>
        </w:rPr>
        <w:t>28 </w:t>
      </w:r>
      <w:r w:rsidR="00E02890" w:rsidRPr="00E02890">
        <w:rPr>
          <w:sz w:val="22"/>
          <w:szCs w:val="22"/>
          <w:lang w:val="hu-HU" w:bidi="hu-HU"/>
        </w:rPr>
        <w:t xml:space="preserve">vagy </w:t>
      </w:r>
      <w:r w:rsidR="00E02890">
        <w:rPr>
          <w:sz w:val="22"/>
          <w:szCs w:val="22"/>
          <w:lang w:val="hu-HU" w:bidi="hu-HU"/>
        </w:rPr>
        <w:t xml:space="preserve">56 </w:t>
      </w:r>
      <w:r w:rsidRPr="00336525">
        <w:rPr>
          <w:sz w:val="22"/>
          <w:szCs w:val="22"/>
          <w:lang w:val="hu-HU"/>
        </w:rPr>
        <w:t>d</w:t>
      </w:r>
      <w:r>
        <w:rPr>
          <w:sz w:val="22"/>
          <w:szCs w:val="22"/>
          <w:lang w:val="hu-HU"/>
        </w:rPr>
        <w:t>arab tabletta.</w:t>
      </w:r>
    </w:p>
    <w:p w14:paraId="77ABADF9" w14:textId="77777777" w:rsidR="0029197E" w:rsidRDefault="009E48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1A1ED0">
        <w:rPr>
          <w:sz w:val="22"/>
          <w:szCs w:val="22"/>
          <w:lang w:val="hu-HU"/>
        </w:rPr>
        <w:t>Tabletták garanciazáras, nedvessségmegkötő betétet tartalmazó, csavarmentes polipropilén zárókupakkal ellátott HDPE polietilén tartályban</w:t>
      </w:r>
      <w:r w:rsidR="00E0289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28 </w:t>
      </w:r>
      <w:r w:rsidR="00E02890" w:rsidRPr="00E02890">
        <w:rPr>
          <w:sz w:val="22"/>
          <w:szCs w:val="22"/>
          <w:lang w:val="hu-HU" w:bidi="hu-HU"/>
        </w:rPr>
        <w:t xml:space="preserve">vagy </w:t>
      </w:r>
      <w:r w:rsidR="00E02890">
        <w:rPr>
          <w:sz w:val="22"/>
          <w:szCs w:val="22"/>
          <w:lang w:val="hu-HU" w:bidi="hu-HU"/>
        </w:rPr>
        <w:t xml:space="preserve">56 </w:t>
      </w:r>
      <w:r w:rsidRPr="00336525">
        <w:rPr>
          <w:sz w:val="22"/>
          <w:szCs w:val="22"/>
          <w:lang w:val="hu-HU"/>
        </w:rPr>
        <w:t>d</w:t>
      </w:r>
      <w:r>
        <w:rPr>
          <w:sz w:val="22"/>
          <w:szCs w:val="22"/>
          <w:lang w:val="hu-HU"/>
        </w:rPr>
        <w:t>arab</w:t>
      </w:r>
      <w:r w:rsidRPr="00336525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tabletta.</w:t>
      </w:r>
    </w:p>
    <w:p w14:paraId="103E2910" w14:textId="77777777" w:rsidR="009E4884" w:rsidRPr="00336525" w:rsidRDefault="009E48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BBA0B2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Nem feltétlenül mindegyik kiszerelés kerül kereskedelmi forgalomba.</w:t>
      </w:r>
    </w:p>
    <w:p w14:paraId="6B4B984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E1EFC2B" w14:textId="77777777" w:rsidR="00026020" w:rsidRPr="00336525" w:rsidRDefault="00026020" w:rsidP="00026020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6.6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megsemmisítésre vonatkozó különleges óvintézkedések</w:t>
      </w:r>
      <w:r>
        <w:rPr>
          <w:rFonts w:eastAsia="Times New Roman" w:cs="Times New Roman"/>
          <w:b/>
          <w:color w:val="auto"/>
          <w:szCs w:val="22"/>
          <w:lang w:eastAsia="en-US" w:bidi="ar-SA"/>
        </w:rPr>
        <w:t xml:space="preserve"> és egyéb, a készítmény kezelésével kapcsolatos információk</w:t>
      </w:r>
    </w:p>
    <w:p w14:paraId="15BCE60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D0427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7292154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948683D" w14:textId="77777777" w:rsidR="00F914B6" w:rsidRPr="00336525" w:rsidRDefault="00F914B6" w:rsidP="00B052B1">
      <w:pPr>
        <w:widowControl/>
        <w:tabs>
          <w:tab w:val="left" w:pos="5100"/>
        </w:tabs>
        <w:rPr>
          <w:rFonts w:eastAsia="Times New Roman" w:cs="Times New Roman"/>
          <w:color w:val="auto"/>
          <w:spacing w:val="-3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pacing w:val="-3"/>
          <w:szCs w:val="22"/>
          <w:lang w:eastAsia="en-US" w:bidi="ar-SA"/>
        </w:rPr>
        <w:t xml:space="preserve">Megjegyzés: </w:t>
      </w:r>
      <w:r w:rsidR="00871AD2" w:rsidRPr="00336525">
        <w:rPr>
          <w:rFonts w:eastAsia="Times New Roman" w:cs="Times New Roman"/>
          <w:b/>
          <w:color w:val="auto"/>
          <w:spacing w:val="-3"/>
          <w:szCs w:val="22"/>
          <w:lang w:eastAsia="en-US" w:bidi="ar-SA"/>
        </w:rPr>
        <w:sym w:font="Wingdings" w:char="F058"/>
      </w:r>
      <w:r w:rsidRPr="00336525">
        <w:rPr>
          <w:rFonts w:eastAsia="Times New Roman" w:cs="Times New Roman"/>
          <w:b/>
          <w:color w:val="auto"/>
          <w:spacing w:val="-3"/>
          <w:szCs w:val="22"/>
          <w:lang w:eastAsia="en-US" w:bidi="ar-SA"/>
        </w:rPr>
        <w:t xml:space="preserve"> </w:t>
      </w:r>
      <w:r w:rsidRPr="00336525">
        <w:rPr>
          <w:rFonts w:eastAsia="Times New Roman" w:cs="Times New Roman"/>
          <w:color w:val="auto"/>
          <w:spacing w:val="-3"/>
          <w:szCs w:val="22"/>
          <w:lang w:eastAsia="en-US" w:bidi="ar-SA"/>
        </w:rPr>
        <w:t xml:space="preserve">(egy kereszt) </w:t>
      </w:r>
    </w:p>
    <w:p w14:paraId="19D3E5C5" w14:textId="77777777" w:rsidR="00F914B6" w:rsidRPr="004A18CE" w:rsidRDefault="00F914B6" w:rsidP="00B052B1">
      <w:pPr>
        <w:keepNext/>
        <w:widowControl/>
        <w:outlineLvl w:val="1"/>
        <w:rPr>
          <w:rFonts w:eastAsia="Times New Roman" w:cs="Times New Roman"/>
          <w:b/>
          <w:bCs/>
          <w:color w:val="auto"/>
          <w:szCs w:val="22"/>
          <w:lang w:bidi="ar-SA"/>
        </w:rPr>
      </w:pPr>
      <w:r w:rsidRPr="00336525">
        <w:rPr>
          <w:rFonts w:cs="Times New Roman"/>
          <w:b/>
          <w:color w:val="auto"/>
          <w:szCs w:val="22"/>
        </w:rPr>
        <w:t xml:space="preserve">Osztályozás: </w:t>
      </w:r>
      <w:r w:rsidRPr="004A18CE">
        <w:rPr>
          <w:rFonts w:eastAsia="Times New Roman" w:cs="Times New Roman"/>
          <w:b/>
          <w:bCs/>
          <w:color w:val="auto"/>
          <w:szCs w:val="22"/>
          <w:lang w:bidi="ar-SA"/>
        </w:rPr>
        <w:t>II./2 csoport</w:t>
      </w:r>
    </w:p>
    <w:p w14:paraId="712288D6" w14:textId="77777777" w:rsidR="00F914B6" w:rsidRPr="00336525" w:rsidRDefault="00F914B6" w:rsidP="00B052B1">
      <w:pPr>
        <w:widowControl/>
        <w:rPr>
          <w:rFonts w:eastAsia="Times New Roman" w:cs="Times New Roman"/>
          <w:color w:val="auto"/>
          <w:szCs w:val="22"/>
          <w:lang w:bidi="ar-SA"/>
        </w:rPr>
      </w:pPr>
      <w:r w:rsidRPr="00336525">
        <w:rPr>
          <w:rFonts w:eastAsia="Times New Roman" w:cs="Times New Roman"/>
          <w:color w:val="auto"/>
          <w:szCs w:val="22"/>
          <w:lang w:bidi="ar-SA"/>
        </w:rPr>
        <w:t>Korlátozott érvényű orvosi rendelvényhez kötött, szakorvosi kórházi diagnózist követően folyamatos szakorvosi ellenőrzés mellett alkalmazható gyógyszer (Sz).</w:t>
      </w:r>
    </w:p>
    <w:p w14:paraId="54E86484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264EFA5" w14:textId="77777777" w:rsidR="00026020" w:rsidRPr="00336525" w:rsidRDefault="00026020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4A8906" w14:textId="77777777" w:rsidR="00A9770C" w:rsidRPr="00336525" w:rsidRDefault="00A9770C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7.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FORGALOMBA HOZATALI ENGEDÉLY JOGOSULTJA</w:t>
      </w:r>
    </w:p>
    <w:p w14:paraId="37777D3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E0BEFEF" w14:textId="77777777" w:rsidR="00CC5809" w:rsidRPr="00336525" w:rsidRDefault="00CC5809" w:rsidP="00CC5809">
      <w:pPr>
        <w:autoSpaceDE w:val="0"/>
        <w:autoSpaceDN w:val="0"/>
        <w:adjustRightInd w:val="0"/>
        <w:rPr>
          <w:bCs/>
        </w:rPr>
      </w:pPr>
      <w:r w:rsidRPr="00336525">
        <w:rPr>
          <w:bCs/>
        </w:rPr>
        <w:t>Vipharm S.A.</w:t>
      </w:r>
    </w:p>
    <w:p w14:paraId="2B00AA2C" w14:textId="77777777" w:rsidR="00CC5809" w:rsidRPr="00336525" w:rsidRDefault="00CC5809" w:rsidP="00CC5809">
      <w:pPr>
        <w:autoSpaceDE w:val="0"/>
        <w:autoSpaceDN w:val="0"/>
        <w:adjustRightInd w:val="0"/>
        <w:rPr>
          <w:bCs/>
        </w:rPr>
      </w:pPr>
      <w:r w:rsidRPr="00336525">
        <w:rPr>
          <w:bCs/>
        </w:rPr>
        <w:t>9, A. i F. Radziwiłłów Str.</w:t>
      </w:r>
    </w:p>
    <w:p w14:paraId="538D27AF" w14:textId="77777777" w:rsidR="00CC5809" w:rsidRPr="00336525" w:rsidRDefault="00CC5809" w:rsidP="00CC5809">
      <w:pPr>
        <w:autoSpaceDE w:val="0"/>
        <w:autoSpaceDN w:val="0"/>
        <w:adjustRightInd w:val="0"/>
        <w:rPr>
          <w:bCs/>
        </w:rPr>
      </w:pPr>
      <w:r w:rsidRPr="00336525">
        <w:rPr>
          <w:bCs/>
        </w:rPr>
        <w:t>05-850 Ożarów Mazowiecki</w:t>
      </w:r>
    </w:p>
    <w:p w14:paraId="69384C46" w14:textId="77777777" w:rsidR="00CC5809" w:rsidRPr="00336525" w:rsidRDefault="00CC5809" w:rsidP="00CC5809">
      <w:pPr>
        <w:autoSpaceDE w:val="0"/>
        <w:autoSpaceDN w:val="0"/>
        <w:adjustRightInd w:val="0"/>
        <w:rPr>
          <w:bCs/>
        </w:rPr>
      </w:pPr>
      <w:r w:rsidRPr="00336525">
        <w:rPr>
          <w:bCs/>
        </w:rPr>
        <w:t>Lengyelország</w:t>
      </w:r>
    </w:p>
    <w:p w14:paraId="2FD3024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D0A55DF" w14:textId="77777777" w:rsidR="00FC6F8B" w:rsidRPr="00336525" w:rsidRDefault="00FC6F8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08D392F" w14:textId="77777777" w:rsidR="00A9770C" w:rsidRPr="00336525" w:rsidRDefault="00A9770C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8.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FORGALOMBA HOZATALI ENGEDÉLY SZÁMA(I)</w:t>
      </w:r>
    </w:p>
    <w:p w14:paraId="64D78C8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C35EED4" w14:textId="77777777" w:rsidR="009E4884" w:rsidRPr="00BE2A1C" w:rsidRDefault="009E4884" w:rsidP="009E4884">
      <w:pPr>
        <w:widowControl/>
        <w:autoSpaceDE w:val="0"/>
        <w:autoSpaceDN w:val="0"/>
        <w:adjustRightInd w:val="0"/>
        <w:rPr>
          <w:rFonts w:cs="Times New Roman"/>
          <w:szCs w:val="22"/>
          <w:lang w:bidi="ar-SA"/>
        </w:rPr>
      </w:pPr>
      <w:r w:rsidRPr="00BE2A1C">
        <w:rPr>
          <w:rFonts w:cs="Times New Roman"/>
          <w:szCs w:val="22"/>
          <w:lang w:bidi="ar-SA"/>
        </w:rPr>
        <w:t>OGYI-T-22835/05</w:t>
      </w:r>
      <w:r w:rsidRPr="00BE2A1C"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ab/>
        <w:t>28</w:t>
      </w:r>
      <w:r w:rsidR="00026020">
        <w:rPr>
          <w:rFonts w:cs="Times New Roman"/>
          <w:szCs w:val="22"/>
          <w:lang w:bidi="ar-SA"/>
        </w:rPr>
        <w:t>×</w:t>
      </w:r>
      <w:r w:rsidRPr="00BE2A1C">
        <w:rPr>
          <w:rFonts w:cs="Times New Roman"/>
          <w:szCs w:val="22"/>
          <w:lang w:bidi="ar-SA"/>
        </w:rPr>
        <w:tab/>
        <w:t>OPA/Al/PVC//Al buborékcsomagolásban</w:t>
      </w:r>
    </w:p>
    <w:p w14:paraId="7C181D2B" w14:textId="77777777" w:rsidR="009E4884" w:rsidRPr="00BE2A1C" w:rsidRDefault="009E4884" w:rsidP="009E4884">
      <w:pPr>
        <w:widowControl/>
        <w:autoSpaceDE w:val="0"/>
        <w:autoSpaceDN w:val="0"/>
        <w:adjustRightInd w:val="0"/>
        <w:rPr>
          <w:rFonts w:cs="Times New Roman"/>
          <w:szCs w:val="22"/>
          <w:lang w:bidi="ar-SA"/>
        </w:rPr>
      </w:pPr>
      <w:r w:rsidRPr="00BE2A1C">
        <w:rPr>
          <w:rFonts w:cs="Times New Roman"/>
          <w:szCs w:val="22"/>
          <w:lang w:bidi="ar-SA"/>
        </w:rPr>
        <w:t>OGYI-T-22835/06</w:t>
      </w:r>
      <w:r w:rsidRPr="00BE2A1C"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ab/>
        <w:t>28</w:t>
      </w:r>
      <w:r w:rsidR="00026020">
        <w:rPr>
          <w:rFonts w:cs="Times New Roman"/>
          <w:szCs w:val="22"/>
          <w:lang w:bidi="ar-SA"/>
        </w:rPr>
        <w:t>×</w:t>
      </w:r>
      <w:r w:rsidRPr="00BE2A1C">
        <w:rPr>
          <w:rFonts w:cs="Times New Roman"/>
          <w:szCs w:val="22"/>
          <w:lang w:bidi="ar-SA"/>
        </w:rPr>
        <w:tab/>
        <w:t>HDPE tartály</w:t>
      </w:r>
      <w:r w:rsidRPr="00BE2A1C">
        <w:rPr>
          <w:szCs w:val="22"/>
        </w:rPr>
        <w:t xml:space="preserve"> szilikagél SMG nedvességmegkötő betéttel</w:t>
      </w:r>
    </w:p>
    <w:p w14:paraId="4423F8E0" w14:textId="77777777" w:rsidR="009E4884" w:rsidRPr="00BE2A1C" w:rsidRDefault="009E4884" w:rsidP="009E4884">
      <w:pPr>
        <w:widowControl/>
        <w:autoSpaceDE w:val="0"/>
        <w:autoSpaceDN w:val="0"/>
        <w:adjustRightInd w:val="0"/>
        <w:rPr>
          <w:rFonts w:cs="Times New Roman"/>
          <w:szCs w:val="22"/>
          <w:lang w:bidi="ar-SA"/>
        </w:rPr>
      </w:pPr>
      <w:r w:rsidRPr="00BE2A1C">
        <w:rPr>
          <w:rFonts w:cs="Times New Roman"/>
          <w:szCs w:val="22"/>
          <w:lang w:bidi="ar-SA"/>
        </w:rPr>
        <w:t>OGYI-T-22835/14</w:t>
      </w:r>
      <w:r w:rsidRPr="00BE2A1C"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ab/>
        <w:t>28</w:t>
      </w:r>
      <w:r w:rsidR="00026020">
        <w:rPr>
          <w:rFonts w:cs="Times New Roman"/>
          <w:szCs w:val="22"/>
          <w:lang w:bidi="ar-SA"/>
        </w:rPr>
        <w:t>×</w:t>
      </w:r>
      <w:r w:rsidRPr="00BE2A1C">
        <w:rPr>
          <w:rFonts w:cs="Times New Roman"/>
          <w:szCs w:val="22"/>
          <w:lang w:bidi="ar-SA"/>
        </w:rPr>
        <w:tab/>
        <w:t xml:space="preserve">HDPE tartály </w:t>
      </w:r>
      <w:r w:rsidRPr="00BE2A1C">
        <w:rPr>
          <w:szCs w:val="22"/>
        </w:rPr>
        <w:t xml:space="preserve">nedvessségmegkötő betétettel, csavarmentes kupakkal  </w:t>
      </w:r>
    </w:p>
    <w:p w14:paraId="330F85C3" w14:textId="77777777" w:rsidR="009E4884" w:rsidRDefault="009E4884" w:rsidP="009E4884">
      <w:pPr>
        <w:widowControl/>
        <w:autoSpaceDE w:val="0"/>
        <w:autoSpaceDN w:val="0"/>
        <w:adjustRightInd w:val="0"/>
        <w:rPr>
          <w:rFonts w:cs="Times New Roman"/>
          <w:szCs w:val="22"/>
          <w:lang w:bidi="ar-SA"/>
        </w:rPr>
      </w:pPr>
      <w:r w:rsidRPr="00BE2A1C">
        <w:rPr>
          <w:rFonts w:cs="Times New Roman"/>
          <w:szCs w:val="22"/>
          <w:lang w:bidi="ar-SA"/>
        </w:rPr>
        <w:t>OGYI-T-22835/07</w:t>
      </w:r>
      <w:r w:rsidRPr="00BE2A1C"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ab/>
        <w:t>56</w:t>
      </w:r>
      <w:r w:rsidR="00026020">
        <w:rPr>
          <w:rFonts w:cs="Times New Roman"/>
          <w:szCs w:val="22"/>
          <w:lang w:bidi="ar-SA"/>
        </w:rPr>
        <w:t>×</w:t>
      </w:r>
      <w:r w:rsidRPr="00BE2A1C">
        <w:rPr>
          <w:rFonts w:cs="Times New Roman"/>
          <w:szCs w:val="22"/>
          <w:lang w:bidi="ar-SA"/>
        </w:rPr>
        <w:tab/>
        <w:t>OPA/Al/PVC//Al buborékcsomagolásban</w:t>
      </w:r>
    </w:p>
    <w:p w14:paraId="758B6241" w14:textId="77777777" w:rsidR="00E02890" w:rsidRDefault="00E02890" w:rsidP="009E4884">
      <w:pPr>
        <w:widowControl/>
        <w:autoSpaceDE w:val="0"/>
        <w:autoSpaceDN w:val="0"/>
        <w:adjustRightInd w:val="0"/>
        <w:rPr>
          <w:rFonts w:cs="Times New Roman"/>
          <w:szCs w:val="22"/>
          <w:lang w:bidi="ar-SA"/>
        </w:rPr>
      </w:pPr>
      <w:r w:rsidRPr="00BE2A1C">
        <w:rPr>
          <w:rFonts w:cs="Times New Roman"/>
          <w:szCs w:val="22"/>
          <w:lang w:bidi="ar-SA"/>
        </w:rPr>
        <w:t>OGYI-T-22835/</w:t>
      </w:r>
      <w:r w:rsidR="009F0101">
        <w:rPr>
          <w:rFonts w:cs="Times New Roman"/>
          <w:szCs w:val="22"/>
          <w:lang w:bidi="ar-SA"/>
        </w:rPr>
        <w:t>1</w:t>
      </w:r>
      <w:r w:rsidR="00B054E7">
        <w:rPr>
          <w:rFonts w:cs="Times New Roman"/>
          <w:szCs w:val="22"/>
          <w:lang w:bidi="ar-SA"/>
        </w:rPr>
        <w:t>8</w:t>
      </w:r>
      <w:r w:rsidRPr="00BE2A1C"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ab/>
        <w:t>56</w:t>
      </w:r>
      <w:r w:rsidR="00026020">
        <w:rPr>
          <w:rFonts w:cs="Times New Roman"/>
          <w:szCs w:val="22"/>
          <w:lang w:bidi="ar-SA"/>
        </w:rPr>
        <w:t>×</w:t>
      </w:r>
      <w:r w:rsidRPr="00E02890">
        <w:rPr>
          <w:rFonts w:cs="Times New Roman"/>
          <w:szCs w:val="22"/>
          <w:lang w:bidi="ar-SA"/>
        </w:rPr>
        <w:t xml:space="preserve"> </w:t>
      </w:r>
      <w:r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>HDPE tartály</w:t>
      </w:r>
      <w:r w:rsidRPr="00BE2A1C">
        <w:rPr>
          <w:szCs w:val="22"/>
        </w:rPr>
        <w:t xml:space="preserve"> szilikagél SMG nedvességmegkötő betéttel</w:t>
      </w:r>
    </w:p>
    <w:p w14:paraId="7F453E56" w14:textId="77777777" w:rsidR="00E02890" w:rsidRPr="00BE2A1C" w:rsidRDefault="00E02890" w:rsidP="009E4884">
      <w:pPr>
        <w:widowControl/>
        <w:autoSpaceDE w:val="0"/>
        <w:autoSpaceDN w:val="0"/>
        <w:adjustRightInd w:val="0"/>
        <w:rPr>
          <w:rFonts w:cs="Times New Roman"/>
          <w:szCs w:val="22"/>
          <w:lang w:bidi="ar-SA"/>
        </w:rPr>
      </w:pPr>
      <w:r w:rsidRPr="00BE2A1C">
        <w:rPr>
          <w:rFonts w:cs="Times New Roman"/>
          <w:szCs w:val="22"/>
          <w:lang w:bidi="ar-SA"/>
        </w:rPr>
        <w:t>OGYI-T-22835/</w:t>
      </w:r>
      <w:r w:rsidR="009F0101">
        <w:rPr>
          <w:rFonts w:cs="Times New Roman"/>
          <w:szCs w:val="22"/>
          <w:lang w:bidi="ar-SA"/>
        </w:rPr>
        <w:t>1</w:t>
      </w:r>
      <w:r w:rsidR="00B054E7">
        <w:rPr>
          <w:rFonts w:cs="Times New Roman"/>
          <w:szCs w:val="22"/>
          <w:lang w:bidi="ar-SA"/>
        </w:rPr>
        <w:t>9</w:t>
      </w:r>
      <w:r w:rsidRPr="00BE2A1C"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ab/>
        <w:t>56</w:t>
      </w:r>
      <w:r w:rsidR="00026020">
        <w:rPr>
          <w:rFonts w:cs="Times New Roman"/>
          <w:szCs w:val="22"/>
          <w:lang w:bidi="ar-SA"/>
        </w:rPr>
        <w:t>×</w:t>
      </w:r>
      <w:r>
        <w:rPr>
          <w:rFonts w:cs="Times New Roman"/>
          <w:szCs w:val="22"/>
          <w:lang w:bidi="ar-SA"/>
        </w:rPr>
        <w:tab/>
      </w:r>
      <w:r w:rsidRPr="00BE2A1C">
        <w:rPr>
          <w:rFonts w:cs="Times New Roman"/>
          <w:szCs w:val="22"/>
          <w:lang w:bidi="ar-SA"/>
        </w:rPr>
        <w:t xml:space="preserve">HDPE tartály </w:t>
      </w:r>
      <w:r w:rsidRPr="00BE2A1C">
        <w:rPr>
          <w:szCs w:val="22"/>
        </w:rPr>
        <w:t xml:space="preserve">nedvessségmegkötő betétettel, csavarmentes kupakkal  </w:t>
      </w:r>
    </w:p>
    <w:p w14:paraId="1E756AA5" w14:textId="77777777" w:rsidR="009E4884" w:rsidRPr="00BE2A1C" w:rsidRDefault="009E4884" w:rsidP="009E48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BE2A1C">
        <w:rPr>
          <w:sz w:val="22"/>
          <w:szCs w:val="22"/>
        </w:rPr>
        <w:t>OGYI-T-22835/08</w:t>
      </w:r>
      <w:r w:rsidRPr="00BE2A1C">
        <w:rPr>
          <w:sz w:val="22"/>
          <w:szCs w:val="22"/>
        </w:rPr>
        <w:tab/>
      </w:r>
      <w:r w:rsidRPr="00BE2A1C">
        <w:rPr>
          <w:sz w:val="22"/>
          <w:szCs w:val="22"/>
        </w:rPr>
        <w:tab/>
        <w:t>98</w:t>
      </w:r>
      <w:r w:rsidR="00026020">
        <w:rPr>
          <w:sz w:val="22"/>
          <w:szCs w:val="22"/>
          <w:lang w:val="hu-HU"/>
        </w:rPr>
        <w:t>×</w:t>
      </w:r>
      <w:r w:rsidRPr="00BE2A1C">
        <w:rPr>
          <w:sz w:val="22"/>
          <w:szCs w:val="22"/>
        </w:rPr>
        <w:tab/>
        <w:t>OPA/Al/PVC//Al buborékcsomagolás</w:t>
      </w:r>
      <w:r w:rsidRPr="00BE2A1C">
        <w:rPr>
          <w:sz w:val="22"/>
          <w:szCs w:val="22"/>
          <w:lang w:val="hu-HU"/>
        </w:rPr>
        <w:t>ban</w:t>
      </w:r>
    </w:p>
    <w:p w14:paraId="19890A1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954FF81" w14:textId="77777777" w:rsidR="00CC5809" w:rsidRPr="00336525" w:rsidRDefault="00CC580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CDAC7F7" w14:textId="77777777" w:rsidR="007A2F3E" w:rsidRPr="00336525" w:rsidRDefault="007A2F3E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9.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 xml:space="preserve"> DÁTUMA</w:t>
      </w:r>
    </w:p>
    <w:p w14:paraId="403608E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3FF516A" w14:textId="77777777" w:rsidR="0029197E" w:rsidRPr="00336525" w:rsidRDefault="0029197E" w:rsidP="00B052B1">
      <w:pPr>
        <w:widowControl/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  <w:r w:rsidRPr="00336525">
        <w:rPr>
          <w:rFonts w:cs="Times New Roman"/>
          <w:color w:val="auto"/>
          <w:szCs w:val="22"/>
        </w:rPr>
        <w:t xml:space="preserve">A forgalomba hozatali engedély első kiadásának dátuma: </w:t>
      </w:r>
      <w:r w:rsidR="00542F06">
        <w:rPr>
          <w:rFonts w:cs="Times New Roman"/>
          <w:color w:val="auto"/>
          <w:szCs w:val="22"/>
        </w:rPr>
        <w:t>2015.</w:t>
      </w:r>
      <w:r w:rsidR="00026020">
        <w:rPr>
          <w:rFonts w:cs="Times New Roman"/>
          <w:color w:val="auto"/>
          <w:szCs w:val="22"/>
        </w:rPr>
        <w:t xml:space="preserve"> május </w:t>
      </w:r>
      <w:r w:rsidR="00542F06">
        <w:rPr>
          <w:rFonts w:cs="Times New Roman"/>
          <w:color w:val="auto"/>
          <w:szCs w:val="22"/>
        </w:rPr>
        <w:t>14.</w:t>
      </w:r>
    </w:p>
    <w:p w14:paraId="24E339C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C2B90D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E600E8C" w14:textId="77777777" w:rsidR="007A2F3E" w:rsidRPr="00E403C1" w:rsidRDefault="007A2F3E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10.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SZÖVEG ELLENŐRZÉSÉNEK DÁTUMA</w:t>
      </w:r>
    </w:p>
    <w:p w14:paraId="761B0286" w14:textId="77777777" w:rsidR="0029197E" w:rsidRPr="00E403C1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sz w:val="22"/>
          <w:szCs w:val="22"/>
          <w:lang w:val="hu-HU"/>
        </w:rPr>
      </w:pPr>
    </w:p>
    <w:p w14:paraId="053CBDA7" w14:textId="131F1DAA" w:rsidR="0029197E" w:rsidRPr="00E403C1" w:rsidRDefault="001257EF" w:rsidP="00B052B1">
      <w:pPr>
        <w:widowControl/>
        <w:rPr>
          <w:rFonts w:cs="Times New Roman"/>
          <w:b/>
          <w:color w:val="auto"/>
          <w:szCs w:val="22"/>
        </w:rPr>
      </w:pPr>
      <w:r>
        <w:rPr>
          <w:rFonts w:cs="Times New Roman"/>
          <w:color w:val="auto"/>
          <w:szCs w:val="22"/>
        </w:rPr>
        <w:t>2026. augusztus 13</w:t>
      </w:r>
      <w:r w:rsidR="00E03BBC">
        <w:rPr>
          <w:rFonts w:cs="Times New Roman"/>
          <w:color w:val="auto"/>
          <w:szCs w:val="22"/>
        </w:rPr>
        <w:t>.</w:t>
      </w:r>
    </w:p>
    <w:sectPr w:rsidR="0029197E" w:rsidRPr="00E403C1" w:rsidSect="004A18CE">
      <w:headerReference w:type="default" r:id="rId9"/>
      <w:footerReference w:type="first" r:id="rId10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A77495" w14:textId="77777777" w:rsidR="00C826A2" w:rsidRDefault="00C826A2">
      <w:r>
        <w:separator/>
      </w:r>
    </w:p>
  </w:endnote>
  <w:endnote w:type="continuationSeparator" w:id="0">
    <w:p w14:paraId="6437E136" w14:textId="77777777" w:rsidR="00C826A2" w:rsidRDefault="00C82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7C6CC" w14:textId="2BC1B363" w:rsidR="0017524C" w:rsidRDefault="00E03BBC">
    <w:pPr>
      <w:pStyle w:val="llb"/>
    </w:pPr>
    <w:r w:rsidRPr="00E03BBC">
      <w:rPr>
        <w:sz w:val="18"/>
        <w:szCs w:val="18"/>
      </w:rPr>
      <w:t>NNGYK/ETGY/13251/2026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85F247" w14:textId="77777777" w:rsidR="00C826A2" w:rsidRDefault="00C826A2"/>
  </w:footnote>
  <w:footnote w:type="continuationSeparator" w:id="0">
    <w:p w14:paraId="1B55ABEF" w14:textId="77777777" w:rsidR="00C826A2" w:rsidRDefault="00C826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4E690" w14:textId="30C807A0" w:rsidR="0017524C" w:rsidRPr="004A18CE" w:rsidRDefault="0017524C" w:rsidP="004A18CE">
    <w:pPr>
      <w:pStyle w:val="lfej"/>
      <w:jc w:val="center"/>
      <w:rPr>
        <w:sz w:val="18"/>
        <w:szCs w:val="18"/>
      </w:rPr>
    </w:pPr>
    <w:r w:rsidRPr="004A18CE">
      <w:rPr>
        <w:sz w:val="18"/>
        <w:szCs w:val="18"/>
      </w:rPr>
      <w:fldChar w:fldCharType="begin"/>
    </w:r>
    <w:r w:rsidRPr="004A18CE">
      <w:rPr>
        <w:sz w:val="18"/>
        <w:szCs w:val="18"/>
      </w:rPr>
      <w:instrText>PAGE   \* MERGEFORMAT</w:instrText>
    </w:r>
    <w:r w:rsidRPr="004A18CE">
      <w:rPr>
        <w:sz w:val="18"/>
        <w:szCs w:val="18"/>
      </w:rPr>
      <w:fldChar w:fldCharType="separate"/>
    </w:r>
    <w:r w:rsidR="009B1F46">
      <w:rPr>
        <w:noProof/>
        <w:sz w:val="18"/>
        <w:szCs w:val="18"/>
      </w:rPr>
      <w:t>20</w:t>
    </w:r>
    <w:r w:rsidRPr="004A18C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displayBackgroundShape/>
  <w:defaultTabStop w:val="567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21B1"/>
    <w:rsid w:val="000041A1"/>
    <w:rsid w:val="00007FA6"/>
    <w:rsid w:val="00026020"/>
    <w:rsid w:val="000423D4"/>
    <w:rsid w:val="000556D3"/>
    <w:rsid w:val="00071372"/>
    <w:rsid w:val="000716E0"/>
    <w:rsid w:val="0008535C"/>
    <w:rsid w:val="00090390"/>
    <w:rsid w:val="000A0D40"/>
    <w:rsid w:val="000B5D6F"/>
    <w:rsid w:val="000B5F50"/>
    <w:rsid w:val="000C2714"/>
    <w:rsid w:val="000E3D1D"/>
    <w:rsid w:val="000E4D59"/>
    <w:rsid w:val="000E6D7C"/>
    <w:rsid w:val="000F32A0"/>
    <w:rsid w:val="000F3ADC"/>
    <w:rsid w:val="000F5008"/>
    <w:rsid w:val="00106C25"/>
    <w:rsid w:val="00107CCC"/>
    <w:rsid w:val="00123040"/>
    <w:rsid w:val="001257EF"/>
    <w:rsid w:val="00127EF8"/>
    <w:rsid w:val="00146F61"/>
    <w:rsid w:val="001659D9"/>
    <w:rsid w:val="00165D5C"/>
    <w:rsid w:val="00173A17"/>
    <w:rsid w:val="0017524C"/>
    <w:rsid w:val="0018733D"/>
    <w:rsid w:val="00193D7C"/>
    <w:rsid w:val="00197524"/>
    <w:rsid w:val="001A3693"/>
    <w:rsid w:val="001B7C5D"/>
    <w:rsid w:val="001D2B2E"/>
    <w:rsid w:val="001F0360"/>
    <w:rsid w:val="001F6FB4"/>
    <w:rsid w:val="00217DC1"/>
    <w:rsid w:val="0022547D"/>
    <w:rsid w:val="00230FFF"/>
    <w:rsid w:val="00237F89"/>
    <w:rsid w:val="0024047F"/>
    <w:rsid w:val="00246B52"/>
    <w:rsid w:val="00255AB4"/>
    <w:rsid w:val="00260A06"/>
    <w:rsid w:val="002670E3"/>
    <w:rsid w:val="0027252F"/>
    <w:rsid w:val="00277B41"/>
    <w:rsid w:val="00281DC8"/>
    <w:rsid w:val="0029197E"/>
    <w:rsid w:val="002A1DEB"/>
    <w:rsid w:val="002C0D81"/>
    <w:rsid w:val="002C5B2C"/>
    <w:rsid w:val="002D75E5"/>
    <w:rsid w:val="002E71B3"/>
    <w:rsid w:val="002F61DA"/>
    <w:rsid w:val="002F6D54"/>
    <w:rsid w:val="002F6E2C"/>
    <w:rsid w:val="002F77BD"/>
    <w:rsid w:val="002F7C28"/>
    <w:rsid w:val="00322059"/>
    <w:rsid w:val="00323178"/>
    <w:rsid w:val="00336525"/>
    <w:rsid w:val="0034033C"/>
    <w:rsid w:val="003403B5"/>
    <w:rsid w:val="00340446"/>
    <w:rsid w:val="00344E04"/>
    <w:rsid w:val="003512CA"/>
    <w:rsid w:val="00366837"/>
    <w:rsid w:val="00372325"/>
    <w:rsid w:val="003812A4"/>
    <w:rsid w:val="00392FF6"/>
    <w:rsid w:val="00394672"/>
    <w:rsid w:val="003A4BB4"/>
    <w:rsid w:val="003B0F1C"/>
    <w:rsid w:val="003D6269"/>
    <w:rsid w:val="003D6978"/>
    <w:rsid w:val="003E2C11"/>
    <w:rsid w:val="003E3E21"/>
    <w:rsid w:val="003E5C43"/>
    <w:rsid w:val="003E79BC"/>
    <w:rsid w:val="003F3081"/>
    <w:rsid w:val="004151FE"/>
    <w:rsid w:val="00415443"/>
    <w:rsid w:val="0041593E"/>
    <w:rsid w:val="00424CA3"/>
    <w:rsid w:val="00436EB7"/>
    <w:rsid w:val="00437AAE"/>
    <w:rsid w:val="00437BD4"/>
    <w:rsid w:val="004412AD"/>
    <w:rsid w:val="00450EE9"/>
    <w:rsid w:val="00456AC7"/>
    <w:rsid w:val="00466ECA"/>
    <w:rsid w:val="004A18CE"/>
    <w:rsid w:val="004C5A76"/>
    <w:rsid w:val="004C7E30"/>
    <w:rsid w:val="004D2CEC"/>
    <w:rsid w:val="004E1476"/>
    <w:rsid w:val="004F235A"/>
    <w:rsid w:val="004F4DCE"/>
    <w:rsid w:val="00507F57"/>
    <w:rsid w:val="00523DF6"/>
    <w:rsid w:val="005339A9"/>
    <w:rsid w:val="00542F06"/>
    <w:rsid w:val="00561BB5"/>
    <w:rsid w:val="005837DD"/>
    <w:rsid w:val="0058754B"/>
    <w:rsid w:val="005906AA"/>
    <w:rsid w:val="005A68A2"/>
    <w:rsid w:val="005B024A"/>
    <w:rsid w:val="005D5E9B"/>
    <w:rsid w:val="005D6EED"/>
    <w:rsid w:val="005E3647"/>
    <w:rsid w:val="005E70F8"/>
    <w:rsid w:val="005F3FE1"/>
    <w:rsid w:val="005F763A"/>
    <w:rsid w:val="00601022"/>
    <w:rsid w:val="00601412"/>
    <w:rsid w:val="00606D5B"/>
    <w:rsid w:val="00615707"/>
    <w:rsid w:val="006230E8"/>
    <w:rsid w:val="00632F09"/>
    <w:rsid w:val="00660895"/>
    <w:rsid w:val="0067784F"/>
    <w:rsid w:val="0068157B"/>
    <w:rsid w:val="00681DEB"/>
    <w:rsid w:val="00682DFD"/>
    <w:rsid w:val="00693A92"/>
    <w:rsid w:val="00694A3F"/>
    <w:rsid w:val="006A54DC"/>
    <w:rsid w:val="006B1EBF"/>
    <w:rsid w:val="006C6AFE"/>
    <w:rsid w:val="006D6AF3"/>
    <w:rsid w:val="006D6EC7"/>
    <w:rsid w:val="00703FA4"/>
    <w:rsid w:val="0070556A"/>
    <w:rsid w:val="007060E0"/>
    <w:rsid w:val="00707EE5"/>
    <w:rsid w:val="007217EA"/>
    <w:rsid w:val="00722D3F"/>
    <w:rsid w:val="0073172D"/>
    <w:rsid w:val="007441C4"/>
    <w:rsid w:val="00760792"/>
    <w:rsid w:val="00770F85"/>
    <w:rsid w:val="00772001"/>
    <w:rsid w:val="007743A9"/>
    <w:rsid w:val="00777594"/>
    <w:rsid w:val="00777847"/>
    <w:rsid w:val="00782912"/>
    <w:rsid w:val="007876C6"/>
    <w:rsid w:val="0079024C"/>
    <w:rsid w:val="00790807"/>
    <w:rsid w:val="007A2F3E"/>
    <w:rsid w:val="007B3924"/>
    <w:rsid w:val="007C1E4A"/>
    <w:rsid w:val="007C5F44"/>
    <w:rsid w:val="007D118F"/>
    <w:rsid w:val="007D2D50"/>
    <w:rsid w:val="007D4658"/>
    <w:rsid w:val="007E4E7E"/>
    <w:rsid w:val="007E6005"/>
    <w:rsid w:val="007F2159"/>
    <w:rsid w:val="00801A2B"/>
    <w:rsid w:val="00807C7A"/>
    <w:rsid w:val="00810829"/>
    <w:rsid w:val="00814043"/>
    <w:rsid w:val="008230FD"/>
    <w:rsid w:val="00835EE0"/>
    <w:rsid w:val="00840D54"/>
    <w:rsid w:val="00871AD2"/>
    <w:rsid w:val="00872FA2"/>
    <w:rsid w:val="008961ED"/>
    <w:rsid w:val="008A2CB6"/>
    <w:rsid w:val="008B0690"/>
    <w:rsid w:val="008B1D49"/>
    <w:rsid w:val="008B7F25"/>
    <w:rsid w:val="008C4318"/>
    <w:rsid w:val="008D4B21"/>
    <w:rsid w:val="008E2A83"/>
    <w:rsid w:val="008E53AB"/>
    <w:rsid w:val="008F4F48"/>
    <w:rsid w:val="009068A6"/>
    <w:rsid w:val="0091073D"/>
    <w:rsid w:val="00947BC0"/>
    <w:rsid w:val="009515B2"/>
    <w:rsid w:val="009579FB"/>
    <w:rsid w:val="00965D15"/>
    <w:rsid w:val="00971B70"/>
    <w:rsid w:val="00975921"/>
    <w:rsid w:val="009803EF"/>
    <w:rsid w:val="0099064F"/>
    <w:rsid w:val="009A693E"/>
    <w:rsid w:val="009A7817"/>
    <w:rsid w:val="009B0F4D"/>
    <w:rsid w:val="009B1EC3"/>
    <w:rsid w:val="009B1F46"/>
    <w:rsid w:val="009B3CBD"/>
    <w:rsid w:val="009E159C"/>
    <w:rsid w:val="009E4884"/>
    <w:rsid w:val="009F0101"/>
    <w:rsid w:val="009F16DF"/>
    <w:rsid w:val="009F6D4D"/>
    <w:rsid w:val="009F7115"/>
    <w:rsid w:val="009F741A"/>
    <w:rsid w:val="00A02825"/>
    <w:rsid w:val="00A03E58"/>
    <w:rsid w:val="00A2017B"/>
    <w:rsid w:val="00A22E59"/>
    <w:rsid w:val="00A26B39"/>
    <w:rsid w:val="00A45787"/>
    <w:rsid w:val="00A5675A"/>
    <w:rsid w:val="00A81500"/>
    <w:rsid w:val="00A8485C"/>
    <w:rsid w:val="00A9078C"/>
    <w:rsid w:val="00A92870"/>
    <w:rsid w:val="00A932FF"/>
    <w:rsid w:val="00A9770C"/>
    <w:rsid w:val="00AB149B"/>
    <w:rsid w:val="00AB3A99"/>
    <w:rsid w:val="00AB580E"/>
    <w:rsid w:val="00AB6702"/>
    <w:rsid w:val="00AC095B"/>
    <w:rsid w:val="00AC61B9"/>
    <w:rsid w:val="00AD04A8"/>
    <w:rsid w:val="00AD0A6A"/>
    <w:rsid w:val="00AE0CB7"/>
    <w:rsid w:val="00B0194D"/>
    <w:rsid w:val="00B020D0"/>
    <w:rsid w:val="00B052B1"/>
    <w:rsid w:val="00B054E7"/>
    <w:rsid w:val="00B1255F"/>
    <w:rsid w:val="00B20364"/>
    <w:rsid w:val="00B27514"/>
    <w:rsid w:val="00B31588"/>
    <w:rsid w:val="00B40231"/>
    <w:rsid w:val="00B64834"/>
    <w:rsid w:val="00B77512"/>
    <w:rsid w:val="00B80235"/>
    <w:rsid w:val="00B903AE"/>
    <w:rsid w:val="00B9238F"/>
    <w:rsid w:val="00B92A19"/>
    <w:rsid w:val="00B9548E"/>
    <w:rsid w:val="00B97165"/>
    <w:rsid w:val="00BA526F"/>
    <w:rsid w:val="00BC35E2"/>
    <w:rsid w:val="00BE6AC4"/>
    <w:rsid w:val="00C001A8"/>
    <w:rsid w:val="00C00FD0"/>
    <w:rsid w:val="00C05128"/>
    <w:rsid w:val="00C11672"/>
    <w:rsid w:val="00C20E2E"/>
    <w:rsid w:val="00C27253"/>
    <w:rsid w:val="00C42194"/>
    <w:rsid w:val="00C43971"/>
    <w:rsid w:val="00C50319"/>
    <w:rsid w:val="00C5424B"/>
    <w:rsid w:val="00C55484"/>
    <w:rsid w:val="00C652C2"/>
    <w:rsid w:val="00C80C5E"/>
    <w:rsid w:val="00C8260E"/>
    <w:rsid w:val="00C826A2"/>
    <w:rsid w:val="00C872CE"/>
    <w:rsid w:val="00CA112D"/>
    <w:rsid w:val="00CA15B5"/>
    <w:rsid w:val="00CA19B1"/>
    <w:rsid w:val="00CA6284"/>
    <w:rsid w:val="00CB1FE4"/>
    <w:rsid w:val="00CB3B4E"/>
    <w:rsid w:val="00CC22E0"/>
    <w:rsid w:val="00CC4BE1"/>
    <w:rsid w:val="00CC5809"/>
    <w:rsid w:val="00CE3DE9"/>
    <w:rsid w:val="00CE5D9A"/>
    <w:rsid w:val="00CE6B0C"/>
    <w:rsid w:val="00CE6B5E"/>
    <w:rsid w:val="00CF0E69"/>
    <w:rsid w:val="00CF2820"/>
    <w:rsid w:val="00CF35CB"/>
    <w:rsid w:val="00CF7484"/>
    <w:rsid w:val="00D14832"/>
    <w:rsid w:val="00D21943"/>
    <w:rsid w:val="00D64F2E"/>
    <w:rsid w:val="00D70EF6"/>
    <w:rsid w:val="00D76983"/>
    <w:rsid w:val="00D920BE"/>
    <w:rsid w:val="00D931EF"/>
    <w:rsid w:val="00D97015"/>
    <w:rsid w:val="00DA16E7"/>
    <w:rsid w:val="00DB6168"/>
    <w:rsid w:val="00DB753C"/>
    <w:rsid w:val="00DB7B19"/>
    <w:rsid w:val="00DC5E81"/>
    <w:rsid w:val="00DE179A"/>
    <w:rsid w:val="00DF51BE"/>
    <w:rsid w:val="00E02890"/>
    <w:rsid w:val="00E02AB2"/>
    <w:rsid w:val="00E03BBC"/>
    <w:rsid w:val="00E27BC6"/>
    <w:rsid w:val="00E30B83"/>
    <w:rsid w:val="00E403C1"/>
    <w:rsid w:val="00E46FB8"/>
    <w:rsid w:val="00E47163"/>
    <w:rsid w:val="00E6180F"/>
    <w:rsid w:val="00E733B9"/>
    <w:rsid w:val="00E7418C"/>
    <w:rsid w:val="00E81A09"/>
    <w:rsid w:val="00E83182"/>
    <w:rsid w:val="00E8437C"/>
    <w:rsid w:val="00E938FD"/>
    <w:rsid w:val="00E96E8B"/>
    <w:rsid w:val="00EA1AE3"/>
    <w:rsid w:val="00EB55E6"/>
    <w:rsid w:val="00EC2C6F"/>
    <w:rsid w:val="00EC6198"/>
    <w:rsid w:val="00EE0109"/>
    <w:rsid w:val="00EE70A9"/>
    <w:rsid w:val="00EF171C"/>
    <w:rsid w:val="00F02FBE"/>
    <w:rsid w:val="00F03827"/>
    <w:rsid w:val="00F14085"/>
    <w:rsid w:val="00F264A4"/>
    <w:rsid w:val="00F651D8"/>
    <w:rsid w:val="00F728B0"/>
    <w:rsid w:val="00F81A09"/>
    <w:rsid w:val="00F87BA4"/>
    <w:rsid w:val="00F914B6"/>
    <w:rsid w:val="00FA0D1E"/>
    <w:rsid w:val="00FB5B34"/>
    <w:rsid w:val="00FC52E1"/>
    <w:rsid w:val="00FC6F8B"/>
    <w:rsid w:val="00FE279F"/>
    <w:rsid w:val="00FE2A8C"/>
    <w:rsid w:val="00FE5EC8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D6DAE"/>
  <w15:chartTrackingRefBased/>
  <w15:docId w15:val="{7E968792-E6E1-440E-BDD1-D6A2B7CBC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color w:val="auto"/>
      <w:sz w:val="20"/>
      <w:szCs w:val="20"/>
      <w:lang w:val="x-none" w:eastAsia="x-none" w:bidi="ar-SA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61BB5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4A18CE"/>
    <w:rPr>
      <w:rFonts w:ascii="Times New Roman" w:hAnsi="Times New Roman"/>
      <w:color w:val="000000"/>
      <w:sz w:val="22"/>
      <w:szCs w:val="24"/>
      <w:lang w:bidi="hu-HU"/>
    </w:rPr>
  </w:style>
  <w:style w:type="paragraph" w:customStyle="1" w:styleId="Szvegtrzs40">
    <w:name w:val="Szövegtörzs4"/>
    <w:basedOn w:val="Norml"/>
    <w:rsid w:val="00C5424B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5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9BB39-BA43-49F8-A78D-90F77AC95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7891</Words>
  <Characters>54455</Characters>
  <Application>Microsoft Office Word</Application>
  <DocSecurity>0</DocSecurity>
  <Lines>453</Lines>
  <Paragraphs>124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62222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HU_OGYI_50.1</dc:creator>
  <cp:keywords/>
  <cp:lastModifiedBy>HU_OGYI_50.1</cp:lastModifiedBy>
  <cp:revision>2</cp:revision>
  <dcterms:created xsi:type="dcterms:W3CDTF">2026-08-13T06:16:00Z</dcterms:created>
  <dcterms:modified xsi:type="dcterms:W3CDTF">2026-08-13T06:16:00Z</dcterms:modified>
</cp:coreProperties>
</file>