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0E5484" w14:textId="77777777" w:rsidR="00382B5E" w:rsidRDefault="00BE0CD4">
      <w:pPr>
        <w:rPr>
          <w:b/>
          <w:sz w:val="22"/>
          <w:szCs w:val="22"/>
        </w:rPr>
      </w:pPr>
      <w:r>
        <w:rPr>
          <w:b/>
          <w:sz w:val="22"/>
          <w:szCs w:val="22"/>
        </w:rPr>
        <w:t>1.</w:t>
      </w:r>
      <w:r>
        <w:rPr>
          <w:b/>
          <w:sz w:val="22"/>
          <w:szCs w:val="22"/>
        </w:rPr>
        <w:tab/>
        <w:t>A GYÓGYSZER NEVE</w:t>
      </w:r>
    </w:p>
    <w:p w14:paraId="36CD3F6B" w14:textId="77777777" w:rsidR="00382B5E" w:rsidRDefault="00382B5E">
      <w:pPr>
        <w:rPr>
          <w:sz w:val="22"/>
          <w:szCs w:val="22"/>
        </w:rPr>
      </w:pPr>
    </w:p>
    <w:p w14:paraId="7B06C243" w14:textId="77777777" w:rsidR="00382B5E" w:rsidRDefault="00BE0CD4">
      <w:pPr>
        <w:widowControl w:val="0"/>
        <w:rPr>
          <w:noProof/>
          <w:sz w:val="22"/>
          <w:szCs w:val="22"/>
          <w:lang w:eastAsia="en-US"/>
        </w:rPr>
      </w:pPr>
      <w:r>
        <w:rPr>
          <w:noProof/>
          <w:sz w:val="22"/>
          <w:szCs w:val="22"/>
          <w:lang w:eastAsia="en-US"/>
        </w:rPr>
        <w:t>Losartan/Amlodipin Krka 50 mg/5 mg filmtabletta</w:t>
      </w:r>
    </w:p>
    <w:p w14:paraId="4D576EBD" w14:textId="77777777" w:rsidR="00382B5E" w:rsidRDefault="00BE0CD4">
      <w:pPr>
        <w:widowControl w:val="0"/>
        <w:rPr>
          <w:noProof/>
          <w:sz w:val="22"/>
          <w:szCs w:val="22"/>
          <w:lang w:eastAsia="en-US"/>
        </w:rPr>
      </w:pPr>
      <w:r>
        <w:rPr>
          <w:noProof/>
          <w:sz w:val="22"/>
          <w:szCs w:val="22"/>
          <w:lang w:eastAsia="en-US"/>
        </w:rPr>
        <w:t>Losartan/Amlodipin Krka 50 mg/10 mg filmtabletta</w:t>
      </w:r>
    </w:p>
    <w:p w14:paraId="2E401FCE" w14:textId="77777777" w:rsidR="00382B5E" w:rsidRDefault="00BE0CD4">
      <w:pPr>
        <w:widowControl w:val="0"/>
        <w:rPr>
          <w:noProof/>
          <w:sz w:val="22"/>
          <w:szCs w:val="22"/>
          <w:lang w:eastAsia="en-US"/>
        </w:rPr>
      </w:pPr>
      <w:r>
        <w:rPr>
          <w:noProof/>
          <w:sz w:val="22"/>
          <w:szCs w:val="22"/>
          <w:lang w:eastAsia="en-US"/>
        </w:rPr>
        <w:t>Losartan/Amlodipin Krka 100 mg/5 mg filmtabletta</w:t>
      </w:r>
    </w:p>
    <w:p w14:paraId="6D10DED3" w14:textId="77777777" w:rsidR="00382B5E" w:rsidRDefault="00BE0CD4">
      <w:pPr>
        <w:rPr>
          <w:noProof/>
          <w:sz w:val="22"/>
          <w:szCs w:val="22"/>
          <w:lang w:eastAsia="en-US"/>
        </w:rPr>
      </w:pPr>
      <w:r>
        <w:rPr>
          <w:noProof/>
          <w:sz w:val="22"/>
          <w:szCs w:val="22"/>
          <w:lang w:eastAsia="en-US"/>
        </w:rPr>
        <w:t>Losartan/Amlodipin Krka 100 mg/10 mg filmtabletta</w:t>
      </w:r>
    </w:p>
    <w:p w14:paraId="3B413F50" w14:textId="77777777" w:rsidR="00382B5E" w:rsidRDefault="00382B5E">
      <w:pPr>
        <w:rPr>
          <w:sz w:val="22"/>
          <w:szCs w:val="22"/>
        </w:rPr>
      </w:pPr>
    </w:p>
    <w:p w14:paraId="5126A0E0" w14:textId="77777777" w:rsidR="00382B5E" w:rsidRDefault="00382B5E">
      <w:pPr>
        <w:rPr>
          <w:sz w:val="22"/>
          <w:szCs w:val="22"/>
        </w:rPr>
      </w:pPr>
    </w:p>
    <w:p w14:paraId="51F68FC9" w14:textId="77777777" w:rsidR="00382B5E" w:rsidRDefault="00BE0CD4">
      <w:pPr>
        <w:rPr>
          <w:b/>
          <w:sz w:val="22"/>
          <w:szCs w:val="22"/>
        </w:rPr>
      </w:pPr>
      <w:r>
        <w:rPr>
          <w:b/>
          <w:sz w:val="22"/>
          <w:szCs w:val="22"/>
        </w:rPr>
        <w:t>2.</w:t>
      </w:r>
      <w:r>
        <w:rPr>
          <w:b/>
          <w:sz w:val="22"/>
          <w:szCs w:val="22"/>
        </w:rPr>
        <w:tab/>
        <w:t>MINŐSÉGI ÉS MENNYISÉGI ÖSSZETÉTEL</w:t>
      </w:r>
    </w:p>
    <w:p w14:paraId="7AF6E6C3" w14:textId="77777777" w:rsidR="00382B5E" w:rsidRDefault="00382B5E">
      <w:pPr>
        <w:rPr>
          <w:sz w:val="22"/>
          <w:szCs w:val="22"/>
        </w:rPr>
      </w:pPr>
    </w:p>
    <w:p w14:paraId="6CFFB163" w14:textId="77777777" w:rsidR="00382B5E" w:rsidRDefault="00BE0CD4">
      <w:pPr>
        <w:tabs>
          <w:tab w:val="num" w:pos="540"/>
        </w:tabs>
        <w:suppressAutoHyphens/>
        <w:rPr>
          <w:noProof/>
          <w:sz w:val="22"/>
          <w:szCs w:val="22"/>
          <w:u w:val="single"/>
          <w:lang w:eastAsia="en-US"/>
        </w:rPr>
      </w:pPr>
      <w:r>
        <w:rPr>
          <w:noProof/>
          <w:sz w:val="22"/>
          <w:szCs w:val="22"/>
          <w:u w:val="single"/>
          <w:lang w:eastAsia="en-US"/>
        </w:rPr>
        <w:t>Losartan/Amlodipin Krka 50 mg/5 mg filmtabletta:</w:t>
      </w:r>
    </w:p>
    <w:p w14:paraId="28450832" w14:textId="77777777" w:rsidR="00382B5E" w:rsidRDefault="00BE0CD4">
      <w:pPr>
        <w:tabs>
          <w:tab w:val="num" w:pos="540"/>
        </w:tabs>
        <w:suppressAutoHyphens/>
        <w:rPr>
          <w:noProof/>
          <w:sz w:val="22"/>
          <w:szCs w:val="22"/>
          <w:lang w:eastAsia="en-US"/>
        </w:rPr>
      </w:pPr>
      <w:r>
        <w:rPr>
          <w:sz w:val="22"/>
          <w:szCs w:val="22"/>
          <w:lang w:eastAsia="en-US"/>
        </w:rPr>
        <w:t>50 mg lozartán-káliumot és 6,94 mg amlodipin-bezilátot tartalmaz filmtablettánként (ami megfelel 5 mg amlodipinnek).</w:t>
      </w:r>
    </w:p>
    <w:p w14:paraId="7B5828EC" w14:textId="77777777" w:rsidR="00382B5E" w:rsidRDefault="00382B5E">
      <w:pPr>
        <w:tabs>
          <w:tab w:val="left" w:pos="0"/>
        </w:tabs>
        <w:suppressAutoHyphens/>
        <w:rPr>
          <w:noProof/>
          <w:sz w:val="22"/>
          <w:szCs w:val="22"/>
          <w:lang w:eastAsia="en-US"/>
        </w:rPr>
      </w:pPr>
    </w:p>
    <w:p w14:paraId="0026DFDF" w14:textId="77777777" w:rsidR="00382B5E" w:rsidRDefault="00BE0CD4">
      <w:pPr>
        <w:tabs>
          <w:tab w:val="left" w:pos="0"/>
        </w:tabs>
        <w:suppressAutoHyphens/>
        <w:rPr>
          <w:noProof/>
          <w:sz w:val="22"/>
          <w:szCs w:val="22"/>
          <w:u w:val="single"/>
          <w:lang w:eastAsia="en-US"/>
        </w:rPr>
      </w:pPr>
      <w:r>
        <w:rPr>
          <w:noProof/>
          <w:sz w:val="22"/>
          <w:szCs w:val="22"/>
          <w:u w:val="single"/>
          <w:lang w:eastAsia="en-US"/>
        </w:rPr>
        <w:t>Losartan/Amlodipin Krka 50 mg/10 mg filmtabletta:</w:t>
      </w:r>
    </w:p>
    <w:p w14:paraId="6E67247B" w14:textId="77777777" w:rsidR="00382B5E" w:rsidRDefault="00BE0CD4">
      <w:pPr>
        <w:tabs>
          <w:tab w:val="left" w:pos="0"/>
        </w:tabs>
        <w:suppressAutoHyphens/>
        <w:rPr>
          <w:noProof/>
          <w:sz w:val="22"/>
          <w:szCs w:val="22"/>
          <w:lang w:eastAsia="en-US"/>
        </w:rPr>
      </w:pPr>
      <w:r>
        <w:rPr>
          <w:sz w:val="22"/>
          <w:szCs w:val="22"/>
          <w:lang w:eastAsia="en-US"/>
        </w:rPr>
        <w:t>50 mg lozartán-káliumot és 13,88 mg amlodipin-bezilátot tartalmaz filmtablettánként (ami megfelel 10 mg amlodipinnek).</w:t>
      </w:r>
    </w:p>
    <w:p w14:paraId="05EF84EA" w14:textId="77777777" w:rsidR="00382B5E" w:rsidRDefault="00382B5E">
      <w:pPr>
        <w:tabs>
          <w:tab w:val="left" w:pos="0"/>
        </w:tabs>
        <w:suppressAutoHyphens/>
        <w:rPr>
          <w:noProof/>
          <w:sz w:val="22"/>
          <w:szCs w:val="22"/>
          <w:lang w:eastAsia="en-US"/>
        </w:rPr>
      </w:pPr>
    </w:p>
    <w:p w14:paraId="50CABB08" w14:textId="77777777" w:rsidR="00382B5E" w:rsidRDefault="00BE0CD4">
      <w:pPr>
        <w:tabs>
          <w:tab w:val="left" w:pos="0"/>
        </w:tabs>
        <w:suppressAutoHyphens/>
        <w:rPr>
          <w:noProof/>
          <w:sz w:val="22"/>
          <w:szCs w:val="22"/>
          <w:u w:val="single"/>
          <w:lang w:eastAsia="en-US"/>
        </w:rPr>
      </w:pPr>
      <w:r>
        <w:rPr>
          <w:noProof/>
          <w:sz w:val="22"/>
          <w:szCs w:val="22"/>
          <w:u w:val="single"/>
          <w:lang w:eastAsia="en-US"/>
        </w:rPr>
        <w:t>Losartan/Amlodipin Krka 100 mg/5 mg filmtabletta:</w:t>
      </w:r>
    </w:p>
    <w:p w14:paraId="0C75FA53" w14:textId="77777777" w:rsidR="00382B5E" w:rsidRDefault="00BE0CD4">
      <w:pPr>
        <w:tabs>
          <w:tab w:val="left" w:pos="0"/>
        </w:tabs>
        <w:suppressAutoHyphens/>
        <w:rPr>
          <w:noProof/>
          <w:sz w:val="22"/>
          <w:szCs w:val="22"/>
          <w:lang w:eastAsia="en-US"/>
        </w:rPr>
      </w:pPr>
      <w:r>
        <w:rPr>
          <w:sz w:val="22"/>
          <w:szCs w:val="22"/>
          <w:lang w:eastAsia="en-US"/>
        </w:rPr>
        <w:t>100 mg lozartán-káliumot és 6,94 mg amlodipin-bezilátot tartalmaz filmtablettánként (ami megfelel 5 mg amlodipinnek).</w:t>
      </w:r>
    </w:p>
    <w:p w14:paraId="25110285" w14:textId="77777777" w:rsidR="00382B5E" w:rsidRDefault="00382B5E">
      <w:pPr>
        <w:rPr>
          <w:noProof/>
          <w:sz w:val="22"/>
          <w:szCs w:val="22"/>
          <w:lang w:eastAsia="en-US"/>
        </w:rPr>
      </w:pPr>
    </w:p>
    <w:p w14:paraId="189A5CEB" w14:textId="77777777" w:rsidR="00382B5E" w:rsidRDefault="00BE0CD4">
      <w:pPr>
        <w:rPr>
          <w:noProof/>
          <w:sz w:val="22"/>
          <w:szCs w:val="22"/>
          <w:u w:val="single"/>
          <w:lang w:eastAsia="en-US"/>
        </w:rPr>
      </w:pPr>
      <w:r>
        <w:rPr>
          <w:noProof/>
          <w:sz w:val="22"/>
          <w:szCs w:val="22"/>
          <w:u w:val="single"/>
          <w:lang w:eastAsia="en-US"/>
        </w:rPr>
        <w:t>Losartan/Amlodipin Krka 100 mg/10 mg filmtabletta:</w:t>
      </w:r>
    </w:p>
    <w:p w14:paraId="74EB6A7A" w14:textId="77777777" w:rsidR="00382B5E" w:rsidRDefault="00BE0CD4">
      <w:pPr>
        <w:rPr>
          <w:sz w:val="22"/>
          <w:szCs w:val="22"/>
          <w:lang w:eastAsia="en-US"/>
        </w:rPr>
      </w:pPr>
      <w:r>
        <w:rPr>
          <w:sz w:val="22"/>
          <w:szCs w:val="22"/>
          <w:lang w:eastAsia="en-US"/>
        </w:rPr>
        <w:t>100 mg lozartán-káliumot és 13,88 mg amlodipin-bezilátot tartalmaz filmtablettánként (ami megfelel 10 mg amlodipinnek).</w:t>
      </w:r>
    </w:p>
    <w:p w14:paraId="0660B2A0" w14:textId="77777777" w:rsidR="00382B5E" w:rsidRDefault="00382B5E">
      <w:pPr>
        <w:rPr>
          <w:sz w:val="22"/>
          <w:szCs w:val="22"/>
          <w:lang w:eastAsia="en-US"/>
        </w:rPr>
      </w:pPr>
    </w:p>
    <w:p w14:paraId="46B1519B" w14:textId="77777777" w:rsidR="00382B5E" w:rsidRDefault="00BE0CD4">
      <w:pPr>
        <w:rPr>
          <w:sz w:val="22"/>
          <w:szCs w:val="22"/>
          <w:u w:val="single"/>
          <w:lang w:eastAsia="en-US"/>
        </w:rPr>
      </w:pPr>
      <w:r>
        <w:rPr>
          <w:sz w:val="22"/>
          <w:szCs w:val="22"/>
          <w:u w:val="single"/>
          <w:lang w:eastAsia="en-US"/>
        </w:rPr>
        <w:t>Ismert hatású segédanyag:</w:t>
      </w:r>
    </w:p>
    <w:p w14:paraId="1B948AF7" w14:textId="77777777" w:rsidR="00382B5E" w:rsidRDefault="00382B5E">
      <w:pPr>
        <w:rPr>
          <w:sz w:val="22"/>
          <w:szCs w:val="22"/>
          <w:lang w:eastAsia="en-US"/>
        </w:rPr>
      </w:pPr>
    </w:p>
    <w:tbl>
      <w:tblPr>
        <w:tblW w:w="91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2001"/>
        <w:gridCol w:w="2001"/>
        <w:gridCol w:w="2001"/>
        <w:gridCol w:w="2001"/>
      </w:tblGrid>
      <w:tr w:rsidR="00382B5E" w14:paraId="629ED930" w14:textId="77777777">
        <w:tc>
          <w:tcPr>
            <w:tcW w:w="2331" w:type="dxa"/>
            <w:vAlign w:val="center"/>
          </w:tcPr>
          <w:p w14:paraId="2CA3EF89" w14:textId="77777777" w:rsidR="00382B5E" w:rsidRDefault="00382B5E">
            <w:pPr>
              <w:widowControl w:val="0"/>
              <w:rPr>
                <w:noProof/>
                <w:sz w:val="22"/>
                <w:szCs w:val="22"/>
                <w:lang w:eastAsia="en-US"/>
              </w:rPr>
            </w:pPr>
          </w:p>
        </w:tc>
        <w:tc>
          <w:tcPr>
            <w:tcW w:w="1779" w:type="dxa"/>
            <w:vAlign w:val="center"/>
          </w:tcPr>
          <w:p w14:paraId="28293163" w14:textId="77777777" w:rsidR="00382B5E" w:rsidRDefault="00BE0CD4">
            <w:pPr>
              <w:widowControl w:val="0"/>
              <w:jc w:val="center"/>
              <w:rPr>
                <w:noProof/>
                <w:sz w:val="22"/>
                <w:szCs w:val="22"/>
                <w:lang w:eastAsia="en-US"/>
              </w:rPr>
            </w:pPr>
            <w:r>
              <w:rPr>
                <w:noProof/>
                <w:sz w:val="22"/>
                <w:szCs w:val="22"/>
                <w:lang w:eastAsia="en-US"/>
              </w:rPr>
              <w:t>Losartan/Amlodipin Krka 50 mg/5 mg filmtabletta</w:t>
            </w:r>
          </w:p>
        </w:tc>
        <w:tc>
          <w:tcPr>
            <w:tcW w:w="1749" w:type="dxa"/>
            <w:vAlign w:val="center"/>
          </w:tcPr>
          <w:p w14:paraId="4F587BE7" w14:textId="77777777" w:rsidR="00382B5E" w:rsidRDefault="00BE0CD4">
            <w:pPr>
              <w:widowControl w:val="0"/>
              <w:tabs>
                <w:tab w:val="left" w:pos="567"/>
              </w:tabs>
              <w:jc w:val="center"/>
              <w:rPr>
                <w:noProof/>
                <w:sz w:val="22"/>
                <w:szCs w:val="22"/>
                <w:lang w:eastAsia="en-US"/>
              </w:rPr>
            </w:pPr>
            <w:r>
              <w:rPr>
                <w:noProof/>
                <w:sz w:val="22"/>
                <w:szCs w:val="22"/>
                <w:lang w:eastAsia="en-US"/>
              </w:rPr>
              <w:t>Losartan/Amlodipin Krka 50 mg/10 mg filmtabletta</w:t>
            </w:r>
          </w:p>
        </w:tc>
        <w:tc>
          <w:tcPr>
            <w:tcW w:w="1660" w:type="dxa"/>
          </w:tcPr>
          <w:p w14:paraId="10963E10" w14:textId="77777777" w:rsidR="00382B5E" w:rsidRDefault="00BE0CD4">
            <w:pPr>
              <w:widowControl w:val="0"/>
              <w:tabs>
                <w:tab w:val="left" w:pos="567"/>
              </w:tabs>
              <w:jc w:val="center"/>
              <w:rPr>
                <w:noProof/>
                <w:sz w:val="22"/>
                <w:szCs w:val="22"/>
                <w:lang w:eastAsia="en-US"/>
              </w:rPr>
            </w:pPr>
            <w:r>
              <w:rPr>
                <w:noProof/>
                <w:sz w:val="22"/>
                <w:szCs w:val="22"/>
                <w:lang w:eastAsia="en-US"/>
              </w:rPr>
              <w:t>Losartan/Amlodipin Krka 100 mg/5 mg filmtabletta</w:t>
            </w:r>
          </w:p>
        </w:tc>
        <w:tc>
          <w:tcPr>
            <w:tcW w:w="1660" w:type="dxa"/>
          </w:tcPr>
          <w:p w14:paraId="6ED7A9ED" w14:textId="77777777" w:rsidR="00382B5E" w:rsidRDefault="00BE0CD4">
            <w:pPr>
              <w:widowControl w:val="0"/>
              <w:tabs>
                <w:tab w:val="left" w:pos="567"/>
              </w:tabs>
              <w:jc w:val="center"/>
              <w:rPr>
                <w:noProof/>
                <w:sz w:val="22"/>
                <w:szCs w:val="22"/>
                <w:lang w:eastAsia="en-US"/>
              </w:rPr>
            </w:pPr>
            <w:r>
              <w:rPr>
                <w:noProof/>
                <w:sz w:val="22"/>
                <w:szCs w:val="22"/>
                <w:lang w:eastAsia="en-US"/>
              </w:rPr>
              <w:t>Losartan/Amlodipin Krka 100 mg/10 mg filmtabletta</w:t>
            </w:r>
          </w:p>
        </w:tc>
      </w:tr>
      <w:tr w:rsidR="00382B5E" w14:paraId="4E222EC1" w14:textId="77777777">
        <w:tc>
          <w:tcPr>
            <w:tcW w:w="2331" w:type="dxa"/>
            <w:vAlign w:val="center"/>
          </w:tcPr>
          <w:p w14:paraId="02FEFC74" w14:textId="77777777" w:rsidR="00382B5E" w:rsidRDefault="00BE0CD4">
            <w:pPr>
              <w:widowControl w:val="0"/>
              <w:rPr>
                <w:noProof/>
                <w:sz w:val="22"/>
                <w:szCs w:val="22"/>
                <w:lang w:eastAsia="en-US"/>
              </w:rPr>
            </w:pPr>
            <w:r>
              <w:rPr>
                <w:noProof/>
                <w:sz w:val="22"/>
                <w:szCs w:val="22"/>
                <w:lang w:eastAsia="en-US"/>
              </w:rPr>
              <w:t>laktóz</w:t>
            </w:r>
          </w:p>
        </w:tc>
        <w:tc>
          <w:tcPr>
            <w:tcW w:w="1779" w:type="dxa"/>
            <w:vAlign w:val="center"/>
          </w:tcPr>
          <w:p w14:paraId="0B27A4D8" w14:textId="77777777" w:rsidR="00382B5E" w:rsidRDefault="00BE0CD4">
            <w:pPr>
              <w:jc w:val="center"/>
              <w:rPr>
                <w:noProof/>
                <w:sz w:val="22"/>
                <w:szCs w:val="22"/>
                <w:lang w:eastAsia="en-US"/>
              </w:rPr>
            </w:pPr>
            <w:r>
              <w:rPr>
                <w:noProof/>
                <w:sz w:val="22"/>
                <w:szCs w:val="22"/>
                <w:lang w:eastAsia="en-US"/>
              </w:rPr>
              <w:t>51,95 mg</w:t>
            </w:r>
          </w:p>
        </w:tc>
        <w:tc>
          <w:tcPr>
            <w:tcW w:w="1749" w:type="dxa"/>
            <w:vAlign w:val="center"/>
          </w:tcPr>
          <w:p w14:paraId="0AEB9684" w14:textId="77777777" w:rsidR="00382B5E" w:rsidRDefault="00BE0CD4">
            <w:pPr>
              <w:widowControl w:val="0"/>
              <w:tabs>
                <w:tab w:val="left" w:pos="567"/>
              </w:tabs>
              <w:jc w:val="center"/>
              <w:rPr>
                <w:noProof/>
                <w:sz w:val="22"/>
                <w:szCs w:val="22"/>
                <w:lang w:eastAsia="en-US"/>
              </w:rPr>
            </w:pPr>
            <w:r>
              <w:rPr>
                <w:noProof/>
                <w:sz w:val="22"/>
                <w:szCs w:val="22"/>
                <w:lang w:eastAsia="en-US"/>
              </w:rPr>
              <w:t>51,95 mg</w:t>
            </w:r>
          </w:p>
        </w:tc>
        <w:tc>
          <w:tcPr>
            <w:tcW w:w="1660" w:type="dxa"/>
          </w:tcPr>
          <w:p w14:paraId="0AF9F839" w14:textId="77777777" w:rsidR="00382B5E" w:rsidRDefault="00BE0CD4">
            <w:pPr>
              <w:widowControl w:val="0"/>
              <w:tabs>
                <w:tab w:val="left" w:pos="567"/>
              </w:tabs>
              <w:jc w:val="center"/>
              <w:rPr>
                <w:noProof/>
                <w:sz w:val="22"/>
                <w:szCs w:val="22"/>
                <w:lang w:eastAsia="en-US"/>
              </w:rPr>
            </w:pPr>
            <w:r>
              <w:rPr>
                <w:noProof/>
                <w:sz w:val="22"/>
                <w:szCs w:val="22"/>
                <w:lang w:eastAsia="en-US"/>
              </w:rPr>
              <w:t>103,88 mg</w:t>
            </w:r>
          </w:p>
        </w:tc>
        <w:tc>
          <w:tcPr>
            <w:tcW w:w="1660" w:type="dxa"/>
          </w:tcPr>
          <w:p w14:paraId="32B468B8" w14:textId="77777777" w:rsidR="00382B5E" w:rsidRDefault="00BE0CD4">
            <w:pPr>
              <w:widowControl w:val="0"/>
              <w:tabs>
                <w:tab w:val="left" w:pos="567"/>
              </w:tabs>
              <w:jc w:val="center"/>
              <w:rPr>
                <w:noProof/>
                <w:sz w:val="22"/>
                <w:szCs w:val="22"/>
                <w:lang w:eastAsia="en-US"/>
              </w:rPr>
            </w:pPr>
            <w:r>
              <w:rPr>
                <w:noProof/>
                <w:sz w:val="22"/>
                <w:szCs w:val="22"/>
                <w:lang w:eastAsia="en-US"/>
              </w:rPr>
              <w:t>103,88 mg</w:t>
            </w:r>
          </w:p>
        </w:tc>
      </w:tr>
    </w:tbl>
    <w:p w14:paraId="10687D7E" w14:textId="77777777" w:rsidR="00382B5E" w:rsidRDefault="00382B5E">
      <w:pPr>
        <w:rPr>
          <w:sz w:val="22"/>
          <w:szCs w:val="22"/>
          <w:lang w:eastAsia="en-US"/>
        </w:rPr>
      </w:pPr>
    </w:p>
    <w:p w14:paraId="13A2FEA0" w14:textId="77777777" w:rsidR="00382B5E" w:rsidRDefault="00BE0CD4">
      <w:pPr>
        <w:rPr>
          <w:sz w:val="22"/>
          <w:szCs w:val="22"/>
          <w:lang w:eastAsia="en-US"/>
        </w:rPr>
      </w:pPr>
      <w:r>
        <w:rPr>
          <w:sz w:val="22"/>
          <w:szCs w:val="22"/>
          <w:lang w:eastAsia="en-US"/>
        </w:rPr>
        <w:t>A segédanyagok teljes listáját lásd a 6.1 pontban.</w:t>
      </w:r>
    </w:p>
    <w:p w14:paraId="6F0F0E46" w14:textId="77777777" w:rsidR="00382B5E" w:rsidRDefault="00382B5E">
      <w:pPr>
        <w:rPr>
          <w:sz w:val="22"/>
          <w:szCs w:val="22"/>
        </w:rPr>
      </w:pPr>
    </w:p>
    <w:p w14:paraId="2FA37E94" w14:textId="77777777" w:rsidR="00382B5E" w:rsidRDefault="00382B5E">
      <w:pPr>
        <w:rPr>
          <w:sz w:val="22"/>
          <w:szCs w:val="22"/>
        </w:rPr>
      </w:pPr>
    </w:p>
    <w:p w14:paraId="2E3BC404" w14:textId="77777777" w:rsidR="00382B5E" w:rsidRDefault="00BE0CD4">
      <w:pPr>
        <w:rPr>
          <w:b/>
          <w:sz w:val="22"/>
          <w:szCs w:val="22"/>
        </w:rPr>
      </w:pPr>
      <w:r>
        <w:rPr>
          <w:b/>
          <w:sz w:val="22"/>
          <w:szCs w:val="22"/>
        </w:rPr>
        <w:t>3.</w:t>
      </w:r>
      <w:r>
        <w:rPr>
          <w:b/>
          <w:sz w:val="22"/>
          <w:szCs w:val="22"/>
        </w:rPr>
        <w:tab/>
        <w:t>GYÓGYSZERFORMA</w:t>
      </w:r>
    </w:p>
    <w:p w14:paraId="45DB9589" w14:textId="77777777" w:rsidR="00382B5E" w:rsidRDefault="00382B5E">
      <w:pPr>
        <w:rPr>
          <w:sz w:val="22"/>
          <w:szCs w:val="22"/>
        </w:rPr>
      </w:pPr>
    </w:p>
    <w:p w14:paraId="14047892" w14:textId="77777777" w:rsidR="00382B5E" w:rsidRDefault="00BE0CD4">
      <w:pPr>
        <w:rPr>
          <w:sz w:val="22"/>
          <w:szCs w:val="22"/>
        </w:rPr>
      </w:pPr>
      <w:r>
        <w:rPr>
          <w:sz w:val="22"/>
          <w:szCs w:val="22"/>
        </w:rPr>
        <w:t>Filmtabletta</w:t>
      </w:r>
    </w:p>
    <w:p w14:paraId="0A923DAD" w14:textId="77777777" w:rsidR="00382B5E" w:rsidRDefault="00382B5E">
      <w:pPr>
        <w:rPr>
          <w:sz w:val="22"/>
          <w:szCs w:val="22"/>
        </w:rPr>
      </w:pPr>
    </w:p>
    <w:p w14:paraId="2754D803" w14:textId="77777777" w:rsidR="00382B5E" w:rsidRDefault="00BE0CD4">
      <w:pPr>
        <w:rPr>
          <w:noProof/>
          <w:sz w:val="22"/>
          <w:szCs w:val="22"/>
          <w:u w:val="single"/>
          <w:lang w:eastAsia="en-US"/>
        </w:rPr>
      </w:pPr>
      <w:r>
        <w:rPr>
          <w:noProof/>
          <w:sz w:val="22"/>
          <w:szCs w:val="22"/>
          <w:u w:val="single"/>
          <w:lang w:eastAsia="en-US"/>
        </w:rPr>
        <w:t>Losartan/Amlodipin Krka 50 mg/5 mg filmtabletta:</w:t>
      </w:r>
    </w:p>
    <w:p w14:paraId="7CEFAD79" w14:textId="77777777" w:rsidR="00382B5E" w:rsidRDefault="00BE0CD4">
      <w:pPr>
        <w:rPr>
          <w:noProof/>
          <w:sz w:val="22"/>
          <w:szCs w:val="22"/>
          <w:lang w:eastAsia="en-US"/>
        </w:rPr>
      </w:pPr>
      <w:r>
        <w:rPr>
          <w:noProof/>
          <w:sz w:val="22"/>
          <w:szCs w:val="22"/>
          <w:lang w:eastAsia="en-US"/>
        </w:rPr>
        <w:t>Barnás-narancssárga, ovális (15 mm × 7 mm), mindkét oldalán enyhén domború filmtabletta.</w:t>
      </w:r>
    </w:p>
    <w:p w14:paraId="11DEF89D" w14:textId="77777777" w:rsidR="00382B5E" w:rsidRDefault="00382B5E">
      <w:pPr>
        <w:rPr>
          <w:sz w:val="22"/>
          <w:szCs w:val="22"/>
        </w:rPr>
      </w:pPr>
    </w:p>
    <w:p w14:paraId="31F46A0A" w14:textId="77777777" w:rsidR="00382B5E" w:rsidRDefault="00BE0CD4">
      <w:pPr>
        <w:rPr>
          <w:noProof/>
          <w:sz w:val="22"/>
          <w:szCs w:val="22"/>
          <w:u w:val="single"/>
          <w:lang w:eastAsia="en-US"/>
        </w:rPr>
      </w:pPr>
      <w:r>
        <w:rPr>
          <w:noProof/>
          <w:sz w:val="22"/>
          <w:szCs w:val="22"/>
          <w:u w:val="single"/>
          <w:lang w:eastAsia="en-US"/>
        </w:rPr>
        <w:t>Losartan/Amlodipin Krka 50 mg/10 mg filmtabletta:</w:t>
      </w:r>
    </w:p>
    <w:p w14:paraId="0894D4A8" w14:textId="77777777" w:rsidR="00382B5E" w:rsidRDefault="00BE0CD4">
      <w:pPr>
        <w:rPr>
          <w:noProof/>
          <w:sz w:val="22"/>
          <w:szCs w:val="22"/>
          <w:lang w:eastAsia="en-US"/>
        </w:rPr>
      </w:pPr>
      <w:r>
        <w:rPr>
          <w:noProof/>
          <w:sz w:val="22"/>
          <w:szCs w:val="22"/>
          <w:lang w:eastAsia="en-US"/>
        </w:rPr>
        <w:t>Vörösesbarna, ovális (15 mm × 7 mm), mindkét oldalán enyhén domború filmtabletta.</w:t>
      </w:r>
    </w:p>
    <w:p w14:paraId="50AEEE66" w14:textId="77777777" w:rsidR="00382B5E" w:rsidRDefault="00382B5E">
      <w:pPr>
        <w:rPr>
          <w:noProof/>
          <w:sz w:val="22"/>
          <w:szCs w:val="22"/>
          <w:lang w:eastAsia="en-US"/>
        </w:rPr>
      </w:pPr>
    </w:p>
    <w:p w14:paraId="61FC8FD3" w14:textId="77777777" w:rsidR="00382B5E" w:rsidRDefault="00BE0CD4">
      <w:pPr>
        <w:rPr>
          <w:noProof/>
          <w:sz w:val="22"/>
          <w:szCs w:val="22"/>
          <w:u w:val="single"/>
          <w:lang w:eastAsia="en-US"/>
        </w:rPr>
      </w:pPr>
      <w:r>
        <w:rPr>
          <w:noProof/>
          <w:sz w:val="22"/>
          <w:szCs w:val="22"/>
          <w:u w:val="single"/>
          <w:lang w:eastAsia="en-US"/>
        </w:rPr>
        <w:t>Losartan/Amlodipin Krka 100 mg/5 mg filmtabletta.</w:t>
      </w:r>
    </w:p>
    <w:p w14:paraId="31268A83" w14:textId="77777777" w:rsidR="00382B5E" w:rsidRDefault="00BE0CD4">
      <w:pPr>
        <w:rPr>
          <w:noProof/>
          <w:sz w:val="22"/>
          <w:szCs w:val="22"/>
          <w:lang w:eastAsia="en-US"/>
        </w:rPr>
      </w:pPr>
      <w:r>
        <w:rPr>
          <w:noProof/>
          <w:sz w:val="22"/>
          <w:szCs w:val="22"/>
          <w:lang w:eastAsia="en-US"/>
        </w:rPr>
        <w:t>Rózsaszín, ovális (18 mm × 9 mm), mindkét oldalán domború filmtabletta.</w:t>
      </w:r>
    </w:p>
    <w:p w14:paraId="2E9C9CE8" w14:textId="77777777" w:rsidR="00382B5E" w:rsidRDefault="00382B5E">
      <w:pPr>
        <w:rPr>
          <w:sz w:val="22"/>
          <w:szCs w:val="22"/>
        </w:rPr>
      </w:pPr>
    </w:p>
    <w:p w14:paraId="493C378A" w14:textId="77777777" w:rsidR="00382B5E" w:rsidRDefault="00BE0CD4">
      <w:pPr>
        <w:rPr>
          <w:noProof/>
          <w:sz w:val="22"/>
          <w:szCs w:val="22"/>
          <w:u w:val="single"/>
          <w:lang w:eastAsia="en-US"/>
        </w:rPr>
      </w:pPr>
      <w:r>
        <w:rPr>
          <w:noProof/>
          <w:sz w:val="22"/>
          <w:szCs w:val="22"/>
          <w:u w:val="single"/>
          <w:lang w:eastAsia="en-US"/>
        </w:rPr>
        <w:t>Losartan/Amlodipin Krka 100 mg/10 mg filmtabletta:</w:t>
      </w:r>
    </w:p>
    <w:p w14:paraId="262B7902" w14:textId="77777777" w:rsidR="00382B5E" w:rsidRDefault="00BE0CD4">
      <w:pPr>
        <w:rPr>
          <w:noProof/>
          <w:sz w:val="22"/>
          <w:szCs w:val="22"/>
          <w:lang w:eastAsia="en-US"/>
        </w:rPr>
      </w:pPr>
      <w:r>
        <w:rPr>
          <w:noProof/>
          <w:sz w:val="22"/>
          <w:szCs w:val="22"/>
          <w:lang w:eastAsia="en-US"/>
        </w:rPr>
        <w:t>Halvány barnássárga, ovális (18 mm × 9 mm), mindkét oldalán domború filmtabletta.</w:t>
      </w:r>
    </w:p>
    <w:p w14:paraId="6CCE0D54" w14:textId="77777777" w:rsidR="00382B5E" w:rsidRDefault="00382B5E">
      <w:pPr>
        <w:rPr>
          <w:sz w:val="22"/>
          <w:szCs w:val="22"/>
        </w:rPr>
      </w:pPr>
    </w:p>
    <w:p w14:paraId="37E233EC" w14:textId="77777777" w:rsidR="00382B5E" w:rsidRDefault="00382B5E">
      <w:pPr>
        <w:rPr>
          <w:sz w:val="22"/>
          <w:szCs w:val="22"/>
        </w:rPr>
      </w:pPr>
    </w:p>
    <w:p w14:paraId="7BEEA77E" w14:textId="77777777" w:rsidR="00382B5E" w:rsidRDefault="00BE0CD4">
      <w:pPr>
        <w:keepNext/>
        <w:rPr>
          <w:b/>
          <w:caps/>
          <w:sz w:val="22"/>
          <w:szCs w:val="22"/>
        </w:rPr>
      </w:pPr>
      <w:r>
        <w:rPr>
          <w:b/>
          <w:caps/>
          <w:sz w:val="22"/>
          <w:szCs w:val="22"/>
        </w:rPr>
        <w:lastRenderedPageBreak/>
        <w:t>4.</w:t>
      </w:r>
      <w:r>
        <w:rPr>
          <w:b/>
          <w:caps/>
          <w:sz w:val="22"/>
          <w:szCs w:val="22"/>
        </w:rPr>
        <w:tab/>
        <w:t>KLINIKAI JELLEMZŐK</w:t>
      </w:r>
    </w:p>
    <w:p w14:paraId="0D9C86E9" w14:textId="77777777" w:rsidR="00382B5E" w:rsidRDefault="00382B5E">
      <w:pPr>
        <w:keepNext/>
        <w:rPr>
          <w:sz w:val="22"/>
          <w:szCs w:val="22"/>
        </w:rPr>
      </w:pPr>
    </w:p>
    <w:p w14:paraId="48F04F1E" w14:textId="77777777" w:rsidR="00382B5E" w:rsidRDefault="00BE0CD4">
      <w:pPr>
        <w:keepNext/>
        <w:rPr>
          <w:b/>
          <w:sz w:val="22"/>
          <w:szCs w:val="22"/>
        </w:rPr>
      </w:pPr>
      <w:r>
        <w:rPr>
          <w:b/>
          <w:sz w:val="22"/>
          <w:szCs w:val="22"/>
        </w:rPr>
        <w:t>4.1</w:t>
      </w:r>
      <w:r>
        <w:rPr>
          <w:b/>
          <w:sz w:val="22"/>
          <w:szCs w:val="22"/>
        </w:rPr>
        <w:tab/>
        <w:t>Terápiás javallatok</w:t>
      </w:r>
    </w:p>
    <w:p w14:paraId="46180DC3" w14:textId="77777777" w:rsidR="00382B5E" w:rsidRDefault="00382B5E">
      <w:pPr>
        <w:keepNext/>
        <w:rPr>
          <w:sz w:val="22"/>
          <w:szCs w:val="22"/>
        </w:rPr>
      </w:pPr>
    </w:p>
    <w:p w14:paraId="23D4BFD8" w14:textId="77777777" w:rsidR="00382B5E" w:rsidRDefault="00BE0CD4">
      <w:pPr>
        <w:pStyle w:val="MGGTextLeft"/>
        <w:rPr>
          <w:sz w:val="22"/>
          <w:szCs w:val="22"/>
          <w:lang w:val="hu-HU"/>
        </w:rPr>
      </w:pPr>
      <w:r>
        <w:rPr>
          <w:color w:val="000000"/>
          <w:sz w:val="22"/>
          <w:szCs w:val="22"/>
          <w:lang w:val="hu-HU"/>
        </w:rPr>
        <w:t>A Losartan/Amlodipin Krka szubsztitúciós terápiára javasolt, essentialis hypertoniában, azonos dózisszinten, egyidejűleg adott lozartánnal és amlodipinnel már megfelelően beállított betegek számára.</w:t>
      </w:r>
    </w:p>
    <w:p w14:paraId="33D07851" w14:textId="77777777" w:rsidR="00382B5E" w:rsidRDefault="00382B5E">
      <w:pPr>
        <w:rPr>
          <w:sz w:val="22"/>
          <w:szCs w:val="22"/>
        </w:rPr>
      </w:pPr>
    </w:p>
    <w:p w14:paraId="5FA493C4" w14:textId="77777777" w:rsidR="00382B5E" w:rsidRDefault="00BE0CD4">
      <w:pPr>
        <w:rPr>
          <w:b/>
          <w:sz w:val="22"/>
          <w:szCs w:val="22"/>
        </w:rPr>
      </w:pPr>
      <w:r>
        <w:rPr>
          <w:b/>
          <w:sz w:val="22"/>
          <w:szCs w:val="22"/>
        </w:rPr>
        <w:t>4.2</w:t>
      </w:r>
      <w:r>
        <w:rPr>
          <w:b/>
          <w:sz w:val="22"/>
          <w:szCs w:val="22"/>
        </w:rPr>
        <w:tab/>
        <w:t>Adagolás és alkalmazás</w:t>
      </w:r>
    </w:p>
    <w:p w14:paraId="47C5A5F6" w14:textId="77777777" w:rsidR="00382B5E" w:rsidRDefault="00382B5E">
      <w:pPr>
        <w:rPr>
          <w:b/>
          <w:sz w:val="22"/>
          <w:szCs w:val="22"/>
        </w:rPr>
      </w:pPr>
    </w:p>
    <w:p w14:paraId="047CAD75" w14:textId="77777777" w:rsidR="00382B5E" w:rsidRDefault="00BE0CD4">
      <w:pPr>
        <w:rPr>
          <w:sz w:val="22"/>
          <w:szCs w:val="22"/>
          <w:u w:val="single"/>
        </w:rPr>
      </w:pPr>
      <w:r>
        <w:rPr>
          <w:noProof/>
          <w:color w:val="000000"/>
          <w:sz w:val="22"/>
          <w:szCs w:val="22"/>
          <w:u w:val="single"/>
        </w:rPr>
        <w:t>Adagolás</w:t>
      </w:r>
    </w:p>
    <w:p w14:paraId="3E1701E0" w14:textId="77777777" w:rsidR="00382B5E" w:rsidRDefault="00BE0CD4">
      <w:pPr>
        <w:ind w:right="-2"/>
        <w:rPr>
          <w:sz w:val="22"/>
          <w:szCs w:val="22"/>
        </w:rPr>
      </w:pPr>
      <w:r>
        <w:rPr>
          <w:sz w:val="22"/>
          <w:szCs w:val="22"/>
        </w:rPr>
        <w:t xml:space="preserve">A Losartan/Amlodipin Krka </w:t>
      </w:r>
      <w:r>
        <w:rPr>
          <w:noProof/>
          <w:sz w:val="22"/>
          <w:szCs w:val="22"/>
        </w:rPr>
        <w:t>ajánlott</w:t>
      </w:r>
      <w:r>
        <w:rPr>
          <w:sz w:val="22"/>
          <w:szCs w:val="22"/>
        </w:rPr>
        <w:t xml:space="preserve"> adagja napi 1 filmtabletta.</w:t>
      </w:r>
    </w:p>
    <w:p w14:paraId="13AFB3D6" w14:textId="77777777" w:rsidR="00382B5E" w:rsidRDefault="00382B5E">
      <w:pPr>
        <w:ind w:right="-2"/>
        <w:rPr>
          <w:sz w:val="22"/>
          <w:szCs w:val="22"/>
        </w:rPr>
      </w:pPr>
    </w:p>
    <w:p w14:paraId="5692DAD4" w14:textId="77777777" w:rsidR="00382B5E" w:rsidRDefault="00BE0CD4">
      <w:pPr>
        <w:ind w:right="-2"/>
        <w:rPr>
          <w:color w:val="000000"/>
          <w:sz w:val="22"/>
          <w:szCs w:val="22"/>
        </w:rPr>
      </w:pPr>
      <w:r>
        <w:rPr>
          <w:color w:val="000000"/>
          <w:sz w:val="22"/>
          <w:szCs w:val="22"/>
        </w:rPr>
        <w:t>A fix dózisú kombináció nem megfelelő a kezelés elkezdésére.</w:t>
      </w:r>
    </w:p>
    <w:p w14:paraId="5AE1D8CC" w14:textId="77777777" w:rsidR="00382B5E" w:rsidRDefault="00382B5E">
      <w:pPr>
        <w:ind w:right="-2"/>
        <w:rPr>
          <w:color w:val="000000"/>
          <w:sz w:val="22"/>
          <w:szCs w:val="22"/>
        </w:rPr>
      </w:pPr>
    </w:p>
    <w:p w14:paraId="2546E586" w14:textId="77777777" w:rsidR="00382B5E" w:rsidRDefault="00BE0CD4">
      <w:pPr>
        <w:autoSpaceDE w:val="0"/>
        <w:autoSpaceDN w:val="0"/>
        <w:adjustRightInd w:val="0"/>
        <w:rPr>
          <w:color w:val="000000"/>
          <w:sz w:val="22"/>
          <w:szCs w:val="22"/>
        </w:rPr>
      </w:pPr>
      <w:r>
        <w:rPr>
          <w:color w:val="000000"/>
          <w:sz w:val="22"/>
          <w:szCs w:val="22"/>
        </w:rPr>
        <w:t xml:space="preserve">Akkor lehet váltani Losartan/Amlodipin Krka-ra, ha a beteg már be van állítva az azonos időben bevett monokomponensek stabil dózisaira. A váltáskor az </w:t>
      </w:r>
      <w:r>
        <w:rPr>
          <w:bCs/>
          <w:noProof/>
          <w:sz w:val="22"/>
          <w:szCs w:val="22"/>
        </w:rPr>
        <w:t>egyes hatóanyagok egyedileg megállapított adagjai határozzák meg a Losartan/Amlodipin Krka dózisát.</w:t>
      </w:r>
    </w:p>
    <w:p w14:paraId="2BE0103C" w14:textId="77777777" w:rsidR="00382B5E" w:rsidRDefault="00382B5E">
      <w:pPr>
        <w:autoSpaceDE w:val="0"/>
        <w:autoSpaceDN w:val="0"/>
        <w:adjustRightInd w:val="0"/>
        <w:rPr>
          <w:color w:val="000000"/>
          <w:sz w:val="22"/>
          <w:szCs w:val="22"/>
        </w:rPr>
      </w:pPr>
    </w:p>
    <w:p w14:paraId="4DDB9D5F" w14:textId="77777777" w:rsidR="00382B5E" w:rsidRDefault="00BE0CD4">
      <w:pPr>
        <w:autoSpaceDE w:val="0"/>
        <w:autoSpaceDN w:val="0"/>
        <w:adjustRightInd w:val="0"/>
        <w:rPr>
          <w:color w:val="000000"/>
          <w:sz w:val="22"/>
          <w:szCs w:val="22"/>
        </w:rPr>
      </w:pPr>
      <w:r>
        <w:rPr>
          <w:color w:val="000000"/>
          <w:sz w:val="22"/>
          <w:szCs w:val="22"/>
        </w:rPr>
        <w:t>Amennyiben a fix kombinációban található bármely hatóanyag adagjának módosítására van szükség bármilyen okból (pl.: újonnan diagnosztizált kapcsolódó betegség, a beteg állapotának változása vagy gyógyszerkölcsönhatás miatt), az adagolás újbóli beállítását a monokomponensű készítmények titrálásával kell végezni.</w:t>
      </w:r>
    </w:p>
    <w:p w14:paraId="7D311B9A" w14:textId="77777777" w:rsidR="00382B5E" w:rsidRDefault="00382B5E">
      <w:pPr>
        <w:autoSpaceDE w:val="0"/>
        <w:autoSpaceDN w:val="0"/>
        <w:adjustRightInd w:val="0"/>
        <w:rPr>
          <w:color w:val="000000"/>
          <w:sz w:val="22"/>
          <w:szCs w:val="22"/>
        </w:rPr>
      </w:pPr>
    </w:p>
    <w:p w14:paraId="5FFCD7D5" w14:textId="77777777" w:rsidR="00382B5E" w:rsidRDefault="00BE0CD4">
      <w:pPr>
        <w:autoSpaceDE w:val="0"/>
        <w:autoSpaceDN w:val="0"/>
        <w:adjustRightInd w:val="0"/>
        <w:rPr>
          <w:noProof/>
          <w:color w:val="000000"/>
          <w:sz w:val="22"/>
          <w:szCs w:val="22"/>
          <w:u w:val="single"/>
        </w:rPr>
      </w:pPr>
      <w:r>
        <w:rPr>
          <w:noProof/>
          <w:color w:val="000000"/>
          <w:sz w:val="22"/>
          <w:szCs w:val="22"/>
          <w:u w:val="single"/>
        </w:rPr>
        <w:t>Idősek</w:t>
      </w:r>
    </w:p>
    <w:p w14:paraId="01F0EE02" w14:textId="77777777" w:rsidR="00382B5E" w:rsidRDefault="00BE0CD4">
      <w:pPr>
        <w:pStyle w:val="NoSpacing1"/>
        <w:rPr>
          <w:rFonts w:ascii="Times New Roman" w:hAnsi="Times New Roman"/>
          <w:color w:val="000000"/>
          <w:lang w:val="hu-HU"/>
        </w:rPr>
      </w:pPr>
      <w:r>
        <w:rPr>
          <w:rFonts w:ascii="Times New Roman" w:hAnsi="Times New Roman"/>
          <w:color w:val="000000"/>
          <w:spacing w:val="-2"/>
          <w:lang w:val="hu-HU"/>
        </w:rPr>
        <w:t>Idősek számára normál adagolási rend ajánlott, azonban a dózisnövelést körültekintően kell végezni</w:t>
      </w:r>
      <w:r>
        <w:rPr>
          <w:rFonts w:ascii="Times New Roman" w:hAnsi="Times New Roman"/>
          <w:color w:val="000000"/>
          <w:lang w:val="hu-HU"/>
        </w:rPr>
        <w:t xml:space="preserve"> (lásd 4.4 és 5.2 pont).</w:t>
      </w:r>
    </w:p>
    <w:p w14:paraId="12E77E39" w14:textId="77777777" w:rsidR="00382B5E" w:rsidRDefault="00382B5E">
      <w:pPr>
        <w:autoSpaceDE w:val="0"/>
        <w:autoSpaceDN w:val="0"/>
        <w:adjustRightInd w:val="0"/>
        <w:rPr>
          <w:noProof/>
          <w:color w:val="000000"/>
          <w:sz w:val="22"/>
          <w:szCs w:val="22"/>
          <w:u w:val="single"/>
        </w:rPr>
      </w:pPr>
    </w:p>
    <w:p w14:paraId="55E20CBA" w14:textId="77777777" w:rsidR="00382B5E" w:rsidRDefault="00BE0CD4">
      <w:pPr>
        <w:rPr>
          <w:sz w:val="22"/>
          <w:szCs w:val="22"/>
          <w:lang w:eastAsia="en-US"/>
        </w:rPr>
      </w:pPr>
      <w:r>
        <w:rPr>
          <w:sz w:val="22"/>
          <w:szCs w:val="22"/>
          <w:lang w:eastAsia="en-US"/>
        </w:rPr>
        <w:t>Az amlodipint hasonló adagokban alkalmazva, az idős és fiatal betegek egyaránt jól tolerálták.</w:t>
      </w:r>
    </w:p>
    <w:p w14:paraId="5C0F1901" w14:textId="77777777" w:rsidR="00382B5E" w:rsidRDefault="00BE0CD4">
      <w:pPr>
        <w:ind w:right="-2"/>
        <w:rPr>
          <w:sz w:val="22"/>
          <w:szCs w:val="22"/>
        </w:rPr>
      </w:pPr>
      <w:r>
        <w:rPr>
          <w:noProof/>
          <w:color w:val="000000"/>
          <w:sz w:val="22"/>
          <w:szCs w:val="22"/>
        </w:rPr>
        <w:t>Habár 75 éves kor felett meg kell fontolni a 25 mg</w:t>
      </w:r>
      <w:r>
        <w:rPr>
          <w:noProof/>
          <w:color w:val="000000"/>
          <w:sz w:val="22"/>
          <w:szCs w:val="22"/>
        </w:rPr>
        <w:noBreakHyphen/>
        <w:t>os kezdő adag alkalmazását, a dózismódosítás időseknél általában nem szükséges.</w:t>
      </w:r>
    </w:p>
    <w:p w14:paraId="4A3F289C" w14:textId="77777777" w:rsidR="00382B5E" w:rsidRDefault="00382B5E">
      <w:pPr>
        <w:ind w:right="-2"/>
        <w:rPr>
          <w:sz w:val="22"/>
          <w:szCs w:val="22"/>
        </w:rPr>
      </w:pPr>
    </w:p>
    <w:p w14:paraId="7405BC10" w14:textId="77777777" w:rsidR="00382B5E" w:rsidRDefault="00BE0CD4">
      <w:pPr>
        <w:autoSpaceDE w:val="0"/>
        <w:autoSpaceDN w:val="0"/>
        <w:adjustRightInd w:val="0"/>
        <w:rPr>
          <w:sz w:val="22"/>
          <w:szCs w:val="22"/>
          <w:u w:val="single"/>
          <w:lang w:eastAsia="en-US"/>
        </w:rPr>
      </w:pPr>
      <w:r>
        <w:rPr>
          <w:sz w:val="22"/>
          <w:szCs w:val="22"/>
          <w:u w:val="single"/>
          <w:lang w:eastAsia="en-US"/>
        </w:rPr>
        <w:t>Alkalmazása intravascularis volumenhiányban szenvedő betegeknél</w:t>
      </w:r>
    </w:p>
    <w:p w14:paraId="1B0CB863" w14:textId="77777777" w:rsidR="00382B5E" w:rsidRDefault="00BE0CD4">
      <w:pPr>
        <w:autoSpaceDE w:val="0"/>
        <w:autoSpaceDN w:val="0"/>
        <w:adjustRightInd w:val="0"/>
        <w:rPr>
          <w:sz w:val="22"/>
          <w:szCs w:val="22"/>
          <w:lang w:eastAsia="en-US"/>
        </w:rPr>
      </w:pPr>
      <w:r>
        <w:rPr>
          <w:sz w:val="22"/>
          <w:szCs w:val="22"/>
          <w:lang w:eastAsia="en-US"/>
        </w:rPr>
        <w:t>Intravascularis volumenhiányban szenvedő (pl. magas dózisú vízhajtókkal kezelt) betegeknél a napi egyszer 25 mg-os kezdő dózis alkalmazását kell fontolóra venni (lásd 4.4 pont).</w:t>
      </w:r>
    </w:p>
    <w:p w14:paraId="520A6A22" w14:textId="77777777" w:rsidR="00382B5E" w:rsidRDefault="00382B5E">
      <w:pPr>
        <w:autoSpaceDE w:val="0"/>
        <w:autoSpaceDN w:val="0"/>
        <w:adjustRightInd w:val="0"/>
        <w:rPr>
          <w:sz w:val="22"/>
          <w:szCs w:val="22"/>
          <w:lang w:eastAsia="en-US"/>
        </w:rPr>
      </w:pPr>
    </w:p>
    <w:p w14:paraId="74966EB8" w14:textId="77777777" w:rsidR="00382B5E" w:rsidRDefault="00BE0CD4">
      <w:pPr>
        <w:autoSpaceDE w:val="0"/>
        <w:autoSpaceDN w:val="0"/>
        <w:adjustRightInd w:val="0"/>
        <w:rPr>
          <w:sz w:val="22"/>
          <w:szCs w:val="22"/>
          <w:u w:val="single"/>
          <w:lang w:eastAsia="en-US"/>
        </w:rPr>
      </w:pPr>
      <w:r>
        <w:rPr>
          <w:sz w:val="22"/>
          <w:szCs w:val="22"/>
          <w:u w:val="single"/>
          <w:lang w:eastAsia="en-US"/>
        </w:rPr>
        <w:t>Vesekárosodás</w:t>
      </w:r>
    </w:p>
    <w:p w14:paraId="4A2276EA" w14:textId="77777777" w:rsidR="00382B5E" w:rsidRDefault="00BE0CD4">
      <w:pPr>
        <w:autoSpaceDE w:val="0"/>
        <w:autoSpaceDN w:val="0"/>
        <w:adjustRightInd w:val="0"/>
        <w:rPr>
          <w:sz w:val="22"/>
          <w:szCs w:val="22"/>
          <w:lang w:eastAsia="en-US"/>
        </w:rPr>
      </w:pPr>
      <w:r>
        <w:rPr>
          <w:sz w:val="22"/>
          <w:szCs w:val="22"/>
          <w:lang w:eastAsia="en-US"/>
        </w:rPr>
        <w:t>A vesekárosodásban szenvedő betegeknél nem szükséges a Losartan/Amlodipin Krka kezdő dózisának módosítása (lásd 4.4 pont).</w:t>
      </w:r>
    </w:p>
    <w:p w14:paraId="2738C268" w14:textId="77777777" w:rsidR="00382B5E" w:rsidRDefault="00382B5E">
      <w:pPr>
        <w:autoSpaceDE w:val="0"/>
        <w:autoSpaceDN w:val="0"/>
        <w:adjustRightInd w:val="0"/>
        <w:rPr>
          <w:sz w:val="22"/>
          <w:szCs w:val="22"/>
          <w:lang w:eastAsia="en-US"/>
        </w:rPr>
      </w:pPr>
    </w:p>
    <w:p w14:paraId="4786C9A0" w14:textId="77777777" w:rsidR="00382B5E" w:rsidRDefault="00BE0CD4">
      <w:pPr>
        <w:rPr>
          <w:sz w:val="22"/>
          <w:szCs w:val="22"/>
          <w:lang w:eastAsia="en-US"/>
        </w:rPr>
      </w:pPr>
      <w:r>
        <w:rPr>
          <w:sz w:val="22"/>
          <w:szCs w:val="22"/>
          <w:lang w:eastAsia="en-US"/>
        </w:rPr>
        <w:t>Az amlodipin plazmakoncentrációjának változása nem mutat összefüggést a vesekárosodás mértékével, ezért a szokásos adagolás ajánlott. Az amlodipin nem dializálható.</w:t>
      </w:r>
    </w:p>
    <w:p w14:paraId="18F1E1A9" w14:textId="77777777" w:rsidR="00382B5E" w:rsidRDefault="00BE0CD4">
      <w:pPr>
        <w:autoSpaceDE w:val="0"/>
        <w:autoSpaceDN w:val="0"/>
        <w:adjustRightInd w:val="0"/>
        <w:rPr>
          <w:sz w:val="22"/>
          <w:szCs w:val="22"/>
          <w:lang w:eastAsia="en-US"/>
        </w:rPr>
      </w:pPr>
      <w:r>
        <w:rPr>
          <w:sz w:val="22"/>
          <w:szCs w:val="22"/>
          <w:lang w:eastAsia="en-US"/>
        </w:rPr>
        <w:t>A vesekárosodásban szenvedő és hemodializált betegeknél nem szükséges a lozartán kezdő dózisának módosítása.</w:t>
      </w:r>
    </w:p>
    <w:p w14:paraId="126ABE67" w14:textId="77777777" w:rsidR="00382B5E" w:rsidRDefault="00382B5E">
      <w:pPr>
        <w:autoSpaceDE w:val="0"/>
        <w:autoSpaceDN w:val="0"/>
        <w:adjustRightInd w:val="0"/>
        <w:rPr>
          <w:sz w:val="22"/>
          <w:szCs w:val="22"/>
          <w:lang w:eastAsia="en-US"/>
        </w:rPr>
      </w:pPr>
    </w:p>
    <w:p w14:paraId="24173D20" w14:textId="77777777" w:rsidR="00382B5E" w:rsidRDefault="00BE0CD4">
      <w:pPr>
        <w:autoSpaceDE w:val="0"/>
        <w:autoSpaceDN w:val="0"/>
        <w:adjustRightInd w:val="0"/>
        <w:rPr>
          <w:sz w:val="22"/>
          <w:szCs w:val="22"/>
          <w:u w:val="single"/>
          <w:lang w:eastAsia="en-US"/>
        </w:rPr>
      </w:pPr>
      <w:r>
        <w:rPr>
          <w:sz w:val="22"/>
          <w:szCs w:val="22"/>
          <w:u w:val="single"/>
          <w:lang w:eastAsia="en-US"/>
        </w:rPr>
        <w:t>Májkárosodás</w:t>
      </w:r>
    </w:p>
    <w:p w14:paraId="2A90C7F2" w14:textId="77777777" w:rsidR="00382B5E" w:rsidRDefault="00BE0CD4">
      <w:pPr>
        <w:autoSpaceDE w:val="0"/>
        <w:autoSpaceDN w:val="0"/>
        <w:adjustRightInd w:val="0"/>
        <w:rPr>
          <w:color w:val="000000"/>
          <w:spacing w:val="-2"/>
          <w:sz w:val="22"/>
          <w:szCs w:val="22"/>
        </w:rPr>
      </w:pPr>
      <w:r>
        <w:rPr>
          <w:color w:val="000000"/>
          <w:spacing w:val="-2"/>
          <w:sz w:val="22"/>
          <w:szCs w:val="22"/>
        </w:rPr>
        <w:t>A Losartan/Amlodipin Krka ellenjavallt súlyos májkárosodásban (lásd 4.3 és 4.4 pont).</w:t>
      </w:r>
    </w:p>
    <w:p w14:paraId="0F536828" w14:textId="77777777" w:rsidR="00382B5E" w:rsidRDefault="00382B5E">
      <w:pPr>
        <w:autoSpaceDE w:val="0"/>
        <w:autoSpaceDN w:val="0"/>
        <w:adjustRightInd w:val="0"/>
        <w:rPr>
          <w:sz w:val="22"/>
          <w:szCs w:val="22"/>
          <w:u w:val="single"/>
          <w:lang w:eastAsia="en-US"/>
        </w:rPr>
      </w:pPr>
    </w:p>
    <w:p w14:paraId="0DCF86D3" w14:textId="77777777" w:rsidR="00382B5E" w:rsidRDefault="00BE0CD4">
      <w:pPr>
        <w:autoSpaceDE w:val="0"/>
        <w:autoSpaceDN w:val="0"/>
        <w:adjustRightInd w:val="0"/>
        <w:rPr>
          <w:sz w:val="22"/>
          <w:szCs w:val="22"/>
          <w:lang w:eastAsia="en-US"/>
        </w:rPr>
      </w:pPr>
      <w:r>
        <w:rPr>
          <w:sz w:val="22"/>
          <w:szCs w:val="22"/>
          <w:lang w:eastAsia="en-US"/>
        </w:rPr>
        <w:t>Azoknál a betegeknél, akiknek kórtörténetében májkárosodás szerepel, a lozartán alacsonyabb adagjának alkalmazását kell megfontolni. Súlyos májkárosodásban szenvedő betegekre vonatkozóan nem áll rendelkezésre kezelési tapasztalat.</w:t>
      </w:r>
    </w:p>
    <w:p w14:paraId="6D73FA48" w14:textId="77777777" w:rsidR="00382B5E" w:rsidRDefault="00BE0CD4">
      <w:pPr>
        <w:pStyle w:val="NoSpacing1"/>
        <w:rPr>
          <w:rFonts w:ascii="Times New Roman" w:hAnsi="Times New Roman"/>
          <w:i/>
          <w:color w:val="000000"/>
          <w:lang w:val="hu-HU"/>
        </w:rPr>
      </w:pPr>
      <w:r>
        <w:rPr>
          <w:rFonts w:ascii="Times New Roman" w:eastAsia="Times New Roman" w:hAnsi="Times New Roman"/>
          <w:lang w:val="hu-HU"/>
        </w:rPr>
        <w:t>Az enyhe és közepesen súlyos májkárosodásban szenvedő betegeknél az amlodipinre pontos adagolási javaslat nincs, ezért a dózist körültekintéssel kell kiválasztani, és az alacsonyabb dózistartománnyal kell kezdeni (lásd 4.4 és 5.2 pont)</w:t>
      </w:r>
      <w:r>
        <w:rPr>
          <w:rFonts w:ascii="Times New Roman" w:hAnsi="Times New Roman"/>
          <w:color w:val="000000"/>
          <w:lang w:val="hu-HU"/>
        </w:rPr>
        <w:t xml:space="preserve">. </w:t>
      </w:r>
      <w:r>
        <w:rPr>
          <w:rFonts w:ascii="Times New Roman" w:eastAsia="Times New Roman" w:hAnsi="Times New Roman"/>
          <w:lang w:val="hu-HU"/>
        </w:rPr>
        <w:t>Az amlodipin farmakokinetikáját súlyos májkárosodás esetén nem vizsgálták.</w:t>
      </w:r>
    </w:p>
    <w:p w14:paraId="15558DC0" w14:textId="77777777" w:rsidR="00382B5E" w:rsidRDefault="00382B5E">
      <w:pPr>
        <w:autoSpaceDE w:val="0"/>
        <w:autoSpaceDN w:val="0"/>
        <w:adjustRightInd w:val="0"/>
        <w:rPr>
          <w:sz w:val="22"/>
          <w:szCs w:val="22"/>
          <w:lang w:eastAsia="en-US"/>
        </w:rPr>
      </w:pPr>
    </w:p>
    <w:p w14:paraId="0E2BC051" w14:textId="77777777" w:rsidR="00382B5E" w:rsidRDefault="00BE0CD4">
      <w:pPr>
        <w:keepNext/>
        <w:autoSpaceDE w:val="0"/>
        <w:autoSpaceDN w:val="0"/>
        <w:adjustRightInd w:val="0"/>
        <w:rPr>
          <w:sz w:val="22"/>
          <w:szCs w:val="22"/>
          <w:u w:val="single"/>
          <w:lang w:eastAsia="en-US"/>
        </w:rPr>
      </w:pPr>
      <w:r>
        <w:rPr>
          <w:color w:val="000000"/>
          <w:sz w:val="22"/>
          <w:szCs w:val="22"/>
          <w:u w:val="single"/>
        </w:rPr>
        <w:lastRenderedPageBreak/>
        <w:t>Gyermekek és serdülők</w:t>
      </w:r>
    </w:p>
    <w:p w14:paraId="3F7D946E" w14:textId="77777777" w:rsidR="00382B5E" w:rsidRDefault="00BE0CD4">
      <w:pPr>
        <w:autoSpaceDE w:val="0"/>
        <w:autoSpaceDN w:val="0"/>
        <w:adjustRightInd w:val="0"/>
        <w:rPr>
          <w:sz w:val="22"/>
          <w:szCs w:val="22"/>
        </w:rPr>
      </w:pPr>
      <w:r>
        <w:rPr>
          <w:color w:val="000000"/>
          <w:spacing w:val="-2"/>
          <w:sz w:val="22"/>
          <w:szCs w:val="22"/>
          <w:lang w:eastAsia="en-US"/>
        </w:rPr>
        <w:t xml:space="preserve">A Losartan/Amlodipin Krka </w:t>
      </w:r>
      <w:r>
        <w:rPr>
          <w:color w:val="000000"/>
          <w:spacing w:val="-2"/>
          <w:sz w:val="22"/>
          <w:szCs w:val="22"/>
        </w:rPr>
        <w:t>biztonságossága és hatásossága nem bizonyított a 18 éven aluli gyermekek és serdülők körében</w:t>
      </w:r>
      <w:r>
        <w:rPr>
          <w:color w:val="000000"/>
          <w:sz w:val="22"/>
          <w:szCs w:val="22"/>
        </w:rPr>
        <w:t xml:space="preserve">. </w:t>
      </w:r>
      <w:r>
        <w:rPr>
          <w:color w:val="000000"/>
          <w:spacing w:val="-2"/>
          <w:sz w:val="22"/>
          <w:szCs w:val="22"/>
          <w:lang w:eastAsia="en-US"/>
        </w:rPr>
        <w:t xml:space="preserve">A Losartan/Amlodipin Krka </w:t>
      </w:r>
      <w:r>
        <w:rPr>
          <w:color w:val="000000"/>
          <w:spacing w:val="-2"/>
          <w:sz w:val="22"/>
          <w:szCs w:val="22"/>
        </w:rPr>
        <w:t>nem javasolt 18 év alatti betegek számára.</w:t>
      </w:r>
    </w:p>
    <w:p w14:paraId="4FB411DB" w14:textId="77777777" w:rsidR="00382B5E" w:rsidRDefault="00382B5E">
      <w:pPr>
        <w:ind w:right="-2"/>
        <w:rPr>
          <w:sz w:val="22"/>
          <w:szCs w:val="22"/>
        </w:rPr>
      </w:pPr>
    </w:p>
    <w:p w14:paraId="4A1DECDA" w14:textId="77777777" w:rsidR="00382B5E" w:rsidRDefault="00BE0CD4">
      <w:pPr>
        <w:ind w:right="-2"/>
        <w:rPr>
          <w:sz w:val="22"/>
          <w:szCs w:val="22"/>
          <w:u w:val="single"/>
        </w:rPr>
      </w:pPr>
      <w:r>
        <w:rPr>
          <w:sz w:val="22"/>
          <w:szCs w:val="22"/>
          <w:u w:val="single"/>
        </w:rPr>
        <w:t>Az alkalmazás módja</w:t>
      </w:r>
    </w:p>
    <w:p w14:paraId="79144F6B" w14:textId="77777777" w:rsidR="00382B5E" w:rsidRDefault="00BE0CD4">
      <w:pPr>
        <w:ind w:right="-2"/>
        <w:rPr>
          <w:sz w:val="22"/>
          <w:szCs w:val="22"/>
        </w:rPr>
      </w:pPr>
      <w:r>
        <w:rPr>
          <w:sz w:val="22"/>
          <w:szCs w:val="22"/>
        </w:rPr>
        <w:t>A Losartan/Amlodipin Krka étkezés közben vagy attól függetlenül is bevehető. A Losartan/Amlodipin Krka-t egy kevés vízzel ajánlott bevenni.</w:t>
      </w:r>
    </w:p>
    <w:p w14:paraId="1B37AF1D" w14:textId="77777777" w:rsidR="00382B5E" w:rsidRDefault="00382B5E">
      <w:pPr>
        <w:autoSpaceDE w:val="0"/>
        <w:autoSpaceDN w:val="0"/>
        <w:adjustRightInd w:val="0"/>
        <w:rPr>
          <w:sz w:val="22"/>
          <w:szCs w:val="22"/>
          <w:lang w:eastAsia="en-US"/>
        </w:rPr>
      </w:pPr>
    </w:p>
    <w:p w14:paraId="4245AD19" w14:textId="77777777" w:rsidR="00382B5E" w:rsidRDefault="00BE0CD4">
      <w:pPr>
        <w:keepNext/>
        <w:rPr>
          <w:b/>
          <w:sz w:val="22"/>
          <w:szCs w:val="22"/>
        </w:rPr>
      </w:pPr>
      <w:r>
        <w:rPr>
          <w:b/>
          <w:sz w:val="22"/>
          <w:szCs w:val="22"/>
        </w:rPr>
        <w:t>4.3</w:t>
      </w:r>
      <w:r>
        <w:rPr>
          <w:b/>
          <w:sz w:val="22"/>
          <w:szCs w:val="22"/>
        </w:rPr>
        <w:tab/>
        <w:t>Ellenjavallatok</w:t>
      </w:r>
    </w:p>
    <w:p w14:paraId="060E6F74" w14:textId="77777777" w:rsidR="00382B5E" w:rsidRDefault="00382B5E">
      <w:pPr>
        <w:keepNext/>
        <w:rPr>
          <w:sz w:val="22"/>
          <w:szCs w:val="22"/>
        </w:rPr>
      </w:pPr>
    </w:p>
    <w:p w14:paraId="72D660AC" w14:textId="77777777" w:rsidR="00382B5E" w:rsidRDefault="00BE0CD4">
      <w:pPr>
        <w:numPr>
          <w:ilvl w:val="0"/>
          <w:numId w:val="30"/>
        </w:numPr>
        <w:tabs>
          <w:tab w:val="clear" w:pos="720"/>
          <w:tab w:val="num" w:pos="567"/>
        </w:tabs>
        <w:autoSpaceDE w:val="0"/>
        <w:autoSpaceDN w:val="0"/>
        <w:adjustRightInd w:val="0"/>
        <w:ind w:left="567" w:hanging="567"/>
        <w:rPr>
          <w:sz w:val="22"/>
          <w:szCs w:val="22"/>
          <w:lang w:eastAsia="en-US"/>
        </w:rPr>
      </w:pPr>
      <w:r>
        <w:rPr>
          <w:sz w:val="22"/>
          <w:szCs w:val="22"/>
          <w:lang w:eastAsia="en-US"/>
        </w:rPr>
        <w:t xml:space="preserve">A készítmény hatóanyagaival, a dihidropiridin származékokkal vagy a készítmény </w:t>
      </w:r>
      <w:r>
        <w:rPr>
          <w:noProof/>
          <w:sz w:val="22"/>
          <w:szCs w:val="22"/>
          <w:lang w:eastAsia="en-US"/>
        </w:rPr>
        <w:t xml:space="preserve">a 6.1 pontban felsorolt </w:t>
      </w:r>
      <w:r>
        <w:rPr>
          <w:sz w:val="22"/>
          <w:szCs w:val="22"/>
          <w:lang w:eastAsia="en-US"/>
        </w:rPr>
        <w:t>bármely segédanyagával szembeni túlérzékenység.</w:t>
      </w:r>
    </w:p>
    <w:p w14:paraId="254794C8" w14:textId="77777777" w:rsidR="00382B5E" w:rsidRDefault="00BE0CD4">
      <w:pPr>
        <w:numPr>
          <w:ilvl w:val="0"/>
          <w:numId w:val="30"/>
        </w:numPr>
        <w:tabs>
          <w:tab w:val="clear" w:pos="720"/>
          <w:tab w:val="num" w:pos="567"/>
        </w:tabs>
        <w:autoSpaceDE w:val="0"/>
        <w:autoSpaceDN w:val="0"/>
        <w:adjustRightInd w:val="0"/>
        <w:ind w:left="567" w:hanging="567"/>
        <w:rPr>
          <w:sz w:val="22"/>
          <w:szCs w:val="22"/>
          <w:lang w:eastAsia="en-US"/>
        </w:rPr>
      </w:pPr>
      <w:r>
        <w:rPr>
          <w:sz w:val="22"/>
          <w:szCs w:val="22"/>
          <w:lang w:eastAsia="en-US"/>
        </w:rPr>
        <w:t>A terhesség második és harmadik trimesztere (lásd 4.4 és 4.6 pont).</w:t>
      </w:r>
    </w:p>
    <w:p w14:paraId="46237E85" w14:textId="77777777" w:rsidR="00382B5E" w:rsidRDefault="00BE0CD4">
      <w:pPr>
        <w:numPr>
          <w:ilvl w:val="0"/>
          <w:numId w:val="30"/>
        </w:numPr>
        <w:tabs>
          <w:tab w:val="clear" w:pos="720"/>
          <w:tab w:val="num" w:pos="567"/>
        </w:tabs>
        <w:autoSpaceDE w:val="0"/>
        <w:autoSpaceDN w:val="0"/>
        <w:adjustRightInd w:val="0"/>
        <w:ind w:left="567" w:hanging="567"/>
        <w:rPr>
          <w:sz w:val="22"/>
          <w:szCs w:val="22"/>
          <w:lang w:eastAsia="en-US"/>
        </w:rPr>
      </w:pPr>
      <w:r>
        <w:rPr>
          <w:sz w:val="22"/>
          <w:szCs w:val="22"/>
          <w:lang w:eastAsia="en-US"/>
        </w:rPr>
        <w:t>Súlyos májkárosodás.</w:t>
      </w:r>
    </w:p>
    <w:p w14:paraId="5AB98131" w14:textId="77777777" w:rsidR="00382B5E" w:rsidRDefault="00BE0CD4">
      <w:pPr>
        <w:numPr>
          <w:ilvl w:val="0"/>
          <w:numId w:val="30"/>
        </w:numPr>
        <w:tabs>
          <w:tab w:val="clear" w:pos="720"/>
          <w:tab w:val="num" w:pos="567"/>
        </w:tabs>
        <w:autoSpaceDE w:val="0"/>
        <w:autoSpaceDN w:val="0"/>
        <w:adjustRightInd w:val="0"/>
        <w:ind w:left="567" w:hanging="567"/>
        <w:rPr>
          <w:sz w:val="22"/>
          <w:szCs w:val="22"/>
          <w:lang w:eastAsia="en-US"/>
        </w:rPr>
      </w:pPr>
      <w:r>
        <w:rPr>
          <w:sz w:val="22"/>
          <w:szCs w:val="22"/>
          <w:lang w:eastAsia="en-US"/>
        </w:rPr>
        <w:t>Súlyos hypotonia.</w:t>
      </w:r>
    </w:p>
    <w:p w14:paraId="199E1C94" w14:textId="77777777" w:rsidR="00382B5E" w:rsidRDefault="00BE0CD4">
      <w:pPr>
        <w:numPr>
          <w:ilvl w:val="0"/>
          <w:numId w:val="35"/>
        </w:numPr>
        <w:tabs>
          <w:tab w:val="num" w:pos="567"/>
        </w:tabs>
        <w:ind w:left="567" w:hanging="567"/>
        <w:rPr>
          <w:sz w:val="22"/>
          <w:szCs w:val="22"/>
          <w:lang w:eastAsia="en-US"/>
        </w:rPr>
      </w:pPr>
      <w:r>
        <w:rPr>
          <w:sz w:val="22"/>
          <w:szCs w:val="22"/>
          <w:lang w:eastAsia="en-US"/>
        </w:rPr>
        <w:t>Shock (a cardiogen shockot is beleértve).</w:t>
      </w:r>
    </w:p>
    <w:p w14:paraId="61BB2332" w14:textId="77777777" w:rsidR="00382B5E" w:rsidRDefault="00BE0CD4">
      <w:pPr>
        <w:numPr>
          <w:ilvl w:val="0"/>
          <w:numId w:val="35"/>
        </w:numPr>
        <w:tabs>
          <w:tab w:val="num" w:pos="567"/>
        </w:tabs>
        <w:ind w:left="567" w:hanging="567"/>
        <w:rPr>
          <w:sz w:val="22"/>
          <w:szCs w:val="22"/>
          <w:lang w:eastAsia="en-US"/>
        </w:rPr>
      </w:pPr>
      <w:r>
        <w:rPr>
          <w:sz w:val="22"/>
          <w:szCs w:val="22"/>
          <w:lang w:eastAsia="en-US"/>
        </w:rPr>
        <w:t>A balkamrai kiáramlási traktus obstrukciója (pl. szignifikáns aortastenosis).</w:t>
      </w:r>
    </w:p>
    <w:p w14:paraId="63420F4D" w14:textId="77777777" w:rsidR="00382B5E" w:rsidRDefault="00BE0CD4">
      <w:pPr>
        <w:numPr>
          <w:ilvl w:val="0"/>
          <w:numId w:val="35"/>
        </w:numPr>
        <w:tabs>
          <w:tab w:val="num" w:pos="567"/>
        </w:tabs>
        <w:ind w:left="567" w:hanging="567"/>
        <w:rPr>
          <w:sz w:val="22"/>
          <w:szCs w:val="22"/>
          <w:lang w:eastAsia="en-US"/>
        </w:rPr>
      </w:pPr>
      <w:r>
        <w:rPr>
          <w:sz w:val="22"/>
          <w:szCs w:val="22"/>
          <w:lang w:eastAsia="en-US"/>
        </w:rPr>
        <w:t>Akut myocardialis infarctust követő hemodinamikailag instabil szívelégtelenség.</w:t>
      </w:r>
    </w:p>
    <w:p w14:paraId="7851EA84" w14:textId="77777777" w:rsidR="00382B5E" w:rsidRDefault="00BE0CD4">
      <w:pPr>
        <w:numPr>
          <w:ilvl w:val="0"/>
          <w:numId w:val="35"/>
        </w:numPr>
        <w:tabs>
          <w:tab w:val="num" w:pos="567"/>
        </w:tabs>
        <w:ind w:left="567" w:hanging="567"/>
        <w:rPr>
          <w:sz w:val="22"/>
          <w:szCs w:val="22"/>
          <w:lang w:eastAsia="en-US"/>
        </w:rPr>
      </w:pPr>
      <w:r>
        <w:rPr>
          <w:sz w:val="22"/>
          <w:szCs w:val="22"/>
          <w:lang w:eastAsia="en-US"/>
        </w:rPr>
        <w:t>A Losartan/Amlodipin Krka egyidejű alkalmazása aliszkiréntartalmú készítményekkel ellenjavallt diabetes mellitusban vagy vesekárosodásban szenvedő betegeknél (GFR [glomeruláris filtrációs ráta] &lt; 60 ml/perc/1,73 m</w:t>
      </w:r>
      <w:r>
        <w:rPr>
          <w:sz w:val="22"/>
          <w:szCs w:val="22"/>
          <w:vertAlign w:val="superscript"/>
          <w:lang w:eastAsia="en-US"/>
        </w:rPr>
        <w:t>2</w:t>
      </w:r>
      <w:r>
        <w:rPr>
          <w:sz w:val="22"/>
          <w:szCs w:val="22"/>
          <w:lang w:eastAsia="en-US"/>
        </w:rPr>
        <w:t>) (lásd 4.5 és 5.1 pont).</w:t>
      </w:r>
    </w:p>
    <w:p w14:paraId="799EB938" w14:textId="77777777" w:rsidR="00382B5E" w:rsidRDefault="00382B5E">
      <w:pPr>
        <w:rPr>
          <w:sz w:val="22"/>
          <w:szCs w:val="22"/>
        </w:rPr>
      </w:pPr>
    </w:p>
    <w:p w14:paraId="59348F81" w14:textId="77777777" w:rsidR="00382B5E" w:rsidRDefault="00BE0CD4">
      <w:pPr>
        <w:rPr>
          <w:b/>
          <w:sz w:val="22"/>
          <w:szCs w:val="22"/>
        </w:rPr>
      </w:pPr>
      <w:r>
        <w:rPr>
          <w:b/>
          <w:sz w:val="22"/>
          <w:szCs w:val="22"/>
        </w:rPr>
        <w:t>4.4</w:t>
      </w:r>
      <w:r>
        <w:rPr>
          <w:b/>
          <w:sz w:val="22"/>
          <w:szCs w:val="22"/>
        </w:rPr>
        <w:tab/>
        <w:t>Különleges figyelmeztetések és az alkalmazással kapcsolatos óvintézkedések</w:t>
      </w:r>
    </w:p>
    <w:p w14:paraId="507232EF" w14:textId="77777777" w:rsidR="00382B5E" w:rsidRDefault="00382B5E">
      <w:pPr>
        <w:rPr>
          <w:sz w:val="22"/>
          <w:szCs w:val="22"/>
        </w:rPr>
      </w:pPr>
    </w:p>
    <w:p w14:paraId="4818EA51" w14:textId="77777777" w:rsidR="00382B5E" w:rsidRDefault="00BE0CD4">
      <w:pPr>
        <w:autoSpaceDE w:val="0"/>
        <w:autoSpaceDN w:val="0"/>
        <w:adjustRightInd w:val="0"/>
        <w:rPr>
          <w:sz w:val="22"/>
          <w:szCs w:val="22"/>
          <w:u w:val="single"/>
          <w:lang w:eastAsia="en-US"/>
        </w:rPr>
      </w:pPr>
      <w:r>
        <w:rPr>
          <w:sz w:val="22"/>
          <w:szCs w:val="22"/>
          <w:u w:val="single"/>
          <w:lang w:eastAsia="en-US"/>
        </w:rPr>
        <w:t>Túlérzékenység</w:t>
      </w:r>
    </w:p>
    <w:p w14:paraId="7EE20A0D" w14:textId="77777777" w:rsidR="00382B5E" w:rsidRDefault="00BE0CD4">
      <w:pPr>
        <w:autoSpaceDE w:val="0"/>
        <w:autoSpaceDN w:val="0"/>
        <w:adjustRightInd w:val="0"/>
        <w:rPr>
          <w:sz w:val="22"/>
          <w:szCs w:val="22"/>
          <w:lang w:eastAsia="en-US"/>
        </w:rPr>
      </w:pPr>
      <w:r>
        <w:rPr>
          <w:i/>
          <w:iCs/>
          <w:sz w:val="22"/>
          <w:szCs w:val="22"/>
          <w:lang w:eastAsia="en-US"/>
        </w:rPr>
        <w:t xml:space="preserve">Angiooedema: </w:t>
      </w:r>
      <w:r>
        <w:rPr>
          <w:sz w:val="22"/>
          <w:szCs w:val="22"/>
          <w:lang w:eastAsia="en-US"/>
        </w:rPr>
        <w:t>azokat a betegeket, akiknek a kórtörténetében angiooedema (az arc, ajkak, torok és/vagy nyelv duzzanata) szerepel, szigorú megfigyelés alatt kell tartani (lásd 4.8 pont).</w:t>
      </w:r>
    </w:p>
    <w:p w14:paraId="40A892C1" w14:textId="77777777" w:rsidR="00382B5E" w:rsidRDefault="00382B5E">
      <w:pPr>
        <w:autoSpaceDE w:val="0"/>
        <w:autoSpaceDN w:val="0"/>
        <w:adjustRightInd w:val="0"/>
        <w:rPr>
          <w:sz w:val="22"/>
          <w:szCs w:val="22"/>
          <w:lang w:eastAsia="en-US"/>
        </w:rPr>
      </w:pPr>
    </w:p>
    <w:p w14:paraId="1E12BDAC" w14:textId="77777777" w:rsidR="00382B5E" w:rsidRDefault="00BE0CD4">
      <w:pPr>
        <w:autoSpaceDE w:val="0"/>
        <w:autoSpaceDN w:val="0"/>
        <w:adjustRightInd w:val="0"/>
        <w:rPr>
          <w:sz w:val="22"/>
          <w:szCs w:val="22"/>
          <w:u w:val="single"/>
          <w:lang w:eastAsia="en-US"/>
        </w:rPr>
      </w:pPr>
      <w:r>
        <w:rPr>
          <w:sz w:val="22"/>
          <w:szCs w:val="22"/>
          <w:u w:val="single"/>
          <w:lang w:eastAsia="en-US"/>
        </w:rPr>
        <w:t>Intestinalis angiooedema</w:t>
      </w:r>
    </w:p>
    <w:p w14:paraId="500334DE" w14:textId="77777777" w:rsidR="00382B5E" w:rsidRDefault="00BE0CD4">
      <w:pPr>
        <w:autoSpaceDE w:val="0"/>
        <w:autoSpaceDN w:val="0"/>
        <w:adjustRightInd w:val="0"/>
        <w:rPr>
          <w:sz w:val="22"/>
          <w:szCs w:val="22"/>
          <w:lang w:eastAsia="en-US"/>
        </w:rPr>
      </w:pPr>
      <w:r>
        <w:rPr>
          <w:sz w:val="22"/>
          <w:szCs w:val="22"/>
          <w:lang w:eastAsia="en-US"/>
        </w:rPr>
        <w:t>Intestinalis angiooedemáról számoltak be angiotenzin II-receptor-blokkolóval (többek között a lozartánnal) kezelt betegek esetén (lásd 4.8 pont). Ezeknél a betegeknél abdominalis fájdalom, hányinger, hányás és hasmenés jelentkezett. A tünetek az angiotenzin II-receptor-blokkolóval végzett kezelés leállítása után megszűntek. Amennyiben intestinalis angiooedemát diagnosztizálnak, a lozartán-kezelést le kell állítani, és a beteget megfelelően monitorozni kell mindaddig, amíg a tünetek teljes mértékben meg nem szűnnek.</w:t>
      </w:r>
    </w:p>
    <w:p w14:paraId="26100A22" w14:textId="77777777" w:rsidR="00382B5E" w:rsidRDefault="00382B5E">
      <w:pPr>
        <w:autoSpaceDE w:val="0"/>
        <w:autoSpaceDN w:val="0"/>
        <w:adjustRightInd w:val="0"/>
        <w:rPr>
          <w:sz w:val="22"/>
          <w:szCs w:val="22"/>
          <w:lang w:eastAsia="en-US"/>
        </w:rPr>
      </w:pPr>
    </w:p>
    <w:p w14:paraId="506179E4" w14:textId="77777777" w:rsidR="00382B5E" w:rsidRDefault="00BE0CD4">
      <w:pPr>
        <w:autoSpaceDE w:val="0"/>
        <w:autoSpaceDN w:val="0"/>
        <w:adjustRightInd w:val="0"/>
        <w:rPr>
          <w:sz w:val="22"/>
          <w:szCs w:val="22"/>
          <w:u w:val="single"/>
          <w:lang w:eastAsia="en-US"/>
        </w:rPr>
      </w:pPr>
      <w:r>
        <w:rPr>
          <w:sz w:val="22"/>
          <w:szCs w:val="22"/>
          <w:u w:val="single"/>
          <w:lang w:eastAsia="en-US"/>
        </w:rPr>
        <w:t>Hypotonia és az elektrolit-/vízháztartás egyensúlyának zavara</w:t>
      </w:r>
    </w:p>
    <w:p w14:paraId="468DFADE" w14:textId="77777777" w:rsidR="00382B5E" w:rsidRDefault="00BE0CD4">
      <w:pPr>
        <w:autoSpaceDE w:val="0"/>
        <w:autoSpaceDN w:val="0"/>
        <w:adjustRightInd w:val="0"/>
        <w:rPr>
          <w:sz w:val="22"/>
          <w:szCs w:val="22"/>
          <w:lang w:eastAsia="en-US"/>
        </w:rPr>
      </w:pPr>
      <w:r>
        <w:rPr>
          <w:sz w:val="22"/>
          <w:szCs w:val="22"/>
          <w:lang w:eastAsia="en-US"/>
        </w:rPr>
        <w:t>Tünetekkel járó hypotonia fordulhat elő azon betegek esetén, akik nagy dózisú diuretikum-kezelés, sószegény étrend, hasmenés vagy hányás miatt intravascularis volumen- és/vagy nátriumhiányban szenvednek, főként az első adag vagy dózisemelés után. A lozartán adagolásának megkezdése előtt ezeket az állapotokat rendezni kell, vagy alacsonyabb kezdő adagot kell alkalmazni (lásd 4.2 pont).</w:t>
      </w:r>
    </w:p>
    <w:p w14:paraId="4FDDE4B9" w14:textId="77777777" w:rsidR="00382B5E" w:rsidRDefault="00382B5E">
      <w:pPr>
        <w:rPr>
          <w:sz w:val="22"/>
          <w:szCs w:val="22"/>
          <w:lang w:eastAsia="en-US"/>
        </w:rPr>
      </w:pPr>
    </w:p>
    <w:p w14:paraId="0E9C7164" w14:textId="77777777" w:rsidR="00382B5E" w:rsidRDefault="00BE0CD4">
      <w:pPr>
        <w:autoSpaceDE w:val="0"/>
        <w:autoSpaceDN w:val="0"/>
        <w:adjustRightInd w:val="0"/>
        <w:rPr>
          <w:sz w:val="22"/>
          <w:szCs w:val="22"/>
          <w:u w:val="single"/>
          <w:lang w:eastAsia="en-US"/>
        </w:rPr>
      </w:pPr>
      <w:r>
        <w:rPr>
          <w:sz w:val="22"/>
          <w:szCs w:val="22"/>
          <w:u w:val="single"/>
          <w:lang w:eastAsia="en-US"/>
        </w:rPr>
        <w:t>Az elektrolit-háztartás zavara</w:t>
      </w:r>
    </w:p>
    <w:p w14:paraId="22B6B730" w14:textId="77777777" w:rsidR="00382B5E" w:rsidRDefault="00BE0CD4">
      <w:pPr>
        <w:autoSpaceDE w:val="0"/>
        <w:autoSpaceDN w:val="0"/>
        <w:adjustRightInd w:val="0"/>
        <w:rPr>
          <w:sz w:val="22"/>
          <w:szCs w:val="22"/>
          <w:lang w:eastAsia="en-US"/>
        </w:rPr>
      </w:pPr>
      <w:r>
        <w:rPr>
          <w:sz w:val="22"/>
          <w:szCs w:val="22"/>
          <w:lang w:eastAsia="en-US"/>
        </w:rPr>
        <w:t>Az elektrolit-háztartás zavara – a diabetes meglététől függetlenül – vesekárosodás esetén gyakori, és kezelendő. Egy nephropathiás, 2-es típusú diabeteses betegek bevonásával végzett klinikai vizsgálatban a lozartánnal kezelt betegeknél a hyperkalaemia előfordulási gyakorisága nagyobb volt a placebót kapó csoporthoz képest (lásd 4.8 pont). Ennek megfelelően a kálium plazmakoncentrációit és a kreatinin-clearance értékeket szigorúan monitorozni kell, főként azon betegeknél, akik szívelégtelenségben szenvednek, vagy akiknél a kreatinin-clearance értéke 30</w:t>
      </w:r>
      <w:r>
        <w:rPr>
          <w:sz w:val="22"/>
          <w:szCs w:val="22"/>
          <w:lang w:eastAsia="en-US"/>
        </w:rPr>
        <w:noBreakHyphen/>
        <w:t>50 ml/perc között van.</w:t>
      </w:r>
    </w:p>
    <w:p w14:paraId="569E6635" w14:textId="77777777" w:rsidR="00382B5E" w:rsidRDefault="00BE0CD4">
      <w:pPr>
        <w:autoSpaceDE w:val="0"/>
        <w:autoSpaceDN w:val="0"/>
        <w:adjustRightInd w:val="0"/>
        <w:rPr>
          <w:sz w:val="22"/>
          <w:szCs w:val="22"/>
          <w:lang w:eastAsia="en-US"/>
        </w:rPr>
      </w:pPr>
      <w:r>
        <w:rPr>
          <w:sz w:val="22"/>
          <w:szCs w:val="22"/>
          <w:lang w:eastAsia="en-US"/>
        </w:rPr>
        <w:t>Lozartán és káliummegtakarító diuretikumok, káliumpótlók, káliumtartalmú sópótlók, vagy olyan más gyógyszerek, melyek növelhetik a szérum káliumszintet (például a trimetoprimtartalmú készítmények) együttes alkalmazása nem javasolt (lásd 4.5 pont).</w:t>
      </w:r>
    </w:p>
    <w:p w14:paraId="15C3DAD2" w14:textId="77777777" w:rsidR="00382B5E" w:rsidRDefault="00382B5E">
      <w:pPr>
        <w:autoSpaceDE w:val="0"/>
        <w:autoSpaceDN w:val="0"/>
        <w:adjustRightInd w:val="0"/>
        <w:rPr>
          <w:sz w:val="22"/>
          <w:szCs w:val="22"/>
          <w:lang w:eastAsia="en-US"/>
        </w:rPr>
      </w:pPr>
    </w:p>
    <w:p w14:paraId="15AE5C6B" w14:textId="77777777" w:rsidR="00382B5E" w:rsidRDefault="00BE0CD4">
      <w:pPr>
        <w:autoSpaceDE w:val="0"/>
        <w:autoSpaceDN w:val="0"/>
        <w:adjustRightInd w:val="0"/>
        <w:rPr>
          <w:sz w:val="22"/>
          <w:szCs w:val="22"/>
          <w:u w:val="single"/>
          <w:lang w:eastAsia="en-US"/>
        </w:rPr>
      </w:pPr>
      <w:r>
        <w:rPr>
          <w:sz w:val="22"/>
          <w:szCs w:val="22"/>
          <w:u w:val="single"/>
          <w:lang w:eastAsia="en-US"/>
        </w:rPr>
        <w:t>Vesetranszplantáció</w:t>
      </w:r>
    </w:p>
    <w:p w14:paraId="5D1C3C34" w14:textId="77777777" w:rsidR="00382B5E" w:rsidRDefault="00BE0CD4">
      <w:pPr>
        <w:autoSpaceDE w:val="0"/>
        <w:autoSpaceDN w:val="0"/>
        <w:adjustRightInd w:val="0"/>
        <w:rPr>
          <w:sz w:val="22"/>
          <w:szCs w:val="22"/>
          <w:lang w:eastAsia="en-US"/>
        </w:rPr>
      </w:pPr>
      <w:r>
        <w:rPr>
          <w:sz w:val="22"/>
          <w:szCs w:val="22"/>
          <w:lang w:eastAsia="en-US"/>
        </w:rPr>
        <w:t>Nincsen tapasztalat a Losartan/Amlodipin Krka alkalmazásával kapcsolatban nemrégiben veseátültetésen átesett betegekkel kapcsolatban.</w:t>
      </w:r>
    </w:p>
    <w:p w14:paraId="1F3E6DBC" w14:textId="77777777" w:rsidR="00382B5E" w:rsidRDefault="00382B5E">
      <w:pPr>
        <w:autoSpaceDE w:val="0"/>
        <w:autoSpaceDN w:val="0"/>
        <w:adjustRightInd w:val="0"/>
        <w:rPr>
          <w:sz w:val="22"/>
          <w:szCs w:val="22"/>
          <w:lang w:eastAsia="en-US"/>
        </w:rPr>
      </w:pPr>
    </w:p>
    <w:p w14:paraId="39048CC7" w14:textId="77777777" w:rsidR="00382B5E" w:rsidRDefault="00BE0CD4">
      <w:pPr>
        <w:autoSpaceDE w:val="0"/>
        <w:autoSpaceDN w:val="0"/>
        <w:adjustRightInd w:val="0"/>
        <w:rPr>
          <w:sz w:val="22"/>
          <w:szCs w:val="22"/>
          <w:u w:val="single"/>
          <w:lang w:eastAsia="en-US"/>
        </w:rPr>
      </w:pPr>
      <w:r>
        <w:rPr>
          <w:sz w:val="22"/>
          <w:szCs w:val="22"/>
          <w:u w:val="single"/>
          <w:lang w:eastAsia="en-US"/>
        </w:rPr>
        <w:lastRenderedPageBreak/>
        <w:t>Primaer hyperaldosteronismus</w:t>
      </w:r>
    </w:p>
    <w:p w14:paraId="7E999311" w14:textId="77777777" w:rsidR="00382B5E" w:rsidRDefault="00BE0CD4">
      <w:pPr>
        <w:autoSpaceDE w:val="0"/>
        <w:autoSpaceDN w:val="0"/>
        <w:adjustRightInd w:val="0"/>
        <w:rPr>
          <w:sz w:val="22"/>
          <w:szCs w:val="22"/>
          <w:lang w:eastAsia="en-US"/>
        </w:rPr>
      </w:pPr>
      <w:r>
        <w:rPr>
          <w:sz w:val="22"/>
          <w:szCs w:val="22"/>
          <w:lang w:eastAsia="en-US"/>
        </w:rPr>
        <w:t>A primaer hyperaldosteronismusban szenvedő betegek általában nem reagálnak a renin-angiotenzin rendszer gátlásán keresztül ható antihipertenzív készítményekre. Ennek megfelelően a lozartán-kálium alkalmazása nem ajánlott.</w:t>
      </w:r>
    </w:p>
    <w:p w14:paraId="64ABFF24" w14:textId="77777777" w:rsidR="00382B5E" w:rsidRDefault="00382B5E">
      <w:pPr>
        <w:autoSpaceDE w:val="0"/>
        <w:autoSpaceDN w:val="0"/>
        <w:adjustRightInd w:val="0"/>
        <w:rPr>
          <w:sz w:val="22"/>
          <w:szCs w:val="22"/>
          <w:lang w:eastAsia="en-US"/>
        </w:rPr>
      </w:pPr>
    </w:p>
    <w:p w14:paraId="3567ED9B" w14:textId="77777777" w:rsidR="00382B5E" w:rsidRDefault="00BE0CD4">
      <w:pPr>
        <w:keepNext/>
        <w:autoSpaceDE w:val="0"/>
        <w:autoSpaceDN w:val="0"/>
        <w:adjustRightInd w:val="0"/>
        <w:rPr>
          <w:sz w:val="22"/>
          <w:szCs w:val="22"/>
          <w:u w:val="single"/>
          <w:lang w:eastAsia="en-US"/>
        </w:rPr>
      </w:pPr>
      <w:r>
        <w:rPr>
          <w:sz w:val="22"/>
          <w:szCs w:val="22"/>
          <w:u w:val="single"/>
          <w:lang w:eastAsia="en-US"/>
        </w:rPr>
        <w:t>Szívkoszorúér-betegség és cerebrovascularis betegség</w:t>
      </w:r>
    </w:p>
    <w:p w14:paraId="6F1331DE" w14:textId="77777777" w:rsidR="00382B5E" w:rsidRDefault="00BE0CD4">
      <w:pPr>
        <w:autoSpaceDE w:val="0"/>
        <w:autoSpaceDN w:val="0"/>
        <w:adjustRightInd w:val="0"/>
        <w:rPr>
          <w:sz w:val="22"/>
          <w:szCs w:val="22"/>
          <w:lang w:eastAsia="en-US"/>
        </w:rPr>
      </w:pPr>
      <w:r>
        <w:rPr>
          <w:sz w:val="22"/>
          <w:szCs w:val="22"/>
          <w:lang w:eastAsia="en-US"/>
        </w:rPr>
        <w:t>Más antihipertenzív szerekhez hasonlóan, a nagymértékű vérnyomás-csökkenés ischaemiás cardiovascularis és cerebrovascularis betegségben szenvedő betegeknél myocardialis infarctushoz vagy stroke-hoz vezethet.</w:t>
      </w:r>
    </w:p>
    <w:p w14:paraId="4E6CF454" w14:textId="77777777" w:rsidR="00382B5E" w:rsidRDefault="00382B5E">
      <w:pPr>
        <w:autoSpaceDE w:val="0"/>
        <w:autoSpaceDN w:val="0"/>
        <w:adjustRightInd w:val="0"/>
        <w:rPr>
          <w:sz w:val="22"/>
          <w:szCs w:val="22"/>
          <w:lang w:eastAsia="en-US"/>
        </w:rPr>
      </w:pPr>
    </w:p>
    <w:p w14:paraId="44E61CE6" w14:textId="77777777" w:rsidR="00382B5E" w:rsidRDefault="00BE0CD4">
      <w:pPr>
        <w:autoSpaceDE w:val="0"/>
        <w:autoSpaceDN w:val="0"/>
        <w:adjustRightInd w:val="0"/>
        <w:rPr>
          <w:sz w:val="22"/>
          <w:szCs w:val="22"/>
          <w:u w:val="single"/>
          <w:lang w:eastAsia="en-US"/>
        </w:rPr>
      </w:pPr>
      <w:r>
        <w:rPr>
          <w:sz w:val="22"/>
          <w:szCs w:val="22"/>
          <w:u w:val="single"/>
          <w:lang w:eastAsia="en-US"/>
        </w:rPr>
        <w:t>Szívelégtelenség</w:t>
      </w:r>
    </w:p>
    <w:p w14:paraId="4AEF69FD" w14:textId="77777777" w:rsidR="00382B5E" w:rsidRDefault="00BE0CD4">
      <w:pPr>
        <w:autoSpaceDE w:val="0"/>
        <w:autoSpaceDN w:val="0"/>
        <w:adjustRightInd w:val="0"/>
        <w:rPr>
          <w:sz w:val="22"/>
          <w:szCs w:val="22"/>
          <w:lang w:eastAsia="en-US"/>
        </w:rPr>
      </w:pPr>
      <w:r>
        <w:rPr>
          <w:sz w:val="22"/>
          <w:szCs w:val="22"/>
          <w:lang w:eastAsia="en-US"/>
        </w:rPr>
        <w:t>A renin-angiotenzin rendszeren keresztül ható egyéb gyógyszerekhez hasonlóan, vesekárosodással együtt járó vagy vesekárosodás nélküli szívelégtelenségben szenvedő betegeknél fennáll a súlyos artériás hypotonia és a (gyakran akut) vesekárosodás kockázata.</w:t>
      </w:r>
    </w:p>
    <w:p w14:paraId="5DC1DEDB" w14:textId="77777777" w:rsidR="00382B5E" w:rsidRDefault="00BE0CD4">
      <w:pPr>
        <w:autoSpaceDE w:val="0"/>
        <w:autoSpaceDN w:val="0"/>
        <w:adjustRightInd w:val="0"/>
        <w:rPr>
          <w:sz w:val="22"/>
          <w:szCs w:val="22"/>
          <w:lang w:eastAsia="en-US"/>
        </w:rPr>
      </w:pPr>
      <w:r>
        <w:rPr>
          <w:sz w:val="22"/>
          <w:szCs w:val="22"/>
          <w:lang w:eastAsia="en-US"/>
        </w:rPr>
        <w:t>Nem áll rendelkezésre kielégítő terápiás tapasztalat lozartán alkalmazásával kapcsolatban egyidejűleg szívelégtelenségben és súlyos vesekárosodásban, súlyos szívelégtelenségben (NYHA IV. stádium), valamint szívelégtelenségben és tünetekkel járó, életveszélyes cardialis arrhythmiában szenvedő betegeknél. A lozartán ezen betegcsoportokban tehát óvatosan alkalmazandó. A lozartán béta</w:t>
      </w:r>
      <w:r>
        <w:rPr>
          <w:sz w:val="22"/>
          <w:szCs w:val="22"/>
          <w:lang w:eastAsia="en-US"/>
        </w:rPr>
        <w:noBreakHyphen/>
        <w:t>blokkolóval kombinációban óvatosan alkalmazandó (lásd 5.1 pont).</w:t>
      </w:r>
    </w:p>
    <w:p w14:paraId="718F707D" w14:textId="77777777" w:rsidR="00382B5E" w:rsidRDefault="00382B5E">
      <w:pPr>
        <w:autoSpaceDE w:val="0"/>
        <w:autoSpaceDN w:val="0"/>
        <w:adjustRightInd w:val="0"/>
        <w:rPr>
          <w:sz w:val="22"/>
          <w:szCs w:val="22"/>
        </w:rPr>
      </w:pPr>
    </w:p>
    <w:p w14:paraId="26DB720F" w14:textId="77777777" w:rsidR="00382B5E" w:rsidRDefault="00BE0CD4">
      <w:pPr>
        <w:autoSpaceDE w:val="0"/>
        <w:autoSpaceDN w:val="0"/>
        <w:adjustRightInd w:val="0"/>
        <w:rPr>
          <w:sz w:val="22"/>
          <w:szCs w:val="22"/>
          <w:lang w:eastAsia="en-US"/>
        </w:rPr>
      </w:pPr>
      <w:r>
        <w:rPr>
          <w:sz w:val="22"/>
          <w:szCs w:val="22"/>
        </w:rPr>
        <w:t xml:space="preserve">Pangásos szívelégtelenségben szenvedő betegek esetében a kalciumcsatorna-blokkolókat, beleértve a Losartan/Amlodipin Krka-ban lévő amlodipint is, fokozott körültekintéssel kell alkalmazni, mert megnövelhetik a jövőbeli cardiovascularis események kockázatát, valamint a mortalitást. Egy súlyos (NYHA besorolás szerint III. és IV. stádiumú) szívelégtelenségben szenvedő betegek bevonásával végzett hosszú távú placebokontrollos klinikai vizsgálat során nagyobb gyakorisággal jelentették a tüdőödéma előfordulását az amlodipinnel kezelt csoportban a placebocsoporthoz képest (lásd 5.1 pont). </w:t>
      </w:r>
    </w:p>
    <w:p w14:paraId="4BB36CA9" w14:textId="77777777" w:rsidR="00382B5E" w:rsidRDefault="00382B5E">
      <w:pPr>
        <w:autoSpaceDE w:val="0"/>
        <w:autoSpaceDN w:val="0"/>
        <w:adjustRightInd w:val="0"/>
        <w:rPr>
          <w:sz w:val="22"/>
          <w:szCs w:val="22"/>
          <w:lang w:eastAsia="en-US"/>
        </w:rPr>
      </w:pPr>
    </w:p>
    <w:p w14:paraId="3D5C669D" w14:textId="77777777" w:rsidR="00382B5E" w:rsidRDefault="00BE0CD4">
      <w:pPr>
        <w:autoSpaceDE w:val="0"/>
        <w:autoSpaceDN w:val="0"/>
        <w:adjustRightInd w:val="0"/>
        <w:rPr>
          <w:sz w:val="22"/>
          <w:szCs w:val="22"/>
          <w:u w:val="single"/>
          <w:lang w:eastAsia="en-US"/>
        </w:rPr>
      </w:pPr>
      <w:r>
        <w:rPr>
          <w:sz w:val="22"/>
          <w:szCs w:val="22"/>
          <w:u w:val="single"/>
          <w:lang w:eastAsia="en-US"/>
        </w:rPr>
        <w:t>Májkárosodásban szenvedő betegek</w:t>
      </w:r>
    </w:p>
    <w:p w14:paraId="1CD958FF" w14:textId="77777777" w:rsidR="00382B5E" w:rsidRDefault="00BE0CD4">
      <w:pPr>
        <w:autoSpaceDE w:val="0"/>
        <w:autoSpaceDN w:val="0"/>
        <w:adjustRightInd w:val="0"/>
        <w:rPr>
          <w:sz w:val="22"/>
          <w:szCs w:val="22"/>
          <w:lang w:eastAsia="en-US"/>
        </w:rPr>
      </w:pPr>
      <w:r>
        <w:rPr>
          <w:sz w:val="22"/>
          <w:szCs w:val="22"/>
          <w:lang w:eastAsia="en-US"/>
        </w:rPr>
        <w:t>A Losartan/Amlodipin Krka súlyos májkárosodásban szenvedő betegeknél nem alkalmazható (lásd 4.2, 4.3 és 5.2 pont).</w:t>
      </w:r>
    </w:p>
    <w:p w14:paraId="5937FECF" w14:textId="77777777" w:rsidR="00382B5E" w:rsidRDefault="00382B5E">
      <w:pPr>
        <w:autoSpaceDE w:val="0"/>
        <w:autoSpaceDN w:val="0"/>
        <w:adjustRightInd w:val="0"/>
        <w:rPr>
          <w:sz w:val="22"/>
          <w:szCs w:val="22"/>
          <w:lang w:eastAsia="en-US"/>
        </w:rPr>
      </w:pPr>
    </w:p>
    <w:p w14:paraId="543732AD" w14:textId="77777777" w:rsidR="00382B5E" w:rsidRDefault="00BE0CD4">
      <w:pPr>
        <w:autoSpaceDE w:val="0"/>
        <w:autoSpaceDN w:val="0"/>
        <w:adjustRightInd w:val="0"/>
        <w:rPr>
          <w:sz w:val="22"/>
          <w:szCs w:val="22"/>
          <w:lang w:eastAsia="en-US"/>
        </w:rPr>
      </w:pPr>
      <w:r>
        <w:rPr>
          <w:sz w:val="22"/>
          <w:szCs w:val="22"/>
        </w:rPr>
        <w:t>Májkárosodásban szenvedő betegek esetében az amlodipin felezési ideje meghosszabbodik és az AUC</w:t>
      </w:r>
      <w:r>
        <w:rPr>
          <w:sz w:val="22"/>
          <w:szCs w:val="22"/>
        </w:rPr>
        <w:noBreakHyphen/>
        <w:t>értékek magasabbak; ebben az esetben még nincs megállapított adagolási javaslat. Ezért ezeknek a betegeknek az amlodipin adagolását az alacsonyabb dózistartománnyal kell kezdeni és mind a kezelés elején, mind dózisemelés során, fokozott körültekintéssel kell eljárni.</w:t>
      </w:r>
    </w:p>
    <w:p w14:paraId="649FEAC4" w14:textId="77777777" w:rsidR="00382B5E" w:rsidRDefault="00BE0CD4">
      <w:pPr>
        <w:autoSpaceDE w:val="0"/>
        <w:autoSpaceDN w:val="0"/>
        <w:adjustRightInd w:val="0"/>
        <w:rPr>
          <w:sz w:val="22"/>
          <w:szCs w:val="22"/>
          <w:lang w:eastAsia="en-US"/>
        </w:rPr>
      </w:pPr>
      <w:r>
        <w:rPr>
          <w:sz w:val="22"/>
          <w:szCs w:val="22"/>
          <w:lang w:eastAsia="en-US"/>
        </w:rPr>
        <w:t>Májcirrózisban a farmakokinetikai adatok alapján a lozartán plazmakoncentrációja szignifikánsan magasabb, ezért azon betegeknek, akik kórtörténetében májkárosodás szerepel, alacsonyabb adag alkalmazása javasolt. Súlyos májkárosodásban szenvedő betegeknél alkalmazott lozartánra vonatkozóan nem áll rendelkezésre terápiás tapasztalat. Ezért a lozartán súlyos májkárosodásban szenvedő betegeknél nem alkalmazható (lásd. 4.2, 4.3 és 5.2 pont).</w:t>
      </w:r>
    </w:p>
    <w:p w14:paraId="65FE4BD3" w14:textId="77777777" w:rsidR="00382B5E" w:rsidRDefault="00382B5E">
      <w:pPr>
        <w:autoSpaceDE w:val="0"/>
        <w:autoSpaceDN w:val="0"/>
        <w:adjustRightInd w:val="0"/>
        <w:rPr>
          <w:sz w:val="22"/>
          <w:szCs w:val="22"/>
          <w:lang w:eastAsia="en-US"/>
        </w:rPr>
      </w:pPr>
    </w:p>
    <w:p w14:paraId="67AFC9B2" w14:textId="77777777" w:rsidR="00382B5E" w:rsidRDefault="00BE0CD4">
      <w:pPr>
        <w:autoSpaceDE w:val="0"/>
        <w:autoSpaceDN w:val="0"/>
        <w:adjustRightInd w:val="0"/>
        <w:rPr>
          <w:sz w:val="22"/>
          <w:szCs w:val="22"/>
          <w:u w:val="single"/>
          <w:lang w:eastAsia="en-US"/>
        </w:rPr>
      </w:pPr>
      <w:r>
        <w:rPr>
          <w:sz w:val="22"/>
          <w:szCs w:val="22"/>
          <w:u w:val="single"/>
          <w:lang w:eastAsia="en-US"/>
        </w:rPr>
        <w:t>Vesekárosodásban szenvedő betegek</w:t>
      </w:r>
    </w:p>
    <w:p w14:paraId="5DD9AF05" w14:textId="77777777" w:rsidR="00382B5E" w:rsidRDefault="00BE0CD4">
      <w:pPr>
        <w:autoSpaceDE w:val="0"/>
        <w:autoSpaceDN w:val="0"/>
        <w:adjustRightInd w:val="0"/>
        <w:rPr>
          <w:sz w:val="22"/>
          <w:szCs w:val="22"/>
          <w:lang w:eastAsia="en-US"/>
        </w:rPr>
      </w:pPr>
      <w:r>
        <w:rPr>
          <w:sz w:val="22"/>
          <w:szCs w:val="22"/>
          <w:lang w:eastAsia="en-US"/>
        </w:rPr>
        <w:t>A renin-angiotenzin-rendszer gátlása következtében megváltozott vesefunkcióról (a veseelégtelenséget is beleértve) számoltak be (főként olyan betegek esetén, akiknek a vesefunkciója a renin</w:t>
      </w:r>
      <w:r>
        <w:rPr>
          <w:sz w:val="22"/>
          <w:szCs w:val="22"/>
          <w:lang w:eastAsia="en-US"/>
        </w:rPr>
        <w:noBreakHyphen/>
        <w:t>angiotenzin</w:t>
      </w:r>
      <w:r>
        <w:rPr>
          <w:sz w:val="22"/>
          <w:szCs w:val="22"/>
          <w:lang w:eastAsia="en-US"/>
        </w:rPr>
        <w:noBreakHyphen/>
        <w:t xml:space="preserve">aldoszteron rendszertől függ, mint pl. súlyos szívelégtelenségben vagy korábban fennálló renalis dysfunctióban szenvedő betegek). A renin-angiotenzin-aldoszteron rendszert befolyásoló egyéb gyógyszerekhez hasonlóan, a vér karbamid és szérum kreatinin szintjének növekedését jelentették kétoldali veseartéria-szűkület és az egy vesével rendelkező betegek veseartériájának szűkülete esetén; ezek a vesefunkciós változások a kezelés abbahagyásával reverzibilisek lehetnek. A </w:t>
      </w:r>
      <w:r>
        <w:rPr>
          <w:sz w:val="22"/>
          <w:szCs w:val="22"/>
        </w:rPr>
        <w:t xml:space="preserve">lozartán </w:t>
      </w:r>
      <w:r>
        <w:rPr>
          <w:sz w:val="22"/>
          <w:szCs w:val="22"/>
          <w:lang w:eastAsia="en-US"/>
        </w:rPr>
        <w:t>óvatosan alkalmazandó kétoldali veseartéria-szűkület vagy egy vesével rendelkező betegek veseartériájának szűkülete esetén.</w:t>
      </w:r>
    </w:p>
    <w:p w14:paraId="031C283D" w14:textId="77777777" w:rsidR="00382B5E" w:rsidRDefault="00382B5E">
      <w:pPr>
        <w:autoSpaceDE w:val="0"/>
        <w:autoSpaceDN w:val="0"/>
        <w:adjustRightInd w:val="0"/>
        <w:rPr>
          <w:sz w:val="22"/>
          <w:szCs w:val="22"/>
          <w:lang w:eastAsia="en-US"/>
        </w:rPr>
      </w:pPr>
    </w:p>
    <w:p w14:paraId="6A406255" w14:textId="77777777" w:rsidR="00382B5E" w:rsidRDefault="00BE0CD4">
      <w:pPr>
        <w:rPr>
          <w:sz w:val="22"/>
          <w:szCs w:val="22"/>
        </w:rPr>
      </w:pPr>
      <w:r>
        <w:rPr>
          <w:sz w:val="22"/>
          <w:szCs w:val="22"/>
        </w:rPr>
        <w:t>Az amlodipint ilyen betegeknél a szokásos adagban lehet alkalmazni. Az amlodipin plazmakoncentrációjának változása nem függ össze a vesekárosodás mértékével. Az amlodipin nem dializálható.</w:t>
      </w:r>
    </w:p>
    <w:p w14:paraId="43093D3C" w14:textId="77777777" w:rsidR="00382B5E" w:rsidRDefault="00382B5E">
      <w:pPr>
        <w:rPr>
          <w:sz w:val="22"/>
          <w:szCs w:val="22"/>
        </w:rPr>
      </w:pPr>
    </w:p>
    <w:p w14:paraId="547EF5EC" w14:textId="77777777" w:rsidR="00382B5E" w:rsidRDefault="00BE0CD4">
      <w:pPr>
        <w:rPr>
          <w:sz w:val="22"/>
          <w:szCs w:val="22"/>
          <w:u w:val="single"/>
        </w:rPr>
      </w:pPr>
      <w:r>
        <w:rPr>
          <w:sz w:val="22"/>
          <w:szCs w:val="22"/>
          <w:u w:val="single"/>
        </w:rPr>
        <w:lastRenderedPageBreak/>
        <w:t>Alkalmazás időseknél</w:t>
      </w:r>
    </w:p>
    <w:p w14:paraId="25AD3162" w14:textId="77777777" w:rsidR="00382B5E" w:rsidRDefault="00BE0CD4">
      <w:pPr>
        <w:rPr>
          <w:b/>
          <w:sz w:val="22"/>
          <w:szCs w:val="22"/>
          <w:lang w:eastAsia="en-US"/>
        </w:rPr>
      </w:pPr>
      <w:r>
        <w:rPr>
          <w:sz w:val="22"/>
          <w:szCs w:val="22"/>
        </w:rPr>
        <w:t>Idősek esetében a dózisemeléskor fokozott körültekintéssel kell eljárni (lásd 4.2 és 5.2 pont).</w:t>
      </w:r>
    </w:p>
    <w:p w14:paraId="004C3D7E" w14:textId="77777777" w:rsidR="00382B5E" w:rsidRDefault="00382B5E">
      <w:pPr>
        <w:autoSpaceDE w:val="0"/>
        <w:autoSpaceDN w:val="0"/>
        <w:adjustRightInd w:val="0"/>
        <w:rPr>
          <w:sz w:val="22"/>
          <w:szCs w:val="22"/>
          <w:lang w:eastAsia="en-US"/>
        </w:rPr>
      </w:pPr>
    </w:p>
    <w:p w14:paraId="07DFC9CB" w14:textId="77777777" w:rsidR="00382B5E" w:rsidRDefault="00BE0CD4">
      <w:pPr>
        <w:keepNext/>
        <w:autoSpaceDE w:val="0"/>
        <w:autoSpaceDN w:val="0"/>
        <w:adjustRightInd w:val="0"/>
        <w:rPr>
          <w:sz w:val="22"/>
          <w:szCs w:val="22"/>
          <w:u w:val="single"/>
          <w:lang w:eastAsia="en-US"/>
        </w:rPr>
      </w:pPr>
      <w:r>
        <w:rPr>
          <w:sz w:val="22"/>
          <w:szCs w:val="22"/>
          <w:u w:val="single"/>
          <w:lang w:eastAsia="en-US"/>
        </w:rPr>
        <w:t>Aorta- és mitralis billentyűszűkület, obstructiv hypertrophiás cardiomyopathia</w:t>
      </w:r>
    </w:p>
    <w:p w14:paraId="2F4D1B02" w14:textId="77777777" w:rsidR="00382B5E" w:rsidRDefault="00BE0CD4">
      <w:pPr>
        <w:autoSpaceDE w:val="0"/>
        <w:autoSpaceDN w:val="0"/>
        <w:adjustRightInd w:val="0"/>
        <w:rPr>
          <w:sz w:val="22"/>
          <w:szCs w:val="22"/>
          <w:lang w:eastAsia="en-US"/>
        </w:rPr>
      </w:pPr>
      <w:r>
        <w:rPr>
          <w:sz w:val="22"/>
          <w:szCs w:val="22"/>
          <w:lang w:eastAsia="en-US"/>
        </w:rPr>
        <w:t>Más vazodilatátorokhoz hasonlóan, fokozott óvatossággal kell eljárni azoknál a betegeknél, akik aorta- vagy mitralis billentyűszűkületben vagy obstructiv hypertrophiás cardiomyopathiában szenvednek.</w:t>
      </w:r>
    </w:p>
    <w:p w14:paraId="3C11EEAA" w14:textId="77777777" w:rsidR="00382B5E" w:rsidRDefault="00382B5E">
      <w:pPr>
        <w:autoSpaceDE w:val="0"/>
        <w:autoSpaceDN w:val="0"/>
        <w:adjustRightInd w:val="0"/>
        <w:rPr>
          <w:sz w:val="22"/>
          <w:szCs w:val="22"/>
          <w:lang w:eastAsia="en-US"/>
        </w:rPr>
      </w:pPr>
    </w:p>
    <w:p w14:paraId="16FDBD46" w14:textId="77777777" w:rsidR="00382B5E" w:rsidRDefault="00BE0CD4">
      <w:pPr>
        <w:keepNext/>
        <w:autoSpaceDE w:val="0"/>
        <w:autoSpaceDN w:val="0"/>
        <w:adjustRightInd w:val="0"/>
        <w:rPr>
          <w:sz w:val="22"/>
          <w:szCs w:val="22"/>
          <w:u w:val="single"/>
          <w:lang w:eastAsia="en-US"/>
        </w:rPr>
      </w:pPr>
      <w:r>
        <w:rPr>
          <w:sz w:val="22"/>
          <w:szCs w:val="22"/>
          <w:u w:val="single"/>
          <w:lang w:eastAsia="en-US"/>
        </w:rPr>
        <w:t>Terhesség</w:t>
      </w:r>
    </w:p>
    <w:p w14:paraId="1F52E991" w14:textId="77777777" w:rsidR="00382B5E" w:rsidRDefault="00BE0CD4">
      <w:pPr>
        <w:autoSpaceDE w:val="0"/>
        <w:autoSpaceDN w:val="0"/>
        <w:adjustRightInd w:val="0"/>
        <w:rPr>
          <w:sz w:val="22"/>
          <w:szCs w:val="22"/>
          <w:lang w:eastAsia="en-US"/>
        </w:rPr>
      </w:pPr>
      <w:r>
        <w:rPr>
          <w:noProof/>
          <w:color w:val="000000"/>
          <w:sz w:val="22"/>
          <w:szCs w:val="22"/>
        </w:rPr>
        <w:t>Angiotenzin II (ATII)-receptor-antagonistával történő kezelést terhesség alatt nem szabad elkezdeni. Hacsak az ATII-receptor-antagonistával történő folyamatos kezelés nem elengedhetetlen, a terhességet tervező betegeket más, olyan antihipertenzív kezelésre kell átállítani, melynek biztonságossága terhességben alátámasztott. Az ATII-receptor-antagonista szedését azonnal abba kell hagyni, amennyiben terhességet állapítottak meg. Szükség esetén más, megfelelő kezelést kell elkezdeni (lásd 4.3 és 4.6 pont).</w:t>
      </w:r>
    </w:p>
    <w:p w14:paraId="4AD72FEC" w14:textId="77777777" w:rsidR="00382B5E" w:rsidRDefault="00382B5E">
      <w:pPr>
        <w:autoSpaceDE w:val="0"/>
        <w:autoSpaceDN w:val="0"/>
        <w:adjustRightInd w:val="0"/>
        <w:rPr>
          <w:sz w:val="22"/>
          <w:szCs w:val="22"/>
          <w:lang w:eastAsia="en-US"/>
        </w:rPr>
      </w:pPr>
    </w:p>
    <w:p w14:paraId="3C565F2E" w14:textId="77777777" w:rsidR="00382B5E" w:rsidRDefault="00BE0CD4">
      <w:pPr>
        <w:keepNext/>
        <w:autoSpaceDE w:val="0"/>
        <w:autoSpaceDN w:val="0"/>
        <w:adjustRightInd w:val="0"/>
        <w:rPr>
          <w:sz w:val="22"/>
          <w:szCs w:val="22"/>
          <w:u w:val="single"/>
          <w:lang w:eastAsia="en-US"/>
        </w:rPr>
      </w:pPr>
      <w:r>
        <w:rPr>
          <w:sz w:val="22"/>
          <w:szCs w:val="22"/>
          <w:u w:val="single"/>
          <w:lang w:eastAsia="en-US"/>
        </w:rPr>
        <w:t>Egyéb figyelmeztetések és óvintézkedések</w:t>
      </w:r>
    </w:p>
    <w:p w14:paraId="588E3782" w14:textId="77777777" w:rsidR="00382B5E" w:rsidRDefault="00BE0CD4">
      <w:pPr>
        <w:autoSpaceDE w:val="0"/>
        <w:autoSpaceDN w:val="0"/>
        <w:adjustRightInd w:val="0"/>
        <w:rPr>
          <w:sz w:val="22"/>
          <w:szCs w:val="22"/>
          <w:lang w:eastAsia="en-US"/>
        </w:rPr>
      </w:pPr>
      <w:r>
        <w:rPr>
          <w:sz w:val="22"/>
          <w:szCs w:val="22"/>
          <w:lang w:eastAsia="en-US"/>
        </w:rPr>
        <w:t>Amint azt az angiotenzin-konvertáló enziminhibitoroknál megfigyelték, úgy tűnik, a lozartán és más angiotenzin-antagonisták a vérnyomás csökkentését illetően a feketebőrű embereknél kevésbé hatékonyak, mint a nem-feketebőrű embereknél, lehetséges, hogy azért, mert a feketebőrű, magas vérnyomásban szenvedő populációban gyakrabban fordul elő alacsony reninszint.</w:t>
      </w:r>
    </w:p>
    <w:p w14:paraId="62F46139" w14:textId="77777777" w:rsidR="00382B5E" w:rsidRDefault="00382B5E">
      <w:pPr>
        <w:autoSpaceDE w:val="0"/>
        <w:autoSpaceDN w:val="0"/>
        <w:adjustRightInd w:val="0"/>
        <w:rPr>
          <w:sz w:val="22"/>
          <w:szCs w:val="22"/>
          <w:lang w:eastAsia="en-US"/>
        </w:rPr>
      </w:pPr>
    </w:p>
    <w:p w14:paraId="5442B03B" w14:textId="77777777" w:rsidR="00382B5E" w:rsidRDefault="00BE0CD4">
      <w:pPr>
        <w:rPr>
          <w:sz w:val="22"/>
          <w:szCs w:val="22"/>
          <w:u w:val="single"/>
        </w:rPr>
      </w:pPr>
      <w:r>
        <w:rPr>
          <w:sz w:val="22"/>
          <w:szCs w:val="22"/>
          <w:u w:val="single"/>
        </w:rPr>
        <w:t>A renin</w:t>
      </w:r>
      <w:r>
        <w:rPr>
          <w:sz w:val="22"/>
          <w:szCs w:val="22"/>
          <w:u w:val="single"/>
        </w:rPr>
        <w:noBreakHyphen/>
        <w:t>angiotenzin</w:t>
      </w:r>
      <w:r>
        <w:rPr>
          <w:sz w:val="22"/>
          <w:szCs w:val="22"/>
          <w:u w:val="single"/>
        </w:rPr>
        <w:noBreakHyphen/>
        <w:t>aldoszteron rendszer kettős blokádja (RAAS)</w:t>
      </w:r>
    </w:p>
    <w:p w14:paraId="1D6FB030" w14:textId="77777777" w:rsidR="00382B5E" w:rsidRDefault="00BE0CD4">
      <w:pPr>
        <w:rPr>
          <w:sz w:val="22"/>
          <w:szCs w:val="22"/>
        </w:rPr>
      </w:pPr>
      <w:r>
        <w:rPr>
          <w:sz w:val="22"/>
          <w:szCs w:val="22"/>
        </w:rPr>
        <w:t>Bizonyíték van rá, hogy az ACE-gátlók, angiotenzin II-receptor-blokkolók vagy aliszkirén egyidejű alkalmazása fokozza a hypotonia, hyperkalaemia és csökkent veseműködés (beleértve az akut veseelégtelenség) kockázatát. A RAAS ACE-gátlók, angiotenzin II-receptor-blokkolók vagy aliszkirén kombinált alkalmazásával történő kettős blokádja ezért nem javasolt (lásd 4.5 és 5.1 pont).</w:t>
      </w:r>
    </w:p>
    <w:p w14:paraId="60C6D25D" w14:textId="77777777" w:rsidR="00382B5E" w:rsidRDefault="00BE0CD4">
      <w:pPr>
        <w:rPr>
          <w:sz w:val="22"/>
          <w:szCs w:val="22"/>
        </w:rPr>
      </w:pPr>
      <w:r>
        <w:rPr>
          <w:sz w:val="22"/>
          <w:szCs w:val="22"/>
        </w:rPr>
        <w:t>Ha a kettősblokád-kezelést abszolút szükségesnek ítélik, ez csak szakorvos felügyeletével, a vesefunkció, elektrolitszintek és a vérnyomás gyakori és szoros ellenőrzése mellett történhet.</w:t>
      </w:r>
    </w:p>
    <w:p w14:paraId="46812B14" w14:textId="77777777" w:rsidR="00382B5E" w:rsidRDefault="00BE0CD4">
      <w:pPr>
        <w:rPr>
          <w:sz w:val="22"/>
          <w:szCs w:val="22"/>
        </w:rPr>
      </w:pPr>
      <w:r>
        <w:rPr>
          <w:sz w:val="22"/>
          <w:szCs w:val="22"/>
        </w:rPr>
        <w:t>Az ACE-gátlók és angiotenzin II-receptor-blokkolók nem alkalmazhatók egyidejűleg diabeteses nephropathiában szenvedő betegeknél.</w:t>
      </w:r>
    </w:p>
    <w:p w14:paraId="645E6A51" w14:textId="77777777" w:rsidR="00382B5E" w:rsidRDefault="00382B5E">
      <w:pPr>
        <w:autoSpaceDE w:val="0"/>
        <w:autoSpaceDN w:val="0"/>
        <w:adjustRightInd w:val="0"/>
        <w:rPr>
          <w:sz w:val="22"/>
          <w:szCs w:val="22"/>
        </w:rPr>
      </w:pPr>
    </w:p>
    <w:p w14:paraId="15218D48" w14:textId="77777777" w:rsidR="00382B5E" w:rsidRDefault="00BE0CD4">
      <w:pPr>
        <w:autoSpaceDE w:val="0"/>
        <w:autoSpaceDN w:val="0"/>
        <w:adjustRightInd w:val="0"/>
        <w:rPr>
          <w:sz w:val="22"/>
          <w:szCs w:val="22"/>
          <w:u w:val="single"/>
          <w:lang w:eastAsia="en-US"/>
        </w:rPr>
      </w:pPr>
      <w:r>
        <w:rPr>
          <w:sz w:val="22"/>
          <w:szCs w:val="22"/>
          <w:u w:val="single"/>
          <w:lang w:eastAsia="en-US"/>
        </w:rPr>
        <w:t>Gyermekek és serdülők</w:t>
      </w:r>
    </w:p>
    <w:p w14:paraId="4335AD31" w14:textId="77777777" w:rsidR="00382B5E" w:rsidRDefault="00382B5E">
      <w:pPr>
        <w:autoSpaceDE w:val="0"/>
        <w:autoSpaceDN w:val="0"/>
        <w:adjustRightInd w:val="0"/>
        <w:rPr>
          <w:sz w:val="22"/>
          <w:szCs w:val="22"/>
          <w:lang w:eastAsia="en-US"/>
        </w:rPr>
      </w:pPr>
    </w:p>
    <w:p w14:paraId="7D4206D1" w14:textId="77777777" w:rsidR="00382B5E" w:rsidRDefault="00BE0CD4">
      <w:pPr>
        <w:autoSpaceDE w:val="0"/>
        <w:autoSpaceDN w:val="0"/>
        <w:adjustRightInd w:val="0"/>
        <w:rPr>
          <w:color w:val="000000"/>
          <w:sz w:val="22"/>
          <w:szCs w:val="22"/>
        </w:rPr>
      </w:pPr>
      <w:r>
        <w:rPr>
          <w:color w:val="000000"/>
          <w:spacing w:val="-2"/>
          <w:sz w:val="22"/>
          <w:szCs w:val="22"/>
          <w:lang w:eastAsia="en-US"/>
        </w:rPr>
        <w:t xml:space="preserve">Az amlodipin/lozartán kombináció nem ajánlott </w:t>
      </w:r>
      <w:r>
        <w:rPr>
          <w:color w:val="000000"/>
          <w:spacing w:val="-2"/>
          <w:sz w:val="22"/>
          <w:szCs w:val="22"/>
        </w:rPr>
        <w:t>18 éven aluli gyermekek és serdülők számára a</w:t>
      </w:r>
      <w:r>
        <w:rPr>
          <w:color w:val="000000"/>
          <w:spacing w:val="-2"/>
          <w:sz w:val="22"/>
          <w:szCs w:val="22"/>
          <w:lang w:eastAsia="en-US"/>
        </w:rPr>
        <w:t xml:space="preserve"> </w:t>
      </w:r>
      <w:r>
        <w:rPr>
          <w:color w:val="000000"/>
          <w:spacing w:val="-2"/>
          <w:sz w:val="22"/>
          <w:szCs w:val="22"/>
        </w:rPr>
        <w:t>biztonságosságra és hatásosságra vonatkozó adatok hiánya miatt.</w:t>
      </w:r>
    </w:p>
    <w:p w14:paraId="690C6DD8" w14:textId="77777777" w:rsidR="00382B5E" w:rsidRDefault="00382B5E">
      <w:pPr>
        <w:autoSpaceDE w:val="0"/>
        <w:autoSpaceDN w:val="0"/>
        <w:adjustRightInd w:val="0"/>
        <w:rPr>
          <w:sz w:val="22"/>
          <w:szCs w:val="22"/>
          <w:lang w:eastAsia="en-US"/>
        </w:rPr>
      </w:pPr>
    </w:p>
    <w:p w14:paraId="1CDEE34B" w14:textId="77777777" w:rsidR="00382B5E" w:rsidRDefault="00BE0CD4">
      <w:pPr>
        <w:autoSpaceDE w:val="0"/>
        <w:autoSpaceDN w:val="0"/>
        <w:adjustRightInd w:val="0"/>
        <w:rPr>
          <w:sz w:val="22"/>
          <w:szCs w:val="22"/>
          <w:lang w:eastAsia="en-US"/>
        </w:rPr>
      </w:pPr>
      <w:r>
        <w:rPr>
          <w:sz w:val="22"/>
          <w:szCs w:val="22"/>
          <w:lang w:eastAsia="en-US"/>
        </w:rPr>
        <w:t>A Losartan/Amlodipin Krka laktózt és nátriumot tartalmaz.</w:t>
      </w:r>
    </w:p>
    <w:p w14:paraId="2DC27656" w14:textId="77777777" w:rsidR="00382B5E" w:rsidRDefault="00BE0CD4">
      <w:pPr>
        <w:autoSpaceDE w:val="0"/>
        <w:autoSpaceDN w:val="0"/>
        <w:adjustRightInd w:val="0"/>
        <w:rPr>
          <w:sz w:val="22"/>
          <w:szCs w:val="22"/>
          <w:lang w:eastAsia="en-US"/>
        </w:rPr>
      </w:pPr>
      <w:r>
        <w:rPr>
          <w:sz w:val="22"/>
          <w:szCs w:val="22"/>
          <w:lang w:eastAsia="en-US"/>
        </w:rPr>
        <w:t>Ritkán előforduló, örökletes galaktózintoleranciában, teljes laktáz-hiányban vagy glükóz-galaktóz malabszorpcióban a készítmény nem szedhető.</w:t>
      </w:r>
    </w:p>
    <w:p w14:paraId="18427CAA" w14:textId="77777777" w:rsidR="00382B5E" w:rsidRDefault="00BE0CD4">
      <w:pPr>
        <w:autoSpaceDE w:val="0"/>
        <w:autoSpaceDN w:val="0"/>
        <w:adjustRightInd w:val="0"/>
        <w:rPr>
          <w:sz w:val="22"/>
          <w:szCs w:val="22"/>
          <w:lang w:eastAsia="en-US"/>
        </w:rPr>
      </w:pPr>
      <w:r>
        <w:rPr>
          <w:sz w:val="22"/>
          <w:szCs w:val="22"/>
          <w:lang w:eastAsia="en-US"/>
        </w:rPr>
        <w:t>Ez a gyógyszer kevesebb mint 1 mmol (23 mg) nátriumot tartalmaz tablettánként, azaz gyakorlatilag „nátriummentes”.</w:t>
      </w:r>
    </w:p>
    <w:p w14:paraId="49B53ACF" w14:textId="77777777" w:rsidR="00382B5E" w:rsidRDefault="00382B5E">
      <w:pPr>
        <w:autoSpaceDE w:val="0"/>
        <w:autoSpaceDN w:val="0"/>
        <w:adjustRightInd w:val="0"/>
        <w:rPr>
          <w:sz w:val="22"/>
          <w:szCs w:val="22"/>
          <w:lang w:eastAsia="en-US"/>
        </w:rPr>
      </w:pPr>
    </w:p>
    <w:p w14:paraId="489DE1C1" w14:textId="77777777" w:rsidR="00382B5E" w:rsidRDefault="00BE0CD4">
      <w:pPr>
        <w:rPr>
          <w:b/>
          <w:sz w:val="22"/>
          <w:szCs w:val="22"/>
        </w:rPr>
      </w:pPr>
      <w:r>
        <w:rPr>
          <w:b/>
          <w:sz w:val="22"/>
          <w:szCs w:val="22"/>
        </w:rPr>
        <w:t>4.5</w:t>
      </w:r>
      <w:r>
        <w:rPr>
          <w:b/>
          <w:sz w:val="22"/>
          <w:szCs w:val="22"/>
        </w:rPr>
        <w:tab/>
        <w:t>Gyógyszerkölcsönhatások és egyéb interakciók</w:t>
      </w:r>
    </w:p>
    <w:p w14:paraId="6BEA78AF" w14:textId="77777777" w:rsidR="00382B5E" w:rsidRDefault="00382B5E">
      <w:pPr>
        <w:rPr>
          <w:b/>
          <w:sz w:val="22"/>
          <w:szCs w:val="22"/>
        </w:rPr>
      </w:pPr>
    </w:p>
    <w:p w14:paraId="1D24CE08" w14:textId="77777777" w:rsidR="00382B5E" w:rsidRDefault="00BE0CD4">
      <w:pPr>
        <w:rPr>
          <w:color w:val="000000"/>
          <w:sz w:val="22"/>
          <w:szCs w:val="22"/>
          <w:u w:val="single"/>
        </w:rPr>
      </w:pPr>
      <w:r>
        <w:rPr>
          <w:iCs/>
          <w:color w:val="000000"/>
          <w:sz w:val="22"/>
          <w:szCs w:val="22"/>
          <w:u w:val="single"/>
        </w:rPr>
        <w:t>A</w:t>
      </w:r>
      <w:r>
        <w:rPr>
          <w:color w:val="000000"/>
          <w:sz w:val="22"/>
          <w:szCs w:val="22"/>
          <w:u w:val="single"/>
        </w:rPr>
        <w:t xml:space="preserve"> kombinációval kapcsolatos gyógyszerkölcsönhatások</w:t>
      </w:r>
    </w:p>
    <w:p w14:paraId="2800D782" w14:textId="77777777" w:rsidR="00382B5E" w:rsidRDefault="00BE0CD4">
      <w:pPr>
        <w:rPr>
          <w:b/>
          <w:sz w:val="22"/>
          <w:szCs w:val="22"/>
        </w:rPr>
      </w:pPr>
      <w:r>
        <w:rPr>
          <w:noProof/>
          <w:sz w:val="22"/>
          <w:szCs w:val="22"/>
          <w:lang w:eastAsia="en-US"/>
        </w:rPr>
        <w:t>Interakciós vizsgálatokat nem végeztek a Losartan/Amlodipin Krka-val és más gyógyszerrel.</w:t>
      </w:r>
    </w:p>
    <w:p w14:paraId="43585E75" w14:textId="77777777" w:rsidR="00382B5E" w:rsidRDefault="00382B5E">
      <w:pPr>
        <w:rPr>
          <w:b/>
          <w:sz w:val="22"/>
          <w:szCs w:val="22"/>
        </w:rPr>
      </w:pPr>
    </w:p>
    <w:p w14:paraId="302C8C3E" w14:textId="77777777" w:rsidR="00382B5E" w:rsidRDefault="00BE0CD4">
      <w:pPr>
        <w:rPr>
          <w:color w:val="000000"/>
          <w:sz w:val="22"/>
          <w:szCs w:val="22"/>
          <w:u w:val="single"/>
        </w:rPr>
      </w:pPr>
      <w:r>
        <w:rPr>
          <w:sz w:val="22"/>
          <w:szCs w:val="22"/>
          <w:u w:val="single"/>
        </w:rPr>
        <w:t xml:space="preserve">A lozartánhoz kapcsolódó </w:t>
      </w:r>
      <w:r>
        <w:rPr>
          <w:color w:val="000000"/>
          <w:sz w:val="22"/>
          <w:szCs w:val="22"/>
          <w:u w:val="single"/>
        </w:rPr>
        <w:t>gyógyszerkölcsönhatások</w:t>
      </w:r>
    </w:p>
    <w:p w14:paraId="380CE2EB" w14:textId="77777777" w:rsidR="00382B5E" w:rsidRDefault="00BE0CD4">
      <w:pPr>
        <w:autoSpaceDE w:val="0"/>
        <w:autoSpaceDN w:val="0"/>
        <w:adjustRightInd w:val="0"/>
        <w:rPr>
          <w:color w:val="000000"/>
          <w:sz w:val="22"/>
          <w:szCs w:val="22"/>
        </w:rPr>
      </w:pPr>
      <w:r>
        <w:rPr>
          <w:sz w:val="22"/>
          <w:szCs w:val="22"/>
          <w:lang w:eastAsia="en-US"/>
        </w:rPr>
        <w:t xml:space="preserve">Az egyéb antihipertenzív szerek növelhetik a lozartán hypotoniát okozó hatását. </w:t>
      </w:r>
      <w:r>
        <w:rPr>
          <w:color w:val="000000"/>
          <w:sz w:val="22"/>
          <w:szCs w:val="22"/>
        </w:rPr>
        <w:t>A lozartán-kálium együttes alkalmazása olyan egyéb hatóanyagokkal, amelyek mellékhatásként hypotoniát okozhatnak (mint a triciklusos antidepresszánsok, antipszichotikumok, baklofén és az amifosztin) növelhetik a hypotonia kockázatát.</w:t>
      </w:r>
    </w:p>
    <w:p w14:paraId="616A1448" w14:textId="77777777" w:rsidR="00382B5E" w:rsidRDefault="00382B5E">
      <w:pPr>
        <w:autoSpaceDE w:val="0"/>
        <w:autoSpaceDN w:val="0"/>
        <w:adjustRightInd w:val="0"/>
        <w:rPr>
          <w:sz w:val="22"/>
          <w:szCs w:val="22"/>
        </w:rPr>
      </w:pPr>
    </w:p>
    <w:p w14:paraId="3D98EFDD" w14:textId="77777777" w:rsidR="00382B5E" w:rsidRDefault="00BE0CD4">
      <w:pPr>
        <w:rPr>
          <w:sz w:val="22"/>
          <w:szCs w:val="22"/>
        </w:rPr>
      </w:pPr>
      <w:r>
        <w:rPr>
          <w:sz w:val="22"/>
          <w:szCs w:val="22"/>
        </w:rPr>
        <w:t>A lozartán döntően a citokróm P450 (CYP) 2C9 által metabolizálódik az aktív, karboxisav</w:t>
      </w:r>
      <w:r>
        <w:rPr>
          <w:sz w:val="22"/>
          <w:szCs w:val="22"/>
        </w:rPr>
        <w:noBreakHyphen/>
        <w:t xml:space="preserve">metabolittá. Egy klinikai vizsgálatban azt tapasztalták, hogy a flukonazol (a CYP2C9 inhibitora) kb. 50%-kal csökkenti az aktív metabolit expozícióját. Azt tapasztalták, hogy a lozartánnal és rifampicinnel (a metabolizmust végző enzimek induktora) folytatott egyidejű kezelés 40%-kal </w:t>
      </w:r>
      <w:r>
        <w:rPr>
          <w:sz w:val="22"/>
          <w:szCs w:val="22"/>
        </w:rPr>
        <w:lastRenderedPageBreak/>
        <w:t>csökkenti az aktív metabolit plazmakoncentrációját. Ezen hatások klinikai jelentősége nem ismert. Fluvasztatinnal (a CYP2C9 gyenge inhibitora) végzett egyidejű kezelés során nem észleltek különbséget az expozícióban.</w:t>
      </w:r>
    </w:p>
    <w:p w14:paraId="2F36C5BB" w14:textId="77777777" w:rsidR="00382B5E" w:rsidRDefault="00382B5E">
      <w:pPr>
        <w:rPr>
          <w:sz w:val="22"/>
          <w:szCs w:val="22"/>
        </w:rPr>
      </w:pPr>
    </w:p>
    <w:p w14:paraId="634C659B" w14:textId="77777777" w:rsidR="00382B5E" w:rsidRDefault="00BE0CD4">
      <w:pPr>
        <w:rPr>
          <w:sz w:val="22"/>
          <w:szCs w:val="22"/>
        </w:rPr>
      </w:pPr>
      <w:r>
        <w:rPr>
          <w:sz w:val="22"/>
          <w:szCs w:val="22"/>
        </w:rPr>
        <w:t>Csakúgy, mint más, az angiotenzin II-t vagy annak hatását gátló gyógyszerek esetén, a káliummegtakarító egyéb gyógyszerekkel (pl. káliummegtakarító diuretikumok: amilorid, triamteren, spironolakton) vagy a káliumszintet növelő gyógyszerekkel (pl. heparin, trimetoprimtartalmú készítmények), káliumpótlókkal vagy káliumtartalmú sópótlókkal történő egyidejű alkalmazása a szérum káliumszint emelkedéséhez vezethet. E gyógyszerek kombinációja nem javasolt.</w:t>
      </w:r>
    </w:p>
    <w:p w14:paraId="04E2E0E0" w14:textId="77777777" w:rsidR="00382B5E" w:rsidRDefault="00382B5E">
      <w:pPr>
        <w:rPr>
          <w:sz w:val="22"/>
          <w:szCs w:val="22"/>
        </w:rPr>
      </w:pPr>
    </w:p>
    <w:p w14:paraId="0ED9A4A1" w14:textId="77777777" w:rsidR="00382B5E" w:rsidRDefault="00BE0CD4">
      <w:pPr>
        <w:autoSpaceDE w:val="0"/>
        <w:autoSpaceDN w:val="0"/>
        <w:adjustRightInd w:val="0"/>
        <w:rPr>
          <w:sz w:val="22"/>
          <w:szCs w:val="22"/>
          <w:lang w:eastAsia="en-US"/>
        </w:rPr>
      </w:pPr>
      <w:r>
        <w:rPr>
          <w:sz w:val="22"/>
          <w:szCs w:val="22"/>
          <w:lang w:eastAsia="en-US"/>
        </w:rPr>
        <w:t>Lítium és ACE-gátlók együttes alkalmazása során a szérum lítiumszintek és -toxicitás reverzibilis emelkedéséről számoltak be. Angiotenzin II-receptor-antagonisták esetében nagyon ritkán hasonló eseteket jelentettek. Lítiumot és lozartánt óvatosan kell együtt alkalmazni. Ha ez a kombináció elkerülhetetlenül szükséges, az együttes alkalmazás során a szérum lítiumszint monitorozása ajánlott.</w:t>
      </w:r>
    </w:p>
    <w:p w14:paraId="4E8D7141" w14:textId="77777777" w:rsidR="00382B5E" w:rsidRDefault="00382B5E">
      <w:pPr>
        <w:autoSpaceDE w:val="0"/>
        <w:autoSpaceDN w:val="0"/>
        <w:adjustRightInd w:val="0"/>
        <w:rPr>
          <w:sz w:val="22"/>
          <w:szCs w:val="22"/>
          <w:lang w:eastAsia="en-US"/>
        </w:rPr>
      </w:pPr>
    </w:p>
    <w:p w14:paraId="233EB05E" w14:textId="77777777" w:rsidR="00382B5E" w:rsidRDefault="00BE0CD4">
      <w:pPr>
        <w:autoSpaceDE w:val="0"/>
        <w:autoSpaceDN w:val="0"/>
        <w:adjustRightInd w:val="0"/>
        <w:rPr>
          <w:sz w:val="22"/>
          <w:szCs w:val="22"/>
          <w:lang w:eastAsia="en-US"/>
        </w:rPr>
      </w:pPr>
      <w:r>
        <w:rPr>
          <w:sz w:val="22"/>
          <w:szCs w:val="22"/>
          <w:lang w:eastAsia="en-US"/>
        </w:rPr>
        <w:t>Angiotenzin II</w:t>
      </w:r>
      <w:r>
        <w:rPr>
          <w:sz w:val="22"/>
          <w:szCs w:val="22"/>
          <w:lang w:eastAsia="en-US"/>
        </w:rPr>
        <w:noBreakHyphen/>
        <w:t>antagonisták és nem-szteroid gyulladáscsökkentő gyógyszerek (NSAID-ok, pl.: szelektív COX-2-gátlók, gyulladáscsökkentő dózisban adott acetilszalicilsav vagy nem-szelektív NSAID-ok) együttes alkalmazásakor az antihipertenzív hatás csökkenése következhet be. Angiotenzin II-antagonisták vagy diuretikumok és NSAID együttes alkalmazása a vesefunkció romlásának megnövekedett kockázatához, ezen belül lehetséges akut veseelégtelenséghez és a szérum káliumszint növekedéséhez vezethet, főként már fennálló, elégtelen vesefunkcióval rendelkező betegek esetében. A kombináció óvatosan alkalmazandó, főként időskorú betegeknél. A betegeknek megfelelően hidrált állapotban kell lenniük és az együttes terápia bevezetésekor, illetve ezt követően rendszeres időközönként figyelmet kell fordítani a vesefunkció monitorozására.</w:t>
      </w:r>
    </w:p>
    <w:p w14:paraId="3700D340" w14:textId="77777777" w:rsidR="00382B5E" w:rsidRDefault="00382B5E">
      <w:pPr>
        <w:rPr>
          <w:sz w:val="22"/>
          <w:szCs w:val="22"/>
        </w:rPr>
      </w:pPr>
    </w:p>
    <w:p w14:paraId="35B51491" w14:textId="77777777" w:rsidR="00382B5E" w:rsidRDefault="00BE0CD4">
      <w:pPr>
        <w:rPr>
          <w:sz w:val="22"/>
          <w:szCs w:val="22"/>
        </w:rPr>
      </w:pPr>
      <w:r>
        <w:rPr>
          <w:sz w:val="22"/>
          <w:szCs w:val="22"/>
        </w:rPr>
        <w:t>A klinikai vizsgálati adatok azt mutatták, hogy a renin-angiotenzin-aldoszteron rendszernek (RAAS) ACE-gátlók, angiotenzin II-receptor-blokkolók vagy aliszkirén kombinációjával történő kettős blokádja nagyobb gyakorisággal okoz mellékhatásokat, például hypotoniát, hyperkalaemiát vagy beszűkült veseműködést (többek között akut veseelégtelenséget), mint csak egyféle RAAS-ra ható szer alkalmazása (lásd 4.3, 4.4 és 5.1 pont).</w:t>
      </w:r>
    </w:p>
    <w:p w14:paraId="7EE2E21A" w14:textId="77777777" w:rsidR="00382B5E" w:rsidRDefault="00382B5E">
      <w:pPr>
        <w:rPr>
          <w:sz w:val="22"/>
          <w:szCs w:val="22"/>
        </w:rPr>
      </w:pPr>
    </w:p>
    <w:p w14:paraId="61090112" w14:textId="77777777" w:rsidR="00382B5E" w:rsidRDefault="00BE0CD4">
      <w:pPr>
        <w:rPr>
          <w:sz w:val="22"/>
          <w:szCs w:val="22"/>
        </w:rPr>
      </w:pPr>
      <w:r>
        <w:rPr>
          <w:color w:val="000000"/>
          <w:sz w:val="22"/>
          <w:szCs w:val="22"/>
        </w:rPr>
        <w:t>A grépfrútlé olyan összetevőket tartalmaz, amelyek gátolják a CYP450 enzimeket, és csökkenthetik a lozartán aktív metabolitjának koncentrációját, ami csökkentheti a terápiás hatást. A lozartán szedése alatt kerülni kell a grépfrútlé fogyasztását.</w:t>
      </w:r>
    </w:p>
    <w:p w14:paraId="317AF2AC" w14:textId="77777777" w:rsidR="00382B5E" w:rsidRDefault="00382B5E">
      <w:pPr>
        <w:rPr>
          <w:sz w:val="22"/>
          <w:szCs w:val="22"/>
        </w:rPr>
      </w:pPr>
    </w:p>
    <w:p w14:paraId="54BC6FDF" w14:textId="77777777" w:rsidR="00382B5E" w:rsidRDefault="00BE0CD4">
      <w:pPr>
        <w:rPr>
          <w:color w:val="000000"/>
          <w:sz w:val="22"/>
          <w:szCs w:val="22"/>
          <w:u w:val="single"/>
        </w:rPr>
      </w:pPr>
      <w:r>
        <w:rPr>
          <w:sz w:val="22"/>
          <w:szCs w:val="22"/>
          <w:u w:val="single"/>
        </w:rPr>
        <w:t xml:space="preserve">Az amlodipinhez kapcsolódó </w:t>
      </w:r>
      <w:r>
        <w:rPr>
          <w:color w:val="000000"/>
          <w:sz w:val="22"/>
          <w:szCs w:val="22"/>
          <w:u w:val="single"/>
        </w:rPr>
        <w:t>gyógyszerkölcsönhatások</w:t>
      </w:r>
    </w:p>
    <w:p w14:paraId="5C1CB17A" w14:textId="77777777" w:rsidR="00382B5E" w:rsidRDefault="00382B5E">
      <w:pPr>
        <w:rPr>
          <w:color w:val="000000"/>
          <w:sz w:val="22"/>
          <w:szCs w:val="22"/>
        </w:rPr>
      </w:pPr>
    </w:p>
    <w:p w14:paraId="53D16BA3" w14:textId="77777777" w:rsidR="00382B5E" w:rsidRDefault="00BE0CD4">
      <w:pPr>
        <w:rPr>
          <w:i/>
          <w:color w:val="000000"/>
          <w:sz w:val="22"/>
          <w:szCs w:val="22"/>
        </w:rPr>
      </w:pPr>
      <w:r>
        <w:rPr>
          <w:i/>
          <w:color w:val="000000"/>
          <w:sz w:val="22"/>
          <w:szCs w:val="22"/>
        </w:rPr>
        <w:t>Egyéb gyógyszerek hatásai az amlodipinre</w:t>
      </w:r>
    </w:p>
    <w:p w14:paraId="241B2FA6" w14:textId="77777777" w:rsidR="00382B5E" w:rsidRDefault="00382B5E">
      <w:pPr>
        <w:rPr>
          <w:sz w:val="22"/>
          <w:szCs w:val="22"/>
        </w:rPr>
      </w:pPr>
    </w:p>
    <w:p w14:paraId="41FFA834" w14:textId="77777777" w:rsidR="00382B5E" w:rsidRDefault="00BE0CD4">
      <w:pPr>
        <w:rPr>
          <w:sz w:val="22"/>
          <w:szCs w:val="22"/>
          <w:lang w:eastAsia="en-US"/>
        </w:rPr>
      </w:pPr>
      <w:r>
        <w:rPr>
          <w:i/>
          <w:sz w:val="22"/>
          <w:szCs w:val="22"/>
          <w:lang w:eastAsia="en-US"/>
        </w:rPr>
        <w:t>CYP3A4-inhibitorok:</w:t>
      </w:r>
      <w:r>
        <w:rPr>
          <w:sz w:val="22"/>
          <w:szCs w:val="22"/>
          <w:lang w:eastAsia="en-US"/>
        </w:rPr>
        <w:t xml:space="preserve"> az amlodipin erős vagy közepesen erős CYP3A4-inhibitorokkal (proteáz</w:t>
      </w:r>
      <w:r>
        <w:rPr>
          <w:sz w:val="22"/>
          <w:szCs w:val="22"/>
          <w:lang w:eastAsia="en-US"/>
        </w:rPr>
        <w:noBreakHyphen/>
        <w:t>inhibitorok, antifungális azolok, makrolidok, mint az eritromicin vagy klaritromicin, verapamil vagy diltiazem) történő egyidejű alkalmazása szignifikánsan megemelheti az amlodipin</w:t>
      </w:r>
      <w:r>
        <w:rPr>
          <w:sz w:val="22"/>
          <w:szCs w:val="22"/>
          <w:lang w:eastAsia="en-US"/>
        </w:rPr>
        <w:noBreakHyphen/>
        <w:t>expozíciót, ami a hypotonia megnövekedett kockázatát eredményezheti. Ezen farmakokinetikai változásoknak idősek esetében van nagyobb klinikai jelentősége. Ezért ellenőrzésre és a dózis beállítására lehet szükség.</w:t>
      </w:r>
    </w:p>
    <w:p w14:paraId="07E4B5E0" w14:textId="77777777" w:rsidR="00382B5E" w:rsidRDefault="00382B5E">
      <w:pPr>
        <w:rPr>
          <w:sz w:val="22"/>
          <w:szCs w:val="22"/>
          <w:lang w:eastAsia="en-US"/>
        </w:rPr>
      </w:pPr>
    </w:p>
    <w:p w14:paraId="6C2203D3" w14:textId="77777777" w:rsidR="00382B5E" w:rsidRDefault="00BE0CD4">
      <w:pPr>
        <w:rPr>
          <w:sz w:val="22"/>
          <w:szCs w:val="22"/>
          <w:lang w:eastAsia="en-US"/>
        </w:rPr>
      </w:pPr>
      <w:r>
        <w:rPr>
          <w:i/>
          <w:sz w:val="22"/>
          <w:szCs w:val="22"/>
          <w:lang w:eastAsia="en-US"/>
        </w:rPr>
        <w:t xml:space="preserve">CYP3A4-induktorok: </w:t>
      </w:r>
      <w:r>
        <w:rPr>
          <w:sz w:val="22"/>
          <w:szCs w:val="22"/>
          <w:lang w:eastAsia="en-US"/>
        </w:rPr>
        <w:t xml:space="preserve">ismert CYP3A4-induktorokkal való egyidejű alkalmazás esetén megváltozhat az amlodipin plazmakoncentrációja. Emiatt monitorozni kell a vérnyomást, és meg kell fontolni a dózis módosítását az egyidejű gyógyszeralkalmazás alatt és után is, különösen erős CYP3A4-induktorok (pl. rifampicin, közönséges orbáncfű – </w:t>
      </w:r>
      <w:r>
        <w:rPr>
          <w:i/>
          <w:sz w:val="22"/>
          <w:szCs w:val="22"/>
          <w:lang w:eastAsia="en-US"/>
        </w:rPr>
        <w:t>Hypericum perforatum</w:t>
      </w:r>
      <w:r>
        <w:rPr>
          <w:sz w:val="22"/>
          <w:szCs w:val="22"/>
          <w:lang w:eastAsia="en-US"/>
        </w:rPr>
        <w:t>) használata esetén.</w:t>
      </w:r>
    </w:p>
    <w:p w14:paraId="6FF9B15B" w14:textId="77777777" w:rsidR="00382B5E" w:rsidRDefault="00382B5E">
      <w:pPr>
        <w:rPr>
          <w:sz w:val="22"/>
          <w:szCs w:val="22"/>
          <w:lang w:eastAsia="en-US"/>
        </w:rPr>
      </w:pPr>
    </w:p>
    <w:p w14:paraId="5915EC10" w14:textId="77777777" w:rsidR="00382B5E" w:rsidRDefault="00BE0CD4">
      <w:pPr>
        <w:rPr>
          <w:sz w:val="22"/>
          <w:szCs w:val="22"/>
          <w:lang w:eastAsia="en-US"/>
        </w:rPr>
      </w:pPr>
      <w:r>
        <w:rPr>
          <w:sz w:val="22"/>
          <w:szCs w:val="22"/>
          <w:lang w:eastAsia="en-US"/>
        </w:rPr>
        <w:t>Az amlodipin egyidejű alkalmazása grépfrúttal vagy grépfrútlével nem javasolt, mert ez néhány betegnél az amlodipin biohasznosulásának növekedéséhez vezethet, fokozott vérnyomáscsökkentő hatást eredményezve.</w:t>
      </w:r>
    </w:p>
    <w:p w14:paraId="390E1354" w14:textId="77777777" w:rsidR="00382B5E" w:rsidRDefault="00382B5E">
      <w:pPr>
        <w:rPr>
          <w:sz w:val="22"/>
          <w:szCs w:val="22"/>
          <w:lang w:eastAsia="en-US"/>
        </w:rPr>
      </w:pPr>
    </w:p>
    <w:p w14:paraId="6C085E78" w14:textId="77777777" w:rsidR="00382B5E" w:rsidRDefault="00BE0CD4">
      <w:pPr>
        <w:rPr>
          <w:sz w:val="22"/>
          <w:szCs w:val="22"/>
          <w:lang w:eastAsia="en-US"/>
        </w:rPr>
      </w:pPr>
      <w:r>
        <w:rPr>
          <w:i/>
          <w:sz w:val="22"/>
          <w:szCs w:val="22"/>
          <w:lang w:eastAsia="en-US"/>
        </w:rPr>
        <w:t>Dantrolén (infúzió):</w:t>
      </w:r>
      <w:r>
        <w:rPr>
          <w:sz w:val="22"/>
          <w:szCs w:val="22"/>
          <w:lang w:eastAsia="en-US"/>
        </w:rPr>
        <w:t xml:space="preserve"> állatoknál hyperkalaemiával társult, letális kamrafibrillációt és keringés</w:t>
      </w:r>
      <w:r>
        <w:rPr>
          <w:sz w:val="22"/>
          <w:szCs w:val="22"/>
          <w:lang w:eastAsia="en-US"/>
        </w:rPr>
        <w:noBreakHyphen/>
        <w:t xml:space="preserve">összeomlást figyeltek meg verapamil és dantrolén intravénás adagolása után. A </w:t>
      </w:r>
      <w:r>
        <w:rPr>
          <w:sz w:val="22"/>
          <w:szCs w:val="22"/>
          <w:lang w:eastAsia="en-US"/>
        </w:rPr>
        <w:lastRenderedPageBreak/>
        <w:t>hyperkalaemia kockázata miatt a malignus hyperthermiára hajlamos betegek esetében és a malignus hyperthermia kezelése alatt a kalciumcsatorna-blokkolók, mint az amlodipin, alkalmazását kerülni kell.</w:t>
      </w:r>
    </w:p>
    <w:p w14:paraId="181D2372" w14:textId="77777777" w:rsidR="00382B5E" w:rsidRDefault="00382B5E">
      <w:pPr>
        <w:rPr>
          <w:sz w:val="22"/>
          <w:szCs w:val="22"/>
          <w:lang w:eastAsia="en-US"/>
        </w:rPr>
      </w:pPr>
    </w:p>
    <w:p w14:paraId="30E59E03" w14:textId="77777777" w:rsidR="00382B5E" w:rsidRDefault="00BE0CD4">
      <w:pPr>
        <w:rPr>
          <w:i/>
          <w:sz w:val="22"/>
          <w:szCs w:val="22"/>
          <w:lang w:eastAsia="en-US"/>
        </w:rPr>
      </w:pPr>
      <w:r>
        <w:rPr>
          <w:i/>
          <w:sz w:val="22"/>
          <w:szCs w:val="22"/>
          <w:lang w:eastAsia="en-US"/>
        </w:rPr>
        <w:t>Az amlodipin hatása egyéb gyógyszerekre</w:t>
      </w:r>
    </w:p>
    <w:p w14:paraId="73EBAB82" w14:textId="77777777" w:rsidR="00382B5E" w:rsidRDefault="00BE0CD4">
      <w:pPr>
        <w:rPr>
          <w:sz w:val="22"/>
          <w:szCs w:val="22"/>
          <w:lang w:eastAsia="en-US"/>
        </w:rPr>
      </w:pPr>
      <w:r>
        <w:rPr>
          <w:sz w:val="22"/>
          <w:szCs w:val="22"/>
          <w:lang w:eastAsia="en-US"/>
        </w:rPr>
        <w:t>Az amlodipin vérnyomáscsökkentő hatása hozzáadódik az egyéb antihipertenzív hatású gyógyszerek vérnyomáscsökkentő hatásához.</w:t>
      </w:r>
    </w:p>
    <w:p w14:paraId="331F92F0" w14:textId="77777777" w:rsidR="00382B5E" w:rsidRDefault="00382B5E">
      <w:pPr>
        <w:rPr>
          <w:sz w:val="22"/>
          <w:szCs w:val="22"/>
          <w:lang w:eastAsia="en-US"/>
        </w:rPr>
      </w:pPr>
    </w:p>
    <w:p w14:paraId="5D54CCA4" w14:textId="77777777" w:rsidR="00382B5E" w:rsidRDefault="00BE0CD4">
      <w:pPr>
        <w:rPr>
          <w:sz w:val="22"/>
          <w:szCs w:val="22"/>
          <w:lang w:eastAsia="en-US"/>
        </w:rPr>
      </w:pPr>
      <w:r>
        <w:rPr>
          <w:i/>
          <w:sz w:val="22"/>
          <w:szCs w:val="22"/>
          <w:lang w:eastAsia="en-US"/>
        </w:rPr>
        <w:t xml:space="preserve">Takrolimusz: </w:t>
      </w:r>
      <w:r>
        <w:rPr>
          <w:sz w:val="22"/>
          <w:szCs w:val="22"/>
          <w:lang w:eastAsia="en-US"/>
        </w:rPr>
        <w:t>amlodipinnel történő együttes alkalmazáskor fennáll a kockázata a takrolimusz megnövekedett vérszintjének. A takrolimusz toxicitásának elkerülése érdekében azoknál a betegeknél, akik a takrolimusszal történő kezeléskor amlodipint kapnak, a takrolimusz vérszintjét monitorozni kell, és ha szükséges, akkor a takrolimusz dózisát módosítani kell.</w:t>
      </w:r>
    </w:p>
    <w:p w14:paraId="193B860C" w14:textId="77777777" w:rsidR="00382B5E" w:rsidRDefault="00382B5E">
      <w:pPr>
        <w:rPr>
          <w:sz w:val="22"/>
          <w:szCs w:val="22"/>
          <w:lang w:eastAsia="en-US"/>
        </w:rPr>
      </w:pPr>
    </w:p>
    <w:p w14:paraId="1B92455D" w14:textId="77777777" w:rsidR="00382B5E" w:rsidRDefault="00BE0CD4">
      <w:pPr>
        <w:pStyle w:val="Szvegtrzs"/>
        <w:rPr>
          <w:szCs w:val="22"/>
          <w:lang w:val="hu-HU"/>
        </w:rPr>
      </w:pPr>
      <w:r>
        <w:rPr>
          <w:i/>
          <w:szCs w:val="22"/>
          <w:u w:val="single"/>
          <w:lang w:val="hu-HU"/>
        </w:rPr>
        <w:t xml:space="preserve">mTOR- (mammalian target of rapamycin) gátlók: </w:t>
      </w:r>
      <w:r>
        <w:rPr>
          <w:szCs w:val="22"/>
          <w:lang w:val="hu-HU"/>
        </w:rPr>
        <w:t>az mTOR-gátlók, mint a szirolimusz, a temszirolimusz és az everolimusz CYP3A-szubsztrátok. Az amlodipin gyenge CYP3A-inhibitor. Az amlodipin egyidejű adása mTOR-gátlókkal emelheti az mTOR-gátlók expozícióját.</w:t>
      </w:r>
    </w:p>
    <w:p w14:paraId="557BD3CE" w14:textId="77777777" w:rsidR="00382B5E" w:rsidRDefault="00382B5E">
      <w:pPr>
        <w:rPr>
          <w:sz w:val="22"/>
          <w:szCs w:val="22"/>
          <w:lang w:eastAsia="en-US"/>
        </w:rPr>
      </w:pPr>
    </w:p>
    <w:p w14:paraId="0A796992" w14:textId="77777777" w:rsidR="00382B5E" w:rsidRDefault="00BE0CD4">
      <w:pPr>
        <w:rPr>
          <w:szCs w:val="22"/>
        </w:rPr>
      </w:pPr>
      <w:r>
        <w:rPr>
          <w:i/>
          <w:sz w:val="22"/>
          <w:szCs w:val="22"/>
          <w:lang w:eastAsia="en-US"/>
        </w:rPr>
        <w:t xml:space="preserve">Klaritromicin: </w:t>
      </w:r>
      <w:r>
        <w:rPr>
          <w:sz w:val="22"/>
          <w:szCs w:val="22"/>
          <w:lang w:eastAsia="en-US"/>
        </w:rPr>
        <w:t>a klaritromicin a CYP3A4 egyik inhibitora. A hypotonia fokozott kockázata áll fenn a klaritromicint amlodipinnel együtt kapó betegeknél. A betegek szoros megfigyelése javasolt, ha az amlodipint egyidejűleg adagolják klaritromicinnel.</w:t>
      </w:r>
    </w:p>
    <w:p w14:paraId="6ED3B072" w14:textId="77777777" w:rsidR="00382B5E" w:rsidRDefault="00382B5E">
      <w:pPr>
        <w:rPr>
          <w:sz w:val="22"/>
          <w:szCs w:val="22"/>
          <w:lang w:eastAsia="en-US"/>
        </w:rPr>
      </w:pPr>
    </w:p>
    <w:p w14:paraId="4A24FE46" w14:textId="77777777" w:rsidR="00382B5E" w:rsidRDefault="00BE0CD4">
      <w:pPr>
        <w:rPr>
          <w:sz w:val="22"/>
          <w:szCs w:val="22"/>
          <w:lang w:eastAsia="en-US"/>
        </w:rPr>
      </w:pPr>
      <w:r>
        <w:rPr>
          <w:i/>
          <w:sz w:val="22"/>
          <w:szCs w:val="22"/>
          <w:lang w:eastAsia="en-US"/>
        </w:rPr>
        <w:t xml:space="preserve">Ciklosporin: </w:t>
      </w:r>
      <w:r>
        <w:rPr>
          <w:sz w:val="22"/>
          <w:szCs w:val="22"/>
          <w:lang w:eastAsia="en-US"/>
        </w:rPr>
        <w:t>ciklosporinnal és amlodipinnel nem végeztek gyógyszer-kölcsönhatási vizsgálatokat egészséges önkéntesek vagy más betegcsoportok körében, kivéve a vesetranszplantált betegeket, akiknél a ciklosporin mélyponti koncentrációjának változó növekedését (átlagosan 0–40%) figyelték meg. Amlodipin-kezelésben részesülő vesetranszplantált betegek esetében fontolóra kell venni a ciklosporinszintek monitorozását, és szükség esetén csökkenteni kell a ciklosporin dózisát.</w:t>
      </w:r>
    </w:p>
    <w:p w14:paraId="083B9CD3" w14:textId="77777777" w:rsidR="00382B5E" w:rsidRDefault="00382B5E">
      <w:pPr>
        <w:rPr>
          <w:sz w:val="22"/>
          <w:szCs w:val="22"/>
          <w:lang w:eastAsia="en-US"/>
        </w:rPr>
      </w:pPr>
    </w:p>
    <w:p w14:paraId="71FBF283" w14:textId="77777777" w:rsidR="00382B5E" w:rsidRDefault="00BE0CD4">
      <w:pPr>
        <w:keepNext/>
        <w:rPr>
          <w:sz w:val="22"/>
          <w:szCs w:val="22"/>
          <w:lang w:eastAsia="en-US"/>
        </w:rPr>
      </w:pPr>
      <w:r>
        <w:rPr>
          <w:i/>
          <w:sz w:val="22"/>
          <w:szCs w:val="22"/>
          <w:lang w:eastAsia="en-US"/>
        </w:rPr>
        <w:t xml:space="preserve">Szimvasztatin: </w:t>
      </w:r>
      <w:r>
        <w:rPr>
          <w:sz w:val="22"/>
          <w:szCs w:val="22"/>
          <w:lang w:eastAsia="en-US"/>
        </w:rPr>
        <w:t>10 mg amlodipin többszöri alkalmazása 80 mg szimvasztatin egyidejű szedése mellett 77%-kal emelte a szimvasztatin-expozíciót, összehasonlítva a szimvasztatin önmagában történő alkalmazásával. Az amlodipinnel kezelt betegek esetében a szimvasztatin napi adagját 20 mg-ra kell csökkenteni.</w:t>
      </w:r>
    </w:p>
    <w:p w14:paraId="69937DB4" w14:textId="77777777" w:rsidR="00382B5E" w:rsidRDefault="00382B5E">
      <w:pPr>
        <w:rPr>
          <w:sz w:val="22"/>
          <w:szCs w:val="22"/>
          <w:lang w:eastAsia="en-US"/>
        </w:rPr>
      </w:pPr>
    </w:p>
    <w:p w14:paraId="5A4A54CE" w14:textId="77777777" w:rsidR="00382B5E" w:rsidRDefault="00BE0CD4">
      <w:pPr>
        <w:rPr>
          <w:sz w:val="22"/>
          <w:szCs w:val="22"/>
          <w:lang w:eastAsia="en-US"/>
        </w:rPr>
      </w:pPr>
      <w:r>
        <w:rPr>
          <w:sz w:val="22"/>
          <w:szCs w:val="22"/>
          <w:lang w:eastAsia="en-US"/>
        </w:rPr>
        <w:t>Klinikai kölcsönhatás-vizsgálatokban az amlodipin nem befolyásolta az atorvasztatin, digoxin, vagy a warfarin farmakokinetikáját.</w:t>
      </w:r>
    </w:p>
    <w:p w14:paraId="70A44AAF" w14:textId="77777777" w:rsidR="00382B5E" w:rsidRDefault="00382B5E">
      <w:pPr>
        <w:rPr>
          <w:sz w:val="22"/>
          <w:szCs w:val="22"/>
          <w:u w:val="single"/>
          <w:lang w:eastAsia="en-US"/>
        </w:rPr>
      </w:pPr>
    </w:p>
    <w:p w14:paraId="69D21255" w14:textId="77777777" w:rsidR="00382B5E" w:rsidRDefault="00BE0CD4">
      <w:pPr>
        <w:rPr>
          <w:sz w:val="22"/>
          <w:szCs w:val="22"/>
          <w:u w:val="single"/>
        </w:rPr>
      </w:pPr>
      <w:r>
        <w:rPr>
          <w:sz w:val="22"/>
          <w:szCs w:val="22"/>
          <w:u w:val="single"/>
        </w:rPr>
        <w:t>Gyermekek és serdülők</w:t>
      </w:r>
    </w:p>
    <w:p w14:paraId="3B164356" w14:textId="77777777" w:rsidR="00382B5E" w:rsidRDefault="00BE0CD4">
      <w:pPr>
        <w:rPr>
          <w:sz w:val="22"/>
          <w:szCs w:val="22"/>
        </w:rPr>
      </w:pPr>
      <w:r>
        <w:rPr>
          <w:noProof/>
          <w:sz w:val="22"/>
          <w:szCs w:val="22"/>
          <w:lang w:eastAsia="en-US"/>
        </w:rPr>
        <w:t>Interakciós vizsgálatokat gyermekek és serdülők körében nem végeztek.</w:t>
      </w:r>
    </w:p>
    <w:p w14:paraId="602208C4" w14:textId="77777777" w:rsidR="00382B5E" w:rsidRDefault="00382B5E">
      <w:pPr>
        <w:rPr>
          <w:sz w:val="22"/>
          <w:szCs w:val="22"/>
        </w:rPr>
      </w:pPr>
    </w:p>
    <w:p w14:paraId="14B72ED5" w14:textId="77777777" w:rsidR="00382B5E" w:rsidRDefault="00BE0CD4">
      <w:pPr>
        <w:rPr>
          <w:b/>
          <w:sz w:val="22"/>
          <w:szCs w:val="22"/>
        </w:rPr>
      </w:pPr>
      <w:r>
        <w:rPr>
          <w:b/>
          <w:sz w:val="22"/>
          <w:szCs w:val="22"/>
        </w:rPr>
        <w:t>4.6</w:t>
      </w:r>
      <w:r>
        <w:rPr>
          <w:b/>
          <w:sz w:val="22"/>
          <w:szCs w:val="22"/>
        </w:rPr>
        <w:tab/>
        <w:t>Termékenység, terhesség és szoptatás</w:t>
      </w:r>
    </w:p>
    <w:p w14:paraId="528C5CDF" w14:textId="77777777" w:rsidR="00382B5E" w:rsidRDefault="00382B5E">
      <w:pPr>
        <w:rPr>
          <w:b/>
          <w:i/>
          <w:sz w:val="22"/>
          <w:szCs w:val="22"/>
        </w:rPr>
      </w:pPr>
    </w:p>
    <w:p w14:paraId="6DD3B964" w14:textId="77777777" w:rsidR="00382B5E" w:rsidRDefault="00BE0CD4">
      <w:pPr>
        <w:autoSpaceDE w:val="0"/>
        <w:autoSpaceDN w:val="0"/>
        <w:adjustRightInd w:val="0"/>
        <w:rPr>
          <w:sz w:val="22"/>
          <w:szCs w:val="22"/>
          <w:u w:val="single"/>
          <w:lang w:eastAsia="en-US"/>
        </w:rPr>
      </w:pPr>
      <w:r>
        <w:rPr>
          <w:sz w:val="22"/>
          <w:szCs w:val="22"/>
          <w:u w:val="single"/>
          <w:lang w:eastAsia="en-US"/>
        </w:rPr>
        <w:t>Terhesség</w:t>
      </w:r>
    </w:p>
    <w:p w14:paraId="6E7C1E1F" w14:textId="77777777" w:rsidR="00382B5E" w:rsidRDefault="00382B5E">
      <w:pPr>
        <w:autoSpaceDE w:val="0"/>
        <w:autoSpaceDN w:val="0"/>
        <w:adjustRightInd w:val="0"/>
        <w:rPr>
          <w:sz w:val="22"/>
          <w:szCs w:val="22"/>
          <w:lang w:eastAsia="en-US"/>
        </w:rPr>
      </w:pPr>
    </w:p>
    <w:p w14:paraId="2A9C8193" w14:textId="77777777" w:rsidR="00382B5E" w:rsidRDefault="00BE0CD4">
      <w:pPr>
        <w:autoSpaceDE w:val="0"/>
        <w:autoSpaceDN w:val="0"/>
        <w:adjustRightInd w:val="0"/>
        <w:rPr>
          <w:i/>
          <w:sz w:val="22"/>
          <w:szCs w:val="22"/>
          <w:lang w:eastAsia="en-US"/>
        </w:rPr>
      </w:pPr>
      <w:r>
        <w:rPr>
          <w:i/>
          <w:sz w:val="22"/>
          <w:szCs w:val="22"/>
          <w:lang w:eastAsia="en-US"/>
        </w:rPr>
        <w:t>Lozartán</w:t>
      </w:r>
    </w:p>
    <w:p w14:paraId="5123B70C" w14:textId="77777777" w:rsidR="00382B5E" w:rsidRDefault="00BE0CD4">
      <w:pPr>
        <w:pBdr>
          <w:top w:val="single" w:sz="4" w:space="1" w:color="auto"/>
          <w:left w:val="single" w:sz="4" w:space="4" w:color="auto"/>
          <w:bottom w:val="single" w:sz="4" w:space="1" w:color="auto"/>
          <w:right w:val="single" w:sz="4" w:space="4" w:color="auto"/>
        </w:pBdr>
        <w:autoSpaceDE w:val="0"/>
        <w:autoSpaceDN w:val="0"/>
        <w:adjustRightInd w:val="0"/>
        <w:rPr>
          <w:sz w:val="22"/>
          <w:szCs w:val="22"/>
          <w:lang w:eastAsia="en-US"/>
        </w:rPr>
      </w:pPr>
      <w:r>
        <w:rPr>
          <w:sz w:val="22"/>
          <w:szCs w:val="22"/>
          <w:lang w:eastAsia="en-US"/>
        </w:rPr>
        <w:t>Az angiotenzin II</w:t>
      </w:r>
      <w:r>
        <w:rPr>
          <w:sz w:val="22"/>
          <w:szCs w:val="22"/>
          <w:lang w:eastAsia="en-US"/>
        </w:rPr>
        <w:noBreakHyphen/>
        <w:t>receptor-antagonisták (AIIRA) használata nem ajánlott a terhesség első trimeszterében (lásd 4.4 pont). Az AIIRA használata ellenjavallt a terhesség második és harmadik trimeszterében (lásd 4.3 és 4.4 pont).</w:t>
      </w:r>
    </w:p>
    <w:p w14:paraId="62322E9C" w14:textId="77777777" w:rsidR="00382B5E" w:rsidRDefault="00382B5E">
      <w:pPr>
        <w:autoSpaceDE w:val="0"/>
        <w:autoSpaceDN w:val="0"/>
        <w:adjustRightInd w:val="0"/>
        <w:rPr>
          <w:i/>
          <w:sz w:val="22"/>
          <w:szCs w:val="22"/>
          <w:lang w:eastAsia="en-US"/>
        </w:rPr>
      </w:pPr>
    </w:p>
    <w:p w14:paraId="3A32FC0D" w14:textId="77777777" w:rsidR="00382B5E" w:rsidRDefault="00BE0CD4">
      <w:pPr>
        <w:tabs>
          <w:tab w:val="left" w:pos="567"/>
        </w:tabs>
        <w:rPr>
          <w:color w:val="000000"/>
          <w:sz w:val="22"/>
          <w:szCs w:val="22"/>
        </w:rPr>
      </w:pPr>
      <w:r>
        <w:rPr>
          <w:color w:val="000000"/>
          <w:sz w:val="22"/>
          <w:szCs w:val="22"/>
        </w:rPr>
        <w:t>Az ACE-gátlók első trimeszterben történő szedését követő teratogén kockázatra vonatkozó epidemiológiai adatok nem egyértelműek, a kockázat kismértékű növekedése azonban nem zárható ki. Bár az ATII-antagonisták teratogén kockázatára vonatkozóan nem állnak rendelkezésre kontrollált epidemiológiai adatok, feltételezhető, hogy a kockázat erre a gyógyszercsoportra vonatkozóan is hasonló. Hacsak az ATII-receptor-antagonistával történő folyamatos kezelés nem elengedhetetlen, a terhességet tervező betegeket más, olyan antihipertenzív kezelésre kell átállítani, melynek biztonságossága terhességben alátámasztott.</w:t>
      </w:r>
    </w:p>
    <w:p w14:paraId="50FC4F58" w14:textId="77777777" w:rsidR="00382B5E" w:rsidRDefault="00382B5E">
      <w:pPr>
        <w:tabs>
          <w:tab w:val="left" w:pos="567"/>
        </w:tabs>
        <w:rPr>
          <w:color w:val="000000"/>
          <w:sz w:val="22"/>
          <w:szCs w:val="22"/>
        </w:rPr>
      </w:pPr>
    </w:p>
    <w:p w14:paraId="7A7CCDE3" w14:textId="77777777" w:rsidR="00382B5E" w:rsidRDefault="00BE0CD4">
      <w:pPr>
        <w:tabs>
          <w:tab w:val="left" w:pos="567"/>
        </w:tabs>
        <w:rPr>
          <w:color w:val="000000"/>
          <w:sz w:val="22"/>
          <w:szCs w:val="22"/>
        </w:rPr>
      </w:pPr>
      <w:r>
        <w:rPr>
          <w:color w:val="000000"/>
          <w:sz w:val="22"/>
          <w:szCs w:val="22"/>
        </w:rPr>
        <w:t>Az ATII-receptor-antagonista-kezelést azonnal abba kell hagyni, amennyiben terhességet állapítottak meg. Szükség esetén más, megfelelő kezelést kell elkezdeni.</w:t>
      </w:r>
    </w:p>
    <w:p w14:paraId="20F38563" w14:textId="77777777" w:rsidR="00382B5E" w:rsidRDefault="00382B5E">
      <w:pPr>
        <w:tabs>
          <w:tab w:val="left" w:pos="567"/>
        </w:tabs>
        <w:rPr>
          <w:color w:val="000000"/>
          <w:sz w:val="22"/>
          <w:szCs w:val="22"/>
        </w:rPr>
      </w:pPr>
    </w:p>
    <w:p w14:paraId="3950ED9F" w14:textId="77777777" w:rsidR="00382B5E" w:rsidRDefault="00BE0CD4">
      <w:pPr>
        <w:tabs>
          <w:tab w:val="left" w:pos="567"/>
        </w:tabs>
        <w:rPr>
          <w:color w:val="000000"/>
          <w:sz w:val="22"/>
          <w:szCs w:val="22"/>
        </w:rPr>
      </w:pPr>
      <w:r>
        <w:rPr>
          <w:color w:val="000000"/>
          <w:sz w:val="22"/>
          <w:szCs w:val="22"/>
        </w:rPr>
        <w:t>Ismert, hogy az ATII-receptor-antagonista második és harmadik trimeszterben történő szedése emberen magzatkárosodást (csökkent veseműködés, oligohydramnion, a koponya csontosodásának visszamaradása) és neonatalis toxicitást (veseelégtelenség, hypotonia, hyperkalaemia) okoz (lásd 5.3 pont).</w:t>
      </w:r>
    </w:p>
    <w:p w14:paraId="70B8D19D" w14:textId="77777777" w:rsidR="00382B5E" w:rsidRDefault="00382B5E">
      <w:pPr>
        <w:tabs>
          <w:tab w:val="left" w:pos="567"/>
        </w:tabs>
        <w:rPr>
          <w:color w:val="000000"/>
          <w:sz w:val="22"/>
          <w:szCs w:val="22"/>
        </w:rPr>
      </w:pPr>
    </w:p>
    <w:p w14:paraId="7D4E609A" w14:textId="77777777" w:rsidR="00382B5E" w:rsidRDefault="00BE0CD4">
      <w:pPr>
        <w:tabs>
          <w:tab w:val="left" w:pos="567"/>
        </w:tabs>
        <w:rPr>
          <w:color w:val="000000"/>
          <w:sz w:val="22"/>
          <w:szCs w:val="22"/>
        </w:rPr>
      </w:pPr>
      <w:r>
        <w:rPr>
          <w:color w:val="000000"/>
          <w:sz w:val="22"/>
          <w:szCs w:val="22"/>
        </w:rPr>
        <w:t>Amennyiben az ATII-receptor-antagonista szedése a terhesség második, illetve harmadik trimeszterében történt, a vese és a koponya ultrahangos ellenőrzése javasolt.</w:t>
      </w:r>
    </w:p>
    <w:p w14:paraId="42DCFBCA" w14:textId="77777777" w:rsidR="00382B5E" w:rsidRDefault="00382B5E">
      <w:pPr>
        <w:tabs>
          <w:tab w:val="left" w:pos="567"/>
        </w:tabs>
        <w:rPr>
          <w:color w:val="000000"/>
          <w:sz w:val="22"/>
          <w:szCs w:val="22"/>
        </w:rPr>
      </w:pPr>
    </w:p>
    <w:p w14:paraId="32B45A5D" w14:textId="77777777" w:rsidR="00382B5E" w:rsidRDefault="00BE0CD4">
      <w:pPr>
        <w:tabs>
          <w:tab w:val="left" w:pos="567"/>
        </w:tabs>
        <w:rPr>
          <w:color w:val="000000"/>
          <w:sz w:val="22"/>
          <w:szCs w:val="22"/>
        </w:rPr>
      </w:pPr>
      <w:r>
        <w:rPr>
          <w:color w:val="000000"/>
          <w:sz w:val="22"/>
          <w:szCs w:val="22"/>
        </w:rPr>
        <w:t>ATII-receptor-antagonistát szedő anyák csecsemőit fokozottan meg kell figyelni hypotonia kialakulása szempontjából (lásd 4.3 és 4.4 pont).</w:t>
      </w:r>
    </w:p>
    <w:p w14:paraId="4BFB5D6D" w14:textId="77777777" w:rsidR="00382B5E" w:rsidRDefault="00382B5E">
      <w:pPr>
        <w:autoSpaceDE w:val="0"/>
        <w:autoSpaceDN w:val="0"/>
        <w:adjustRightInd w:val="0"/>
        <w:rPr>
          <w:sz w:val="22"/>
          <w:szCs w:val="22"/>
          <w:lang w:eastAsia="en-US"/>
        </w:rPr>
      </w:pPr>
    </w:p>
    <w:p w14:paraId="053C0EEB" w14:textId="77777777" w:rsidR="00382B5E" w:rsidRDefault="00BE0CD4">
      <w:pPr>
        <w:autoSpaceDE w:val="0"/>
        <w:autoSpaceDN w:val="0"/>
        <w:adjustRightInd w:val="0"/>
        <w:rPr>
          <w:i/>
          <w:sz w:val="22"/>
          <w:szCs w:val="22"/>
          <w:lang w:eastAsia="en-US"/>
        </w:rPr>
      </w:pPr>
      <w:r>
        <w:rPr>
          <w:i/>
          <w:sz w:val="22"/>
          <w:szCs w:val="22"/>
          <w:lang w:eastAsia="en-US"/>
        </w:rPr>
        <w:t>Amlodipin</w:t>
      </w:r>
    </w:p>
    <w:p w14:paraId="6C150B8F" w14:textId="77777777" w:rsidR="00382B5E" w:rsidRDefault="00BE0CD4">
      <w:pPr>
        <w:rPr>
          <w:sz w:val="22"/>
          <w:szCs w:val="22"/>
        </w:rPr>
      </w:pPr>
      <w:r>
        <w:rPr>
          <w:sz w:val="22"/>
          <w:szCs w:val="22"/>
        </w:rPr>
        <w:t>Terhes nőkben az amlodipin biztonságosságát nem bizonyították.</w:t>
      </w:r>
    </w:p>
    <w:p w14:paraId="7E696402" w14:textId="77777777" w:rsidR="00382B5E" w:rsidRDefault="00BE0CD4">
      <w:pPr>
        <w:rPr>
          <w:sz w:val="22"/>
          <w:szCs w:val="22"/>
        </w:rPr>
      </w:pPr>
      <w:r>
        <w:rPr>
          <w:sz w:val="22"/>
          <w:szCs w:val="22"/>
        </w:rPr>
        <w:t>Állatkísérletekben magas dózisok esetében reprodukciós toxicitást figyeltek meg (lásd 5.3 pont).</w:t>
      </w:r>
    </w:p>
    <w:p w14:paraId="2C2E92B2" w14:textId="77777777" w:rsidR="00382B5E" w:rsidRDefault="00BE0CD4">
      <w:pPr>
        <w:rPr>
          <w:sz w:val="22"/>
          <w:szCs w:val="22"/>
        </w:rPr>
      </w:pPr>
      <w:r>
        <w:rPr>
          <w:sz w:val="22"/>
          <w:szCs w:val="22"/>
        </w:rPr>
        <w:t>Alkalmazása a terhesség ideje alatt csak akkor javasolt, ha nincs biztonságosabb alternatíva, és a betegség önmagában nagyobb kockázatot jelent az anya és a magzat számára.</w:t>
      </w:r>
    </w:p>
    <w:p w14:paraId="11BE74C8" w14:textId="77777777" w:rsidR="00382B5E" w:rsidRDefault="00382B5E">
      <w:pPr>
        <w:autoSpaceDE w:val="0"/>
        <w:autoSpaceDN w:val="0"/>
        <w:adjustRightInd w:val="0"/>
        <w:rPr>
          <w:sz w:val="22"/>
          <w:szCs w:val="22"/>
          <w:lang w:eastAsia="en-US"/>
        </w:rPr>
      </w:pPr>
    </w:p>
    <w:p w14:paraId="5292E663" w14:textId="77777777" w:rsidR="00382B5E" w:rsidRDefault="00BE0CD4">
      <w:pPr>
        <w:autoSpaceDE w:val="0"/>
        <w:autoSpaceDN w:val="0"/>
        <w:adjustRightInd w:val="0"/>
        <w:rPr>
          <w:sz w:val="22"/>
          <w:szCs w:val="22"/>
          <w:u w:val="single"/>
          <w:lang w:eastAsia="en-US"/>
        </w:rPr>
      </w:pPr>
      <w:r>
        <w:rPr>
          <w:sz w:val="22"/>
          <w:szCs w:val="22"/>
          <w:u w:val="single"/>
          <w:lang w:eastAsia="en-US"/>
        </w:rPr>
        <w:t>Szoptatás</w:t>
      </w:r>
    </w:p>
    <w:p w14:paraId="689D339D" w14:textId="77777777" w:rsidR="00382B5E" w:rsidRDefault="00BE0CD4">
      <w:pPr>
        <w:autoSpaceDE w:val="0"/>
        <w:autoSpaceDN w:val="0"/>
        <w:adjustRightInd w:val="0"/>
        <w:rPr>
          <w:sz w:val="22"/>
          <w:szCs w:val="22"/>
          <w:lang w:eastAsia="en-US"/>
        </w:rPr>
      </w:pPr>
      <w:r>
        <w:rPr>
          <w:sz w:val="22"/>
          <w:szCs w:val="22"/>
          <w:lang w:eastAsia="en-US"/>
        </w:rPr>
        <w:t>Nem áll rendelkezésre adat a lozartán szoptatás alatti alkalmazásáról</w:t>
      </w:r>
    </w:p>
    <w:p w14:paraId="71D1EB18" w14:textId="77777777" w:rsidR="00382B5E" w:rsidRDefault="00382B5E">
      <w:pPr>
        <w:autoSpaceDE w:val="0"/>
        <w:autoSpaceDN w:val="0"/>
        <w:adjustRightInd w:val="0"/>
        <w:rPr>
          <w:sz w:val="22"/>
          <w:szCs w:val="22"/>
          <w:lang w:eastAsia="en-US"/>
        </w:rPr>
      </w:pPr>
    </w:p>
    <w:p w14:paraId="1D34E87D" w14:textId="77777777" w:rsidR="00382B5E" w:rsidRDefault="00BE0CD4">
      <w:pPr>
        <w:autoSpaceDE w:val="0"/>
        <w:autoSpaceDN w:val="0"/>
        <w:adjustRightInd w:val="0"/>
        <w:rPr>
          <w:sz w:val="22"/>
          <w:szCs w:val="22"/>
          <w:lang w:eastAsia="en-US"/>
        </w:rPr>
      </w:pPr>
      <w:r>
        <w:rPr>
          <w:sz w:val="22"/>
          <w:szCs w:val="22"/>
          <w:lang w:eastAsia="en-US"/>
        </w:rPr>
        <w:t>Az amlodipin kiválasztódik az anyatejbe. Becslések szerint a csecsemő által felvett dózis az anyai dózis 3-7%-os interkvartilis tartományában található, de legfeljebb 15%. Az amlodipin hatásai a csecsemőre nem ismertek.</w:t>
      </w:r>
    </w:p>
    <w:p w14:paraId="11C7C520" w14:textId="77777777" w:rsidR="00382B5E" w:rsidRDefault="00382B5E">
      <w:pPr>
        <w:autoSpaceDE w:val="0"/>
        <w:autoSpaceDN w:val="0"/>
        <w:adjustRightInd w:val="0"/>
        <w:rPr>
          <w:sz w:val="22"/>
          <w:szCs w:val="22"/>
          <w:lang w:eastAsia="en-US"/>
        </w:rPr>
      </w:pPr>
    </w:p>
    <w:p w14:paraId="37E21B91" w14:textId="77777777" w:rsidR="00382B5E" w:rsidRDefault="00BE0CD4">
      <w:pPr>
        <w:autoSpaceDE w:val="0"/>
        <w:autoSpaceDN w:val="0"/>
        <w:adjustRightInd w:val="0"/>
        <w:rPr>
          <w:sz w:val="22"/>
          <w:szCs w:val="22"/>
          <w:lang w:eastAsia="en-US"/>
        </w:rPr>
      </w:pPr>
      <w:r>
        <w:rPr>
          <w:sz w:val="22"/>
          <w:szCs w:val="22"/>
          <w:lang w:eastAsia="en-US"/>
        </w:rPr>
        <w:t>Emiatt a Losartan/Amlodipin Krka szedése nem javasolt szoptatás alatt. Ilyen esetben – különösen újszülött vagy koraszülött szoptatása esetén – a Losartan/Amlodipin Krka helyett olyan kezelés alkalmazása javasolt, amelynek biztonságossága jobban alátámasztott.</w:t>
      </w:r>
    </w:p>
    <w:p w14:paraId="78485354" w14:textId="77777777" w:rsidR="00382B5E" w:rsidRDefault="00382B5E">
      <w:pPr>
        <w:rPr>
          <w:b/>
          <w:sz w:val="22"/>
          <w:szCs w:val="22"/>
        </w:rPr>
      </w:pPr>
    </w:p>
    <w:p w14:paraId="09B1AC90" w14:textId="77777777" w:rsidR="00382B5E" w:rsidRDefault="00BE0CD4">
      <w:pPr>
        <w:tabs>
          <w:tab w:val="left" w:pos="567"/>
        </w:tabs>
        <w:jc w:val="both"/>
        <w:rPr>
          <w:sz w:val="22"/>
          <w:szCs w:val="22"/>
        </w:rPr>
      </w:pPr>
      <w:r>
        <w:rPr>
          <w:sz w:val="22"/>
          <w:szCs w:val="22"/>
          <w:u w:val="single"/>
        </w:rPr>
        <w:t>Termékenység</w:t>
      </w:r>
    </w:p>
    <w:p w14:paraId="0035CB49" w14:textId="77777777" w:rsidR="00382B5E" w:rsidRDefault="00BE0CD4">
      <w:pPr>
        <w:outlineLvl w:val="0"/>
        <w:rPr>
          <w:sz w:val="22"/>
          <w:szCs w:val="22"/>
        </w:rPr>
      </w:pPr>
      <w:r>
        <w:rPr>
          <w:sz w:val="22"/>
          <w:szCs w:val="22"/>
        </w:rPr>
        <w:t>Kalciumcsatorna-blokkolókkal kezelt néhány beteg esetében a spermiumok esetén reverzibilis biokémiai változásokat figyeltek meg. Azonban az amlodipinnek a termékenységre gyakorolt lehetséges hatásáról nincs elegendő klinikai adat. Az amlodipin egy patkányokon végzett tanulmány szerint, a hímek termékenységi paramétereire gyakorolt nemkívánatos hatást mutatott (lásd 5.3 pont).</w:t>
      </w:r>
    </w:p>
    <w:p w14:paraId="2AC46120" w14:textId="77777777" w:rsidR="00382B5E" w:rsidRDefault="00382B5E">
      <w:pPr>
        <w:rPr>
          <w:b/>
          <w:sz w:val="22"/>
          <w:szCs w:val="22"/>
        </w:rPr>
      </w:pPr>
    </w:p>
    <w:p w14:paraId="4ACEC58B" w14:textId="77777777" w:rsidR="00382B5E" w:rsidRDefault="00BE0CD4">
      <w:pPr>
        <w:ind w:left="567" w:hanging="567"/>
        <w:rPr>
          <w:b/>
          <w:bCs/>
          <w:sz w:val="22"/>
          <w:szCs w:val="22"/>
        </w:rPr>
      </w:pPr>
      <w:r>
        <w:rPr>
          <w:b/>
          <w:bCs/>
          <w:sz w:val="22"/>
          <w:szCs w:val="22"/>
        </w:rPr>
        <w:t>4.7</w:t>
      </w:r>
      <w:r>
        <w:rPr>
          <w:b/>
          <w:bCs/>
          <w:sz w:val="22"/>
          <w:szCs w:val="22"/>
        </w:rPr>
        <w:tab/>
        <w:t>A készítmény hatásai a gépjárművezetéshez és a gépek kezeléséhez szükséges képességekre</w:t>
      </w:r>
    </w:p>
    <w:p w14:paraId="797D4135" w14:textId="77777777" w:rsidR="00382B5E" w:rsidRDefault="00382B5E">
      <w:pPr>
        <w:rPr>
          <w:sz w:val="22"/>
          <w:szCs w:val="22"/>
        </w:rPr>
      </w:pPr>
    </w:p>
    <w:p w14:paraId="553B74AE" w14:textId="77777777" w:rsidR="00382B5E" w:rsidRDefault="00BE0CD4">
      <w:pPr>
        <w:autoSpaceDE w:val="0"/>
        <w:autoSpaceDN w:val="0"/>
        <w:adjustRightInd w:val="0"/>
        <w:rPr>
          <w:sz w:val="22"/>
          <w:szCs w:val="22"/>
          <w:lang w:eastAsia="en-US"/>
        </w:rPr>
      </w:pPr>
      <w:r>
        <w:rPr>
          <w:sz w:val="22"/>
          <w:szCs w:val="22"/>
          <w:lang w:eastAsia="en-US"/>
        </w:rPr>
        <w:t>A gépjárművezetéshez és a gépek kezeléséhez szükséges képességeket befolyásoló hatásokat tanulmányozó vizsgálatot nem végeztek. Gépjárművezetéskor és gépek kezelésekor azonban figyelembe kell venni, hogy néhány esetben szédülés és álmosság jelentkezhet az antihipertenzív kezelés során, különösen a kezelés kezdetén.</w:t>
      </w:r>
    </w:p>
    <w:p w14:paraId="64F81CBD" w14:textId="77777777" w:rsidR="00382B5E" w:rsidRDefault="00382B5E">
      <w:pPr>
        <w:autoSpaceDE w:val="0"/>
        <w:autoSpaceDN w:val="0"/>
        <w:adjustRightInd w:val="0"/>
        <w:rPr>
          <w:sz w:val="22"/>
          <w:szCs w:val="22"/>
          <w:lang w:eastAsia="en-US"/>
        </w:rPr>
      </w:pPr>
    </w:p>
    <w:p w14:paraId="1D735D39" w14:textId="77777777" w:rsidR="00382B5E" w:rsidRDefault="00BE0CD4">
      <w:pPr>
        <w:autoSpaceDE w:val="0"/>
        <w:autoSpaceDN w:val="0"/>
        <w:adjustRightInd w:val="0"/>
        <w:rPr>
          <w:sz w:val="22"/>
          <w:szCs w:val="22"/>
          <w:lang w:eastAsia="en-US"/>
        </w:rPr>
      </w:pPr>
      <w:r>
        <w:rPr>
          <w:sz w:val="22"/>
          <w:szCs w:val="22"/>
          <w:lang w:eastAsia="en-US"/>
        </w:rPr>
        <w:t>Az amlodipin kis- vagy közepes mértékben befolyásolja a gépjárművezetéshez és a gépek kezeléséhez szükséges képességeket. Ha az amlodipint szedő betegek szédüléstől, fejfájástól, fáradtságtól vagy hányingertől szenvednek, reakciókészségük romolhat.</w:t>
      </w:r>
    </w:p>
    <w:p w14:paraId="6DCC1006" w14:textId="77777777" w:rsidR="00382B5E" w:rsidRDefault="00382B5E">
      <w:pPr>
        <w:rPr>
          <w:sz w:val="22"/>
          <w:szCs w:val="22"/>
        </w:rPr>
      </w:pPr>
    </w:p>
    <w:p w14:paraId="488F987C" w14:textId="77777777" w:rsidR="00382B5E" w:rsidRDefault="00BE0CD4">
      <w:pPr>
        <w:numPr>
          <w:ilvl w:val="1"/>
          <w:numId w:val="37"/>
        </w:numPr>
        <w:ind w:left="562" w:hanging="562"/>
        <w:rPr>
          <w:b/>
          <w:sz w:val="22"/>
          <w:szCs w:val="22"/>
        </w:rPr>
      </w:pPr>
      <w:r>
        <w:rPr>
          <w:b/>
          <w:sz w:val="22"/>
          <w:szCs w:val="22"/>
        </w:rPr>
        <w:t>Nemkívánatos hatások, mellékhatások</w:t>
      </w:r>
    </w:p>
    <w:p w14:paraId="47D9B2E0" w14:textId="77777777" w:rsidR="00382B5E" w:rsidRDefault="00382B5E">
      <w:pPr>
        <w:rPr>
          <w:b/>
          <w:sz w:val="22"/>
          <w:szCs w:val="22"/>
        </w:rPr>
      </w:pPr>
    </w:p>
    <w:p w14:paraId="05B00F73" w14:textId="77777777" w:rsidR="00382B5E" w:rsidRDefault="00BE0CD4">
      <w:pPr>
        <w:rPr>
          <w:sz w:val="22"/>
          <w:szCs w:val="22"/>
          <w:u w:val="single"/>
        </w:rPr>
      </w:pPr>
      <w:r>
        <w:rPr>
          <w:sz w:val="22"/>
          <w:szCs w:val="22"/>
          <w:u w:val="single"/>
        </w:rPr>
        <w:t>A biztonságossági profil összefoglalása</w:t>
      </w:r>
    </w:p>
    <w:p w14:paraId="4E4D5A9C" w14:textId="77777777" w:rsidR="00382B5E" w:rsidRDefault="00BE0CD4">
      <w:pPr>
        <w:rPr>
          <w:i/>
          <w:sz w:val="22"/>
          <w:szCs w:val="22"/>
        </w:rPr>
      </w:pPr>
      <w:r>
        <w:rPr>
          <w:i/>
          <w:sz w:val="22"/>
          <w:szCs w:val="22"/>
        </w:rPr>
        <w:t>Lozartán</w:t>
      </w:r>
    </w:p>
    <w:p w14:paraId="0899F67B" w14:textId="77777777" w:rsidR="00382B5E" w:rsidRDefault="00BE0CD4">
      <w:pPr>
        <w:rPr>
          <w:sz w:val="22"/>
          <w:szCs w:val="22"/>
        </w:rPr>
      </w:pPr>
      <w:r>
        <w:rPr>
          <w:noProof/>
          <w:color w:val="000000"/>
          <w:sz w:val="22"/>
          <w:szCs w:val="22"/>
        </w:rPr>
        <w:t>A vizsgálatok során a leggyakoribb mellékhatás a szédülés volt.</w:t>
      </w:r>
    </w:p>
    <w:p w14:paraId="15917E10" w14:textId="77777777" w:rsidR="00382B5E" w:rsidRDefault="00382B5E">
      <w:pPr>
        <w:rPr>
          <w:sz w:val="22"/>
          <w:szCs w:val="22"/>
        </w:rPr>
      </w:pPr>
    </w:p>
    <w:p w14:paraId="099DFA31" w14:textId="77777777" w:rsidR="00382B5E" w:rsidRDefault="00BE0CD4">
      <w:pPr>
        <w:rPr>
          <w:i/>
          <w:sz w:val="22"/>
          <w:szCs w:val="22"/>
        </w:rPr>
      </w:pPr>
      <w:r>
        <w:rPr>
          <w:i/>
          <w:sz w:val="22"/>
          <w:szCs w:val="22"/>
        </w:rPr>
        <w:t>Amlodipin</w:t>
      </w:r>
    </w:p>
    <w:p w14:paraId="0C93DD21" w14:textId="77777777" w:rsidR="00382B5E" w:rsidRDefault="00BE0CD4">
      <w:pPr>
        <w:rPr>
          <w:sz w:val="22"/>
          <w:szCs w:val="22"/>
        </w:rPr>
      </w:pPr>
      <w:r>
        <w:rPr>
          <w:sz w:val="22"/>
          <w:szCs w:val="22"/>
        </w:rPr>
        <w:t>A kezelés során leggyakrabban jelentett mellékhatások az aluszékonyság, szédülés, fejfájás, palpitáció, arckipirulás, hasi fájdalom, hányinger, bokaduzzanat, oedema és fáradékonyság voltak.</w:t>
      </w:r>
    </w:p>
    <w:p w14:paraId="1F96FEBA" w14:textId="77777777" w:rsidR="00382B5E" w:rsidRDefault="00382B5E">
      <w:pPr>
        <w:rPr>
          <w:sz w:val="22"/>
          <w:szCs w:val="22"/>
        </w:rPr>
      </w:pPr>
    </w:p>
    <w:p w14:paraId="7EB6E0D6" w14:textId="77777777" w:rsidR="00382B5E" w:rsidRDefault="00BE0CD4">
      <w:pPr>
        <w:rPr>
          <w:sz w:val="22"/>
          <w:szCs w:val="22"/>
          <w:u w:val="single"/>
        </w:rPr>
      </w:pPr>
      <w:r>
        <w:rPr>
          <w:sz w:val="22"/>
          <w:szCs w:val="22"/>
          <w:u w:val="single"/>
        </w:rPr>
        <w:t>A mellékhatások táblázatos felsorolása</w:t>
      </w:r>
    </w:p>
    <w:p w14:paraId="48DC6595" w14:textId="77777777" w:rsidR="00382B5E" w:rsidRDefault="00BE0CD4">
      <w:pPr>
        <w:rPr>
          <w:sz w:val="22"/>
          <w:szCs w:val="22"/>
        </w:rPr>
      </w:pPr>
      <w:r>
        <w:rPr>
          <w:color w:val="000000"/>
          <w:sz w:val="22"/>
          <w:szCs w:val="22"/>
          <w:lang w:eastAsia="en-US"/>
        </w:rPr>
        <w:lastRenderedPageBreak/>
        <w:t>A következő nemkívánatos hatásokat külön-külön adagolt amlodipinnel vagy lozartánnal végzett kezelés során figyelték meg. A mellékhatások a MedDRA (szervrendszer alapú) osztályozás szerint és gyakoriság alapján kerültek besorolásra:</w:t>
      </w:r>
    </w:p>
    <w:p w14:paraId="4A31D813" w14:textId="77777777" w:rsidR="00382B5E" w:rsidRDefault="00BE0CD4">
      <w:pPr>
        <w:autoSpaceDE w:val="0"/>
        <w:autoSpaceDN w:val="0"/>
        <w:adjustRightInd w:val="0"/>
        <w:rPr>
          <w:sz w:val="22"/>
          <w:szCs w:val="22"/>
          <w:lang w:eastAsia="en-US"/>
        </w:rPr>
      </w:pPr>
      <w:r>
        <w:rPr>
          <w:sz w:val="22"/>
          <w:szCs w:val="22"/>
          <w:lang w:eastAsia="en-US"/>
        </w:rPr>
        <w:t>Az alábbiakban felsorolt nemkívánatos hatások a következő gyakorisági kategóriákba kerültek besorolásra:</w:t>
      </w:r>
    </w:p>
    <w:p w14:paraId="753B2DA9" w14:textId="77777777" w:rsidR="00382B5E" w:rsidRDefault="00BE0CD4">
      <w:pPr>
        <w:numPr>
          <w:ilvl w:val="0"/>
          <w:numId w:val="40"/>
        </w:numPr>
        <w:autoSpaceDE w:val="0"/>
        <w:autoSpaceDN w:val="0"/>
        <w:adjustRightInd w:val="0"/>
        <w:ind w:left="567" w:hanging="567"/>
        <w:rPr>
          <w:sz w:val="22"/>
          <w:szCs w:val="22"/>
          <w:lang w:eastAsia="en-US"/>
        </w:rPr>
      </w:pPr>
      <w:r>
        <w:rPr>
          <w:sz w:val="22"/>
          <w:szCs w:val="22"/>
          <w:lang w:eastAsia="en-US"/>
        </w:rPr>
        <w:t>Nagyon gyakori (≥ 1/10)</w:t>
      </w:r>
    </w:p>
    <w:p w14:paraId="7A53A7A6" w14:textId="77777777" w:rsidR="00382B5E" w:rsidRDefault="00BE0CD4">
      <w:pPr>
        <w:numPr>
          <w:ilvl w:val="0"/>
          <w:numId w:val="40"/>
        </w:numPr>
        <w:autoSpaceDE w:val="0"/>
        <w:autoSpaceDN w:val="0"/>
        <w:adjustRightInd w:val="0"/>
        <w:ind w:left="567" w:hanging="567"/>
        <w:rPr>
          <w:sz w:val="22"/>
          <w:szCs w:val="22"/>
          <w:lang w:eastAsia="en-US"/>
        </w:rPr>
      </w:pPr>
      <w:r>
        <w:rPr>
          <w:sz w:val="22"/>
          <w:szCs w:val="22"/>
          <w:lang w:eastAsia="en-US"/>
        </w:rPr>
        <w:t>Gyakori (≥ 1/100 – &lt; 1/10)</w:t>
      </w:r>
    </w:p>
    <w:p w14:paraId="765383DC" w14:textId="77777777" w:rsidR="00382B5E" w:rsidRDefault="00BE0CD4">
      <w:pPr>
        <w:numPr>
          <w:ilvl w:val="0"/>
          <w:numId w:val="40"/>
        </w:numPr>
        <w:autoSpaceDE w:val="0"/>
        <w:autoSpaceDN w:val="0"/>
        <w:adjustRightInd w:val="0"/>
        <w:ind w:left="567" w:hanging="567"/>
        <w:rPr>
          <w:sz w:val="22"/>
          <w:szCs w:val="22"/>
          <w:lang w:eastAsia="en-US"/>
        </w:rPr>
      </w:pPr>
      <w:r>
        <w:rPr>
          <w:sz w:val="22"/>
          <w:szCs w:val="22"/>
          <w:lang w:eastAsia="en-US"/>
        </w:rPr>
        <w:t>Nem gyakori (≥ 1/1000 – &lt; 1/100)</w:t>
      </w:r>
    </w:p>
    <w:p w14:paraId="7CF69929" w14:textId="77777777" w:rsidR="00382B5E" w:rsidRDefault="00BE0CD4">
      <w:pPr>
        <w:numPr>
          <w:ilvl w:val="0"/>
          <w:numId w:val="40"/>
        </w:numPr>
        <w:autoSpaceDE w:val="0"/>
        <w:autoSpaceDN w:val="0"/>
        <w:adjustRightInd w:val="0"/>
        <w:ind w:left="567" w:hanging="567"/>
        <w:rPr>
          <w:sz w:val="22"/>
          <w:szCs w:val="22"/>
          <w:lang w:eastAsia="en-US"/>
        </w:rPr>
      </w:pPr>
      <w:r>
        <w:rPr>
          <w:sz w:val="22"/>
          <w:szCs w:val="22"/>
          <w:lang w:eastAsia="en-US"/>
        </w:rPr>
        <w:t>Ritka (≥ 1/10 000 – &lt; 1/1000)</w:t>
      </w:r>
    </w:p>
    <w:p w14:paraId="1B5EBF0B" w14:textId="77777777" w:rsidR="00382B5E" w:rsidRDefault="00BE0CD4">
      <w:pPr>
        <w:numPr>
          <w:ilvl w:val="0"/>
          <w:numId w:val="40"/>
        </w:numPr>
        <w:autoSpaceDE w:val="0"/>
        <w:autoSpaceDN w:val="0"/>
        <w:adjustRightInd w:val="0"/>
        <w:ind w:left="567" w:hanging="567"/>
        <w:rPr>
          <w:sz w:val="22"/>
          <w:szCs w:val="22"/>
          <w:lang w:eastAsia="en-US"/>
        </w:rPr>
      </w:pPr>
      <w:r>
        <w:rPr>
          <w:sz w:val="22"/>
          <w:szCs w:val="22"/>
          <w:lang w:eastAsia="en-US"/>
        </w:rPr>
        <w:t>Nagyon ritka: (&lt; 1/10 000)</w:t>
      </w:r>
    </w:p>
    <w:p w14:paraId="1CD3DA4C" w14:textId="77777777" w:rsidR="00382B5E" w:rsidRDefault="00BE0CD4">
      <w:pPr>
        <w:numPr>
          <w:ilvl w:val="0"/>
          <w:numId w:val="40"/>
        </w:numPr>
        <w:autoSpaceDE w:val="0"/>
        <w:autoSpaceDN w:val="0"/>
        <w:adjustRightInd w:val="0"/>
        <w:ind w:left="567" w:hanging="567"/>
        <w:rPr>
          <w:sz w:val="22"/>
          <w:szCs w:val="22"/>
          <w:lang w:eastAsia="en-US"/>
        </w:rPr>
      </w:pPr>
      <w:r>
        <w:rPr>
          <w:sz w:val="22"/>
          <w:szCs w:val="22"/>
          <w:lang w:eastAsia="en-US"/>
        </w:rPr>
        <w:t>Nem ismert (a rendelkezésre álló adatokból nem állapítható meg)</w:t>
      </w:r>
    </w:p>
    <w:p w14:paraId="066A4C29" w14:textId="77777777" w:rsidR="00382B5E" w:rsidRDefault="00382B5E">
      <w:pPr>
        <w:autoSpaceDE w:val="0"/>
        <w:autoSpaceDN w:val="0"/>
        <w:adjustRightInd w:val="0"/>
        <w:rPr>
          <w:sz w:val="22"/>
          <w:szCs w:val="22"/>
          <w:lang w:eastAsia="en-US"/>
        </w:rPr>
      </w:pPr>
    </w:p>
    <w:p w14:paraId="36F87D5D" w14:textId="77777777" w:rsidR="00382B5E" w:rsidRDefault="00BE0CD4">
      <w:pPr>
        <w:pStyle w:val="MGGTextLeft"/>
        <w:rPr>
          <w:color w:val="000000"/>
          <w:sz w:val="22"/>
          <w:szCs w:val="22"/>
          <w:u w:val="single"/>
          <w:lang w:val="hu-HU"/>
        </w:rPr>
      </w:pPr>
      <w:r>
        <w:rPr>
          <w:color w:val="000000"/>
          <w:sz w:val="22"/>
          <w:szCs w:val="22"/>
          <w:u w:val="single"/>
          <w:lang w:val="hu-HU"/>
        </w:rPr>
        <w:t>Hypertonia</w:t>
      </w:r>
    </w:p>
    <w:p w14:paraId="75EE22A9" w14:textId="77777777" w:rsidR="00382B5E" w:rsidRDefault="00382B5E">
      <w:pPr>
        <w:pStyle w:val="MGGTextLeft"/>
        <w:rPr>
          <w:color w:val="000000"/>
          <w:sz w:val="22"/>
          <w:szCs w:val="22"/>
          <w:u w:val="single"/>
          <w:lang w:val="hu-HU"/>
        </w:rPr>
      </w:pP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990"/>
        <w:gridCol w:w="1620"/>
        <w:gridCol w:w="1620"/>
      </w:tblGrid>
      <w:tr w:rsidR="00382B5E" w14:paraId="4704F843" w14:textId="77777777">
        <w:trPr>
          <w:tblHeader/>
        </w:trPr>
        <w:tc>
          <w:tcPr>
            <w:tcW w:w="1566" w:type="pct"/>
            <w:vMerge w:val="restart"/>
          </w:tcPr>
          <w:p w14:paraId="4BB4B158" w14:textId="77777777" w:rsidR="00382B5E" w:rsidRDefault="00BE0CD4">
            <w:pPr>
              <w:rPr>
                <w:b/>
                <w:color w:val="000000"/>
                <w:sz w:val="22"/>
                <w:szCs w:val="22"/>
              </w:rPr>
            </w:pPr>
            <w:r>
              <w:rPr>
                <w:b/>
                <w:bCs/>
                <w:color w:val="000000"/>
                <w:sz w:val="22"/>
                <w:szCs w:val="22"/>
              </w:rPr>
              <w:t>MedDRA</w:t>
            </w:r>
          </w:p>
          <w:p w14:paraId="6E0451DC" w14:textId="77777777" w:rsidR="00382B5E" w:rsidRDefault="00BE0CD4">
            <w:pPr>
              <w:rPr>
                <w:b/>
                <w:color w:val="000000"/>
                <w:sz w:val="22"/>
                <w:szCs w:val="22"/>
              </w:rPr>
            </w:pPr>
            <w:r>
              <w:rPr>
                <w:b/>
                <w:bCs/>
                <w:color w:val="000000"/>
                <w:sz w:val="22"/>
                <w:szCs w:val="22"/>
              </w:rPr>
              <w:t>szervrendszer alapú osztályozás</w:t>
            </w:r>
          </w:p>
        </w:tc>
        <w:tc>
          <w:tcPr>
            <w:tcW w:w="1648" w:type="pct"/>
            <w:vMerge w:val="restart"/>
          </w:tcPr>
          <w:p w14:paraId="36C55D68" w14:textId="77777777" w:rsidR="00382B5E" w:rsidRDefault="00BE0CD4">
            <w:pPr>
              <w:rPr>
                <w:b/>
                <w:color w:val="000000"/>
                <w:sz w:val="22"/>
                <w:szCs w:val="22"/>
              </w:rPr>
            </w:pPr>
            <w:r>
              <w:rPr>
                <w:b/>
                <w:bCs/>
                <w:color w:val="000000"/>
                <w:sz w:val="22"/>
                <w:szCs w:val="22"/>
              </w:rPr>
              <w:t>Mellékhatás</w:t>
            </w:r>
          </w:p>
        </w:tc>
        <w:tc>
          <w:tcPr>
            <w:tcW w:w="1786" w:type="pct"/>
            <w:gridSpan w:val="2"/>
          </w:tcPr>
          <w:p w14:paraId="4C9D3B9E" w14:textId="77777777" w:rsidR="00382B5E" w:rsidRDefault="00BE0CD4">
            <w:pPr>
              <w:rPr>
                <w:b/>
                <w:color w:val="000000"/>
                <w:sz w:val="22"/>
                <w:szCs w:val="22"/>
              </w:rPr>
            </w:pPr>
            <w:r>
              <w:rPr>
                <w:b/>
                <w:bCs/>
                <w:color w:val="000000"/>
                <w:sz w:val="22"/>
                <w:szCs w:val="22"/>
              </w:rPr>
              <w:t>Gyakoriság</w:t>
            </w:r>
          </w:p>
        </w:tc>
      </w:tr>
      <w:tr w:rsidR="00382B5E" w14:paraId="3F07C5F4" w14:textId="77777777">
        <w:trPr>
          <w:tblHeader/>
        </w:trPr>
        <w:tc>
          <w:tcPr>
            <w:tcW w:w="1566" w:type="pct"/>
            <w:vMerge/>
          </w:tcPr>
          <w:p w14:paraId="24B4F058" w14:textId="77777777" w:rsidR="00382B5E" w:rsidRDefault="00382B5E">
            <w:pPr>
              <w:rPr>
                <w:b/>
                <w:color w:val="000000"/>
                <w:sz w:val="22"/>
                <w:szCs w:val="22"/>
              </w:rPr>
            </w:pPr>
          </w:p>
        </w:tc>
        <w:tc>
          <w:tcPr>
            <w:tcW w:w="1648" w:type="pct"/>
            <w:vMerge/>
          </w:tcPr>
          <w:p w14:paraId="4C7516D1" w14:textId="77777777" w:rsidR="00382B5E" w:rsidRDefault="00382B5E">
            <w:pPr>
              <w:rPr>
                <w:color w:val="000000"/>
                <w:sz w:val="22"/>
                <w:szCs w:val="22"/>
              </w:rPr>
            </w:pPr>
          </w:p>
        </w:tc>
        <w:tc>
          <w:tcPr>
            <w:tcW w:w="893" w:type="pct"/>
          </w:tcPr>
          <w:p w14:paraId="42F92844" w14:textId="77777777" w:rsidR="00382B5E" w:rsidRDefault="00BE0CD4">
            <w:pPr>
              <w:rPr>
                <w:b/>
                <w:color w:val="000000"/>
                <w:sz w:val="22"/>
                <w:szCs w:val="22"/>
              </w:rPr>
            </w:pPr>
            <w:r>
              <w:rPr>
                <w:b/>
                <w:bCs/>
                <w:color w:val="000000"/>
                <w:sz w:val="22"/>
                <w:szCs w:val="22"/>
              </w:rPr>
              <w:t>Amlodipin</w:t>
            </w:r>
          </w:p>
        </w:tc>
        <w:tc>
          <w:tcPr>
            <w:tcW w:w="893" w:type="pct"/>
          </w:tcPr>
          <w:p w14:paraId="6B8A9876" w14:textId="77777777" w:rsidR="00382B5E" w:rsidRDefault="00BE0CD4">
            <w:pPr>
              <w:rPr>
                <w:b/>
                <w:color w:val="000000"/>
                <w:sz w:val="22"/>
                <w:szCs w:val="22"/>
              </w:rPr>
            </w:pPr>
            <w:r>
              <w:rPr>
                <w:b/>
                <w:color w:val="000000"/>
                <w:sz w:val="22"/>
                <w:szCs w:val="22"/>
              </w:rPr>
              <w:t>Lozartán</w:t>
            </w:r>
          </w:p>
        </w:tc>
      </w:tr>
      <w:tr w:rsidR="00382B5E" w14:paraId="2BAB6B64" w14:textId="77777777">
        <w:tc>
          <w:tcPr>
            <w:tcW w:w="1566" w:type="pct"/>
          </w:tcPr>
          <w:p w14:paraId="2841E873" w14:textId="77777777" w:rsidR="00382B5E" w:rsidRDefault="00BE0CD4">
            <w:pPr>
              <w:rPr>
                <w:b/>
                <w:color w:val="000000"/>
                <w:sz w:val="22"/>
                <w:szCs w:val="22"/>
              </w:rPr>
            </w:pPr>
            <w:r>
              <w:rPr>
                <w:b/>
                <w:sz w:val="22"/>
                <w:szCs w:val="22"/>
              </w:rPr>
              <w:t>Fertőző betegségek és parazitafertőzések</w:t>
            </w:r>
          </w:p>
        </w:tc>
        <w:tc>
          <w:tcPr>
            <w:tcW w:w="1648" w:type="pct"/>
          </w:tcPr>
          <w:p w14:paraId="037F5035" w14:textId="77777777" w:rsidR="00382B5E" w:rsidRDefault="00BE0CD4">
            <w:pPr>
              <w:rPr>
                <w:color w:val="000000"/>
                <w:sz w:val="22"/>
                <w:szCs w:val="22"/>
              </w:rPr>
            </w:pPr>
            <w:r>
              <w:rPr>
                <w:noProof/>
                <w:sz w:val="22"/>
                <w:szCs w:val="22"/>
              </w:rPr>
              <w:t>húgyúti fertőzés</w:t>
            </w:r>
          </w:p>
        </w:tc>
        <w:tc>
          <w:tcPr>
            <w:tcW w:w="893" w:type="pct"/>
          </w:tcPr>
          <w:p w14:paraId="4634BF38" w14:textId="77777777" w:rsidR="00382B5E" w:rsidRDefault="00BE0CD4">
            <w:pPr>
              <w:rPr>
                <w:bCs/>
                <w:color w:val="000000"/>
                <w:sz w:val="22"/>
                <w:szCs w:val="22"/>
              </w:rPr>
            </w:pPr>
            <w:r>
              <w:rPr>
                <w:bCs/>
                <w:color w:val="000000"/>
                <w:sz w:val="22"/>
                <w:szCs w:val="22"/>
              </w:rPr>
              <w:t>-</w:t>
            </w:r>
          </w:p>
        </w:tc>
        <w:tc>
          <w:tcPr>
            <w:tcW w:w="893" w:type="pct"/>
          </w:tcPr>
          <w:p w14:paraId="7098A97F" w14:textId="77777777" w:rsidR="00382B5E" w:rsidRDefault="00BE0CD4">
            <w:pPr>
              <w:rPr>
                <w:color w:val="000000"/>
                <w:sz w:val="22"/>
                <w:szCs w:val="22"/>
              </w:rPr>
            </w:pPr>
            <w:r>
              <w:rPr>
                <w:sz w:val="22"/>
                <w:szCs w:val="22"/>
              </w:rPr>
              <w:t>nem ismert</w:t>
            </w:r>
          </w:p>
        </w:tc>
      </w:tr>
      <w:tr w:rsidR="00382B5E" w14:paraId="43BC1E59" w14:textId="77777777">
        <w:trPr>
          <w:trHeight w:val="71"/>
        </w:trPr>
        <w:tc>
          <w:tcPr>
            <w:tcW w:w="1566" w:type="pct"/>
            <w:vMerge w:val="restart"/>
          </w:tcPr>
          <w:p w14:paraId="6A43B7B6" w14:textId="77777777" w:rsidR="00382B5E" w:rsidRDefault="00BE0CD4">
            <w:pPr>
              <w:keepNext/>
              <w:rPr>
                <w:b/>
                <w:color w:val="000000"/>
                <w:sz w:val="22"/>
                <w:szCs w:val="22"/>
              </w:rPr>
            </w:pPr>
            <w:r>
              <w:rPr>
                <w:b/>
                <w:sz w:val="22"/>
                <w:szCs w:val="22"/>
              </w:rPr>
              <w:t>Vérképzőszervi és nyirokrendszeri betegségek és tünetek</w:t>
            </w:r>
          </w:p>
        </w:tc>
        <w:tc>
          <w:tcPr>
            <w:tcW w:w="1648" w:type="pct"/>
          </w:tcPr>
          <w:p w14:paraId="42EBBFE5" w14:textId="77777777" w:rsidR="00382B5E" w:rsidRDefault="00BE0CD4">
            <w:pPr>
              <w:keepNext/>
              <w:rPr>
                <w:color w:val="000000"/>
                <w:sz w:val="22"/>
                <w:szCs w:val="22"/>
              </w:rPr>
            </w:pPr>
            <w:r>
              <w:rPr>
                <w:color w:val="000000"/>
                <w:sz w:val="22"/>
                <w:szCs w:val="22"/>
              </w:rPr>
              <w:t>leukocytopenia</w:t>
            </w:r>
          </w:p>
        </w:tc>
        <w:tc>
          <w:tcPr>
            <w:tcW w:w="893" w:type="pct"/>
          </w:tcPr>
          <w:p w14:paraId="692D9AEA" w14:textId="77777777" w:rsidR="00382B5E" w:rsidRDefault="00BE0CD4">
            <w:pPr>
              <w:keepNext/>
              <w:rPr>
                <w:bCs/>
                <w:color w:val="000000"/>
                <w:sz w:val="22"/>
                <w:szCs w:val="22"/>
              </w:rPr>
            </w:pPr>
            <w:r>
              <w:rPr>
                <w:bCs/>
                <w:color w:val="000000"/>
                <w:sz w:val="22"/>
                <w:szCs w:val="22"/>
              </w:rPr>
              <w:t>nagyon ritka</w:t>
            </w:r>
          </w:p>
        </w:tc>
        <w:tc>
          <w:tcPr>
            <w:tcW w:w="893" w:type="pct"/>
          </w:tcPr>
          <w:p w14:paraId="159D0456" w14:textId="77777777" w:rsidR="00382B5E" w:rsidRDefault="00BE0CD4">
            <w:pPr>
              <w:keepNext/>
              <w:rPr>
                <w:color w:val="000000"/>
                <w:sz w:val="22"/>
                <w:szCs w:val="22"/>
              </w:rPr>
            </w:pPr>
            <w:r>
              <w:rPr>
                <w:color w:val="000000"/>
                <w:sz w:val="22"/>
                <w:szCs w:val="22"/>
              </w:rPr>
              <w:t>-</w:t>
            </w:r>
          </w:p>
        </w:tc>
      </w:tr>
      <w:tr w:rsidR="00382B5E" w14:paraId="44097AD6" w14:textId="77777777">
        <w:trPr>
          <w:trHeight w:val="71"/>
        </w:trPr>
        <w:tc>
          <w:tcPr>
            <w:tcW w:w="1566" w:type="pct"/>
            <w:vMerge/>
          </w:tcPr>
          <w:p w14:paraId="22E524A2" w14:textId="77777777" w:rsidR="00382B5E" w:rsidRDefault="00382B5E">
            <w:pPr>
              <w:keepNext/>
              <w:rPr>
                <w:b/>
                <w:sz w:val="22"/>
                <w:szCs w:val="22"/>
              </w:rPr>
            </w:pPr>
          </w:p>
        </w:tc>
        <w:tc>
          <w:tcPr>
            <w:tcW w:w="1648" w:type="pct"/>
          </w:tcPr>
          <w:p w14:paraId="4BBB2EB2" w14:textId="77777777" w:rsidR="00382B5E" w:rsidRDefault="00BE0CD4">
            <w:pPr>
              <w:pStyle w:val="Default"/>
              <w:keepNext/>
              <w:tabs>
                <w:tab w:val="left" w:pos="567"/>
              </w:tabs>
              <w:rPr>
                <w:rFonts w:ascii="Times New Roman" w:hAnsi="Times New Roman" w:cs="Times New Roman"/>
                <w:color w:val="auto"/>
                <w:sz w:val="22"/>
                <w:szCs w:val="22"/>
                <w:lang w:val="hu-HU"/>
              </w:rPr>
            </w:pPr>
            <w:r>
              <w:rPr>
                <w:rFonts w:ascii="Times New Roman" w:hAnsi="Times New Roman" w:cs="Times New Roman"/>
                <w:color w:val="auto"/>
                <w:sz w:val="22"/>
                <w:szCs w:val="22"/>
                <w:lang w:val="hu-HU"/>
              </w:rPr>
              <w:t>thrombocytopenia</w:t>
            </w:r>
          </w:p>
        </w:tc>
        <w:tc>
          <w:tcPr>
            <w:tcW w:w="893" w:type="pct"/>
          </w:tcPr>
          <w:p w14:paraId="66FB4651" w14:textId="77777777" w:rsidR="00382B5E" w:rsidRDefault="00BE0CD4">
            <w:pPr>
              <w:keepNext/>
              <w:rPr>
                <w:bCs/>
                <w:color w:val="000000"/>
                <w:sz w:val="22"/>
                <w:szCs w:val="22"/>
              </w:rPr>
            </w:pPr>
            <w:r>
              <w:rPr>
                <w:bCs/>
                <w:color w:val="000000"/>
                <w:sz w:val="22"/>
                <w:szCs w:val="22"/>
              </w:rPr>
              <w:t>nagyon ritka</w:t>
            </w:r>
          </w:p>
        </w:tc>
        <w:tc>
          <w:tcPr>
            <w:tcW w:w="893" w:type="pct"/>
          </w:tcPr>
          <w:p w14:paraId="50C58198" w14:textId="77777777" w:rsidR="00382B5E" w:rsidRDefault="00BE0CD4">
            <w:pPr>
              <w:pStyle w:val="Default"/>
              <w:keepNext/>
              <w:tabs>
                <w:tab w:val="left" w:pos="567"/>
              </w:tabs>
              <w:rPr>
                <w:rFonts w:ascii="Times New Roman" w:hAnsi="Times New Roman" w:cs="Times New Roman"/>
                <w:color w:val="auto"/>
                <w:sz w:val="22"/>
                <w:szCs w:val="22"/>
                <w:lang w:val="hu-HU"/>
              </w:rPr>
            </w:pPr>
            <w:r>
              <w:rPr>
                <w:rFonts w:ascii="Times New Roman" w:hAnsi="Times New Roman" w:cs="Times New Roman"/>
                <w:color w:val="auto"/>
                <w:sz w:val="22"/>
                <w:szCs w:val="22"/>
                <w:lang w:val="hu-HU"/>
              </w:rPr>
              <w:t>nem ismert</w:t>
            </w:r>
          </w:p>
        </w:tc>
      </w:tr>
      <w:tr w:rsidR="00382B5E" w14:paraId="26BD6FEB" w14:textId="77777777">
        <w:trPr>
          <w:trHeight w:val="70"/>
        </w:trPr>
        <w:tc>
          <w:tcPr>
            <w:tcW w:w="1566" w:type="pct"/>
            <w:vMerge/>
          </w:tcPr>
          <w:p w14:paraId="3ABA3CAF" w14:textId="77777777" w:rsidR="00382B5E" w:rsidRDefault="00382B5E">
            <w:pPr>
              <w:rPr>
                <w:b/>
                <w:sz w:val="22"/>
                <w:szCs w:val="22"/>
              </w:rPr>
            </w:pPr>
          </w:p>
        </w:tc>
        <w:tc>
          <w:tcPr>
            <w:tcW w:w="1648" w:type="pct"/>
          </w:tcPr>
          <w:p w14:paraId="15B6D05B" w14:textId="77777777" w:rsidR="00382B5E" w:rsidRDefault="00BE0CD4">
            <w:pPr>
              <w:rPr>
                <w:color w:val="000000"/>
                <w:sz w:val="22"/>
                <w:szCs w:val="22"/>
              </w:rPr>
            </w:pPr>
            <w:r>
              <w:rPr>
                <w:sz w:val="22"/>
                <w:szCs w:val="22"/>
              </w:rPr>
              <w:t>anaemia</w:t>
            </w:r>
          </w:p>
        </w:tc>
        <w:tc>
          <w:tcPr>
            <w:tcW w:w="893" w:type="pct"/>
          </w:tcPr>
          <w:p w14:paraId="2163F12D" w14:textId="77777777" w:rsidR="00382B5E" w:rsidRDefault="00BE0CD4">
            <w:pPr>
              <w:rPr>
                <w:bCs/>
                <w:color w:val="000000"/>
                <w:sz w:val="22"/>
                <w:szCs w:val="22"/>
              </w:rPr>
            </w:pPr>
            <w:r>
              <w:rPr>
                <w:bCs/>
                <w:color w:val="000000"/>
                <w:sz w:val="22"/>
                <w:szCs w:val="22"/>
              </w:rPr>
              <w:t>-</w:t>
            </w:r>
          </w:p>
        </w:tc>
        <w:tc>
          <w:tcPr>
            <w:tcW w:w="893" w:type="pct"/>
          </w:tcPr>
          <w:p w14:paraId="12281515" w14:textId="77777777" w:rsidR="00382B5E" w:rsidRDefault="00BE0CD4">
            <w:pPr>
              <w:rPr>
                <w:color w:val="000000"/>
                <w:sz w:val="22"/>
                <w:szCs w:val="22"/>
              </w:rPr>
            </w:pPr>
            <w:r>
              <w:rPr>
                <w:sz w:val="22"/>
                <w:szCs w:val="22"/>
              </w:rPr>
              <w:t>nem ismert</w:t>
            </w:r>
          </w:p>
        </w:tc>
      </w:tr>
      <w:tr w:rsidR="00382B5E" w14:paraId="437848BA" w14:textId="77777777">
        <w:trPr>
          <w:trHeight w:val="45"/>
        </w:trPr>
        <w:tc>
          <w:tcPr>
            <w:tcW w:w="1566" w:type="pct"/>
            <w:vMerge w:val="restart"/>
          </w:tcPr>
          <w:p w14:paraId="4C7B4111" w14:textId="77777777" w:rsidR="00382B5E" w:rsidRDefault="00BE0CD4">
            <w:pPr>
              <w:rPr>
                <w:b/>
                <w:color w:val="000000"/>
                <w:sz w:val="22"/>
                <w:szCs w:val="22"/>
              </w:rPr>
            </w:pPr>
            <w:r>
              <w:rPr>
                <w:b/>
                <w:sz w:val="22"/>
                <w:szCs w:val="22"/>
              </w:rPr>
              <w:t>Immunrendszeri betegségek és tünetek</w:t>
            </w:r>
          </w:p>
        </w:tc>
        <w:tc>
          <w:tcPr>
            <w:tcW w:w="1648" w:type="pct"/>
          </w:tcPr>
          <w:p w14:paraId="2F7C19F2" w14:textId="77777777" w:rsidR="00382B5E" w:rsidRDefault="00BE0CD4">
            <w:pPr>
              <w:rPr>
                <w:color w:val="000000"/>
                <w:sz w:val="22"/>
                <w:szCs w:val="22"/>
              </w:rPr>
            </w:pPr>
            <w:r>
              <w:rPr>
                <w:sz w:val="22"/>
                <w:szCs w:val="22"/>
              </w:rPr>
              <w:t>anaphylaxiás reakciók</w:t>
            </w:r>
          </w:p>
        </w:tc>
        <w:tc>
          <w:tcPr>
            <w:tcW w:w="893" w:type="pct"/>
          </w:tcPr>
          <w:p w14:paraId="46FC1A8D" w14:textId="77777777" w:rsidR="00382B5E" w:rsidRDefault="00BE0CD4">
            <w:pPr>
              <w:rPr>
                <w:bCs/>
                <w:color w:val="000000"/>
                <w:sz w:val="22"/>
                <w:szCs w:val="22"/>
              </w:rPr>
            </w:pPr>
            <w:r>
              <w:rPr>
                <w:bCs/>
                <w:color w:val="000000"/>
                <w:sz w:val="22"/>
                <w:szCs w:val="22"/>
              </w:rPr>
              <w:t>-</w:t>
            </w:r>
          </w:p>
        </w:tc>
        <w:tc>
          <w:tcPr>
            <w:tcW w:w="893" w:type="pct"/>
          </w:tcPr>
          <w:p w14:paraId="5093718F" w14:textId="77777777" w:rsidR="00382B5E" w:rsidRDefault="00BE0CD4">
            <w:pPr>
              <w:rPr>
                <w:color w:val="000000"/>
                <w:sz w:val="22"/>
                <w:szCs w:val="22"/>
              </w:rPr>
            </w:pPr>
            <w:r>
              <w:rPr>
                <w:sz w:val="22"/>
                <w:szCs w:val="22"/>
              </w:rPr>
              <w:t>ritka</w:t>
            </w:r>
          </w:p>
        </w:tc>
      </w:tr>
      <w:tr w:rsidR="00382B5E" w14:paraId="1502C677" w14:textId="77777777">
        <w:trPr>
          <w:trHeight w:val="42"/>
        </w:trPr>
        <w:tc>
          <w:tcPr>
            <w:tcW w:w="1566" w:type="pct"/>
            <w:vMerge/>
          </w:tcPr>
          <w:p w14:paraId="788ACFDF" w14:textId="77777777" w:rsidR="00382B5E" w:rsidRDefault="00382B5E">
            <w:pPr>
              <w:rPr>
                <w:b/>
                <w:sz w:val="22"/>
                <w:szCs w:val="22"/>
              </w:rPr>
            </w:pPr>
          </w:p>
        </w:tc>
        <w:tc>
          <w:tcPr>
            <w:tcW w:w="1648" w:type="pct"/>
          </w:tcPr>
          <w:p w14:paraId="0055A915" w14:textId="77777777" w:rsidR="00382B5E" w:rsidRDefault="00BE0CD4">
            <w:pPr>
              <w:rPr>
                <w:color w:val="000000"/>
                <w:sz w:val="22"/>
                <w:szCs w:val="22"/>
              </w:rPr>
            </w:pPr>
            <w:r>
              <w:rPr>
                <w:sz w:val="22"/>
                <w:szCs w:val="22"/>
              </w:rPr>
              <w:t>angiooedema</w:t>
            </w:r>
            <w:r>
              <w:rPr>
                <w:sz w:val="22"/>
                <w:szCs w:val="22"/>
                <w:vertAlign w:val="superscript"/>
              </w:rPr>
              <w:t>*</w:t>
            </w:r>
          </w:p>
        </w:tc>
        <w:tc>
          <w:tcPr>
            <w:tcW w:w="893" w:type="pct"/>
          </w:tcPr>
          <w:p w14:paraId="714442E6" w14:textId="77777777" w:rsidR="00382B5E" w:rsidRDefault="00BE0CD4">
            <w:pPr>
              <w:rPr>
                <w:bCs/>
                <w:color w:val="000000"/>
                <w:sz w:val="22"/>
                <w:szCs w:val="22"/>
              </w:rPr>
            </w:pPr>
            <w:r>
              <w:rPr>
                <w:bCs/>
                <w:color w:val="000000"/>
                <w:sz w:val="22"/>
                <w:szCs w:val="22"/>
              </w:rPr>
              <w:t>nagyon ritka</w:t>
            </w:r>
          </w:p>
        </w:tc>
        <w:tc>
          <w:tcPr>
            <w:tcW w:w="893" w:type="pct"/>
          </w:tcPr>
          <w:p w14:paraId="62C75B34" w14:textId="77777777" w:rsidR="00382B5E" w:rsidRDefault="00BE0CD4">
            <w:pPr>
              <w:rPr>
                <w:color w:val="000000"/>
                <w:sz w:val="22"/>
                <w:szCs w:val="22"/>
              </w:rPr>
            </w:pPr>
            <w:r>
              <w:rPr>
                <w:sz w:val="22"/>
                <w:szCs w:val="22"/>
              </w:rPr>
              <w:t>ritka</w:t>
            </w:r>
          </w:p>
        </w:tc>
      </w:tr>
      <w:tr w:rsidR="00382B5E" w14:paraId="24D103D0" w14:textId="77777777">
        <w:trPr>
          <w:trHeight w:val="42"/>
        </w:trPr>
        <w:tc>
          <w:tcPr>
            <w:tcW w:w="1566" w:type="pct"/>
            <w:vMerge/>
          </w:tcPr>
          <w:p w14:paraId="26847E47" w14:textId="77777777" w:rsidR="00382B5E" w:rsidRDefault="00382B5E">
            <w:pPr>
              <w:rPr>
                <w:b/>
                <w:sz w:val="22"/>
                <w:szCs w:val="22"/>
              </w:rPr>
            </w:pPr>
          </w:p>
        </w:tc>
        <w:tc>
          <w:tcPr>
            <w:tcW w:w="1648" w:type="pct"/>
          </w:tcPr>
          <w:p w14:paraId="43ED225D" w14:textId="77777777" w:rsidR="00382B5E" w:rsidRDefault="00BE0CD4">
            <w:pPr>
              <w:rPr>
                <w:color w:val="000000"/>
                <w:sz w:val="22"/>
                <w:szCs w:val="22"/>
              </w:rPr>
            </w:pPr>
            <w:r>
              <w:rPr>
                <w:sz w:val="22"/>
                <w:szCs w:val="22"/>
              </w:rPr>
              <w:t>vasculitis</w:t>
            </w:r>
            <w:r>
              <w:rPr>
                <w:sz w:val="22"/>
                <w:szCs w:val="22"/>
                <w:vertAlign w:val="superscript"/>
              </w:rPr>
              <w:t>**</w:t>
            </w:r>
          </w:p>
        </w:tc>
        <w:tc>
          <w:tcPr>
            <w:tcW w:w="893" w:type="pct"/>
          </w:tcPr>
          <w:p w14:paraId="7B4C28F1" w14:textId="77777777" w:rsidR="00382B5E" w:rsidRDefault="00BE0CD4">
            <w:pPr>
              <w:rPr>
                <w:bCs/>
                <w:color w:val="000000"/>
                <w:sz w:val="22"/>
                <w:szCs w:val="22"/>
              </w:rPr>
            </w:pPr>
            <w:r>
              <w:rPr>
                <w:bCs/>
                <w:color w:val="000000"/>
                <w:sz w:val="22"/>
                <w:szCs w:val="22"/>
              </w:rPr>
              <w:t>-</w:t>
            </w:r>
          </w:p>
        </w:tc>
        <w:tc>
          <w:tcPr>
            <w:tcW w:w="893" w:type="pct"/>
          </w:tcPr>
          <w:p w14:paraId="33CB999E" w14:textId="77777777" w:rsidR="00382B5E" w:rsidRDefault="00BE0CD4">
            <w:pPr>
              <w:rPr>
                <w:color w:val="000000"/>
                <w:sz w:val="22"/>
                <w:szCs w:val="22"/>
              </w:rPr>
            </w:pPr>
            <w:r>
              <w:rPr>
                <w:sz w:val="22"/>
                <w:szCs w:val="22"/>
              </w:rPr>
              <w:t>ritka</w:t>
            </w:r>
          </w:p>
        </w:tc>
      </w:tr>
      <w:tr w:rsidR="00382B5E" w14:paraId="01A75E11" w14:textId="77777777">
        <w:trPr>
          <w:trHeight w:val="42"/>
        </w:trPr>
        <w:tc>
          <w:tcPr>
            <w:tcW w:w="1566" w:type="pct"/>
            <w:vMerge/>
          </w:tcPr>
          <w:p w14:paraId="018C0BFF" w14:textId="77777777" w:rsidR="00382B5E" w:rsidRDefault="00382B5E">
            <w:pPr>
              <w:rPr>
                <w:b/>
                <w:sz w:val="22"/>
                <w:szCs w:val="22"/>
              </w:rPr>
            </w:pPr>
          </w:p>
        </w:tc>
        <w:tc>
          <w:tcPr>
            <w:tcW w:w="1648" w:type="pct"/>
          </w:tcPr>
          <w:p w14:paraId="74B4E969" w14:textId="77777777" w:rsidR="00382B5E" w:rsidRDefault="00BE0CD4">
            <w:pPr>
              <w:rPr>
                <w:color w:val="000000"/>
                <w:sz w:val="22"/>
                <w:szCs w:val="22"/>
              </w:rPr>
            </w:pPr>
            <w:r>
              <w:rPr>
                <w:sz w:val="22"/>
                <w:szCs w:val="22"/>
              </w:rPr>
              <w:t>túlérzékenységi reakciók</w:t>
            </w:r>
          </w:p>
        </w:tc>
        <w:tc>
          <w:tcPr>
            <w:tcW w:w="893" w:type="pct"/>
          </w:tcPr>
          <w:p w14:paraId="5B6B4EB1" w14:textId="77777777" w:rsidR="00382B5E" w:rsidRDefault="00BE0CD4">
            <w:pPr>
              <w:rPr>
                <w:bCs/>
                <w:color w:val="000000"/>
                <w:sz w:val="22"/>
                <w:szCs w:val="22"/>
              </w:rPr>
            </w:pPr>
            <w:r>
              <w:rPr>
                <w:sz w:val="22"/>
                <w:szCs w:val="22"/>
              </w:rPr>
              <w:t>nagyon ritka</w:t>
            </w:r>
          </w:p>
        </w:tc>
        <w:tc>
          <w:tcPr>
            <w:tcW w:w="893" w:type="pct"/>
          </w:tcPr>
          <w:p w14:paraId="3EB6B0BF" w14:textId="77777777" w:rsidR="00382B5E" w:rsidRDefault="00BE0CD4">
            <w:pPr>
              <w:rPr>
                <w:color w:val="000000"/>
                <w:sz w:val="22"/>
                <w:szCs w:val="22"/>
              </w:rPr>
            </w:pPr>
            <w:r>
              <w:rPr>
                <w:sz w:val="22"/>
                <w:szCs w:val="22"/>
              </w:rPr>
              <w:t>ritka</w:t>
            </w:r>
          </w:p>
        </w:tc>
      </w:tr>
      <w:tr w:rsidR="00382B5E" w14:paraId="11BE84DC" w14:textId="77777777">
        <w:trPr>
          <w:trHeight w:val="42"/>
        </w:trPr>
        <w:tc>
          <w:tcPr>
            <w:tcW w:w="1566" w:type="pct"/>
          </w:tcPr>
          <w:p w14:paraId="0CD05B04" w14:textId="77777777" w:rsidR="00382B5E" w:rsidRDefault="00BE0CD4">
            <w:pPr>
              <w:pStyle w:val="NormlWeb"/>
              <w:spacing w:before="0" w:beforeAutospacing="0" w:after="0" w:afterAutospacing="0"/>
              <w:rPr>
                <w:b/>
                <w:sz w:val="22"/>
                <w:szCs w:val="22"/>
                <w:lang w:val="hu-HU"/>
              </w:rPr>
            </w:pPr>
            <w:r>
              <w:rPr>
                <w:b/>
                <w:sz w:val="22"/>
                <w:szCs w:val="22"/>
                <w:lang w:val="hu-HU"/>
              </w:rPr>
              <w:t>Anyagcsere- és táplálkozási betegségek és tünetek</w:t>
            </w:r>
          </w:p>
        </w:tc>
        <w:tc>
          <w:tcPr>
            <w:tcW w:w="1648" w:type="pct"/>
          </w:tcPr>
          <w:p w14:paraId="30405BB5" w14:textId="77777777" w:rsidR="00382B5E" w:rsidRDefault="00BE0CD4">
            <w:pPr>
              <w:pStyle w:val="NormlWeb"/>
              <w:spacing w:before="0" w:beforeAutospacing="0" w:after="0" w:afterAutospacing="0"/>
              <w:rPr>
                <w:sz w:val="22"/>
                <w:szCs w:val="22"/>
                <w:lang w:val="hu-HU"/>
              </w:rPr>
            </w:pPr>
            <w:r>
              <w:rPr>
                <w:sz w:val="22"/>
                <w:szCs w:val="22"/>
                <w:lang w:val="hu-HU"/>
              </w:rPr>
              <w:t>hyperglykaemia</w:t>
            </w:r>
          </w:p>
        </w:tc>
        <w:tc>
          <w:tcPr>
            <w:tcW w:w="893" w:type="pct"/>
          </w:tcPr>
          <w:p w14:paraId="300AF706" w14:textId="77777777" w:rsidR="00382B5E" w:rsidRDefault="00BE0CD4">
            <w:pPr>
              <w:rPr>
                <w:bCs/>
                <w:color w:val="000000"/>
                <w:sz w:val="22"/>
                <w:szCs w:val="22"/>
              </w:rPr>
            </w:pPr>
            <w:r>
              <w:rPr>
                <w:sz w:val="22"/>
                <w:szCs w:val="22"/>
              </w:rPr>
              <w:t>nagyon ritka</w:t>
            </w:r>
          </w:p>
        </w:tc>
        <w:tc>
          <w:tcPr>
            <w:tcW w:w="893" w:type="pct"/>
          </w:tcPr>
          <w:p w14:paraId="2FB36F38" w14:textId="77777777" w:rsidR="00382B5E" w:rsidRDefault="00BE0CD4">
            <w:pPr>
              <w:rPr>
                <w:sz w:val="22"/>
                <w:szCs w:val="22"/>
              </w:rPr>
            </w:pPr>
            <w:r>
              <w:rPr>
                <w:sz w:val="22"/>
                <w:szCs w:val="22"/>
              </w:rPr>
              <w:t>-</w:t>
            </w:r>
          </w:p>
        </w:tc>
      </w:tr>
      <w:tr w:rsidR="00382B5E" w14:paraId="0BC6185B" w14:textId="77777777">
        <w:trPr>
          <w:trHeight w:val="60"/>
        </w:trPr>
        <w:tc>
          <w:tcPr>
            <w:tcW w:w="1566" w:type="pct"/>
            <w:vMerge w:val="restart"/>
          </w:tcPr>
          <w:p w14:paraId="54FBAF05" w14:textId="77777777" w:rsidR="00382B5E" w:rsidRDefault="00BE0CD4">
            <w:pPr>
              <w:pStyle w:val="NormlWeb"/>
              <w:spacing w:before="0" w:beforeAutospacing="0" w:after="0" w:afterAutospacing="0"/>
              <w:rPr>
                <w:b/>
                <w:bCs/>
                <w:sz w:val="22"/>
                <w:szCs w:val="22"/>
                <w:lang w:val="hu-HU"/>
              </w:rPr>
            </w:pPr>
            <w:r>
              <w:rPr>
                <w:b/>
                <w:sz w:val="22"/>
                <w:szCs w:val="22"/>
                <w:lang w:val="hu-HU"/>
              </w:rPr>
              <w:t>Pszichiátriai kórképek</w:t>
            </w:r>
          </w:p>
        </w:tc>
        <w:tc>
          <w:tcPr>
            <w:tcW w:w="1648" w:type="pct"/>
          </w:tcPr>
          <w:p w14:paraId="567632C3" w14:textId="77777777" w:rsidR="00382B5E" w:rsidRDefault="00BE0CD4">
            <w:pPr>
              <w:pStyle w:val="NormlWeb"/>
              <w:spacing w:before="0" w:beforeAutospacing="0" w:after="0" w:afterAutospacing="0"/>
              <w:rPr>
                <w:sz w:val="22"/>
                <w:szCs w:val="22"/>
                <w:lang w:val="hu-HU"/>
              </w:rPr>
            </w:pPr>
            <w:r>
              <w:rPr>
                <w:sz w:val="22"/>
                <w:szCs w:val="22"/>
                <w:lang w:val="hu-HU"/>
              </w:rPr>
              <w:t>insomnia, hangulatváltozások (beleértve a szorongást)</w:t>
            </w:r>
          </w:p>
        </w:tc>
        <w:tc>
          <w:tcPr>
            <w:tcW w:w="893" w:type="pct"/>
          </w:tcPr>
          <w:p w14:paraId="0F864034" w14:textId="77777777" w:rsidR="00382B5E" w:rsidRDefault="00BE0CD4">
            <w:pPr>
              <w:pStyle w:val="NormlWeb"/>
              <w:spacing w:before="0" w:beforeAutospacing="0" w:after="0" w:afterAutospacing="0"/>
              <w:rPr>
                <w:sz w:val="22"/>
                <w:szCs w:val="22"/>
                <w:lang w:val="hu-HU"/>
              </w:rPr>
            </w:pPr>
            <w:r>
              <w:rPr>
                <w:sz w:val="22"/>
                <w:szCs w:val="22"/>
                <w:lang w:val="hu-HU"/>
              </w:rPr>
              <w:t>nem gyakori</w:t>
            </w:r>
          </w:p>
        </w:tc>
        <w:tc>
          <w:tcPr>
            <w:tcW w:w="893" w:type="pct"/>
          </w:tcPr>
          <w:p w14:paraId="2C59CACE" w14:textId="77777777" w:rsidR="00382B5E" w:rsidRDefault="00BE0CD4">
            <w:pPr>
              <w:rPr>
                <w:sz w:val="22"/>
                <w:szCs w:val="22"/>
              </w:rPr>
            </w:pPr>
            <w:r>
              <w:rPr>
                <w:sz w:val="22"/>
                <w:szCs w:val="22"/>
              </w:rPr>
              <w:t>-</w:t>
            </w:r>
          </w:p>
        </w:tc>
      </w:tr>
      <w:tr w:rsidR="00382B5E" w14:paraId="098D9912" w14:textId="77777777">
        <w:trPr>
          <w:trHeight w:val="57"/>
        </w:trPr>
        <w:tc>
          <w:tcPr>
            <w:tcW w:w="1566" w:type="pct"/>
            <w:vMerge/>
          </w:tcPr>
          <w:p w14:paraId="49A11487" w14:textId="77777777" w:rsidR="00382B5E" w:rsidRDefault="00382B5E">
            <w:pPr>
              <w:pStyle w:val="NormlWeb"/>
              <w:spacing w:before="0" w:beforeAutospacing="0" w:after="0" w:afterAutospacing="0"/>
              <w:rPr>
                <w:b/>
                <w:sz w:val="22"/>
                <w:szCs w:val="22"/>
                <w:lang w:val="hu-HU"/>
              </w:rPr>
            </w:pPr>
          </w:p>
        </w:tc>
        <w:tc>
          <w:tcPr>
            <w:tcW w:w="1648" w:type="pct"/>
          </w:tcPr>
          <w:p w14:paraId="439D6518" w14:textId="77777777" w:rsidR="00382B5E" w:rsidRDefault="00BE0CD4">
            <w:pPr>
              <w:pStyle w:val="NormlWeb"/>
              <w:spacing w:before="0" w:beforeAutospacing="0" w:after="0" w:afterAutospacing="0"/>
              <w:rPr>
                <w:sz w:val="22"/>
                <w:szCs w:val="22"/>
                <w:lang w:val="hu-HU"/>
              </w:rPr>
            </w:pPr>
            <w:r>
              <w:rPr>
                <w:sz w:val="22"/>
                <w:szCs w:val="22"/>
                <w:lang w:val="hu-HU"/>
              </w:rPr>
              <w:t>depresszió</w:t>
            </w:r>
          </w:p>
        </w:tc>
        <w:tc>
          <w:tcPr>
            <w:tcW w:w="893" w:type="pct"/>
          </w:tcPr>
          <w:p w14:paraId="083C32B2" w14:textId="77777777" w:rsidR="00382B5E" w:rsidRDefault="00BE0CD4">
            <w:pPr>
              <w:pStyle w:val="NormlWeb"/>
              <w:spacing w:before="0" w:beforeAutospacing="0" w:after="0" w:afterAutospacing="0"/>
              <w:rPr>
                <w:sz w:val="22"/>
                <w:szCs w:val="22"/>
                <w:lang w:val="hu-HU"/>
              </w:rPr>
            </w:pPr>
            <w:r>
              <w:rPr>
                <w:sz w:val="22"/>
                <w:szCs w:val="22"/>
                <w:lang w:val="hu-HU"/>
              </w:rPr>
              <w:t>nem gyakori</w:t>
            </w:r>
          </w:p>
        </w:tc>
        <w:tc>
          <w:tcPr>
            <w:tcW w:w="893" w:type="pct"/>
          </w:tcPr>
          <w:p w14:paraId="08719C80" w14:textId="77777777" w:rsidR="00382B5E" w:rsidRDefault="00BE0CD4">
            <w:pPr>
              <w:rPr>
                <w:sz w:val="22"/>
                <w:szCs w:val="22"/>
              </w:rPr>
            </w:pPr>
            <w:r>
              <w:rPr>
                <w:sz w:val="22"/>
                <w:szCs w:val="22"/>
              </w:rPr>
              <w:t>nem ismert</w:t>
            </w:r>
          </w:p>
        </w:tc>
      </w:tr>
      <w:tr w:rsidR="00382B5E" w14:paraId="7EB6AB9A" w14:textId="77777777">
        <w:trPr>
          <w:trHeight w:val="57"/>
        </w:trPr>
        <w:tc>
          <w:tcPr>
            <w:tcW w:w="1566" w:type="pct"/>
            <w:vMerge/>
          </w:tcPr>
          <w:p w14:paraId="1835EE5B" w14:textId="77777777" w:rsidR="00382B5E" w:rsidRDefault="00382B5E">
            <w:pPr>
              <w:pStyle w:val="NormlWeb"/>
              <w:spacing w:before="0" w:beforeAutospacing="0" w:after="0" w:afterAutospacing="0"/>
              <w:rPr>
                <w:b/>
                <w:sz w:val="22"/>
                <w:szCs w:val="22"/>
                <w:lang w:val="hu-HU"/>
              </w:rPr>
            </w:pPr>
          </w:p>
        </w:tc>
        <w:tc>
          <w:tcPr>
            <w:tcW w:w="1648" w:type="pct"/>
          </w:tcPr>
          <w:p w14:paraId="6805CFFB" w14:textId="77777777" w:rsidR="00382B5E" w:rsidRDefault="00BE0CD4">
            <w:pPr>
              <w:pStyle w:val="NormlWeb"/>
              <w:spacing w:before="0" w:beforeAutospacing="0" w:after="0" w:afterAutospacing="0"/>
              <w:rPr>
                <w:sz w:val="22"/>
                <w:szCs w:val="22"/>
                <w:lang w:val="hu-HU"/>
              </w:rPr>
            </w:pPr>
            <w:r>
              <w:rPr>
                <w:sz w:val="22"/>
                <w:szCs w:val="22"/>
                <w:lang w:val="hu-HU"/>
              </w:rPr>
              <w:t>zavartság</w:t>
            </w:r>
          </w:p>
        </w:tc>
        <w:tc>
          <w:tcPr>
            <w:tcW w:w="893" w:type="pct"/>
          </w:tcPr>
          <w:p w14:paraId="4208AF7E" w14:textId="77777777" w:rsidR="00382B5E" w:rsidRDefault="00BE0CD4">
            <w:pPr>
              <w:pStyle w:val="NormlWeb"/>
              <w:spacing w:before="0" w:beforeAutospacing="0" w:after="0" w:afterAutospacing="0"/>
              <w:rPr>
                <w:sz w:val="22"/>
                <w:szCs w:val="22"/>
                <w:lang w:val="hu-HU"/>
              </w:rPr>
            </w:pPr>
            <w:r>
              <w:rPr>
                <w:sz w:val="22"/>
                <w:szCs w:val="22"/>
                <w:lang w:val="hu-HU"/>
              </w:rPr>
              <w:t>ritka</w:t>
            </w:r>
          </w:p>
        </w:tc>
        <w:tc>
          <w:tcPr>
            <w:tcW w:w="893" w:type="pct"/>
          </w:tcPr>
          <w:p w14:paraId="62415069" w14:textId="77777777" w:rsidR="00382B5E" w:rsidRDefault="00BE0CD4">
            <w:pPr>
              <w:rPr>
                <w:sz w:val="22"/>
                <w:szCs w:val="22"/>
              </w:rPr>
            </w:pPr>
            <w:r>
              <w:rPr>
                <w:sz w:val="22"/>
                <w:szCs w:val="22"/>
              </w:rPr>
              <w:t>-</w:t>
            </w:r>
          </w:p>
        </w:tc>
      </w:tr>
      <w:tr w:rsidR="00382B5E" w14:paraId="54E2997D" w14:textId="77777777">
        <w:trPr>
          <w:trHeight w:val="35"/>
        </w:trPr>
        <w:tc>
          <w:tcPr>
            <w:tcW w:w="1566" w:type="pct"/>
            <w:vMerge w:val="restart"/>
          </w:tcPr>
          <w:p w14:paraId="40E21C85" w14:textId="77777777" w:rsidR="00382B5E" w:rsidRDefault="00BE0CD4">
            <w:pPr>
              <w:pStyle w:val="Default"/>
              <w:tabs>
                <w:tab w:val="left" w:pos="567"/>
              </w:tabs>
              <w:rPr>
                <w:rFonts w:ascii="Times New Roman" w:hAnsi="Times New Roman" w:cs="Times New Roman"/>
                <w:b/>
                <w:color w:val="auto"/>
                <w:sz w:val="22"/>
                <w:szCs w:val="22"/>
                <w:lang w:val="hu-HU"/>
              </w:rPr>
            </w:pPr>
            <w:r>
              <w:rPr>
                <w:rFonts w:ascii="Times New Roman" w:hAnsi="Times New Roman" w:cs="Times New Roman"/>
                <w:b/>
                <w:sz w:val="22"/>
                <w:szCs w:val="22"/>
                <w:lang w:val="hu-HU"/>
              </w:rPr>
              <w:t>Idegrendszeri betegségek és tünetek</w:t>
            </w:r>
          </w:p>
        </w:tc>
        <w:tc>
          <w:tcPr>
            <w:tcW w:w="1648" w:type="pct"/>
          </w:tcPr>
          <w:p w14:paraId="3D6CF19C" w14:textId="77777777" w:rsidR="00382B5E" w:rsidRDefault="00BE0CD4">
            <w:pPr>
              <w:rPr>
                <w:sz w:val="22"/>
                <w:szCs w:val="22"/>
              </w:rPr>
            </w:pPr>
            <w:r>
              <w:rPr>
                <w:sz w:val="22"/>
                <w:szCs w:val="22"/>
              </w:rPr>
              <w:t>szédülés</w:t>
            </w:r>
          </w:p>
        </w:tc>
        <w:tc>
          <w:tcPr>
            <w:tcW w:w="893" w:type="pct"/>
          </w:tcPr>
          <w:p w14:paraId="177DB89A" w14:textId="77777777" w:rsidR="00382B5E" w:rsidRDefault="00BE0CD4">
            <w:pPr>
              <w:rPr>
                <w:sz w:val="22"/>
                <w:szCs w:val="22"/>
              </w:rPr>
            </w:pPr>
            <w:r>
              <w:rPr>
                <w:sz w:val="22"/>
                <w:szCs w:val="22"/>
              </w:rPr>
              <w:t>gyakori</w:t>
            </w:r>
          </w:p>
        </w:tc>
        <w:tc>
          <w:tcPr>
            <w:tcW w:w="893" w:type="pct"/>
          </w:tcPr>
          <w:p w14:paraId="4D1FB7FF" w14:textId="77777777" w:rsidR="00382B5E" w:rsidRDefault="00BE0CD4">
            <w:pPr>
              <w:rPr>
                <w:sz w:val="22"/>
                <w:szCs w:val="22"/>
              </w:rPr>
            </w:pPr>
            <w:r>
              <w:rPr>
                <w:sz w:val="22"/>
                <w:szCs w:val="22"/>
              </w:rPr>
              <w:t>gyakori</w:t>
            </w:r>
          </w:p>
        </w:tc>
      </w:tr>
      <w:tr w:rsidR="00382B5E" w14:paraId="7B238C73" w14:textId="77777777">
        <w:trPr>
          <w:trHeight w:val="35"/>
        </w:trPr>
        <w:tc>
          <w:tcPr>
            <w:tcW w:w="1566" w:type="pct"/>
            <w:vMerge/>
          </w:tcPr>
          <w:p w14:paraId="142720D0" w14:textId="77777777" w:rsidR="00382B5E" w:rsidRDefault="00382B5E">
            <w:pPr>
              <w:pStyle w:val="Default"/>
              <w:tabs>
                <w:tab w:val="left" w:pos="567"/>
              </w:tabs>
              <w:rPr>
                <w:rFonts w:ascii="Times New Roman" w:hAnsi="Times New Roman" w:cs="Times New Roman"/>
                <w:b/>
                <w:color w:val="auto"/>
                <w:sz w:val="22"/>
                <w:szCs w:val="22"/>
                <w:lang w:val="hu-HU"/>
              </w:rPr>
            </w:pPr>
          </w:p>
        </w:tc>
        <w:tc>
          <w:tcPr>
            <w:tcW w:w="1648" w:type="pct"/>
          </w:tcPr>
          <w:p w14:paraId="3C227B38" w14:textId="77777777" w:rsidR="00382B5E" w:rsidRDefault="00BE0CD4">
            <w:pPr>
              <w:rPr>
                <w:sz w:val="22"/>
                <w:szCs w:val="22"/>
              </w:rPr>
            </w:pPr>
            <w:r>
              <w:rPr>
                <w:noProof/>
                <w:sz w:val="22"/>
                <w:szCs w:val="22"/>
              </w:rPr>
              <w:t>aluszékonyság</w:t>
            </w:r>
          </w:p>
        </w:tc>
        <w:tc>
          <w:tcPr>
            <w:tcW w:w="893" w:type="pct"/>
          </w:tcPr>
          <w:p w14:paraId="11DDDAE7" w14:textId="77777777" w:rsidR="00382B5E" w:rsidRDefault="00BE0CD4">
            <w:pPr>
              <w:rPr>
                <w:sz w:val="22"/>
                <w:szCs w:val="22"/>
              </w:rPr>
            </w:pPr>
            <w:r>
              <w:rPr>
                <w:sz w:val="22"/>
                <w:szCs w:val="22"/>
              </w:rPr>
              <w:t>gyakori</w:t>
            </w:r>
          </w:p>
        </w:tc>
        <w:tc>
          <w:tcPr>
            <w:tcW w:w="893" w:type="pct"/>
          </w:tcPr>
          <w:p w14:paraId="0723954E" w14:textId="77777777" w:rsidR="00382B5E" w:rsidRDefault="00BE0CD4">
            <w:pPr>
              <w:rPr>
                <w:sz w:val="22"/>
                <w:szCs w:val="22"/>
              </w:rPr>
            </w:pPr>
            <w:r>
              <w:rPr>
                <w:sz w:val="22"/>
                <w:szCs w:val="22"/>
              </w:rPr>
              <w:t>nem gyakori</w:t>
            </w:r>
          </w:p>
        </w:tc>
      </w:tr>
      <w:tr w:rsidR="00382B5E" w14:paraId="60E55206" w14:textId="77777777">
        <w:trPr>
          <w:trHeight w:val="35"/>
        </w:trPr>
        <w:tc>
          <w:tcPr>
            <w:tcW w:w="1566" w:type="pct"/>
            <w:vMerge/>
          </w:tcPr>
          <w:p w14:paraId="1DD0240C" w14:textId="77777777" w:rsidR="00382B5E" w:rsidRDefault="00382B5E">
            <w:pPr>
              <w:pStyle w:val="Default"/>
              <w:tabs>
                <w:tab w:val="left" w:pos="567"/>
              </w:tabs>
              <w:rPr>
                <w:rFonts w:ascii="Times New Roman" w:hAnsi="Times New Roman" w:cs="Times New Roman"/>
                <w:b/>
                <w:color w:val="auto"/>
                <w:sz w:val="22"/>
                <w:szCs w:val="22"/>
                <w:lang w:val="hu-HU"/>
              </w:rPr>
            </w:pPr>
          </w:p>
        </w:tc>
        <w:tc>
          <w:tcPr>
            <w:tcW w:w="1648" w:type="pct"/>
          </w:tcPr>
          <w:p w14:paraId="55039508" w14:textId="77777777" w:rsidR="00382B5E" w:rsidRDefault="00BE0CD4">
            <w:pPr>
              <w:rPr>
                <w:sz w:val="22"/>
                <w:szCs w:val="22"/>
              </w:rPr>
            </w:pPr>
            <w:r>
              <w:rPr>
                <w:noProof/>
                <w:sz w:val="22"/>
                <w:szCs w:val="22"/>
              </w:rPr>
              <w:t>fejfájás</w:t>
            </w:r>
          </w:p>
        </w:tc>
        <w:tc>
          <w:tcPr>
            <w:tcW w:w="893" w:type="pct"/>
          </w:tcPr>
          <w:p w14:paraId="05794859" w14:textId="77777777" w:rsidR="00382B5E" w:rsidRDefault="00BE0CD4">
            <w:pPr>
              <w:rPr>
                <w:sz w:val="22"/>
                <w:szCs w:val="22"/>
              </w:rPr>
            </w:pPr>
            <w:r>
              <w:rPr>
                <w:sz w:val="22"/>
                <w:szCs w:val="22"/>
              </w:rPr>
              <w:t>gyakori</w:t>
            </w:r>
          </w:p>
        </w:tc>
        <w:tc>
          <w:tcPr>
            <w:tcW w:w="893" w:type="pct"/>
          </w:tcPr>
          <w:p w14:paraId="18D93C27" w14:textId="77777777" w:rsidR="00382B5E" w:rsidRDefault="00BE0CD4">
            <w:pPr>
              <w:rPr>
                <w:sz w:val="22"/>
                <w:szCs w:val="22"/>
              </w:rPr>
            </w:pPr>
            <w:r>
              <w:rPr>
                <w:sz w:val="22"/>
                <w:szCs w:val="22"/>
              </w:rPr>
              <w:t>nem gyakori</w:t>
            </w:r>
          </w:p>
        </w:tc>
      </w:tr>
      <w:tr w:rsidR="00382B5E" w14:paraId="3F3BAAC7" w14:textId="77777777">
        <w:trPr>
          <w:trHeight w:val="35"/>
        </w:trPr>
        <w:tc>
          <w:tcPr>
            <w:tcW w:w="1566" w:type="pct"/>
            <w:vMerge/>
          </w:tcPr>
          <w:p w14:paraId="58889050" w14:textId="77777777" w:rsidR="00382B5E" w:rsidRDefault="00382B5E">
            <w:pPr>
              <w:pStyle w:val="Default"/>
              <w:tabs>
                <w:tab w:val="left" w:pos="567"/>
              </w:tabs>
              <w:rPr>
                <w:rFonts w:ascii="Times New Roman" w:hAnsi="Times New Roman" w:cs="Times New Roman"/>
                <w:b/>
                <w:color w:val="auto"/>
                <w:sz w:val="22"/>
                <w:szCs w:val="22"/>
                <w:lang w:val="hu-HU"/>
              </w:rPr>
            </w:pPr>
          </w:p>
        </w:tc>
        <w:tc>
          <w:tcPr>
            <w:tcW w:w="1648" w:type="pct"/>
          </w:tcPr>
          <w:p w14:paraId="0A1528A1" w14:textId="77777777" w:rsidR="00382B5E" w:rsidRDefault="00BE0CD4">
            <w:pPr>
              <w:pStyle w:val="Default"/>
              <w:tabs>
                <w:tab w:val="left" w:pos="567"/>
              </w:tabs>
              <w:rPr>
                <w:rFonts w:ascii="Times New Roman" w:hAnsi="Times New Roman" w:cs="Times New Roman"/>
                <w:color w:val="auto"/>
                <w:sz w:val="22"/>
                <w:szCs w:val="22"/>
                <w:lang w:val="hu-HU"/>
              </w:rPr>
            </w:pPr>
            <w:r>
              <w:rPr>
                <w:rFonts w:ascii="Times New Roman" w:hAnsi="Times New Roman" w:cs="Times New Roman"/>
                <w:noProof/>
                <w:sz w:val="22"/>
                <w:szCs w:val="22"/>
                <w:lang w:val="hu-HU"/>
              </w:rPr>
              <w:t>alvászavarok</w:t>
            </w:r>
          </w:p>
        </w:tc>
        <w:tc>
          <w:tcPr>
            <w:tcW w:w="893" w:type="pct"/>
          </w:tcPr>
          <w:p w14:paraId="68C45A9D" w14:textId="77777777" w:rsidR="00382B5E" w:rsidRDefault="00BE0CD4">
            <w:pPr>
              <w:rPr>
                <w:sz w:val="22"/>
                <w:szCs w:val="22"/>
              </w:rPr>
            </w:pPr>
            <w:r>
              <w:rPr>
                <w:sz w:val="22"/>
                <w:szCs w:val="22"/>
              </w:rPr>
              <w:t>-</w:t>
            </w:r>
          </w:p>
        </w:tc>
        <w:tc>
          <w:tcPr>
            <w:tcW w:w="893" w:type="pct"/>
          </w:tcPr>
          <w:p w14:paraId="4FD526BB" w14:textId="77777777" w:rsidR="00382B5E" w:rsidRDefault="00BE0CD4">
            <w:pPr>
              <w:rPr>
                <w:sz w:val="22"/>
                <w:szCs w:val="22"/>
              </w:rPr>
            </w:pPr>
            <w:r>
              <w:rPr>
                <w:sz w:val="22"/>
                <w:szCs w:val="22"/>
              </w:rPr>
              <w:t>nem gyakori</w:t>
            </w:r>
          </w:p>
        </w:tc>
      </w:tr>
      <w:tr w:rsidR="00382B5E" w14:paraId="3C1932F1" w14:textId="77777777">
        <w:trPr>
          <w:trHeight w:val="35"/>
        </w:trPr>
        <w:tc>
          <w:tcPr>
            <w:tcW w:w="1566" w:type="pct"/>
            <w:vMerge/>
          </w:tcPr>
          <w:p w14:paraId="6F135BC6" w14:textId="77777777" w:rsidR="00382B5E" w:rsidRDefault="00382B5E">
            <w:pPr>
              <w:pStyle w:val="Default"/>
              <w:tabs>
                <w:tab w:val="left" w:pos="567"/>
              </w:tabs>
              <w:rPr>
                <w:rFonts w:ascii="Times New Roman" w:hAnsi="Times New Roman" w:cs="Times New Roman"/>
                <w:b/>
                <w:color w:val="auto"/>
                <w:sz w:val="22"/>
                <w:szCs w:val="22"/>
                <w:lang w:val="hu-HU"/>
              </w:rPr>
            </w:pPr>
          </w:p>
        </w:tc>
        <w:tc>
          <w:tcPr>
            <w:tcW w:w="1648" w:type="pct"/>
          </w:tcPr>
          <w:p w14:paraId="54B49FB5" w14:textId="77777777" w:rsidR="00382B5E" w:rsidRDefault="00BE0CD4">
            <w:pPr>
              <w:rPr>
                <w:sz w:val="22"/>
                <w:szCs w:val="22"/>
              </w:rPr>
            </w:pPr>
            <w:r>
              <w:rPr>
                <w:sz w:val="22"/>
                <w:szCs w:val="22"/>
              </w:rPr>
              <w:t>paraesthesia</w:t>
            </w:r>
          </w:p>
        </w:tc>
        <w:tc>
          <w:tcPr>
            <w:tcW w:w="893" w:type="pct"/>
          </w:tcPr>
          <w:p w14:paraId="305FC86F" w14:textId="77777777" w:rsidR="00382B5E" w:rsidRDefault="00BE0CD4">
            <w:pPr>
              <w:rPr>
                <w:sz w:val="22"/>
                <w:szCs w:val="22"/>
              </w:rPr>
            </w:pPr>
            <w:r>
              <w:rPr>
                <w:sz w:val="22"/>
                <w:szCs w:val="22"/>
              </w:rPr>
              <w:t>nem gyakori</w:t>
            </w:r>
          </w:p>
        </w:tc>
        <w:tc>
          <w:tcPr>
            <w:tcW w:w="893" w:type="pct"/>
          </w:tcPr>
          <w:p w14:paraId="65991075" w14:textId="77777777" w:rsidR="00382B5E" w:rsidRDefault="00BE0CD4">
            <w:pPr>
              <w:rPr>
                <w:sz w:val="22"/>
                <w:szCs w:val="22"/>
              </w:rPr>
            </w:pPr>
            <w:r>
              <w:rPr>
                <w:sz w:val="22"/>
                <w:szCs w:val="22"/>
              </w:rPr>
              <w:t>-</w:t>
            </w:r>
          </w:p>
        </w:tc>
      </w:tr>
      <w:tr w:rsidR="00382B5E" w14:paraId="54AA47CD" w14:textId="77777777">
        <w:trPr>
          <w:trHeight w:val="35"/>
        </w:trPr>
        <w:tc>
          <w:tcPr>
            <w:tcW w:w="1566" w:type="pct"/>
            <w:vMerge/>
          </w:tcPr>
          <w:p w14:paraId="2DC42A9B" w14:textId="77777777" w:rsidR="00382B5E" w:rsidRDefault="00382B5E">
            <w:pPr>
              <w:pStyle w:val="Default"/>
              <w:tabs>
                <w:tab w:val="left" w:pos="567"/>
              </w:tabs>
              <w:rPr>
                <w:rFonts w:ascii="Times New Roman" w:hAnsi="Times New Roman" w:cs="Times New Roman"/>
                <w:b/>
                <w:color w:val="auto"/>
                <w:sz w:val="22"/>
                <w:szCs w:val="22"/>
                <w:lang w:val="hu-HU"/>
              </w:rPr>
            </w:pPr>
          </w:p>
        </w:tc>
        <w:tc>
          <w:tcPr>
            <w:tcW w:w="1648" w:type="pct"/>
          </w:tcPr>
          <w:p w14:paraId="59A35B17" w14:textId="77777777" w:rsidR="00382B5E" w:rsidRDefault="00BE0CD4">
            <w:pPr>
              <w:rPr>
                <w:sz w:val="22"/>
                <w:szCs w:val="22"/>
              </w:rPr>
            </w:pPr>
            <w:r>
              <w:rPr>
                <w:sz w:val="22"/>
                <w:szCs w:val="22"/>
              </w:rPr>
              <w:t>hypoaesthesia</w:t>
            </w:r>
          </w:p>
        </w:tc>
        <w:tc>
          <w:tcPr>
            <w:tcW w:w="893" w:type="pct"/>
          </w:tcPr>
          <w:p w14:paraId="6AEA78F0" w14:textId="77777777" w:rsidR="00382B5E" w:rsidRDefault="00BE0CD4">
            <w:pPr>
              <w:rPr>
                <w:sz w:val="22"/>
                <w:szCs w:val="22"/>
              </w:rPr>
            </w:pPr>
            <w:r>
              <w:rPr>
                <w:sz w:val="22"/>
                <w:szCs w:val="22"/>
              </w:rPr>
              <w:t xml:space="preserve">nem gyakori </w:t>
            </w:r>
          </w:p>
        </w:tc>
        <w:tc>
          <w:tcPr>
            <w:tcW w:w="893" w:type="pct"/>
          </w:tcPr>
          <w:p w14:paraId="402E8B7E" w14:textId="77777777" w:rsidR="00382B5E" w:rsidRDefault="00BE0CD4">
            <w:pPr>
              <w:rPr>
                <w:sz w:val="22"/>
                <w:szCs w:val="22"/>
              </w:rPr>
            </w:pPr>
            <w:r>
              <w:rPr>
                <w:sz w:val="22"/>
                <w:szCs w:val="22"/>
              </w:rPr>
              <w:t>-</w:t>
            </w:r>
          </w:p>
        </w:tc>
      </w:tr>
      <w:tr w:rsidR="00382B5E" w14:paraId="3C0383F6" w14:textId="77777777">
        <w:trPr>
          <w:trHeight w:val="35"/>
        </w:trPr>
        <w:tc>
          <w:tcPr>
            <w:tcW w:w="1566" w:type="pct"/>
            <w:vMerge/>
          </w:tcPr>
          <w:p w14:paraId="239153F3" w14:textId="77777777" w:rsidR="00382B5E" w:rsidRDefault="00382B5E">
            <w:pPr>
              <w:pStyle w:val="Default"/>
              <w:tabs>
                <w:tab w:val="left" w:pos="567"/>
              </w:tabs>
              <w:rPr>
                <w:rFonts w:ascii="Times New Roman" w:hAnsi="Times New Roman" w:cs="Times New Roman"/>
                <w:b/>
                <w:color w:val="auto"/>
                <w:sz w:val="22"/>
                <w:szCs w:val="22"/>
                <w:lang w:val="hu-HU"/>
              </w:rPr>
            </w:pPr>
          </w:p>
        </w:tc>
        <w:tc>
          <w:tcPr>
            <w:tcW w:w="1648" w:type="pct"/>
          </w:tcPr>
          <w:p w14:paraId="194E47E7" w14:textId="77777777" w:rsidR="00382B5E" w:rsidRDefault="00BE0CD4">
            <w:pPr>
              <w:rPr>
                <w:sz w:val="22"/>
                <w:szCs w:val="22"/>
              </w:rPr>
            </w:pPr>
            <w:r>
              <w:rPr>
                <w:sz w:val="22"/>
                <w:szCs w:val="22"/>
              </w:rPr>
              <w:t>tremor</w:t>
            </w:r>
          </w:p>
        </w:tc>
        <w:tc>
          <w:tcPr>
            <w:tcW w:w="893" w:type="pct"/>
          </w:tcPr>
          <w:p w14:paraId="6B292C5A" w14:textId="77777777" w:rsidR="00382B5E" w:rsidRDefault="00BE0CD4">
            <w:pPr>
              <w:rPr>
                <w:sz w:val="22"/>
                <w:szCs w:val="22"/>
              </w:rPr>
            </w:pPr>
            <w:r>
              <w:rPr>
                <w:sz w:val="22"/>
                <w:szCs w:val="22"/>
              </w:rPr>
              <w:t xml:space="preserve">nem gyakori </w:t>
            </w:r>
          </w:p>
        </w:tc>
        <w:tc>
          <w:tcPr>
            <w:tcW w:w="893" w:type="pct"/>
          </w:tcPr>
          <w:p w14:paraId="259764D2" w14:textId="77777777" w:rsidR="00382B5E" w:rsidRDefault="00BE0CD4">
            <w:pPr>
              <w:rPr>
                <w:sz w:val="22"/>
                <w:szCs w:val="22"/>
              </w:rPr>
            </w:pPr>
            <w:r>
              <w:rPr>
                <w:sz w:val="22"/>
                <w:szCs w:val="22"/>
              </w:rPr>
              <w:t>-</w:t>
            </w:r>
          </w:p>
        </w:tc>
      </w:tr>
      <w:tr w:rsidR="00382B5E" w14:paraId="5E4A3A1C" w14:textId="77777777">
        <w:trPr>
          <w:trHeight w:val="35"/>
        </w:trPr>
        <w:tc>
          <w:tcPr>
            <w:tcW w:w="1566" w:type="pct"/>
            <w:vMerge/>
          </w:tcPr>
          <w:p w14:paraId="6DEA4CA1" w14:textId="77777777" w:rsidR="00382B5E" w:rsidRDefault="00382B5E">
            <w:pPr>
              <w:pStyle w:val="Default"/>
              <w:tabs>
                <w:tab w:val="left" w:pos="567"/>
              </w:tabs>
              <w:rPr>
                <w:rFonts w:ascii="Times New Roman" w:hAnsi="Times New Roman" w:cs="Times New Roman"/>
                <w:b/>
                <w:color w:val="auto"/>
                <w:sz w:val="22"/>
                <w:szCs w:val="22"/>
                <w:lang w:val="hu-HU"/>
              </w:rPr>
            </w:pPr>
          </w:p>
        </w:tc>
        <w:tc>
          <w:tcPr>
            <w:tcW w:w="1648" w:type="pct"/>
          </w:tcPr>
          <w:p w14:paraId="508ABBA4" w14:textId="77777777" w:rsidR="00382B5E" w:rsidRDefault="00BE0CD4">
            <w:pPr>
              <w:rPr>
                <w:sz w:val="22"/>
                <w:szCs w:val="22"/>
              </w:rPr>
            </w:pPr>
            <w:r>
              <w:rPr>
                <w:sz w:val="22"/>
                <w:szCs w:val="22"/>
              </w:rPr>
              <w:t>dysgeusia</w:t>
            </w:r>
          </w:p>
        </w:tc>
        <w:tc>
          <w:tcPr>
            <w:tcW w:w="893" w:type="pct"/>
          </w:tcPr>
          <w:p w14:paraId="754D65DB" w14:textId="77777777" w:rsidR="00382B5E" w:rsidRDefault="00BE0CD4">
            <w:pPr>
              <w:rPr>
                <w:sz w:val="22"/>
                <w:szCs w:val="22"/>
              </w:rPr>
            </w:pPr>
            <w:r>
              <w:rPr>
                <w:sz w:val="22"/>
                <w:szCs w:val="22"/>
              </w:rPr>
              <w:t xml:space="preserve">nem gyakori </w:t>
            </w:r>
          </w:p>
        </w:tc>
        <w:tc>
          <w:tcPr>
            <w:tcW w:w="893" w:type="pct"/>
          </w:tcPr>
          <w:p w14:paraId="35497640" w14:textId="77777777" w:rsidR="00382B5E" w:rsidRDefault="00BE0CD4">
            <w:pPr>
              <w:pStyle w:val="Default"/>
              <w:tabs>
                <w:tab w:val="left" w:pos="567"/>
              </w:tabs>
              <w:rPr>
                <w:rFonts w:ascii="Times New Roman" w:hAnsi="Times New Roman" w:cs="Times New Roman"/>
                <w:color w:val="auto"/>
                <w:sz w:val="22"/>
                <w:szCs w:val="22"/>
                <w:lang w:val="hu-HU"/>
              </w:rPr>
            </w:pPr>
            <w:r>
              <w:rPr>
                <w:rFonts w:ascii="Times New Roman" w:hAnsi="Times New Roman" w:cs="Times New Roman"/>
                <w:color w:val="auto"/>
                <w:sz w:val="22"/>
                <w:szCs w:val="22"/>
                <w:lang w:val="hu-HU"/>
              </w:rPr>
              <w:t>nem ismert</w:t>
            </w:r>
          </w:p>
        </w:tc>
      </w:tr>
      <w:tr w:rsidR="00382B5E" w14:paraId="2304E37F" w14:textId="77777777">
        <w:trPr>
          <w:trHeight w:val="35"/>
        </w:trPr>
        <w:tc>
          <w:tcPr>
            <w:tcW w:w="1566" w:type="pct"/>
            <w:vMerge/>
          </w:tcPr>
          <w:p w14:paraId="60A41B3D" w14:textId="77777777" w:rsidR="00382B5E" w:rsidRDefault="00382B5E">
            <w:pPr>
              <w:pStyle w:val="Default"/>
              <w:tabs>
                <w:tab w:val="left" w:pos="567"/>
              </w:tabs>
              <w:rPr>
                <w:rFonts w:ascii="Times New Roman" w:hAnsi="Times New Roman" w:cs="Times New Roman"/>
                <w:b/>
                <w:color w:val="auto"/>
                <w:sz w:val="22"/>
                <w:szCs w:val="22"/>
                <w:lang w:val="hu-HU"/>
              </w:rPr>
            </w:pPr>
          </w:p>
        </w:tc>
        <w:tc>
          <w:tcPr>
            <w:tcW w:w="1648" w:type="pct"/>
          </w:tcPr>
          <w:p w14:paraId="12B5CF8D" w14:textId="77777777" w:rsidR="00382B5E" w:rsidRDefault="00BE0CD4">
            <w:pPr>
              <w:rPr>
                <w:sz w:val="22"/>
                <w:szCs w:val="22"/>
              </w:rPr>
            </w:pPr>
            <w:r>
              <w:rPr>
                <w:sz w:val="22"/>
                <w:szCs w:val="22"/>
              </w:rPr>
              <w:t>syncope</w:t>
            </w:r>
          </w:p>
        </w:tc>
        <w:tc>
          <w:tcPr>
            <w:tcW w:w="893" w:type="pct"/>
          </w:tcPr>
          <w:p w14:paraId="63E80646" w14:textId="77777777" w:rsidR="00382B5E" w:rsidRDefault="00BE0CD4">
            <w:pPr>
              <w:rPr>
                <w:sz w:val="22"/>
                <w:szCs w:val="22"/>
              </w:rPr>
            </w:pPr>
            <w:r>
              <w:rPr>
                <w:sz w:val="22"/>
                <w:szCs w:val="22"/>
              </w:rPr>
              <w:t>nem gyakori</w:t>
            </w:r>
          </w:p>
        </w:tc>
        <w:tc>
          <w:tcPr>
            <w:tcW w:w="893" w:type="pct"/>
          </w:tcPr>
          <w:p w14:paraId="57459228" w14:textId="77777777" w:rsidR="00382B5E" w:rsidRDefault="00BE0CD4">
            <w:pPr>
              <w:pStyle w:val="Default"/>
              <w:tabs>
                <w:tab w:val="left" w:pos="567"/>
              </w:tabs>
              <w:rPr>
                <w:rFonts w:ascii="Times New Roman" w:hAnsi="Times New Roman" w:cs="Times New Roman"/>
                <w:color w:val="auto"/>
                <w:sz w:val="22"/>
                <w:szCs w:val="22"/>
                <w:lang w:val="hu-HU"/>
              </w:rPr>
            </w:pPr>
            <w:r>
              <w:rPr>
                <w:rFonts w:ascii="Times New Roman" w:hAnsi="Times New Roman" w:cs="Times New Roman"/>
                <w:color w:val="auto"/>
                <w:sz w:val="22"/>
                <w:szCs w:val="22"/>
                <w:lang w:val="hu-HU"/>
              </w:rPr>
              <w:t>-</w:t>
            </w:r>
          </w:p>
        </w:tc>
      </w:tr>
      <w:tr w:rsidR="00382B5E" w14:paraId="18AF368E" w14:textId="77777777">
        <w:trPr>
          <w:trHeight w:val="35"/>
        </w:trPr>
        <w:tc>
          <w:tcPr>
            <w:tcW w:w="1566" w:type="pct"/>
            <w:vMerge/>
          </w:tcPr>
          <w:p w14:paraId="0D98463F" w14:textId="77777777" w:rsidR="00382B5E" w:rsidRDefault="00382B5E">
            <w:pPr>
              <w:pStyle w:val="Default"/>
              <w:tabs>
                <w:tab w:val="left" w:pos="567"/>
              </w:tabs>
              <w:rPr>
                <w:rFonts w:ascii="Times New Roman" w:hAnsi="Times New Roman" w:cs="Times New Roman"/>
                <w:b/>
                <w:color w:val="auto"/>
                <w:sz w:val="22"/>
                <w:szCs w:val="22"/>
                <w:lang w:val="hu-HU"/>
              </w:rPr>
            </w:pPr>
          </w:p>
        </w:tc>
        <w:tc>
          <w:tcPr>
            <w:tcW w:w="1648" w:type="pct"/>
          </w:tcPr>
          <w:p w14:paraId="25CBA0D3" w14:textId="77777777" w:rsidR="00382B5E" w:rsidRDefault="00BE0CD4">
            <w:pPr>
              <w:rPr>
                <w:sz w:val="22"/>
                <w:szCs w:val="22"/>
              </w:rPr>
            </w:pPr>
            <w:r>
              <w:rPr>
                <w:color w:val="000000"/>
                <w:sz w:val="22"/>
                <w:szCs w:val="22"/>
                <w:lang w:eastAsia="en-US"/>
              </w:rPr>
              <w:t>fokozott izomműködés, peripheriás neuropathia</w:t>
            </w:r>
          </w:p>
        </w:tc>
        <w:tc>
          <w:tcPr>
            <w:tcW w:w="893" w:type="pct"/>
          </w:tcPr>
          <w:p w14:paraId="0FE59280" w14:textId="77777777" w:rsidR="00382B5E" w:rsidRDefault="00BE0CD4">
            <w:pPr>
              <w:rPr>
                <w:sz w:val="22"/>
                <w:szCs w:val="22"/>
              </w:rPr>
            </w:pPr>
            <w:r>
              <w:rPr>
                <w:color w:val="000000"/>
                <w:sz w:val="22"/>
                <w:szCs w:val="22"/>
                <w:lang w:eastAsia="en-US"/>
              </w:rPr>
              <w:t>nagyon ritka</w:t>
            </w:r>
          </w:p>
        </w:tc>
        <w:tc>
          <w:tcPr>
            <w:tcW w:w="893" w:type="pct"/>
          </w:tcPr>
          <w:p w14:paraId="7531F5CA" w14:textId="77777777" w:rsidR="00382B5E" w:rsidRDefault="00BE0CD4">
            <w:pPr>
              <w:rPr>
                <w:sz w:val="22"/>
                <w:szCs w:val="22"/>
              </w:rPr>
            </w:pPr>
            <w:r>
              <w:rPr>
                <w:sz w:val="22"/>
                <w:szCs w:val="22"/>
              </w:rPr>
              <w:t>-</w:t>
            </w:r>
          </w:p>
        </w:tc>
      </w:tr>
      <w:tr w:rsidR="00382B5E" w14:paraId="008F5F44" w14:textId="77777777">
        <w:trPr>
          <w:trHeight w:val="35"/>
        </w:trPr>
        <w:tc>
          <w:tcPr>
            <w:tcW w:w="1566" w:type="pct"/>
            <w:vMerge/>
          </w:tcPr>
          <w:p w14:paraId="14CC95EB" w14:textId="77777777" w:rsidR="00382B5E" w:rsidRDefault="00382B5E">
            <w:pPr>
              <w:pStyle w:val="Default"/>
              <w:tabs>
                <w:tab w:val="left" w:pos="567"/>
              </w:tabs>
              <w:rPr>
                <w:rFonts w:ascii="Times New Roman" w:hAnsi="Times New Roman" w:cs="Times New Roman"/>
                <w:b/>
                <w:color w:val="auto"/>
                <w:sz w:val="22"/>
                <w:szCs w:val="22"/>
                <w:lang w:val="hu-HU"/>
              </w:rPr>
            </w:pPr>
          </w:p>
        </w:tc>
        <w:tc>
          <w:tcPr>
            <w:tcW w:w="1648" w:type="pct"/>
          </w:tcPr>
          <w:p w14:paraId="07A011EB" w14:textId="77777777" w:rsidR="00382B5E" w:rsidRDefault="00BE0CD4">
            <w:pPr>
              <w:rPr>
                <w:sz w:val="22"/>
                <w:szCs w:val="22"/>
              </w:rPr>
            </w:pPr>
            <w:r>
              <w:rPr>
                <w:sz w:val="22"/>
                <w:szCs w:val="22"/>
              </w:rPr>
              <w:t>migrén</w:t>
            </w:r>
          </w:p>
        </w:tc>
        <w:tc>
          <w:tcPr>
            <w:tcW w:w="893" w:type="pct"/>
          </w:tcPr>
          <w:p w14:paraId="22DC2B08" w14:textId="77777777" w:rsidR="00382B5E" w:rsidRDefault="00BE0CD4">
            <w:pPr>
              <w:rPr>
                <w:sz w:val="22"/>
                <w:szCs w:val="22"/>
              </w:rPr>
            </w:pPr>
            <w:r>
              <w:rPr>
                <w:sz w:val="22"/>
                <w:szCs w:val="22"/>
              </w:rPr>
              <w:t>-</w:t>
            </w:r>
          </w:p>
        </w:tc>
        <w:tc>
          <w:tcPr>
            <w:tcW w:w="893" w:type="pct"/>
          </w:tcPr>
          <w:p w14:paraId="736B9065" w14:textId="77777777" w:rsidR="00382B5E" w:rsidRDefault="00BE0CD4">
            <w:pPr>
              <w:pStyle w:val="Default"/>
              <w:tabs>
                <w:tab w:val="left" w:pos="567"/>
              </w:tabs>
              <w:rPr>
                <w:rFonts w:ascii="Times New Roman" w:hAnsi="Times New Roman" w:cs="Times New Roman"/>
                <w:color w:val="auto"/>
                <w:sz w:val="22"/>
                <w:szCs w:val="22"/>
                <w:lang w:val="hu-HU"/>
              </w:rPr>
            </w:pPr>
            <w:r>
              <w:rPr>
                <w:rFonts w:ascii="Times New Roman" w:hAnsi="Times New Roman" w:cs="Times New Roman"/>
                <w:color w:val="auto"/>
                <w:sz w:val="22"/>
                <w:szCs w:val="22"/>
                <w:lang w:val="hu-HU"/>
              </w:rPr>
              <w:t>nem ismert</w:t>
            </w:r>
          </w:p>
        </w:tc>
      </w:tr>
      <w:tr w:rsidR="00382B5E" w14:paraId="04605B13" w14:textId="77777777">
        <w:trPr>
          <w:trHeight w:val="35"/>
        </w:trPr>
        <w:tc>
          <w:tcPr>
            <w:tcW w:w="1566" w:type="pct"/>
            <w:vMerge/>
          </w:tcPr>
          <w:p w14:paraId="17466ED3" w14:textId="77777777" w:rsidR="00382B5E" w:rsidRDefault="00382B5E">
            <w:pPr>
              <w:pStyle w:val="Default"/>
              <w:tabs>
                <w:tab w:val="left" w:pos="567"/>
              </w:tabs>
              <w:rPr>
                <w:rFonts w:ascii="Times New Roman" w:hAnsi="Times New Roman" w:cs="Times New Roman"/>
                <w:b/>
                <w:color w:val="auto"/>
                <w:sz w:val="22"/>
                <w:szCs w:val="22"/>
                <w:lang w:val="hu-HU"/>
              </w:rPr>
            </w:pPr>
          </w:p>
        </w:tc>
        <w:tc>
          <w:tcPr>
            <w:tcW w:w="1648" w:type="pct"/>
          </w:tcPr>
          <w:p w14:paraId="04165432" w14:textId="77777777" w:rsidR="00382B5E" w:rsidRDefault="00BE0CD4">
            <w:pPr>
              <w:rPr>
                <w:sz w:val="22"/>
                <w:szCs w:val="22"/>
              </w:rPr>
            </w:pPr>
            <w:r>
              <w:rPr>
                <w:sz w:val="22"/>
                <w:szCs w:val="22"/>
              </w:rPr>
              <w:t>extrapyramidalis zavar</w:t>
            </w:r>
          </w:p>
        </w:tc>
        <w:tc>
          <w:tcPr>
            <w:tcW w:w="893" w:type="pct"/>
          </w:tcPr>
          <w:p w14:paraId="67A8C257" w14:textId="77777777" w:rsidR="00382B5E" w:rsidRDefault="00BE0CD4">
            <w:pPr>
              <w:rPr>
                <w:sz w:val="22"/>
                <w:szCs w:val="22"/>
              </w:rPr>
            </w:pPr>
            <w:r>
              <w:rPr>
                <w:sz w:val="22"/>
                <w:szCs w:val="22"/>
              </w:rPr>
              <w:t>nem ismert</w:t>
            </w:r>
          </w:p>
        </w:tc>
        <w:tc>
          <w:tcPr>
            <w:tcW w:w="893" w:type="pct"/>
          </w:tcPr>
          <w:p w14:paraId="50346054" w14:textId="77777777" w:rsidR="00382B5E" w:rsidRDefault="00BE0CD4">
            <w:pPr>
              <w:pStyle w:val="Default"/>
              <w:tabs>
                <w:tab w:val="left" w:pos="567"/>
              </w:tabs>
              <w:rPr>
                <w:rFonts w:ascii="Times New Roman" w:hAnsi="Times New Roman" w:cs="Times New Roman"/>
                <w:color w:val="auto"/>
                <w:sz w:val="22"/>
                <w:szCs w:val="22"/>
                <w:lang w:val="hu-HU"/>
              </w:rPr>
            </w:pPr>
            <w:r>
              <w:rPr>
                <w:sz w:val="22"/>
                <w:szCs w:val="22"/>
              </w:rPr>
              <w:t>-</w:t>
            </w:r>
          </w:p>
        </w:tc>
      </w:tr>
      <w:tr w:rsidR="00382B5E" w14:paraId="4F828CDF" w14:textId="77777777">
        <w:trPr>
          <w:trHeight w:val="35"/>
        </w:trPr>
        <w:tc>
          <w:tcPr>
            <w:tcW w:w="1566" w:type="pct"/>
          </w:tcPr>
          <w:p w14:paraId="7F92923C" w14:textId="77777777" w:rsidR="00382B5E" w:rsidRDefault="00BE0CD4">
            <w:pPr>
              <w:rPr>
                <w:b/>
                <w:sz w:val="22"/>
                <w:szCs w:val="22"/>
              </w:rPr>
            </w:pPr>
            <w:r>
              <w:rPr>
                <w:b/>
                <w:sz w:val="22"/>
                <w:szCs w:val="22"/>
              </w:rPr>
              <w:t>Szembetegségek és szemészeti tünetek</w:t>
            </w:r>
          </w:p>
        </w:tc>
        <w:tc>
          <w:tcPr>
            <w:tcW w:w="1648" w:type="pct"/>
          </w:tcPr>
          <w:p w14:paraId="3500F9B0" w14:textId="77777777" w:rsidR="00382B5E" w:rsidRDefault="00BE0CD4">
            <w:pPr>
              <w:rPr>
                <w:color w:val="000000"/>
                <w:sz w:val="22"/>
                <w:szCs w:val="22"/>
                <w:lang w:eastAsia="en-US"/>
              </w:rPr>
            </w:pPr>
            <w:r>
              <w:rPr>
                <w:color w:val="000000"/>
                <w:sz w:val="22"/>
                <w:szCs w:val="22"/>
                <w:lang w:eastAsia="en-US"/>
              </w:rPr>
              <w:t>látászavarok (beleértve a diplopiát)</w:t>
            </w:r>
          </w:p>
        </w:tc>
        <w:tc>
          <w:tcPr>
            <w:tcW w:w="893" w:type="pct"/>
          </w:tcPr>
          <w:p w14:paraId="0177B261" w14:textId="77777777" w:rsidR="00382B5E" w:rsidRDefault="00BE0CD4">
            <w:pPr>
              <w:rPr>
                <w:color w:val="000000"/>
                <w:sz w:val="22"/>
                <w:szCs w:val="22"/>
                <w:lang w:eastAsia="en-US"/>
              </w:rPr>
            </w:pPr>
            <w:r>
              <w:rPr>
                <w:color w:val="000000"/>
                <w:sz w:val="22"/>
                <w:szCs w:val="22"/>
                <w:lang w:eastAsia="en-US"/>
              </w:rPr>
              <w:t>gyakori</w:t>
            </w:r>
          </w:p>
        </w:tc>
        <w:tc>
          <w:tcPr>
            <w:tcW w:w="893" w:type="pct"/>
          </w:tcPr>
          <w:p w14:paraId="6802D3C1" w14:textId="77777777" w:rsidR="00382B5E" w:rsidRDefault="00BE0CD4">
            <w:pPr>
              <w:rPr>
                <w:sz w:val="22"/>
                <w:szCs w:val="22"/>
              </w:rPr>
            </w:pPr>
            <w:r>
              <w:rPr>
                <w:sz w:val="22"/>
                <w:szCs w:val="22"/>
              </w:rPr>
              <w:t>-</w:t>
            </w:r>
          </w:p>
        </w:tc>
      </w:tr>
      <w:tr w:rsidR="00382B5E" w14:paraId="334210A5" w14:textId="77777777">
        <w:trPr>
          <w:trHeight w:val="35"/>
        </w:trPr>
        <w:tc>
          <w:tcPr>
            <w:tcW w:w="1566" w:type="pct"/>
            <w:vMerge w:val="restart"/>
          </w:tcPr>
          <w:p w14:paraId="5E6332AF" w14:textId="77777777" w:rsidR="00382B5E" w:rsidRDefault="00BE0CD4">
            <w:pPr>
              <w:pStyle w:val="Default"/>
              <w:tabs>
                <w:tab w:val="left" w:pos="567"/>
              </w:tabs>
              <w:rPr>
                <w:rFonts w:ascii="Times New Roman" w:hAnsi="Times New Roman" w:cs="Times New Roman"/>
                <w:b/>
                <w:color w:val="auto"/>
                <w:sz w:val="22"/>
                <w:szCs w:val="22"/>
                <w:lang w:val="hu-HU"/>
              </w:rPr>
            </w:pPr>
            <w:r>
              <w:rPr>
                <w:rFonts w:ascii="Times New Roman" w:hAnsi="Times New Roman" w:cs="Times New Roman"/>
                <w:b/>
                <w:sz w:val="22"/>
                <w:szCs w:val="22"/>
                <w:lang w:val="hu-HU"/>
              </w:rPr>
              <w:t>A fül és az egyensúly-érzékelő szerv betegségei és tünetei</w:t>
            </w:r>
          </w:p>
        </w:tc>
        <w:tc>
          <w:tcPr>
            <w:tcW w:w="1648" w:type="pct"/>
          </w:tcPr>
          <w:p w14:paraId="1E9C3E17" w14:textId="77777777" w:rsidR="00382B5E" w:rsidRDefault="00BE0CD4">
            <w:pPr>
              <w:rPr>
                <w:sz w:val="22"/>
                <w:szCs w:val="22"/>
              </w:rPr>
            </w:pPr>
            <w:r>
              <w:rPr>
                <w:sz w:val="22"/>
                <w:szCs w:val="22"/>
              </w:rPr>
              <w:t>vertigo</w:t>
            </w:r>
          </w:p>
        </w:tc>
        <w:tc>
          <w:tcPr>
            <w:tcW w:w="893" w:type="pct"/>
          </w:tcPr>
          <w:p w14:paraId="6B06BC03" w14:textId="77777777" w:rsidR="00382B5E" w:rsidRDefault="00BE0CD4">
            <w:pPr>
              <w:rPr>
                <w:sz w:val="22"/>
                <w:szCs w:val="22"/>
              </w:rPr>
            </w:pPr>
            <w:r>
              <w:rPr>
                <w:sz w:val="22"/>
                <w:szCs w:val="22"/>
              </w:rPr>
              <w:t>-</w:t>
            </w:r>
          </w:p>
        </w:tc>
        <w:tc>
          <w:tcPr>
            <w:tcW w:w="893" w:type="pct"/>
          </w:tcPr>
          <w:p w14:paraId="7C67C01D" w14:textId="77777777" w:rsidR="00382B5E" w:rsidRDefault="00BE0CD4">
            <w:pPr>
              <w:rPr>
                <w:sz w:val="22"/>
                <w:szCs w:val="22"/>
              </w:rPr>
            </w:pPr>
            <w:r>
              <w:rPr>
                <w:sz w:val="22"/>
                <w:szCs w:val="22"/>
              </w:rPr>
              <w:t>gyakori</w:t>
            </w:r>
          </w:p>
        </w:tc>
      </w:tr>
      <w:tr w:rsidR="00382B5E" w14:paraId="24AA50EB" w14:textId="77777777">
        <w:trPr>
          <w:trHeight w:val="57"/>
        </w:trPr>
        <w:tc>
          <w:tcPr>
            <w:tcW w:w="1566" w:type="pct"/>
            <w:vMerge/>
          </w:tcPr>
          <w:p w14:paraId="08856A61" w14:textId="77777777" w:rsidR="00382B5E" w:rsidRDefault="00382B5E">
            <w:pPr>
              <w:pStyle w:val="NormlWeb"/>
              <w:spacing w:before="0" w:beforeAutospacing="0" w:after="0" w:afterAutospacing="0"/>
              <w:rPr>
                <w:b/>
                <w:sz w:val="22"/>
                <w:szCs w:val="22"/>
                <w:lang w:val="hu-HU"/>
              </w:rPr>
            </w:pPr>
          </w:p>
        </w:tc>
        <w:tc>
          <w:tcPr>
            <w:tcW w:w="1648" w:type="pct"/>
          </w:tcPr>
          <w:p w14:paraId="014EB5F4" w14:textId="77777777" w:rsidR="00382B5E" w:rsidRDefault="00BE0CD4">
            <w:pPr>
              <w:pStyle w:val="NormlWeb"/>
              <w:spacing w:before="0" w:beforeAutospacing="0" w:after="0" w:afterAutospacing="0"/>
              <w:rPr>
                <w:sz w:val="22"/>
                <w:szCs w:val="22"/>
                <w:lang w:val="hu-HU"/>
              </w:rPr>
            </w:pPr>
            <w:r>
              <w:rPr>
                <w:sz w:val="22"/>
                <w:szCs w:val="22"/>
                <w:lang w:val="hu-HU"/>
              </w:rPr>
              <w:t>tinnitus</w:t>
            </w:r>
          </w:p>
        </w:tc>
        <w:tc>
          <w:tcPr>
            <w:tcW w:w="893" w:type="pct"/>
          </w:tcPr>
          <w:p w14:paraId="43A6F349" w14:textId="77777777" w:rsidR="00382B5E" w:rsidRDefault="00BE0CD4">
            <w:pPr>
              <w:pStyle w:val="NormlWeb"/>
              <w:spacing w:before="0" w:beforeAutospacing="0" w:after="0" w:afterAutospacing="0"/>
              <w:rPr>
                <w:sz w:val="22"/>
                <w:szCs w:val="22"/>
                <w:lang w:val="hu-HU"/>
              </w:rPr>
            </w:pPr>
            <w:r>
              <w:rPr>
                <w:sz w:val="22"/>
                <w:szCs w:val="22"/>
                <w:lang w:val="hu-HU"/>
              </w:rPr>
              <w:t>nem gyakori</w:t>
            </w:r>
          </w:p>
        </w:tc>
        <w:tc>
          <w:tcPr>
            <w:tcW w:w="893" w:type="pct"/>
          </w:tcPr>
          <w:p w14:paraId="76D00059" w14:textId="77777777" w:rsidR="00382B5E" w:rsidRDefault="00BE0CD4">
            <w:pPr>
              <w:rPr>
                <w:sz w:val="22"/>
                <w:szCs w:val="22"/>
              </w:rPr>
            </w:pPr>
            <w:r>
              <w:rPr>
                <w:sz w:val="22"/>
                <w:szCs w:val="22"/>
              </w:rPr>
              <w:t>nem ismert</w:t>
            </w:r>
          </w:p>
        </w:tc>
      </w:tr>
      <w:tr w:rsidR="00382B5E" w14:paraId="4AC313DA" w14:textId="77777777">
        <w:trPr>
          <w:trHeight w:val="57"/>
        </w:trPr>
        <w:tc>
          <w:tcPr>
            <w:tcW w:w="1566" w:type="pct"/>
            <w:vMerge w:val="restart"/>
          </w:tcPr>
          <w:p w14:paraId="34EF0124" w14:textId="77777777" w:rsidR="00382B5E" w:rsidRDefault="00BE0CD4">
            <w:pPr>
              <w:pStyle w:val="Default"/>
              <w:tabs>
                <w:tab w:val="left" w:pos="567"/>
              </w:tabs>
              <w:rPr>
                <w:rFonts w:ascii="Times New Roman" w:hAnsi="Times New Roman" w:cs="Times New Roman"/>
                <w:b/>
                <w:color w:val="auto"/>
                <w:sz w:val="22"/>
                <w:szCs w:val="22"/>
                <w:lang w:val="hu-HU"/>
              </w:rPr>
            </w:pPr>
            <w:r>
              <w:rPr>
                <w:rFonts w:ascii="Times New Roman" w:hAnsi="Times New Roman" w:cs="Times New Roman"/>
                <w:b/>
                <w:sz w:val="22"/>
                <w:szCs w:val="22"/>
                <w:lang w:val="hu-HU"/>
              </w:rPr>
              <w:t>Szívbetegségek és a szívvel kapcsolatos tünetek</w:t>
            </w:r>
          </w:p>
        </w:tc>
        <w:tc>
          <w:tcPr>
            <w:tcW w:w="1648" w:type="pct"/>
          </w:tcPr>
          <w:p w14:paraId="500B9DA4" w14:textId="77777777" w:rsidR="00382B5E" w:rsidRDefault="00BE0CD4">
            <w:pPr>
              <w:pStyle w:val="NormlWeb"/>
              <w:spacing w:before="0" w:beforeAutospacing="0" w:after="0" w:afterAutospacing="0"/>
              <w:rPr>
                <w:sz w:val="22"/>
                <w:szCs w:val="22"/>
                <w:lang w:val="hu-HU"/>
              </w:rPr>
            </w:pPr>
            <w:r>
              <w:rPr>
                <w:sz w:val="22"/>
                <w:szCs w:val="22"/>
                <w:lang w:val="hu-HU"/>
              </w:rPr>
              <w:t>palpitatio</w:t>
            </w:r>
          </w:p>
        </w:tc>
        <w:tc>
          <w:tcPr>
            <w:tcW w:w="893" w:type="pct"/>
          </w:tcPr>
          <w:p w14:paraId="68AB7511" w14:textId="77777777" w:rsidR="00382B5E" w:rsidRDefault="00BE0CD4">
            <w:pPr>
              <w:pStyle w:val="NormlWeb"/>
              <w:spacing w:before="0" w:beforeAutospacing="0" w:after="0" w:afterAutospacing="0"/>
              <w:rPr>
                <w:sz w:val="22"/>
                <w:szCs w:val="22"/>
                <w:lang w:val="hu-HU"/>
              </w:rPr>
            </w:pPr>
            <w:r>
              <w:rPr>
                <w:sz w:val="22"/>
                <w:szCs w:val="22"/>
                <w:lang w:val="hu-HU"/>
              </w:rPr>
              <w:t>gyakori</w:t>
            </w:r>
          </w:p>
        </w:tc>
        <w:tc>
          <w:tcPr>
            <w:tcW w:w="893" w:type="pct"/>
          </w:tcPr>
          <w:p w14:paraId="14B6FAE0" w14:textId="77777777" w:rsidR="00382B5E" w:rsidRDefault="00BE0CD4">
            <w:pPr>
              <w:rPr>
                <w:sz w:val="22"/>
                <w:szCs w:val="22"/>
              </w:rPr>
            </w:pPr>
            <w:r>
              <w:rPr>
                <w:sz w:val="22"/>
                <w:szCs w:val="22"/>
              </w:rPr>
              <w:t>nem gyakori</w:t>
            </w:r>
          </w:p>
        </w:tc>
      </w:tr>
      <w:tr w:rsidR="00382B5E" w14:paraId="6AF1C091" w14:textId="77777777">
        <w:trPr>
          <w:trHeight w:val="153"/>
        </w:trPr>
        <w:tc>
          <w:tcPr>
            <w:tcW w:w="1566" w:type="pct"/>
            <w:vMerge/>
          </w:tcPr>
          <w:p w14:paraId="38DD800A" w14:textId="77777777" w:rsidR="00382B5E" w:rsidRDefault="00382B5E">
            <w:pPr>
              <w:pStyle w:val="NormlWeb"/>
              <w:spacing w:before="0" w:beforeAutospacing="0" w:after="0" w:afterAutospacing="0"/>
              <w:rPr>
                <w:b/>
                <w:sz w:val="22"/>
                <w:szCs w:val="22"/>
                <w:lang w:val="hu-HU"/>
              </w:rPr>
            </w:pPr>
          </w:p>
        </w:tc>
        <w:tc>
          <w:tcPr>
            <w:tcW w:w="1648" w:type="pct"/>
          </w:tcPr>
          <w:p w14:paraId="2485E46A" w14:textId="77777777" w:rsidR="00382B5E" w:rsidRDefault="00BE0CD4">
            <w:pPr>
              <w:pStyle w:val="Default"/>
              <w:tabs>
                <w:tab w:val="left" w:pos="567"/>
              </w:tabs>
              <w:rPr>
                <w:rFonts w:ascii="Times New Roman" w:hAnsi="Times New Roman" w:cs="Times New Roman"/>
                <w:color w:val="auto"/>
                <w:sz w:val="22"/>
                <w:szCs w:val="22"/>
                <w:lang w:val="hu-HU"/>
              </w:rPr>
            </w:pPr>
            <w:r>
              <w:rPr>
                <w:rFonts w:ascii="Times New Roman" w:hAnsi="Times New Roman" w:cs="Times New Roman"/>
                <w:color w:val="auto"/>
                <w:sz w:val="22"/>
                <w:szCs w:val="22"/>
                <w:lang w:val="hu-HU"/>
              </w:rPr>
              <w:t>angina pectoris</w:t>
            </w:r>
          </w:p>
        </w:tc>
        <w:tc>
          <w:tcPr>
            <w:tcW w:w="893" w:type="pct"/>
          </w:tcPr>
          <w:p w14:paraId="3F9875BF" w14:textId="77777777" w:rsidR="00382B5E" w:rsidRDefault="00BE0CD4">
            <w:pPr>
              <w:rPr>
                <w:sz w:val="22"/>
                <w:szCs w:val="22"/>
              </w:rPr>
            </w:pPr>
            <w:r>
              <w:rPr>
                <w:sz w:val="22"/>
                <w:szCs w:val="22"/>
              </w:rPr>
              <w:t>-</w:t>
            </w:r>
          </w:p>
        </w:tc>
        <w:tc>
          <w:tcPr>
            <w:tcW w:w="893" w:type="pct"/>
          </w:tcPr>
          <w:p w14:paraId="56EA05EA" w14:textId="77777777" w:rsidR="00382B5E" w:rsidRDefault="00BE0CD4">
            <w:pPr>
              <w:rPr>
                <w:sz w:val="22"/>
                <w:szCs w:val="22"/>
              </w:rPr>
            </w:pPr>
            <w:r>
              <w:rPr>
                <w:sz w:val="22"/>
                <w:szCs w:val="22"/>
              </w:rPr>
              <w:t>nem gyakori</w:t>
            </w:r>
          </w:p>
        </w:tc>
      </w:tr>
      <w:tr w:rsidR="00382B5E" w14:paraId="000F0036" w14:textId="77777777">
        <w:trPr>
          <w:trHeight w:val="57"/>
        </w:trPr>
        <w:tc>
          <w:tcPr>
            <w:tcW w:w="1566" w:type="pct"/>
            <w:vMerge/>
          </w:tcPr>
          <w:p w14:paraId="57755D5B" w14:textId="77777777" w:rsidR="00382B5E" w:rsidRDefault="00382B5E">
            <w:pPr>
              <w:pStyle w:val="NormlWeb"/>
              <w:spacing w:before="0" w:beforeAutospacing="0" w:after="0" w:afterAutospacing="0"/>
              <w:rPr>
                <w:b/>
                <w:sz w:val="22"/>
                <w:szCs w:val="22"/>
                <w:lang w:val="hu-HU"/>
              </w:rPr>
            </w:pPr>
          </w:p>
        </w:tc>
        <w:tc>
          <w:tcPr>
            <w:tcW w:w="1648" w:type="pct"/>
          </w:tcPr>
          <w:p w14:paraId="4C8B4E70" w14:textId="77777777" w:rsidR="00382B5E" w:rsidRDefault="00BE0CD4">
            <w:pPr>
              <w:pStyle w:val="NormlWeb"/>
              <w:spacing w:before="0" w:beforeAutospacing="0" w:after="0" w:afterAutospacing="0"/>
              <w:rPr>
                <w:sz w:val="22"/>
                <w:szCs w:val="22"/>
                <w:lang w:val="hu-HU"/>
              </w:rPr>
            </w:pPr>
            <w:r>
              <w:rPr>
                <w:sz w:val="22"/>
                <w:szCs w:val="22"/>
                <w:lang w:val="hu-HU"/>
              </w:rPr>
              <w:t xml:space="preserve">arrhythmia, (beleértve a bradycardiát, ventricularis </w:t>
            </w:r>
            <w:r>
              <w:rPr>
                <w:sz w:val="22"/>
                <w:szCs w:val="22"/>
                <w:lang w:val="hu-HU"/>
              </w:rPr>
              <w:lastRenderedPageBreak/>
              <w:t>tachycardiát és a pitvarfibrillatiót)</w:t>
            </w:r>
          </w:p>
        </w:tc>
        <w:tc>
          <w:tcPr>
            <w:tcW w:w="893" w:type="pct"/>
          </w:tcPr>
          <w:p w14:paraId="174D0B7C" w14:textId="77777777" w:rsidR="00382B5E" w:rsidRDefault="00BE0CD4">
            <w:pPr>
              <w:pStyle w:val="NormlWeb"/>
              <w:spacing w:before="0" w:beforeAutospacing="0" w:after="0" w:afterAutospacing="0"/>
              <w:rPr>
                <w:sz w:val="22"/>
                <w:szCs w:val="22"/>
                <w:lang w:val="hu-HU"/>
              </w:rPr>
            </w:pPr>
            <w:r>
              <w:rPr>
                <w:sz w:val="22"/>
                <w:szCs w:val="22"/>
                <w:lang w:val="hu-HU"/>
              </w:rPr>
              <w:lastRenderedPageBreak/>
              <w:t xml:space="preserve">nem gyakori </w:t>
            </w:r>
          </w:p>
        </w:tc>
        <w:tc>
          <w:tcPr>
            <w:tcW w:w="893" w:type="pct"/>
          </w:tcPr>
          <w:p w14:paraId="01BE6400" w14:textId="77777777" w:rsidR="00382B5E" w:rsidRDefault="00BE0CD4">
            <w:pPr>
              <w:rPr>
                <w:sz w:val="22"/>
                <w:szCs w:val="22"/>
              </w:rPr>
            </w:pPr>
            <w:r>
              <w:rPr>
                <w:sz w:val="22"/>
                <w:szCs w:val="22"/>
              </w:rPr>
              <w:t>-</w:t>
            </w:r>
          </w:p>
        </w:tc>
      </w:tr>
      <w:tr w:rsidR="00382B5E" w14:paraId="227709F8" w14:textId="77777777">
        <w:trPr>
          <w:trHeight w:val="57"/>
        </w:trPr>
        <w:tc>
          <w:tcPr>
            <w:tcW w:w="1566" w:type="pct"/>
            <w:vMerge/>
          </w:tcPr>
          <w:p w14:paraId="5A87D18A" w14:textId="77777777" w:rsidR="00382B5E" w:rsidRDefault="00382B5E">
            <w:pPr>
              <w:pStyle w:val="NormlWeb"/>
              <w:spacing w:before="0" w:beforeAutospacing="0" w:after="0" w:afterAutospacing="0"/>
              <w:rPr>
                <w:b/>
                <w:sz w:val="22"/>
                <w:szCs w:val="22"/>
                <w:lang w:val="hu-HU"/>
              </w:rPr>
            </w:pPr>
          </w:p>
        </w:tc>
        <w:tc>
          <w:tcPr>
            <w:tcW w:w="1648" w:type="pct"/>
          </w:tcPr>
          <w:p w14:paraId="277E7545" w14:textId="77777777" w:rsidR="00382B5E" w:rsidRDefault="00BE0CD4">
            <w:pPr>
              <w:pStyle w:val="NormlWeb"/>
              <w:spacing w:before="0" w:beforeAutospacing="0" w:after="0" w:afterAutospacing="0"/>
              <w:rPr>
                <w:sz w:val="22"/>
                <w:szCs w:val="22"/>
                <w:lang w:val="hu-HU"/>
              </w:rPr>
            </w:pPr>
            <w:r>
              <w:rPr>
                <w:sz w:val="22"/>
                <w:szCs w:val="22"/>
                <w:lang w:val="hu-HU"/>
              </w:rPr>
              <w:t>myocardialis infarctus</w:t>
            </w:r>
          </w:p>
        </w:tc>
        <w:tc>
          <w:tcPr>
            <w:tcW w:w="893" w:type="pct"/>
          </w:tcPr>
          <w:p w14:paraId="39658E51" w14:textId="77777777" w:rsidR="00382B5E" w:rsidRDefault="00BE0CD4">
            <w:pPr>
              <w:pStyle w:val="NormlWeb"/>
              <w:spacing w:before="0" w:beforeAutospacing="0" w:after="0" w:afterAutospacing="0"/>
              <w:rPr>
                <w:sz w:val="22"/>
                <w:szCs w:val="22"/>
                <w:lang w:val="hu-HU"/>
              </w:rPr>
            </w:pPr>
            <w:r>
              <w:rPr>
                <w:sz w:val="22"/>
                <w:szCs w:val="22"/>
                <w:lang w:val="hu-HU"/>
              </w:rPr>
              <w:t>nagyon ritka</w:t>
            </w:r>
          </w:p>
        </w:tc>
        <w:tc>
          <w:tcPr>
            <w:tcW w:w="893" w:type="pct"/>
          </w:tcPr>
          <w:p w14:paraId="08118063" w14:textId="77777777" w:rsidR="00382B5E" w:rsidRDefault="00BE0CD4">
            <w:pPr>
              <w:rPr>
                <w:sz w:val="22"/>
                <w:szCs w:val="22"/>
              </w:rPr>
            </w:pPr>
            <w:r>
              <w:rPr>
                <w:sz w:val="22"/>
                <w:szCs w:val="22"/>
              </w:rPr>
              <w:t>-</w:t>
            </w:r>
          </w:p>
        </w:tc>
      </w:tr>
      <w:tr w:rsidR="00382B5E" w14:paraId="471882F7" w14:textId="77777777">
        <w:trPr>
          <w:trHeight w:val="57"/>
        </w:trPr>
        <w:tc>
          <w:tcPr>
            <w:tcW w:w="1566" w:type="pct"/>
            <w:vMerge w:val="restart"/>
          </w:tcPr>
          <w:p w14:paraId="4BC624D1" w14:textId="77777777" w:rsidR="00382B5E" w:rsidRDefault="00BE0CD4">
            <w:pPr>
              <w:pStyle w:val="NormlWeb"/>
              <w:spacing w:before="0" w:beforeAutospacing="0" w:after="0" w:afterAutospacing="0"/>
              <w:rPr>
                <w:b/>
                <w:sz w:val="22"/>
                <w:szCs w:val="22"/>
                <w:lang w:val="hu-HU"/>
              </w:rPr>
            </w:pPr>
            <w:r>
              <w:rPr>
                <w:b/>
                <w:sz w:val="22"/>
                <w:szCs w:val="22"/>
                <w:lang w:val="hu-HU"/>
              </w:rPr>
              <w:t>Érbetegségek és tünetek</w:t>
            </w:r>
          </w:p>
        </w:tc>
        <w:tc>
          <w:tcPr>
            <w:tcW w:w="1648" w:type="pct"/>
          </w:tcPr>
          <w:p w14:paraId="0B7F48D6" w14:textId="77777777" w:rsidR="00382B5E" w:rsidRDefault="00BE0CD4">
            <w:pPr>
              <w:rPr>
                <w:sz w:val="22"/>
                <w:szCs w:val="22"/>
              </w:rPr>
            </w:pPr>
            <w:r>
              <w:rPr>
                <w:color w:val="000000"/>
                <w:sz w:val="22"/>
                <w:szCs w:val="22"/>
                <w:lang w:eastAsia="en-US"/>
              </w:rPr>
              <w:t>kipirulás</w:t>
            </w:r>
          </w:p>
        </w:tc>
        <w:tc>
          <w:tcPr>
            <w:tcW w:w="893" w:type="pct"/>
          </w:tcPr>
          <w:p w14:paraId="2D19E43A" w14:textId="77777777" w:rsidR="00382B5E" w:rsidRDefault="00BE0CD4">
            <w:pPr>
              <w:pStyle w:val="NormlWeb"/>
              <w:spacing w:before="0" w:beforeAutospacing="0" w:after="0" w:afterAutospacing="0"/>
              <w:rPr>
                <w:sz w:val="22"/>
                <w:szCs w:val="22"/>
                <w:lang w:val="hu-HU"/>
              </w:rPr>
            </w:pPr>
            <w:r>
              <w:rPr>
                <w:sz w:val="22"/>
                <w:szCs w:val="22"/>
                <w:lang w:val="hu-HU"/>
              </w:rPr>
              <w:t>gyakori</w:t>
            </w:r>
          </w:p>
        </w:tc>
        <w:tc>
          <w:tcPr>
            <w:tcW w:w="893" w:type="pct"/>
          </w:tcPr>
          <w:p w14:paraId="55555E89" w14:textId="77777777" w:rsidR="00382B5E" w:rsidRDefault="00BE0CD4">
            <w:pPr>
              <w:rPr>
                <w:sz w:val="22"/>
                <w:szCs w:val="22"/>
              </w:rPr>
            </w:pPr>
            <w:r>
              <w:rPr>
                <w:sz w:val="22"/>
                <w:szCs w:val="22"/>
              </w:rPr>
              <w:t>-</w:t>
            </w:r>
          </w:p>
        </w:tc>
      </w:tr>
      <w:tr w:rsidR="00382B5E" w14:paraId="71EBDC39" w14:textId="77777777">
        <w:trPr>
          <w:trHeight w:val="57"/>
        </w:trPr>
        <w:tc>
          <w:tcPr>
            <w:tcW w:w="1566" w:type="pct"/>
            <w:vMerge/>
          </w:tcPr>
          <w:p w14:paraId="1265055D" w14:textId="77777777" w:rsidR="00382B5E" w:rsidRDefault="00382B5E">
            <w:pPr>
              <w:pStyle w:val="NormlWeb"/>
              <w:spacing w:before="0" w:beforeAutospacing="0" w:after="0" w:afterAutospacing="0"/>
              <w:rPr>
                <w:b/>
                <w:sz w:val="22"/>
                <w:szCs w:val="22"/>
                <w:lang w:val="hu-HU"/>
              </w:rPr>
            </w:pPr>
          </w:p>
        </w:tc>
        <w:tc>
          <w:tcPr>
            <w:tcW w:w="1648" w:type="pct"/>
          </w:tcPr>
          <w:p w14:paraId="488B8D23" w14:textId="77777777" w:rsidR="00382B5E" w:rsidRDefault="00BE0CD4">
            <w:pPr>
              <w:pStyle w:val="NormlWeb"/>
              <w:spacing w:before="0" w:beforeAutospacing="0" w:after="0" w:afterAutospacing="0"/>
              <w:rPr>
                <w:sz w:val="22"/>
                <w:szCs w:val="22"/>
                <w:lang w:val="hu-HU"/>
              </w:rPr>
            </w:pPr>
            <w:r>
              <w:rPr>
                <w:sz w:val="22"/>
                <w:szCs w:val="22"/>
                <w:lang w:val="hu-HU"/>
              </w:rPr>
              <w:t>(orthostaticus) hypotonia (beleértve a dózisfüggő orthostaticus hatásokat)</w:t>
            </w:r>
            <w:r>
              <w:rPr>
                <w:sz w:val="22"/>
                <w:szCs w:val="22"/>
                <w:vertAlign w:val="superscript"/>
                <w:lang w:val="hu-HU"/>
              </w:rPr>
              <w:t>║</w:t>
            </w:r>
          </w:p>
        </w:tc>
        <w:tc>
          <w:tcPr>
            <w:tcW w:w="893" w:type="pct"/>
          </w:tcPr>
          <w:p w14:paraId="2CB25514" w14:textId="77777777" w:rsidR="00382B5E" w:rsidRDefault="00BE0CD4">
            <w:pPr>
              <w:pStyle w:val="NormlWeb"/>
              <w:spacing w:before="0" w:beforeAutospacing="0" w:after="0" w:afterAutospacing="0"/>
              <w:rPr>
                <w:sz w:val="22"/>
                <w:szCs w:val="22"/>
                <w:lang w:val="hu-HU"/>
              </w:rPr>
            </w:pPr>
            <w:r>
              <w:rPr>
                <w:sz w:val="22"/>
                <w:szCs w:val="22"/>
                <w:lang w:val="hu-HU"/>
              </w:rPr>
              <w:t>-</w:t>
            </w:r>
          </w:p>
        </w:tc>
        <w:tc>
          <w:tcPr>
            <w:tcW w:w="893" w:type="pct"/>
          </w:tcPr>
          <w:p w14:paraId="5076A02E" w14:textId="77777777" w:rsidR="00382B5E" w:rsidRDefault="00BE0CD4">
            <w:pPr>
              <w:rPr>
                <w:sz w:val="22"/>
                <w:szCs w:val="22"/>
              </w:rPr>
            </w:pPr>
            <w:r>
              <w:rPr>
                <w:sz w:val="22"/>
                <w:szCs w:val="22"/>
              </w:rPr>
              <w:t>nem gyakori</w:t>
            </w:r>
          </w:p>
        </w:tc>
      </w:tr>
      <w:tr w:rsidR="00382B5E" w14:paraId="5DA08C01" w14:textId="77777777">
        <w:trPr>
          <w:trHeight w:val="57"/>
        </w:trPr>
        <w:tc>
          <w:tcPr>
            <w:tcW w:w="1566" w:type="pct"/>
            <w:vMerge/>
          </w:tcPr>
          <w:p w14:paraId="006C7CE8" w14:textId="77777777" w:rsidR="00382B5E" w:rsidRDefault="00382B5E">
            <w:pPr>
              <w:pStyle w:val="NormlWeb"/>
              <w:spacing w:before="0" w:beforeAutospacing="0" w:after="0" w:afterAutospacing="0"/>
              <w:rPr>
                <w:b/>
                <w:sz w:val="22"/>
                <w:szCs w:val="22"/>
                <w:lang w:val="hu-HU"/>
              </w:rPr>
            </w:pPr>
          </w:p>
        </w:tc>
        <w:tc>
          <w:tcPr>
            <w:tcW w:w="1648" w:type="pct"/>
          </w:tcPr>
          <w:p w14:paraId="5D00900B" w14:textId="77777777" w:rsidR="00382B5E" w:rsidRDefault="00BE0CD4">
            <w:pPr>
              <w:pStyle w:val="NormlWeb"/>
              <w:spacing w:before="0" w:beforeAutospacing="0" w:after="0" w:afterAutospacing="0"/>
              <w:rPr>
                <w:sz w:val="22"/>
                <w:szCs w:val="22"/>
                <w:lang w:val="hu-HU"/>
              </w:rPr>
            </w:pPr>
            <w:r>
              <w:rPr>
                <w:sz w:val="22"/>
                <w:szCs w:val="22"/>
                <w:lang w:val="hu-HU"/>
              </w:rPr>
              <w:t xml:space="preserve">hypotonia </w:t>
            </w:r>
          </w:p>
        </w:tc>
        <w:tc>
          <w:tcPr>
            <w:tcW w:w="893" w:type="pct"/>
          </w:tcPr>
          <w:p w14:paraId="79A2E5F0" w14:textId="77777777" w:rsidR="00382B5E" w:rsidRDefault="00BE0CD4">
            <w:pPr>
              <w:pStyle w:val="NormlWeb"/>
              <w:spacing w:before="0" w:beforeAutospacing="0" w:after="0" w:afterAutospacing="0"/>
              <w:rPr>
                <w:sz w:val="22"/>
                <w:szCs w:val="22"/>
                <w:lang w:val="hu-HU"/>
              </w:rPr>
            </w:pPr>
            <w:r>
              <w:rPr>
                <w:sz w:val="22"/>
                <w:szCs w:val="22"/>
                <w:lang w:val="hu-HU"/>
              </w:rPr>
              <w:t>nem gyakori</w:t>
            </w:r>
          </w:p>
        </w:tc>
        <w:tc>
          <w:tcPr>
            <w:tcW w:w="893" w:type="pct"/>
          </w:tcPr>
          <w:p w14:paraId="795C1BB9" w14:textId="77777777" w:rsidR="00382B5E" w:rsidRDefault="00BE0CD4">
            <w:pPr>
              <w:rPr>
                <w:sz w:val="22"/>
                <w:szCs w:val="22"/>
              </w:rPr>
            </w:pPr>
            <w:r>
              <w:rPr>
                <w:sz w:val="22"/>
                <w:szCs w:val="22"/>
              </w:rPr>
              <w:t>-</w:t>
            </w:r>
          </w:p>
        </w:tc>
      </w:tr>
      <w:tr w:rsidR="00382B5E" w14:paraId="45DF9105" w14:textId="77777777">
        <w:trPr>
          <w:trHeight w:val="57"/>
        </w:trPr>
        <w:tc>
          <w:tcPr>
            <w:tcW w:w="1566" w:type="pct"/>
            <w:vMerge/>
          </w:tcPr>
          <w:p w14:paraId="7327EFAE" w14:textId="77777777" w:rsidR="00382B5E" w:rsidRDefault="00382B5E">
            <w:pPr>
              <w:pStyle w:val="NormlWeb"/>
              <w:spacing w:before="0" w:beforeAutospacing="0" w:after="0" w:afterAutospacing="0"/>
              <w:rPr>
                <w:b/>
                <w:sz w:val="22"/>
                <w:szCs w:val="22"/>
                <w:lang w:val="hu-HU"/>
              </w:rPr>
            </w:pPr>
          </w:p>
        </w:tc>
        <w:tc>
          <w:tcPr>
            <w:tcW w:w="1648" w:type="pct"/>
          </w:tcPr>
          <w:p w14:paraId="5E22E6F0" w14:textId="77777777" w:rsidR="00382B5E" w:rsidRDefault="00BE0CD4">
            <w:pPr>
              <w:pStyle w:val="NormlWeb"/>
              <w:spacing w:before="0" w:beforeAutospacing="0" w:after="0" w:afterAutospacing="0"/>
              <w:rPr>
                <w:sz w:val="22"/>
                <w:szCs w:val="22"/>
                <w:lang w:val="hu-HU"/>
              </w:rPr>
            </w:pPr>
            <w:r>
              <w:rPr>
                <w:sz w:val="22"/>
                <w:szCs w:val="22"/>
                <w:lang w:val="hu-HU"/>
              </w:rPr>
              <w:t>vasculitis</w:t>
            </w:r>
          </w:p>
        </w:tc>
        <w:tc>
          <w:tcPr>
            <w:tcW w:w="893" w:type="pct"/>
          </w:tcPr>
          <w:p w14:paraId="7C02616C" w14:textId="77777777" w:rsidR="00382B5E" w:rsidRDefault="00BE0CD4">
            <w:pPr>
              <w:pStyle w:val="NormlWeb"/>
              <w:spacing w:before="0" w:beforeAutospacing="0" w:after="0" w:afterAutospacing="0"/>
              <w:rPr>
                <w:sz w:val="22"/>
                <w:szCs w:val="22"/>
                <w:lang w:val="hu-HU"/>
              </w:rPr>
            </w:pPr>
            <w:r>
              <w:rPr>
                <w:sz w:val="22"/>
                <w:szCs w:val="22"/>
                <w:lang w:val="hu-HU"/>
              </w:rPr>
              <w:t>nagyon ritka</w:t>
            </w:r>
          </w:p>
        </w:tc>
        <w:tc>
          <w:tcPr>
            <w:tcW w:w="893" w:type="pct"/>
          </w:tcPr>
          <w:p w14:paraId="02605D15" w14:textId="77777777" w:rsidR="00382B5E" w:rsidRDefault="00BE0CD4">
            <w:pPr>
              <w:rPr>
                <w:sz w:val="22"/>
                <w:szCs w:val="22"/>
              </w:rPr>
            </w:pPr>
            <w:r>
              <w:rPr>
                <w:sz w:val="22"/>
                <w:szCs w:val="22"/>
              </w:rPr>
              <w:t>-</w:t>
            </w:r>
          </w:p>
        </w:tc>
      </w:tr>
      <w:tr w:rsidR="00382B5E" w14:paraId="4B3B7395" w14:textId="77777777">
        <w:trPr>
          <w:trHeight w:val="57"/>
        </w:trPr>
        <w:tc>
          <w:tcPr>
            <w:tcW w:w="1566" w:type="pct"/>
            <w:vMerge w:val="restart"/>
          </w:tcPr>
          <w:p w14:paraId="2CCB54F8" w14:textId="77777777" w:rsidR="00382B5E" w:rsidRDefault="00BE0CD4">
            <w:pPr>
              <w:pStyle w:val="Default"/>
              <w:tabs>
                <w:tab w:val="left" w:pos="567"/>
              </w:tabs>
              <w:rPr>
                <w:rFonts w:ascii="Times New Roman" w:hAnsi="Times New Roman" w:cs="Times New Roman"/>
                <w:b/>
                <w:color w:val="auto"/>
                <w:sz w:val="22"/>
                <w:szCs w:val="22"/>
                <w:lang w:val="hu-HU"/>
              </w:rPr>
            </w:pPr>
            <w:r>
              <w:rPr>
                <w:rFonts w:ascii="Times New Roman" w:hAnsi="Times New Roman" w:cs="Times New Roman"/>
                <w:b/>
                <w:sz w:val="22"/>
                <w:szCs w:val="22"/>
                <w:lang w:val="hu-HU"/>
              </w:rPr>
              <w:t>Légzőrendszeri, mellkasi és mediastinalis betegségek és tünetek</w:t>
            </w:r>
          </w:p>
        </w:tc>
        <w:tc>
          <w:tcPr>
            <w:tcW w:w="1648" w:type="pct"/>
          </w:tcPr>
          <w:p w14:paraId="0F878B02" w14:textId="77777777" w:rsidR="00382B5E" w:rsidRDefault="00BE0CD4">
            <w:pPr>
              <w:pStyle w:val="NormlWeb"/>
              <w:spacing w:before="0" w:beforeAutospacing="0" w:after="0" w:afterAutospacing="0"/>
              <w:rPr>
                <w:sz w:val="22"/>
                <w:szCs w:val="22"/>
                <w:lang w:val="hu-HU"/>
              </w:rPr>
            </w:pPr>
            <w:r>
              <w:rPr>
                <w:sz w:val="22"/>
                <w:szCs w:val="22"/>
                <w:lang w:val="hu-HU"/>
              </w:rPr>
              <w:t>dyspnoe</w:t>
            </w:r>
          </w:p>
        </w:tc>
        <w:tc>
          <w:tcPr>
            <w:tcW w:w="893" w:type="pct"/>
          </w:tcPr>
          <w:p w14:paraId="5DEC8831" w14:textId="77777777" w:rsidR="00382B5E" w:rsidRDefault="00BE0CD4">
            <w:pPr>
              <w:pStyle w:val="NormlWeb"/>
              <w:spacing w:before="0" w:beforeAutospacing="0" w:after="0" w:afterAutospacing="0"/>
              <w:rPr>
                <w:sz w:val="22"/>
                <w:szCs w:val="22"/>
                <w:lang w:val="hu-HU"/>
              </w:rPr>
            </w:pPr>
            <w:r>
              <w:rPr>
                <w:sz w:val="22"/>
                <w:szCs w:val="22"/>
                <w:lang w:val="hu-HU"/>
              </w:rPr>
              <w:t>gyakori</w:t>
            </w:r>
          </w:p>
        </w:tc>
        <w:tc>
          <w:tcPr>
            <w:tcW w:w="893" w:type="pct"/>
          </w:tcPr>
          <w:p w14:paraId="5631B00B" w14:textId="77777777" w:rsidR="00382B5E" w:rsidRDefault="00BE0CD4">
            <w:pPr>
              <w:rPr>
                <w:sz w:val="22"/>
                <w:szCs w:val="22"/>
              </w:rPr>
            </w:pPr>
            <w:r>
              <w:rPr>
                <w:sz w:val="22"/>
                <w:szCs w:val="22"/>
              </w:rPr>
              <w:t>-</w:t>
            </w:r>
          </w:p>
        </w:tc>
      </w:tr>
      <w:tr w:rsidR="00382B5E" w14:paraId="26F67730" w14:textId="77777777">
        <w:trPr>
          <w:trHeight w:val="57"/>
        </w:trPr>
        <w:tc>
          <w:tcPr>
            <w:tcW w:w="1566" w:type="pct"/>
            <w:vMerge/>
          </w:tcPr>
          <w:p w14:paraId="42CDEFF3" w14:textId="77777777" w:rsidR="00382B5E" w:rsidRDefault="00382B5E">
            <w:pPr>
              <w:pStyle w:val="NormlWeb"/>
              <w:spacing w:before="0" w:beforeAutospacing="0" w:after="0" w:afterAutospacing="0"/>
              <w:rPr>
                <w:b/>
                <w:sz w:val="22"/>
                <w:szCs w:val="22"/>
                <w:lang w:val="hu-HU"/>
              </w:rPr>
            </w:pPr>
          </w:p>
        </w:tc>
        <w:tc>
          <w:tcPr>
            <w:tcW w:w="1648" w:type="pct"/>
          </w:tcPr>
          <w:p w14:paraId="717B086D" w14:textId="77777777" w:rsidR="00382B5E" w:rsidRDefault="00BE0CD4">
            <w:pPr>
              <w:pStyle w:val="NormlWeb"/>
              <w:spacing w:before="0" w:beforeAutospacing="0" w:after="0" w:afterAutospacing="0"/>
              <w:rPr>
                <w:sz w:val="22"/>
                <w:szCs w:val="22"/>
                <w:lang w:val="hu-HU"/>
              </w:rPr>
            </w:pPr>
            <w:r>
              <w:rPr>
                <w:sz w:val="22"/>
                <w:szCs w:val="22"/>
                <w:lang w:val="hu-HU"/>
              </w:rPr>
              <w:t>rhinitis</w:t>
            </w:r>
          </w:p>
        </w:tc>
        <w:tc>
          <w:tcPr>
            <w:tcW w:w="893" w:type="pct"/>
          </w:tcPr>
          <w:p w14:paraId="17FF44EC" w14:textId="77777777" w:rsidR="00382B5E" w:rsidRDefault="00BE0CD4">
            <w:pPr>
              <w:pStyle w:val="NormlWeb"/>
              <w:spacing w:before="0" w:beforeAutospacing="0" w:after="0" w:afterAutospacing="0"/>
              <w:rPr>
                <w:sz w:val="22"/>
                <w:szCs w:val="22"/>
                <w:lang w:val="hu-HU"/>
              </w:rPr>
            </w:pPr>
            <w:r>
              <w:rPr>
                <w:sz w:val="22"/>
                <w:szCs w:val="22"/>
                <w:lang w:val="hu-HU"/>
              </w:rPr>
              <w:t>nem gyakori</w:t>
            </w:r>
          </w:p>
        </w:tc>
        <w:tc>
          <w:tcPr>
            <w:tcW w:w="893" w:type="pct"/>
          </w:tcPr>
          <w:p w14:paraId="3703C702" w14:textId="77777777" w:rsidR="00382B5E" w:rsidRDefault="00BE0CD4">
            <w:pPr>
              <w:rPr>
                <w:sz w:val="22"/>
                <w:szCs w:val="22"/>
              </w:rPr>
            </w:pPr>
            <w:r>
              <w:rPr>
                <w:sz w:val="22"/>
                <w:szCs w:val="22"/>
              </w:rPr>
              <w:t>-</w:t>
            </w:r>
          </w:p>
        </w:tc>
      </w:tr>
      <w:tr w:rsidR="00382B5E" w14:paraId="226D2E61" w14:textId="77777777">
        <w:trPr>
          <w:trHeight w:val="57"/>
        </w:trPr>
        <w:tc>
          <w:tcPr>
            <w:tcW w:w="1566" w:type="pct"/>
            <w:vMerge/>
          </w:tcPr>
          <w:p w14:paraId="58472FA6" w14:textId="77777777" w:rsidR="00382B5E" w:rsidRDefault="00382B5E">
            <w:pPr>
              <w:pStyle w:val="NormlWeb"/>
              <w:spacing w:before="0" w:beforeAutospacing="0" w:after="0" w:afterAutospacing="0"/>
              <w:rPr>
                <w:b/>
                <w:sz w:val="22"/>
                <w:szCs w:val="22"/>
                <w:lang w:val="hu-HU"/>
              </w:rPr>
            </w:pPr>
          </w:p>
        </w:tc>
        <w:tc>
          <w:tcPr>
            <w:tcW w:w="1648" w:type="pct"/>
          </w:tcPr>
          <w:p w14:paraId="3DFBCA86" w14:textId="77777777" w:rsidR="00382B5E" w:rsidRDefault="00BE0CD4">
            <w:pPr>
              <w:pStyle w:val="NormlWeb"/>
              <w:spacing w:before="0" w:beforeAutospacing="0" w:after="0" w:afterAutospacing="0"/>
              <w:rPr>
                <w:sz w:val="22"/>
                <w:szCs w:val="22"/>
                <w:lang w:val="hu-HU"/>
              </w:rPr>
            </w:pPr>
            <w:r>
              <w:rPr>
                <w:sz w:val="22"/>
                <w:szCs w:val="22"/>
                <w:lang w:val="hu-HU"/>
              </w:rPr>
              <w:t>köhögés</w:t>
            </w:r>
          </w:p>
        </w:tc>
        <w:tc>
          <w:tcPr>
            <w:tcW w:w="893" w:type="pct"/>
          </w:tcPr>
          <w:p w14:paraId="7F953AA3" w14:textId="77777777" w:rsidR="00382B5E" w:rsidRDefault="00BE0CD4">
            <w:pPr>
              <w:pStyle w:val="NormlWeb"/>
              <w:spacing w:before="0" w:beforeAutospacing="0" w:after="0" w:afterAutospacing="0"/>
              <w:rPr>
                <w:sz w:val="22"/>
                <w:szCs w:val="22"/>
                <w:lang w:val="hu-HU"/>
              </w:rPr>
            </w:pPr>
            <w:r>
              <w:rPr>
                <w:sz w:val="22"/>
                <w:szCs w:val="22"/>
                <w:lang w:val="hu-HU"/>
              </w:rPr>
              <w:t>nem gyakori</w:t>
            </w:r>
          </w:p>
        </w:tc>
        <w:tc>
          <w:tcPr>
            <w:tcW w:w="893" w:type="pct"/>
          </w:tcPr>
          <w:p w14:paraId="1AF775C1" w14:textId="77777777" w:rsidR="00382B5E" w:rsidRDefault="00BE0CD4">
            <w:pPr>
              <w:rPr>
                <w:sz w:val="22"/>
                <w:szCs w:val="22"/>
              </w:rPr>
            </w:pPr>
            <w:r>
              <w:rPr>
                <w:sz w:val="22"/>
                <w:szCs w:val="22"/>
              </w:rPr>
              <w:t>nem ismert</w:t>
            </w:r>
          </w:p>
        </w:tc>
      </w:tr>
      <w:tr w:rsidR="00382B5E" w14:paraId="67741B95" w14:textId="77777777">
        <w:trPr>
          <w:trHeight w:val="57"/>
        </w:trPr>
        <w:tc>
          <w:tcPr>
            <w:tcW w:w="1566" w:type="pct"/>
            <w:vMerge w:val="restart"/>
          </w:tcPr>
          <w:p w14:paraId="5198FABB" w14:textId="77777777" w:rsidR="00382B5E" w:rsidRDefault="00BE0CD4">
            <w:pPr>
              <w:pStyle w:val="Default"/>
              <w:keepNext/>
              <w:tabs>
                <w:tab w:val="left" w:pos="567"/>
              </w:tabs>
              <w:rPr>
                <w:rFonts w:ascii="Times New Roman" w:hAnsi="Times New Roman" w:cs="Times New Roman"/>
                <w:b/>
                <w:color w:val="auto"/>
                <w:sz w:val="22"/>
                <w:szCs w:val="22"/>
                <w:lang w:val="hu-HU"/>
              </w:rPr>
            </w:pPr>
            <w:r>
              <w:rPr>
                <w:rFonts w:ascii="Times New Roman" w:hAnsi="Times New Roman" w:cs="Times New Roman"/>
                <w:b/>
                <w:sz w:val="22"/>
                <w:szCs w:val="22"/>
                <w:lang w:val="hu-HU"/>
              </w:rPr>
              <w:t>Emésztőrendszeri betegségek és tünetek</w:t>
            </w:r>
          </w:p>
        </w:tc>
        <w:tc>
          <w:tcPr>
            <w:tcW w:w="1648" w:type="pct"/>
          </w:tcPr>
          <w:p w14:paraId="74D7BA50" w14:textId="77777777" w:rsidR="00382B5E" w:rsidRDefault="00BE0CD4">
            <w:pPr>
              <w:pStyle w:val="Default"/>
              <w:keepNext/>
              <w:tabs>
                <w:tab w:val="left" w:pos="567"/>
              </w:tabs>
              <w:rPr>
                <w:rFonts w:ascii="Times New Roman" w:hAnsi="Times New Roman" w:cs="Times New Roman"/>
                <w:color w:val="auto"/>
                <w:sz w:val="22"/>
                <w:szCs w:val="22"/>
                <w:lang w:val="hu-HU"/>
              </w:rPr>
            </w:pPr>
            <w:r>
              <w:rPr>
                <w:rFonts w:ascii="Times New Roman" w:hAnsi="Times New Roman" w:cs="Times New Roman"/>
                <w:sz w:val="22"/>
                <w:szCs w:val="22"/>
                <w:lang w:val="hu-HU"/>
              </w:rPr>
              <w:t>hasi fájdalom</w:t>
            </w:r>
          </w:p>
        </w:tc>
        <w:tc>
          <w:tcPr>
            <w:tcW w:w="893" w:type="pct"/>
          </w:tcPr>
          <w:p w14:paraId="13137BDD" w14:textId="77777777" w:rsidR="00382B5E" w:rsidRDefault="00BE0CD4">
            <w:pPr>
              <w:pStyle w:val="NormlWeb"/>
              <w:keepNext/>
              <w:spacing w:before="0" w:beforeAutospacing="0" w:after="0" w:afterAutospacing="0"/>
              <w:rPr>
                <w:sz w:val="22"/>
                <w:szCs w:val="22"/>
                <w:lang w:val="hu-HU"/>
              </w:rPr>
            </w:pPr>
            <w:r>
              <w:rPr>
                <w:sz w:val="22"/>
                <w:szCs w:val="22"/>
                <w:lang w:val="hu-HU"/>
              </w:rPr>
              <w:t>gyakori</w:t>
            </w:r>
          </w:p>
        </w:tc>
        <w:tc>
          <w:tcPr>
            <w:tcW w:w="893" w:type="pct"/>
          </w:tcPr>
          <w:p w14:paraId="6D8376DE" w14:textId="77777777" w:rsidR="00382B5E" w:rsidRDefault="00BE0CD4">
            <w:pPr>
              <w:keepNext/>
              <w:rPr>
                <w:sz w:val="22"/>
                <w:szCs w:val="22"/>
              </w:rPr>
            </w:pPr>
            <w:r>
              <w:rPr>
                <w:sz w:val="22"/>
                <w:szCs w:val="22"/>
              </w:rPr>
              <w:t>nem gyakori</w:t>
            </w:r>
          </w:p>
        </w:tc>
      </w:tr>
      <w:tr w:rsidR="00382B5E" w14:paraId="72B3796B" w14:textId="77777777">
        <w:trPr>
          <w:trHeight w:val="57"/>
        </w:trPr>
        <w:tc>
          <w:tcPr>
            <w:tcW w:w="1566" w:type="pct"/>
            <w:vMerge/>
          </w:tcPr>
          <w:p w14:paraId="6C53038F" w14:textId="77777777" w:rsidR="00382B5E" w:rsidRDefault="00382B5E">
            <w:pPr>
              <w:pStyle w:val="Default"/>
              <w:keepNext/>
              <w:tabs>
                <w:tab w:val="left" w:pos="567"/>
              </w:tabs>
              <w:rPr>
                <w:rFonts w:ascii="Times New Roman" w:hAnsi="Times New Roman" w:cs="Times New Roman"/>
                <w:b/>
                <w:color w:val="auto"/>
                <w:sz w:val="22"/>
                <w:szCs w:val="22"/>
                <w:lang w:val="hu-HU"/>
              </w:rPr>
            </w:pPr>
          </w:p>
        </w:tc>
        <w:tc>
          <w:tcPr>
            <w:tcW w:w="1648" w:type="pct"/>
          </w:tcPr>
          <w:p w14:paraId="47BC7C63" w14:textId="77777777" w:rsidR="00382B5E" w:rsidRDefault="00BE0CD4">
            <w:pPr>
              <w:pStyle w:val="NormlWeb"/>
              <w:keepNext/>
              <w:spacing w:before="0" w:beforeAutospacing="0" w:after="0" w:afterAutospacing="0"/>
              <w:rPr>
                <w:sz w:val="22"/>
                <w:szCs w:val="22"/>
                <w:lang w:val="hu-HU"/>
              </w:rPr>
            </w:pPr>
            <w:r>
              <w:rPr>
                <w:sz w:val="22"/>
                <w:szCs w:val="22"/>
                <w:lang w:val="hu-HU"/>
              </w:rPr>
              <w:t>hányinger, dyspepsia, megváltozott székelési szokások (beleértve a hasmenést és a székrekedést)</w:t>
            </w:r>
          </w:p>
        </w:tc>
        <w:tc>
          <w:tcPr>
            <w:tcW w:w="893" w:type="pct"/>
          </w:tcPr>
          <w:p w14:paraId="24FCAA1F" w14:textId="77777777" w:rsidR="00382B5E" w:rsidRDefault="00BE0CD4">
            <w:pPr>
              <w:pStyle w:val="NormlWeb"/>
              <w:keepNext/>
              <w:spacing w:before="0" w:beforeAutospacing="0" w:after="0" w:afterAutospacing="0"/>
              <w:rPr>
                <w:sz w:val="22"/>
                <w:szCs w:val="22"/>
                <w:lang w:val="hu-HU"/>
              </w:rPr>
            </w:pPr>
            <w:r>
              <w:rPr>
                <w:sz w:val="22"/>
                <w:szCs w:val="22"/>
                <w:lang w:val="hu-HU"/>
              </w:rPr>
              <w:t>gyakori</w:t>
            </w:r>
          </w:p>
        </w:tc>
        <w:tc>
          <w:tcPr>
            <w:tcW w:w="893" w:type="pct"/>
          </w:tcPr>
          <w:p w14:paraId="0C173E08" w14:textId="77777777" w:rsidR="00382B5E" w:rsidRDefault="00BE0CD4">
            <w:pPr>
              <w:keepNext/>
              <w:rPr>
                <w:sz w:val="22"/>
                <w:szCs w:val="22"/>
              </w:rPr>
            </w:pPr>
            <w:r>
              <w:rPr>
                <w:sz w:val="22"/>
                <w:szCs w:val="22"/>
              </w:rPr>
              <w:t>-</w:t>
            </w:r>
          </w:p>
        </w:tc>
      </w:tr>
      <w:tr w:rsidR="00382B5E" w14:paraId="132CBD88" w14:textId="77777777">
        <w:trPr>
          <w:trHeight w:val="57"/>
        </w:trPr>
        <w:tc>
          <w:tcPr>
            <w:tcW w:w="1566" w:type="pct"/>
            <w:vMerge/>
          </w:tcPr>
          <w:p w14:paraId="6A45E6C5" w14:textId="77777777" w:rsidR="00382B5E" w:rsidRDefault="00382B5E">
            <w:pPr>
              <w:pStyle w:val="Default"/>
              <w:tabs>
                <w:tab w:val="left" w:pos="567"/>
              </w:tabs>
              <w:rPr>
                <w:rFonts w:ascii="Times New Roman" w:hAnsi="Times New Roman" w:cs="Times New Roman"/>
                <w:b/>
                <w:color w:val="auto"/>
                <w:sz w:val="22"/>
                <w:szCs w:val="22"/>
                <w:lang w:val="hu-HU"/>
              </w:rPr>
            </w:pPr>
          </w:p>
        </w:tc>
        <w:tc>
          <w:tcPr>
            <w:tcW w:w="1648" w:type="pct"/>
          </w:tcPr>
          <w:p w14:paraId="16B2F8CC" w14:textId="77777777" w:rsidR="00382B5E" w:rsidRDefault="00BE0CD4">
            <w:pPr>
              <w:pStyle w:val="NormlWeb"/>
              <w:spacing w:before="0" w:beforeAutospacing="0" w:after="0" w:afterAutospacing="0"/>
              <w:rPr>
                <w:sz w:val="22"/>
                <w:szCs w:val="22"/>
                <w:lang w:val="hu-HU"/>
              </w:rPr>
            </w:pPr>
            <w:r>
              <w:rPr>
                <w:noProof/>
                <w:sz w:val="22"/>
                <w:szCs w:val="22"/>
                <w:lang w:val="hu-HU"/>
              </w:rPr>
              <w:t>hányás</w:t>
            </w:r>
            <w:r>
              <w:rPr>
                <w:sz w:val="22"/>
                <w:szCs w:val="22"/>
                <w:lang w:val="hu-HU"/>
              </w:rPr>
              <w:t>, szájszárazság</w:t>
            </w:r>
          </w:p>
        </w:tc>
        <w:tc>
          <w:tcPr>
            <w:tcW w:w="893" w:type="pct"/>
          </w:tcPr>
          <w:p w14:paraId="6AFF6CCB" w14:textId="77777777" w:rsidR="00382B5E" w:rsidRDefault="00BE0CD4">
            <w:pPr>
              <w:pStyle w:val="NormlWeb"/>
              <w:spacing w:before="0" w:beforeAutospacing="0" w:after="0" w:afterAutospacing="0"/>
              <w:rPr>
                <w:sz w:val="22"/>
                <w:szCs w:val="22"/>
                <w:lang w:val="hu-HU"/>
              </w:rPr>
            </w:pPr>
            <w:r>
              <w:rPr>
                <w:sz w:val="22"/>
                <w:szCs w:val="22"/>
                <w:lang w:val="hu-HU"/>
              </w:rPr>
              <w:t>nem gyakori</w:t>
            </w:r>
          </w:p>
        </w:tc>
        <w:tc>
          <w:tcPr>
            <w:tcW w:w="893" w:type="pct"/>
          </w:tcPr>
          <w:p w14:paraId="63FD9AE9" w14:textId="77777777" w:rsidR="00382B5E" w:rsidRDefault="00BE0CD4">
            <w:pPr>
              <w:rPr>
                <w:sz w:val="22"/>
                <w:szCs w:val="22"/>
              </w:rPr>
            </w:pPr>
            <w:r>
              <w:rPr>
                <w:sz w:val="22"/>
                <w:szCs w:val="22"/>
              </w:rPr>
              <w:t>-</w:t>
            </w:r>
          </w:p>
        </w:tc>
      </w:tr>
      <w:tr w:rsidR="00382B5E" w14:paraId="0D9E46C0" w14:textId="77777777">
        <w:trPr>
          <w:trHeight w:val="57"/>
        </w:trPr>
        <w:tc>
          <w:tcPr>
            <w:tcW w:w="1566" w:type="pct"/>
            <w:vMerge/>
          </w:tcPr>
          <w:p w14:paraId="366FB890" w14:textId="77777777" w:rsidR="00382B5E" w:rsidRDefault="00382B5E">
            <w:pPr>
              <w:pStyle w:val="NormlWeb"/>
              <w:spacing w:before="0" w:beforeAutospacing="0" w:after="0" w:afterAutospacing="0"/>
              <w:rPr>
                <w:b/>
                <w:sz w:val="22"/>
                <w:szCs w:val="22"/>
                <w:lang w:val="hu-HU"/>
              </w:rPr>
            </w:pPr>
          </w:p>
        </w:tc>
        <w:tc>
          <w:tcPr>
            <w:tcW w:w="1648" w:type="pct"/>
          </w:tcPr>
          <w:p w14:paraId="770841F4" w14:textId="77777777" w:rsidR="00382B5E" w:rsidRDefault="00BE0CD4">
            <w:pPr>
              <w:pStyle w:val="NormlWeb"/>
              <w:spacing w:before="0" w:beforeAutospacing="0" w:after="0" w:afterAutospacing="0"/>
              <w:rPr>
                <w:sz w:val="22"/>
                <w:szCs w:val="22"/>
                <w:lang w:val="hu-HU"/>
              </w:rPr>
            </w:pPr>
            <w:r>
              <w:rPr>
                <w:sz w:val="22"/>
                <w:szCs w:val="22"/>
                <w:lang w:val="hu-HU"/>
              </w:rPr>
              <w:t>székrekedés</w:t>
            </w:r>
          </w:p>
        </w:tc>
        <w:tc>
          <w:tcPr>
            <w:tcW w:w="893" w:type="pct"/>
          </w:tcPr>
          <w:p w14:paraId="12D71F16" w14:textId="77777777" w:rsidR="00382B5E" w:rsidRDefault="00BE0CD4">
            <w:pPr>
              <w:pStyle w:val="NormlWeb"/>
              <w:spacing w:before="0" w:beforeAutospacing="0" w:after="0" w:afterAutospacing="0"/>
              <w:rPr>
                <w:sz w:val="22"/>
                <w:szCs w:val="22"/>
                <w:lang w:val="hu-HU"/>
              </w:rPr>
            </w:pPr>
            <w:r>
              <w:rPr>
                <w:sz w:val="22"/>
                <w:szCs w:val="22"/>
                <w:lang w:val="hu-HU"/>
              </w:rPr>
              <w:t>-</w:t>
            </w:r>
          </w:p>
        </w:tc>
        <w:tc>
          <w:tcPr>
            <w:tcW w:w="893" w:type="pct"/>
          </w:tcPr>
          <w:p w14:paraId="61D042C4" w14:textId="77777777" w:rsidR="00382B5E" w:rsidRDefault="00BE0CD4">
            <w:pPr>
              <w:rPr>
                <w:sz w:val="22"/>
                <w:szCs w:val="22"/>
              </w:rPr>
            </w:pPr>
            <w:r>
              <w:rPr>
                <w:sz w:val="22"/>
                <w:szCs w:val="22"/>
              </w:rPr>
              <w:t>nem gyakori</w:t>
            </w:r>
          </w:p>
        </w:tc>
      </w:tr>
      <w:tr w:rsidR="00382B5E" w14:paraId="03D60696" w14:textId="77777777">
        <w:trPr>
          <w:trHeight w:val="57"/>
        </w:trPr>
        <w:tc>
          <w:tcPr>
            <w:tcW w:w="1566" w:type="pct"/>
            <w:vMerge/>
          </w:tcPr>
          <w:p w14:paraId="0C0CFCA9" w14:textId="77777777" w:rsidR="00382B5E" w:rsidRDefault="00382B5E">
            <w:pPr>
              <w:pStyle w:val="NormlWeb"/>
              <w:spacing w:before="0" w:beforeAutospacing="0" w:after="0" w:afterAutospacing="0"/>
              <w:rPr>
                <w:b/>
                <w:sz w:val="22"/>
                <w:szCs w:val="22"/>
                <w:lang w:val="hu-HU"/>
              </w:rPr>
            </w:pPr>
          </w:p>
        </w:tc>
        <w:tc>
          <w:tcPr>
            <w:tcW w:w="1648" w:type="pct"/>
          </w:tcPr>
          <w:p w14:paraId="694588C1" w14:textId="77777777" w:rsidR="00382B5E" w:rsidRDefault="00BE0CD4">
            <w:pPr>
              <w:pStyle w:val="NormlWeb"/>
              <w:spacing w:before="0" w:beforeAutospacing="0" w:after="0" w:afterAutospacing="0"/>
              <w:rPr>
                <w:sz w:val="22"/>
                <w:szCs w:val="22"/>
                <w:lang w:val="hu-HU"/>
              </w:rPr>
            </w:pPr>
            <w:r>
              <w:rPr>
                <w:sz w:val="22"/>
                <w:szCs w:val="22"/>
                <w:lang w:val="hu-HU"/>
              </w:rPr>
              <w:t>gastritis, gingiva hyperplasia</w:t>
            </w:r>
          </w:p>
        </w:tc>
        <w:tc>
          <w:tcPr>
            <w:tcW w:w="893" w:type="pct"/>
          </w:tcPr>
          <w:p w14:paraId="2B9C3825" w14:textId="77777777" w:rsidR="00382B5E" w:rsidRDefault="00BE0CD4">
            <w:pPr>
              <w:pStyle w:val="NormlWeb"/>
              <w:spacing w:before="0" w:beforeAutospacing="0" w:after="0" w:afterAutospacing="0"/>
              <w:rPr>
                <w:sz w:val="22"/>
                <w:szCs w:val="22"/>
                <w:lang w:val="hu-HU"/>
              </w:rPr>
            </w:pPr>
            <w:r>
              <w:rPr>
                <w:sz w:val="22"/>
                <w:szCs w:val="22"/>
                <w:lang w:val="hu-HU"/>
              </w:rPr>
              <w:t>nagyon ritka</w:t>
            </w:r>
          </w:p>
        </w:tc>
        <w:tc>
          <w:tcPr>
            <w:tcW w:w="893" w:type="pct"/>
          </w:tcPr>
          <w:p w14:paraId="2322A9BA" w14:textId="77777777" w:rsidR="00382B5E" w:rsidRDefault="00BE0CD4">
            <w:pPr>
              <w:rPr>
                <w:sz w:val="22"/>
                <w:szCs w:val="22"/>
              </w:rPr>
            </w:pPr>
            <w:r>
              <w:rPr>
                <w:sz w:val="22"/>
                <w:szCs w:val="22"/>
              </w:rPr>
              <w:t>-</w:t>
            </w:r>
          </w:p>
        </w:tc>
      </w:tr>
      <w:tr w:rsidR="00382B5E" w14:paraId="0E421BF8" w14:textId="77777777">
        <w:trPr>
          <w:trHeight w:val="314"/>
        </w:trPr>
        <w:tc>
          <w:tcPr>
            <w:tcW w:w="1566" w:type="pct"/>
            <w:vMerge/>
          </w:tcPr>
          <w:p w14:paraId="44C75CF1" w14:textId="77777777" w:rsidR="00382B5E" w:rsidRDefault="00382B5E">
            <w:pPr>
              <w:pStyle w:val="NormlWeb"/>
              <w:spacing w:before="0" w:beforeAutospacing="0" w:after="0" w:afterAutospacing="0"/>
              <w:rPr>
                <w:b/>
                <w:sz w:val="22"/>
                <w:szCs w:val="22"/>
                <w:lang w:val="hu-HU"/>
              </w:rPr>
            </w:pPr>
          </w:p>
        </w:tc>
        <w:tc>
          <w:tcPr>
            <w:tcW w:w="1648" w:type="pct"/>
          </w:tcPr>
          <w:p w14:paraId="2F456916" w14:textId="77777777" w:rsidR="00382B5E" w:rsidRDefault="00BE0CD4">
            <w:pPr>
              <w:pStyle w:val="NormlWeb"/>
              <w:spacing w:before="0" w:beforeAutospacing="0" w:after="0" w:afterAutospacing="0"/>
              <w:rPr>
                <w:sz w:val="22"/>
                <w:szCs w:val="22"/>
                <w:lang w:val="hu-HU"/>
              </w:rPr>
            </w:pPr>
            <w:r>
              <w:rPr>
                <w:sz w:val="22"/>
                <w:szCs w:val="22"/>
                <w:lang w:val="hu-HU"/>
              </w:rPr>
              <w:t>diarrhoea</w:t>
            </w:r>
          </w:p>
        </w:tc>
        <w:tc>
          <w:tcPr>
            <w:tcW w:w="893" w:type="pct"/>
          </w:tcPr>
          <w:p w14:paraId="14DD3B2D" w14:textId="77777777" w:rsidR="00382B5E" w:rsidRDefault="00BE0CD4">
            <w:pPr>
              <w:pStyle w:val="NormlWeb"/>
              <w:spacing w:before="0" w:beforeAutospacing="0" w:after="0" w:afterAutospacing="0"/>
              <w:rPr>
                <w:sz w:val="22"/>
                <w:szCs w:val="22"/>
                <w:lang w:val="hu-HU"/>
              </w:rPr>
            </w:pPr>
            <w:r>
              <w:rPr>
                <w:sz w:val="22"/>
                <w:szCs w:val="22"/>
                <w:lang w:val="hu-HU"/>
              </w:rPr>
              <w:t>-</w:t>
            </w:r>
          </w:p>
        </w:tc>
        <w:tc>
          <w:tcPr>
            <w:tcW w:w="893" w:type="pct"/>
          </w:tcPr>
          <w:p w14:paraId="0633DA15" w14:textId="77777777" w:rsidR="00382B5E" w:rsidRDefault="00BE0CD4">
            <w:pPr>
              <w:rPr>
                <w:sz w:val="22"/>
                <w:szCs w:val="22"/>
              </w:rPr>
            </w:pPr>
            <w:r>
              <w:rPr>
                <w:sz w:val="22"/>
                <w:szCs w:val="22"/>
              </w:rPr>
              <w:t>nem ismert</w:t>
            </w:r>
          </w:p>
        </w:tc>
      </w:tr>
      <w:tr w:rsidR="00382B5E" w14:paraId="19E2DEF4" w14:textId="77777777">
        <w:trPr>
          <w:trHeight w:val="314"/>
        </w:trPr>
        <w:tc>
          <w:tcPr>
            <w:tcW w:w="1566" w:type="pct"/>
            <w:vMerge/>
          </w:tcPr>
          <w:p w14:paraId="19379F63" w14:textId="77777777" w:rsidR="00382B5E" w:rsidRDefault="00382B5E">
            <w:pPr>
              <w:pStyle w:val="NormlWeb"/>
              <w:spacing w:before="0" w:beforeAutospacing="0" w:after="0" w:afterAutospacing="0"/>
              <w:rPr>
                <w:b/>
                <w:sz w:val="22"/>
                <w:szCs w:val="22"/>
                <w:lang w:val="hu-HU"/>
              </w:rPr>
            </w:pPr>
          </w:p>
        </w:tc>
        <w:tc>
          <w:tcPr>
            <w:tcW w:w="1648" w:type="pct"/>
          </w:tcPr>
          <w:p w14:paraId="05EA457A" w14:textId="77777777" w:rsidR="00382B5E" w:rsidRDefault="00BE0CD4">
            <w:pPr>
              <w:pStyle w:val="NormlWeb"/>
              <w:spacing w:before="0" w:beforeAutospacing="0" w:after="0" w:afterAutospacing="0"/>
              <w:rPr>
                <w:sz w:val="22"/>
                <w:szCs w:val="22"/>
                <w:lang w:val="hu-HU"/>
              </w:rPr>
            </w:pPr>
            <w:r>
              <w:rPr>
                <w:sz w:val="22"/>
                <w:szCs w:val="22"/>
                <w:lang w:val="hu-HU"/>
              </w:rPr>
              <w:t>intestinalis angiooedema</w:t>
            </w:r>
          </w:p>
        </w:tc>
        <w:tc>
          <w:tcPr>
            <w:tcW w:w="893" w:type="pct"/>
          </w:tcPr>
          <w:p w14:paraId="077808C1" w14:textId="77777777" w:rsidR="00382B5E" w:rsidRDefault="00BE0CD4">
            <w:pPr>
              <w:pStyle w:val="NormlWeb"/>
              <w:spacing w:before="0" w:beforeAutospacing="0" w:after="0" w:afterAutospacing="0"/>
              <w:rPr>
                <w:sz w:val="22"/>
                <w:szCs w:val="22"/>
                <w:lang w:val="hu-HU"/>
              </w:rPr>
            </w:pPr>
            <w:r>
              <w:rPr>
                <w:sz w:val="22"/>
                <w:szCs w:val="22"/>
                <w:lang w:val="hu-HU"/>
              </w:rPr>
              <w:t>-</w:t>
            </w:r>
          </w:p>
        </w:tc>
        <w:tc>
          <w:tcPr>
            <w:tcW w:w="893" w:type="pct"/>
          </w:tcPr>
          <w:p w14:paraId="22F486C4" w14:textId="77777777" w:rsidR="00382B5E" w:rsidRDefault="00BE0CD4">
            <w:pPr>
              <w:rPr>
                <w:sz w:val="22"/>
                <w:szCs w:val="22"/>
              </w:rPr>
            </w:pPr>
            <w:r>
              <w:rPr>
                <w:sz w:val="22"/>
                <w:szCs w:val="22"/>
              </w:rPr>
              <w:t>ritka</w:t>
            </w:r>
          </w:p>
        </w:tc>
      </w:tr>
      <w:tr w:rsidR="00382B5E" w14:paraId="3F6DB44B" w14:textId="77777777">
        <w:trPr>
          <w:trHeight w:val="57"/>
        </w:trPr>
        <w:tc>
          <w:tcPr>
            <w:tcW w:w="1566" w:type="pct"/>
            <w:vMerge w:val="restart"/>
          </w:tcPr>
          <w:p w14:paraId="2F8FF0A3" w14:textId="77777777" w:rsidR="00382B5E" w:rsidRDefault="00BE0CD4">
            <w:pPr>
              <w:pStyle w:val="Default"/>
              <w:tabs>
                <w:tab w:val="left" w:pos="567"/>
              </w:tabs>
              <w:rPr>
                <w:rFonts w:ascii="Times New Roman" w:hAnsi="Times New Roman" w:cs="Times New Roman"/>
                <w:b/>
                <w:color w:val="auto"/>
                <w:sz w:val="22"/>
                <w:szCs w:val="22"/>
                <w:lang w:val="hu-HU"/>
              </w:rPr>
            </w:pPr>
            <w:r>
              <w:rPr>
                <w:rFonts w:ascii="Times New Roman" w:hAnsi="Times New Roman" w:cs="Times New Roman"/>
                <w:b/>
                <w:sz w:val="22"/>
                <w:szCs w:val="22"/>
                <w:lang w:val="hu-HU"/>
              </w:rPr>
              <w:t>Máj- és epebetegségek, illetve tünetek</w:t>
            </w:r>
          </w:p>
        </w:tc>
        <w:tc>
          <w:tcPr>
            <w:tcW w:w="1648" w:type="pct"/>
          </w:tcPr>
          <w:p w14:paraId="400F6752" w14:textId="77777777" w:rsidR="00382B5E" w:rsidRDefault="00BE0CD4">
            <w:pPr>
              <w:pStyle w:val="NormlWeb"/>
              <w:spacing w:before="0" w:beforeAutospacing="0" w:after="0" w:afterAutospacing="0"/>
              <w:rPr>
                <w:sz w:val="22"/>
                <w:szCs w:val="22"/>
                <w:lang w:val="hu-HU"/>
              </w:rPr>
            </w:pPr>
            <w:r>
              <w:rPr>
                <w:sz w:val="22"/>
                <w:szCs w:val="22"/>
                <w:lang w:val="hu-HU"/>
              </w:rPr>
              <w:t>hepatitis</w:t>
            </w:r>
          </w:p>
        </w:tc>
        <w:tc>
          <w:tcPr>
            <w:tcW w:w="893" w:type="pct"/>
          </w:tcPr>
          <w:p w14:paraId="29FB80EB" w14:textId="77777777" w:rsidR="00382B5E" w:rsidRDefault="00BE0CD4">
            <w:pPr>
              <w:pStyle w:val="NormlWeb"/>
              <w:spacing w:before="0" w:beforeAutospacing="0" w:after="0" w:afterAutospacing="0"/>
              <w:rPr>
                <w:sz w:val="22"/>
                <w:szCs w:val="22"/>
                <w:lang w:val="hu-HU"/>
              </w:rPr>
            </w:pPr>
            <w:r>
              <w:rPr>
                <w:sz w:val="22"/>
                <w:szCs w:val="22"/>
                <w:lang w:val="hu-HU"/>
              </w:rPr>
              <w:t>nagyon ritka</w:t>
            </w:r>
          </w:p>
        </w:tc>
        <w:tc>
          <w:tcPr>
            <w:tcW w:w="893" w:type="pct"/>
          </w:tcPr>
          <w:p w14:paraId="308D7FD4" w14:textId="77777777" w:rsidR="00382B5E" w:rsidRDefault="00BE0CD4">
            <w:pPr>
              <w:rPr>
                <w:sz w:val="22"/>
                <w:szCs w:val="22"/>
              </w:rPr>
            </w:pPr>
            <w:r>
              <w:rPr>
                <w:sz w:val="22"/>
                <w:szCs w:val="22"/>
              </w:rPr>
              <w:t>ritka</w:t>
            </w:r>
          </w:p>
        </w:tc>
      </w:tr>
      <w:tr w:rsidR="00382B5E" w14:paraId="5DE1F2AF" w14:textId="77777777">
        <w:trPr>
          <w:trHeight w:val="57"/>
        </w:trPr>
        <w:tc>
          <w:tcPr>
            <w:tcW w:w="1566" w:type="pct"/>
            <w:vMerge/>
          </w:tcPr>
          <w:p w14:paraId="6EAA77A3" w14:textId="77777777" w:rsidR="00382B5E" w:rsidRDefault="00382B5E">
            <w:pPr>
              <w:pStyle w:val="Default"/>
              <w:tabs>
                <w:tab w:val="left" w:pos="567"/>
              </w:tabs>
              <w:rPr>
                <w:rFonts w:ascii="Times New Roman" w:hAnsi="Times New Roman" w:cs="Times New Roman"/>
                <w:b/>
                <w:color w:val="auto"/>
                <w:sz w:val="22"/>
                <w:szCs w:val="22"/>
                <w:lang w:val="hu-HU"/>
              </w:rPr>
            </w:pPr>
          </w:p>
        </w:tc>
        <w:tc>
          <w:tcPr>
            <w:tcW w:w="1648" w:type="pct"/>
          </w:tcPr>
          <w:p w14:paraId="1CBC929E" w14:textId="77777777" w:rsidR="00382B5E" w:rsidRDefault="00BE0CD4">
            <w:pPr>
              <w:pStyle w:val="NormlWeb"/>
              <w:spacing w:before="0" w:beforeAutospacing="0" w:after="0" w:afterAutospacing="0"/>
              <w:rPr>
                <w:sz w:val="22"/>
                <w:szCs w:val="22"/>
                <w:lang w:val="hu-HU"/>
              </w:rPr>
            </w:pPr>
            <w:r>
              <w:rPr>
                <w:sz w:val="22"/>
                <w:szCs w:val="22"/>
                <w:lang w:val="hu-HU"/>
              </w:rPr>
              <w:t>pancreatitis</w:t>
            </w:r>
          </w:p>
        </w:tc>
        <w:tc>
          <w:tcPr>
            <w:tcW w:w="893" w:type="pct"/>
          </w:tcPr>
          <w:p w14:paraId="0951682E" w14:textId="77777777" w:rsidR="00382B5E" w:rsidRDefault="00BE0CD4">
            <w:pPr>
              <w:pStyle w:val="NormlWeb"/>
              <w:spacing w:before="0" w:beforeAutospacing="0" w:after="0" w:afterAutospacing="0"/>
              <w:rPr>
                <w:sz w:val="22"/>
                <w:szCs w:val="22"/>
                <w:lang w:val="hu-HU"/>
              </w:rPr>
            </w:pPr>
            <w:r>
              <w:rPr>
                <w:sz w:val="22"/>
                <w:szCs w:val="22"/>
                <w:lang w:val="hu-HU"/>
              </w:rPr>
              <w:t>nagyon ritka</w:t>
            </w:r>
          </w:p>
        </w:tc>
        <w:tc>
          <w:tcPr>
            <w:tcW w:w="893" w:type="pct"/>
          </w:tcPr>
          <w:p w14:paraId="131669B5" w14:textId="77777777" w:rsidR="00382B5E" w:rsidRDefault="00BE0CD4">
            <w:pPr>
              <w:pStyle w:val="Default"/>
              <w:tabs>
                <w:tab w:val="left" w:pos="567"/>
              </w:tabs>
              <w:rPr>
                <w:rFonts w:ascii="Times New Roman" w:hAnsi="Times New Roman" w:cs="Times New Roman"/>
                <w:color w:val="auto"/>
                <w:sz w:val="22"/>
                <w:szCs w:val="22"/>
                <w:lang w:val="hu-HU"/>
              </w:rPr>
            </w:pPr>
            <w:r>
              <w:rPr>
                <w:rFonts w:ascii="Times New Roman" w:hAnsi="Times New Roman" w:cs="Times New Roman"/>
                <w:color w:val="auto"/>
                <w:sz w:val="22"/>
                <w:szCs w:val="22"/>
                <w:lang w:val="hu-HU"/>
              </w:rPr>
              <w:t>nem ismert</w:t>
            </w:r>
          </w:p>
        </w:tc>
      </w:tr>
      <w:tr w:rsidR="00382B5E" w14:paraId="7F64C08C" w14:textId="77777777">
        <w:trPr>
          <w:trHeight w:val="57"/>
        </w:trPr>
        <w:tc>
          <w:tcPr>
            <w:tcW w:w="1566" w:type="pct"/>
            <w:vMerge/>
          </w:tcPr>
          <w:p w14:paraId="40280AAD" w14:textId="77777777" w:rsidR="00382B5E" w:rsidRDefault="00382B5E">
            <w:pPr>
              <w:pStyle w:val="NormlWeb"/>
              <w:spacing w:before="0" w:beforeAutospacing="0" w:after="0" w:afterAutospacing="0"/>
              <w:rPr>
                <w:b/>
                <w:sz w:val="22"/>
                <w:szCs w:val="22"/>
                <w:lang w:val="hu-HU"/>
              </w:rPr>
            </w:pPr>
          </w:p>
        </w:tc>
        <w:tc>
          <w:tcPr>
            <w:tcW w:w="1648" w:type="pct"/>
          </w:tcPr>
          <w:p w14:paraId="5B2E664A" w14:textId="77777777" w:rsidR="00382B5E" w:rsidRDefault="00BE0CD4">
            <w:pPr>
              <w:pStyle w:val="Default"/>
              <w:tabs>
                <w:tab w:val="left" w:pos="567"/>
              </w:tabs>
              <w:rPr>
                <w:rFonts w:ascii="Times New Roman" w:hAnsi="Times New Roman" w:cs="Times New Roman"/>
                <w:color w:val="auto"/>
                <w:sz w:val="22"/>
                <w:szCs w:val="22"/>
                <w:lang w:val="hu-HU"/>
              </w:rPr>
            </w:pPr>
            <w:r>
              <w:rPr>
                <w:rFonts w:ascii="Times New Roman" w:hAnsi="Times New Roman" w:cs="Times New Roman"/>
                <w:color w:val="auto"/>
                <w:sz w:val="22"/>
                <w:szCs w:val="22"/>
                <w:lang w:val="hu-HU"/>
              </w:rPr>
              <w:t>májfunkció rendellenességei</w:t>
            </w:r>
          </w:p>
        </w:tc>
        <w:tc>
          <w:tcPr>
            <w:tcW w:w="893" w:type="pct"/>
          </w:tcPr>
          <w:p w14:paraId="1E16FDC0" w14:textId="77777777" w:rsidR="00382B5E" w:rsidRDefault="00BE0CD4">
            <w:pPr>
              <w:pStyle w:val="NormlWeb"/>
              <w:spacing w:before="0" w:beforeAutospacing="0" w:after="0" w:afterAutospacing="0"/>
              <w:rPr>
                <w:sz w:val="22"/>
                <w:szCs w:val="22"/>
                <w:lang w:val="hu-HU"/>
              </w:rPr>
            </w:pPr>
            <w:r>
              <w:rPr>
                <w:sz w:val="22"/>
                <w:szCs w:val="22"/>
                <w:lang w:val="hu-HU"/>
              </w:rPr>
              <w:t>-</w:t>
            </w:r>
          </w:p>
        </w:tc>
        <w:tc>
          <w:tcPr>
            <w:tcW w:w="893" w:type="pct"/>
          </w:tcPr>
          <w:p w14:paraId="7311728F" w14:textId="77777777" w:rsidR="00382B5E" w:rsidRDefault="00BE0CD4">
            <w:pPr>
              <w:pStyle w:val="Default"/>
              <w:tabs>
                <w:tab w:val="left" w:pos="567"/>
              </w:tabs>
              <w:rPr>
                <w:rFonts w:ascii="Times New Roman" w:hAnsi="Times New Roman" w:cs="Times New Roman"/>
                <w:color w:val="auto"/>
                <w:sz w:val="22"/>
                <w:szCs w:val="22"/>
                <w:lang w:val="hu-HU"/>
              </w:rPr>
            </w:pPr>
            <w:r>
              <w:rPr>
                <w:rFonts w:ascii="Times New Roman" w:hAnsi="Times New Roman" w:cs="Times New Roman"/>
                <w:color w:val="auto"/>
                <w:sz w:val="22"/>
                <w:szCs w:val="22"/>
                <w:lang w:val="hu-HU"/>
              </w:rPr>
              <w:t>nem ismert</w:t>
            </w:r>
          </w:p>
        </w:tc>
      </w:tr>
      <w:tr w:rsidR="00382B5E" w14:paraId="1B6EB1C9" w14:textId="77777777">
        <w:trPr>
          <w:trHeight w:val="57"/>
        </w:trPr>
        <w:tc>
          <w:tcPr>
            <w:tcW w:w="1566" w:type="pct"/>
            <w:vMerge/>
          </w:tcPr>
          <w:p w14:paraId="573BAA94" w14:textId="77777777" w:rsidR="00382B5E" w:rsidRDefault="00382B5E">
            <w:pPr>
              <w:pStyle w:val="NormlWeb"/>
              <w:spacing w:before="0" w:beforeAutospacing="0" w:after="0" w:afterAutospacing="0"/>
              <w:rPr>
                <w:b/>
                <w:sz w:val="22"/>
                <w:szCs w:val="22"/>
                <w:lang w:val="hu-HU"/>
              </w:rPr>
            </w:pPr>
          </w:p>
        </w:tc>
        <w:tc>
          <w:tcPr>
            <w:tcW w:w="1648" w:type="pct"/>
          </w:tcPr>
          <w:p w14:paraId="270BC303" w14:textId="77777777" w:rsidR="00382B5E" w:rsidRDefault="00BE0CD4">
            <w:pPr>
              <w:pStyle w:val="NormlWeb"/>
              <w:spacing w:before="0" w:beforeAutospacing="0" w:after="0" w:afterAutospacing="0"/>
              <w:rPr>
                <w:sz w:val="22"/>
                <w:szCs w:val="22"/>
                <w:lang w:val="hu-HU"/>
              </w:rPr>
            </w:pPr>
            <w:r>
              <w:rPr>
                <w:sz w:val="22"/>
                <w:szCs w:val="22"/>
                <w:lang w:val="hu-HU"/>
              </w:rPr>
              <w:t>sárgaság</w:t>
            </w:r>
          </w:p>
        </w:tc>
        <w:tc>
          <w:tcPr>
            <w:tcW w:w="893" w:type="pct"/>
          </w:tcPr>
          <w:p w14:paraId="09451C5D" w14:textId="77777777" w:rsidR="00382B5E" w:rsidRDefault="00BE0CD4">
            <w:pPr>
              <w:pStyle w:val="NormlWeb"/>
              <w:spacing w:before="0" w:beforeAutospacing="0" w:after="0" w:afterAutospacing="0"/>
              <w:rPr>
                <w:sz w:val="22"/>
                <w:szCs w:val="22"/>
                <w:lang w:val="hu-HU"/>
              </w:rPr>
            </w:pPr>
            <w:r>
              <w:rPr>
                <w:sz w:val="22"/>
                <w:szCs w:val="22"/>
                <w:lang w:val="hu-HU"/>
              </w:rPr>
              <w:t>nagyon ritka</w:t>
            </w:r>
          </w:p>
        </w:tc>
        <w:tc>
          <w:tcPr>
            <w:tcW w:w="893" w:type="pct"/>
          </w:tcPr>
          <w:p w14:paraId="3B5DE032" w14:textId="77777777" w:rsidR="00382B5E" w:rsidRDefault="00BE0CD4">
            <w:pPr>
              <w:rPr>
                <w:sz w:val="22"/>
                <w:szCs w:val="22"/>
              </w:rPr>
            </w:pPr>
            <w:r>
              <w:rPr>
                <w:sz w:val="22"/>
                <w:szCs w:val="22"/>
              </w:rPr>
              <w:t>-</w:t>
            </w:r>
          </w:p>
        </w:tc>
      </w:tr>
      <w:tr w:rsidR="00382B5E" w14:paraId="6C3C94D8" w14:textId="77777777">
        <w:trPr>
          <w:trHeight w:val="57"/>
        </w:trPr>
        <w:tc>
          <w:tcPr>
            <w:tcW w:w="1566" w:type="pct"/>
            <w:vMerge/>
          </w:tcPr>
          <w:p w14:paraId="00A73AC6" w14:textId="77777777" w:rsidR="00382B5E" w:rsidRDefault="00382B5E">
            <w:pPr>
              <w:pStyle w:val="NormlWeb"/>
              <w:spacing w:before="0" w:beforeAutospacing="0" w:after="0" w:afterAutospacing="0"/>
              <w:rPr>
                <w:b/>
                <w:sz w:val="22"/>
                <w:szCs w:val="22"/>
                <w:lang w:val="hu-HU"/>
              </w:rPr>
            </w:pPr>
          </w:p>
        </w:tc>
        <w:tc>
          <w:tcPr>
            <w:tcW w:w="1648" w:type="pct"/>
          </w:tcPr>
          <w:p w14:paraId="2A866DBC" w14:textId="77777777" w:rsidR="00382B5E" w:rsidRDefault="00BE0CD4">
            <w:pPr>
              <w:pStyle w:val="NormlWeb"/>
              <w:spacing w:before="0" w:beforeAutospacing="0" w:after="0" w:afterAutospacing="0"/>
              <w:rPr>
                <w:sz w:val="22"/>
                <w:szCs w:val="22"/>
                <w:lang w:val="hu-HU"/>
              </w:rPr>
            </w:pPr>
            <w:r>
              <w:rPr>
                <w:sz w:val="22"/>
                <w:szCs w:val="22"/>
                <w:lang w:val="hu-HU"/>
              </w:rPr>
              <w:t>megnövekedett májenzim-szintek</w:t>
            </w:r>
            <w:r>
              <w:rPr>
                <w:sz w:val="22"/>
                <w:szCs w:val="22"/>
                <w:vertAlign w:val="superscript"/>
                <w:lang w:val="hu-HU"/>
              </w:rPr>
              <w:t>***</w:t>
            </w:r>
          </w:p>
        </w:tc>
        <w:tc>
          <w:tcPr>
            <w:tcW w:w="893" w:type="pct"/>
          </w:tcPr>
          <w:p w14:paraId="022C9ACC" w14:textId="77777777" w:rsidR="00382B5E" w:rsidRDefault="00BE0CD4">
            <w:pPr>
              <w:pStyle w:val="NormlWeb"/>
              <w:spacing w:before="0" w:beforeAutospacing="0" w:after="0" w:afterAutospacing="0"/>
              <w:rPr>
                <w:sz w:val="22"/>
                <w:szCs w:val="22"/>
                <w:lang w:val="hu-HU"/>
              </w:rPr>
            </w:pPr>
            <w:r>
              <w:rPr>
                <w:sz w:val="22"/>
                <w:szCs w:val="22"/>
                <w:lang w:val="hu-HU"/>
              </w:rPr>
              <w:t>nagyon ritka</w:t>
            </w:r>
          </w:p>
        </w:tc>
        <w:tc>
          <w:tcPr>
            <w:tcW w:w="893" w:type="pct"/>
          </w:tcPr>
          <w:p w14:paraId="043B2665" w14:textId="77777777" w:rsidR="00382B5E" w:rsidRDefault="00BE0CD4">
            <w:pPr>
              <w:rPr>
                <w:sz w:val="22"/>
                <w:szCs w:val="22"/>
              </w:rPr>
            </w:pPr>
            <w:r>
              <w:rPr>
                <w:sz w:val="22"/>
                <w:szCs w:val="22"/>
              </w:rPr>
              <w:t>-</w:t>
            </w:r>
          </w:p>
        </w:tc>
      </w:tr>
      <w:tr w:rsidR="00382B5E" w14:paraId="18A381EE" w14:textId="77777777">
        <w:trPr>
          <w:trHeight w:val="57"/>
        </w:trPr>
        <w:tc>
          <w:tcPr>
            <w:tcW w:w="1566" w:type="pct"/>
            <w:vMerge w:val="restart"/>
          </w:tcPr>
          <w:p w14:paraId="6B2718BB" w14:textId="77777777" w:rsidR="00382B5E" w:rsidRDefault="00BE0CD4">
            <w:pPr>
              <w:pStyle w:val="Default"/>
              <w:tabs>
                <w:tab w:val="left" w:pos="567"/>
              </w:tabs>
              <w:rPr>
                <w:rFonts w:ascii="Times New Roman" w:hAnsi="Times New Roman" w:cs="Times New Roman"/>
                <w:b/>
                <w:color w:val="auto"/>
                <w:sz w:val="22"/>
                <w:szCs w:val="22"/>
                <w:lang w:val="hu-HU"/>
              </w:rPr>
            </w:pPr>
            <w:r>
              <w:rPr>
                <w:rFonts w:ascii="Times New Roman" w:hAnsi="Times New Roman" w:cs="Times New Roman"/>
                <w:b/>
                <w:sz w:val="22"/>
                <w:szCs w:val="22"/>
                <w:lang w:val="hu-HU"/>
              </w:rPr>
              <w:t>A bőr és a bőr alatti szövet betegségei és tünetei</w:t>
            </w:r>
          </w:p>
        </w:tc>
        <w:tc>
          <w:tcPr>
            <w:tcW w:w="1648" w:type="pct"/>
          </w:tcPr>
          <w:p w14:paraId="55ECB764" w14:textId="77777777" w:rsidR="00382B5E" w:rsidRDefault="00BE0CD4">
            <w:pPr>
              <w:pStyle w:val="NormlWeb"/>
              <w:spacing w:before="0" w:beforeAutospacing="0" w:after="0" w:afterAutospacing="0"/>
              <w:rPr>
                <w:sz w:val="22"/>
                <w:szCs w:val="22"/>
                <w:lang w:val="hu-HU"/>
              </w:rPr>
            </w:pPr>
            <w:r>
              <w:rPr>
                <w:sz w:val="22"/>
                <w:szCs w:val="22"/>
                <w:lang w:val="hu-HU"/>
              </w:rPr>
              <w:t>kiütés</w:t>
            </w:r>
          </w:p>
        </w:tc>
        <w:tc>
          <w:tcPr>
            <w:tcW w:w="893" w:type="pct"/>
          </w:tcPr>
          <w:p w14:paraId="75446219" w14:textId="77777777" w:rsidR="00382B5E" w:rsidRDefault="00BE0CD4">
            <w:pPr>
              <w:pStyle w:val="NormlWeb"/>
              <w:spacing w:before="0" w:beforeAutospacing="0" w:after="0" w:afterAutospacing="0"/>
              <w:rPr>
                <w:sz w:val="22"/>
                <w:szCs w:val="22"/>
                <w:lang w:val="hu-HU"/>
              </w:rPr>
            </w:pPr>
            <w:r>
              <w:rPr>
                <w:sz w:val="22"/>
                <w:szCs w:val="22"/>
                <w:lang w:val="hu-HU"/>
              </w:rPr>
              <w:t>nem gyakori</w:t>
            </w:r>
          </w:p>
        </w:tc>
        <w:tc>
          <w:tcPr>
            <w:tcW w:w="893" w:type="pct"/>
          </w:tcPr>
          <w:p w14:paraId="5B745310" w14:textId="77777777" w:rsidR="00382B5E" w:rsidRDefault="00BE0CD4">
            <w:pPr>
              <w:rPr>
                <w:sz w:val="22"/>
                <w:szCs w:val="22"/>
              </w:rPr>
            </w:pPr>
            <w:r>
              <w:rPr>
                <w:sz w:val="22"/>
                <w:szCs w:val="22"/>
              </w:rPr>
              <w:t>nem gyakori</w:t>
            </w:r>
          </w:p>
        </w:tc>
      </w:tr>
      <w:tr w:rsidR="00382B5E" w14:paraId="49EDC38E" w14:textId="77777777">
        <w:trPr>
          <w:trHeight w:val="57"/>
        </w:trPr>
        <w:tc>
          <w:tcPr>
            <w:tcW w:w="1566" w:type="pct"/>
            <w:vMerge/>
          </w:tcPr>
          <w:p w14:paraId="53BC3744" w14:textId="77777777" w:rsidR="00382B5E" w:rsidRDefault="00382B5E">
            <w:pPr>
              <w:pStyle w:val="Default"/>
              <w:tabs>
                <w:tab w:val="left" w:pos="567"/>
              </w:tabs>
              <w:rPr>
                <w:rFonts w:ascii="Times New Roman" w:hAnsi="Times New Roman" w:cs="Times New Roman"/>
                <w:b/>
                <w:color w:val="auto"/>
                <w:sz w:val="22"/>
                <w:szCs w:val="22"/>
                <w:lang w:val="hu-HU"/>
              </w:rPr>
            </w:pPr>
          </w:p>
        </w:tc>
        <w:tc>
          <w:tcPr>
            <w:tcW w:w="1648" w:type="pct"/>
          </w:tcPr>
          <w:p w14:paraId="76A10131" w14:textId="77777777" w:rsidR="00382B5E" w:rsidRDefault="00BE0CD4">
            <w:pPr>
              <w:pStyle w:val="NormlWeb"/>
              <w:spacing w:before="0" w:beforeAutospacing="0" w:after="0" w:afterAutospacing="0"/>
              <w:rPr>
                <w:sz w:val="22"/>
                <w:szCs w:val="22"/>
                <w:lang w:val="hu-HU"/>
              </w:rPr>
            </w:pPr>
            <w:r>
              <w:rPr>
                <w:sz w:val="22"/>
                <w:szCs w:val="22"/>
                <w:lang w:val="hu-HU"/>
              </w:rPr>
              <w:t>alopecia, purpura, a bőr elszíneződése, hyperhydrosis, exanthema</w:t>
            </w:r>
          </w:p>
        </w:tc>
        <w:tc>
          <w:tcPr>
            <w:tcW w:w="893" w:type="pct"/>
          </w:tcPr>
          <w:p w14:paraId="19B7BEAC" w14:textId="77777777" w:rsidR="00382B5E" w:rsidRDefault="00BE0CD4">
            <w:pPr>
              <w:pStyle w:val="NormlWeb"/>
              <w:spacing w:before="0" w:beforeAutospacing="0" w:after="0" w:afterAutospacing="0"/>
              <w:rPr>
                <w:sz w:val="22"/>
                <w:szCs w:val="22"/>
                <w:lang w:val="hu-HU"/>
              </w:rPr>
            </w:pPr>
            <w:r>
              <w:rPr>
                <w:sz w:val="22"/>
                <w:szCs w:val="22"/>
                <w:lang w:val="hu-HU"/>
              </w:rPr>
              <w:t>nem gyakori</w:t>
            </w:r>
          </w:p>
        </w:tc>
        <w:tc>
          <w:tcPr>
            <w:tcW w:w="893" w:type="pct"/>
          </w:tcPr>
          <w:p w14:paraId="391A885A" w14:textId="77777777" w:rsidR="00382B5E" w:rsidRDefault="00BE0CD4">
            <w:pPr>
              <w:rPr>
                <w:sz w:val="22"/>
                <w:szCs w:val="22"/>
              </w:rPr>
            </w:pPr>
            <w:r>
              <w:rPr>
                <w:sz w:val="22"/>
                <w:szCs w:val="22"/>
              </w:rPr>
              <w:t>-</w:t>
            </w:r>
          </w:p>
        </w:tc>
      </w:tr>
      <w:tr w:rsidR="00382B5E" w14:paraId="23437892" w14:textId="77777777">
        <w:trPr>
          <w:trHeight w:val="57"/>
        </w:trPr>
        <w:tc>
          <w:tcPr>
            <w:tcW w:w="1566" w:type="pct"/>
            <w:vMerge/>
          </w:tcPr>
          <w:p w14:paraId="4173F6C7" w14:textId="77777777" w:rsidR="00382B5E" w:rsidRDefault="00382B5E">
            <w:pPr>
              <w:pStyle w:val="Default"/>
              <w:tabs>
                <w:tab w:val="left" w:pos="567"/>
              </w:tabs>
              <w:rPr>
                <w:rFonts w:ascii="Times New Roman" w:hAnsi="Times New Roman" w:cs="Times New Roman"/>
                <w:b/>
                <w:color w:val="auto"/>
                <w:sz w:val="22"/>
                <w:szCs w:val="22"/>
                <w:lang w:val="hu-HU"/>
              </w:rPr>
            </w:pPr>
          </w:p>
        </w:tc>
        <w:tc>
          <w:tcPr>
            <w:tcW w:w="1648" w:type="pct"/>
          </w:tcPr>
          <w:p w14:paraId="18CF021E" w14:textId="77777777" w:rsidR="00382B5E" w:rsidRDefault="00BE0CD4">
            <w:pPr>
              <w:pStyle w:val="NormlWeb"/>
              <w:spacing w:before="0" w:beforeAutospacing="0" w:after="0" w:afterAutospacing="0"/>
              <w:rPr>
                <w:sz w:val="22"/>
                <w:szCs w:val="22"/>
                <w:lang w:val="hu-HU"/>
              </w:rPr>
            </w:pPr>
            <w:r>
              <w:rPr>
                <w:sz w:val="22"/>
                <w:szCs w:val="22"/>
                <w:lang w:val="hu-HU"/>
              </w:rPr>
              <w:t>pruritus</w:t>
            </w:r>
          </w:p>
        </w:tc>
        <w:tc>
          <w:tcPr>
            <w:tcW w:w="893" w:type="pct"/>
          </w:tcPr>
          <w:p w14:paraId="5890F9DC" w14:textId="77777777" w:rsidR="00382B5E" w:rsidRDefault="00BE0CD4">
            <w:pPr>
              <w:pStyle w:val="NormlWeb"/>
              <w:spacing w:before="0" w:beforeAutospacing="0" w:after="0" w:afterAutospacing="0"/>
              <w:rPr>
                <w:sz w:val="22"/>
                <w:szCs w:val="22"/>
                <w:lang w:val="hu-HU"/>
              </w:rPr>
            </w:pPr>
            <w:r>
              <w:rPr>
                <w:sz w:val="22"/>
                <w:szCs w:val="22"/>
                <w:lang w:val="hu-HU"/>
              </w:rPr>
              <w:t>nem gyakori</w:t>
            </w:r>
          </w:p>
        </w:tc>
        <w:tc>
          <w:tcPr>
            <w:tcW w:w="893" w:type="pct"/>
          </w:tcPr>
          <w:p w14:paraId="4CCE5945" w14:textId="77777777" w:rsidR="00382B5E" w:rsidRDefault="00BE0CD4">
            <w:pPr>
              <w:pStyle w:val="Default"/>
              <w:tabs>
                <w:tab w:val="left" w:pos="567"/>
              </w:tabs>
              <w:rPr>
                <w:rFonts w:ascii="Times New Roman" w:hAnsi="Times New Roman" w:cs="Times New Roman"/>
                <w:color w:val="auto"/>
                <w:sz w:val="22"/>
                <w:szCs w:val="22"/>
                <w:lang w:val="hu-HU"/>
              </w:rPr>
            </w:pPr>
            <w:r>
              <w:rPr>
                <w:rFonts w:ascii="Times New Roman" w:hAnsi="Times New Roman" w:cs="Times New Roman"/>
                <w:color w:val="auto"/>
                <w:sz w:val="22"/>
                <w:szCs w:val="22"/>
                <w:lang w:val="hu-HU"/>
              </w:rPr>
              <w:t>nem ismert</w:t>
            </w:r>
          </w:p>
        </w:tc>
      </w:tr>
      <w:tr w:rsidR="00382B5E" w14:paraId="1C113155" w14:textId="77777777">
        <w:trPr>
          <w:trHeight w:val="57"/>
        </w:trPr>
        <w:tc>
          <w:tcPr>
            <w:tcW w:w="1566" w:type="pct"/>
            <w:vMerge/>
          </w:tcPr>
          <w:p w14:paraId="6E753DF8" w14:textId="77777777" w:rsidR="00382B5E" w:rsidRDefault="00382B5E">
            <w:pPr>
              <w:pStyle w:val="Default"/>
              <w:tabs>
                <w:tab w:val="left" w:pos="567"/>
              </w:tabs>
              <w:rPr>
                <w:rFonts w:ascii="Times New Roman" w:hAnsi="Times New Roman" w:cs="Times New Roman"/>
                <w:b/>
                <w:color w:val="auto"/>
                <w:sz w:val="22"/>
                <w:szCs w:val="22"/>
                <w:lang w:val="hu-HU"/>
              </w:rPr>
            </w:pPr>
          </w:p>
        </w:tc>
        <w:tc>
          <w:tcPr>
            <w:tcW w:w="1648" w:type="pct"/>
          </w:tcPr>
          <w:p w14:paraId="22D7577F" w14:textId="77777777" w:rsidR="00382B5E" w:rsidRDefault="00BE0CD4">
            <w:pPr>
              <w:pStyle w:val="NormlWeb"/>
              <w:spacing w:before="0" w:beforeAutospacing="0" w:after="0" w:afterAutospacing="0"/>
              <w:rPr>
                <w:sz w:val="22"/>
                <w:szCs w:val="22"/>
                <w:lang w:val="hu-HU"/>
              </w:rPr>
            </w:pPr>
            <w:r>
              <w:rPr>
                <w:sz w:val="22"/>
                <w:szCs w:val="22"/>
                <w:lang w:val="hu-HU"/>
              </w:rPr>
              <w:t>urticaria</w:t>
            </w:r>
          </w:p>
        </w:tc>
        <w:tc>
          <w:tcPr>
            <w:tcW w:w="893" w:type="pct"/>
          </w:tcPr>
          <w:p w14:paraId="3A44551D" w14:textId="77777777" w:rsidR="00382B5E" w:rsidRDefault="00BE0CD4">
            <w:pPr>
              <w:pStyle w:val="NormlWeb"/>
              <w:spacing w:before="0" w:beforeAutospacing="0" w:after="0" w:afterAutospacing="0"/>
              <w:rPr>
                <w:sz w:val="22"/>
                <w:szCs w:val="22"/>
                <w:lang w:val="hu-HU"/>
              </w:rPr>
            </w:pPr>
            <w:r>
              <w:rPr>
                <w:sz w:val="22"/>
                <w:szCs w:val="22"/>
                <w:lang w:val="hu-HU"/>
              </w:rPr>
              <w:t>nem gyakori</w:t>
            </w:r>
          </w:p>
        </w:tc>
        <w:tc>
          <w:tcPr>
            <w:tcW w:w="893" w:type="pct"/>
          </w:tcPr>
          <w:p w14:paraId="6A82194B" w14:textId="77777777" w:rsidR="00382B5E" w:rsidRDefault="00BE0CD4">
            <w:pPr>
              <w:pStyle w:val="Default"/>
              <w:tabs>
                <w:tab w:val="left" w:pos="567"/>
              </w:tabs>
              <w:rPr>
                <w:rFonts w:ascii="Times New Roman" w:hAnsi="Times New Roman" w:cs="Times New Roman"/>
                <w:color w:val="auto"/>
                <w:sz w:val="22"/>
                <w:szCs w:val="22"/>
                <w:lang w:val="hu-HU"/>
              </w:rPr>
            </w:pPr>
            <w:r>
              <w:rPr>
                <w:rFonts w:ascii="Times New Roman" w:hAnsi="Times New Roman" w:cs="Times New Roman"/>
                <w:color w:val="auto"/>
                <w:sz w:val="22"/>
                <w:szCs w:val="22"/>
                <w:lang w:val="hu-HU"/>
              </w:rPr>
              <w:t>nem ismert</w:t>
            </w:r>
          </w:p>
        </w:tc>
      </w:tr>
      <w:tr w:rsidR="00382B5E" w14:paraId="4E8C38D2" w14:textId="77777777">
        <w:trPr>
          <w:trHeight w:val="57"/>
        </w:trPr>
        <w:tc>
          <w:tcPr>
            <w:tcW w:w="1566" w:type="pct"/>
            <w:vMerge/>
          </w:tcPr>
          <w:p w14:paraId="5A9E509C" w14:textId="77777777" w:rsidR="00382B5E" w:rsidRDefault="00382B5E">
            <w:pPr>
              <w:pStyle w:val="NormlWeb"/>
              <w:spacing w:before="0" w:beforeAutospacing="0" w:after="0" w:afterAutospacing="0"/>
              <w:rPr>
                <w:b/>
                <w:sz w:val="22"/>
                <w:szCs w:val="22"/>
                <w:lang w:val="hu-HU"/>
              </w:rPr>
            </w:pPr>
          </w:p>
        </w:tc>
        <w:tc>
          <w:tcPr>
            <w:tcW w:w="1648" w:type="pct"/>
          </w:tcPr>
          <w:p w14:paraId="06875C7F" w14:textId="77777777" w:rsidR="00382B5E" w:rsidRDefault="00BE0CD4">
            <w:pPr>
              <w:pStyle w:val="Default"/>
              <w:tabs>
                <w:tab w:val="left" w:pos="567"/>
              </w:tabs>
              <w:rPr>
                <w:rFonts w:ascii="Times New Roman" w:hAnsi="Times New Roman" w:cs="Times New Roman"/>
                <w:color w:val="auto"/>
                <w:sz w:val="22"/>
                <w:szCs w:val="22"/>
                <w:lang w:val="hu-HU"/>
              </w:rPr>
            </w:pPr>
            <w:r>
              <w:rPr>
                <w:rFonts w:ascii="Times New Roman" w:hAnsi="Times New Roman" w:cs="Times New Roman"/>
                <w:color w:val="auto"/>
                <w:sz w:val="22"/>
                <w:szCs w:val="22"/>
                <w:lang w:val="hu-HU"/>
              </w:rPr>
              <w:t>fényérzékenység</w:t>
            </w:r>
          </w:p>
        </w:tc>
        <w:tc>
          <w:tcPr>
            <w:tcW w:w="893" w:type="pct"/>
          </w:tcPr>
          <w:p w14:paraId="11F4363A" w14:textId="77777777" w:rsidR="00382B5E" w:rsidRDefault="00BE0CD4">
            <w:pPr>
              <w:pStyle w:val="NormlWeb"/>
              <w:spacing w:before="0" w:beforeAutospacing="0" w:after="0" w:afterAutospacing="0"/>
              <w:rPr>
                <w:sz w:val="22"/>
                <w:szCs w:val="22"/>
                <w:lang w:val="hu-HU"/>
              </w:rPr>
            </w:pPr>
            <w:r>
              <w:rPr>
                <w:sz w:val="22"/>
                <w:szCs w:val="22"/>
                <w:lang w:val="hu-HU"/>
              </w:rPr>
              <w:t>nagyon ritka</w:t>
            </w:r>
          </w:p>
        </w:tc>
        <w:tc>
          <w:tcPr>
            <w:tcW w:w="893" w:type="pct"/>
          </w:tcPr>
          <w:p w14:paraId="60D10A7D" w14:textId="77777777" w:rsidR="00382B5E" w:rsidRDefault="00BE0CD4">
            <w:pPr>
              <w:pStyle w:val="Default"/>
              <w:tabs>
                <w:tab w:val="left" w:pos="567"/>
              </w:tabs>
              <w:rPr>
                <w:rFonts w:ascii="Times New Roman" w:hAnsi="Times New Roman" w:cs="Times New Roman"/>
                <w:color w:val="auto"/>
                <w:sz w:val="22"/>
                <w:szCs w:val="22"/>
                <w:lang w:val="hu-HU"/>
              </w:rPr>
            </w:pPr>
            <w:r>
              <w:rPr>
                <w:rFonts w:ascii="Times New Roman" w:hAnsi="Times New Roman" w:cs="Times New Roman"/>
                <w:color w:val="auto"/>
                <w:sz w:val="22"/>
                <w:szCs w:val="22"/>
                <w:lang w:val="hu-HU"/>
              </w:rPr>
              <w:t>nem ismert</w:t>
            </w:r>
          </w:p>
        </w:tc>
      </w:tr>
      <w:tr w:rsidR="00382B5E" w14:paraId="282E6C13" w14:textId="77777777">
        <w:trPr>
          <w:trHeight w:val="57"/>
        </w:trPr>
        <w:tc>
          <w:tcPr>
            <w:tcW w:w="1566" w:type="pct"/>
            <w:vMerge/>
          </w:tcPr>
          <w:p w14:paraId="746CC134" w14:textId="77777777" w:rsidR="00382B5E" w:rsidRDefault="00382B5E">
            <w:pPr>
              <w:pStyle w:val="NormlWeb"/>
              <w:spacing w:before="0" w:beforeAutospacing="0" w:after="0" w:afterAutospacing="0"/>
              <w:rPr>
                <w:b/>
                <w:sz w:val="22"/>
                <w:szCs w:val="22"/>
                <w:lang w:val="hu-HU"/>
              </w:rPr>
            </w:pPr>
          </w:p>
        </w:tc>
        <w:tc>
          <w:tcPr>
            <w:tcW w:w="1648" w:type="pct"/>
          </w:tcPr>
          <w:p w14:paraId="0B3CDDD5" w14:textId="77777777" w:rsidR="00382B5E" w:rsidRDefault="00BE0CD4">
            <w:pPr>
              <w:pStyle w:val="NormlWeb"/>
              <w:spacing w:before="0" w:beforeAutospacing="0" w:after="0" w:afterAutospacing="0"/>
              <w:rPr>
                <w:sz w:val="22"/>
                <w:szCs w:val="22"/>
                <w:lang w:val="hu-HU"/>
              </w:rPr>
            </w:pPr>
            <w:r>
              <w:rPr>
                <w:sz w:val="22"/>
                <w:szCs w:val="22"/>
                <w:lang w:val="hu-HU"/>
              </w:rPr>
              <w:t>erythema multiforme, exfoliativ dermatitis, Stevens–Johnson-szindróma, Quincke ödéma</w:t>
            </w:r>
          </w:p>
        </w:tc>
        <w:tc>
          <w:tcPr>
            <w:tcW w:w="893" w:type="pct"/>
          </w:tcPr>
          <w:p w14:paraId="3916E442" w14:textId="77777777" w:rsidR="00382B5E" w:rsidRDefault="00BE0CD4">
            <w:pPr>
              <w:pStyle w:val="NormlWeb"/>
              <w:spacing w:before="0" w:beforeAutospacing="0" w:after="0" w:afterAutospacing="0"/>
              <w:rPr>
                <w:sz w:val="22"/>
                <w:szCs w:val="22"/>
                <w:lang w:val="hu-HU"/>
              </w:rPr>
            </w:pPr>
            <w:r>
              <w:rPr>
                <w:sz w:val="22"/>
                <w:szCs w:val="22"/>
                <w:lang w:val="hu-HU"/>
              </w:rPr>
              <w:t>nagyon ritka</w:t>
            </w:r>
          </w:p>
        </w:tc>
        <w:tc>
          <w:tcPr>
            <w:tcW w:w="893" w:type="pct"/>
          </w:tcPr>
          <w:p w14:paraId="3E3F9470" w14:textId="77777777" w:rsidR="00382B5E" w:rsidRDefault="00BE0CD4">
            <w:pPr>
              <w:rPr>
                <w:sz w:val="22"/>
                <w:szCs w:val="22"/>
              </w:rPr>
            </w:pPr>
            <w:r>
              <w:rPr>
                <w:sz w:val="22"/>
                <w:szCs w:val="22"/>
              </w:rPr>
              <w:t>-</w:t>
            </w:r>
          </w:p>
        </w:tc>
      </w:tr>
      <w:tr w:rsidR="00382B5E" w14:paraId="07ED5B11" w14:textId="77777777">
        <w:trPr>
          <w:trHeight w:val="57"/>
        </w:trPr>
        <w:tc>
          <w:tcPr>
            <w:tcW w:w="1566" w:type="pct"/>
            <w:vMerge/>
          </w:tcPr>
          <w:p w14:paraId="17F4D126" w14:textId="77777777" w:rsidR="00382B5E" w:rsidRDefault="00382B5E">
            <w:pPr>
              <w:pStyle w:val="NormlWeb"/>
              <w:spacing w:before="0" w:beforeAutospacing="0" w:after="0" w:afterAutospacing="0"/>
              <w:rPr>
                <w:b/>
                <w:sz w:val="22"/>
                <w:szCs w:val="22"/>
                <w:lang w:val="hu-HU"/>
              </w:rPr>
            </w:pPr>
          </w:p>
        </w:tc>
        <w:tc>
          <w:tcPr>
            <w:tcW w:w="1648" w:type="pct"/>
          </w:tcPr>
          <w:p w14:paraId="260853C8" w14:textId="77777777" w:rsidR="00382B5E" w:rsidRDefault="00BE0CD4">
            <w:pPr>
              <w:pStyle w:val="NormlWeb"/>
              <w:spacing w:before="0" w:beforeAutospacing="0" w:after="0" w:afterAutospacing="0"/>
              <w:rPr>
                <w:sz w:val="22"/>
                <w:szCs w:val="22"/>
                <w:lang w:val="hu-HU"/>
              </w:rPr>
            </w:pPr>
            <w:r>
              <w:rPr>
                <w:sz w:val="22"/>
                <w:szCs w:val="22"/>
                <w:lang w:val="hu-HU"/>
              </w:rPr>
              <w:t>toxicus epidermalis necrolysis</w:t>
            </w:r>
          </w:p>
        </w:tc>
        <w:tc>
          <w:tcPr>
            <w:tcW w:w="893" w:type="pct"/>
          </w:tcPr>
          <w:p w14:paraId="2882E33E" w14:textId="77777777" w:rsidR="00382B5E" w:rsidRDefault="00BE0CD4">
            <w:pPr>
              <w:pStyle w:val="NormlWeb"/>
              <w:spacing w:before="0" w:beforeAutospacing="0" w:after="0" w:afterAutospacing="0"/>
              <w:rPr>
                <w:sz w:val="22"/>
                <w:szCs w:val="22"/>
                <w:lang w:val="hu-HU"/>
              </w:rPr>
            </w:pPr>
            <w:r>
              <w:rPr>
                <w:sz w:val="22"/>
                <w:szCs w:val="22"/>
                <w:lang w:val="hu-HU"/>
              </w:rPr>
              <w:t>nem ismert</w:t>
            </w:r>
          </w:p>
        </w:tc>
        <w:tc>
          <w:tcPr>
            <w:tcW w:w="893" w:type="pct"/>
          </w:tcPr>
          <w:p w14:paraId="40549538" w14:textId="77777777" w:rsidR="00382B5E" w:rsidRDefault="00BE0CD4">
            <w:pPr>
              <w:rPr>
                <w:sz w:val="22"/>
                <w:szCs w:val="22"/>
              </w:rPr>
            </w:pPr>
            <w:r>
              <w:rPr>
                <w:sz w:val="22"/>
                <w:szCs w:val="22"/>
              </w:rPr>
              <w:t>-</w:t>
            </w:r>
          </w:p>
        </w:tc>
      </w:tr>
      <w:tr w:rsidR="00382B5E" w14:paraId="18FD37AA" w14:textId="77777777">
        <w:trPr>
          <w:trHeight w:val="213"/>
        </w:trPr>
        <w:tc>
          <w:tcPr>
            <w:tcW w:w="1566" w:type="pct"/>
            <w:vMerge w:val="restart"/>
          </w:tcPr>
          <w:p w14:paraId="37CB46DC" w14:textId="77777777" w:rsidR="00382B5E" w:rsidRDefault="00BE0CD4">
            <w:pPr>
              <w:pStyle w:val="Default"/>
              <w:tabs>
                <w:tab w:val="left" w:pos="567"/>
              </w:tabs>
              <w:rPr>
                <w:rFonts w:ascii="Times New Roman" w:hAnsi="Times New Roman" w:cs="Times New Roman"/>
                <w:b/>
                <w:color w:val="auto"/>
                <w:sz w:val="22"/>
                <w:szCs w:val="22"/>
                <w:lang w:val="hu-HU"/>
              </w:rPr>
            </w:pPr>
            <w:r>
              <w:rPr>
                <w:rFonts w:ascii="Times New Roman" w:hAnsi="Times New Roman" w:cs="Times New Roman"/>
                <w:b/>
                <w:sz w:val="22"/>
                <w:szCs w:val="22"/>
                <w:lang w:val="hu-HU"/>
              </w:rPr>
              <w:t>A csont- és izomrendszer, valamint a kötőszövet betegségei és tünetei</w:t>
            </w:r>
          </w:p>
        </w:tc>
        <w:tc>
          <w:tcPr>
            <w:tcW w:w="1648" w:type="pct"/>
          </w:tcPr>
          <w:p w14:paraId="0C6A3BCB" w14:textId="77777777" w:rsidR="00382B5E" w:rsidRDefault="00BE0CD4">
            <w:pPr>
              <w:pStyle w:val="NormlWeb"/>
              <w:spacing w:before="0" w:beforeAutospacing="0" w:after="0" w:afterAutospacing="0"/>
              <w:rPr>
                <w:sz w:val="22"/>
                <w:szCs w:val="22"/>
                <w:lang w:val="hu-HU"/>
              </w:rPr>
            </w:pPr>
            <w:r>
              <w:rPr>
                <w:sz w:val="22"/>
                <w:szCs w:val="22"/>
                <w:lang w:val="hu-HU"/>
              </w:rPr>
              <w:t>bokaduzzanat, izomgörcsök</w:t>
            </w:r>
          </w:p>
        </w:tc>
        <w:tc>
          <w:tcPr>
            <w:tcW w:w="893" w:type="pct"/>
          </w:tcPr>
          <w:p w14:paraId="6284945D" w14:textId="77777777" w:rsidR="00382B5E" w:rsidRDefault="00BE0CD4">
            <w:pPr>
              <w:pStyle w:val="NormlWeb"/>
              <w:spacing w:before="0" w:beforeAutospacing="0" w:after="0" w:afterAutospacing="0"/>
              <w:rPr>
                <w:sz w:val="22"/>
                <w:szCs w:val="22"/>
                <w:lang w:val="hu-HU"/>
              </w:rPr>
            </w:pPr>
            <w:r>
              <w:rPr>
                <w:sz w:val="22"/>
                <w:szCs w:val="22"/>
                <w:lang w:val="hu-HU"/>
              </w:rPr>
              <w:t>gyakori</w:t>
            </w:r>
          </w:p>
        </w:tc>
        <w:tc>
          <w:tcPr>
            <w:tcW w:w="893" w:type="pct"/>
          </w:tcPr>
          <w:p w14:paraId="133CA7C7" w14:textId="77777777" w:rsidR="00382B5E" w:rsidRDefault="00BE0CD4">
            <w:pPr>
              <w:rPr>
                <w:sz w:val="22"/>
                <w:szCs w:val="22"/>
              </w:rPr>
            </w:pPr>
            <w:r>
              <w:rPr>
                <w:sz w:val="22"/>
                <w:szCs w:val="22"/>
              </w:rPr>
              <w:t>-</w:t>
            </w:r>
          </w:p>
        </w:tc>
      </w:tr>
      <w:tr w:rsidR="00382B5E" w14:paraId="1F38D2C7" w14:textId="77777777">
        <w:trPr>
          <w:trHeight w:val="57"/>
        </w:trPr>
        <w:tc>
          <w:tcPr>
            <w:tcW w:w="1566" w:type="pct"/>
            <w:vMerge/>
          </w:tcPr>
          <w:p w14:paraId="454D3B57" w14:textId="77777777" w:rsidR="00382B5E" w:rsidRDefault="00382B5E">
            <w:pPr>
              <w:pStyle w:val="Default"/>
              <w:tabs>
                <w:tab w:val="left" w:pos="567"/>
              </w:tabs>
              <w:rPr>
                <w:rFonts w:ascii="Times New Roman" w:hAnsi="Times New Roman" w:cs="Times New Roman"/>
                <w:b/>
                <w:sz w:val="22"/>
                <w:szCs w:val="22"/>
                <w:lang w:val="hu-HU"/>
              </w:rPr>
            </w:pPr>
          </w:p>
        </w:tc>
        <w:tc>
          <w:tcPr>
            <w:tcW w:w="1648" w:type="pct"/>
          </w:tcPr>
          <w:p w14:paraId="3EEA567E" w14:textId="77777777" w:rsidR="00382B5E" w:rsidRDefault="00BE0CD4">
            <w:pPr>
              <w:pStyle w:val="NormlWeb"/>
              <w:spacing w:before="0" w:beforeAutospacing="0" w:after="0" w:afterAutospacing="0"/>
              <w:rPr>
                <w:sz w:val="22"/>
                <w:szCs w:val="22"/>
                <w:lang w:val="hu-HU"/>
              </w:rPr>
            </w:pPr>
            <w:r>
              <w:rPr>
                <w:sz w:val="22"/>
                <w:szCs w:val="22"/>
                <w:lang w:val="hu-HU"/>
              </w:rPr>
              <w:t>myalgia</w:t>
            </w:r>
          </w:p>
        </w:tc>
        <w:tc>
          <w:tcPr>
            <w:tcW w:w="893" w:type="pct"/>
          </w:tcPr>
          <w:p w14:paraId="3F04EA1A" w14:textId="77777777" w:rsidR="00382B5E" w:rsidRDefault="00BE0CD4">
            <w:pPr>
              <w:pStyle w:val="NormlWeb"/>
              <w:spacing w:before="0" w:beforeAutospacing="0" w:after="0" w:afterAutospacing="0"/>
              <w:rPr>
                <w:sz w:val="22"/>
                <w:szCs w:val="22"/>
                <w:lang w:val="hu-HU"/>
              </w:rPr>
            </w:pPr>
            <w:r>
              <w:rPr>
                <w:sz w:val="22"/>
                <w:szCs w:val="22"/>
                <w:lang w:val="hu-HU"/>
              </w:rPr>
              <w:t>nem gyakori</w:t>
            </w:r>
          </w:p>
        </w:tc>
        <w:tc>
          <w:tcPr>
            <w:tcW w:w="893" w:type="pct"/>
          </w:tcPr>
          <w:p w14:paraId="3A95C87A" w14:textId="77777777" w:rsidR="00382B5E" w:rsidRDefault="00BE0CD4">
            <w:pPr>
              <w:pStyle w:val="Default"/>
              <w:tabs>
                <w:tab w:val="left" w:pos="567"/>
              </w:tabs>
              <w:rPr>
                <w:rFonts w:ascii="Times New Roman" w:hAnsi="Times New Roman" w:cs="Times New Roman"/>
                <w:color w:val="auto"/>
                <w:sz w:val="22"/>
                <w:szCs w:val="22"/>
                <w:lang w:val="hu-HU"/>
              </w:rPr>
            </w:pPr>
            <w:r>
              <w:rPr>
                <w:rFonts w:ascii="Times New Roman" w:hAnsi="Times New Roman" w:cs="Times New Roman"/>
                <w:color w:val="auto"/>
                <w:sz w:val="22"/>
                <w:szCs w:val="22"/>
                <w:lang w:val="hu-HU"/>
              </w:rPr>
              <w:t>nem ismert</w:t>
            </w:r>
          </w:p>
        </w:tc>
      </w:tr>
      <w:tr w:rsidR="00382B5E" w14:paraId="50362713" w14:textId="77777777">
        <w:trPr>
          <w:trHeight w:val="57"/>
        </w:trPr>
        <w:tc>
          <w:tcPr>
            <w:tcW w:w="1566" w:type="pct"/>
            <w:vMerge/>
          </w:tcPr>
          <w:p w14:paraId="61FAE9B1" w14:textId="77777777" w:rsidR="00382B5E" w:rsidRDefault="00382B5E">
            <w:pPr>
              <w:pStyle w:val="Default"/>
              <w:tabs>
                <w:tab w:val="left" w:pos="567"/>
              </w:tabs>
              <w:rPr>
                <w:rFonts w:ascii="Times New Roman" w:hAnsi="Times New Roman" w:cs="Times New Roman"/>
                <w:b/>
                <w:sz w:val="22"/>
                <w:szCs w:val="22"/>
                <w:lang w:val="hu-HU"/>
              </w:rPr>
            </w:pPr>
          </w:p>
        </w:tc>
        <w:tc>
          <w:tcPr>
            <w:tcW w:w="1648" w:type="pct"/>
          </w:tcPr>
          <w:p w14:paraId="71E41D7D" w14:textId="77777777" w:rsidR="00382B5E" w:rsidRDefault="00BE0CD4">
            <w:pPr>
              <w:pStyle w:val="NormlWeb"/>
              <w:spacing w:before="0" w:beforeAutospacing="0" w:after="0" w:afterAutospacing="0"/>
              <w:rPr>
                <w:sz w:val="22"/>
                <w:szCs w:val="22"/>
                <w:lang w:val="hu-HU"/>
              </w:rPr>
            </w:pPr>
            <w:r>
              <w:rPr>
                <w:sz w:val="22"/>
                <w:szCs w:val="22"/>
                <w:lang w:val="hu-HU"/>
              </w:rPr>
              <w:t>arthralgia</w:t>
            </w:r>
          </w:p>
        </w:tc>
        <w:tc>
          <w:tcPr>
            <w:tcW w:w="893" w:type="pct"/>
          </w:tcPr>
          <w:p w14:paraId="574C3DB8" w14:textId="77777777" w:rsidR="00382B5E" w:rsidRDefault="00BE0CD4">
            <w:pPr>
              <w:pStyle w:val="NormlWeb"/>
              <w:spacing w:before="0" w:beforeAutospacing="0" w:after="0" w:afterAutospacing="0"/>
              <w:rPr>
                <w:sz w:val="22"/>
                <w:szCs w:val="22"/>
                <w:lang w:val="hu-HU"/>
              </w:rPr>
            </w:pPr>
            <w:r>
              <w:rPr>
                <w:sz w:val="22"/>
                <w:szCs w:val="22"/>
                <w:lang w:val="hu-HU"/>
              </w:rPr>
              <w:t>nem gyakori</w:t>
            </w:r>
          </w:p>
        </w:tc>
        <w:tc>
          <w:tcPr>
            <w:tcW w:w="893" w:type="pct"/>
          </w:tcPr>
          <w:p w14:paraId="22E898AF" w14:textId="77777777" w:rsidR="00382B5E" w:rsidRDefault="00BE0CD4">
            <w:pPr>
              <w:pStyle w:val="Default"/>
              <w:tabs>
                <w:tab w:val="left" w:pos="567"/>
              </w:tabs>
              <w:rPr>
                <w:rFonts w:ascii="Times New Roman" w:hAnsi="Times New Roman" w:cs="Times New Roman"/>
                <w:color w:val="auto"/>
                <w:sz w:val="22"/>
                <w:szCs w:val="22"/>
                <w:lang w:val="hu-HU"/>
              </w:rPr>
            </w:pPr>
            <w:r>
              <w:rPr>
                <w:rFonts w:ascii="Times New Roman" w:hAnsi="Times New Roman" w:cs="Times New Roman"/>
                <w:color w:val="auto"/>
                <w:sz w:val="22"/>
                <w:szCs w:val="22"/>
                <w:lang w:val="hu-HU"/>
              </w:rPr>
              <w:t>nem ismert</w:t>
            </w:r>
          </w:p>
        </w:tc>
      </w:tr>
      <w:tr w:rsidR="00382B5E" w14:paraId="0150DC85" w14:textId="77777777">
        <w:trPr>
          <w:trHeight w:val="57"/>
        </w:trPr>
        <w:tc>
          <w:tcPr>
            <w:tcW w:w="1566" w:type="pct"/>
            <w:vMerge/>
          </w:tcPr>
          <w:p w14:paraId="4885D1E7" w14:textId="77777777" w:rsidR="00382B5E" w:rsidRDefault="00382B5E">
            <w:pPr>
              <w:pStyle w:val="Default"/>
              <w:tabs>
                <w:tab w:val="left" w:pos="567"/>
              </w:tabs>
              <w:rPr>
                <w:rFonts w:ascii="Times New Roman" w:hAnsi="Times New Roman" w:cs="Times New Roman"/>
                <w:b/>
                <w:sz w:val="22"/>
                <w:szCs w:val="22"/>
                <w:lang w:val="hu-HU"/>
              </w:rPr>
            </w:pPr>
          </w:p>
        </w:tc>
        <w:tc>
          <w:tcPr>
            <w:tcW w:w="1648" w:type="pct"/>
          </w:tcPr>
          <w:p w14:paraId="50D26821" w14:textId="77777777" w:rsidR="00382B5E" w:rsidRDefault="00BE0CD4">
            <w:pPr>
              <w:pStyle w:val="NormlWeb"/>
              <w:spacing w:before="0" w:beforeAutospacing="0" w:after="0" w:afterAutospacing="0"/>
              <w:rPr>
                <w:sz w:val="22"/>
                <w:szCs w:val="22"/>
                <w:lang w:val="hu-HU"/>
              </w:rPr>
            </w:pPr>
            <w:r>
              <w:rPr>
                <w:sz w:val="22"/>
                <w:szCs w:val="22"/>
                <w:lang w:val="hu-HU"/>
              </w:rPr>
              <w:t>rhabdomyolysis</w:t>
            </w:r>
          </w:p>
        </w:tc>
        <w:tc>
          <w:tcPr>
            <w:tcW w:w="893" w:type="pct"/>
          </w:tcPr>
          <w:p w14:paraId="32F19254" w14:textId="77777777" w:rsidR="00382B5E" w:rsidRDefault="00BE0CD4">
            <w:pPr>
              <w:pStyle w:val="NormlWeb"/>
              <w:spacing w:before="0" w:beforeAutospacing="0" w:after="0" w:afterAutospacing="0"/>
              <w:rPr>
                <w:sz w:val="22"/>
                <w:szCs w:val="22"/>
                <w:lang w:val="hu-HU"/>
              </w:rPr>
            </w:pPr>
            <w:r>
              <w:rPr>
                <w:sz w:val="22"/>
                <w:szCs w:val="22"/>
                <w:lang w:val="hu-HU"/>
              </w:rPr>
              <w:t>-</w:t>
            </w:r>
          </w:p>
        </w:tc>
        <w:tc>
          <w:tcPr>
            <w:tcW w:w="893" w:type="pct"/>
          </w:tcPr>
          <w:p w14:paraId="78878045" w14:textId="77777777" w:rsidR="00382B5E" w:rsidRDefault="00BE0CD4">
            <w:pPr>
              <w:pStyle w:val="Default"/>
              <w:tabs>
                <w:tab w:val="left" w:pos="567"/>
              </w:tabs>
              <w:rPr>
                <w:rFonts w:ascii="Times New Roman" w:hAnsi="Times New Roman" w:cs="Times New Roman"/>
                <w:color w:val="auto"/>
                <w:sz w:val="22"/>
                <w:szCs w:val="22"/>
                <w:lang w:val="hu-HU"/>
              </w:rPr>
            </w:pPr>
            <w:r>
              <w:rPr>
                <w:rFonts w:ascii="Times New Roman" w:hAnsi="Times New Roman" w:cs="Times New Roman"/>
                <w:color w:val="auto"/>
                <w:sz w:val="22"/>
                <w:szCs w:val="22"/>
                <w:lang w:val="hu-HU"/>
              </w:rPr>
              <w:t>nem ismert</w:t>
            </w:r>
          </w:p>
        </w:tc>
      </w:tr>
      <w:tr w:rsidR="00382B5E" w14:paraId="3AFF8CEC" w14:textId="77777777">
        <w:trPr>
          <w:trHeight w:val="57"/>
        </w:trPr>
        <w:tc>
          <w:tcPr>
            <w:tcW w:w="1566" w:type="pct"/>
            <w:vMerge/>
          </w:tcPr>
          <w:p w14:paraId="16287AC3" w14:textId="77777777" w:rsidR="00382B5E" w:rsidRDefault="00382B5E">
            <w:pPr>
              <w:pStyle w:val="Default"/>
              <w:tabs>
                <w:tab w:val="left" w:pos="567"/>
              </w:tabs>
              <w:rPr>
                <w:rFonts w:ascii="Times New Roman" w:hAnsi="Times New Roman" w:cs="Times New Roman"/>
                <w:b/>
                <w:sz w:val="22"/>
                <w:szCs w:val="22"/>
                <w:lang w:val="hu-HU"/>
              </w:rPr>
            </w:pPr>
          </w:p>
        </w:tc>
        <w:tc>
          <w:tcPr>
            <w:tcW w:w="1648" w:type="pct"/>
          </w:tcPr>
          <w:p w14:paraId="29FA5745" w14:textId="77777777" w:rsidR="00382B5E" w:rsidRDefault="00BE0CD4">
            <w:pPr>
              <w:pStyle w:val="NormlWeb"/>
              <w:spacing w:before="0" w:beforeAutospacing="0" w:after="0" w:afterAutospacing="0"/>
              <w:rPr>
                <w:sz w:val="22"/>
                <w:szCs w:val="22"/>
                <w:lang w:val="hu-HU"/>
              </w:rPr>
            </w:pPr>
            <w:r>
              <w:rPr>
                <w:sz w:val="22"/>
                <w:szCs w:val="22"/>
                <w:lang w:val="hu-HU"/>
              </w:rPr>
              <w:t>hátfájás</w:t>
            </w:r>
          </w:p>
        </w:tc>
        <w:tc>
          <w:tcPr>
            <w:tcW w:w="893" w:type="pct"/>
          </w:tcPr>
          <w:p w14:paraId="03F2BB8A" w14:textId="77777777" w:rsidR="00382B5E" w:rsidRDefault="00BE0CD4">
            <w:pPr>
              <w:pStyle w:val="NormlWeb"/>
              <w:spacing w:before="0" w:beforeAutospacing="0" w:after="0" w:afterAutospacing="0"/>
              <w:rPr>
                <w:sz w:val="22"/>
                <w:szCs w:val="22"/>
                <w:lang w:val="hu-HU"/>
              </w:rPr>
            </w:pPr>
            <w:r>
              <w:rPr>
                <w:sz w:val="22"/>
                <w:szCs w:val="22"/>
                <w:lang w:val="hu-HU"/>
              </w:rPr>
              <w:t>nem gyakori</w:t>
            </w:r>
          </w:p>
        </w:tc>
        <w:tc>
          <w:tcPr>
            <w:tcW w:w="893" w:type="pct"/>
          </w:tcPr>
          <w:p w14:paraId="12114137" w14:textId="77777777" w:rsidR="00382B5E" w:rsidRDefault="00BE0CD4">
            <w:pPr>
              <w:pStyle w:val="Default"/>
              <w:tabs>
                <w:tab w:val="left" w:pos="567"/>
              </w:tabs>
              <w:rPr>
                <w:rFonts w:ascii="Times New Roman" w:hAnsi="Times New Roman" w:cs="Times New Roman"/>
                <w:color w:val="auto"/>
                <w:sz w:val="22"/>
                <w:szCs w:val="22"/>
                <w:lang w:val="hu-HU"/>
              </w:rPr>
            </w:pPr>
            <w:r>
              <w:rPr>
                <w:rFonts w:ascii="Times New Roman" w:hAnsi="Times New Roman" w:cs="Times New Roman"/>
                <w:color w:val="auto"/>
                <w:sz w:val="22"/>
                <w:szCs w:val="22"/>
                <w:lang w:val="hu-HU"/>
              </w:rPr>
              <w:t>nem ismert</w:t>
            </w:r>
          </w:p>
        </w:tc>
      </w:tr>
      <w:tr w:rsidR="00382B5E" w14:paraId="23403FA4" w14:textId="77777777">
        <w:trPr>
          <w:trHeight w:val="57"/>
        </w:trPr>
        <w:tc>
          <w:tcPr>
            <w:tcW w:w="1566" w:type="pct"/>
          </w:tcPr>
          <w:p w14:paraId="78CE02D3" w14:textId="77777777" w:rsidR="00382B5E" w:rsidRDefault="00BE0CD4">
            <w:pPr>
              <w:pStyle w:val="NormlWeb"/>
              <w:keepNext/>
              <w:spacing w:before="0" w:beforeAutospacing="0" w:after="0" w:afterAutospacing="0"/>
              <w:rPr>
                <w:b/>
                <w:sz w:val="22"/>
                <w:szCs w:val="22"/>
                <w:lang w:val="hu-HU"/>
              </w:rPr>
            </w:pPr>
            <w:r>
              <w:rPr>
                <w:b/>
                <w:sz w:val="22"/>
                <w:szCs w:val="22"/>
                <w:lang w:val="hu-HU"/>
              </w:rPr>
              <w:t>Vese- és húgyúti betegségek és tünetek</w:t>
            </w:r>
          </w:p>
        </w:tc>
        <w:tc>
          <w:tcPr>
            <w:tcW w:w="1648" w:type="pct"/>
          </w:tcPr>
          <w:p w14:paraId="124F4CF2" w14:textId="77777777" w:rsidR="00382B5E" w:rsidRDefault="00BE0CD4">
            <w:pPr>
              <w:pStyle w:val="NormlWeb"/>
              <w:keepNext/>
              <w:spacing w:before="0" w:beforeAutospacing="0" w:after="0" w:afterAutospacing="0"/>
              <w:rPr>
                <w:sz w:val="22"/>
                <w:szCs w:val="22"/>
                <w:lang w:val="hu-HU"/>
              </w:rPr>
            </w:pPr>
            <w:r>
              <w:rPr>
                <w:sz w:val="22"/>
                <w:szCs w:val="22"/>
                <w:lang w:val="hu-HU"/>
              </w:rPr>
              <w:t>vizeletürítési zavarok, nocturia, gyakoribb vizeletürítés</w:t>
            </w:r>
          </w:p>
        </w:tc>
        <w:tc>
          <w:tcPr>
            <w:tcW w:w="893" w:type="pct"/>
          </w:tcPr>
          <w:p w14:paraId="07478FCC" w14:textId="77777777" w:rsidR="00382B5E" w:rsidRDefault="00BE0CD4">
            <w:pPr>
              <w:pStyle w:val="NormlWeb"/>
              <w:keepNext/>
              <w:spacing w:before="0" w:beforeAutospacing="0" w:after="0" w:afterAutospacing="0"/>
              <w:rPr>
                <w:sz w:val="22"/>
                <w:szCs w:val="22"/>
                <w:lang w:val="hu-HU"/>
              </w:rPr>
            </w:pPr>
            <w:r>
              <w:rPr>
                <w:sz w:val="22"/>
                <w:szCs w:val="22"/>
                <w:lang w:val="hu-HU"/>
              </w:rPr>
              <w:t>nem gyakori</w:t>
            </w:r>
          </w:p>
        </w:tc>
        <w:tc>
          <w:tcPr>
            <w:tcW w:w="893" w:type="pct"/>
          </w:tcPr>
          <w:p w14:paraId="5F643B35" w14:textId="77777777" w:rsidR="00382B5E" w:rsidRDefault="00BE0CD4">
            <w:pPr>
              <w:keepNext/>
              <w:rPr>
                <w:sz w:val="22"/>
                <w:szCs w:val="22"/>
              </w:rPr>
            </w:pPr>
            <w:r>
              <w:rPr>
                <w:sz w:val="22"/>
                <w:szCs w:val="22"/>
              </w:rPr>
              <w:t>-</w:t>
            </w:r>
          </w:p>
        </w:tc>
      </w:tr>
      <w:tr w:rsidR="00382B5E" w14:paraId="1AA11E31" w14:textId="77777777">
        <w:trPr>
          <w:trHeight w:val="57"/>
        </w:trPr>
        <w:tc>
          <w:tcPr>
            <w:tcW w:w="1566" w:type="pct"/>
            <w:vMerge w:val="restart"/>
          </w:tcPr>
          <w:p w14:paraId="72D632D1" w14:textId="77777777" w:rsidR="00382B5E" w:rsidRDefault="00BE0CD4">
            <w:pPr>
              <w:pStyle w:val="Default"/>
              <w:tabs>
                <w:tab w:val="left" w:pos="567"/>
              </w:tabs>
              <w:rPr>
                <w:rFonts w:ascii="Times New Roman" w:hAnsi="Times New Roman" w:cs="Times New Roman"/>
                <w:b/>
                <w:sz w:val="22"/>
                <w:szCs w:val="22"/>
                <w:lang w:val="hu-HU"/>
              </w:rPr>
            </w:pPr>
            <w:r>
              <w:rPr>
                <w:rFonts w:ascii="Times New Roman" w:hAnsi="Times New Roman" w:cs="Times New Roman"/>
                <w:b/>
                <w:sz w:val="22"/>
                <w:szCs w:val="22"/>
                <w:lang w:val="hu-HU"/>
              </w:rPr>
              <w:t>A nemi szervekkel és az emlőkkel kapcsolatos betegségek és tünetek</w:t>
            </w:r>
          </w:p>
        </w:tc>
        <w:tc>
          <w:tcPr>
            <w:tcW w:w="1648" w:type="pct"/>
          </w:tcPr>
          <w:p w14:paraId="1E687DA1" w14:textId="77777777" w:rsidR="00382B5E" w:rsidRDefault="00BE0CD4">
            <w:pPr>
              <w:pStyle w:val="Default"/>
              <w:tabs>
                <w:tab w:val="left" w:pos="567"/>
              </w:tabs>
              <w:rPr>
                <w:rFonts w:ascii="Times New Roman" w:hAnsi="Times New Roman" w:cs="Times New Roman"/>
                <w:iCs/>
                <w:color w:val="auto"/>
                <w:sz w:val="22"/>
                <w:szCs w:val="22"/>
                <w:lang w:val="hu-HU"/>
              </w:rPr>
            </w:pPr>
            <w:r>
              <w:rPr>
                <w:rFonts w:ascii="Times New Roman" w:hAnsi="Times New Roman" w:cs="Times New Roman"/>
                <w:iCs/>
                <w:color w:val="auto"/>
                <w:sz w:val="22"/>
                <w:szCs w:val="22"/>
                <w:lang w:val="hu-HU"/>
              </w:rPr>
              <w:t>erectilis dysfunctio/ impotencia</w:t>
            </w:r>
          </w:p>
        </w:tc>
        <w:tc>
          <w:tcPr>
            <w:tcW w:w="893" w:type="pct"/>
          </w:tcPr>
          <w:p w14:paraId="29A84D26" w14:textId="77777777" w:rsidR="00382B5E" w:rsidRDefault="00BE0CD4">
            <w:pPr>
              <w:pStyle w:val="NormlWeb"/>
              <w:spacing w:before="0" w:beforeAutospacing="0" w:after="0" w:afterAutospacing="0"/>
              <w:rPr>
                <w:sz w:val="22"/>
                <w:szCs w:val="22"/>
                <w:lang w:val="hu-HU"/>
              </w:rPr>
            </w:pPr>
            <w:r>
              <w:rPr>
                <w:sz w:val="22"/>
                <w:szCs w:val="22"/>
                <w:lang w:val="hu-HU"/>
              </w:rPr>
              <w:t>nem gyakori</w:t>
            </w:r>
          </w:p>
        </w:tc>
        <w:tc>
          <w:tcPr>
            <w:tcW w:w="893" w:type="pct"/>
          </w:tcPr>
          <w:p w14:paraId="38A48578" w14:textId="77777777" w:rsidR="00382B5E" w:rsidRDefault="00BE0CD4">
            <w:pPr>
              <w:pStyle w:val="Default"/>
              <w:tabs>
                <w:tab w:val="left" w:pos="567"/>
              </w:tabs>
              <w:rPr>
                <w:rFonts w:ascii="Times New Roman" w:hAnsi="Times New Roman" w:cs="Times New Roman"/>
                <w:color w:val="auto"/>
                <w:sz w:val="22"/>
                <w:szCs w:val="22"/>
                <w:lang w:val="hu-HU"/>
              </w:rPr>
            </w:pPr>
            <w:r>
              <w:rPr>
                <w:rFonts w:ascii="Times New Roman" w:hAnsi="Times New Roman" w:cs="Times New Roman"/>
                <w:sz w:val="22"/>
                <w:szCs w:val="22"/>
                <w:lang w:val="hu-HU"/>
              </w:rPr>
              <w:t>nem ismert</w:t>
            </w:r>
          </w:p>
        </w:tc>
      </w:tr>
      <w:tr w:rsidR="00382B5E" w14:paraId="0F474E10" w14:textId="77777777">
        <w:trPr>
          <w:trHeight w:val="57"/>
        </w:trPr>
        <w:tc>
          <w:tcPr>
            <w:tcW w:w="1566" w:type="pct"/>
            <w:vMerge/>
          </w:tcPr>
          <w:p w14:paraId="32101039" w14:textId="77777777" w:rsidR="00382B5E" w:rsidRDefault="00382B5E">
            <w:pPr>
              <w:pStyle w:val="Default"/>
              <w:tabs>
                <w:tab w:val="left" w:pos="567"/>
              </w:tabs>
              <w:rPr>
                <w:rFonts w:ascii="Times New Roman" w:hAnsi="Times New Roman" w:cs="Times New Roman"/>
                <w:b/>
                <w:sz w:val="22"/>
                <w:szCs w:val="22"/>
                <w:lang w:val="hu-HU"/>
              </w:rPr>
            </w:pPr>
          </w:p>
        </w:tc>
        <w:tc>
          <w:tcPr>
            <w:tcW w:w="1648" w:type="pct"/>
          </w:tcPr>
          <w:p w14:paraId="2D4B2D0E" w14:textId="77777777" w:rsidR="00382B5E" w:rsidRDefault="00BE0CD4">
            <w:pPr>
              <w:pStyle w:val="NormlWeb"/>
              <w:spacing w:before="0" w:beforeAutospacing="0" w:after="0" w:afterAutospacing="0"/>
              <w:rPr>
                <w:sz w:val="22"/>
                <w:szCs w:val="22"/>
                <w:lang w:val="hu-HU"/>
              </w:rPr>
            </w:pPr>
            <w:r>
              <w:rPr>
                <w:sz w:val="22"/>
                <w:szCs w:val="22"/>
                <w:lang w:val="hu-HU"/>
              </w:rPr>
              <w:t>gynaecomastia</w:t>
            </w:r>
          </w:p>
        </w:tc>
        <w:tc>
          <w:tcPr>
            <w:tcW w:w="893" w:type="pct"/>
          </w:tcPr>
          <w:p w14:paraId="380C3D77" w14:textId="77777777" w:rsidR="00382B5E" w:rsidRDefault="00BE0CD4">
            <w:pPr>
              <w:pStyle w:val="NormlWeb"/>
              <w:spacing w:before="0" w:beforeAutospacing="0" w:after="0" w:afterAutospacing="0"/>
              <w:rPr>
                <w:sz w:val="22"/>
                <w:szCs w:val="22"/>
                <w:lang w:val="hu-HU"/>
              </w:rPr>
            </w:pPr>
            <w:r>
              <w:rPr>
                <w:sz w:val="22"/>
                <w:szCs w:val="22"/>
                <w:lang w:val="hu-HU"/>
              </w:rPr>
              <w:t>nem gyakori</w:t>
            </w:r>
          </w:p>
        </w:tc>
        <w:tc>
          <w:tcPr>
            <w:tcW w:w="893" w:type="pct"/>
          </w:tcPr>
          <w:p w14:paraId="489ECDBB" w14:textId="77777777" w:rsidR="00382B5E" w:rsidRDefault="00BE0CD4">
            <w:pPr>
              <w:rPr>
                <w:sz w:val="22"/>
                <w:szCs w:val="22"/>
              </w:rPr>
            </w:pPr>
            <w:r>
              <w:rPr>
                <w:sz w:val="22"/>
                <w:szCs w:val="22"/>
              </w:rPr>
              <w:t>-</w:t>
            </w:r>
          </w:p>
        </w:tc>
      </w:tr>
      <w:tr w:rsidR="00382B5E" w14:paraId="130F43C5" w14:textId="77777777">
        <w:trPr>
          <w:trHeight w:val="57"/>
        </w:trPr>
        <w:tc>
          <w:tcPr>
            <w:tcW w:w="1566" w:type="pct"/>
            <w:vMerge w:val="restart"/>
          </w:tcPr>
          <w:p w14:paraId="3D8A6818" w14:textId="77777777" w:rsidR="00382B5E" w:rsidRDefault="00BE0CD4">
            <w:pPr>
              <w:rPr>
                <w:b/>
                <w:sz w:val="22"/>
                <w:szCs w:val="22"/>
              </w:rPr>
            </w:pPr>
            <w:r>
              <w:rPr>
                <w:b/>
                <w:sz w:val="22"/>
                <w:szCs w:val="22"/>
              </w:rPr>
              <w:t>Általános tünetek, az alkalmazás helyén fellépő reakciók</w:t>
            </w:r>
          </w:p>
        </w:tc>
        <w:tc>
          <w:tcPr>
            <w:tcW w:w="1648" w:type="pct"/>
          </w:tcPr>
          <w:p w14:paraId="01C847F9" w14:textId="77777777" w:rsidR="00382B5E" w:rsidRDefault="00BE0CD4">
            <w:pPr>
              <w:pStyle w:val="Default"/>
              <w:tabs>
                <w:tab w:val="left" w:pos="567"/>
              </w:tabs>
              <w:rPr>
                <w:rFonts w:ascii="Times New Roman" w:hAnsi="Times New Roman" w:cs="Times New Roman"/>
                <w:color w:val="auto"/>
                <w:sz w:val="22"/>
                <w:szCs w:val="22"/>
                <w:lang w:val="hu-HU"/>
              </w:rPr>
            </w:pPr>
            <w:r>
              <w:rPr>
                <w:rFonts w:ascii="Times New Roman" w:hAnsi="Times New Roman" w:cs="Times New Roman"/>
                <w:color w:val="auto"/>
                <w:sz w:val="22"/>
                <w:szCs w:val="22"/>
                <w:lang w:val="hu-HU"/>
              </w:rPr>
              <w:t>kimerültség</w:t>
            </w:r>
          </w:p>
        </w:tc>
        <w:tc>
          <w:tcPr>
            <w:tcW w:w="893" w:type="pct"/>
          </w:tcPr>
          <w:p w14:paraId="7B7DDA78" w14:textId="77777777" w:rsidR="00382B5E" w:rsidRDefault="00BE0CD4">
            <w:pPr>
              <w:pStyle w:val="NormlWeb"/>
              <w:spacing w:before="0" w:beforeAutospacing="0" w:after="0" w:afterAutospacing="0"/>
              <w:rPr>
                <w:sz w:val="22"/>
                <w:szCs w:val="22"/>
                <w:lang w:val="hu-HU"/>
              </w:rPr>
            </w:pPr>
            <w:r>
              <w:rPr>
                <w:sz w:val="22"/>
                <w:szCs w:val="22"/>
                <w:lang w:val="hu-HU"/>
              </w:rPr>
              <w:t>gyakori</w:t>
            </w:r>
          </w:p>
        </w:tc>
        <w:tc>
          <w:tcPr>
            <w:tcW w:w="893" w:type="pct"/>
          </w:tcPr>
          <w:p w14:paraId="26332496" w14:textId="77777777" w:rsidR="00382B5E" w:rsidRDefault="00BE0CD4">
            <w:pPr>
              <w:pStyle w:val="Default"/>
              <w:tabs>
                <w:tab w:val="left" w:pos="567"/>
              </w:tabs>
              <w:rPr>
                <w:rFonts w:ascii="Times New Roman" w:hAnsi="Times New Roman" w:cs="Times New Roman"/>
                <w:color w:val="auto"/>
                <w:sz w:val="22"/>
                <w:szCs w:val="22"/>
                <w:lang w:val="hu-HU"/>
              </w:rPr>
            </w:pPr>
            <w:r>
              <w:rPr>
                <w:rFonts w:ascii="Times New Roman" w:hAnsi="Times New Roman" w:cs="Times New Roman"/>
                <w:color w:val="auto"/>
                <w:sz w:val="22"/>
                <w:szCs w:val="22"/>
                <w:lang w:val="hu-HU"/>
              </w:rPr>
              <w:t>nem gyakori</w:t>
            </w:r>
          </w:p>
        </w:tc>
      </w:tr>
      <w:tr w:rsidR="00382B5E" w14:paraId="4F146D6D" w14:textId="77777777">
        <w:trPr>
          <w:trHeight w:val="57"/>
        </w:trPr>
        <w:tc>
          <w:tcPr>
            <w:tcW w:w="1566" w:type="pct"/>
            <w:vMerge/>
          </w:tcPr>
          <w:p w14:paraId="4BA795A9" w14:textId="77777777" w:rsidR="00382B5E" w:rsidRDefault="00382B5E">
            <w:pPr>
              <w:pStyle w:val="Default"/>
              <w:keepNext/>
              <w:tabs>
                <w:tab w:val="left" w:pos="567"/>
              </w:tabs>
              <w:rPr>
                <w:rFonts w:ascii="Times New Roman" w:hAnsi="Times New Roman" w:cs="Times New Roman"/>
                <w:b/>
                <w:color w:val="auto"/>
                <w:sz w:val="22"/>
                <w:szCs w:val="22"/>
                <w:lang w:val="hu-HU"/>
              </w:rPr>
            </w:pPr>
          </w:p>
        </w:tc>
        <w:tc>
          <w:tcPr>
            <w:tcW w:w="1648" w:type="pct"/>
          </w:tcPr>
          <w:p w14:paraId="77255DF7" w14:textId="77777777" w:rsidR="00382B5E" w:rsidRDefault="00BE0CD4">
            <w:pPr>
              <w:pStyle w:val="Default"/>
              <w:tabs>
                <w:tab w:val="left" w:pos="567"/>
              </w:tabs>
              <w:rPr>
                <w:rFonts w:ascii="Times New Roman" w:hAnsi="Times New Roman" w:cs="Times New Roman"/>
                <w:color w:val="auto"/>
                <w:sz w:val="22"/>
                <w:szCs w:val="22"/>
                <w:lang w:val="hu-HU"/>
              </w:rPr>
            </w:pPr>
            <w:r>
              <w:rPr>
                <w:rFonts w:ascii="Times New Roman" w:hAnsi="Times New Roman" w:cs="Times New Roman"/>
                <w:color w:val="auto"/>
                <w:sz w:val="22"/>
                <w:szCs w:val="22"/>
                <w:lang w:val="hu-HU"/>
              </w:rPr>
              <w:t>ödéma</w:t>
            </w:r>
          </w:p>
        </w:tc>
        <w:tc>
          <w:tcPr>
            <w:tcW w:w="893" w:type="pct"/>
          </w:tcPr>
          <w:p w14:paraId="6F92CA4F" w14:textId="77777777" w:rsidR="00382B5E" w:rsidRDefault="00BE0CD4">
            <w:pPr>
              <w:pStyle w:val="NormlWeb"/>
              <w:spacing w:before="0" w:beforeAutospacing="0" w:after="0" w:afterAutospacing="0"/>
              <w:rPr>
                <w:sz w:val="22"/>
                <w:szCs w:val="22"/>
                <w:lang w:val="hu-HU"/>
              </w:rPr>
            </w:pPr>
            <w:r>
              <w:rPr>
                <w:sz w:val="22"/>
                <w:szCs w:val="22"/>
                <w:lang w:val="hu-HU"/>
              </w:rPr>
              <w:t>nagyon gyakori</w:t>
            </w:r>
          </w:p>
        </w:tc>
        <w:tc>
          <w:tcPr>
            <w:tcW w:w="893" w:type="pct"/>
          </w:tcPr>
          <w:p w14:paraId="6D682305" w14:textId="77777777" w:rsidR="00382B5E" w:rsidRDefault="00BE0CD4">
            <w:pPr>
              <w:pStyle w:val="Default"/>
              <w:tabs>
                <w:tab w:val="left" w:pos="567"/>
              </w:tabs>
              <w:rPr>
                <w:rFonts w:ascii="Times New Roman" w:hAnsi="Times New Roman" w:cs="Times New Roman"/>
                <w:color w:val="auto"/>
                <w:sz w:val="22"/>
                <w:szCs w:val="22"/>
                <w:lang w:val="hu-HU"/>
              </w:rPr>
            </w:pPr>
            <w:r>
              <w:rPr>
                <w:rFonts w:ascii="Times New Roman" w:hAnsi="Times New Roman" w:cs="Times New Roman"/>
                <w:color w:val="auto"/>
                <w:sz w:val="22"/>
                <w:szCs w:val="22"/>
                <w:lang w:val="hu-HU"/>
              </w:rPr>
              <w:t>nem gyakori</w:t>
            </w:r>
          </w:p>
        </w:tc>
      </w:tr>
      <w:tr w:rsidR="00382B5E" w14:paraId="189B33FB" w14:textId="77777777">
        <w:trPr>
          <w:trHeight w:val="57"/>
        </w:trPr>
        <w:tc>
          <w:tcPr>
            <w:tcW w:w="1566" w:type="pct"/>
            <w:vMerge/>
          </w:tcPr>
          <w:p w14:paraId="5DB6DD1E" w14:textId="77777777" w:rsidR="00382B5E" w:rsidRDefault="00382B5E">
            <w:pPr>
              <w:pStyle w:val="Default"/>
              <w:keepNext/>
              <w:tabs>
                <w:tab w:val="left" w:pos="567"/>
              </w:tabs>
              <w:rPr>
                <w:rFonts w:ascii="Times New Roman" w:hAnsi="Times New Roman" w:cs="Times New Roman"/>
                <w:b/>
                <w:color w:val="auto"/>
                <w:sz w:val="22"/>
                <w:szCs w:val="22"/>
                <w:lang w:val="hu-HU"/>
              </w:rPr>
            </w:pPr>
          </w:p>
        </w:tc>
        <w:tc>
          <w:tcPr>
            <w:tcW w:w="1648" w:type="pct"/>
          </w:tcPr>
          <w:p w14:paraId="4B4D9EAA" w14:textId="77777777" w:rsidR="00382B5E" w:rsidRDefault="00BE0CD4">
            <w:pPr>
              <w:pStyle w:val="Default"/>
              <w:tabs>
                <w:tab w:val="left" w:pos="567"/>
              </w:tabs>
              <w:rPr>
                <w:rFonts w:ascii="Times New Roman" w:hAnsi="Times New Roman" w:cs="Times New Roman"/>
                <w:color w:val="auto"/>
                <w:sz w:val="22"/>
                <w:szCs w:val="22"/>
                <w:lang w:val="hu-HU"/>
              </w:rPr>
            </w:pPr>
            <w:r>
              <w:rPr>
                <w:rFonts w:ascii="Times New Roman" w:hAnsi="Times New Roman" w:cs="Times New Roman"/>
                <w:color w:val="auto"/>
                <w:sz w:val="22"/>
                <w:szCs w:val="22"/>
                <w:lang w:val="hu-HU"/>
              </w:rPr>
              <w:t>asthenia</w:t>
            </w:r>
          </w:p>
        </w:tc>
        <w:tc>
          <w:tcPr>
            <w:tcW w:w="893" w:type="pct"/>
          </w:tcPr>
          <w:p w14:paraId="7BCCC6A2" w14:textId="77777777" w:rsidR="00382B5E" w:rsidRDefault="00BE0CD4">
            <w:pPr>
              <w:pStyle w:val="NormlWeb"/>
              <w:spacing w:before="0" w:beforeAutospacing="0" w:after="0" w:afterAutospacing="0"/>
              <w:rPr>
                <w:sz w:val="22"/>
                <w:szCs w:val="22"/>
                <w:lang w:val="hu-HU"/>
              </w:rPr>
            </w:pPr>
            <w:r>
              <w:rPr>
                <w:sz w:val="22"/>
                <w:szCs w:val="22"/>
                <w:lang w:val="hu-HU"/>
              </w:rPr>
              <w:t>gyakori</w:t>
            </w:r>
          </w:p>
        </w:tc>
        <w:tc>
          <w:tcPr>
            <w:tcW w:w="893" w:type="pct"/>
          </w:tcPr>
          <w:p w14:paraId="79ED1DBF" w14:textId="77777777" w:rsidR="00382B5E" w:rsidRDefault="00BE0CD4">
            <w:pPr>
              <w:pStyle w:val="Default"/>
              <w:tabs>
                <w:tab w:val="left" w:pos="567"/>
              </w:tabs>
              <w:rPr>
                <w:rFonts w:ascii="Times New Roman" w:hAnsi="Times New Roman" w:cs="Times New Roman"/>
                <w:color w:val="auto"/>
                <w:sz w:val="22"/>
                <w:szCs w:val="22"/>
                <w:lang w:val="hu-HU"/>
              </w:rPr>
            </w:pPr>
            <w:r>
              <w:rPr>
                <w:rFonts w:ascii="Times New Roman" w:hAnsi="Times New Roman" w:cs="Times New Roman"/>
                <w:color w:val="auto"/>
                <w:sz w:val="22"/>
                <w:szCs w:val="22"/>
                <w:lang w:val="hu-HU"/>
              </w:rPr>
              <w:t>nem gyakori</w:t>
            </w:r>
          </w:p>
        </w:tc>
      </w:tr>
      <w:tr w:rsidR="00382B5E" w14:paraId="07C9FDF3" w14:textId="77777777">
        <w:trPr>
          <w:trHeight w:val="57"/>
        </w:trPr>
        <w:tc>
          <w:tcPr>
            <w:tcW w:w="1566" w:type="pct"/>
            <w:vMerge/>
          </w:tcPr>
          <w:p w14:paraId="1525E6F3" w14:textId="77777777" w:rsidR="00382B5E" w:rsidRDefault="00382B5E">
            <w:pPr>
              <w:pStyle w:val="Default"/>
              <w:tabs>
                <w:tab w:val="left" w:pos="567"/>
              </w:tabs>
              <w:rPr>
                <w:rFonts w:ascii="Times New Roman" w:hAnsi="Times New Roman" w:cs="Times New Roman"/>
                <w:b/>
                <w:sz w:val="22"/>
                <w:szCs w:val="22"/>
                <w:lang w:val="hu-HU"/>
              </w:rPr>
            </w:pPr>
          </w:p>
        </w:tc>
        <w:tc>
          <w:tcPr>
            <w:tcW w:w="1648" w:type="pct"/>
          </w:tcPr>
          <w:p w14:paraId="6A19A5AF" w14:textId="77777777" w:rsidR="00382B5E" w:rsidRDefault="00BE0CD4">
            <w:pPr>
              <w:pStyle w:val="Default"/>
              <w:tabs>
                <w:tab w:val="left" w:pos="567"/>
              </w:tabs>
              <w:rPr>
                <w:rFonts w:ascii="Times New Roman" w:hAnsi="Times New Roman" w:cs="Times New Roman"/>
                <w:color w:val="auto"/>
                <w:sz w:val="22"/>
                <w:szCs w:val="22"/>
                <w:lang w:val="hu-HU"/>
              </w:rPr>
            </w:pPr>
            <w:r>
              <w:rPr>
                <w:rFonts w:ascii="Times New Roman" w:hAnsi="Times New Roman" w:cs="Times New Roman"/>
                <w:color w:val="auto"/>
                <w:sz w:val="22"/>
                <w:szCs w:val="22"/>
                <w:lang w:val="hu-HU"/>
              </w:rPr>
              <w:t>rossz közérzet</w:t>
            </w:r>
          </w:p>
        </w:tc>
        <w:tc>
          <w:tcPr>
            <w:tcW w:w="893" w:type="pct"/>
          </w:tcPr>
          <w:p w14:paraId="74F60742" w14:textId="77777777" w:rsidR="00382B5E" w:rsidRDefault="00BE0CD4">
            <w:pPr>
              <w:pStyle w:val="NormlWeb"/>
              <w:spacing w:before="0" w:beforeAutospacing="0" w:after="0" w:afterAutospacing="0"/>
              <w:rPr>
                <w:sz w:val="22"/>
                <w:szCs w:val="22"/>
                <w:lang w:val="hu-HU"/>
              </w:rPr>
            </w:pPr>
            <w:r>
              <w:rPr>
                <w:sz w:val="22"/>
                <w:szCs w:val="22"/>
                <w:lang w:val="hu-HU"/>
              </w:rPr>
              <w:t>nem gyakori</w:t>
            </w:r>
          </w:p>
        </w:tc>
        <w:tc>
          <w:tcPr>
            <w:tcW w:w="893" w:type="pct"/>
          </w:tcPr>
          <w:p w14:paraId="1D816345" w14:textId="77777777" w:rsidR="00382B5E" w:rsidRDefault="00BE0CD4">
            <w:pPr>
              <w:pStyle w:val="Default"/>
              <w:tabs>
                <w:tab w:val="left" w:pos="567"/>
              </w:tabs>
              <w:rPr>
                <w:rFonts w:ascii="Times New Roman" w:hAnsi="Times New Roman" w:cs="Times New Roman"/>
                <w:color w:val="auto"/>
                <w:sz w:val="22"/>
                <w:szCs w:val="22"/>
                <w:lang w:val="hu-HU"/>
              </w:rPr>
            </w:pPr>
            <w:r>
              <w:rPr>
                <w:rFonts w:ascii="Times New Roman" w:hAnsi="Times New Roman" w:cs="Times New Roman"/>
                <w:color w:val="auto"/>
                <w:sz w:val="22"/>
                <w:szCs w:val="22"/>
                <w:lang w:val="hu-HU"/>
              </w:rPr>
              <w:t>nem ismert</w:t>
            </w:r>
          </w:p>
        </w:tc>
      </w:tr>
      <w:tr w:rsidR="00382B5E" w14:paraId="1F155512" w14:textId="77777777">
        <w:trPr>
          <w:trHeight w:val="57"/>
        </w:trPr>
        <w:tc>
          <w:tcPr>
            <w:tcW w:w="1566" w:type="pct"/>
            <w:vMerge/>
          </w:tcPr>
          <w:p w14:paraId="6B200960" w14:textId="77777777" w:rsidR="00382B5E" w:rsidRDefault="00382B5E">
            <w:pPr>
              <w:pStyle w:val="Default"/>
              <w:tabs>
                <w:tab w:val="left" w:pos="567"/>
              </w:tabs>
              <w:rPr>
                <w:rFonts w:ascii="Times New Roman" w:hAnsi="Times New Roman" w:cs="Times New Roman"/>
                <w:b/>
                <w:sz w:val="22"/>
                <w:szCs w:val="22"/>
                <w:lang w:val="hu-HU"/>
              </w:rPr>
            </w:pPr>
          </w:p>
        </w:tc>
        <w:tc>
          <w:tcPr>
            <w:tcW w:w="1648" w:type="pct"/>
          </w:tcPr>
          <w:p w14:paraId="47148742" w14:textId="77777777" w:rsidR="00382B5E" w:rsidRDefault="00BE0CD4">
            <w:pPr>
              <w:pStyle w:val="Default"/>
              <w:tabs>
                <w:tab w:val="left" w:pos="567"/>
              </w:tabs>
              <w:rPr>
                <w:rFonts w:ascii="Times New Roman" w:hAnsi="Times New Roman" w:cs="Times New Roman"/>
                <w:color w:val="auto"/>
                <w:sz w:val="22"/>
                <w:szCs w:val="22"/>
                <w:lang w:val="hu-HU"/>
              </w:rPr>
            </w:pPr>
            <w:r>
              <w:rPr>
                <w:rFonts w:ascii="Times New Roman" w:hAnsi="Times New Roman" w:cs="Times New Roman"/>
                <w:color w:val="auto"/>
                <w:sz w:val="22"/>
                <w:szCs w:val="22"/>
                <w:lang w:val="hu-HU"/>
              </w:rPr>
              <w:t>fájdalom</w:t>
            </w:r>
          </w:p>
        </w:tc>
        <w:tc>
          <w:tcPr>
            <w:tcW w:w="893" w:type="pct"/>
          </w:tcPr>
          <w:p w14:paraId="7995D1A7" w14:textId="77777777" w:rsidR="00382B5E" w:rsidRDefault="00BE0CD4">
            <w:pPr>
              <w:pStyle w:val="NormlWeb"/>
              <w:spacing w:before="0" w:beforeAutospacing="0" w:after="0" w:afterAutospacing="0"/>
              <w:rPr>
                <w:sz w:val="22"/>
                <w:szCs w:val="22"/>
                <w:lang w:val="hu-HU"/>
              </w:rPr>
            </w:pPr>
            <w:r>
              <w:rPr>
                <w:sz w:val="22"/>
                <w:szCs w:val="22"/>
                <w:lang w:val="hu-HU"/>
              </w:rPr>
              <w:t>nem gyakori</w:t>
            </w:r>
          </w:p>
        </w:tc>
        <w:tc>
          <w:tcPr>
            <w:tcW w:w="893" w:type="pct"/>
          </w:tcPr>
          <w:p w14:paraId="0398FC57" w14:textId="77777777" w:rsidR="00382B5E" w:rsidRDefault="00BE0CD4">
            <w:pPr>
              <w:pStyle w:val="Default"/>
              <w:tabs>
                <w:tab w:val="left" w:pos="567"/>
              </w:tabs>
              <w:rPr>
                <w:rFonts w:ascii="Times New Roman" w:hAnsi="Times New Roman" w:cs="Times New Roman"/>
                <w:color w:val="auto"/>
                <w:sz w:val="22"/>
                <w:szCs w:val="22"/>
                <w:lang w:val="hu-HU"/>
              </w:rPr>
            </w:pPr>
            <w:r>
              <w:rPr>
                <w:rFonts w:ascii="Times New Roman" w:hAnsi="Times New Roman" w:cs="Times New Roman"/>
                <w:color w:val="auto"/>
                <w:sz w:val="22"/>
                <w:szCs w:val="22"/>
                <w:lang w:val="hu-HU"/>
              </w:rPr>
              <w:t>-</w:t>
            </w:r>
          </w:p>
        </w:tc>
      </w:tr>
      <w:tr w:rsidR="00382B5E" w14:paraId="06EBDA7B" w14:textId="77777777">
        <w:trPr>
          <w:trHeight w:val="57"/>
        </w:trPr>
        <w:tc>
          <w:tcPr>
            <w:tcW w:w="1566" w:type="pct"/>
            <w:vMerge/>
          </w:tcPr>
          <w:p w14:paraId="106D679D" w14:textId="77777777" w:rsidR="00382B5E" w:rsidRDefault="00382B5E">
            <w:pPr>
              <w:pStyle w:val="Default"/>
              <w:tabs>
                <w:tab w:val="left" w:pos="567"/>
              </w:tabs>
              <w:rPr>
                <w:rFonts w:ascii="Times New Roman" w:hAnsi="Times New Roman" w:cs="Times New Roman"/>
                <w:b/>
                <w:sz w:val="22"/>
                <w:szCs w:val="22"/>
                <w:lang w:val="hu-HU"/>
              </w:rPr>
            </w:pPr>
          </w:p>
        </w:tc>
        <w:tc>
          <w:tcPr>
            <w:tcW w:w="1648" w:type="pct"/>
          </w:tcPr>
          <w:p w14:paraId="502C9DDE" w14:textId="77777777" w:rsidR="00382B5E" w:rsidRDefault="00BE0CD4">
            <w:pPr>
              <w:pStyle w:val="Default"/>
              <w:tabs>
                <w:tab w:val="left" w:pos="567"/>
              </w:tabs>
              <w:rPr>
                <w:rFonts w:ascii="Times New Roman" w:hAnsi="Times New Roman" w:cs="Times New Roman"/>
                <w:sz w:val="22"/>
                <w:szCs w:val="22"/>
                <w:lang w:val="hu-HU"/>
              </w:rPr>
            </w:pPr>
            <w:r>
              <w:rPr>
                <w:rFonts w:ascii="Times New Roman" w:hAnsi="Times New Roman" w:cs="Times New Roman"/>
                <w:sz w:val="22"/>
                <w:szCs w:val="22"/>
                <w:lang w:val="hu-HU"/>
              </w:rPr>
              <w:t>mellkasi fájdalom</w:t>
            </w:r>
          </w:p>
        </w:tc>
        <w:tc>
          <w:tcPr>
            <w:tcW w:w="893" w:type="pct"/>
          </w:tcPr>
          <w:p w14:paraId="5AB13174" w14:textId="77777777" w:rsidR="00382B5E" w:rsidRDefault="00BE0CD4">
            <w:pPr>
              <w:pStyle w:val="NormlWeb"/>
              <w:spacing w:before="0" w:beforeAutospacing="0" w:after="0" w:afterAutospacing="0"/>
              <w:rPr>
                <w:sz w:val="22"/>
                <w:szCs w:val="22"/>
                <w:lang w:val="hu-HU"/>
              </w:rPr>
            </w:pPr>
            <w:r>
              <w:rPr>
                <w:sz w:val="22"/>
                <w:szCs w:val="22"/>
                <w:lang w:val="hu-HU"/>
              </w:rPr>
              <w:t>nem gyakori</w:t>
            </w:r>
          </w:p>
        </w:tc>
        <w:tc>
          <w:tcPr>
            <w:tcW w:w="893" w:type="pct"/>
          </w:tcPr>
          <w:p w14:paraId="5AC306E1" w14:textId="77777777" w:rsidR="00382B5E" w:rsidRDefault="00382B5E">
            <w:pPr>
              <w:pStyle w:val="Default"/>
              <w:keepNext/>
              <w:keepLines/>
              <w:tabs>
                <w:tab w:val="left" w:pos="567"/>
              </w:tabs>
              <w:rPr>
                <w:rFonts w:ascii="Times New Roman" w:hAnsi="Times New Roman" w:cs="Times New Roman"/>
                <w:color w:val="auto"/>
                <w:sz w:val="22"/>
                <w:szCs w:val="22"/>
                <w:lang w:val="hu-HU"/>
              </w:rPr>
            </w:pPr>
          </w:p>
        </w:tc>
      </w:tr>
      <w:tr w:rsidR="00382B5E" w14:paraId="384CD46F" w14:textId="77777777">
        <w:trPr>
          <w:trHeight w:val="57"/>
        </w:trPr>
        <w:tc>
          <w:tcPr>
            <w:tcW w:w="1566" w:type="pct"/>
            <w:vMerge/>
          </w:tcPr>
          <w:p w14:paraId="21295403" w14:textId="77777777" w:rsidR="00382B5E" w:rsidRDefault="00382B5E">
            <w:pPr>
              <w:pStyle w:val="Default"/>
              <w:tabs>
                <w:tab w:val="left" w:pos="567"/>
              </w:tabs>
              <w:rPr>
                <w:rFonts w:ascii="Times New Roman" w:hAnsi="Times New Roman" w:cs="Times New Roman"/>
                <w:b/>
                <w:sz w:val="22"/>
                <w:szCs w:val="22"/>
                <w:lang w:val="hu-HU"/>
              </w:rPr>
            </w:pPr>
          </w:p>
        </w:tc>
        <w:tc>
          <w:tcPr>
            <w:tcW w:w="1648" w:type="pct"/>
          </w:tcPr>
          <w:p w14:paraId="4988BAD3" w14:textId="77777777" w:rsidR="00382B5E" w:rsidRDefault="00BE0CD4">
            <w:pPr>
              <w:pStyle w:val="Default"/>
              <w:tabs>
                <w:tab w:val="left" w:pos="567"/>
              </w:tabs>
              <w:rPr>
                <w:rFonts w:ascii="Times New Roman" w:hAnsi="Times New Roman" w:cs="Times New Roman"/>
                <w:color w:val="auto"/>
                <w:sz w:val="22"/>
                <w:szCs w:val="22"/>
                <w:lang w:val="hu-HU"/>
              </w:rPr>
            </w:pPr>
            <w:r>
              <w:rPr>
                <w:rFonts w:ascii="Times New Roman" w:hAnsi="Times New Roman" w:cs="Times New Roman"/>
                <w:sz w:val="22"/>
                <w:szCs w:val="22"/>
                <w:lang w:val="hu-HU"/>
              </w:rPr>
              <w:t>influenzaszerű tünetek</w:t>
            </w:r>
          </w:p>
        </w:tc>
        <w:tc>
          <w:tcPr>
            <w:tcW w:w="893" w:type="pct"/>
          </w:tcPr>
          <w:p w14:paraId="1D741249" w14:textId="77777777" w:rsidR="00382B5E" w:rsidRDefault="00BE0CD4">
            <w:pPr>
              <w:pStyle w:val="NormlWeb"/>
              <w:spacing w:before="0" w:beforeAutospacing="0" w:after="0" w:afterAutospacing="0"/>
              <w:rPr>
                <w:sz w:val="22"/>
                <w:szCs w:val="22"/>
                <w:lang w:val="hu-HU"/>
              </w:rPr>
            </w:pPr>
            <w:r>
              <w:rPr>
                <w:sz w:val="22"/>
                <w:szCs w:val="22"/>
                <w:lang w:val="hu-HU"/>
              </w:rPr>
              <w:t>-</w:t>
            </w:r>
          </w:p>
        </w:tc>
        <w:tc>
          <w:tcPr>
            <w:tcW w:w="893" w:type="pct"/>
          </w:tcPr>
          <w:p w14:paraId="08EE4800" w14:textId="77777777" w:rsidR="00382B5E" w:rsidRDefault="00BE0CD4">
            <w:pPr>
              <w:pStyle w:val="Default"/>
              <w:keepNext/>
              <w:keepLines/>
              <w:tabs>
                <w:tab w:val="left" w:pos="567"/>
              </w:tabs>
              <w:rPr>
                <w:rFonts w:ascii="Times New Roman" w:hAnsi="Times New Roman" w:cs="Times New Roman"/>
                <w:color w:val="auto"/>
                <w:sz w:val="22"/>
                <w:szCs w:val="22"/>
                <w:lang w:val="hu-HU"/>
              </w:rPr>
            </w:pPr>
            <w:r>
              <w:rPr>
                <w:rFonts w:ascii="Times New Roman" w:hAnsi="Times New Roman" w:cs="Times New Roman"/>
                <w:color w:val="auto"/>
                <w:sz w:val="22"/>
                <w:szCs w:val="22"/>
                <w:lang w:val="hu-HU"/>
              </w:rPr>
              <w:t>nem ismert</w:t>
            </w:r>
          </w:p>
        </w:tc>
      </w:tr>
      <w:tr w:rsidR="00382B5E" w14:paraId="6D597581" w14:textId="77777777">
        <w:trPr>
          <w:trHeight w:val="57"/>
        </w:trPr>
        <w:tc>
          <w:tcPr>
            <w:tcW w:w="1566" w:type="pct"/>
            <w:vMerge w:val="restart"/>
          </w:tcPr>
          <w:p w14:paraId="767E7525" w14:textId="77777777" w:rsidR="00382B5E" w:rsidRDefault="00BE0CD4">
            <w:pPr>
              <w:rPr>
                <w:b/>
                <w:sz w:val="22"/>
                <w:szCs w:val="22"/>
              </w:rPr>
            </w:pPr>
            <w:r>
              <w:rPr>
                <w:b/>
                <w:sz w:val="22"/>
                <w:szCs w:val="22"/>
              </w:rPr>
              <w:t>Laboratóriumi és egyéb vizsgálatok eredményei</w:t>
            </w:r>
          </w:p>
        </w:tc>
        <w:tc>
          <w:tcPr>
            <w:tcW w:w="1648" w:type="pct"/>
          </w:tcPr>
          <w:p w14:paraId="6C610FF0" w14:textId="77777777" w:rsidR="00382B5E" w:rsidRDefault="00BE0CD4">
            <w:pPr>
              <w:pStyle w:val="Default"/>
              <w:keepNext/>
              <w:keepLines/>
              <w:tabs>
                <w:tab w:val="left" w:pos="567"/>
              </w:tabs>
              <w:rPr>
                <w:rFonts w:ascii="Times New Roman" w:hAnsi="Times New Roman" w:cs="Times New Roman"/>
                <w:color w:val="auto"/>
                <w:sz w:val="22"/>
                <w:szCs w:val="22"/>
                <w:lang w:val="hu-HU"/>
              </w:rPr>
            </w:pPr>
            <w:r>
              <w:rPr>
                <w:rFonts w:ascii="Times New Roman" w:hAnsi="Times New Roman" w:cs="Times New Roman"/>
                <w:color w:val="auto"/>
                <w:sz w:val="22"/>
                <w:szCs w:val="22"/>
                <w:lang w:val="hu-HU"/>
              </w:rPr>
              <w:t>hyperkalaemia</w:t>
            </w:r>
          </w:p>
        </w:tc>
        <w:tc>
          <w:tcPr>
            <w:tcW w:w="893" w:type="pct"/>
          </w:tcPr>
          <w:p w14:paraId="62AD61FF" w14:textId="77777777" w:rsidR="00382B5E" w:rsidRDefault="00BE0CD4">
            <w:pPr>
              <w:pStyle w:val="NormlWeb"/>
              <w:spacing w:before="0" w:beforeAutospacing="0" w:after="0" w:afterAutospacing="0"/>
              <w:rPr>
                <w:sz w:val="22"/>
                <w:szCs w:val="22"/>
                <w:lang w:val="hu-HU"/>
              </w:rPr>
            </w:pPr>
            <w:r>
              <w:rPr>
                <w:sz w:val="22"/>
                <w:szCs w:val="22"/>
                <w:lang w:val="hu-HU"/>
              </w:rPr>
              <w:t>-</w:t>
            </w:r>
          </w:p>
        </w:tc>
        <w:tc>
          <w:tcPr>
            <w:tcW w:w="893" w:type="pct"/>
          </w:tcPr>
          <w:p w14:paraId="30955E90" w14:textId="77777777" w:rsidR="00382B5E" w:rsidRDefault="00BE0CD4">
            <w:pPr>
              <w:pStyle w:val="Default"/>
              <w:keepNext/>
              <w:keepLines/>
              <w:tabs>
                <w:tab w:val="left" w:pos="567"/>
              </w:tabs>
              <w:rPr>
                <w:rFonts w:ascii="Times New Roman" w:hAnsi="Times New Roman" w:cs="Times New Roman"/>
                <w:color w:val="auto"/>
                <w:sz w:val="22"/>
                <w:szCs w:val="22"/>
                <w:lang w:val="hu-HU"/>
              </w:rPr>
            </w:pPr>
            <w:r>
              <w:rPr>
                <w:rFonts w:ascii="Times New Roman" w:hAnsi="Times New Roman" w:cs="Times New Roman"/>
                <w:color w:val="auto"/>
                <w:sz w:val="22"/>
                <w:szCs w:val="22"/>
                <w:lang w:val="hu-HU"/>
              </w:rPr>
              <w:t>gyakori</w:t>
            </w:r>
          </w:p>
        </w:tc>
      </w:tr>
      <w:tr w:rsidR="00382B5E" w14:paraId="53842C94" w14:textId="77777777">
        <w:trPr>
          <w:trHeight w:val="57"/>
        </w:trPr>
        <w:tc>
          <w:tcPr>
            <w:tcW w:w="1566" w:type="pct"/>
            <w:vMerge/>
          </w:tcPr>
          <w:p w14:paraId="1BFDC2BD" w14:textId="77777777" w:rsidR="00382B5E" w:rsidRDefault="00382B5E">
            <w:pPr>
              <w:pStyle w:val="Default"/>
              <w:keepNext/>
              <w:tabs>
                <w:tab w:val="left" w:pos="567"/>
              </w:tabs>
              <w:rPr>
                <w:rFonts w:ascii="Times New Roman" w:hAnsi="Times New Roman" w:cs="Times New Roman"/>
                <w:b/>
                <w:sz w:val="22"/>
                <w:szCs w:val="22"/>
                <w:lang w:val="hu-HU"/>
              </w:rPr>
            </w:pPr>
          </w:p>
        </w:tc>
        <w:tc>
          <w:tcPr>
            <w:tcW w:w="1648" w:type="pct"/>
          </w:tcPr>
          <w:p w14:paraId="71247D49" w14:textId="77777777" w:rsidR="00382B5E" w:rsidRDefault="00BE0CD4">
            <w:pPr>
              <w:pStyle w:val="Default"/>
              <w:keepNext/>
              <w:keepLines/>
              <w:tabs>
                <w:tab w:val="left" w:pos="567"/>
              </w:tabs>
              <w:rPr>
                <w:rFonts w:ascii="Times New Roman" w:hAnsi="Times New Roman" w:cs="Times New Roman"/>
                <w:color w:val="auto"/>
                <w:sz w:val="22"/>
                <w:szCs w:val="22"/>
                <w:lang w:val="hu-HU"/>
              </w:rPr>
            </w:pPr>
            <w:r>
              <w:rPr>
                <w:rFonts w:ascii="Times New Roman" w:hAnsi="Times New Roman" w:cs="Times New Roman"/>
                <w:color w:val="auto"/>
                <w:sz w:val="22"/>
                <w:szCs w:val="22"/>
                <w:lang w:val="hu-HU"/>
              </w:rPr>
              <w:t>megnövekedett alanin-aminotranszferáz-szint (ALAT)</w:t>
            </w:r>
            <w:r>
              <w:rPr>
                <w:rFonts w:ascii="Times New Roman" w:hAnsi="Times New Roman" w:cs="Times New Roman"/>
                <w:sz w:val="22"/>
                <w:szCs w:val="22"/>
                <w:vertAlign w:val="superscript"/>
                <w:lang w:val="hu-HU"/>
              </w:rPr>
              <w:t>§</w:t>
            </w:r>
          </w:p>
        </w:tc>
        <w:tc>
          <w:tcPr>
            <w:tcW w:w="893" w:type="pct"/>
          </w:tcPr>
          <w:p w14:paraId="1FE7554E" w14:textId="77777777" w:rsidR="00382B5E" w:rsidRDefault="00BE0CD4">
            <w:pPr>
              <w:pStyle w:val="NormlWeb"/>
              <w:spacing w:before="0" w:beforeAutospacing="0" w:after="0" w:afterAutospacing="0"/>
              <w:rPr>
                <w:sz w:val="22"/>
                <w:szCs w:val="22"/>
                <w:lang w:val="hu-HU"/>
              </w:rPr>
            </w:pPr>
            <w:r>
              <w:rPr>
                <w:sz w:val="22"/>
                <w:szCs w:val="22"/>
                <w:lang w:val="hu-HU"/>
              </w:rPr>
              <w:t>-</w:t>
            </w:r>
          </w:p>
        </w:tc>
        <w:tc>
          <w:tcPr>
            <w:tcW w:w="893" w:type="pct"/>
          </w:tcPr>
          <w:p w14:paraId="08C04783" w14:textId="77777777" w:rsidR="00382B5E" w:rsidRDefault="00BE0CD4">
            <w:pPr>
              <w:pStyle w:val="Default"/>
              <w:keepNext/>
              <w:keepLines/>
              <w:tabs>
                <w:tab w:val="left" w:pos="567"/>
              </w:tabs>
              <w:rPr>
                <w:rFonts w:ascii="Times New Roman" w:hAnsi="Times New Roman" w:cs="Times New Roman"/>
                <w:color w:val="auto"/>
                <w:sz w:val="22"/>
                <w:szCs w:val="22"/>
                <w:lang w:val="hu-HU"/>
              </w:rPr>
            </w:pPr>
            <w:r>
              <w:rPr>
                <w:rFonts w:ascii="Times New Roman" w:hAnsi="Times New Roman" w:cs="Times New Roman"/>
                <w:color w:val="auto"/>
                <w:sz w:val="22"/>
                <w:szCs w:val="22"/>
                <w:lang w:val="hu-HU"/>
              </w:rPr>
              <w:t>ritka</w:t>
            </w:r>
          </w:p>
        </w:tc>
      </w:tr>
      <w:tr w:rsidR="00382B5E" w14:paraId="0D7DC61F" w14:textId="77777777">
        <w:trPr>
          <w:trHeight w:val="57"/>
        </w:trPr>
        <w:tc>
          <w:tcPr>
            <w:tcW w:w="1566" w:type="pct"/>
            <w:vMerge/>
          </w:tcPr>
          <w:p w14:paraId="10AF0841" w14:textId="77777777" w:rsidR="00382B5E" w:rsidRDefault="00382B5E">
            <w:pPr>
              <w:pStyle w:val="Default"/>
              <w:keepNext/>
              <w:tabs>
                <w:tab w:val="left" w:pos="567"/>
              </w:tabs>
              <w:rPr>
                <w:rFonts w:ascii="Times New Roman" w:hAnsi="Times New Roman" w:cs="Times New Roman"/>
                <w:b/>
                <w:sz w:val="22"/>
                <w:szCs w:val="22"/>
                <w:lang w:val="hu-HU"/>
              </w:rPr>
            </w:pPr>
          </w:p>
        </w:tc>
        <w:tc>
          <w:tcPr>
            <w:tcW w:w="1648" w:type="pct"/>
          </w:tcPr>
          <w:p w14:paraId="25DC5AF7" w14:textId="77777777" w:rsidR="00382B5E" w:rsidRDefault="00BE0CD4">
            <w:pPr>
              <w:pStyle w:val="Default"/>
              <w:keepNext/>
              <w:keepLines/>
              <w:tabs>
                <w:tab w:val="left" w:pos="567"/>
              </w:tabs>
              <w:rPr>
                <w:rFonts w:ascii="Times New Roman" w:hAnsi="Times New Roman" w:cs="Times New Roman"/>
                <w:color w:val="auto"/>
                <w:sz w:val="22"/>
                <w:szCs w:val="22"/>
                <w:lang w:val="hu-HU"/>
              </w:rPr>
            </w:pPr>
            <w:r>
              <w:rPr>
                <w:rFonts w:ascii="Times New Roman" w:hAnsi="Times New Roman" w:cs="Times New Roman"/>
                <w:color w:val="auto"/>
                <w:sz w:val="22"/>
                <w:szCs w:val="22"/>
                <w:lang w:val="hu-HU"/>
              </w:rPr>
              <w:t>hyponatraemia</w:t>
            </w:r>
          </w:p>
        </w:tc>
        <w:tc>
          <w:tcPr>
            <w:tcW w:w="893" w:type="pct"/>
          </w:tcPr>
          <w:p w14:paraId="119A75CC" w14:textId="77777777" w:rsidR="00382B5E" w:rsidRDefault="00BE0CD4">
            <w:pPr>
              <w:pStyle w:val="NormlWeb"/>
              <w:spacing w:before="0" w:beforeAutospacing="0" w:after="0" w:afterAutospacing="0"/>
              <w:rPr>
                <w:sz w:val="22"/>
                <w:szCs w:val="22"/>
                <w:lang w:val="hu-HU"/>
              </w:rPr>
            </w:pPr>
            <w:r>
              <w:rPr>
                <w:sz w:val="22"/>
                <w:szCs w:val="22"/>
                <w:lang w:val="hu-HU"/>
              </w:rPr>
              <w:t>-</w:t>
            </w:r>
          </w:p>
        </w:tc>
        <w:tc>
          <w:tcPr>
            <w:tcW w:w="893" w:type="pct"/>
          </w:tcPr>
          <w:p w14:paraId="6DA5D232" w14:textId="77777777" w:rsidR="00382B5E" w:rsidRDefault="00BE0CD4">
            <w:pPr>
              <w:pStyle w:val="Default"/>
              <w:keepNext/>
              <w:keepLines/>
              <w:tabs>
                <w:tab w:val="left" w:pos="567"/>
              </w:tabs>
              <w:rPr>
                <w:rFonts w:ascii="Times New Roman" w:hAnsi="Times New Roman" w:cs="Times New Roman"/>
                <w:color w:val="auto"/>
                <w:sz w:val="22"/>
                <w:szCs w:val="22"/>
                <w:lang w:val="hu-HU"/>
              </w:rPr>
            </w:pPr>
            <w:r>
              <w:rPr>
                <w:rFonts w:ascii="Times New Roman" w:hAnsi="Times New Roman" w:cs="Times New Roman"/>
                <w:color w:val="auto"/>
                <w:sz w:val="22"/>
                <w:szCs w:val="22"/>
                <w:lang w:val="hu-HU"/>
              </w:rPr>
              <w:t>nem ismert</w:t>
            </w:r>
          </w:p>
        </w:tc>
      </w:tr>
      <w:tr w:rsidR="00382B5E" w14:paraId="527C7C5A" w14:textId="77777777">
        <w:trPr>
          <w:trHeight w:val="57"/>
        </w:trPr>
        <w:tc>
          <w:tcPr>
            <w:tcW w:w="1566" w:type="pct"/>
            <w:vMerge/>
          </w:tcPr>
          <w:p w14:paraId="2D2653C7" w14:textId="77777777" w:rsidR="00382B5E" w:rsidRDefault="00382B5E">
            <w:pPr>
              <w:pStyle w:val="Default"/>
              <w:keepNext/>
              <w:tabs>
                <w:tab w:val="left" w:pos="567"/>
              </w:tabs>
              <w:rPr>
                <w:rFonts w:ascii="Times New Roman" w:hAnsi="Times New Roman" w:cs="Times New Roman"/>
                <w:b/>
                <w:sz w:val="22"/>
                <w:szCs w:val="22"/>
                <w:lang w:val="hu-HU"/>
              </w:rPr>
            </w:pPr>
          </w:p>
        </w:tc>
        <w:tc>
          <w:tcPr>
            <w:tcW w:w="1648" w:type="pct"/>
          </w:tcPr>
          <w:p w14:paraId="3268BBD5" w14:textId="77777777" w:rsidR="00382B5E" w:rsidRDefault="00BE0CD4">
            <w:pPr>
              <w:pStyle w:val="NormlWeb"/>
              <w:spacing w:before="0" w:beforeAutospacing="0" w:after="0" w:afterAutospacing="0"/>
              <w:rPr>
                <w:sz w:val="22"/>
                <w:szCs w:val="22"/>
                <w:lang w:val="hu-HU"/>
              </w:rPr>
            </w:pPr>
            <w:r>
              <w:rPr>
                <w:sz w:val="22"/>
                <w:szCs w:val="22"/>
                <w:lang w:val="hu-HU"/>
              </w:rPr>
              <w:t>testtömeg-növekedés, testtömeg-csökkenés</w:t>
            </w:r>
          </w:p>
        </w:tc>
        <w:tc>
          <w:tcPr>
            <w:tcW w:w="893" w:type="pct"/>
          </w:tcPr>
          <w:p w14:paraId="76FA993E" w14:textId="77777777" w:rsidR="00382B5E" w:rsidRDefault="00BE0CD4">
            <w:pPr>
              <w:pStyle w:val="NormlWeb"/>
              <w:spacing w:before="0" w:beforeAutospacing="0" w:after="0" w:afterAutospacing="0"/>
              <w:rPr>
                <w:sz w:val="22"/>
                <w:szCs w:val="22"/>
                <w:lang w:val="hu-HU"/>
              </w:rPr>
            </w:pPr>
            <w:r>
              <w:rPr>
                <w:sz w:val="22"/>
                <w:szCs w:val="22"/>
                <w:lang w:val="hu-HU"/>
              </w:rPr>
              <w:t>nem gyakori</w:t>
            </w:r>
          </w:p>
        </w:tc>
        <w:tc>
          <w:tcPr>
            <w:tcW w:w="893" w:type="pct"/>
          </w:tcPr>
          <w:p w14:paraId="06D5C894" w14:textId="77777777" w:rsidR="00382B5E" w:rsidRDefault="00BE0CD4">
            <w:pPr>
              <w:pStyle w:val="Default"/>
              <w:keepNext/>
              <w:keepLines/>
              <w:tabs>
                <w:tab w:val="left" w:pos="567"/>
              </w:tabs>
              <w:rPr>
                <w:rFonts w:ascii="Times New Roman" w:hAnsi="Times New Roman" w:cs="Times New Roman"/>
                <w:color w:val="auto"/>
                <w:sz w:val="22"/>
                <w:szCs w:val="22"/>
                <w:lang w:val="hu-HU"/>
              </w:rPr>
            </w:pPr>
            <w:r>
              <w:rPr>
                <w:rFonts w:ascii="Times New Roman" w:hAnsi="Times New Roman" w:cs="Times New Roman"/>
                <w:color w:val="auto"/>
                <w:sz w:val="22"/>
                <w:szCs w:val="22"/>
                <w:lang w:val="hu-HU"/>
              </w:rPr>
              <w:t>-</w:t>
            </w:r>
          </w:p>
        </w:tc>
      </w:tr>
    </w:tbl>
    <w:p w14:paraId="0CBB7771" w14:textId="77777777" w:rsidR="00382B5E" w:rsidRDefault="00BE0CD4">
      <w:pPr>
        <w:tabs>
          <w:tab w:val="left" w:pos="284"/>
        </w:tabs>
        <w:ind w:left="284" w:hanging="284"/>
        <w:rPr>
          <w:sz w:val="22"/>
          <w:szCs w:val="22"/>
        </w:rPr>
      </w:pPr>
      <w:r>
        <w:rPr>
          <w:sz w:val="22"/>
          <w:szCs w:val="22"/>
          <w:vertAlign w:val="superscript"/>
        </w:rPr>
        <w:sym w:font="Symbol" w:char="F02A"/>
      </w:r>
      <w:r>
        <w:rPr>
          <w:color w:val="000000"/>
          <w:sz w:val="22"/>
          <w:szCs w:val="22"/>
        </w:rPr>
        <w:tab/>
        <w:t xml:space="preserve">Beleértve a gége és a glottis duzzanatát is, amely légúti elzáródást okoz és/vagy az arc, ajkak, garat és/vagy nyelv duzzanatát; e betegek közül néhányan korábban angiooedemát tapasztaltak egyéb készítmények, többek között </w:t>
      </w:r>
      <w:smartTag w:uri="urn:schemas-microsoft-com:office:smarttags" w:element="stockticker">
        <w:r>
          <w:rPr>
            <w:color w:val="000000"/>
            <w:sz w:val="22"/>
            <w:szCs w:val="22"/>
          </w:rPr>
          <w:t>ACE</w:t>
        </w:r>
      </w:smartTag>
      <w:r>
        <w:rPr>
          <w:color w:val="000000"/>
          <w:sz w:val="22"/>
          <w:szCs w:val="22"/>
        </w:rPr>
        <w:noBreakHyphen/>
        <w:t>gátlók szedésekor.</w:t>
      </w:r>
    </w:p>
    <w:p w14:paraId="0EE1EF5D" w14:textId="77777777" w:rsidR="00382B5E" w:rsidRDefault="00BE0CD4">
      <w:pPr>
        <w:tabs>
          <w:tab w:val="left" w:pos="284"/>
        </w:tabs>
        <w:ind w:left="284" w:hanging="284"/>
        <w:rPr>
          <w:sz w:val="22"/>
          <w:szCs w:val="22"/>
        </w:rPr>
      </w:pPr>
      <w:r>
        <w:rPr>
          <w:sz w:val="22"/>
          <w:szCs w:val="22"/>
          <w:vertAlign w:val="superscript"/>
        </w:rPr>
        <w:sym w:font="Symbol" w:char="F02A"/>
      </w:r>
      <w:r>
        <w:rPr>
          <w:sz w:val="22"/>
          <w:szCs w:val="22"/>
          <w:vertAlign w:val="superscript"/>
        </w:rPr>
        <w:sym w:font="Symbol" w:char="F02A"/>
      </w:r>
      <w:r>
        <w:rPr>
          <w:color w:val="000000"/>
          <w:sz w:val="22"/>
          <w:szCs w:val="22"/>
        </w:rPr>
        <w:tab/>
        <w:t>Beleértve a Henoch-Schönlein purpurát.</w:t>
      </w:r>
    </w:p>
    <w:p w14:paraId="0CA876F0" w14:textId="77777777" w:rsidR="00382B5E" w:rsidRDefault="00BE0CD4">
      <w:pPr>
        <w:tabs>
          <w:tab w:val="left" w:pos="284"/>
        </w:tabs>
        <w:ind w:left="284" w:hanging="284"/>
        <w:rPr>
          <w:sz w:val="22"/>
          <w:szCs w:val="22"/>
        </w:rPr>
      </w:pPr>
      <w:r>
        <w:rPr>
          <w:sz w:val="22"/>
          <w:szCs w:val="22"/>
          <w:vertAlign w:val="superscript"/>
        </w:rPr>
        <w:t>║</w:t>
      </w:r>
      <w:r>
        <w:rPr>
          <w:sz w:val="22"/>
          <w:szCs w:val="22"/>
          <w:vertAlign w:val="superscript"/>
        </w:rPr>
        <w:tab/>
      </w:r>
      <w:r>
        <w:rPr>
          <w:color w:val="000000"/>
          <w:sz w:val="22"/>
          <w:szCs w:val="22"/>
        </w:rPr>
        <w:t>Főként intravascularis volumenhiányban, pl.: súlyos szívelégtelenségben szenvedő vagy magas dózisú diuretikummal kezelt betegeknél.</w:t>
      </w:r>
    </w:p>
    <w:p w14:paraId="35E798D9" w14:textId="77777777" w:rsidR="00382B5E" w:rsidRDefault="00BE0CD4">
      <w:pPr>
        <w:tabs>
          <w:tab w:val="left" w:pos="284"/>
        </w:tabs>
        <w:ind w:left="284" w:hanging="284"/>
        <w:rPr>
          <w:color w:val="000000"/>
          <w:sz w:val="22"/>
          <w:szCs w:val="22"/>
        </w:rPr>
      </w:pPr>
      <w:r>
        <w:rPr>
          <w:sz w:val="22"/>
          <w:szCs w:val="22"/>
          <w:vertAlign w:val="superscript"/>
        </w:rPr>
        <w:t>§</w:t>
      </w:r>
      <w:r>
        <w:rPr>
          <w:sz w:val="22"/>
          <w:szCs w:val="22"/>
        </w:rPr>
        <w:tab/>
      </w:r>
      <w:r>
        <w:rPr>
          <w:color w:val="000000"/>
          <w:sz w:val="22"/>
          <w:szCs w:val="22"/>
        </w:rPr>
        <w:t>A kezelés abbahagyása után általában helyreállt.</w:t>
      </w:r>
    </w:p>
    <w:p w14:paraId="10DF9780" w14:textId="77777777" w:rsidR="00382B5E" w:rsidRDefault="00BE0CD4">
      <w:pPr>
        <w:tabs>
          <w:tab w:val="left" w:pos="284"/>
        </w:tabs>
        <w:ind w:left="284" w:hanging="284"/>
        <w:rPr>
          <w:color w:val="000000"/>
          <w:sz w:val="22"/>
          <w:szCs w:val="22"/>
        </w:rPr>
      </w:pPr>
      <w:r>
        <w:rPr>
          <w:color w:val="000000"/>
          <w:sz w:val="22"/>
          <w:szCs w:val="22"/>
          <w:vertAlign w:val="superscript"/>
        </w:rPr>
        <w:t>***</w:t>
      </w:r>
      <w:r>
        <w:rPr>
          <w:color w:val="000000"/>
          <w:sz w:val="22"/>
          <w:szCs w:val="22"/>
        </w:rPr>
        <w:tab/>
        <w:t>Az esetek többségében cholestasissal.</w:t>
      </w:r>
    </w:p>
    <w:p w14:paraId="6CC3B4BB" w14:textId="77777777" w:rsidR="00382B5E" w:rsidRDefault="00BE0CD4">
      <w:pPr>
        <w:rPr>
          <w:sz w:val="22"/>
          <w:szCs w:val="22"/>
        </w:rPr>
      </w:pPr>
      <w:r>
        <w:rPr>
          <w:sz w:val="22"/>
          <w:szCs w:val="22"/>
        </w:rPr>
        <w:t>Amlodipin: az extrapyramidalis szindróma kivételes eseteit jelentették.</w:t>
      </w:r>
    </w:p>
    <w:p w14:paraId="2AF962B8" w14:textId="77777777" w:rsidR="00382B5E" w:rsidRDefault="00382B5E">
      <w:pPr>
        <w:pStyle w:val="MGGTextLeft"/>
        <w:rPr>
          <w:color w:val="000000"/>
          <w:sz w:val="22"/>
          <w:szCs w:val="22"/>
          <w:u w:val="single"/>
          <w:lang w:val="hu-HU"/>
        </w:rPr>
      </w:pPr>
    </w:p>
    <w:p w14:paraId="3C4CFF31" w14:textId="77777777" w:rsidR="00382B5E" w:rsidRDefault="00BE0CD4">
      <w:pPr>
        <w:pStyle w:val="MGGTextLeft"/>
        <w:rPr>
          <w:sz w:val="22"/>
          <w:szCs w:val="22"/>
          <w:u w:val="single"/>
          <w:lang w:val="hu-HU"/>
        </w:rPr>
      </w:pPr>
      <w:r>
        <w:rPr>
          <w:sz w:val="22"/>
          <w:szCs w:val="22"/>
          <w:u w:val="single"/>
          <w:lang w:val="hu-HU"/>
        </w:rPr>
        <w:t>Lozartán</w:t>
      </w:r>
    </w:p>
    <w:p w14:paraId="70E6C62D" w14:textId="77777777" w:rsidR="00382B5E" w:rsidRDefault="00BE0CD4">
      <w:pPr>
        <w:pStyle w:val="MGGTextLeft"/>
        <w:rPr>
          <w:sz w:val="22"/>
          <w:szCs w:val="22"/>
          <w:lang w:val="hu-HU"/>
        </w:rPr>
      </w:pPr>
      <w:r>
        <w:rPr>
          <w:color w:val="000000"/>
          <w:sz w:val="22"/>
          <w:szCs w:val="22"/>
          <w:lang w:val="hu-HU"/>
        </w:rPr>
        <w:t>A mellékhatások gyakoriságát a placebokontrollos klinikai vizsgálatok és a forgalomba hozatalt követő tapasztalatok alapján állapították meg.</w:t>
      </w:r>
    </w:p>
    <w:p w14:paraId="604DA235" w14:textId="77777777" w:rsidR="00382B5E" w:rsidRDefault="00382B5E">
      <w:pPr>
        <w:pStyle w:val="MGGTextLeft"/>
        <w:rPr>
          <w:sz w:val="22"/>
          <w:szCs w:val="22"/>
          <w:u w:val="single"/>
          <w:lang w:val="hu-HU"/>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1E0" w:firstRow="1" w:lastRow="1" w:firstColumn="1" w:lastColumn="1" w:noHBand="0" w:noVBand="0"/>
      </w:tblPr>
      <w:tblGrid>
        <w:gridCol w:w="2494"/>
        <w:gridCol w:w="1848"/>
        <w:gridCol w:w="21"/>
        <w:gridCol w:w="1764"/>
        <w:gridCol w:w="1700"/>
        <w:gridCol w:w="1495"/>
      </w:tblGrid>
      <w:tr w:rsidR="00382B5E" w14:paraId="00E32019" w14:textId="77777777">
        <w:trPr>
          <w:cantSplit/>
          <w:tblHeader/>
        </w:trPr>
        <w:tc>
          <w:tcPr>
            <w:tcW w:w="1338" w:type="pct"/>
            <w:tcBorders>
              <w:top w:val="single" w:sz="4" w:space="0" w:color="auto"/>
              <w:left w:val="single" w:sz="4" w:space="0" w:color="auto"/>
              <w:bottom w:val="single" w:sz="4" w:space="0" w:color="auto"/>
              <w:right w:val="single" w:sz="4" w:space="0" w:color="auto"/>
            </w:tcBorders>
          </w:tcPr>
          <w:p w14:paraId="1D54C0D2" w14:textId="77777777" w:rsidR="00382B5E" w:rsidRDefault="00BE0CD4">
            <w:pPr>
              <w:rPr>
                <w:b/>
                <w:sz w:val="22"/>
                <w:szCs w:val="22"/>
              </w:rPr>
            </w:pPr>
            <w:r>
              <w:rPr>
                <w:b/>
                <w:sz w:val="22"/>
                <w:szCs w:val="22"/>
              </w:rPr>
              <w:t>Mellékhatás</w:t>
            </w:r>
          </w:p>
        </w:tc>
        <w:tc>
          <w:tcPr>
            <w:tcW w:w="2860" w:type="pct"/>
            <w:gridSpan w:val="4"/>
            <w:tcBorders>
              <w:top w:val="single" w:sz="4" w:space="0" w:color="auto"/>
              <w:left w:val="single" w:sz="4" w:space="0" w:color="auto"/>
              <w:bottom w:val="single" w:sz="4" w:space="0" w:color="auto"/>
              <w:right w:val="single" w:sz="4" w:space="0" w:color="auto"/>
            </w:tcBorders>
          </w:tcPr>
          <w:p w14:paraId="5775EB8A" w14:textId="77777777" w:rsidR="00382B5E" w:rsidRDefault="00BE0CD4">
            <w:pPr>
              <w:rPr>
                <w:b/>
                <w:sz w:val="22"/>
                <w:szCs w:val="22"/>
              </w:rPr>
            </w:pPr>
            <w:r>
              <w:rPr>
                <w:b/>
                <w:sz w:val="22"/>
                <w:szCs w:val="22"/>
              </w:rPr>
              <w:t>A mellékhatások gyakorisága indikáció szerint</w:t>
            </w:r>
          </w:p>
        </w:tc>
        <w:tc>
          <w:tcPr>
            <w:tcW w:w="802" w:type="pct"/>
            <w:tcBorders>
              <w:top w:val="single" w:sz="4" w:space="0" w:color="auto"/>
              <w:left w:val="single" w:sz="4" w:space="0" w:color="auto"/>
              <w:bottom w:val="single" w:sz="4" w:space="0" w:color="auto"/>
              <w:right w:val="single" w:sz="4" w:space="0" w:color="auto"/>
            </w:tcBorders>
          </w:tcPr>
          <w:p w14:paraId="61D9F043" w14:textId="77777777" w:rsidR="00382B5E" w:rsidRDefault="00BE0CD4">
            <w:pPr>
              <w:rPr>
                <w:b/>
                <w:sz w:val="22"/>
                <w:szCs w:val="22"/>
              </w:rPr>
            </w:pPr>
            <w:r>
              <w:rPr>
                <w:b/>
                <w:sz w:val="22"/>
                <w:szCs w:val="22"/>
              </w:rPr>
              <w:t>Egyéb</w:t>
            </w:r>
          </w:p>
        </w:tc>
      </w:tr>
      <w:tr w:rsidR="00382B5E" w14:paraId="1270D076" w14:textId="77777777">
        <w:trPr>
          <w:cantSplit/>
          <w:trHeight w:val="860"/>
          <w:tblHeader/>
        </w:trPr>
        <w:tc>
          <w:tcPr>
            <w:tcW w:w="1338" w:type="pct"/>
            <w:tcBorders>
              <w:top w:val="single" w:sz="4" w:space="0" w:color="auto"/>
              <w:left w:val="single" w:sz="4" w:space="0" w:color="auto"/>
              <w:bottom w:val="single" w:sz="4" w:space="0" w:color="auto"/>
              <w:right w:val="single" w:sz="4" w:space="0" w:color="auto"/>
            </w:tcBorders>
          </w:tcPr>
          <w:p w14:paraId="245305D2" w14:textId="77777777" w:rsidR="00382B5E" w:rsidRDefault="00382B5E">
            <w:pPr>
              <w:rPr>
                <w:b/>
                <w:sz w:val="22"/>
                <w:szCs w:val="22"/>
              </w:rPr>
            </w:pPr>
          </w:p>
        </w:tc>
        <w:tc>
          <w:tcPr>
            <w:tcW w:w="1002" w:type="pct"/>
            <w:gridSpan w:val="2"/>
            <w:tcBorders>
              <w:top w:val="single" w:sz="4" w:space="0" w:color="auto"/>
              <w:left w:val="single" w:sz="4" w:space="0" w:color="auto"/>
              <w:bottom w:val="single" w:sz="4" w:space="0" w:color="auto"/>
              <w:right w:val="single" w:sz="4" w:space="0" w:color="auto"/>
            </w:tcBorders>
          </w:tcPr>
          <w:p w14:paraId="20131F9C" w14:textId="77777777" w:rsidR="00382B5E" w:rsidRDefault="00BE0CD4">
            <w:pPr>
              <w:rPr>
                <w:b/>
                <w:sz w:val="22"/>
                <w:szCs w:val="22"/>
              </w:rPr>
            </w:pPr>
            <w:r>
              <w:rPr>
                <w:b/>
                <w:sz w:val="22"/>
                <w:szCs w:val="22"/>
                <w:lang w:eastAsia="en-US"/>
              </w:rPr>
              <w:t>Balkamra-hypertrophiában szenvedő hypertoniás betegek</w:t>
            </w:r>
          </w:p>
        </w:tc>
        <w:tc>
          <w:tcPr>
            <w:tcW w:w="946" w:type="pct"/>
            <w:tcBorders>
              <w:top w:val="single" w:sz="4" w:space="0" w:color="auto"/>
              <w:left w:val="single" w:sz="4" w:space="0" w:color="auto"/>
              <w:bottom w:val="single" w:sz="4" w:space="0" w:color="auto"/>
              <w:right w:val="single" w:sz="4" w:space="0" w:color="auto"/>
            </w:tcBorders>
          </w:tcPr>
          <w:p w14:paraId="18B06C3E" w14:textId="77777777" w:rsidR="00382B5E" w:rsidRDefault="00BE0CD4">
            <w:pPr>
              <w:rPr>
                <w:b/>
                <w:sz w:val="22"/>
                <w:szCs w:val="22"/>
              </w:rPr>
            </w:pPr>
            <w:r>
              <w:rPr>
                <w:b/>
                <w:sz w:val="22"/>
                <w:szCs w:val="22"/>
                <w:lang w:eastAsia="en-US"/>
              </w:rPr>
              <w:t>Krónikus szívelégtelenség</w:t>
            </w:r>
          </w:p>
        </w:tc>
        <w:tc>
          <w:tcPr>
            <w:tcW w:w="912" w:type="pct"/>
            <w:tcBorders>
              <w:top w:val="single" w:sz="4" w:space="0" w:color="auto"/>
              <w:left w:val="single" w:sz="4" w:space="0" w:color="auto"/>
              <w:bottom w:val="single" w:sz="4" w:space="0" w:color="auto"/>
              <w:right w:val="single" w:sz="4" w:space="0" w:color="auto"/>
            </w:tcBorders>
          </w:tcPr>
          <w:p w14:paraId="43354A12" w14:textId="77777777" w:rsidR="00382B5E" w:rsidRDefault="00BE0CD4">
            <w:pPr>
              <w:rPr>
                <w:b/>
                <w:sz w:val="22"/>
                <w:szCs w:val="22"/>
              </w:rPr>
            </w:pPr>
            <w:r>
              <w:rPr>
                <w:b/>
                <w:sz w:val="22"/>
                <w:szCs w:val="22"/>
                <w:lang w:eastAsia="en-US"/>
              </w:rPr>
              <w:t>Hypertonia és vesebetegséggel társuló 2</w:t>
            </w:r>
            <w:r>
              <w:rPr>
                <w:b/>
                <w:sz w:val="22"/>
                <w:szCs w:val="22"/>
                <w:lang w:eastAsia="en-US"/>
              </w:rPr>
              <w:noBreakHyphen/>
              <w:t>es típusú diabetes</w:t>
            </w:r>
          </w:p>
        </w:tc>
        <w:tc>
          <w:tcPr>
            <w:tcW w:w="802" w:type="pct"/>
            <w:tcBorders>
              <w:top w:val="single" w:sz="4" w:space="0" w:color="auto"/>
              <w:left w:val="single" w:sz="4" w:space="0" w:color="auto"/>
              <w:bottom w:val="single" w:sz="4" w:space="0" w:color="auto"/>
              <w:right w:val="single" w:sz="4" w:space="0" w:color="auto"/>
            </w:tcBorders>
          </w:tcPr>
          <w:p w14:paraId="6E6777EE" w14:textId="77777777" w:rsidR="00382B5E" w:rsidRDefault="00BE0CD4">
            <w:pPr>
              <w:autoSpaceDE w:val="0"/>
              <w:autoSpaceDN w:val="0"/>
              <w:adjustRightInd w:val="0"/>
              <w:rPr>
                <w:b/>
                <w:sz w:val="22"/>
                <w:szCs w:val="22"/>
              </w:rPr>
            </w:pPr>
            <w:r>
              <w:rPr>
                <w:b/>
                <w:sz w:val="22"/>
                <w:szCs w:val="22"/>
                <w:lang w:eastAsia="en-US"/>
              </w:rPr>
              <w:t xml:space="preserve">A forgalomba hozatalt követő </w:t>
            </w:r>
            <w:r>
              <w:rPr>
                <w:b/>
                <w:sz w:val="22"/>
                <w:szCs w:val="22"/>
              </w:rPr>
              <w:t>tapasztalatok</w:t>
            </w:r>
          </w:p>
        </w:tc>
      </w:tr>
      <w:tr w:rsidR="00382B5E" w14:paraId="6E06524A" w14:textId="77777777">
        <w:trPr>
          <w:cantSplit/>
        </w:trPr>
        <w:tc>
          <w:tcPr>
            <w:tcW w:w="5000" w:type="pct"/>
            <w:gridSpan w:val="6"/>
            <w:tcBorders>
              <w:top w:val="single" w:sz="4" w:space="0" w:color="auto"/>
              <w:left w:val="single" w:sz="4" w:space="0" w:color="auto"/>
              <w:bottom w:val="single" w:sz="4" w:space="0" w:color="auto"/>
              <w:right w:val="single" w:sz="4" w:space="0" w:color="auto"/>
            </w:tcBorders>
            <w:vAlign w:val="center"/>
          </w:tcPr>
          <w:p w14:paraId="0CFA0108" w14:textId="77777777" w:rsidR="00382B5E" w:rsidRDefault="00BE0CD4">
            <w:pPr>
              <w:rPr>
                <w:b/>
                <w:sz w:val="22"/>
                <w:szCs w:val="22"/>
              </w:rPr>
            </w:pPr>
            <w:r>
              <w:rPr>
                <w:b/>
                <w:sz w:val="22"/>
                <w:szCs w:val="22"/>
              </w:rPr>
              <w:t>Vérképzőszervi és nyirokrendszeri betegségek és tünetek</w:t>
            </w:r>
          </w:p>
        </w:tc>
      </w:tr>
      <w:tr w:rsidR="00382B5E" w14:paraId="4EDB72EC" w14:textId="77777777">
        <w:trPr>
          <w:cantSplit/>
        </w:trPr>
        <w:tc>
          <w:tcPr>
            <w:tcW w:w="1338" w:type="pct"/>
            <w:tcBorders>
              <w:top w:val="single" w:sz="4" w:space="0" w:color="auto"/>
              <w:left w:val="single" w:sz="4" w:space="0" w:color="auto"/>
              <w:bottom w:val="single" w:sz="4" w:space="0" w:color="auto"/>
              <w:right w:val="single" w:sz="4" w:space="0" w:color="auto"/>
            </w:tcBorders>
          </w:tcPr>
          <w:p w14:paraId="038FDE8B" w14:textId="77777777" w:rsidR="00382B5E" w:rsidRDefault="00BE0CD4">
            <w:pPr>
              <w:rPr>
                <w:sz w:val="22"/>
                <w:szCs w:val="22"/>
              </w:rPr>
            </w:pPr>
            <w:r>
              <w:rPr>
                <w:sz w:val="22"/>
                <w:szCs w:val="22"/>
              </w:rPr>
              <w:t>anaemia</w:t>
            </w:r>
          </w:p>
        </w:tc>
        <w:tc>
          <w:tcPr>
            <w:tcW w:w="1002" w:type="pct"/>
            <w:gridSpan w:val="2"/>
            <w:tcBorders>
              <w:top w:val="single" w:sz="4" w:space="0" w:color="auto"/>
              <w:left w:val="single" w:sz="4" w:space="0" w:color="auto"/>
              <w:bottom w:val="single" w:sz="4" w:space="0" w:color="auto"/>
              <w:right w:val="single" w:sz="4" w:space="0" w:color="auto"/>
            </w:tcBorders>
            <w:vAlign w:val="center"/>
          </w:tcPr>
          <w:p w14:paraId="41591F23" w14:textId="77777777" w:rsidR="00382B5E" w:rsidRDefault="00382B5E">
            <w:pPr>
              <w:rPr>
                <w:sz w:val="22"/>
                <w:szCs w:val="22"/>
              </w:rPr>
            </w:pPr>
          </w:p>
        </w:tc>
        <w:tc>
          <w:tcPr>
            <w:tcW w:w="946" w:type="pct"/>
            <w:tcBorders>
              <w:top w:val="single" w:sz="4" w:space="0" w:color="auto"/>
              <w:left w:val="single" w:sz="4" w:space="0" w:color="auto"/>
              <w:bottom w:val="single" w:sz="4" w:space="0" w:color="auto"/>
              <w:right w:val="single" w:sz="4" w:space="0" w:color="auto"/>
            </w:tcBorders>
            <w:vAlign w:val="center"/>
          </w:tcPr>
          <w:p w14:paraId="130C54BD" w14:textId="77777777" w:rsidR="00382B5E" w:rsidRDefault="00BE0CD4">
            <w:pPr>
              <w:rPr>
                <w:sz w:val="22"/>
                <w:szCs w:val="22"/>
              </w:rPr>
            </w:pPr>
            <w:r>
              <w:rPr>
                <w:sz w:val="22"/>
                <w:szCs w:val="22"/>
              </w:rPr>
              <w:t>gyakori</w:t>
            </w:r>
          </w:p>
        </w:tc>
        <w:tc>
          <w:tcPr>
            <w:tcW w:w="912" w:type="pct"/>
            <w:tcBorders>
              <w:top w:val="single" w:sz="4" w:space="0" w:color="auto"/>
              <w:left w:val="single" w:sz="4" w:space="0" w:color="auto"/>
              <w:bottom w:val="single" w:sz="4" w:space="0" w:color="auto"/>
              <w:right w:val="single" w:sz="4" w:space="0" w:color="auto"/>
            </w:tcBorders>
            <w:vAlign w:val="center"/>
          </w:tcPr>
          <w:p w14:paraId="5B1B9406" w14:textId="77777777" w:rsidR="00382B5E" w:rsidRDefault="00382B5E">
            <w:pPr>
              <w:rPr>
                <w:sz w:val="22"/>
                <w:szCs w:val="22"/>
              </w:rPr>
            </w:pPr>
          </w:p>
        </w:tc>
        <w:tc>
          <w:tcPr>
            <w:tcW w:w="802" w:type="pct"/>
            <w:tcBorders>
              <w:top w:val="single" w:sz="4" w:space="0" w:color="auto"/>
              <w:left w:val="single" w:sz="4" w:space="0" w:color="auto"/>
              <w:bottom w:val="single" w:sz="4" w:space="0" w:color="auto"/>
              <w:right w:val="single" w:sz="4" w:space="0" w:color="auto"/>
            </w:tcBorders>
            <w:vAlign w:val="center"/>
          </w:tcPr>
          <w:p w14:paraId="4C0AA151" w14:textId="77777777" w:rsidR="00382B5E" w:rsidRDefault="00BE0CD4">
            <w:pPr>
              <w:rPr>
                <w:sz w:val="22"/>
                <w:szCs w:val="22"/>
              </w:rPr>
            </w:pPr>
            <w:r>
              <w:rPr>
                <w:sz w:val="22"/>
                <w:szCs w:val="22"/>
              </w:rPr>
              <w:t>nem ismert</w:t>
            </w:r>
          </w:p>
        </w:tc>
      </w:tr>
      <w:tr w:rsidR="00382B5E" w14:paraId="49FBA9C0" w14:textId="77777777">
        <w:trPr>
          <w:cantSplit/>
        </w:trPr>
        <w:tc>
          <w:tcPr>
            <w:tcW w:w="1338" w:type="pct"/>
            <w:tcBorders>
              <w:top w:val="single" w:sz="4" w:space="0" w:color="auto"/>
              <w:left w:val="single" w:sz="4" w:space="0" w:color="auto"/>
              <w:bottom w:val="single" w:sz="4" w:space="0" w:color="auto"/>
              <w:right w:val="single" w:sz="4" w:space="0" w:color="auto"/>
            </w:tcBorders>
            <w:vAlign w:val="center"/>
          </w:tcPr>
          <w:p w14:paraId="53D4A10C" w14:textId="77777777" w:rsidR="00382B5E" w:rsidRDefault="00BE0CD4">
            <w:pPr>
              <w:rPr>
                <w:sz w:val="22"/>
                <w:szCs w:val="22"/>
              </w:rPr>
            </w:pPr>
            <w:r>
              <w:rPr>
                <w:sz w:val="22"/>
                <w:szCs w:val="22"/>
              </w:rPr>
              <w:t>thrombocytopenia</w:t>
            </w:r>
          </w:p>
        </w:tc>
        <w:tc>
          <w:tcPr>
            <w:tcW w:w="1002" w:type="pct"/>
            <w:gridSpan w:val="2"/>
            <w:tcBorders>
              <w:top w:val="single" w:sz="4" w:space="0" w:color="auto"/>
              <w:left w:val="single" w:sz="4" w:space="0" w:color="auto"/>
              <w:bottom w:val="single" w:sz="4" w:space="0" w:color="auto"/>
              <w:right w:val="single" w:sz="4" w:space="0" w:color="auto"/>
            </w:tcBorders>
            <w:vAlign w:val="center"/>
          </w:tcPr>
          <w:p w14:paraId="1F3336FB" w14:textId="77777777" w:rsidR="00382B5E" w:rsidRDefault="00382B5E">
            <w:pPr>
              <w:rPr>
                <w:sz w:val="22"/>
                <w:szCs w:val="22"/>
              </w:rPr>
            </w:pPr>
          </w:p>
        </w:tc>
        <w:tc>
          <w:tcPr>
            <w:tcW w:w="946" w:type="pct"/>
            <w:tcBorders>
              <w:top w:val="single" w:sz="4" w:space="0" w:color="auto"/>
              <w:left w:val="single" w:sz="4" w:space="0" w:color="auto"/>
              <w:bottom w:val="single" w:sz="4" w:space="0" w:color="auto"/>
              <w:right w:val="single" w:sz="4" w:space="0" w:color="auto"/>
            </w:tcBorders>
            <w:vAlign w:val="center"/>
          </w:tcPr>
          <w:p w14:paraId="0AD10B10" w14:textId="77777777" w:rsidR="00382B5E" w:rsidRDefault="00382B5E">
            <w:pPr>
              <w:rPr>
                <w:sz w:val="22"/>
                <w:szCs w:val="22"/>
              </w:rPr>
            </w:pPr>
          </w:p>
        </w:tc>
        <w:tc>
          <w:tcPr>
            <w:tcW w:w="912" w:type="pct"/>
            <w:tcBorders>
              <w:top w:val="single" w:sz="4" w:space="0" w:color="auto"/>
              <w:left w:val="single" w:sz="4" w:space="0" w:color="auto"/>
              <w:bottom w:val="single" w:sz="4" w:space="0" w:color="auto"/>
              <w:right w:val="single" w:sz="4" w:space="0" w:color="auto"/>
            </w:tcBorders>
            <w:vAlign w:val="center"/>
          </w:tcPr>
          <w:p w14:paraId="10A20A0E" w14:textId="77777777" w:rsidR="00382B5E" w:rsidRDefault="00382B5E">
            <w:pPr>
              <w:rPr>
                <w:sz w:val="22"/>
                <w:szCs w:val="22"/>
              </w:rPr>
            </w:pPr>
          </w:p>
        </w:tc>
        <w:tc>
          <w:tcPr>
            <w:tcW w:w="802" w:type="pct"/>
            <w:tcBorders>
              <w:top w:val="single" w:sz="4" w:space="0" w:color="auto"/>
              <w:left w:val="single" w:sz="4" w:space="0" w:color="auto"/>
              <w:bottom w:val="single" w:sz="4" w:space="0" w:color="auto"/>
              <w:right w:val="single" w:sz="4" w:space="0" w:color="auto"/>
            </w:tcBorders>
            <w:vAlign w:val="center"/>
          </w:tcPr>
          <w:p w14:paraId="33687921" w14:textId="77777777" w:rsidR="00382B5E" w:rsidRDefault="00BE0CD4">
            <w:pPr>
              <w:rPr>
                <w:sz w:val="22"/>
                <w:szCs w:val="22"/>
              </w:rPr>
            </w:pPr>
            <w:r>
              <w:rPr>
                <w:sz w:val="22"/>
                <w:szCs w:val="22"/>
              </w:rPr>
              <w:t>nem ismert</w:t>
            </w:r>
          </w:p>
        </w:tc>
      </w:tr>
      <w:tr w:rsidR="00382B5E" w14:paraId="1F501101" w14:textId="77777777">
        <w:trPr>
          <w:cantSplit/>
        </w:trPr>
        <w:tc>
          <w:tcPr>
            <w:tcW w:w="5000" w:type="pct"/>
            <w:gridSpan w:val="6"/>
            <w:tcBorders>
              <w:top w:val="single" w:sz="4" w:space="0" w:color="auto"/>
              <w:left w:val="single" w:sz="4" w:space="0" w:color="auto"/>
              <w:bottom w:val="single" w:sz="4" w:space="0" w:color="auto"/>
              <w:right w:val="single" w:sz="4" w:space="0" w:color="auto"/>
            </w:tcBorders>
            <w:vAlign w:val="center"/>
          </w:tcPr>
          <w:p w14:paraId="56ABFE85" w14:textId="77777777" w:rsidR="00382B5E" w:rsidRDefault="00BE0CD4">
            <w:pPr>
              <w:rPr>
                <w:b/>
                <w:sz w:val="22"/>
                <w:szCs w:val="22"/>
              </w:rPr>
            </w:pPr>
            <w:r>
              <w:rPr>
                <w:b/>
                <w:sz w:val="22"/>
                <w:szCs w:val="22"/>
              </w:rPr>
              <w:t>Immunrendszeri betegségek és tünetek</w:t>
            </w:r>
          </w:p>
        </w:tc>
      </w:tr>
      <w:tr w:rsidR="00382B5E" w14:paraId="46017005" w14:textId="77777777">
        <w:trPr>
          <w:cantSplit/>
        </w:trPr>
        <w:tc>
          <w:tcPr>
            <w:tcW w:w="1338" w:type="pct"/>
            <w:tcBorders>
              <w:top w:val="single" w:sz="4" w:space="0" w:color="auto"/>
              <w:left w:val="single" w:sz="4" w:space="0" w:color="auto"/>
              <w:bottom w:val="single" w:sz="4" w:space="0" w:color="auto"/>
              <w:right w:val="single" w:sz="4" w:space="0" w:color="auto"/>
            </w:tcBorders>
            <w:vAlign w:val="center"/>
          </w:tcPr>
          <w:p w14:paraId="5DA9214A" w14:textId="77777777" w:rsidR="00382B5E" w:rsidRDefault="00BE0CD4">
            <w:pPr>
              <w:rPr>
                <w:sz w:val="22"/>
                <w:szCs w:val="22"/>
              </w:rPr>
            </w:pPr>
            <w:r>
              <w:rPr>
                <w:color w:val="000000"/>
                <w:sz w:val="22"/>
                <w:szCs w:val="22"/>
              </w:rPr>
              <w:t>túlérzékenység: anaphylacticus reakciók, angiooedema</w:t>
            </w:r>
            <w:r>
              <w:rPr>
                <w:sz w:val="22"/>
                <w:szCs w:val="22"/>
                <w:vertAlign w:val="superscript"/>
              </w:rPr>
              <w:t>*</w:t>
            </w:r>
            <w:r>
              <w:rPr>
                <w:sz w:val="22"/>
                <w:szCs w:val="22"/>
              </w:rPr>
              <w:t xml:space="preserve"> és vasculitis</w:t>
            </w:r>
            <w:r>
              <w:rPr>
                <w:sz w:val="22"/>
                <w:szCs w:val="22"/>
                <w:vertAlign w:val="superscript"/>
              </w:rPr>
              <w:t>**</w:t>
            </w:r>
          </w:p>
        </w:tc>
        <w:tc>
          <w:tcPr>
            <w:tcW w:w="991" w:type="pct"/>
            <w:tcBorders>
              <w:top w:val="single" w:sz="4" w:space="0" w:color="auto"/>
              <w:left w:val="single" w:sz="4" w:space="0" w:color="auto"/>
              <w:bottom w:val="single" w:sz="4" w:space="0" w:color="auto"/>
              <w:right w:val="single" w:sz="4" w:space="0" w:color="auto"/>
            </w:tcBorders>
            <w:vAlign w:val="center"/>
          </w:tcPr>
          <w:p w14:paraId="3C6EEA20" w14:textId="77777777" w:rsidR="00382B5E" w:rsidRDefault="00382B5E">
            <w:pPr>
              <w:rPr>
                <w:sz w:val="22"/>
                <w:szCs w:val="22"/>
              </w:rPr>
            </w:pPr>
          </w:p>
        </w:tc>
        <w:tc>
          <w:tcPr>
            <w:tcW w:w="957" w:type="pct"/>
            <w:gridSpan w:val="2"/>
            <w:tcBorders>
              <w:top w:val="single" w:sz="4" w:space="0" w:color="auto"/>
              <w:left w:val="single" w:sz="4" w:space="0" w:color="auto"/>
              <w:bottom w:val="single" w:sz="4" w:space="0" w:color="auto"/>
              <w:right w:val="single" w:sz="4" w:space="0" w:color="auto"/>
            </w:tcBorders>
            <w:vAlign w:val="center"/>
          </w:tcPr>
          <w:p w14:paraId="0618AA17" w14:textId="77777777" w:rsidR="00382B5E" w:rsidRDefault="00382B5E">
            <w:pPr>
              <w:rPr>
                <w:sz w:val="22"/>
                <w:szCs w:val="22"/>
              </w:rPr>
            </w:pPr>
          </w:p>
        </w:tc>
        <w:tc>
          <w:tcPr>
            <w:tcW w:w="912" w:type="pct"/>
            <w:tcBorders>
              <w:top w:val="single" w:sz="4" w:space="0" w:color="auto"/>
              <w:left w:val="single" w:sz="4" w:space="0" w:color="auto"/>
              <w:bottom w:val="single" w:sz="4" w:space="0" w:color="auto"/>
              <w:right w:val="single" w:sz="4" w:space="0" w:color="auto"/>
            </w:tcBorders>
            <w:vAlign w:val="center"/>
          </w:tcPr>
          <w:p w14:paraId="7B41ED5F" w14:textId="77777777" w:rsidR="00382B5E" w:rsidRDefault="00382B5E">
            <w:pPr>
              <w:rPr>
                <w:sz w:val="22"/>
                <w:szCs w:val="22"/>
              </w:rPr>
            </w:pPr>
          </w:p>
        </w:tc>
        <w:tc>
          <w:tcPr>
            <w:tcW w:w="802" w:type="pct"/>
            <w:tcBorders>
              <w:top w:val="single" w:sz="4" w:space="0" w:color="auto"/>
              <w:left w:val="single" w:sz="4" w:space="0" w:color="auto"/>
              <w:bottom w:val="single" w:sz="4" w:space="0" w:color="auto"/>
              <w:right w:val="single" w:sz="4" w:space="0" w:color="auto"/>
            </w:tcBorders>
            <w:vAlign w:val="center"/>
          </w:tcPr>
          <w:p w14:paraId="2B3C5E7B" w14:textId="77777777" w:rsidR="00382B5E" w:rsidRDefault="00BE0CD4">
            <w:pPr>
              <w:rPr>
                <w:sz w:val="22"/>
                <w:szCs w:val="22"/>
              </w:rPr>
            </w:pPr>
            <w:r>
              <w:rPr>
                <w:sz w:val="22"/>
                <w:szCs w:val="22"/>
              </w:rPr>
              <w:t>ritka</w:t>
            </w:r>
          </w:p>
        </w:tc>
      </w:tr>
      <w:tr w:rsidR="00382B5E" w14:paraId="0D0787E7" w14:textId="77777777">
        <w:trPr>
          <w:cantSplit/>
          <w:trHeight w:val="260"/>
        </w:trPr>
        <w:tc>
          <w:tcPr>
            <w:tcW w:w="5000" w:type="pct"/>
            <w:gridSpan w:val="6"/>
            <w:tcBorders>
              <w:top w:val="single" w:sz="4" w:space="0" w:color="auto"/>
              <w:left w:val="single" w:sz="4" w:space="0" w:color="auto"/>
              <w:bottom w:val="single" w:sz="4" w:space="0" w:color="auto"/>
              <w:right w:val="single" w:sz="4" w:space="0" w:color="auto"/>
            </w:tcBorders>
            <w:vAlign w:val="center"/>
          </w:tcPr>
          <w:p w14:paraId="403359C4" w14:textId="77777777" w:rsidR="00382B5E" w:rsidRDefault="00BE0CD4">
            <w:pPr>
              <w:rPr>
                <w:b/>
                <w:sz w:val="22"/>
                <w:szCs w:val="22"/>
              </w:rPr>
            </w:pPr>
            <w:r>
              <w:rPr>
                <w:b/>
                <w:sz w:val="22"/>
                <w:szCs w:val="22"/>
              </w:rPr>
              <w:t>Pszichiátriai kórképek</w:t>
            </w:r>
          </w:p>
        </w:tc>
      </w:tr>
      <w:tr w:rsidR="00382B5E" w14:paraId="3EC8B74B" w14:textId="77777777">
        <w:trPr>
          <w:cantSplit/>
          <w:trHeight w:val="260"/>
        </w:trPr>
        <w:tc>
          <w:tcPr>
            <w:tcW w:w="1338" w:type="pct"/>
            <w:tcBorders>
              <w:top w:val="single" w:sz="4" w:space="0" w:color="auto"/>
              <w:left w:val="single" w:sz="4" w:space="0" w:color="auto"/>
              <w:bottom w:val="single" w:sz="4" w:space="0" w:color="auto"/>
              <w:right w:val="single" w:sz="4" w:space="0" w:color="auto"/>
            </w:tcBorders>
            <w:vAlign w:val="center"/>
          </w:tcPr>
          <w:p w14:paraId="74F55845" w14:textId="77777777" w:rsidR="00382B5E" w:rsidRDefault="00BE0CD4">
            <w:pPr>
              <w:rPr>
                <w:sz w:val="22"/>
                <w:szCs w:val="22"/>
              </w:rPr>
            </w:pPr>
            <w:r>
              <w:rPr>
                <w:sz w:val="22"/>
                <w:szCs w:val="22"/>
              </w:rPr>
              <w:t>depresszió</w:t>
            </w:r>
          </w:p>
        </w:tc>
        <w:tc>
          <w:tcPr>
            <w:tcW w:w="991" w:type="pct"/>
            <w:tcBorders>
              <w:top w:val="single" w:sz="4" w:space="0" w:color="auto"/>
              <w:left w:val="single" w:sz="4" w:space="0" w:color="auto"/>
              <w:bottom w:val="single" w:sz="4" w:space="0" w:color="auto"/>
              <w:right w:val="single" w:sz="4" w:space="0" w:color="auto"/>
            </w:tcBorders>
            <w:vAlign w:val="center"/>
          </w:tcPr>
          <w:p w14:paraId="0348477B" w14:textId="77777777" w:rsidR="00382B5E" w:rsidRDefault="00382B5E">
            <w:pPr>
              <w:rPr>
                <w:sz w:val="22"/>
                <w:szCs w:val="22"/>
              </w:rPr>
            </w:pPr>
          </w:p>
        </w:tc>
        <w:tc>
          <w:tcPr>
            <w:tcW w:w="957" w:type="pct"/>
            <w:gridSpan w:val="2"/>
            <w:tcBorders>
              <w:top w:val="single" w:sz="4" w:space="0" w:color="auto"/>
              <w:left w:val="single" w:sz="4" w:space="0" w:color="auto"/>
              <w:bottom w:val="single" w:sz="4" w:space="0" w:color="auto"/>
              <w:right w:val="single" w:sz="4" w:space="0" w:color="auto"/>
            </w:tcBorders>
            <w:vAlign w:val="center"/>
          </w:tcPr>
          <w:p w14:paraId="06EAE944" w14:textId="77777777" w:rsidR="00382B5E" w:rsidRDefault="00382B5E">
            <w:pPr>
              <w:rPr>
                <w:sz w:val="22"/>
                <w:szCs w:val="22"/>
              </w:rPr>
            </w:pPr>
          </w:p>
        </w:tc>
        <w:tc>
          <w:tcPr>
            <w:tcW w:w="912" w:type="pct"/>
            <w:tcBorders>
              <w:top w:val="single" w:sz="4" w:space="0" w:color="auto"/>
              <w:left w:val="single" w:sz="4" w:space="0" w:color="auto"/>
              <w:bottom w:val="single" w:sz="4" w:space="0" w:color="auto"/>
              <w:right w:val="single" w:sz="4" w:space="0" w:color="auto"/>
            </w:tcBorders>
            <w:vAlign w:val="center"/>
          </w:tcPr>
          <w:p w14:paraId="7D03964A" w14:textId="77777777" w:rsidR="00382B5E" w:rsidRDefault="00382B5E">
            <w:pPr>
              <w:rPr>
                <w:sz w:val="22"/>
                <w:szCs w:val="22"/>
              </w:rPr>
            </w:pPr>
          </w:p>
        </w:tc>
        <w:tc>
          <w:tcPr>
            <w:tcW w:w="802" w:type="pct"/>
            <w:tcBorders>
              <w:top w:val="single" w:sz="4" w:space="0" w:color="auto"/>
              <w:left w:val="single" w:sz="4" w:space="0" w:color="auto"/>
              <w:bottom w:val="single" w:sz="4" w:space="0" w:color="auto"/>
              <w:right w:val="single" w:sz="4" w:space="0" w:color="auto"/>
            </w:tcBorders>
            <w:vAlign w:val="center"/>
          </w:tcPr>
          <w:p w14:paraId="0DA99BBF" w14:textId="77777777" w:rsidR="00382B5E" w:rsidRDefault="00BE0CD4">
            <w:pPr>
              <w:rPr>
                <w:sz w:val="22"/>
                <w:szCs w:val="22"/>
              </w:rPr>
            </w:pPr>
            <w:r>
              <w:rPr>
                <w:sz w:val="22"/>
                <w:szCs w:val="22"/>
              </w:rPr>
              <w:t>nem ismert</w:t>
            </w:r>
          </w:p>
        </w:tc>
      </w:tr>
      <w:tr w:rsidR="00382B5E" w14:paraId="08691920" w14:textId="77777777">
        <w:trPr>
          <w:cantSplit/>
        </w:trPr>
        <w:tc>
          <w:tcPr>
            <w:tcW w:w="5000" w:type="pct"/>
            <w:gridSpan w:val="6"/>
            <w:tcBorders>
              <w:top w:val="single" w:sz="4" w:space="0" w:color="auto"/>
              <w:left w:val="single" w:sz="4" w:space="0" w:color="auto"/>
              <w:bottom w:val="single" w:sz="4" w:space="0" w:color="auto"/>
              <w:right w:val="single" w:sz="4" w:space="0" w:color="auto"/>
            </w:tcBorders>
            <w:vAlign w:val="center"/>
          </w:tcPr>
          <w:p w14:paraId="352C87F9" w14:textId="77777777" w:rsidR="00382B5E" w:rsidRDefault="00BE0CD4">
            <w:pPr>
              <w:rPr>
                <w:b/>
                <w:sz w:val="22"/>
                <w:szCs w:val="22"/>
              </w:rPr>
            </w:pPr>
            <w:r>
              <w:rPr>
                <w:b/>
                <w:sz w:val="22"/>
                <w:szCs w:val="22"/>
              </w:rPr>
              <w:t>Idegrendszeri betegségek és tünetek</w:t>
            </w:r>
          </w:p>
        </w:tc>
      </w:tr>
      <w:tr w:rsidR="00382B5E" w14:paraId="7368C297" w14:textId="77777777">
        <w:trPr>
          <w:cantSplit/>
        </w:trPr>
        <w:tc>
          <w:tcPr>
            <w:tcW w:w="1338" w:type="pct"/>
            <w:tcBorders>
              <w:top w:val="single" w:sz="4" w:space="0" w:color="auto"/>
              <w:left w:val="single" w:sz="4" w:space="0" w:color="auto"/>
              <w:bottom w:val="single" w:sz="4" w:space="0" w:color="auto"/>
              <w:right w:val="single" w:sz="4" w:space="0" w:color="auto"/>
            </w:tcBorders>
            <w:vAlign w:val="center"/>
          </w:tcPr>
          <w:p w14:paraId="42F5A6E8" w14:textId="77777777" w:rsidR="00382B5E" w:rsidRDefault="00BE0CD4">
            <w:pPr>
              <w:rPr>
                <w:sz w:val="22"/>
                <w:szCs w:val="22"/>
              </w:rPr>
            </w:pPr>
            <w:r>
              <w:rPr>
                <w:sz w:val="22"/>
                <w:szCs w:val="22"/>
              </w:rPr>
              <w:t>szédülés</w:t>
            </w:r>
          </w:p>
        </w:tc>
        <w:tc>
          <w:tcPr>
            <w:tcW w:w="991" w:type="pct"/>
            <w:tcBorders>
              <w:top w:val="single" w:sz="4" w:space="0" w:color="auto"/>
              <w:left w:val="single" w:sz="4" w:space="0" w:color="auto"/>
              <w:bottom w:val="single" w:sz="4" w:space="0" w:color="auto"/>
              <w:right w:val="single" w:sz="4" w:space="0" w:color="auto"/>
            </w:tcBorders>
            <w:vAlign w:val="center"/>
          </w:tcPr>
          <w:p w14:paraId="6510FAA8" w14:textId="77777777" w:rsidR="00382B5E" w:rsidRDefault="00BE0CD4">
            <w:pPr>
              <w:rPr>
                <w:sz w:val="22"/>
                <w:szCs w:val="22"/>
              </w:rPr>
            </w:pPr>
            <w:r>
              <w:rPr>
                <w:sz w:val="22"/>
                <w:szCs w:val="22"/>
              </w:rPr>
              <w:t>gyakori</w:t>
            </w:r>
          </w:p>
        </w:tc>
        <w:tc>
          <w:tcPr>
            <w:tcW w:w="957" w:type="pct"/>
            <w:gridSpan w:val="2"/>
            <w:tcBorders>
              <w:top w:val="single" w:sz="4" w:space="0" w:color="auto"/>
              <w:left w:val="single" w:sz="4" w:space="0" w:color="auto"/>
              <w:bottom w:val="single" w:sz="4" w:space="0" w:color="auto"/>
              <w:right w:val="single" w:sz="4" w:space="0" w:color="auto"/>
            </w:tcBorders>
            <w:vAlign w:val="center"/>
          </w:tcPr>
          <w:p w14:paraId="576CD9D8" w14:textId="77777777" w:rsidR="00382B5E" w:rsidRDefault="00BE0CD4">
            <w:pPr>
              <w:rPr>
                <w:sz w:val="22"/>
                <w:szCs w:val="22"/>
              </w:rPr>
            </w:pPr>
            <w:r>
              <w:rPr>
                <w:sz w:val="22"/>
                <w:szCs w:val="22"/>
              </w:rPr>
              <w:t>gyakori</w:t>
            </w:r>
          </w:p>
        </w:tc>
        <w:tc>
          <w:tcPr>
            <w:tcW w:w="912" w:type="pct"/>
            <w:tcBorders>
              <w:top w:val="single" w:sz="4" w:space="0" w:color="auto"/>
              <w:left w:val="single" w:sz="4" w:space="0" w:color="auto"/>
              <w:bottom w:val="single" w:sz="4" w:space="0" w:color="auto"/>
              <w:right w:val="single" w:sz="4" w:space="0" w:color="auto"/>
            </w:tcBorders>
            <w:vAlign w:val="center"/>
          </w:tcPr>
          <w:p w14:paraId="05EE1302" w14:textId="77777777" w:rsidR="00382B5E" w:rsidRDefault="00BE0CD4">
            <w:pPr>
              <w:rPr>
                <w:sz w:val="22"/>
                <w:szCs w:val="22"/>
              </w:rPr>
            </w:pPr>
            <w:r>
              <w:rPr>
                <w:sz w:val="22"/>
                <w:szCs w:val="22"/>
              </w:rPr>
              <w:t>gyakori</w:t>
            </w:r>
          </w:p>
        </w:tc>
        <w:tc>
          <w:tcPr>
            <w:tcW w:w="802" w:type="pct"/>
            <w:tcBorders>
              <w:top w:val="single" w:sz="4" w:space="0" w:color="auto"/>
              <w:left w:val="single" w:sz="4" w:space="0" w:color="auto"/>
              <w:bottom w:val="single" w:sz="4" w:space="0" w:color="auto"/>
              <w:right w:val="single" w:sz="4" w:space="0" w:color="auto"/>
            </w:tcBorders>
            <w:vAlign w:val="center"/>
          </w:tcPr>
          <w:p w14:paraId="195BD78C" w14:textId="77777777" w:rsidR="00382B5E" w:rsidRDefault="00382B5E">
            <w:pPr>
              <w:rPr>
                <w:sz w:val="22"/>
                <w:szCs w:val="22"/>
              </w:rPr>
            </w:pPr>
          </w:p>
        </w:tc>
      </w:tr>
      <w:tr w:rsidR="00382B5E" w14:paraId="4D93D786" w14:textId="77777777">
        <w:trPr>
          <w:cantSplit/>
        </w:trPr>
        <w:tc>
          <w:tcPr>
            <w:tcW w:w="1338" w:type="pct"/>
            <w:tcBorders>
              <w:top w:val="single" w:sz="4" w:space="0" w:color="auto"/>
              <w:left w:val="single" w:sz="4" w:space="0" w:color="auto"/>
              <w:bottom w:val="single" w:sz="4" w:space="0" w:color="auto"/>
              <w:right w:val="single" w:sz="4" w:space="0" w:color="auto"/>
            </w:tcBorders>
            <w:vAlign w:val="center"/>
          </w:tcPr>
          <w:p w14:paraId="14FE058E" w14:textId="77777777" w:rsidR="00382B5E" w:rsidRDefault="00BE0CD4">
            <w:pPr>
              <w:rPr>
                <w:sz w:val="22"/>
                <w:szCs w:val="22"/>
              </w:rPr>
            </w:pPr>
            <w:r>
              <w:rPr>
                <w:sz w:val="22"/>
                <w:szCs w:val="22"/>
              </w:rPr>
              <w:t>fejfájás</w:t>
            </w:r>
          </w:p>
        </w:tc>
        <w:tc>
          <w:tcPr>
            <w:tcW w:w="991" w:type="pct"/>
            <w:tcBorders>
              <w:top w:val="single" w:sz="4" w:space="0" w:color="auto"/>
              <w:left w:val="single" w:sz="4" w:space="0" w:color="auto"/>
              <w:bottom w:val="single" w:sz="4" w:space="0" w:color="auto"/>
              <w:right w:val="single" w:sz="4" w:space="0" w:color="auto"/>
            </w:tcBorders>
            <w:vAlign w:val="center"/>
          </w:tcPr>
          <w:p w14:paraId="7027E53C" w14:textId="77777777" w:rsidR="00382B5E" w:rsidRDefault="00382B5E">
            <w:pPr>
              <w:rPr>
                <w:sz w:val="22"/>
                <w:szCs w:val="22"/>
              </w:rPr>
            </w:pPr>
          </w:p>
        </w:tc>
        <w:tc>
          <w:tcPr>
            <w:tcW w:w="957" w:type="pct"/>
            <w:gridSpan w:val="2"/>
            <w:tcBorders>
              <w:top w:val="single" w:sz="4" w:space="0" w:color="auto"/>
              <w:left w:val="single" w:sz="4" w:space="0" w:color="auto"/>
              <w:bottom w:val="single" w:sz="4" w:space="0" w:color="auto"/>
              <w:right w:val="single" w:sz="4" w:space="0" w:color="auto"/>
            </w:tcBorders>
            <w:vAlign w:val="center"/>
          </w:tcPr>
          <w:p w14:paraId="45922808" w14:textId="77777777" w:rsidR="00382B5E" w:rsidRDefault="00BE0CD4">
            <w:pPr>
              <w:rPr>
                <w:sz w:val="22"/>
                <w:szCs w:val="22"/>
              </w:rPr>
            </w:pPr>
            <w:r>
              <w:rPr>
                <w:sz w:val="22"/>
                <w:szCs w:val="22"/>
              </w:rPr>
              <w:t>nem gyakori</w:t>
            </w:r>
          </w:p>
        </w:tc>
        <w:tc>
          <w:tcPr>
            <w:tcW w:w="912" w:type="pct"/>
            <w:tcBorders>
              <w:top w:val="single" w:sz="4" w:space="0" w:color="auto"/>
              <w:left w:val="single" w:sz="4" w:space="0" w:color="auto"/>
              <w:bottom w:val="single" w:sz="4" w:space="0" w:color="auto"/>
              <w:right w:val="single" w:sz="4" w:space="0" w:color="auto"/>
            </w:tcBorders>
            <w:vAlign w:val="center"/>
          </w:tcPr>
          <w:p w14:paraId="131690DA" w14:textId="77777777" w:rsidR="00382B5E" w:rsidRDefault="00382B5E">
            <w:pPr>
              <w:rPr>
                <w:sz w:val="22"/>
                <w:szCs w:val="22"/>
              </w:rPr>
            </w:pPr>
          </w:p>
        </w:tc>
        <w:tc>
          <w:tcPr>
            <w:tcW w:w="802" w:type="pct"/>
            <w:tcBorders>
              <w:top w:val="single" w:sz="4" w:space="0" w:color="auto"/>
              <w:left w:val="single" w:sz="4" w:space="0" w:color="auto"/>
              <w:bottom w:val="single" w:sz="4" w:space="0" w:color="auto"/>
              <w:right w:val="single" w:sz="4" w:space="0" w:color="auto"/>
            </w:tcBorders>
            <w:vAlign w:val="center"/>
          </w:tcPr>
          <w:p w14:paraId="63BFBBC8" w14:textId="77777777" w:rsidR="00382B5E" w:rsidRDefault="00382B5E">
            <w:pPr>
              <w:rPr>
                <w:sz w:val="22"/>
                <w:szCs w:val="22"/>
              </w:rPr>
            </w:pPr>
          </w:p>
        </w:tc>
      </w:tr>
      <w:tr w:rsidR="00382B5E" w14:paraId="6147E20F" w14:textId="77777777">
        <w:trPr>
          <w:cantSplit/>
        </w:trPr>
        <w:tc>
          <w:tcPr>
            <w:tcW w:w="1338" w:type="pct"/>
            <w:tcBorders>
              <w:top w:val="single" w:sz="4" w:space="0" w:color="auto"/>
              <w:left w:val="single" w:sz="4" w:space="0" w:color="auto"/>
              <w:bottom w:val="single" w:sz="4" w:space="0" w:color="auto"/>
              <w:right w:val="single" w:sz="4" w:space="0" w:color="auto"/>
            </w:tcBorders>
            <w:vAlign w:val="center"/>
          </w:tcPr>
          <w:p w14:paraId="3BC010CA" w14:textId="77777777" w:rsidR="00382B5E" w:rsidRDefault="00BE0CD4">
            <w:pPr>
              <w:rPr>
                <w:sz w:val="22"/>
                <w:szCs w:val="22"/>
              </w:rPr>
            </w:pPr>
            <w:r>
              <w:rPr>
                <w:sz w:val="22"/>
                <w:szCs w:val="22"/>
              </w:rPr>
              <w:t>paraesthesia</w:t>
            </w:r>
          </w:p>
        </w:tc>
        <w:tc>
          <w:tcPr>
            <w:tcW w:w="991" w:type="pct"/>
            <w:tcBorders>
              <w:top w:val="single" w:sz="4" w:space="0" w:color="auto"/>
              <w:left w:val="single" w:sz="4" w:space="0" w:color="auto"/>
              <w:bottom w:val="single" w:sz="4" w:space="0" w:color="auto"/>
              <w:right w:val="single" w:sz="4" w:space="0" w:color="auto"/>
            </w:tcBorders>
            <w:vAlign w:val="center"/>
          </w:tcPr>
          <w:p w14:paraId="5250D871" w14:textId="77777777" w:rsidR="00382B5E" w:rsidRDefault="00382B5E">
            <w:pPr>
              <w:rPr>
                <w:sz w:val="22"/>
                <w:szCs w:val="22"/>
              </w:rPr>
            </w:pPr>
          </w:p>
        </w:tc>
        <w:tc>
          <w:tcPr>
            <w:tcW w:w="957" w:type="pct"/>
            <w:gridSpan w:val="2"/>
            <w:tcBorders>
              <w:top w:val="single" w:sz="4" w:space="0" w:color="auto"/>
              <w:left w:val="single" w:sz="4" w:space="0" w:color="auto"/>
              <w:bottom w:val="single" w:sz="4" w:space="0" w:color="auto"/>
              <w:right w:val="single" w:sz="4" w:space="0" w:color="auto"/>
            </w:tcBorders>
            <w:vAlign w:val="center"/>
          </w:tcPr>
          <w:p w14:paraId="028C56B3" w14:textId="77777777" w:rsidR="00382B5E" w:rsidRDefault="00BE0CD4">
            <w:pPr>
              <w:rPr>
                <w:sz w:val="22"/>
                <w:szCs w:val="22"/>
              </w:rPr>
            </w:pPr>
            <w:r>
              <w:rPr>
                <w:sz w:val="22"/>
                <w:szCs w:val="22"/>
              </w:rPr>
              <w:t>ritka</w:t>
            </w:r>
          </w:p>
        </w:tc>
        <w:tc>
          <w:tcPr>
            <w:tcW w:w="912" w:type="pct"/>
            <w:tcBorders>
              <w:top w:val="single" w:sz="4" w:space="0" w:color="auto"/>
              <w:left w:val="single" w:sz="4" w:space="0" w:color="auto"/>
              <w:bottom w:val="single" w:sz="4" w:space="0" w:color="auto"/>
              <w:right w:val="single" w:sz="4" w:space="0" w:color="auto"/>
            </w:tcBorders>
            <w:vAlign w:val="center"/>
          </w:tcPr>
          <w:p w14:paraId="5CE6B6DD" w14:textId="77777777" w:rsidR="00382B5E" w:rsidRDefault="00382B5E">
            <w:pPr>
              <w:rPr>
                <w:sz w:val="22"/>
                <w:szCs w:val="22"/>
              </w:rPr>
            </w:pPr>
          </w:p>
        </w:tc>
        <w:tc>
          <w:tcPr>
            <w:tcW w:w="802" w:type="pct"/>
            <w:tcBorders>
              <w:top w:val="single" w:sz="4" w:space="0" w:color="auto"/>
              <w:left w:val="single" w:sz="4" w:space="0" w:color="auto"/>
              <w:bottom w:val="single" w:sz="4" w:space="0" w:color="auto"/>
              <w:right w:val="single" w:sz="4" w:space="0" w:color="auto"/>
            </w:tcBorders>
            <w:vAlign w:val="center"/>
          </w:tcPr>
          <w:p w14:paraId="1A023214" w14:textId="77777777" w:rsidR="00382B5E" w:rsidRDefault="00382B5E">
            <w:pPr>
              <w:rPr>
                <w:sz w:val="22"/>
                <w:szCs w:val="22"/>
              </w:rPr>
            </w:pPr>
          </w:p>
        </w:tc>
      </w:tr>
      <w:tr w:rsidR="00382B5E" w14:paraId="48A941C4" w14:textId="77777777">
        <w:trPr>
          <w:cantSplit/>
        </w:trPr>
        <w:tc>
          <w:tcPr>
            <w:tcW w:w="1338" w:type="pct"/>
            <w:tcBorders>
              <w:top w:val="single" w:sz="4" w:space="0" w:color="auto"/>
              <w:left w:val="single" w:sz="4" w:space="0" w:color="auto"/>
              <w:bottom w:val="single" w:sz="4" w:space="0" w:color="auto"/>
              <w:right w:val="single" w:sz="4" w:space="0" w:color="auto"/>
            </w:tcBorders>
            <w:vAlign w:val="center"/>
          </w:tcPr>
          <w:p w14:paraId="1DB84D84" w14:textId="77777777" w:rsidR="00382B5E" w:rsidRDefault="00BE0CD4">
            <w:pPr>
              <w:rPr>
                <w:sz w:val="22"/>
                <w:szCs w:val="22"/>
              </w:rPr>
            </w:pPr>
            <w:r>
              <w:rPr>
                <w:sz w:val="22"/>
                <w:szCs w:val="22"/>
              </w:rPr>
              <w:t>migrén</w:t>
            </w:r>
          </w:p>
        </w:tc>
        <w:tc>
          <w:tcPr>
            <w:tcW w:w="991" w:type="pct"/>
            <w:tcBorders>
              <w:top w:val="single" w:sz="4" w:space="0" w:color="auto"/>
              <w:left w:val="single" w:sz="4" w:space="0" w:color="auto"/>
              <w:bottom w:val="single" w:sz="4" w:space="0" w:color="auto"/>
              <w:right w:val="single" w:sz="4" w:space="0" w:color="auto"/>
            </w:tcBorders>
            <w:vAlign w:val="center"/>
          </w:tcPr>
          <w:p w14:paraId="4282824A" w14:textId="77777777" w:rsidR="00382B5E" w:rsidRDefault="00382B5E">
            <w:pPr>
              <w:rPr>
                <w:sz w:val="22"/>
                <w:szCs w:val="22"/>
              </w:rPr>
            </w:pPr>
          </w:p>
        </w:tc>
        <w:tc>
          <w:tcPr>
            <w:tcW w:w="957" w:type="pct"/>
            <w:gridSpan w:val="2"/>
            <w:tcBorders>
              <w:top w:val="single" w:sz="4" w:space="0" w:color="auto"/>
              <w:left w:val="single" w:sz="4" w:space="0" w:color="auto"/>
              <w:bottom w:val="single" w:sz="4" w:space="0" w:color="auto"/>
              <w:right w:val="single" w:sz="4" w:space="0" w:color="auto"/>
            </w:tcBorders>
            <w:vAlign w:val="center"/>
          </w:tcPr>
          <w:p w14:paraId="23CD39B6" w14:textId="77777777" w:rsidR="00382B5E" w:rsidRDefault="00382B5E">
            <w:pPr>
              <w:rPr>
                <w:sz w:val="22"/>
                <w:szCs w:val="22"/>
              </w:rPr>
            </w:pPr>
          </w:p>
        </w:tc>
        <w:tc>
          <w:tcPr>
            <w:tcW w:w="912" w:type="pct"/>
            <w:tcBorders>
              <w:top w:val="single" w:sz="4" w:space="0" w:color="auto"/>
              <w:left w:val="single" w:sz="4" w:space="0" w:color="auto"/>
              <w:bottom w:val="single" w:sz="4" w:space="0" w:color="auto"/>
              <w:right w:val="single" w:sz="4" w:space="0" w:color="auto"/>
            </w:tcBorders>
            <w:vAlign w:val="center"/>
          </w:tcPr>
          <w:p w14:paraId="132BB304" w14:textId="77777777" w:rsidR="00382B5E" w:rsidRDefault="00382B5E">
            <w:pPr>
              <w:rPr>
                <w:sz w:val="22"/>
                <w:szCs w:val="22"/>
              </w:rPr>
            </w:pPr>
          </w:p>
        </w:tc>
        <w:tc>
          <w:tcPr>
            <w:tcW w:w="802" w:type="pct"/>
            <w:tcBorders>
              <w:top w:val="single" w:sz="4" w:space="0" w:color="auto"/>
              <w:left w:val="single" w:sz="4" w:space="0" w:color="auto"/>
              <w:bottom w:val="single" w:sz="4" w:space="0" w:color="auto"/>
              <w:right w:val="single" w:sz="4" w:space="0" w:color="auto"/>
            </w:tcBorders>
            <w:vAlign w:val="center"/>
          </w:tcPr>
          <w:p w14:paraId="0E7F6744" w14:textId="77777777" w:rsidR="00382B5E" w:rsidRDefault="00BE0CD4">
            <w:pPr>
              <w:rPr>
                <w:sz w:val="22"/>
                <w:szCs w:val="22"/>
              </w:rPr>
            </w:pPr>
            <w:r>
              <w:rPr>
                <w:sz w:val="22"/>
                <w:szCs w:val="22"/>
              </w:rPr>
              <w:t>nem ismert</w:t>
            </w:r>
          </w:p>
        </w:tc>
      </w:tr>
      <w:tr w:rsidR="00382B5E" w14:paraId="1014C818" w14:textId="77777777">
        <w:trPr>
          <w:cantSplit/>
        </w:trPr>
        <w:tc>
          <w:tcPr>
            <w:tcW w:w="1338" w:type="pct"/>
            <w:tcBorders>
              <w:top w:val="single" w:sz="4" w:space="0" w:color="auto"/>
              <w:left w:val="single" w:sz="4" w:space="0" w:color="auto"/>
              <w:bottom w:val="single" w:sz="4" w:space="0" w:color="auto"/>
              <w:right w:val="single" w:sz="4" w:space="0" w:color="auto"/>
            </w:tcBorders>
            <w:vAlign w:val="center"/>
          </w:tcPr>
          <w:p w14:paraId="204CE089" w14:textId="77777777" w:rsidR="00382B5E" w:rsidRDefault="00BE0CD4">
            <w:pPr>
              <w:rPr>
                <w:sz w:val="22"/>
                <w:szCs w:val="22"/>
              </w:rPr>
            </w:pPr>
            <w:r>
              <w:rPr>
                <w:sz w:val="22"/>
                <w:szCs w:val="22"/>
              </w:rPr>
              <w:t>dysgeusia</w:t>
            </w:r>
          </w:p>
        </w:tc>
        <w:tc>
          <w:tcPr>
            <w:tcW w:w="991" w:type="pct"/>
            <w:tcBorders>
              <w:top w:val="single" w:sz="4" w:space="0" w:color="auto"/>
              <w:left w:val="single" w:sz="4" w:space="0" w:color="auto"/>
              <w:bottom w:val="single" w:sz="4" w:space="0" w:color="auto"/>
              <w:right w:val="single" w:sz="4" w:space="0" w:color="auto"/>
            </w:tcBorders>
            <w:vAlign w:val="center"/>
          </w:tcPr>
          <w:p w14:paraId="404EA390" w14:textId="77777777" w:rsidR="00382B5E" w:rsidRDefault="00382B5E">
            <w:pPr>
              <w:rPr>
                <w:sz w:val="22"/>
                <w:szCs w:val="22"/>
              </w:rPr>
            </w:pPr>
          </w:p>
        </w:tc>
        <w:tc>
          <w:tcPr>
            <w:tcW w:w="957" w:type="pct"/>
            <w:gridSpan w:val="2"/>
            <w:tcBorders>
              <w:top w:val="single" w:sz="4" w:space="0" w:color="auto"/>
              <w:left w:val="single" w:sz="4" w:space="0" w:color="auto"/>
              <w:bottom w:val="single" w:sz="4" w:space="0" w:color="auto"/>
              <w:right w:val="single" w:sz="4" w:space="0" w:color="auto"/>
            </w:tcBorders>
            <w:vAlign w:val="center"/>
          </w:tcPr>
          <w:p w14:paraId="23E5A335" w14:textId="77777777" w:rsidR="00382B5E" w:rsidRDefault="00382B5E">
            <w:pPr>
              <w:rPr>
                <w:sz w:val="22"/>
                <w:szCs w:val="22"/>
              </w:rPr>
            </w:pPr>
          </w:p>
        </w:tc>
        <w:tc>
          <w:tcPr>
            <w:tcW w:w="912" w:type="pct"/>
            <w:tcBorders>
              <w:top w:val="single" w:sz="4" w:space="0" w:color="auto"/>
              <w:left w:val="single" w:sz="4" w:space="0" w:color="auto"/>
              <w:bottom w:val="single" w:sz="4" w:space="0" w:color="auto"/>
              <w:right w:val="single" w:sz="4" w:space="0" w:color="auto"/>
            </w:tcBorders>
            <w:vAlign w:val="center"/>
          </w:tcPr>
          <w:p w14:paraId="3BB2DE34" w14:textId="77777777" w:rsidR="00382B5E" w:rsidRDefault="00382B5E">
            <w:pPr>
              <w:rPr>
                <w:sz w:val="22"/>
                <w:szCs w:val="22"/>
              </w:rPr>
            </w:pPr>
          </w:p>
        </w:tc>
        <w:tc>
          <w:tcPr>
            <w:tcW w:w="802" w:type="pct"/>
            <w:tcBorders>
              <w:top w:val="single" w:sz="4" w:space="0" w:color="auto"/>
              <w:left w:val="single" w:sz="4" w:space="0" w:color="auto"/>
              <w:bottom w:val="single" w:sz="4" w:space="0" w:color="auto"/>
              <w:right w:val="single" w:sz="4" w:space="0" w:color="auto"/>
            </w:tcBorders>
            <w:vAlign w:val="center"/>
          </w:tcPr>
          <w:p w14:paraId="58034256" w14:textId="77777777" w:rsidR="00382B5E" w:rsidRDefault="00BE0CD4">
            <w:pPr>
              <w:rPr>
                <w:sz w:val="22"/>
                <w:szCs w:val="22"/>
              </w:rPr>
            </w:pPr>
            <w:r>
              <w:rPr>
                <w:sz w:val="22"/>
                <w:szCs w:val="22"/>
              </w:rPr>
              <w:t>nem ismert</w:t>
            </w:r>
          </w:p>
        </w:tc>
      </w:tr>
      <w:tr w:rsidR="00382B5E" w14:paraId="0B5DB28C" w14:textId="77777777">
        <w:trPr>
          <w:cantSplit/>
        </w:trPr>
        <w:tc>
          <w:tcPr>
            <w:tcW w:w="5000" w:type="pct"/>
            <w:gridSpan w:val="6"/>
            <w:tcBorders>
              <w:top w:val="single" w:sz="4" w:space="0" w:color="auto"/>
              <w:left w:val="single" w:sz="4" w:space="0" w:color="auto"/>
              <w:bottom w:val="single" w:sz="4" w:space="0" w:color="auto"/>
              <w:right w:val="single" w:sz="4" w:space="0" w:color="auto"/>
            </w:tcBorders>
            <w:vAlign w:val="center"/>
          </w:tcPr>
          <w:p w14:paraId="084CF4F3" w14:textId="77777777" w:rsidR="00382B5E" w:rsidRDefault="00BE0CD4">
            <w:pPr>
              <w:keepNext/>
              <w:rPr>
                <w:b/>
                <w:sz w:val="22"/>
                <w:szCs w:val="22"/>
              </w:rPr>
            </w:pPr>
            <w:r>
              <w:rPr>
                <w:b/>
                <w:sz w:val="22"/>
                <w:szCs w:val="22"/>
              </w:rPr>
              <w:t>A fül és az egyensúly-érzékelő szerv betegségei és tünetei</w:t>
            </w:r>
          </w:p>
        </w:tc>
      </w:tr>
      <w:tr w:rsidR="00382B5E" w14:paraId="513864BD" w14:textId="77777777">
        <w:trPr>
          <w:cantSplit/>
        </w:trPr>
        <w:tc>
          <w:tcPr>
            <w:tcW w:w="1338" w:type="pct"/>
            <w:tcBorders>
              <w:top w:val="single" w:sz="4" w:space="0" w:color="auto"/>
              <w:left w:val="single" w:sz="4" w:space="0" w:color="auto"/>
              <w:bottom w:val="single" w:sz="4" w:space="0" w:color="auto"/>
              <w:right w:val="single" w:sz="4" w:space="0" w:color="auto"/>
            </w:tcBorders>
            <w:vAlign w:val="center"/>
          </w:tcPr>
          <w:p w14:paraId="2497550A" w14:textId="77777777" w:rsidR="00382B5E" w:rsidRDefault="00BE0CD4">
            <w:pPr>
              <w:rPr>
                <w:sz w:val="22"/>
                <w:szCs w:val="22"/>
              </w:rPr>
            </w:pPr>
            <w:r>
              <w:rPr>
                <w:sz w:val="22"/>
                <w:szCs w:val="22"/>
              </w:rPr>
              <w:t>vertigo</w:t>
            </w:r>
          </w:p>
        </w:tc>
        <w:tc>
          <w:tcPr>
            <w:tcW w:w="991" w:type="pct"/>
            <w:tcBorders>
              <w:top w:val="single" w:sz="4" w:space="0" w:color="auto"/>
              <w:left w:val="single" w:sz="4" w:space="0" w:color="auto"/>
              <w:bottom w:val="single" w:sz="4" w:space="0" w:color="auto"/>
              <w:right w:val="single" w:sz="4" w:space="0" w:color="auto"/>
            </w:tcBorders>
            <w:vAlign w:val="center"/>
          </w:tcPr>
          <w:p w14:paraId="5CA6329A" w14:textId="77777777" w:rsidR="00382B5E" w:rsidRDefault="00BE0CD4">
            <w:pPr>
              <w:rPr>
                <w:sz w:val="22"/>
                <w:szCs w:val="22"/>
              </w:rPr>
            </w:pPr>
            <w:r>
              <w:rPr>
                <w:sz w:val="22"/>
                <w:szCs w:val="22"/>
              </w:rPr>
              <w:t>gyakori</w:t>
            </w:r>
          </w:p>
        </w:tc>
        <w:tc>
          <w:tcPr>
            <w:tcW w:w="957" w:type="pct"/>
            <w:gridSpan w:val="2"/>
            <w:tcBorders>
              <w:top w:val="single" w:sz="4" w:space="0" w:color="auto"/>
              <w:left w:val="single" w:sz="4" w:space="0" w:color="auto"/>
              <w:bottom w:val="single" w:sz="4" w:space="0" w:color="auto"/>
              <w:right w:val="single" w:sz="4" w:space="0" w:color="auto"/>
            </w:tcBorders>
            <w:vAlign w:val="center"/>
          </w:tcPr>
          <w:p w14:paraId="6EF03335" w14:textId="77777777" w:rsidR="00382B5E" w:rsidRDefault="00382B5E">
            <w:pPr>
              <w:rPr>
                <w:sz w:val="22"/>
                <w:szCs w:val="22"/>
              </w:rPr>
            </w:pPr>
          </w:p>
        </w:tc>
        <w:tc>
          <w:tcPr>
            <w:tcW w:w="912" w:type="pct"/>
            <w:tcBorders>
              <w:top w:val="single" w:sz="4" w:space="0" w:color="auto"/>
              <w:left w:val="single" w:sz="4" w:space="0" w:color="auto"/>
              <w:bottom w:val="single" w:sz="4" w:space="0" w:color="auto"/>
              <w:right w:val="single" w:sz="4" w:space="0" w:color="auto"/>
            </w:tcBorders>
            <w:vAlign w:val="center"/>
          </w:tcPr>
          <w:p w14:paraId="0FE95C5D" w14:textId="77777777" w:rsidR="00382B5E" w:rsidRDefault="00382B5E">
            <w:pPr>
              <w:rPr>
                <w:sz w:val="22"/>
                <w:szCs w:val="22"/>
              </w:rPr>
            </w:pPr>
          </w:p>
        </w:tc>
        <w:tc>
          <w:tcPr>
            <w:tcW w:w="802" w:type="pct"/>
            <w:tcBorders>
              <w:top w:val="single" w:sz="4" w:space="0" w:color="auto"/>
              <w:left w:val="single" w:sz="4" w:space="0" w:color="auto"/>
              <w:bottom w:val="single" w:sz="4" w:space="0" w:color="auto"/>
              <w:right w:val="single" w:sz="4" w:space="0" w:color="auto"/>
            </w:tcBorders>
            <w:vAlign w:val="center"/>
          </w:tcPr>
          <w:p w14:paraId="068902AD" w14:textId="77777777" w:rsidR="00382B5E" w:rsidRDefault="00382B5E">
            <w:pPr>
              <w:rPr>
                <w:sz w:val="22"/>
                <w:szCs w:val="22"/>
              </w:rPr>
            </w:pPr>
          </w:p>
        </w:tc>
      </w:tr>
      <w:tr w:rsidR="00382B5E" w14:paraId="491A9FE5" w14:textId="77777777">
        <w:trPr>
          <w:cantSplit/>
        </w:trPr>
        <w:tc>
          <w:tcPr>
            <w:tcW w:w="1338" w:type="pct"/>
            <w:tcBorders>
              <w:top w:val="single" w:sz="4" w:space="0" w:color="auto"/>
              <w:left w:val="single" w:sz="4" w:space="0" w:color="auto"/>
              <w:bottom w:val="single" w:sz="4" w:space="0" w:color="auto"/>
              <w:right w:val="single" w:sz="4" w:space="0" w:color="auto"/>
            </w:tcBorders>
            <w:vAlign w:val="center"/>
          </w:tcPr>
          <w:p w14:paraId="7B7D81D8" w14:textId="77777777" w:rsidR="00382B5E" w:rsidRDefault="00BE0CD4">
            <w:pPr>
              <w:rPr>
                <w:sz w:val="22"/>
                <w:szCs w:val="22"/>
              </w:rPr>
            </w:pPr>
            <w:r>
              <w:rPr>
                <w:sz w:val="22"/>
                <w:szCs w:val="22"/>
              </w:rPr>
              <w:t>tinnitus</w:t>
            </w:r>
          </w:p>
        </w:tc>
        <w:tc>
          <w:tcPr>
            <w:tcW w:w="991" w:type="pct"/>
            <w:tcBorders>
              <w:top w:val="single" w:sz="4" w:space="0" w:color="auto"/>
              <w:left w:val="single" w:sz="4" w:space="0" w:color="auto"/>
              <w:bottom w:val="single" w:sz="4" w:space="0" w:color="auto"/>
              <w:right w:val="single" w:sz="4" w:space="0" w:color="auto"/>
            </w:tcBorders>
            <w:vAlign w:val="center"/>
          </w:tcPr>
          <w:p w14:paraId="18EB3DD9" w14:textId="77777777" w:rsidR="00382B5E" w:rsidRDefault="00382B5E">
            <w:pPr>
              <w:rPr>
                <w:sz w:val="22"/>
                <w:szCs w:val="22"/>
              </w:rPr>
            </w:pPr>
          </w:p>
        </w:tc>
        <w:tc>
          <w:tcPr>
            <w:tcW w:w="957" w:type="pct"/>
            <w:gridSpan w:val="2"/>
            <w:tcBorders>
              <w:top w:val="single" w:sz="4" w:space="0" w:color="auto"/>
              <w:left w:val="single" w:sz="4" w:space="0" w:color="auto"/>
              <w:bottom w:val="single" w:sz="4" w:space="0" w:color="auto"/>
              <w:right w:val="single" w:sz="4" w:space="0" w:color="auto"/>
            </w:tcBorders>
            <w:vAlign w:val="center"/>
          </w:tcPr>
          <w:p w14:paraId="13B06369" w14:textId="77777777" w:rsidR="00382B5E" w:rsidRDefault="00382B5E">
            <w:pPr>
              <w:rPr>
                <w:sz w:val="22"/>
                <w:szCs w:val="22"/>
              </w:rPr>
            </w:pPr>
          </w:p>
        </w:tc>
        <w:tc>
          <w:tcPr>
            <w:tcW w:w="912" w:type="pct"/>
            <w:tcBorders>
              <w:top w:val="single" w:sz="4" w:space="0" w:color="auto"/>
              <w:left w:val="single" w:sz="4" w:space="0" w:color="auto"/>
              <w:bottom w:val="single" w:sz="4" w:space="0" w:color="auto"/>
              <w:right w:val="single" w:sz="4" w:space="0" w:color="auto"/>
            </w:tcBorders>
            <w:vAlign w:val="center"/>
          </w:tcPr>
          <w:p w14:paraId="70E261BF" w14:textId="77777777" w:rsidR="00382B5E" w:rsidRDefault="00382B5E">
            <w:pPr>
              <w:rPr>
                <w:sz w:val="22"/>
                <w:szCs w:val="22"/>
              </w:rPr>
            </w:pPr>
          </w:p>
        </w:tc>
        <w:tc>
          <w:tcPr>
            <w:tcW w:w="802" w:type="pct"/>
            <w:tcBorders>
              <w:top w:val="single" w:sz="4" w:space="0" w:color="auto"/>
              <w:left w:val="single" w:sz="4" w:space="0" w:color="auto"/>
              <w:bottom w:val="single" w:sz="4" w:space="0" w:color="auto"/>
              <w:right w:val="single" w:sz="4" w:space="0" w:color="auto"/>
            </w:tcBorders>
            <w:vAlign w:val="center"/>
          </w:tcPr>
          <w:p w14:paraId="37CCDBD7" w14:textId="77777777" w:rsidR="00382B5E" w:rsidRDefault="00BE0CD4">
            <w:pPr>
              <w:rPr>
                <w:sz w:val="22"/>
                <w:szCs w:val="22"/>
              </w:rPr>
            </w:pPr>
            <w:r>
              <w:rPr>
                <w:sz w:val="22"/>
                <w:szCs w:val="22"/>
              </w:rPr>
              <w:t>nem ismert</w:t>
            </w:r>
          </w:p>
        </w:tc>
      </w:tr>
      <w:tr w:rsidR="00382B5E" w14:paraId="2B43CA6A" w14:textId="77777777">
        <w:trPr>
          <w:cantSplit/>
        </w:trPr>
        <w:tc>
          <w:tcPr>
            <w:tcW w:w="5000" w:type="pct"/>
            <w:gridSpan w:val="6"/>
            <w:tcBorders>
              <w:top w:val="single" w:sz="4" w:space="0" w:color="auto"/>
              <w:left w:val="single" w:sz="4" w:space="0" w:color="auto"/>
              <w:bottom w:val="single" w:sz="4" w:space="0" w:color="auto"/>
              <w:right w:val="single" w:sz="4" w:space="0" w:color="auto"/>
            </w:tcBorders>
            <w:vAlign w:val="center"/>
          </w:tcPr>
          <w:p w14:paraId="1D74F766" w14:textId="77777777" w:rsidR="00382B5E" w:rsidRDefault="00BE0CD4">
            <w:pPr>
              <w:rPr>
                <w:b/>
                <w:sz w:val="22"/>
                <w:szCs w:val="22"/>
              </w:rPr>
            </w:pPr>
            <w:r>
              <w:rPr>
                <w:b/>
                <w:sz w:val="22"/>
                <w:szCs w:val="22"/>
              </w:rPr>
              <w:t>Szívbetegségek és a szívvel kapcsolatos tünetek</w:t>
            </w:r>
          </w:p>
        </w:tc>
      </w:tr>
      <w:tr w:rsidR="00382B5E" w14:paraId="4CA67B52" w14:textId="77777777">
        <w:trPr>
          <w:cantSplit/>
        </w:trPr>
        <w:tc>
          <w:tcPr>
            <w:tcW w:w="1338" w:type="pct"/>
            <w:tcBorders>
              <w:top w:val="single" w:sz="4" w:space="0" w:color="auto"/>
              <w:left w:val="single" w:sz="4" w:space="0" w:color="auto"/>
              <w:bottom w:val="single" w:sz="4" w:space="0" w:color="auto"/>
              <w:right w:val="single" w:sz="4" w:space="0" w:color="auto"/>
            </w:tcBorders>
            <w:vAlign w:val="center"/>
          </w:tcPr>
          <w:p w14:paraId="62B90D7C" w14:textId="77777777" w:rsidR="00382B5E" w:rsidRDefault="00BE0CD4">
            <w:pPr>
              <w:rPr>
                <w:sz w:val="22"/>
                <w:szCs w:val="22"/>
              </w:rPr>
            </w:pPr>
            <w:r>
              <w:rPr>
                <w:sz w:val="22"/>
                <w:szCs w:val="22"/>
              </w:rPr>
              <w:lastRenderedPageBreak/>
              <w:t>syncope</w:t>
            </w:r>
          </w:p>
        </w:tc>
        <w:tc>
          <w:tcPr>
            <w:tcW w:w="991" w:type="pct"/>
            <w:tcBorders>
              <w:top w:val="single" w:sz="4" w:space="0" w:color="auto"/>
              <w:left w:val="single" w:sz="4" w:space="0" w:color="auto"/>
              <w:bottom w:val="single" w:sz="4" w:space="0" w:color="auto"/>
              <w:right w:val="single" w:sz="4" w:space="0" w:color="auto"/>
            </w:tcBorders>
            <w:vAlign w:val="center"/>
          </w:tcPr>
          <w:p w14:paraId="70474B19" w14:textId="77777777" w:rsidR="00382B5E" w:rsidRDefault="00382B5E">
            <w:pPr>
              <w:rPr>
                <w:sz w:val="22"/>
                <w:szCs w:val="22"/>
              </w:rPr>
            </w:pPr>
          </w:p>
        </w:tc>
        <w:tc>
          <w:tcPr>
            <w:tcW w:w="957" w:type="pct"/>
            <w:gridSpan w:val="2"/>
            <w:tcBorders>
              <w:top w:val="single" w:sz="4" w:space="0" w:color="auto"/>
              <w:left w:val="single" w:sz="4" w:space="0" w:color="auto"/>
              <w:bottom w:val="single" w:sz="4" w:space="0" w:color="auto"/>
              <w:right w:val="single" w:sz="4" w:space="0" w:color="auto"/>
            </w:tcBorders>
            <w:vAlign w:val="center"/>
          </w:tcPr>
          <w:p w14:paraId="7A19045A" w14:textId="77777777" w:rsidR="00382B5E" w:rsidRDefault="00BE0CD4">
            <w:pPr>
              <w:rPr>
                <w:sz w:val="22"/>
                <w:szCs w:val="22"/>
              </w:rPr>
            </w:pPr>
            <w:r>
              <w:rPr>
                <w:sz w:val="22"/>
                <w:szCs w:val="22"/>
              </w:rPr>
              <w:t>ritka</w:t>
            </w:r>
          </w:p>
        </w:tc>
        <w:tc>
          <w:tcPr>
            <w:tcW w:w="912" w:type="pct"/>
            <w:tcBorders>
              <w:top w:val="single" w:sz="4" w:space="0" w:color="auto"/>
              <w:left w:val="single" w:sz="4" w:space="0" w:color="auto"/>
              <w:bottom w:val="single" w:sz="4" w:space="0" w:color="auto"/>
              <w:right w:val="single" w:sz="4" w:space="0" w:color="auto"/>
            </w:tcBorders>
            <w:vAlign w:val="center"/>
          </w:tcPr>
          <w:p w14:paraId="2CC8DDB8" w14:textId="77777777" w:rsidR="00382B5E" w:rsidRDefault="00382B5E">
            <w:pPr>
              <w:rPr>
                <w:sz w:val="22"/>
                <w:szCs w:val="22"/>
              </w:rPr>
            </w:pPr>
          </w:p>
        </w:tc>
        <w:tc>
          <w:tcPr>
            <w:tcW w:w="802" w:type="pct"/>
            <w:tcBorders>
              <w:top w:val="single" w:sz="4" w:space="0" w:color="auto"/>
              <w:left w:val="single" w:sz="4" w:space="0" w:color="auto"/>
              <w:bottom w:val="single" w:sz="4" w:space="0" w:color="auto"/>
              <w:right w:val="single" w:sz="4" w:space="0" w:color="auto"/>
            </w:tcBorders>
            <w:vAlign w:val="center"/>
          </w:tcPr>
          <w:p w14:paraId="30EE9A69" w14:textId="77777777" w:rsidR="00382B5E" w:rsidRDefault="00382B5E">
            <w:pPr>
              <w:rPr>
                <w:sz w:val="22"/>
                <w:szCs w:val="22"/>
              </w:rPr>
            </w:pPr>
          </w:p>
        </w:tc>
      </w:tr>
      <w:tr w:rsidR="00382B5E" w14:paraId="2BCC35D4" w14:textId="77777777">
        <w:trPr>
          <w:cantSplit/>
        </w:trPr>
        <w:tc>
          <w:tcPr>
            <w:tcW w:w="1338" w:type="pct"/>
            <w:tcBorders>
              <w:top w:val="single" w:sz="4" w:space="0" w:color="auto"/>
              <w:left w:val="single" w:sz="4" w:space="0" w:color="auto"/>
              <w:bottom w:val="single" w:sz="4" w:space="0" w:color="auto"/>
              <w:right w:val="single" w:sz="4" w:space="0" w:color="auto"/>
            </w:tcBorders>
            <w:vAlign w:val="center"/>
          </w:tcPr>
          <w:p w14:paraId="29D5D614" w14:textId="77777777" w:rsidR="00382B5E" w:rsidRDefault="00BE0CD4">
            <w:pPr>
              <w:rPr>
                <w:sz w:val="22"/>
                <w:szCs w:val="22"/>
              </w:rPr>
            </w:pPr>
            <w:r>
              <w:rPr>
                <w:sz w:val="22"/>
                <w:szCs w:val="22"/>
              </w:rPr>
              <w:t>pitvarfibrillatio</w:t>
            </w:r>
          </w:p>
        </w:tc>
        <w:tc>
          <w:tcPr>
            <w:tcW w:w="991" w:type="pct"/>
            <w:tcBorders>
              <w:top w:val="single" w:sz="4" w:space="0" w:color="auto"/>
              <w:left w:val="single" w:sz="4" w:space="0" w:color="auto"/>
              <w:bottom w:val="single" w:sz="4" w:space="0" w:color="auto"/>
              <w:right w:val="single" w:sz="4" w:space="0" w:color="auto"/>
            </w:tcBorders>
            <w:vAlign w:val="center"/>
          </w:tcPr>
          <w:p w14:paraId="0B827637" w14:textId="77777777" w:rsidR="00382B5E" w:rsidRDefault="00382B5E">
            <w:pPr>
              <w:rPr>
                <w:sz w:val="22"/>
                <w:szCs w:val="22"/>
              </w:rPr>
            </w:pPr>
          </w:p>
        </w:tc>
        <w:tc>
          <w:tcPr>
            <w:tcW w:w="957" w:type="pct"/>
            <w:gridSpan w:val="2"/>
            <w:tcBorders>
              <w:top w:val="single" w:sz="4" w:space="0" w:color="auto"/>
              <w:left w:val="single" w:sz="4" w:space="0" w:color="auto"/>
              <w:bottom w:val="single" w:sz="4" w:space="0" w:color="auto"/>
              <w:right w:val="single" w:sz="4" w:space="0" w:color="auto"/>
            </w:tcBorders>
            <w:vAlign w:val="center"/>
          </w:tcPr>
          <w:p w14:paraId="26FDD142" w14:textId="77777777" w:rsidR="00382B5E" w:rsidRDefault="00BE0CD4">
            <w:pPr>
              <w:rPr>
                <w:sz w:val="22"/>
                <w:szCs w:val="22"/>
              </w:rPr>
            </w:pPr>
            <w:r>
              <w:rPr>
                <w:sz w:val="22"/>
                <w:szCs w:val="22"/>
              </w:rPr>
              <w:t>ritka</w:t>
            </w:r>
          </w:p>
        </w:tc>
        <w:tc>
          <w:tcPr>
            <w:tcW w:w="912" w:type="pct"/>
            <w:tcBorders>
              <w:top w:val="single" w:sz="4" w:space="0" w:color="auto"/>
              <w:left w:val="single" w:sz="4" w:space="0" w:color="auto"/>
              <w:bottom w:val="single" w:sz="4" w:space="0" w:color="auto"/>
              <w:right w:val="single" w:sz="4" w:space="0" w:color="auto"/>
            </w:tcBorders>
            <w:vAlign w:val="center"/>
          </w:tcPr>
          <w:p w14:paraId="72518A12" w14:textId="77777777" w:rsidR="00382B5E" w:rsidRDefault="00382B5E">
            <w:pPr>
              <w:rPr>
                <w:sz w:val="22"/>
                <w:szCs w:val="22"/>
              </w:rPr>
            </w:pPr>
          </w:p>
        </w:tc>
        <w:tc>
          <w:tcPr>
            <w:tcW w:w="802" w:type="pct"/>
            <w:tcBorders>
              <w:top w:val="single" w:sz="4" w:space="0" w:color="auto"/>
              <w:left w:val="single" w:sz="4" w:space="0" w:color="auto"/>
              <w:bottom w:val="single" w:sz="4" w:space="0" w:color="auto"/>
              <w:right w:val="single" w:sz="4" w:space="0" w:color="auto"/>
            </w:tcBorders>
            <w:vAlign w:val="center"/>
          </w:tcPr>
          <w:p w14:paraId="3D2ABE1D" w14:textId="77777777" w:rsidR="00382B5E" w:rsidRDefault="00382B5E">
            <w:pPr>
              <w:rPr>
                <w:sz w:val="22"/>
                <w:szCs w:val="22"/>
              </w:rPr>
            </w:pPr>
          </w:p>
        </w:tc>
      </w:tr>
      <w:tr w:rsidR="00382B5E" w14:paraId="49119FF7" w14:textId="77777777">
        <w:trPr>
          <w:cantSplit/>
        </w:trPr>
        <w:tc>
          <w:tcPr>
            <w:tcW w:w="5000" w:type="pct"/>
            <w:gridSpan w:val="6"/>
            <w:tcBorders>
              <w:top w:val="single" w:sz="4" w:space="0" w:color="auto"/>
              <w:left w:val="single" w:sz="4" w:space="0" w:color="auto"/>
              <w:bottom w:val="single" w:sz="4" w:space="0" w:color="auto"/>
              <w:right w:val="single" w:sz="4" w:space="0" w:color="auto"/>
            </w:tcBorders>
            <w:vAlign w:val="center"/>
          </w:tcPr>
          <w:p w14:paraId="5439D0F1" w14:textId="77777777" w:rsidR="00382B5E" w:rsidRDefault="00BE0CD4">
            <w:pPr>
              <w:keepNext/>
              <w:rPr>
                <w:b/>
                <w:sz w:val="22"/>
                <w:szCs w:val="22"/>
              </w:rPr>
            </w:pPr>
            <w:r>
              <w:rPr>
                <w:b/>
                <w:sz w:val="22"/>
                <w:szCs w:val="22"/>
              </w:rPr>
              <w:t>Érbetegségek és tünetek</w:t>
            </w:r>
          </w:p>
        </w:tc>
      </w:tr>
      <w:tr w:rsidR="00382B5E" w14:paraId="4617938B" w14:textId="77777777">
        <w:trPr>
          <w:cantSplit/>
        </w:trPr>
        <w:tc>
          <w:tcPr>
            <w:tcW w:w="1338" w:type="pct"/>
            <w:tcBorders>
              <w:top w:val="single" w:sz="4" w:space="0" w:color="auto"/>
              <w:left w:val="single" w:sz="4" w:space="0" w:color="auto"/>
              <w:bottom w:val="single" w:sz="4" w:space="0" w:color="auto"/>
              <w:right w:val="single" w:sz="4" w:space="0" w:color="auto"/>
            </w:tcBorders>
            <w:vAlign w:val="center"/>
          </w:tcPr>
          <w:p w14:paraId="4432AE95" w14:textId="77777777" w:rsidR="00382B5E" w:rsidRDefault="00BE0CD4">
            <w:pPr>
              <w:rPr>
                <w:sz w:val="22"/>
                <w:szCs w:val="22"/>
              </w:rPr>
            </w:pPr>
            <w:r>
              <w:rPr>
                <w:sz w:val="22"/>
                <w:szCs w:val="22"/>
              </w:rPr>
              <w:t>(orthostaticus) hypotonia (beleértve a dózisfüggő orthostaticus hatásokat)</w:t>
            </w:r>
            <w:r>
              <w:rPr>
                <w:sz w:val="22"/>
                <w:szCs w:val="22"/>
                <w:vertAlign w:val="superscript"/>
              </w:rPr>
              <w:t>║</w:t>
            </w:r>
          </w:p>
        </w:tc>
        <w:tc>
          <w:tcPr>
            <w:tcW w:w="991" w:type="pct"/>
            <w:tcBorders>
              <w:top w:val="single" w:sz="4" w:space="0" w:color="auto"/>
              <w:left w:val="single" w:sz="4" w:space="0" w:color="auto"/>
              <w:bottom w:val="single" w:sz="4" w:space="0" w:color="auto"/>
              <w:right w:val="single" w:sz="4" w:space="0" w:color="auto"/>
            </w:tcBorders>
            <w:vAlign w:val="center"/>
          </w:tcPr>
          <w:p w14:paraId="67605A86" w14:textId="77777777" w:rsidR="00382B5E" w:rsidRDefault="00382B5E">
            <w:pPr>
              <w:rPr>
                <w:sz w:val="22"/>
                <w:szCs w:val="22"/>
              </w:rPr>
            </w:pPr>
          </w:p>
        </w:tc>
        <w:tc>
          <w:tcPr>
            <w:tcW w:w="957" w:type="pct"/>
            <w:gridSpan w:val="2"/>
            <w:tcBorders>
              <w:top w:val="single" w:sz="4" w:space="0" w:color="auto"/>
              <w:left w:val="single" w:sz="4" w:space="0" w:color="auto"/>
              <w:bottom w:val="single" w:sz="4" w:space="0" w:color="auto"/>
              <w:right w:val="single" w:sz="4" w:space="0" w:color="auto"/>
            </w:tcBorders>
            <w:vAlign w:val="center"/>
          </w:tcPr>
          <w:p w14:paraId="767DC30F" w14:textId="77777777" w:rsidR="00382B5E" w:rsidRDefault="00BE0CD4">
            <w:pPr>
              <w:rPr>
                <w:sz w:val="22"/>
                <w:szCs w:val="22"/>
              </w:rPr>
            </w:pPr>
            <w:r>
              <w:rPr>
                <w:sz w:val="22"/>
                <w:szCs w:val="22"/>
              </w:rPr>
              <w:t>gyakori</w:t>
            </w:r>
          </w:p>
        </w:tc>
        <w:tc>
          <w:tcPr>
            <w:tcW w:w="912" w:type="pct"/>
            <w:tcBorders>
              <w:top w:val="single" w:sz="4" w:space="0" w:color="auto"/>
              <w:left w:val="single" w:sz="4" w:space="0" w:color="auto"/>
              <w:bottom w:val="single" w:sz="4" w:space="0" w:color="auto"/>
              <w:right w:val="single" w:sz="4" w:space="0" w:color="auto"/>
            </w:tcBorders>
            <w:vAlign w:val="center"/>
          </w:tcPr>
          <w:p w14:paraId="51B1045E" w14:textId="77777777" w:rsidR="00382B5E" w:rsidRDefault="00BE0CD4">
            <w:pPr>
              <w:rPr>
                <w:sz w:val="22"/>
                <w:szCs w:val="22"/>
              </w:rPr>
            </w:pPr>
            <w:r>
              <w:rPr>
                <w:sz w:val="22"/>
                <w:szCs w:val="22"/>
              </w:rPr>
              <w:t>gyakori</w:t>
            </w:r>
          </w:p>
        </w:tc>
        <w:tc>
          <w:tcPr>
            <w:tcW w:w="802" w:type="pct"/>
            <w:tcBorders>
              <w:top w:val="single" w:sz="4" w:space="0" w:color="auto"/>
              <w:left w:val="single" w:sz="4" w:space="0" w:color="auto"/>
              <w:bottom w:val="single" w:sz="4" w:space="0" w:color="auto"/>
              <w:right w:val="single" w:sz="4" w:space="0" w:color="auto"/>
            </w:tcBorders>
            <w:vAlign w:val="center"/>
          </w:tcPr>
          <w:p w14:paraId="0F0175F9" w14:textId="77777777" w:rsidR="00382B5E" w:rsidRDefault="00382B5E">
            <w:pPr>
              <w:rPr>
                <w:sz w:val="22"/>
                <w:szCs w:val="22"/>
              </w:rPr>
            </w:pPr>
          </w:p>
        </w:tc>
      </w:tr>
      <w:tr w:rsidR="00382B5E" w14:paraId="651A91B4" w14:textId="77777777">
        <w:trPr>
          <w:cantSplit/>
        </w:trPr>
        <w:tc>
          <w:tcPr>
            <w:tcW w:w="1338" w:type="pct"/>
            <w:tcBorders>
              <w:top w:val="single" w:sz="4" w:space="0" w:color="auto"/>
              <w:left w:val="single" w:sz="4" w:space="0" w:color="auto"/>
              <w:bottom w:val="single" w:sz="4" w:space="0" w:color="auto"/>
              <w:right w:val="single" w:sz="4" w:space="0" w:color="auto"/>
            </w:tcBorders>
            <w:vAlign w:val="center"/>
          </w:tcPr>
          <w:p w14:paraId="11841D48" w14:textId="77777777" w:rsidR="00382B5E" w:rsidRDefault="00BE0CD4">
            <w:pPr>
              <w:rPr>
                <w:sz w:val="22"/>
                <w:szCs w:val="22"/>
              </w:rPr>
            </w:pPr>
            <w:r>
              <w:rPr>
                <w:sz w:val="22"/>
                <w:szCs w:val="22"/>
              </w:rPr>
              <w:t>cerebrovascularis történés</w:t>
            </w:r>
          </w:p>
        </w:tc>
        <w:tc>
          <w:tcPr>
            <w:tcW w:w="991" w:type="pct"/>
            <w:tcBorders>
              <w:top w:val="single" w:sz="4" w:space="0" w:color="auto"/>
              <w:left w:val="single" w:sz="4" w:space="0" w:color="auto"/>
              <w:bottom w:val="single" w:sz="4" w:space="0" w:color="auto"/>
              <w:right w:val="single" w:sz="4" w:space="0" w:color="auto"/>
            </w:tcBorders>
            <w:vAlign w:val="center"/>
          </w:tcPr>
          <w:p w14:paraId="14640835" w14:textId="77777777" w:rsidR="00382B5E" w:rsidRDefault="00382B5E">
            <w:pPr>
              <w:rPr>
                <w:sz w:val="22"/>
                <w:szCs w:val="22"/>
              </w:rPr>
            </w:pPr>
          </w:p>
        </w:tc>
        <w:tc>
          <w:tcPr>
            <w:tcW w:w="957" w:type="pct"/>
            <w:gridSpan w:val="2"/>
            <w:tcBorders>
              <w:top w:val="single" w:sz="4" w:space="0" w:color="auto"/>
              <w:left w:val="single" w:sz="4" w:space="0" w:color="auto"/>
              <w:bottom w:val="single" w:sz="4" w:space="0" w:color="auto"/>
              <w:right w:val="single" w:sz="4" w:space="0" w:color="auto"/>
            </w:tcBorders>
            <w:vAlign w:val="center"/>
          </w:tcPr>
          <w:p w14:paraId="5C9BA3CE" w14:textId="77777777" w:rsidR="00382B5E" w:rsidRDefault="00BE0CD4">
            <w:pPr>
              <w:rPr>
                <w:sz w:val="22"/>
                <w:szCs w:val="22"/>
              </w:rPr>
            </w:pPr>
            <w:r>
              <w:rPr>
                <w:sz w:val="22"/>
                <w:szCs w:val="22"/>
              </w:rPr>
              <w:t>ritka</w:t>
            </w:r>
          </w:p>
        </w:tc>
        <w:tc>
          <w:tcPr>
            <w:tcW w:w="912" w:type="pct"/>
            <w:tcBorders>
              <w:top w:val="single" w:sz="4" w:space="0" w:color="auto"/>
              <w:left w:val="single" w:sz="4" w:space="0" w:color="auto"/>
              <w:bottom w:val="single" w:sz="4" w:space="0" w:color="auto"/>
              <w:right w:val="single" w:sz="4" w:space="0" w:color="auto"/>
            </w:tcBorders>
            <w:vAlign w:val="center"/>
          </w:tcPr>
          <w:p w14:paraId="59E80BC6" w14:textId="77777777" w:rsidR="00382B5E" w:rsidRDefault="00382B5E">
            <w:pPr>
              <w:rPr>
                <w:sz w:val="22"/>
                <w:szCs w:val="22"/>
              </w:rPr>
            </w:pPr>
          </w:p>
        </w:tc>
        <w:tc>
          <w:tcPr>
            <w:tcW w:w="802" w:type="pct"/>
            <w:tcBorders>
              <w:top w:val="single" w:sz="4" w:space="0" w:color="auto"/>
              <w:left w:val="single" w:sz="4" w:space="0" w:color="auto"/>
              <w:bottom w:val="single" w:sz="4" w:space="0" w:color="auto"/>
              <w:right w:val="single" w:sz="4" w:space="0" w:color="auto"/>
            </w:tcBorders>
            <w:vAlign w:val="center"/>
          </w:tcPr>
          <w:p w14:paraId="36188106" w14:textId="77777777" w:rsidR="00382B5E" w:rsidRDefault="00382B5E">
            <w:pPr>
              <w:rPr>
                <w:sz w:val="22"/>
                <w:szCs w:val="22"/>
              </w:rPr>
            </w:pPr>
          </w:p>
        </w:tc>
      </w:tr>
      <w:tr w:rsidR="00382B5E" w14:paraId="11D91150" w14:textId="77777777">
        <w:trPr>
          <w:cantSplit/>
        </w:trPr>
        <w:tc>
          <w:tcPr>
            <w:tcW w:w="5000" w:type="pct"/>
            <w:gridSpan w:val="6"/>
            <w:tcBorders>
              <w:top w:val="single" w:sz="4" w:space="0" w:color="auto"/>
              <w:left w:val="single" w:sz="4" w:space="0" w:color="auto"/>
              <w:bottom w:val="single" w:sz="4" w:space="0" w:color="auto"/>
              <w:right w:val="single" w:sz="4" w:space="0" w:color="auto"/>
            </w:tcBorders>
            <w:vAlign w:val="center"/>
          </w:tcPr>
          <w:p w14:paraId="47548E04" w14:textId="77777777" w:rsidR="00382B5E" w:rsidRDefault="00BE0CD4">
            <w:pPr>
              <w:rPr>
                <w:b/>
                <w:sz w:val="22"/>
                <w:szCs w:val="22"/>
              </w:rPr>
            </w:pPr>
            <w:r>
              <w:rPr>
                <w:b/>
                <w:sz w:val="22"/>
                <w:szCs w:val="22"/>
              </w:rPr>
              <w:t>Légzőrendszeri, mellkasi és mediastinalis betegségek és tünetek</w:t>
            </w:r>
          </w:p>
        </w:tc>
      </w:tr>
      <w:tr w:rsidR="00382B5E" w14:paraId="4B353119" w14:textId="77777777">
        <w:trPr>
          <w:cantSplit/>
        </w:trPr>
        <w:tc>
          <w:tcPr>
            <w:tcW w:w="1338" w:type="pct"/>
            <w:tcBorders>
              <w:top w:val="single" w:sz="4" w:space="0" w:color="auto"/>
              <w:left w:val="single" w:sz="4" w:space="0" w:color="auto"/>
              <w:bottom w:val="single" w:sz="4" w:space="0" w:color="auto"/>
              <w:right w:val="single" w:sz="4" w:space="0" w:color="auto"/>
            </w:tcBorders>
            <w:vAlign w:val="center"/>
          </w:tcPr>
          <w:p w14:paraId="4F79E614" w14:textId="77777777" w:rsidR="00382B5E" w:rsidRDefault="00BE0CD4">
            <w:pPr>
              <w:rPr>
                <w:sz w:val="22"/>
                <w:szCs w:val="22"/>
              </w:rPr>
            </w:pPr>
            <w:r>
              <w:rPr>
                <w:sz w:val="22"/>
                <w:szCs w:val="22"/>
              </w:rPr>
              <w:t>dyspnoe</w:t>
            </w:r>
          </w:p>
        </w:tc>
        <w:tc>
          <w:tcPr>
            <w:tcW w:w="991" w:type="pct"/>
            <w:tcBorders>
              <w:top w:val="single" w:sz="4" w:space="0" w:color="auto"/>
              <w:left w:val="single" w:sz="4" w:space="0" w:color="auto"/>
              <w:bottom w:val="single" w:sz="4" w:space="0" w:color="auto"/>
              <w:right w:val="single" w:sz="4" w:space="0" w:color="auto"/>
            </w:tcBorders>
            <w:vAlign w:val="center"/>
          </w:tcPr>
          <w:p w14:paraId="127C7A11" w14:textId="77777777" w:rsidR="00382B5E" w:rsidRDefault="00382B5E">
            <w:pPr>
              <w:rPr>
                <w:sz w:val="22"/>
                <w:szCs w:val="22"/>
              </w:rPr>
            </w:pPr>
          </w:p>
        </w:tc>
        <w:tc>
          <w:tcPr>
            <w:tcW w:w="957" w:type="pct"/>
            <w:gridSpan w:val="2"/>
            <w:tcBorders>
              <w:top w:val="single" w:sz="4" w:space="0" w:color="auto"/>
              <w:left w:val="single" w:sz="4" w:space="0" w:color="auto"/>
              <w:bottom w:val="single" w:sz="4" w:space="0" w:color="auto"/>
              <w:right w:val="single" w:sz="4" w:space="0" w:color="auto"/>
            </w:tcBorders>
            <w:vAlign w:val="center"/>
          </w:tcPr>
          <w:p w14:paraId="4C6387C3" w14:textId="77777777" w:rsidR="00382B5E" w:rsidRDefault="00BE0CD4">
            <w:pPr>
              <w:rPr>
                <w:sz w:val="22"/>
                <w:szCs w:val="22"/>
              </w:rPr>
            </w:pPr>
            <w:r>
              <w:rPr>
                <w:sz w:val="22"/>
                <w:szCs w:val="22"/>
              </w:rPr>
              <w:t>nem gyakori</w:t>
            </w:r>
          </w:p>
        </w:tc>
        <w:tc>
          <w:tcPr>
            <w:tcW w:w="912" w:type="pct"/>
            <w:tcBorders>
              <w:top w:val="single" w:sz="4" w:space="0" w:color="auto"/>
              <w:left w:val="single" w:sz="4" w:space="0" w:color="auto"/>
              <w:bottom w:val="single" w:sz="4" w:space="0" w:color="auto"/>
              <w:right w:val="single" w:sz="4" w:space="0" w:color="auto"/>
            </w:tcBorders>
            <w:vAlign w:val="center"/>
          </w:tcPr>
          <w:p w14:paraId="215C166A" w14:textId="77777777" w:rsidR="00382B5E" w:rsidRDefault="00382B5E">
            <w:pPr>
              <w:rPr>
                <w:sz w:val="22"/>
                <w:szCs w:val="22"/>
              </w:rPr>
            </w:pPr>
          </w:p>
        </w:tc>
        <w:tc>
          <w:tcPr>
            <w:tcW w:w="802" w:type="pct"/>
            <w:tcBorders>
              <w:top w:val="single" w:sz="4" w:space="0" w:color="auto"/>
              <w:left w:val="single" w:sz="4" w:space="0" w:color="auto"/>
              <w:bottom w:val="single" w:sz="4" w:space="0" w:color="auto"/>
              <w:right w:val="single" w:sz="4" w:space="0" w:color="auto"/>
            </w:tcBorders>
            <w:vAlign w:val="center"/>
          </w:tcPr>
          <w:p w14:paraId="64D49A6D" w14:textId="77777777" w:rsidR="00382B5E" w:rsidRDefault="00382B5E">
            <w:pPr>
              <w:rPr>
                <w:sz w:val="22"/>
                <w:szCs w:val="22"/>
              </w:rPr>
            </w:pPr>
          </w:p>
        </w:tc>
      </w:tr>
      <w:tr w:rsidR="00382B5E" w14:paraId="4A4F2C77" w14:textId="77777777">
        <w:trPr>
          <w:cantSplit/>
        </w:trPr>
        <w:tc>
          <w:tcPr>
            <w:tcW w:w="1338" w:type="pct"/>
            <w:tcBorders>
              <w:top w:val="single" w:sz="4" w:space="0" w:color="auto"/>
              <w:left w:val="single" w:sz="4" w:space="0" w:color="auto"/>
              <w:bottom w:val="single" w:sz="4" w:space="0" w:color="auto"/>
              <w:right w:val="single" w:sz="4" w:space="0" w:color="auto"/>
            </w:tcBorders>
            <w:vAlign w:val="center"/>
          </w:tcPr>
          <w:p w14:paraId="52A95C54" w14:textId="77777777" w:rsidR="00382B5E" w:rsidRDefault="00BE0CD4">
            <w:pPr>
              <w:rPr>
                <w:sz w:val="22"/>
                <w:szCs w:val="22"/>
              </w:rPr>
            </w:pPr>
            <w:r>
              <w:rPr>
                <w:sz w:val="22"/>
                <w:szCs w:val="22"/>
              </w:rPr>
              <w:t>köhögés</w:t>
            </w:r>
          </w:p>
        </w:tc>
        <w:tc>
          <w:tcPr>
            <w:tcW w:w="991" w:type="pct"/>
            <w:tcBorders>
              <w:top w:val="single" w:sz="4" w:space="0" w:color="auto"/>
              <w:left w:val="single" w:sz="4" w:space="0" w:color="auto"/>
              <w:bottom w:val="single" w:sz="4" w:space="0" w:color="auto"/>
              <w:right w:val="single" w:sz="4" w:space="0" w:color="auto"/>
            </w:tcBorders>
            <w:vAlign w:val="center"/>
          </w:tcPr>
          <w:p w14:paraId="4647F0F6" w14:textId="77777777" w:rsidR="00382B5E" w:rsidRDefault="00382B5E">
            <w:pPr>
              <w:rPr>
                <w:sz w:val="22"/>
                <w:szCs w:val="22"/>
              </w:rPr>
            </w:pPr>
          </w:p>
        </w:tc>
        <w:tc>
          <w:tcPr>
            <w:tcW w:w="957" w:type="pct"/>
            <w:gridSpan w:val="2"/>
            <w:tcBorders>
              <w:top w:val="single" w:sz="4" w:space="0" w:color="auto"/>
              <w:left w:val="single" w:sz="4" w:space="0" w:color="auto"/>
              <w:bottom w:val="single" w:sz="4" w:space="0" w:color="auto"/>
              <w:right w:val="single" w:sz="4" w:space="0" w:color="auto"/>
            </w:tcBorders>
            <w:vAlign w:val="center"/>
          </w:tcPr>
          <w:p w14:paraId="50F3DD2A" w14:textId="77777777" w:rsidR="00382B5E" w:rsidRDefault="00BE0CD4">
            <w:pPr>
              <w:rPr>
                <w:sz w:val="22"/>
                <w:szCs w:val="22"/>
              </w:rPr>
            </w:pPr>
            <w:r>
              <w:rPr>
                <w:sz w:val="22"/>
                <w:szCs w:val="22"/>
              </w:rPr>
              <w:t>nem gyakori</w:t>
            </w:r>
          </w:p>
        </w:tc>
        <w:tc>
          <w:tcPr>
            <w:tcW w:w="912" w:type="pct"/>
            <w:tcBorders>
              <w:top w:val="single" w:sz="4" w:space="0" w:color="auto"/>
              <w:left w:val="single" w:sz="4" w:space="0" w:color="auto"/>
              <w:bottom w:val="single" w:sz="4" w:space="0" w:color="auto"/>
              <w:right w:val="single" w:sz="4" w:space="0" w:color="auto"/>
            </w:tcBorders>
            <w:vAlign w:val="center"/>
          </w:tcPr>
          <w:p w14:paraId="36787F42" w14:textId="77777777" w:rsidR="00382B5E" w:rsidRDefault="00382B5E">
            <w:pPr>
              <w:rPr>
                <w:sz w:val="22"/>
                <w:szCs w:val="22"/>
              </w:rPr>
            </w:pPr>
          </w:p>
        </w:tc>
        <w:tc>
          <w:tcPr>
            <w:tcW w:w="802" w:type="pct"/>
            <w:tcBorders>
              <w:top w:val="single" w:sz="4" w:space="0" w:color="auto"/>
              <w:left w:val="single" w:sz="4" w:space="0" w:color="auto"/>
              <w:bottom w:val="single" w:sz="4" w:space="0" w:color="auto"/>
              <w:right w:val="single" w:sz="4" w:space="0" w:color="auto"/>
            </w:tcBorders>
            <w:vAlign w:val="center"/>
          </w:tcPr>
          <w:p w14:paraId="47B6C923" w14:textId="77777777" w:rsidR="00382B5E" w:rsidRDefault="00BE0CD4">
            <w:pPr>
              <w:rPr>
                <w:sz w:val="22"/>
                <w:szCs w:val="22"/>
              </w:rPr>
            </w:pPr>
            <w:r>
              <w:rPr>
                <w:sz w:val="22"/>
                <w:szCs w:val="22"/>
              </w:rPr>
              <w:t>nem ismert</w:t>
            </w:r>
          </w:p>
        </w:tc>
      </w:tr>
      <w:tr w:rsidR="00382B5E" w14:paraId="2272E79C" w14:textId="77777777">
        <w:trPr>
          <w:cantSplit/>
        </w:trPr>
        <w:tc>
          <w:tcPr>
            <w:tcW w:w="5000" w:type="pct"/>
            <w:gridSpan w:val="6"/>
            <w:tcBorders>
              <w:top w:val="single" w:sz="4" w:space="0" w:color="auto"/>
              <w:left w:val="single" w:sz="4" w:space="0" w:color="auto"/>
              <w:bottom w:val="single" w:sz="4" w:space="0" w:color="auto"/>
              <w:right w:val="single" w:sz="4" w:space="0" w:color="auto"/>
            </w:tcBorders>
            <w:vAlign w:val="center"/>
          </w:tcPr>
          <w:p w14:paraId="5A69A885" w14:textId="77777777" w:rsidR="00382B5E" w:rsidRDefault="00BE0CD4">
            <w:pPr>
              <w:keepNext/>
              <w:rPr>
                <w:b/>
                <w:sz w:val="22"/>
                <w:szCs w:val="22"/>
              </w:rPr>
            </w:pPr>
            <w:r>
              <w:rPr>
                <w:b/>
                <w:sz w:val="22"/>
                <w:szCs w:val="22"/>
              </w:rPr>
              <w:t>Emésztőrendszeri betegségek és tünetek</w:t>
            </w:r>
          </w:p>
        </w:tc>
      </w:tr>
      <w:tr w:rsidR="00382B5E" w14:paraId="5350CC7F" w14:textId="77777777">
        <w:trPr>
          <w:cantSplit/>
        </w:trPr>
        <w:tc>
          <w:tcPr>
            <w:tcW w:w="1338" w:type="pct"/>
            <w:tcBorders>
              <w:top w:val="single" w:sz="4" w:space="0" w:color="auto"/>
              <w:left w:val="single" w:sz="4" w:space="0" w:color="auto"/>
              <w:bottom w:val="single" w:sz="4" w:space="0" w:color="auto"/>
              <w:right w:val="single" w:sz="4" w:space="0" w:color="auto"/>
            </w:tcBorders>
            <w:vAlign w:val="center"/>
          </w:tcPr>
          <w:p w14:paraId="2D2C17BA" w14:textId="77777777" w:rsidR="00382B5E" w:rsidRDefault="00BE0CD4">
            <w:pPr>
              <w:rPr>
                <w:sz w:val="22"/>
                <w:szCs w:val="22"/>
              </w:rPr>
            </w:pPr>
            <w:r>
              <w:rPr>
                <w:sz w:val="22"/>
                <w:szCs w:val="22"/>
              </w:rPr>
              <w:t>hasmenés</w:t>
            </w:r>
          </w:p>
        </w:tc>
        <w:tc>
          <w:tcPr>
            <w:tcW w:w="991" w:type="pct"/>
            <w:tcBorders>
              <w:top w:val="single" w:sz="4" w:space="0" w:color="auto"/>
              <w:left w:val="single" w:sz="4" w:space="0" w:color="auto"/>
              <w:bottom w:val="single" w:sz="4" w:space="0" w:color="auto"/>
              <w:right w:val="single" w:sz="4" w:space="0" w:color="auto"/>
            </w:tcBorders>
            <w:vAlign w:val="center"/>
          </w:tcPr>
          <w:p w14:paraId="0F96FC10" w14:textId="77777777" w:rsidR="00382B5E" w:rsidRDefault="00382B5E">
            <w:pPr>
              <w:rPr>
                <w:sz w:val="22"/>
                <w:szCs w:val="22"/>
              </w:rPr>
            </w:pPr>
          </w:p>
        </w:tc>
        <w:tc>
          <w:tcPr>
            <w:tcW w:w="957" w:type="pct"/>
            <w:gridSpan w:val="2"/>
            <w:tcBorders>
              <w:top w:val="single" w:sz="4" w:space="0" w:color="auto"/>
              <w:left w:val="single" w:sz="4" w:space="0" w:color="auto"/>
              <w:bottom w:val="single" w:sz="4" w:space="0" w:color="auto"/>
              <w:right w:val="single" w:sz="4" w:space="0" w:color="auto"/>
            </w:tcBorders>
            <w:vAlign w:val="center"/>
          </w:tcPr>
          <w:p w14:paraId="2E509BD9" w14:textId="77777777" w:rsidR="00382B5E" w:rsidRDefault="00BE0CD4">
            <w:pPr>
              <w:rPr>
                <w:sz w:val="22"/>
                <w:szCs w:val="22"/>
              </w:rPr>
            </w:pPr>
            <w:r>
              <w:rPr>
                <w:sz w:val="22"/>
                <w:szCs w:val="22"/>
              </w:rPr>
              <w:t>nem gyakori</w:t>
            </w:r>
          </w:p>
        </w:tc>
        <w:tc>
          <w:tcPr>
            <w:tcW w:w="912" w:type="pct"/>
            <w:tcBorders>
              <w:top w:val="single" w:sz="4" w:space="0" w:color="auto"/>
              <w:left w:val="single" w:sz="4" w:space="0" w:color="auto"/>
              <w:bottom w:val="single" w:sz="4" w:space="0" w:color="auto"/>
              <w:right w:val="single" w:sz="4" w:space="0" w:color="auto"/>
            </w:tcBorders>
            <w:vAlign w:val="center"/>
          </w:tcPr>
          <w:p w14:paraId="6577A9D9" w14:textId="77777777" w:rsidR="00382B5E" w:rsidRDefault="00382B5E">
            <w:pPr>
              <w:rPr>
                <w:sz w:val="22"/>
                <w:szCs w:val="22"/>
              </w:rPr>
            </w:pPr>
          </w:p>
        </w:tc>
        <w:tc>
          <w:tcPr>
            <w:tcW w:w="802" w:type="pct"/>
            <w:tcBorders>
              <w:top w:val="single" w:sz="4" w:space="0" w:color="auto"/>
              <w:left w:val="single" w:sz="4" w:space="0" w:color="auto"/>
              <w:bottom w:val="single" w:sz="4" w:space="0" w:color="auto"/>
              <w:right w:val="single" w:sz="4" w:space="0" w:color="auto"/>
            </w:tcBorders>
            <w:vAlign w:val="center"/>
          </w:tcPr>
          <w:p w14:paraId="3ABBD7C1" w14:textId="77777777" w:rsidR="00382B5E" w:rsidRDefault="00BE0CD4">
            <w:pPr>
              <w:rPr>
                <w:sz w:val="22"/>
                <w:szCs w:val="22"/>
              </w:rPr>
            </w:pPr>
            <w:r>
              <w:rPr>
                <w:sz w:val="22"/>
                <w:szCs w:val="22"/>
              </w:rPr>
              <w:t>nem ismert</w:t>
            </w:r>
          </w:p>
        </w:tc>
      </w:tr>
      <w:tr w:rsidR="00382B5E" w14:paraId="016B9FAC" w14:textId="77777777">
        <w:trPr>
          <w:cantSplit/>
        </w:trPr>
        <w:tc>
          <w:tcPr>
            <w:tcW w:w="1338" w:type="pct"/>
            <w:tcBorders>
              <w:top w:val="single" w:sz="4" w:space="0" w:color="auto"/>
              <w:left w:val="single" w:sz="4" w:space="0" w:color="auto"/>
              <w:bottom w:val="single" w:sz="4" w:space="0" w:color="auto"/>
              <w:right w:val="single" w:sz="4" w:space="0" w:color="auto"/>
            </w:tcBorders>
            <w:vAlign w:val="center"/>
          </w:tcPr>
          <w:p w14:paraId="5DC2059E" w14:textId="77777777" w:rsidR="00382B5E" w:rsidRDefault="00BE0CD4">
            <w:pPr>
              <w:rPr>
                <w:sz w:val="22"/>
                <w:szCs w:val="22"/>
              </w:rPr>
            </w:pPr>
            <w:r>
              <w:rPr>
                <w:sz w:val="22"/>
                <w:szCs w:val="22"/>
              </w:rPr>
              <w:t>hányinger</w:t>
            </w:r>
          </w:p>
        </w:tc>
        <w:tc>
          <w:tcPr>
            <w:tcW w:w="991" w:type="pct"/>
            <w:tcBorders>
              <w:top w:val="single" w:sz="4" w:space="0" w:color="auto"/>
              <w:left w:val="single" w:sz="4" w:space="0" w:color="auto"/>
              <w:bottom w:val="single" w:sz="4" w:space="0" w:color="auto"/>
              <w:right w:val="single" w:sz="4" w:space="0" w:color="auto"/>
            </w:tcBorders>
            <w:vAlign w:val="center"/>
          </w:tcPr>
          <w:p w14:paraId="775E644C" w14:textId="77777777" w:rsidR="00382B5E" w:rsidRDefault="00382B5E">
            <w:pPr>
              <w:rPr>
                <w:sz w:val="22"/>
                <w:szCs w:val="22"/>
              </w:rPr>
            </w:pPr>
          </w:p>
        </w:tc>
        <w:tc>
          <w:tcPr>
            <w:tcW w:w="957" w:type="pct"/>
            <w:gridSpan w:val="2"/>
            <w:tcBorders>
              <w:top w:val="single" w:sz="4" w:space="0" w:color="auto"/>
              <w:left w:val="single" w:sz="4" w:space="0" w:color="auto"/>
              <w:bottom w:val="single" w:sz="4" w:space="0" w:color="auto"/>
              <w:right w:val="single" w:sz="4" w:space="0" w:color="auto"/>
            </w:tcBorders>
            <w:vAlign w:val="center"/>
          </w:tcPr>
          <w:p w14:paraId="7B3AB902" w14:textId="77777777" w:rsidR="00382B5E" w:rsidRDefault="00BE0CD4">
            <w:pPr>
              <w:rPr>
                <w:sz w:val="22"/>
                <w:szCs w:val="22"/>
              </w:rPr>
            </w:pPr>
            <w:r>
              <w:rPr>
                <w:sz w:val="22"/>
                <w:szCs w:val="22"/>
              </w:rPr>
              <w:t>nem gyakori</w:t>
            </w:r>
          </w:p>
        </w:tc>
        <w:tc>
          <w:tcPr>
            <w:tcW w:w="912" w:type="pct"/>
            <w:tcBorders>
              <w:top w:val="single" w:sz="4" w:space="0" w:color="auto"/>
              <w:left w:val="single" w:sz="4" w:space="0" w:color="auto"/>
              <w:bottom w:val="single" w:sz="4" w:space="0" w:color="auto"/>
              <w:right w:val="single" w:sz="4" w:space="0" w:color="auto"/>
            </w:tcBorders>
            <w:vAlign w:val="center"/>
          </w:tcPr>
          <w:p w14:paraId="16D8763E" w14:textId="77777777" w:rsidR="00382B5E" w:rsidRDefault="00382B5E">
            <w:pPr>
              <w:rPr>
                <w:sz w:val="22"/>
                <w:szCs w:val="22"/>
              </w:rPr>
            </w:pPr>
          </w:p>
        </w:tc>
        <w:tc>
          <w:tcPr>
            <w:tcW w:w="802" w:type="pct"/>
            <w:tcBorders>
              <w:top w:val="single" w:sz="4" w:space="0" w:color="auto"/>
              <w:left w:val="single" w:sz="4" w:space="0" w:color="auto"/>
              <w:bottom w:val="single" w:sz="4" w:space="0" w:color="auto"/>
              <w:right w:val="single" w:sz="4" w:space="0" w:color="auto"/>
            </w:tcBorders>
            <w:vAlign w:val="center"/>
          </w:tcPr>
          <w:p w14:paraId="093CED63" w14:textId="77777777" w:rsidR="00382B5E" w:rsidRDefault="00382B5E">
            <w:pPr>
              <w:rPr>
                <w:sz w:val="22"/>
                <w:szCs w:val="22"/>
              </w:rPr>
            </w:pPr>
          </w:p>
        </w:tc>
      </w:tr>
      <w:tr w:rsidR="00382B5E" w14:paraId="5B6C3BA2" w14:textId="77777777">
        <w:trPr>
          <w:cantSplit/>
        </w:trPr>
        <w:tc>
          <w:tcPr>
            <w:tcW w:w="1338" w:type="pct"/>
            <w:tcBorders>
              <w:top w:val="single" w:sz="4" w:space="0" w:color="auto"/>
              <w:left w:val="single" w:sz="4" w:space="0" w:color="auto"/>
              <w:bottom w:val="single" w:sz="4" w:space="0" w:color="auto"/>
              <w:right w:val="single" w:sz="4" w:space="0" w:color="auto"/>
            </w:tcBorders>
            <w:vAlign w:val="center"/>
          </w:tcPr>
          <w:p w14:paraId="18D93F83" w14:textId="77777777" w:rsidR="00382B5E" w:rsidRDefault="00BE0CD4">
            <w:pPr>
              <w:rPr>
                <w:sz w:val="22"/>
                <w:szCs w:val="22"/>
              </w:rPr>
            </w:pPr>
            <w:r>
              <w:rPr>
                <w:sz w:val="22"/>
                <w:szCs w:val="22"/>
              </w:rPr>
              <w:t>hányás</w:t>
            </w:r>
          </w:p>
        </w:tc>
        <w:tc>
          <w:tcPr>
            <w:tcW w:w="991" w:type="pct"/>
            <w:tcBorders>
              <w:top w:val="single" w:sz="4" w:space="0" w:color="auto"/>
              <w:left w:val="single" w:sz="4" w:space="0" w:color="auto"/>
              <w:bottom w:val="single" w:sz="4" w:space="0" w:color="auto"/>
              <w:right w:val="single" w:sz="4" w:space="0" w:color="auto"/>
            </w:tcBorders>
            <w:vAlign w:val="center"/>
          </w:tcPr>
          <w:p w14:paraId="616636A4" w14:textId="77777777" w:rsidR="00382B5E" w:rsidRDefault="00382B5E">
            <w:pPr>
              <w:rPr>
                <w:sz w:val="22"/>
                <w:szCs w:val="22"/>
              </w:rPr>
            </w:pPr>
          </w:p>
        </w:tc>
        <w:tc>
          <w:tcPr>
            <w:tcW w:w="957" w:type="pct"/>
            <w:gridSpan w:val="2"/>
            <w:tcBorders>
              <w:top w:val="single" w:sz="4" w:space="0" w:color="auto"/>
              <w:left w:val="single" w:sz="4" w:space="0" w:color="auto"/>
              <w:bottom w:val="single" w:sz="4" w:space="0" w:color="auto"/>
              <w:right w:val="single" w:sz="4" w:space="0" w:color="auto"/>
            </w:tcBorders>
            <w:vAlign w:val="center"/>
          </w:tcPr>
          <w:p w14:paraId="294B23CF" w14:textId="77777777" w:rsidR="00382B5E" w:rsidRDefault="00BE0CD4">
            <w:pPr>
              <w:rPr>
                <w:sz w:val="22"/>
                <w:szCs w:val="22"/>
              </w:rPr>
            </w:pPr>
            <w:r>
              <w:rPr>
                <w:sz w:val="22"/>
                <w:szCs w:val="22"/>
              </w:rPr>
              <w:t>nem gyakori</w:t>
            </w:r>
          </w:p>
        </w:tc>
        <w:tc>
          <w:tcPr>
            <w:tcW w:w="912" w:type="pct"/>
            <w:tcBorders>
              <w:top w:val="single" w:sz="4" w:space="0" w:color="auto"/>
              <w:left w:val="single" w:sz="4" w:space="0" w:color="auto"/>
              <w:bottom w:val="single" w:sz="4" w:space="0" w:color="auto"/>
              <w:right w:val="single" w:sz="4" w:space="0" w:color="auto"/>
            </w:tcBorders>
            <w:vAlign w:val="center"/>
          </w:tcPr>
          <w:p w14:paraId="42A97F7C" w14:textId="77777777" w:rsidR="00382B5E" w:rsidRDefault="00382B5E">
            <w:pPr>
              <w:rPr>
                <w:sz w:val="22"/>
                <w:szCs w:val="22"/>
              </w:rPr>
            </w:pPr>
          </w:p>
        </w:tc>
        <w:tc>
          <w:tcPr>
            <w:tcW w:w="802" w:type="pct"/>
            <w:tcBorders>
              <w:top w:val="single" w:sz="4" w:space="0" w:color="auto"/>
              <w:left w:val="single" w:sz="4" w:space="0" w:color="auto"/>
              <w:bottom w:val="single" w:sz="4" w:space="0" w:color="auto"/>
              <w:right w:val="single" w:sz="4" w:space="0" w:color="auto"/>
            </w:tcBorders>
            <w:vAlign w:val="center"/>
          </w:tcPr>
          <w:p w14:paraId="7B8C963A" w14:textId="77777777" w:rsidR="00382B5E" w:rsidRDefault="00382B5E">
            <w:pPr>
              <w:rPr>
                <w:sz w:val="22"/>
                <w:szCs w:val="22"/>
              </w:rPr>
            </w:pPr>
          </w:p>
        </w:tc>
      </w:tr>
      <w:tr w:rsidR="00382B5E" w14:paraId="2B8A7692" w14:textId="77777777">
        <w:trPr>
          <w:cantSplit/>
        </w:trPr>
        <w:tc>
          <w:tcPr>
            <w:tcW w:w="1338" w:type="pct"/>
            <w:tcBorders>
              <w:top w:val="single" w:sz="4" w:space="0" w:color="auto"/>
              <w:left w:val="single" w:sz="4" w:space="0" w:color="auto"/>
              <w:bottom w:val="single" w:sz="4" w:space="0" w:color="auto"/>
              <w:right w:val="single" w:sz="4" w:space="0" w:color="auto"/>
            </w:tcBorders>
            <w:vAlign w:val="center"/>
          </w:tcPr>
          <w:p w14:paraId="6238ACC3" w14:textId="77777777" w:rsidR="00382B5E" w:rsidRDefault="00BE0CD4">
            <w:pPr>
              <w:rPr>
                <w:sz w:val="22"/>
                <w:szCs w:val="22"/>
              </w:rPr>
            </w:pPr>
            <w:r>
              <w:rPr>
                <w:sz w:val="22"/>
                <w:szCs w:val="22"/>
              </w:rPr>
              <w:t>intestinalis angiooedema</w:t>
            </w:r>
          </w:p>
        </w:tc>
        <w:tc>
          <w:tcPr>
            <w:tcW w:w="991" w:type="pct"/>
            <w:tcBorders>
              <w:top w:val="single" w:sz="4" w:space="0" w:color="auto"/>
              <w:left w:val="single" w:sz="4" w:space="0" w:color="auto"/>
              <w:bottom w:val="single" w:sz="4" w:space="0" w:color="auto"/>
              <w:right w:val="single" w:sz="4" w:space="0" w:color="auto"/>
            </w:tcBorders>
            <w:vAlign w:val="center"/>
          </w:tcPr>
          <w:p w14:paraId="334898CC" w14:textId="77777777" w:rsidR="00382B5E" w:rsidRDefault="00382B5E">
            <w:pPr>
              <w:rPr>
                <w:sz w:val="22"/>
                <w:szCs w:val="22"/>
              </w:rPr>
            </w:pPr>
          </w:p>
        </w:tc>
        <w:tc>
          <w:tcPr>
            <w:tcW w:w="957" w:type="pct"/>
            <w:gridSpan w:val="2"/>
            <w:tcBorders>
              <w:top w:val="single" w:sz="4" w:space="0" w:color="auto"/>
              <w:left w:val="single" w:sz="4" w:space="0" w:color="auto"/>
              <w:bottom w:val="single" w:sz="4" w:space="0" w:color="auto"/>
              <w:right w:val="single" w:sz="4" w:space="0" w:color="auto"/>
            </w:tcBorders>
            <w:vAlign w:val="center"/>
          </w:tcPr>
          <w:p w14:paraId="031A896E" w14:textId="77777777" w:rsidR="00382B5E" w:rsidRDefault="00382B5E">
            <w:pPr>
              <w:rPr>
                <w:sz w:val="22"/>
                <w:szCs w:val="22"/>
              </w:rPr>
            </w:pPr>
          </w:p>
        </w:tc>
        <w:tc>
          <w:tcPr>
            <w:tcW w:w="912" w:type="pct"/>
            <w:tcBorders>
              <w:top w:val="single" w:sz="4" w:space="0" w:color="auto"/>
              <w:left w:val="single" w:sz="4" w:space="0" w:color="auto"/>
              <w:bottom w:val="single" w:sz="4" w:space="0" w:color="auto"/>
              <w:right w:val="single" w:sz="4" w:space="0" w:color="auto"/>
            </w:tcBorders>
            <w:vAlign w:val="center"/>
          </w:tcPr>
          <w:p w14:paraId="2C16E0BB" w14:textId="77777777" w:rsidR="00382B5E" w:rsidRDefault="00382B5E">
            <w:pPr>
              <w:rPr>
                <w:sz w:val="22"/>
                <w:szCs w:val="22"/>
              </w:rPr>
            </w:pPr>
          </w:p>
        </w:tc>
        <w:tc>
          <w:tcPr>
            <w:tcW w:w="802" w:type="pct"/>
            <w:tcBorders>
              <w:top w:val="single" w:sz="4" w:space="0" w:color="auto"/>
              <w:left w:val="single" w:sz="4" w:space="0" w:color="auto"/>
              <w:bottom w:val="single" w:sz="4" w:space="0" w:color="auto"/>
              <w:right w:val="single" w:sz="4" w:space="0" w:color="auto"/>
            </w:tcBorders>
            <w:vAlign w:val="center"/>
          </w:tcPr>
          <w:p w14:paraId="04B84061" w14:textId="77777777" w:rsidR="00382B5E" w:rsidRDefault="00BE0CD4">
            <w:pPr>
              <w:rPr>
                <w:sz w:val="22"/>
                <w:szCs w:val="22"/>
              </w:rPr>
            </w:pPr>
            <w:r>
              <w:rPr>
                <w:sz w:val="22"/>
                <w:szCs w:val="22"/>
              </w:rPr>
              <w:t>ritka</w:t>
            </w:r>
          </w:p>
        </w:tc>
      </w:tr>
      <w:tr w:rsidR="00382B5E" w14:paraId="109EA887" w14:textId="77777777">
        <w:trPr>
          <w:cantSplit/>
        </w:trPr>
        <w:tc>
          <w:tcPr>
            <w:tcW w:w="5000" w:type="pct"/>
            <w:gridSpan w:val="6"/>
            <w:tcBorders>
              <w:top w:val="single" w:sz="4" w:space="0" w:color="auto"/>
              <w:left w:val="single" w:sz="4" w:space="0" w:color="auto"/>
              <w:bottom w:val="single" w:sz="4" w:space="0" w:color="auto"/>
              <w:right w:val="single" w:sz="4" w:space="0" w:color="auto"/>
            </w:tcBorders>
            <w:vAlign w:val="center"/>
          </w:tcPr>
          <w:p w14:paraId="79F394C1" w14:textId="77777777" w:rsidR="00382B5E" w:rsidRDefault="00BE0CD4">
            <w:pPr>
              <w:rPr>
                <w:b/>
                <w:sz w:val="22"/>
                <w:szCs w:val="22"/>
              </w:rPr>
            </w:pPr>
            <w:r>
              <w:rPr>
                <w:b/>
                <w:sz w:val="22"/>
                <w:szCs w:val="22"/>
              </w:rPr>
              <w:t>Máj- és epebetegségek, illetve tünetek</w:t>
            </w:r>
          </w:p>
        </w:tc>
      </w:tr>
      <w:tr w:rsidR="00382B5E" w14:paraId="28A14300" w14:textId="77777777">
        <w:trPr>
          <w:cantSplit/>
        </w:trPr>
        <w:tc>
          <w:tcPr>
            <w:tcW w:w="1338" w:type="pct"/>
            <w:tcBorders>
              <w:top w:val="single" w:sz="4" w:space="0" w:color="auto"/>
              <w:left w:val="single" w:sz="4" w:space="0" w:color="auto"/>
              <w:bottom w:val="single" w:sz="4" w:space="0" w:color="auto"/>
              <w:right w:val="single" w:sz="4" w:space="0" w:color="auto"/>
            </w:tcBorders>
            <w:vAlign w:val="center"/>
          </w:tcPr>
          <w:p w14:paraId="31B3F2A0" w14:textId="77777777" w:rsidR="00382B5E" w:rsidRDefault="00BE0CD4">
            <w:pPr>
              <w:rPr>
                <w:sz w:val="22"/>
                <w:szCs w:val="22"/>
              </w:rPr>
            </w:pPr>
            <w:r>
              <w:rPr>
                <w:sz w:val="22"/>
                <w:szCs w:val="22"/>
              </w:rPr>
              <w:t>pancreatitis</w:t>
            </w:r>
          </w:p>
        </w:tc>
        <w:tc>
          <w:tcPr>
            <w:tcW w:w="991" w:type="pct"/>
            <w:tcBorders>
              <w:top w:val="single" w:sz="4" w:space="0" w:color="auto"/>
              <w:left w:val="single" w:sz="4" w:space="0" w:color="auto"/>
              <w:bottom w:val="single" w:sz="4" w:space="0" w:color="auto"/>
              <w:right w:val="single" w:sz="4" w:space="0" w:color="auto"/>
            </w:tcBorders>
            <w:vAlign w:val="center"/>
          </w:tcPr>
          <w:p w14:paraId="5F6FA4B6" w14:textId="77777777" w:rsidR="00382B5E" w:rsidRDefault="00382B5E">
            <w:pPr>
              <w:rPr>
                <w:sz w:val="22"/>
                <w:szCs w:val="22"/>
              </w:rPr>
            </w:pPr>
          </w:p>
        </w:tc>
        <w:tc>
          <w:tcPr>
            <w:tcW w:w="957" w:type="pct"/>
            <w:gridSpan w:val="2"/>
            <w:tcBorders>
              <w:top w:val="single" w:sz="4" w:space="0" w:color="auto"/>
              <w:left w:val="single" w:sz="4" w:space="0" w:color="auto"/>
              <w:bottom w:val="single" w:sz="4" w:space="0" w:color="auto"/>
              <w:right w:val="single" w:sz="4" w:space="0" w:color="auto"/>
            </w:tcBorders>
            <w:vAlign w:val="center"/>
          </w:tcPr>
          <w:p w14:paraId="590EC9FC" w14:textId="77777777" w:rsidR="00382B5E" w:rsidRDefault="00382B5E">
            <w:pPr>
              <w:rPr>
                <w:sz w:val="22"/>
                <w:szCs w:val="22"/>
              </w:rPr>
            </w:pPr>
          </w:p>
        </w:tc>
        <w:tc>
          <w:tcPr>
            <w:tcW w:w="912" w:type="pct"/>
            <w:tcBorders>
              <w:top w:val="single" w:sz="4" w:space="0" w:color="auto"/>
              <w:left w:val="single" w:sz="4" w:space="0" w:color="auto"/>
              <w:bottom w:val="single" w:sz="4" w:space="0" w:color="auto"/>
              <w:right w:val="single" w:sz="4" w:space="0" w:color="auto"/>
            </w:tcBorders>
            <w:vAlign w:val="center"/>
          </w:tcPr>
          <w:p w14:paraId="2767A9A8" w14:textId="77777777" w:rsidR="00382B5E" w:rsidRDefault="00382B5E">
            <w:pPr>
              <w:rPr>
                <w:sz w:val="22"/>
                <w:szCs w:val="22"/>
              </w:rPr>
            </w:pPr>
          </w:p>
        </w:tc>
        <w:tc>
          <w:tcPr>
            <w:tcW w:w="802" w:type="pct"/>
            <w:tcBorders>
              <w:top w:val="single" w:sz="4" w:space="0" w:color="auto"/>
              <w:left w:val="single" w:sz="4" w:space="0" w:color="auto"/>
              <w:bottom w:val="single" w:sz="4" w:space="0" w:color="auto"/>
              <w:right w:val="single" w:sz="4" w:space="0" w:color="auto"/>
            </w:tcBorders>
            <w:vAlign w:val="center"/>
          </w:tcPr>
          <w:p w14:paraId="4EE45517" w14:textId="77777777" w:rsidR="00382B5E" w:rsidRDefault="00BE0CD4">
            <w:pPr>
              <w:rPr>
                <w:sz w:val="22"/>
                <w:szCs w:val="22"/>
              </w:rPr>
            </w:pPr>
            <w:r>
              <w:rPr>
                <w:sz w:val="22"/>
                <w:szCs w:val="22"/>
              </w:rPr>
              <w:t>nem ismert</w:t>
            </w:r>
          </w:p>
        </w:tc>
      </w:tr>
      <w:tr w:rsidR="00382B5E" w14:paraId="53D97F13" w14:textId="77777777">
        <w:trPr>
          <w:cantSplit/>
        </w:trPr>
        <w:tc>
          <w:tcPr>
            <w:tcW w:w="1338" w:type="pct"/>
            <w:tcBorders>
              <w:top w:val="single" w:sz="4" w:space="0" w:color="auto"/>
              <w:left w:val="single" w:sz="4" w:space="0" w:color="auto"/>
              <w:bottom w:val="single" w:sz="4" w:space="0" w:color="auto"/>
              <w:right w:val="single" w:sz="4" w:space="0" w:color="auto"/>
            </w:tcBorders>
            <w:vAlign w:val="center"/>
          </w:tcPr>
          <w:p w14:paraId="4D942334" w14:textId="77777777" w:rsidR="00382B5E" w:rsidRDefault="00BE0CD4">
            <w:pPr>
              <w:rPr>
                <w:sz w:val="22"/>
                <w:szCs w:val="22"/>
              </w:rPr>
            </w:pPr>
            <w:r>
              <w:rPr>
                <w:sz w:val="22"/>
                <w:szCs w:val="22"/>
              </w:rPr>
              <w:t>hepatitis</w:t>
            </w:r>
          </w:p>
        </w:tc>
        <w:tc>
          <w:tcPr>
            <w:tcW w:w="991" w:type="pct"/>
            <w:tcBorders>
              <w:top w:val="single" w:sz="4" w:space="0" w:color="auto"/>
              <w:left w:val="single" w:sz="4" w:space="0" w:color="auto"/>
              <w:bottom w:val="single" w:sz="4" w:space="0" w:color="auto"/>
              <w:right w:val="single" w:sz="4" w:space="0" w:color="auto"/>
            </w:tcBorders>
            <w:vAlign w:val="center"/>
          </w:tcPr>
          <w:p w14:paraId="47175151" w14:textId="77777777" w:rsidR="00382B5E" w:rsidRDefault="00382B5E">
            <w:pPr>
              <w:rPr>
                <w:sz w:val="22"/>
                <w:szCs w:val="22"/>
              </w:rPr>
            </w:pPr>
          </w:p>
        </w:tc>
        <w:tc>
          <w:tcPr>
            <w:tcW w:w="957" w:type="pct"/>
            <w:gridSpan w:val="2"/>
            <w:tcBorders>
              <w:top w:val="single" w:sz="4" w:space="0" w:color="auto"/>
              <w:left w:val="single" w:sz="4" w:space="0" w:color="auto"/>
              <w:bottom w:val="single" w:sz="4" w:space="0" w:color="auto"/>
              <w:right w:val="single" w:sz="4" w:space="0" w:color="auto"/>
            </w:tcBorders>
            <w:vAlign w:val="center"/>
          </w:tcPr>
          <w:p w14:paraId="64975894" w14:textId="77777777" w:rsidR="00382B5E" w:rsidRDefault="00382B5E">
            <w:pPr>
              <w:rPr>
                <w:sz w:val="22"/>
                <w:szCs w:val="22"/>
              </w:rPr>
            </w:pPr>
          </w:p>
        </w:tc>
        <w:tc>
          <w:tcPr>
            <w:tcW w:w="912" w:type="pct"/>
            <w:tcBorders>
              <w:top w:val="single" w:sz="4" w:space="0" w:color="auto"/>
              <w:left w:val="single" w:sz="4" w:space="0" w:color="auto"/>
              <w:bottom w:val="single" w:sz="4" w:space="0" w:color="auto"/>
              <w:right w:val="single" w:sz="4" w:space="0" w:color="auto"/>
            </w:tcBorders>
            <w:vAlign w:val="center"/>
          </w:tcPr>
          <w:p w14:paraId="1D2E22E6" w14:textId="77777777" w:rsidR="00382B5E" w:rsidRDefault="00382B5E">
            <w:pPr>
              <w:rPr>
                <w:sz w:val="22"/>
                <w:szCs w:val="22"/>
              </w:rPr>
            </w:pPr>
          </w:p>
        </w:tc>
        <w:tc>
          <w:tcPr>
            <w:tcW w:w="802" w:type="pct"/>
            <w:tcBorders>
              <w:top w:val="single" w:sz="4" w:space="0" w:color="auto"/>
              <w:left w:val="single" w:sz="4" w:space="0" w:color="auto"/>
              <w:bottom w:val="single" w:sz="4" w:space="0" w:color="auto"/>
              <w:right w:val="single" w:sz="4" w:space="0" w:color="auto"/>
            </w:tcBorders>
            <w:vAlign w:val="center"/>
          </w:tcPr>
          <w:p w14:paraId="0DFD9212" w14:textId="77777777" w:rsidR="00382B5E" w:rsidRDefault="00BE0CD4">
            <w:pPr>
              <w:rPr>
                <w:sz w:val="22"/>
                <w:szCs w:val="22"/>
              </w:rPr>
            </w:pPr>
            <w:r>
              <w:rPr>
                <w:sz w:val="22"/>
                <w:szCs w:val="22"/>
              </w:rPr>
              <w:t>ritka</w:t>
            </w:r>
          </w:p>
        </w:tc>
      </w:tr>
      <w:tr w:rsidR="00382B5E" w14:paraId="7ABA6171" w14:textId="77777777">
        <w:trPr>
          <w:cantSplit/>
        </w:trPr>
        <w:tc>
          <w:tcPr>
            <w:tcW w:w="1338" w:type="pct"/>
            <w:tcBorders>
              <w:top w:val="single" w:sz="4" w:space="0" w:color="auto"/>
              <w:left w:val="single" w:sz="4" w:space="0" w:color="auto"/>
              <w:bottom w:val="single" w:sz="4" w:space="0" w:color="auto"/>
              <w:right w:val="single" w:sz="4" w:space="0" w:color="auto"/>
            </w:tcBorders>
            <w:vAlign w:val="center"/>
          </w:tcPr>
          <w:p w14:paraId="59ECE121" w14:textId="77777777" w:rsidR="00382B5E" w:rsidRDefault="00BE0CD4">
            <w:pPr>
              <w:rPr>
                <w:sz w:val="22"/>
                <w:szCs w:val="22"/>
              </w:rPr>
            </w:pPr>
            <w:r>
              <w:rPr>
                <w:iCs/>
                <w:color w:val="000000"/>
                <w:sz w:val="22"/>
                <w:szCs w:val="22"/>
              </w:rPr>
              <w:t>májfunkciós rendellenességek</w:t>
            </w:r>
          </w:p>
        </w:tc>
        <w:tc>
          <w:tcPr>
            <w:tcW w:w="991" w:type="pct"/>
            <w:tcBorders>
              <w:top w:val="single" w:sz="4" w:space="0" w:color="auto"/>
              <w:left w:val="single" w:sz="4" w:space="0" w:color="auto"/>
              <w:bottom w:val="single" w:sz="4" w:space="0" w:color="auto"/>
              <w:right w:val="single" w:sz="4" w:space="0" w:color="auto"/>
            </w:tcBorders>
            <w:vAlign w:val="center"/>
          </w:tcPr>
          <w:p w14:paraId="6F859809" w14:textId="77777777" w:rsidR="00382B5E" w:rsidRDefault="00382B5E">
            <w:pPr>
              <w:rPr>
                <w:sz w:val="22"/>
                <w:szCs w:val="22"/>
              </w:rPr>
            </w:pPr>
          </w:p>
        </w:tc>
        <w:tc>
          <w:tcPr>
            <w:tcW w:w="957" w:type="pct"/>
            <w:gridSpan w:val="2"/>
            <w:tcBorders>
              <w:top w:val="single" w:sz="4" w:space="0" w:color="auto"/>
              <w:left w:val="single" w:sz="4" w:space="0" w:color="auto"/>
              <w:bottom w:val="single" w:sz="4" w:space="0" w:color="auto"/>
              <w:right w:val="single" w:sz="4" w:space="0" w:color="auto"/>
            </w:tcBorders>
            <w:vAlign w:val="center"/>
          </w:tcPr>
          <w:p w14:paraId="7326846E" w14:textId="77777777" w:rsidR="00382B5E" w:rsidRDefault="00382B5E">
            <w:pPr>
              <w:rPr>
                <w:sz w:val="22"/>
                <w:szCs w:val="22"/>
              </w:rPr>
            </w:pPr>
          </w:p>
        </w:tc>
        <w:tc>
          <w:tcPr>
            <w:tcW w:w="912" w:type="pct"/>
            <w:tcBorders>
              <w:top w:val="single" w:sz="4" w:space="0" w:color="auto"/>
              <w:left w:val="single" w:sz="4" w:space="0" w:color="auto"/>
              <w:bottom w:val="single" w:sz="4" w:space="0" w:color="auto"/>
              <w:right w:val="single" w:sz="4" w:space="0" w:color="auto"/>
            </w:tcBorders>
            <w:vAlign w:val="center"/>
          </w:tcPr>
          <w:p w14:paraId="27B37735" w14:textId="77777777" w:rsidR="00382B5E" w:rsidRDefault="00382B5E">
            <w:pPr>
              <w:rPr>
                <w:sz w:val="22"/>
                <w:szCs w:val="22"/>
              </w:rPr>
            </w:pPr>
          </w:p>
        </w:tc>
        <w:tc>
          <w:tcPr>
            <w:tcW w:w="802" w:type="pct"/>
            <w:tcBorders>
              <w:top w:val="single" w:sz="4" w:space="0" w:color="auto"/>
              <w:left w:val="single" w:sz="4" w:space="0" w:color="auto"/>
              <w:bottom w:val="single" w:sz="4" w:space="0" w:color="auto"/>
              <w:right w:val="single" w:sz="4" w:space="0" w:color="auto"/>
            </w:tcBorders>
            <w:vAlign w:val="center"/>
          </w:tcPr>
          <w:p w14:paraId="2AF100D9" w14:textId="77777777" w:rsidR="00382B5E" w:rsidRDefault="00BE0CD4">
            <w:pPr>
              <w:rPr>
                <w:sz w:val="22"/>
                <w:szCs w:val="22"/>
              </w:rPr>
            </w:pPr>
            <w:r>
              <w:rPr>
                <w:sz w:val="22"/>
                <w:szCs w:val="22"/>
              </w:rPr>
              <w:t>nem ismert</w:t>
            </w:r>
          </w:p>
        </w:tc>
      </w:tr>
      <w:tr w:rsidR="00382B5E" w14:paraId="388F2BF3" w14:textId="77777777">
        <w:trPr>
          <w:cantSplit/>
        </w:trPr>
        <w:tc>
          <w:tcPr>
            <w:tcW w:w="5000" w:type="pct"/>
            <w:gridSpan w:val="6"/>
            <w:tcBorders>
              <w:top w:val="single" w:sz="4" w:space="0" w:color="auto"/>
              <w:left w:val="single" w:sz="4" w:space="0" w:color="auto"/>
              <w:bottom w:val="single" w:sz="4" w:space="0" w:color="auto"/>
              <w:right w:val="single" w:sz="4" w:space="0" w:color="auto"/>
            </w:tcBorders>
            <w:vAlign w:val="center"/>
          </w:tcPr>
          <w:p w14:paraId="5B39195F" w14:textId="77777777" w:rsidR="00382B5E" w:rsidRDefault="00BE0CD4">
            <w:pPr>
              <w:rPr>
                <w:b/>
                <w:sz w:val="22"/>
                <w:szCs w:val="22"/>
              </w:rPr>
            </w:pPr>
            <w:r>
              <w:rPr>
                <w:b/>
                <w:sz w:val="22"/>
                <w:szCs w:val="22"/>
              </w:rPr>
              <w:t>A bőr és a bőr alatti szövet betegségei és tünetei</w:t>
            </w:r>
          </w:p>
        </w:tc>
      </w:tr>
      <w:tr w:rsidR="00382B5E" w14:paraId="1B6F6546" w14:textId="77777777">
        <w:trPr>
          <w:cantSplit/>
        </w:trPr>
        <w:tc>
          <w:tcPr>
            <w:tcW w:w="1338" w:type="pct"/>
            <w:tcBorders>
              <w:top w:val="single" w:sz="4" w:space="0" w:color="auto"/>
              <w:left w:val="single" w:sz="4" w:space="0" w:color="auto"/>
              <w:bottom w:val="single" w:sz="4" w:space="0" w:color="auto"/>
              <w:right w:val="single" w:sz="4" w:space="0" w:color="auto"/>
            </w:tcBorders>
            <w:vAlign w:val="center"/>
          </w:tcPr>
          <w:p w14:paraId="6795EC55" w14:textId="77777777" w:rsidR="00382B5E" w:rsidRDefault="00BE0CD4">
            <w:pPr>
              <w:rPr>
                <w:sz w:val="22"/>
                <w:szCs w:val="22"/>
              </w:rPr>
            </w:pPr>
            <w:r>
              <w:rPr>
                <w:sz w:val="22"/>
                <w:szCs w:val="22"/>
              </w:rPr>
              <w:t>urticaria</w:t>
            </w:r>
          </w:p>
        </w:tc>
        <w:tc>
          <w:tcPr>
            <w:tcW w:w="991" w:type="pct"/>
            <w:tcBorders>
              <w:top w:val="single" w:sz="4" w:space="0" w:color="auto"/>
              <w:left w:val="single" w:sz="4" w:space="0" w:color="auto"/>
              <w:bottom w:val="single" w:sz="4" w:space="0" w:color="auto"/>
              <w:right w:val="single" w:sz="4" w:space="0" w:color="auto"/>
            </w:tcBorders>
            <w:vAlign w:val="center"/>
          </w:tcPr>
          <w:p w14:paraId="7D9857A9" w14:textId="77777777" w:rsidR="00382B5E" w:rsidRDefault="00382B5E">
            <w:pPr>
              <w:rPr>
                <w:sz w:val="22"/>
                <w:szCs w:val="22"/>
              </w:rPr>
            </w:pPr>
          </w:p>
        </w:tc>
        <w:tc>
          <w:tcPr>
            <w:tcW w:w="957" w:type="pct"/>
            <w:gridSpan w:val="2"/>
            <w:tcBorders>
              <w:top w:val="single" w:sz="4" w:space="0" w:color="auto"/>
              <w:left w:val="single" w:sz="4" w:space="0" w:color="auto"/>
              <w:bottom w:val="single" w:sz="4" w:space="0" w:color="auto"/>
              <w:right w:val="single" w:sz="4" w:space="0" w:color="auto"/>
            </w:tcBorders>
            <w:vAlign w:val="center"/>
          </w:tcPr>
          <w:p w14:paraId="5867E5FB" w14:textId="77777777" w:rsidR="00382B5E" w:rsidRDefault="00BE0CD4">
            <w:pPr>
              <w:rPr>
                <w:sz w:val="22"/>
                <w:szCs w:val="22"/>
              </w:rPr>
            </w:pPr>
            <w:r>
              <w:rPr>
                <w:sz w:val="22"/>
                <w:szCs w:val="22"/>
              </w:rPr>
              <w:t>nem gyakori</w:t>
            </w:r>
          </w:p>
        </w:tc>
        <w:tc>
          <w:tcPr>
            <w:tcW w:w="912" w:type="pct"/>
            <w:tcBorders>
              <w:top w:val="single" w:sz="4" w:space="0" w:color="auto"/>
              <w:left w:val="single" w:sz="4" w:space="0" w:color="auto"/>
              <w:bottom w:val="single" w:sz="4" w:space="0" w:color="auto"/>
              <w:right w:val="single" w:sz="4" w:space="0" w:color="auto"/>
            </w:tcBorders>
            <w:vAlign w:val="center"/>
          </w:tcPr>
          <w:p w14:paraId="24EEA421" w14:textId="77777777" w:rsidR="00382B5E" w:rsidRDefault="00382B5E">
            <w:pPr>
              <w:rPr>
                <w:sz w:val="22"/>
                <w:szCs w:val="22"/>
              </w:rPr>
            </w:pPr>
          </w:p>
        </w:tc>
        <w:tc>
          <w:tcPr>
            <w:tcW w:w="802" w:type="pct"/>
            <w:tcBorders>
              <w:top w:val="single" w:sz="4" w:space="0" w:color="auto"/>
              <w:left w:val="single" w:sz="4" w:space="0" w:color="auto"/>
              <w:bottom w:val="single" w:sz="4" w:space="0" w:color="auto"/>
              <w:right w:val="single" w:sz="4" w:space="0" w:color="auto"/>
            </w:tcBorders>
            <w:vAlign w:val="center"/>
          </w:tcPr>
          <w:p w14:paraId="721B4693" w14:textId="77777777" w:rsidR="00382B5E" w:rsidRDefault="00BE0CD4">
            <w:pPr>
              <w:rPr>
                <w:sz w:val="22"/>
                <w:szCs w:val="22"/>
              </w:rPr>
            </w:pPr>
            <w:r>
              <w:rPr>
                <w:sz w:val="22"/>
                <w:szCs w:val="22"/>
              </w:rPr>
              <w:t>nem ismert</w:t>
            </w:r>
          </w:p>
        </w:tc>
      </w:tr>
      <w:tr w:rsidR="00382B5E" w14:paraId="7F85159D" w14:textId="77777777">
        <w:trPr>
          <w:cantSplit/>
        </w:trPr>
        <w:tc>
          <w:tcPr>
            <w:tcW w:w="1338" w:type="pct"/>
            <w:tcBorders>
              <w:top w:val="single" w:sz="4" w:space="0" w:color="auto"/>
              <w:left w:val="single" w:sz="4" w:space="0" w:color="auto"/>
              <w:bottom w:val="single" w:sz="4" w:space="0" w:color="auto"/>
              <w:right w:val="single" w:sz="4" w:space="0" w:color="auto"/>
            </w:tcBorders>
            <w:vAlign w:val="center"/>
          </w:tcPr>
          <w:p w14:paraId="1B8CE940" w14:textId="77777777" w:rsidR="00382B5E" w:rsidRDefault="00BE0CD4">
            <w:pPr>
              <w:rPr>
                <w:sz w:val="22"/>
                <w:szCs w:val="22"/>
              </w:rPr>
            </w:pPr>
            <w:r>
              <w:rPr>
                <w:sz w:val="22"/>
                <w:szCs w:val="22"/>
              </w:rPr>
              <w:t>pruritus</w:t>
            </w:r>
          </w:p>
        </w:tc>
        <w:tc>
          <w:tcPr>
            <w:tcW w:w="991" w:type="pct"/>
            <w:tcBorders>
              <w:top w:val="single" w:sz="4" w:space="0" w:color="auto"/>
              <w:left w:val="single" w:sz="4" w:space="0" w:color="auto"/>
              <w:bottom w:val="single" w:sz="4" w:space="0" w:color="auto"/>
              <w:right w:val="single" w:sz="4" w:space="0" w:color="auto"/>
            </w:tcBorders>
            <w:vAlign w:val="center"/>
          </w:tcPr>
          <w:p w14:paraId="07DD0648" w14:textId="77777777" w:rsidR="00382B5E" w:rsidRDefault="00382B5E">
            <w:pPr>
              <w:rPr>
                <w:sz w:val="22"/>
                <w:szCs w:val="22"/>
              </w:rPr>
            </w:pPr>
          </w:p>
        </w:tc>
        <w:tc>
          <w:tcPr>
            <w:tcW w:w="957" w:type="pct"/>
            <w:gridSpan w:val="2"/>
            <w:tcBorders>
              <w:top w:val="single" w:sz="4" w:space="0" w:color="auto"/>
              <w:left w:val="single" w:sz="4" w:space="0" w:color="auto"/>
              <w:bottom w:val="single" w:sz="4" w:space="0" w:color="auto"/>
              <w:right w:val="single" w:sz="4" w:space="0" w:color="auto"/>
            </w:tcBorders>
            <w:vAlign w:val="center"/>
          </w:tcPr>
          <w:p w14:paraId="4546BD51" w14:textId="77777777" w:rsidR="00382B5E" w:rsidRDefault="00BE0CD4">
            <w:pPr>
              <w:rPr>
                <w:sz w:val="22"/>
                <w:szCs w:val="22"/>
              </w:rPr>
            </w:pPr>
            <w:r>
              <w:rPr>
                <w:sz w:val="22"/>
                <w:szCs w:val="22"/>
              </w:rPr>
              <w:t>nem gyakori</w:t>
            </w:r>
          </w:p>
        </w:tc>
        <w:tc>
          <w:tcPr>
            <w:tcW w:w="912" w:type="pct"/>
            <w:tcBorders>
              <w:top w:val="single" w:sz="4" w:space="0" w:color="auto"/>
              <w:left w:val="single" w:sz="4" w:space="0" w:color="auto"/>
              <w:bottom w:val="single" w:sz="4" w:space="0" w:color="auto"/>
              <w:right w:val="single" w:sz="4" w:space="0" w:color="auto"/>
            </w:tcBorders>
            <w:vAlign w:val="center"/>
          </w:tcPr>
          <w:p w14:paraId="45D99901" w14:textId="77777777" w:rsidR="00382B5E" w:rsidRDefault="00382B5E">
            <w:pPr>
              <w:rPr>
                <w:sz w:val="22"/>
                <w:szCs w:val="22"/>
              </w:rPr>
            </w:pPr>
          </w:p>
        </w:tc>
        <w:tc>
          <w:tcPr>
            <w:tcW w:w="802" w:type="pct"/>
            <w:tcBorders>
              <w:top w:val="single" w:sz="4" w:space="0" w:color="auto"/>
              <w:left w:val="single" w:sz="4" w:space="0" w:color="auto"/>
              <w:bottom w:val="single" w:sz="4" w:space="0" w:color="auto"/>
              <w:right w:val="single" w:sz="4" w:space="0" w:color="auto"/>
            </w:tcBorders>
            <w:vAlign w:val="center"/>
          </w:tcPr>
          <w:p w14:paraId="47CF8744" w14:textId="77777777" w:rsidR="00382B5E" w:rsidRDefault="00BE0CD4">
            <w:pPr>
              <w:rPr>
                <w:sz w:val="22"/>
                <w:szCs w:val="22"/>
              </w:rPr>
            </w:pPr>
            <w:r>
              <w:rPr>
                <w:sz w:val="22"/>
                <w:szCs w:val="22"/>
              </w:rPr>
              <w:t>nem ismert</w:t>
            </w:r>
          </w:p>
        </w:tc>
      </w:tr>
      <w:tr w:rsidR="00382B5E" w14:paraId="14CC7E21" w14:textId="77777777">
        <w:trPr>
          <w:cantSplit/>
        </w:trPr>
        <w:tc>
          <w:tcPr>
            <w:tcW w:w="1338" w:type="pct"/>
            <w:tcBorders>
              <w:top w:val="single" w:sz="4" w:space="0" w:color="auto"/>
              <w:left w:val="single" w:sz="4" w:space="0" w:color="auto"/>
              <w:bottom w:val="single" w:sz="4" w:space="0" w:color="auto"/>
              <w:right w:val="single" w:sz="4" w:space="0" w:color="auto"/>
            </w:tcBorders>
            <w:vAlign w:val="center"/>
          </w:tcPr>
          <w:p w14:paraId="2F9B270A" w14:textId="77777777" w:rsidR="00382B5E" w:rsidRDefault="00BE0CD4">
            <w:pPr>
              <w:rPr>
                <w:sz w:val="22"/>
                <w:szCs w:val="22"/>
              </w:rPr>
            </w:pPr>
            <w:r>
              <w:rPr>
                <w:sz w:val="22"/>
                <w:szCs w:val="22"/>
              </w:rPr>
              <w:t>kiütés</w:t>
            </w:r>
          </w:p>
        </w:tc>
        <w:tc>
          <w:tcPr>
            <w:tcW w:w="991" w:type="pct"/>
            <w:tcBorders>
              <w:top w:val="single" w:sz="4" w:space="0" w:color="auto"/>
              <w:left w:val="single" w:sz="4" w:space="0" w:color="auto"/>
              <w:bottom w:val="single" w:sz="4" w:space="0" w:color="auto"/>
              <w:right w:val="single" w:sz="4" w:space="0" w:color="auto"/>
            </w:tcBorders>
            <w:vAlign w:val="center"/>
          </w:tcPr>
          <w:p w14:paraId="6E357FF9" w14:textId="77777777" w:rsidR="00382B5E" w:rsidRDefault="00382B5E">
            <w:pPr>
              <w:rPr>
                <w:sz w:val="22"/>
                <w:szCs w:val="22"/>
              </w:rPr>
            </w:pPr>
          </w:p>
        </w:tc>
        <w:tc>
          <w:tcPr>
            <w:tcW w:w="957" w:type="pct"/>
            <w:gridSpan w:val="2"/>
            <w:tcBorders>
              <w:top w:val="single" w:sz="4" w:space="0" w:color="auto"/>
              <w:left w:val="single" w:sz="4" w:space="0" w:color="auto"/>
              <w:bottom w:val="single" w:sz="4" w:space="0" w:color="auto"/>
              <w:right w:val="single" w:sz="4" w:space="0" w:color="auto"/>
            </w:tcBorders>
            <w:vAlign w:val="center"/>
          </w:tcPr>
          <w:p w14:paraId="157B6F64" w14:textId="77777777" w:rsidR="00382B5E" w:rsidRDefault="00BE0CD4">
            <w:pPr>
              <w:rPr>
                <w:sz w:val="22"/>
                <w:szCs w:val="22"/>
              </w:rPr>
            </w:pPr>
            <w:r>
              <w:rPr>
                <w:sz w:val="22"/>
                <w:szCs w:val="22"/>
              </w:rPr>
              <w:t>nem gyakori</w:t>
            </w:r>
          </w:p>
        </w:tc>
        <w:tc>
          <w:tcPr>
            <w:tcW w:w="912" w:type="pct"/>
            <w:tcBorders>
              <w:top w:val="single" w:sz="4" w:space="0" w:color="auto"/>
              <w:left w:val="single" w:sz="4" w:space="0" w:color="auto"/>
              <w:bottom w:val="single" w:sz="4" w:space="0" w:color="auto"/>
              <w:right w:val="single" w:sz="4" w:space="0" w:color="auto"/>
            </w:tcBorders>
            <w:vAlign w:val="center"/>
          </w:tcPr>
          <w:p w14:paraId="3B6D1397" w14:textId="77777777" w:rsidR="00382B5E" w:rsidRDefault="00382B5E">
            <w:pPr>
              <w:rPr>
                <w:sz w:val="22"/>
                <w:szCs w:val="22"/>
              </w:rPr>
            </w:pPr>
          </w:p>
        </w:tc>
        <w:tc>
          <w:tcPr>
            <w:tcW w:w="802" w:type="pct"/>
            <w:tcBorders>
              <w:top w:val="single" w:sz="4" w:space="0" w:color="auto"/>
              <w:left w:val="single" w:sz="4" w:space="0" w:color="auto"/>
              <w:bottom w:val="single" w:sz="4" w:space="0" w:color="auto"/>
              <w:right w:val="single" w:sz="4" w:space="0" w:color="auto"/>
            </w:tcBorders>
            <w:vAlign w:val="center"/>
          </w:tcPr>
          <w:p w14:paraId="62954D89" w14:textId="77777777" w:rsidR="00382B5E" w:rsidRDefault="00BE0CD4">
            <w:pPr>
              <w:rPr>
                <w:sz w:val="22"/>
                <w:szCs w:val="22"/>
              </w:rPr>
            </w:pPr>
            <w:r>
              <w:rPr>
                <w:sz w:val="22"/>
                <w:szCs w:val="22"/>
              </w:rPr>
              <w:t>nem ismert</w:t>
            </w:r>
          </w:p>
        </w:tc>
      </w:tr>
      <w:tr w:rsidR="00382B5E" w14:paraId="04E14A91" w14:textId="77777777">
        <w:trPr>
          <w:cantSplit/>
        </w:trPr>
        <w:tc>
          <w:tcPr>
            <w:tcW w:w="1338" w:type="pct"/>
            <w:tcBorders>
              <w:top w:val="single" w:sz="4" w:space="0" w:color="auto"/>
              <w:left w:val="single" w:sz="4" w:space="0" w:color="auto"/>
              <w:bottom w:val="single" w:sz="4" w:space="0" w:color="auto"/>
              <w:right w:val="single" w:sz="4" w:space="0" w:color="auto"/>
            </w:tcBorders>
            <w:vAlign w:val="center"/>
          </w:tcPr>
          <w:p w14:paraId="040F670C" w14:textId="77777777" w:rsidR="00382B5E" w:rsidRDefault="00BE0CD4">
            <w:pPr>
              <w:rPr>
                <w:sz w:val="22"/>
                <w:szCs w:val="22"/>
              </w:rPr>
            </w:pPr>
            <w:r>
              <w:rPr>
                <w:sz w:val="22"/>
                <w:szCs w:val="22"/>
              </w:rPr>
              <w:t>fényérzékenység</w:t>
            </w:r>
          </w:p>
        </w:tc>
        <w:tc>
          <w:tcPr>
            <w:tcW w:w="991" w:type="pct"/>
            <w:tcBorders>
              <w:top w:val="single" w:sz="4" w:space="0" w:color="auto"/>
              <w:left w:val="single" w:sz="4" w:space="0" w:color="auto"/>
              <w:bottom w:val="single" w:sz="4" w:space="0" w:color="auto"/>
              <w:right w:val="single" w:sz="4" w:space="0" w:color="auto"/>
            </w:tcBorders>
            <w:vAlign w:val="center"/>
          </w:tcPr>
          <w:p w14:paraId="5DF0ED88" w14:textId="77777777" w:rsidR="00382B5E" w:rsidRDefault="00382B5E">
            <w:pPr>
              <w:rPr>
                <w:sz w:val="22"/>
                <w:szCs w:val="22"/>
              </w:rPr>
            </w:pPr>
          </w:p>
        </w:tc>
        <w:tc>
          <w:tcPr>
            <w:tcW w:w="957" w:type="pct"/>
            <w:gridSpan w:val="2"/>
            <w:tcBorders>
              <w:top w:val="single" w:sz="4" w:space="0" w:color="auto"/>
              <w:left w:val="single" w:sz="4" w:space="0" w:color="auto"/>
              <w:bottom w:val="single" w:sz="4" w:space="0" w:color="auto"/>
              <w:right w:val="single" w:sz="4" w:space="0" w:color="auto"/>
            </w:tcBorders>
            <w:vAlign w:val="center"/>
          </w:tcPr>
          <w:p w14:paraId="7ED560C1" w14:textId="77777777" w:rsidR="00382B5E" w:rsidRDefault="00382B5E">
            <w:pPr>
              <w:rPr>
                <w:sz w:val="22"/>
                <w:szCs w:val="22"/>
              </w:rPr>
            </w:pPr>
          </w:p>
        </w:tc>
        <w:tc>
          <w:tcPr>
            <w:tcW w:w="912" w:type="pct"/>
            <w:tcBorders>
              <w:top w:val="single" w:sz="4" w:space="0" w:color="auto"/>
              <w:left w:val="single" w:sz="4" w:space="0" w:color="auto"/>
              <w:bottom w:val="single" w:sz="4" w:space="0" w:color="auto"/>
              <w:right w:val="single" w:sz="4" w:space="0" w:color="auto"/>
            </w:tcBorders>
            <w:vAlign w:val="center"/>
          </w:tcPr>
          <w:p w14:paraId="5AEDD0F6" w14:textId="77777777" w:rsidR="00382B5E" w:rsidRDefault="00382B5E">
            <w:pPr>
              <w:rPr>
                <w:sz w:val="22"/>
                <w:szCs w:val="22"/>
              </w:rPr>
            </w:pPr>
          </w:p>
        </w:tc>
        <w:tc>
          <w:tcPr>
            <w:tcW w:w="802" w:type="pct"/>
            <w:tcBorders>
              <w:top w:val="single" w:sz="4" w:space="0" w:color="auto"/>
              <w:left w:val="single" w:sz="4" w:space="0" w:color="auto"/>
              <w:bottom w:val="single" w:sz="4" w:space="0" w:color="auto"/>
              <w:right w:val="single" w:sz="4" w:space="0" w:color="auto"/>
            </w:tcBorders>
            <w:vAlign w:val="center"/>
          </w:tcPr>
          <w:p w14:paraId="70764927" w14:textId="77777777" w:rsidR="00382B5E" w:rsidRDefault="00BE0CD4">
            <w:pPr>
              <w:rPr>
                <w:sz w:val="22"/>
                <w:szCs w:val="22"/>
              </w:rPr>
            </w:pPr>
            <w:r>
              <w:rPr>
                <w:sz w:val="22"/>
                <w:szCs w:val="22"/>
              </w:rPr>
              <w:t>nem ismert</w:t>
            </w:r>
          </w:p>
        </w:tc>
      </w:tr>
      <w:tr w:rsidR="00382B5E" w14:paraId="728D2CE8" w14:textId="77777777">
        <w:trPr>
          <w:cantSplit/>
        </w:trPr>
        <w:tc>
          <w:tcPr>
            <w:tcW w:w="5000" w:type="pct"/>
            <w:gridSpan w:val="6"/>
            <w:tcBorders>
              <w:top w:val="single" w:sz="4" w:space="0" w:color="auto"/>
              <w:left w:val="single" w:sz="4" w:space="0" w:color="auto"/>
              <w:bottom w:val="single" w:sz="4" w:space="0" w:color="auto"/>
              <w:right w:val="single" w:sz="4" w:space="0" w:color="auto"/>
            </w:tcBorders>
            <w:vAlign w:val="center"/>
          </w:tcPr>
          <w:p w14:paraId="51F657A5" w14:textId="77777777" w:rsidR="00382B5E" w:rsidRDefault="00BE0CD4">
            <w:pPr>
              <w:rPr>
                <w:b/>
                <w:sz w:val="22"/>
                <w:szCs w:val="22"/>
              </w:rPr>
            </w:pPr>
            <w:r>
              <w:rPr>
                <w:b/>
                <w:sz w:val="22"/>
                <w:szCs w:val="22"/>
              </w:rPr>
              <w:t>A csont- és izomrendszer, valamint a kötőszövet betegségei és tünetei</w:t>
            </w:r>
          </w:p>
        </w:tc>
      </w:tr>
      <w:tr w:rsidR="00382B5E" w14:paraId="41240D28" w14:textId="77777777">
        <w:trPr>
          <w:cantSplit/>
        </w:trPr>
        <w:tc>
          <w:tcPr>
            <w:tcW w:w="1338" w:type="pct"/>
            <w:tcBorders>
              <w:top w:val="single" w:sz="4" w:space="0" w:color="auto"/>
              <w:left w:val="single" w:sz="4" w:space="0" w:color="auto"/>
              <w:bottom w:val="single" w:sz="4" w:space="0" w:color="auto"/>
              <w:right w:val="single" w:sz="4" w:space="0" w:color="auto"/>
            </w:tcBorders>
            <w:vAlign w:val="center"/>
          </w:tcPr>
          <w:p w14:paraId="2D00A390" w14:textId="77777777" w:rsidR="00382B5E" w:rsidRDefault="00BE0CD4">
            <w:pPr>
              <w:rPr>
                <w:sz w:val="22"/>
                <w:szCs w:val="22"/>
              </w:rPr>
            </w:pPr>
            <w:r>
              <w:rPr>
                <w:sz w:val="22"/>
                <w:szCs w:val="22"/>
              </w:rPr>
              <w:t>myalgia</w:t>
            </w:r>
          </w:p>
        </w:tc>
        <w:tc>
          <w:tcPr>
            <w:tcW w:w="991" w:type="pct"/>
            <w:tcBorders>
              <w:top w:val="single" w:sz="4" w:space="0" w:color="auto"/>
              <w:left w:val="single" w:sz="4" w:space="0" w:color="auto"/>
              <w:bottom w:val="single" w:sz="4" w:space="0" w:color="auto"/>
              <w:right w:val="single" w:sz="4" w:space="0" w:color="auto"/>
            </w:tcBorders>
            <w:vAlign w:val="center"/>
          </w:tcPr>
          <w:p w14:paraId="0C8F98B8" w14:textId="77777777" w:rsidR="00382B5E" w:rsidRDefault="00382B5E">
            <w:pPr>
              <w:rPr>
                <w:sz w:val="22"/>
                <w:szCs w:val="22"/>
              </w:rPr>
            </w:pPr>
          </w:p>
        </w:tc>
        <w:tc>
          <w:tcPr>
            <w:tcW w:w="957" w:type="pct"/>
            <w:gridSpan w:val="2"/>
            <w:tcBorders>
              <w:top w:val="single" w:sz="4" w:space="0" w:color="auto"/>
              <w:left w:val="single" w:sz="4" w:space="0" w:color="auto"/>
              <w:bottom w:val="single" w:sz="4" w:space="0" w:color="auto"/>
              <w:right w:val="single" w:sz="4" w:space="0" w:color="auto"/>
            </w:tcBorders>
            <w:vAlign w:val="center"/>
          </w:tcPr>
          <w:p w14:paraId="7BE2704E" w14:textId="77777777" w:rsidR="00382B5E" w:rsidRDefault="00382B5E">
            <w:pPr>
              <w:rPr>
                <w:sz w:val="22"/>
                <w:szCs w:val="22"/>
              </w:rPr>
            </w:pPr>
          </w:p>
        </w:tc>
        <w:tc>
          <w:tcPr>
            <w:tcW w:w="912" w:type="pct"/>
            <w:tcBorders>
              <w:top w:val="single" w:sz="4" w:space="0" w:color="auto"/>
              <w:left w:val="single" w:sz="4" w:space="0" w:color="auto"/>
              <w:bottom w:val="single" w:sz="4" w:space="0" w:color="auto"/>
              <w:right w:val="single" w:sz="4" w:space="0" w:color="auto"/>
            </w:tcBorders>
            <w:vAlign w:val="center"/>
          </w:tcPr>
          <w:p w14:paraId="38FB59A5" w14:textId="77777777" w:rsidR="00382B5E" w:rsidRDefault="00382B5E">
            <w:pPr>
              <w:rPr>
                <w:sz w:val="22"/>
                <w:szCs w:val="22"/>
              </w:rPr>
            </w:pPr>
          </w:p>
        </w:tc>
        <w:tc>
          <w:tcPr>
            <w:tcW w:w="802" w:type="pct"/>
            <w:tcBorders>
              <w:top w:val="single" w:sz="4" w:space="0" w:color="auto"/>
              <w:left w:val="single" w:sz="4" w:space="0" w:color="auto"/>
              <w:bottom w:val="single" w:sz="4" w:space="0" w:color="auto"/>
              <w:right w:val="single" w:sz="4" w:space="0" w:color="auto"/>
            </w:tcBorders>
            <w:vAlign w:val="center"/>
          </w:tcPr>
          <w:p w14:paraId="1DAAEBC8" w14:textId="77777777" w:rsidR="00382B5E" w:rsidRDefault="00BE0CD4">
            <w:pPr>
              <w:rPr>
                <w:sz w:val="22"/>
                <w:szCs w:val="22"/>
              </w:rPr>
            </w:pPr>
            <w:r>
              <w:rPr>
                <w:sz w:val="22"/>
                <w:szCs w:val="22"/>
              </w:rPr>
              <w:t>nem ismert</w:t>
            </w:r>
          </w:p>
        </w:tc>
      </w:tr>
      <w:tr w:rsidR="00382B5E" w14:paraId="2D3E02BD" w14:textId="77777777">
        <w:trPr>
          <w:cantSplit/>
        </w:trPr>
        <w:tc>
          <w:tcPr>
            <w:tcW w:w="1338" w:type="pct"/>
            <w:tcBorders>
              <w:top w:val="single" w:sz="4" w:space="0" w:color="auto"/>
              <w:left w:val="single" w:sz="4" w:space="0" w:color="auto"/>
              <w:bottom w:val="single" w:sz="4" w:space="0" w:color="auto"/>
              <w:right w:val="single" w:sz="4" w:space="0" w:color="auto"/>
            </w:tcBorders>
            <w:vAlign w:val="center"/>
          </w:tcPr>
          <w:p w14:paraId="1F198589" w14:textId="77777777" w:rsidR="00382B5E" w:rsidRDefault="00BE0CD4">
            <w:pPr>
              <w:rPr>
                <w:sz w:val="22"/>
                <w:szCs w:val="22"/>
              </w:rPr>
            </w:pPr>
            <w:r>
              <w:rPr>
                <w:sz w:val="22"/>
                <w:szCs w:val="22"/>
              </w:rPr>
              <w:t>arthralgia</w:t>
            </w:r>
          </w:p>
        </w:tc>
        <w:tc>
          <w:tcPr>
            <w:tcW w:w="991" w:type="pct"/>
            <w:tcBorders>
              <w:top w:val="single" w:sz="4" w:space="0" w:color="auto"/>
              <w:left w:val="single" w:sz="4" w:space="0" w:color="auto"/>
              <w:bottom w:val="single" w:sz="4" w:space="0" w:color="auto"/>
              <w:right w:val="single" w:sz="4" w:space="0" w:color="auto"/>
            </w:tcBorders>
            <w:vAlign w:val="center"/>
          </w:tcPr>
          <w:p w14:paraId="31248F9E" w14:textId="77777777" w:rsidR="00382B5E" w:rsidRDefault="00382B5E">
            <w:pPr>
              <w:rPr>
                <w:sz w:val="22"/>
                <w:szCs w:val="22"/>
              </w:rPr>
            </w:pPr>
          </w:p>
        </w:tc>
        <w:tc>
          <w:tcPr>
            <w:tcW w:w="957" w:type="pct"/>
            <w:gridSpan w:val="2"/>
            <w:tcBorders>
              <w:top w:val="single" w:sz="4" w:space="0" w:color="auto"/>
              <w:left w:val="single" w:sz="4" w:space="0" w:color="auto"/>
              <w:bottom w:val="single" w:sz="4" w:space="0" w:color="auto"/>
              <w:right w:val="single" w:sz="4" w:space="0" w:color="auto"/>
            </w:tcBorders>
            <w:vAlign w:val="center"/>
          </w:tcPr>
          <w:p w14:paraId="62A678BD" w14:textId="77777777" w:rsidR="00382B5E" w:rsidRDefault="00382B5E">
            <w:pPr>
              <w:rPr>
                <w:sz w:val="22"/>
                <w:szCs w:val="22"/>
              </w:rPr>
            </w:pPr>
          </w:p>
        </w:tc>
        <w:tc>
          <w:tcPr>
            <w:tcW w:w="912" w:type="pct"/>
            <w:tcBorders>
              <w:top w:val="single" w:sz="4" w:space="0" w:color="auto"/>
              <w:left w:val="single" w:sz="4" w:space="0" w:color="auto"/>
              <w:bottom w:val="single" w:sz="4" w:space="0" w:color="auto"/>
              <w:right w:val="single" w:sz="4" w:space="0" w:color="auto"/>
            </w:tcBorders>
            <w:vAlign w:val="center"/>
          </w:tcPr>
          <w:p w14:paraId="2772CA6C" w14:textId="77777777" w:rsidR="00382B5E" w:rsidRDefault="00382B5E">
            <w:pPr>
              <w:rPr>
                <w:sz w:val="22"/>
                <w:szCs w:val="22"/>
              </w:rPr>
            </w:pPr>
          </w:p>
        </w:tc>
        <w:tc>
          <w:tcPr>
            <w:tcW w:w="802" w:type="pct"/>
            <w:tcBorders>
              <w:top w:val="single" w:sz="4" w:space="0" w:color="auto"/>
              <w:left w:val="single" w:sz="4" w:space="0" w:color="auto"/>
              <w:bottom w:val="single" w:sz="4" w:space="0" w:color="auto"/>
              <w:right w:val="single" w:sz="4" w:space="0" w:color="auto"/>
            </w:tcBorders>
            <w:vAlign w:val="center"/>
          </w:tcPr>
          <w:p w14:paraId="79CC49F4" w14:textId="77777777" w:rsidR="00382B5E" w:rsidRDefault="00BE0CD4">
            <w:pPr>
              <w:rPr>
                <w:sz w:val="22"/>
                <w:szCs w:val="22"/>
              </w:rPr>
            </w:pPr>
            <w:r>
              <w:rPr>
                <w:sz w:val="22"/>
                <w:szCs w:val="22"/>
              </w:rPr>
              <w:t>nem ismert</w:t>
            </w:r>
          </w:p>
        </w:tc>
      </w:tr>
      <w:tr w:rsidR="00382B5E" w14:paraId="682F42F3" w14:textId="77777777">
        <w:trPr>
          <w:cantSplit/>
        </w:trPr>
        <w:tc>
          <w:tcPr>
            <w:tcW w:w="1338" w:type="pct"/>
            <w:tcBorders>
              <w:top w:val="single" w:sz="4" w:space="0" w:color="auto"/>
              <w:left w:val="single" w:sz="4" w:space="0" w:color="auto"/>
              <w:bottom w:val="single" w:sz="4" w:space="0" w:color="auto"/>
              <w:right w:val="single" w:sz="4" w:space="0" w:color="auto"/>
            </w:tcBorders>
            <w:vAlign w:val="center"/>
          </w:tcPr>
          <w:p w14:paraId="3EFBD21E" w14:textId="77777777" w:rsidR="00382B5E" w:rsidRDefault="00BE0CD4">
            <w:pPr>
              <w:rPr>
                <w:sz w:val="22"/>
                <w:szCs w:val="22"/>
              </w:rPr>
            </w:pPr>
            <w:r>
              <w:rPr>
                <w:sz w:val="22"/>
                <w:szCs w:val="22"/>
              </w:rPr>
              <w:t>rhabdomyolysis</w:t>
            </w:r>
          </w:p>
        </w:tc>
        <w:tc>
          <w:tcPr>
            <w:tcW w:w="991" w:type="pct"/>
            <w:tcBorders>
              <w:top w:val="single" w:sz="4" w:space="0" w:color="auto"/>
              <w:left w:val="single" w:sz="4" w:space="0" w:color="auto"/>
              <w:bottom w:val="single" w:sz="4" w:space="0" w:color="auto"/>
              <w:right w:val="single" w:sz="4" w:space="0" w:color="auto"/>
            </w:tcBorders>
            <w:vAlign w:val="center"/>
          </w:tcPr>
          <w:p w14:paraId="5DB8B159" w14:textId="77777777" w:rsidR="00382B5E" w:rsidRDefault="00382B5E">
            <w:pPr>
              <w:rPr>
                <w:sz w:val="22"/>
                <w:szCs w:val="22"/>
              </w:rPr>
            </w:pPr>
          </w:p>
        </w:tc>
        <w:tc>
          <w:tcPr>
            <w:tcW w:w="957" w:type="pct"/>
            <w:gridSpan w:val="2"/>
            <w:tcBorders>
              <w:top w:val="single" w:sz="4" w:space="0" w:color="auto"/>
              <w:left w:val="single" w:sz="4" w:space="0" w:color="auto"/>
              <w:bottom w:val="single" w:sz="4" w:space="0" w:color="auto"/>
              <w:right w:val="single" w:sz="4" w:space="0" w:color="auto"/>
            </w:tcBorders>
            <w:vAlign w:val="center"/>
          </w:tcPr>
          <w:p w14:paraId="1178851E" w14:textId="77777777" w:rsidR="00382B5E" w:rsidRDefault="00382B5E">
            <w:pPr>
              <w:rPr>
                <w:sz w:val="22"/>
                <w:szCs w:val="22"/>
              </w:rPr>
            </w:pPr>
          </w:p>
        </w:tc>
        <w:tc>
          <w:tcPr>
            <w:tcW w:w="912" w:type="pct"/>
            <w:tcBorders>
              <w:top w:val="single" w:sz="4" w:space="0" w:color="auto"/>
              <w:left w:val="single" w:sz="4" w:space="0" w:color="auto"/>
              <w:bottom w:val="single" w:sz="4" w:space="0" w:color="auto"/>
              <w:right w:val="single" w:sz="4" w:space="0" w:color="auto"/>
            </w:tcBorders>
            <w:vAlign w:val="center"/>
          </w:tcPr>
          <w:p w14:paraId="579784F2" w14:textId="77777777" w:rsidR="00382B5E" w:rsidRDefault="00382B5E">
            <w:pPr>
              <w:rPr>
                <w:sz w:val="22"/>
                <w:szCs w:val="22"/>
              </w:rPr>
            </w:pPr>
          </w:p>
        </w:tc>
        <w:tc>
          <w:tcPr>
            <w:tcW w:w="802" w:type="pct"/>
            <w:tcBorders>
              <w:top w:val="single" w:sz="4" w:space="0" w:color="auto"/>
              <w:left w:val="single" w:sz="4" w:space="0" w:color="auto"/>
              <w:bottom w:val="single" w:sz="4" w:space="0" w:color="auto"/>
              <w:right w:val="single" w:sz="4" w:space="0" w:color="auto"/>
            </w:tcBorders>
            <w:vAlign w:val="center"/>
          </w:tcPr>
          <w:p w14:paraId="6AD428D4" w14:textId="77777777" w:rsidR="00382B5E" w:rsidRDefault="00BE0CD4">
            <w:pPr>
              <w:rPr>
                <w:sz w:val="22"/>
                <w:szCs w:val="22"/>
              </w:rPr>
            </w:pPr>
            <w:r>
              <w:rPr>
                <w:sz w:val="22"/>
                <w:szCs w:val="22"/>
              </w:rPr>
              <w:t>nem ismert</w:t>
            </w:r>
          </w:p>
        </w:tc>
      </w:tr>
      <w:tr w:rsidR="00382B5E" w14:paraId="40199A90" w14:textId="77777777">
        <w:trPr>
          <w:cantSplit/>
        </w:trPr>
        <w:tc>
          <w:tcPr>
            <w:tcW w:w="5000" w:type="pct"/>
            <w:gridSpan w:val="6"/>
            <w:tcBorders>
              <w:top w:val="single" w:sz="4" w:space="0" w:color="auto"/>
              <w:left w:val="single" w:sz="4" w:space="0" w:color="auto"/>
              <w:bottom w:val="single" w:sz="4" w:space="0" w:color="auto"/>
              <w:right w:val="single" w:sz="4" w:space="0" w:color="auto"/>
            </w:tcBorders>
            <w:vAlign w:val="center"/>
          </w:tcPr>
          <w:p w14:paraId="782860E1" w14:textId="77777777" w:rsidR="00382B5E" w:rsidRDefault="00BE0CD4">
            <w:pPr>
              <w:keepNext/>
              <w:rPr>
                <w:b/>
                <w:sz w:val="22"/>
                <w:szCs w:val="22"/>
              </w:rPr>
            </w:pPr>
            <w:r>
              <w:rPr>
                <w:b/>
                <w:sz w:val="22"/>
                <w:szCs w:val="22"/>
              </w:rPr>
              <w:t>Vese- és húgyúti betegségek és tünetek</w:t>
            </w:r>
          </w:p>
        </w:tc>
      </w:tr>
      <w:tr w:rsidR="00382B5E" w14:paraId="1A9E7A01" w14:textId="77777777">
        <w:trPr>
          <w:cantSplit/>
        </w:trPr>
        <w:tc>
          <w:tcPr>
            <w:tcW w:w="1338" w:type="pct"/>
            <w:tcBorders>
              <w:top w:val="single" w:sz="4" w:space="0" w:color="auto"/>
              <w:left w:val="single" w:sz="4" w:space="0" w:color="auto"/>
              <w:bottom w:val="single" w:sz="4" w:space="0" w:color="auto"/>
              <w:right w:val="single" w:sz="4" w:space="0" w:color="auto"/>
            </w:tcBorders>
            <w:vAlign w:val="center"/>
          </w:tcPr>
          <w:p w14:paraId="314B65D9" w14:textId="77777777" w:rsidR="00382B5E" w:rsidRDefault="00BE0CD4">
            <w:pPr>
              <w:pStyle w:val="MGGTextLeft"/>
              <w:rPr>
                <w:sz w:val="22"/>
                <w:szCs w:val="22"/>
                <w:lang w:val="hu-HU"/>
              </w:rPr>
            </w:pPr>
            <w:r>
              <w:rPr>
                <w:sz w:val="22"/>
                <w:szCs w:val="22"/>
                <w:lang w:val="hu-HU"/>
              </w:rPr>
              <w:t>vesekárosodás</w:t>
            </w:r>
          </w:p>
        </w:tc>
        <w:tc>
          <w:tcPr>
            <w:tcW w:w="991" w:type="pct"/>
            <w:tcBorders>
              <w:top w:val="single" w:sz="4" w:space="0" w:color="auto"/>
              <w:left w:val="single" w:sz="4" w:space="0" w:color="auto"/>
              <w:bottom w:val="single" w:sz="4" w:space="0" w:color="auto"/>
              <w:right w:val="single" w:sz="4" w:space="0" w:color="auto"/>
            </w:tcBorders>
            <w:vAlign w:val="center"/>
          </w:tcPr>
          <w:p w14:paraId="348F0003" w14:textId="77777777" w:rsidR="00382B5E" w:rsidRDefault="00382B5E">
            <w:pPr>
              <w:rPr>
                <w:sz w:val="22"/>
                <w:szCs w:val="22"/>
              </w:rPr>
            </w:pPr>
          </w:p>
        </w:tc>
        <w:tc>
          <w:tcPr>
            <w:tcW w:w="957" w:type="pct"/>
            <w:gridSpan w:val="2"/>
            <w:tcBorders>
              <w:top w:val="single" w:sz="4" w:space="0" w:color="auto"/>
              <w:left w:val="single" w:sz="4" w:space="0" w:color="auto"/>
              <w:bottom w:val="single" w:sz="4" w:space="0" w:color="auto"/>
              <w:right w:val="single" w:sz="4" w:space="0" w:color="auto"/>
            </w:tcBorders>
            <w:vAlign w:val="center"/>
          </w:tcPr>
          <w:p w14:paraId="6D00462F" w14:textId="77777777" w:rsidR="00382B5E" w:rsidRDefault="00BE0CD4">
            <w:pPr>
              <w:rPr>
                <w:sz w:val="22"/>
                <w:szCs w:val="22"/>
              </w:rPr>
            </w:pPr>
            <w:r>
              <w:rPr>
                <w:sz w:val="22"/>
                <w:szCs w:val="22"/>
              </w:rPr>
              <w:t>gyakori</w:t>
            </w:r>
          </w:p>
        </w:tc>
        <w:tc>
          <w:tcPr>
            <w:tcW w:w="912" w:type="pct"/>
            <w:tcBorders>
              <w:top w:val="single" w:sz="4" w:space="0" w:color="auto"/>
              <w:left w:val="single" w:sz="4" w:space="0" w:color="auto"/>
              <w:bottom w:val="single" w:sz="4" w:space="0" w:color="auto"/>
              <w:right w:val="single" w:sz="4" w:space="0" w:color="auto"/>
            </w:tcBorders>
            <w:vAlign w:val="center"/>
          </w:tcPr>
          <w:p w14:paraId="3E9163C6" w14:textId="77777777" w:rsidR="00382B5E" w:rsidRDefault="00382B5E">
            <w:pPr>
              <w:rPr>
                <w:sz w:val="22"/>
                <w:szCs w:val="22"/>
              </w:rPr>
            </w:pPr>
          </w:p>
        </w:tc>
        <w:tc>
          <w:tcPr>
            <w:tcW w:w="802" w:type="pct"/>
            <w:tcBorders>
              <w:top w:val="single" w:sz="4" w:space="0" w:color="auto"/>
              <w:left w:val="single" w:sz="4" w:space="0" w:color="auto"/>
              <w:bottom w:val="single" w:sz="4" w:space="0" w:color="auto"/>
              <w:right w:val="single" w:sz="4" w:space="0" w:color="auto"/>
            </w:tcBorders>
            <w:vAlign w:val="center"/>
          </w:tcPr>
          <w:p w14:paraId="6AAD6F94" w14:textId="77777777" w:rsidR="00382B5E" w:rsidRDefault="00382B5E">
            <w:pPr>
              <w:rPr>
                <w:sz w:val="22"/>
                <w:szCs w:val="22"/>
              </w:rPr>
            </w:pPr>
          </w:p>
        </w:tc>
      </w:tr>
      <w:tr w:rsidR="00382B5E" w14:paraId="78655219" w14:textId="77777777">
        <w:trPr>
          <w:cantSplit/>
        </w:trPr>
        <w:tc>
          <w:tcPr>
            <w:tcW w:w="1338" w:type="pct"/>
            <w:tcBorders>
              <w:top w:val="single" w:sz="4" w:space="0" w:color="auto"/>
              <w:left w:val="single" w:sz="4" w:space="0" w:color="auto"/>
              <w:bottom w:val="single" w:sz="4" w:space="0" w:color="auto"/>
              <w:right w:val="single" w:sz="4" w:space="0" w:color="auto"/>
            </w:tcBorders>
            <w:vAlign w:val="center"/>
          </w:tcPr>
          <w:p w14:paraId="4CBB27CB" w14:textId="77777777" w:rsidR="00382B5E" w:rsidRDefault="00BE0CD4">
            <w:pPr>
              <w:rPr>
                <w:sz w:val="22"/>
                <w:szCs w:val="22"/>
              </w:rPr>
            </w:pPr>
            <w:r>
              <w:rPr>
                <w:sz w:val="22"/>
                <w:szCs w:val="22"/>
              </w:rPr>
              <w:t>veseelégtelenség</w:t>
            </w:r>
          </w:p>
        </w:tc>
        <w:tc>
          <w:tcPr>
            <w:tcW w:w="991" w:type="pct"/>
            <w:tcBorders>
              <w:top w:val="single" w:sz="4" w:space="0" w:color="auto"/>
              <w:left w:val="single" w:sz="4" w:space="0" w:color="auto"/>
              <w:bottom w:val="single" w:sz="4" w:space="0" w:color="auto"/>
              <w:right w:val="single" w:sz="4" w:space="0" w:color="auto"/>
            </w:tcBorders>
            <w:vAlign w:val="center"/>
          </w:tcPr>
          <w:p w14:paraId="42F26FC3" w14:textId="77777777" w:rsidR="00382B5E" w:rsidRDefault="00382B5E">
            <w:pPr>
              <w:rPr>
                <w:sz w:val="22"/>
                <w:szCs w:val="22"/>
              </w:rPr>
            </w:pPr>
          </w:p>
        </w:tc>
        <w:tc>
          <w:tcPr>
            <w:tcW w:w="957" w:type="pct"/>
            <w:gridSpan w:val="2"/>
            <w:tcBorders>
              <w:top w:val="single" w:sz="4" w:space="0" w:color="auto"/>
              <w:left w:val="single" w:sz="4" w:space="0" w:color="auto"/>
              <w:bottom w:val="single" w:sz="4" w:space="0" w:color="auto"/>
              <w:right w:val="single" w:sz="4" w:space="0" w:color="auto"/>
            </w:tcBorders>
            <w:vAlign w:val="center"/>
          </w:tcPr>
          <w:p w14:paraId="69B65D96" w14:textId="77777777" w:rsidR="00382B5E" w:rsidRDefault="00BE0CD4">
            <w:pPr>
              <w:rPr>
                <w:sz w:val="22"/>
                <w:szCs w:val="22"/>
              </w:rPr>
            </w:pPr>
            <w:r>
              <w:rPr>
                <w:sz w:val="22"/>
                <w:szCs w:val="22"/>
              </w:rPr>
              <w:t>gyakori</w:t>
            </w:r>
          </w:p>
        </w:tc>
        <w:tc>
          <w:tcPr>
            <w:tcW w:w="912" w:type="pct"/>
            <w:tcBorders>
              <w:top w:val="single" w:sz="4" w:space="0" w:color="auto"/>
              <w:left w:val="single" w:sz="4" w:space="0" w:color="auto"/>
              <w:bottom w:val="single" w:sz="4" w:space="0" w:color="auto"/>
              <w:right w:val="single" w:sz="4" w:space="0" w:color="auto"/>
            </w:tcBorders>
            <w:vAlign w:val="center"/>
          </w:tcPr>
          <w:p w14:paraId="143123DA" w14:textId="77777777" w:rsidR="00382B5E" w:rsidRDefault="00382B5E">
            <w:pPr>
              <w:rPr>
                <w:sz w:val="22"/>
                <w:szCs w:val="22"/>
              </w:rPr>
            </w:pPr>
          </w:p>
        </w:tc>
        <w:tc>
          <w:tcPr>
            <w:tcW w:w="802" w:type="pct"/>
            <w:tcBorders>
              <w:top w:val="single" w:sz="4" w:space="0" w:color="auto"/>
              <w:left w:val="single" w:sz="4" w:space="0" w:color="auto"/>
              <w:bottom w:val="single" w:sz="4" w:space="0" w:color="auto"/>
              <w:right w:val="single" w:sz="4" w:space="0" w:color="auto"/>
            </w:tcBorders>
            <w:vAlign w:val="center"/>
          </w:tcPr>
          <w:p w14:paraId="3C392C4D" w14:textId="77777777" w:rsidR="00382B5E" w:rsidRDefault="00382B5E">
            <w:pPr>
              <w:rPr>
                <w:sz w:val="22"/>
                <w:szCs w:val="22"/>
              </w:rPr>
            </w:pPr>
          </w:p>
        </w:tc>
      </w:tr>
      <w:tr w:rsidR="00382B5E" w14:paraId="6D03A544" w14:textId="77777777">
        <w:trPr>
          <w:cantSplit/>
        </w:trPr>
        <w:tc>
          <w:tcPr>
            <w:tcW w:w="5000" w:type="pct"/>
            <w:gridSpan w:val="6"/>
            <w:tcBorders>
              <w:top w:val="single" w:sz="4" w:space="0" w:color="auto"/>
              <w:left w:val="single" w:sz="4" w:space="0" w:color="auto"/>
              <w:bottom w:val="single" w:sz="4" w:space="0" w:color="auto"/>
              <w:right w:val="single" w:sz="4" w:space="0" w:color="auto"/>
            </w:tcBorders>
            <w:vAlign w:val="center"/>
          </w:tcPr>
          <w:p w14:paraId="620B77E6" w14:textId="77777777" w:rsidR="00382B5E" w:rsidRDefault="00BE0CD4">
            <w:pPr>
              <w:rPr>
                <w:b/>
                <w:sz w:val="22"/>
                <w:szCs w:val="22"/>
              </w:rPr>
            </w:pPr>
            <w:r>
              <w:rPr>
                <w:b/>
                <w:sz w:val="22"/>
                <w:szCs w:val="22"/>
              </w:rPr>
              <w:t>A nemi szervekkel és az emlőkkel kapcsolatos betegségek és tünetek</w:t>
            </w:r>
          </w:p>
        </w:tc>
      </w:tr>
      <w:tr w:rsidR="00382B5E" w14:paraId="1A750EDE" w14:textId="77777777">
        <w:trPr>
          <w:cantSplit/>
        </w:trPr>
        <w:tc>
          <w:tcPr>
            <w:tcW w:w="1338" w:type="pct"/>
            <w:tcBorders>
              <w:top w:val="single" w:sz="4" w:space="0" w:color="auto"/>
              <w:left w:val="single" w:sz="4" w:space="0" w:color="auto"/>
              <w:bottom w:val="single" w:sz="4" w:space="0" w:color="auto"/>
              <w:right w:val="single" w:sz="4" w:space="0" w:color="auto"/>
            </w:tcBorders>
            <w:vAlign w:val="center"/>
          </w:tcPr>
          <w:p w14:paraId="3FE8256D" w14:textId="77777777" w:rsidR="00382B5E" w:rsidRDefault="00BE0CD4">
            <w:pPr>
              <w:rPr>
                <w:color w:val="000000"/>
                <w:sz w:val="22"/>
                <w:szCs w:val="22"/>
              </w:rPr>
            </w:pPr>
            <w:r>
              <w:rPr>
                <w:color w:val="000000"/>
                <w:sz w:val="22"/>
                <w:szCs w:val="22"/>
              </w:rPr>
              <w:t>erectilis dysfunctio/</w:t>
            </w:r>
          </w:p>
          <w:p w14:paraId="47F0AD06" w14:textId="77777777" w:rsidR="00382B5E" w:rsidRDefault="00BE0CD4">
            <w:pPr>
              <w:rPr>
                <w:sz w:val="22"/>
                <w:szCs w:val="22"/>
              </w:rPr>
            </w:pPr>
            <w:r>
              <w:rPr>
                <w:color w:val="000000"/>
                <w:sz w:val="22"/>
                <w:szCs w:val="22"/>
              </w:rPr>
              <w:t>impotencia</w:t>
            </w:r>
          </w:p>
        </w:tc>
        <w:tc>
          <w:tcPr>
            <w:tcW w:w="991" w:type="pct"/>
            <w:tcBorders>
              <w:top w:val="single" w:sz="4" w:space="0" w:color="auto"/>
              <w:left w:val="single" w:sz="4" w:space="0" w:color="auto"/>
              <w:bottom w:val="single" w:sz="4" w:space="0" w:color="auto"/>
              <w:right w:val="single" w:sz="4" w:space="0" w:color="auto"/>
            </w:tcBorders>
            <w:vAlign w:val="center"/>
          </w:tcPr>
          <w:p w14:paraId="772AA4A1" w14:textId="77777777" w:rsidR="00382B5E" w:rsidRDefault="00382B5E">
            <w:pPr>
              <w:rPr>
                <w:sz w:val="22"/>
                <w:szCs w:val="22"/>
              </w:rPr>
            </w:pPr>
          </w:p>
        </w:tc>
        <w:tc>
          <w:tcPr>
            <w:tcW w:w="957" w:type="pct"/>
            <w:gridSpan w:val="2"/>
            <w:tcBorders>
              <w:top w:val="single" w:sz="4" w:space="0" w:color="auto"/>
              <w:left w:val="single" w:sz="4" w:space="0" w:color="auto"/>
              <w:bottom w:val="single" w:sz="4" w:space="0" w:color="auto"/>
              <w:right w:val="single" w:sz="4" w:space="0" w:color="auto"/>
            </w:tcBorders>
            <w:vAlign w:val="center"/>
          </w:tcPr>
          <w:p w14:paraId="39FAB272" w14:textId="77777777" w:rsidR="00382B5E" w:rsidRDefault="00382B5E">
            <w:pPr>
              <w:rPr>
                <w:sz w:val="22"/>
                <w:szCs w:val="22"/>
              </w:rPr>
            </w:pPr>
          </w:p>
        </w:tc>
        <w:tc>
          <w:tcPr>
            <w:tcW w:w="912" w:type="pct"/>
            <w:tcBorders>
              <w:top w:val="single" w:sz="4" w:space="0" w:color="auto"/>
              <w:left w:val="single" w:sz="4" w:space="0" w:color="auto"/>
              <w:bottom w:val="single" w:sz="4" w:space="0" w:color="auto"/>
              <w:right w:val="single" w:sz="4" w:space="0" w:color="auto"/>
            </w:tcBorders>
            <w:vAlign w:val="center"/>
          </w:tcPr>
          <w:p w14:paraId="619C7FED" w14:textId="77777777" w:rsidR="00382B5E" w:rsidRDefault="00382B5E">
            <w:pPr>
              <w:rPr>
                <w:sz w:val="22"/>
                <w:szCs w:val="22"/>
              </w:rPr>
            </w:pPr>
          </w:p>
        </w:tc>
        <w:tc>
          <w:tcPr>
            <w:tcW w:w="802" w:type="pct"/>
            <w:tcBorders>
              <w:top w:val="single" w:sz="4" w:space="0" w:color="auto"/>
              <w:left w:val="single" w:sz="4" w:space="0" w:color="auto"/>
              <w:bottom w:val="single" w:sz="4" w:space="0" w:color="auto"/>
              <w:right w:val="single" w:sz="4" w:space="0" w:color="auto"/>
            </w:tcBorders>
            <w:vAlign w:val="center"/>
          </w:tcPr>
          <w:p w14:paraId="4BE48FFF" w14:textId="77777777" w:rsidR="00382B5E" w:rsidRDefault="00BE0CD4">
            <w:pPr>
              <w:rPr>
                <w:sz w:val="22"/>
                <w:szCs w:val="22"/>
              </w:rPr>
            </w:pPr>
            <w:r>
              <w:rPr>
                <w:sz w:val="22"/>
                <w:szCs w:val="22"/>
              </w:rPr>
              <w:t>nem ismert</w:t>
            </w:r>
          </w:p>
        </w:tc>
      </w:tr>
      <w:tr w:rsidR="00382B5E" w14:paraId="731A390A" w14:textId="77777777">
        <w:trPr>
          <w:cantSplit/>
        </w:trPr>
        <w:tc>
          <w:tcPr>
            <w:tcW w:w="5000" w:type="pct"/>
            <w:gridSpan w:val="6"/>
            <w:tcBorders>
              <w:top w:val="single" w:sz="4" w:space="0" w:color="auto"/>
              <w:left w:val="single" w:sz="4" w:space="0" w:color="auto"/>
              <w:bottom w:val="single" w:sz="4" w:space="0" w:color="auto"/>
              <w:right w:val="single" w:sz="4" w:space="0" w:color="auto"/>
            </w:tcBorders>
            <w:vAlign w:val="center"/>
          </w:tcPr>
          <w:p w14:paraId="17C81D56" w14:textId="77777777" w:rsidR="00382B5E" w:rsidRDefault="00BE0CD4">
            <w:pPr>
              <w:keepNext/>
              <w:rPr>
                <w:b/>
                <w:sz w:val="22"/>
                <w:szCs w:val="22"/>
              </w:rPr>
            </w:pPr>
            <w:r>
              <w:rPr>
                <w:b/>
                <w:sz w:val="22"/>
                <w:szCs w:val="22"/>
              </w:rPr>
              <w:t>Általános tünetek, az alkalmazás helyén fellépő reakciók</w:t>
            </w:r>
          </w:p>
        </w:tc>
      </w:tr>
      <w:tr w:rsidR="00382B5E" w14:paraId="3F23556C" w14:textId="77777777">
        <w:trPr>
          <w:cantSplit/>
        </w:trPr>
        <w:tc>
          <w:tcPr>
            <w:tcW w:w="1338" w:type="pct"/>
            <w:tcBorders>
              <w:top w:val="single" w:sz="4" w:space="0" w:color="auto"/>
              <w:left w:val="single" w:sz="4" w:space="0" w:color="auto"/>
              <w:bottom w:val="single" w:sz="4" w:space="0" w:color="auto"/>
              <w:right w:val="single" w:sz="4" w:space="0" w:color="auto"/>
            </w:tcBorders>
            <w:vAlign w:val="center"/>
          </w:tcPr>
          <w:p w14:paraId="500B3BCE" w14:textId="77777777" w:rsidR="00382B5E" w:rsidRDefault="00BE0CD4">
            <w:pPr>
              <w:rPr>
                <w:sz w:val="22"/>
                <w:szCs w:val="22"/>
              </w:rPr>
            </w:pPr>
            <w:r>
              <w:rPr>
                <w:sz w:val="22"/>
                <w:szCs w:val="22"/>
              </w:rPr>
              <w:t>asthenia</w:t>
            </w:r>
          </w:p>
        </w:tc>
        <w:tc>
          <w:tcPr>
            <w:tcW w:w="991" w:type="pct"/>
            <w:tcBorders>
              <w:top w:val="single" w:sz="4" w:space="0" w:color="auto"/>
              <w:left w:val="single" w:sz="4" w:space="0" w:color="auto"/>
              <w:bottom w:val="single" w:sz="4" w:space="0" w:color="auto"/>
              <w:right w:val="single" w:sz="4" w:space="0" w:color="auto"/>
            </w:tcBorders>
            <w:vAlign w:val="center"/>
          </w:tcPr>
          <w:p w14:paraId="5A021B63" w14:textId="77777777" w:rsidR="00382B5E" w:rsidRDefault="00BE0CD4">
            <w:pPr>
              <w:rPr>
                <w:sz w:val="22"/>
                <w:szCs w:val="22"/>
              </w:rPr>
            </w:pPr>
            <w:r>
              <w:rPr>
                <w:sz w:val="22"/>
                <w:szCs w:val="22"/>
              </w:rPr>
              <w:t>gyakori</w:t>
            </w:r>
          </w:p>
        </w:tc>
        <w:tc>
          <w:tcPr>
            <w:tcW w:w="957" w:type="pct"/>
            <w:gridSpan w:val="2"/>
            <w:tcBorders>
              <w:top w:val="single" w:sz="4" w:space="0" w:color="auto"/>
              <w:left w:val="single" w:sz="4" w:space="0" w:color="auto"/>
              <w:bottom w:val="single" w:sz="4" w:space="0" w:color="auto"/>
              <w:right w:val="single" w:sz="4" w:space="0" w:color="auto"/>
            </w:tcBorders>
            <w:vAlign w:val="center"/>
          </w:tcPr>
          <w:p w14:paraId="1DE17EBB" w14:textId="77777777" w:rsidR="00382B5E" w:rsidRDefault="00BE0CD4">
            <w:pPr>
              <w:rPr>
                <w:sz w:val="22"/>
                <w:szCs w:val="22"/>
              </w:rPr>
            </w:pPr>
            <w:r>
              <w:rPr>
                <w:sz w:val="22"/>
                <w:szCs w:val="22"/>
              </w:rPr>
              <w:t>nem gyakori</w:t>
            </w:r>
          </w:p>
        </w:tc>
        <w:tc>
          <w:tcPr>
            <w:tcW w:w="912" w:type="pct"/>
            <w:tcBorders>
              <w:top w:val="single" w:sz="4" w:space="0" w:color="auto"/>
              <w:left w:val="single" w:sz="4" w:space="0" w:color="auto"/>
              <w:bottom w:val="single" w:sz="4" w:space="0" w:color="auto"/>
              <w:right w:val="single" w:sz="4" w:space="0" w:color="auto"/>
            </w:tcBorders>
            <w:vAlign w:val="center"/>
          </w:tcPr>
          <w:p w14:paraId="6EC796A2" w14:textId="77777777" w:rsidR="00382B5E" w:rsidRDefault="00BE0CD4">
            <w:pPr>
              <w:rPr>
                <w:sz w:val="22"/>
                <w:szCs w:val="22"/>
              </w:rPr>
            </w:pPr>
            <w:r>
              <w:rPr>
                <w:sz w:val="22"/>
                <w:szCs w:val="22"/>
              </w:rPr>
              <w:t>gyakori</w:t>
            </w:r>
          </w:p>
        </w:tc>
        <w:tc>
          <w:tcPr>
            <w:tcW w:w="802" w:type="pct"/>
            <w:tcBorders>
              <w:top w:val="single" w:sz="4" w:space="0" w:color="auto"/>
              <w:left w:val="single" w:sz="4" w:space="0" w:color="auto"/>
              <w:bottom w:val="single" w:sz="4" w:space="0" w:color="auto"/>
              <w:right w:val="single" w:sz="4" w:space="0" w:color="auto"/>
            </w:tcBorders>
            <w:vAlign w:val="center"/>
          </w:tcPr>
          <w:p w14:paraId="79EAC8B9" w14:textId="77777777" w:rsidR="00382B5E" w:rsidRDefault="00382B5E">
            <w:pPr>
              <w:rPr>
                <w:sz w:val="22"/>
                <w:szCs w:val="22"/>
              </w:rPr>
            </w:pPr>
          </w:p>
        </w:tc>
      </w:tr>
      <w:tr w:rsidR="00382B5E" w14:paraId="386805B2" w14:textId="77777777">
        <w:trPr>
          <w:cantSplit/>
        </w:trPr>
        <w:tc>
          <w:tcPr>
            <w:tcW w:w="1338" w:type="pct"/>
            <w:tcBorders>
              <w:top w:val="single" w:sz="4" w:space="0" w:color="auto"/>
              <w:left w:val="single" w:sz="4" w:space="0" w:color="auto"/>
              <w:bottom w:val="single" w:sz="4" w:space="0" w:color="auto"/>
              <w:right w:val="single" w:sz="4" w:space="0" w:color="auto"/>
            </w:tcBorders>
            <w:vAlign w:val="center"/>
          </w:tcPr>
          <w:p w14:paraId="4990DF95" w14:textId="77777777" w:rsidR="00382B5E" w:rsidRDefault="00BE0CD4">
            <w:pPr>
              <w:rPr>
                <w:sz w:val="22"/>
                <w:szCs w:val="22"/>
              </w:rPr>
            </w:pPr>
            <w:r>
              <w:rPr>
                <w:sz w:val="22"/>
                <w:szCs w:val="22"/>
              </w:rPr>
              <w:t>kimerültség</w:t>
            </w:r>
          </w:p>
        </w:tc>
        <w:tc>
          <w:tcPr>
            <w:tcW w:w="991" w:type="pct"/>
            <w:tcBorders>
              <w:top w:val="single" w:sz="4" w:space="0" w:color="auto"/>
              <w:left w:val="single" w:sz="4" w:space="0" w:color="auto"/>
              <w:bottom w:val="single" w:sz="4" w:space="0" w:color="auto"/>
              <w:right w:val="single" w:sz="4" w:space="0" w:color="auto"/>
            </w:tcBorders>
            <w:vAlign w:val="center"/>
          </w:tcPr>
          <w:p w14:paraId="55DE3EAE" w14:textId="77777777" w:rsidR="00382B5E" w:rsidRDefault="00BE0CD4">
            <w:pPr>
              <w:rPr>
                <w:sz w:val="22"/>
                <w:szCs w:val="22"/>
              </w:rPr>
            </w:pPr>
            <w:r>
              <w:rPr>
                <w:sz w:val="22"/>
                <w:szCs w:val="22"/>
              </w:rPr>
              <w:t>gyakori</w:t>
            </w:r>
          </w:p>
        </w:tc>
        <w:tc>
          <w:tcPr>
            <w:tcW w:w="957" w:type="pct"/>
            <w:gridSpan w:val="2"/>
            <w:tcBorders>
              <w:top w:val="single" w:sz="4" w:space="0" w:color="auto"/>
              <w:left w:val="single" w:sz="4" w:space="0" w:color="auto"/>
              <w:bottom w:val="single" w:sz="4" w:space="0" w:color="auto"/>
              <w:right w:val="single" w:sz="4" w:space="0" w:color="auto"/>
            </w:tcBorders>
            <w:vAlign w:val="center"/>
          </w:tcPr>
          <w:p w14:paraId="4A177419" w14:textId="77777777" w:rsidR="00382B5E" w:rsidRDefault="00BE0CD4">
            <w:pPr>
              <w:rPr>
                <w:sz w:val="22"/>
                <w:szCs w:val="22"/>
              </w:rPr>
            </w:pPr>
            <w:r>
              <w:rPr>
                <w:sz w:val="22"/>
                <w:szCs w:val="22"/>
              </w:rPr>
              <w:t>nem gyakori</w:t>
            </w:r>
          </w:p>
        </w:tc>
        <w:tc>
          <w:tcPr>
            <w:tcW w:w="912" w:type="pct"/>
            <w:tcBorders>
              <w:top w:val="single" w:sz="4" w:space="0" w:color="auto"/>
              <w:left w:val="single" w:sz="4" w:space="0" w:color="auto"/>
              <w:bottom w:val="single" w:sz="4" w:space="0" w:color="auto"/>
              <w:right w:val="single" w:sz="4" w:space="0" w:color="auto"/>
            </w:tcBorders>
            <w:vAlign w:val="center"/>
          </w:tcPr>
          <w:p w14:paraId="00CDC997" w14:textId="77777777" w:rsidR="00382B5E" w:rsidRDefault="00BE0CD4">
            <w:pPr>
              <w:rPr>
                <w:sz w:val="22"/>
                <w:szCs w:val="22"/>
              </w:rPr>
            </w:pPr>
            <w:r>
              <w:rPr>
                <w:sz w:val="22"/>
                <w:szCs w:val="22"/>
              </w:rPr>
              <w:t>gyakori</w:t>
            </w:r>
          </w:p>
        </w:tc>
        <w:tc>
          <w:tcPr>
            <w:tcW w:w="802" w:type="pct"/>
            <w:tcBorders>
              <w:top w:val="single" w:sz="4" w:space="0" w:color="auto"/>
              <w:left w:val="single" w:sz="4" w:space="0" w:color="auto"/>
              <w:bottom w:val="single" w:sz="4" w:space="0" w:color="auto"/>
              <w:right w:val="single" w:sz="4" w:space="0" w:color="auto"/>
            </w:tcBorders>
            <w:vAlign w:val="center"/>
          </w:tcPr>
          <w:p w14:paraId="71BB458C" w14:textId="77777777" w:rsidR="00382B5E" w:rsidRDefault="00382B5E">
            <w:pPr>
              <w:rPr>
                <w:sz w:val="22"/>
                <w:szCs w:val="22"/>
              </w:rPr>
            </w:pPr>
          </w:p>
        </w:tc>
      </w:tr>
      <w:tr w:rsidR="00382B5E" w14:paraId="6BB9A845" w14:textId="77777777">
        <w:trPr>
          <w:cantSplit/>
        </w:trPr>
        <w:tc>
          <w:tcPr>
            <w:tcW w:w="1338" w:type="pct"/>
            <w:tcBorders>
              <w:top w:val="single" w:sz="4" w:space="0" w:color="auto"/>
              <w:left w:val="single" w:sz="4" w:space="0" w:color="auto"/>
              <w:bottom w:val="single" w:sz="4" w:space="0" w:color="auto"/>
              <w:right w:val="single" w:sz="4" w:space="0" w:color="auto"/>
            </w:tcBorders>
            <w:vAlign w:val="center"/>
          </w:tcPr>
          <w:p w14:paraId="09AF4A05" w14:textId="77777777" w:rsidR="00382B5E" w:rsidRDefault="00BE0CD4">
            <w:pPr>
              <w:rPr>
                <w:sz w:val="22"/>
                <w:szCs w:val="22"/>
              </w:rPr>
            </w:pPr>
            <w:r>
              <w:rPr>
                <w:sz w:val="22"/>
                <w:szCs w:val="22"/>
              </w:rPr>
              <w:t>rossz közérzet</w:t>
            </w:r>
          </w:p>
        </w:tc>
        <w:tc>
          <w:tcPr>
            <w:tcW w:w="991" w:type="pct"/>
            <w:tcBorders>
              <w:top w:val="single" w:sz="4" w:space="0" w:color="auto"/>
              <w:left w:val="single" w:sz="4" w:space="0" w:color="auto"/>
              <w:bottom w:val="single" w:sz="4" w:space="0" w:color="auto"/>
              <w:right w:val="single" w:sz="4" w:space="0" w:color="auto"/>
            </w:tcBorders>
            <w:vAlign w:val="center"/>
          </w:tcPr>
          <w:p w14:paraId="24B758D1" w14:textId="77777777" w:rsidR="00382B5E" w:rsidRDefault="00382B5E">
            <w:pPr>
              <w:rPr>
                <w:sz w:val="22"/>
                <w:szCs w:val="22"/>
              </w:rPr>
            </w:pPr>
          </w:p>
        </w:tc>
        <w:tc>
          <w:tcPr>
            <w:tcW w:w="957" w:type="pct"/>
            <w:gridSpan w:val="2"/>
            <w:tcBorders>
              <w:top w:val="single" w:sz="4" w:space="0" w:color="auto"/>
              <w:left w:val="single" w:sz="4" w:space="0" w:color="auto"/>
              <w:bottom w:val="single" w:sz="4" w:space="0" w:color="auto"/>
              <w:right w:val="single" w:sz="4" w:space="0" w:color="auto"/>
            </w:tcBorders>
            <w:vAlign w:val="center"/>
          </w:tcPr>
          <w:p w14:paraId="28D709D7" w14:textId="77777777" w:rsidR="00382B5E" w:rsidRDefault="00382B5E">
            <w:pPr>
              <w:rPr>
                <w:sz w:val="22"/>
                <w:szCs w:val="22"/>
              </w:rPr>
            </w:pPr>
          </w:p>
        </w:tc>
        <w:tc>
          <w:tcPr>
            <w:tcW w:w="912" w:type="pct"/>
            <w:tcBorders>
              <w:top w:val="single" w:sz="4" w:space="0" w:color="auto"/>
              <w:left w:val="single" w:sz="4" w:space="0" w:color="auto"/>
              <w:bottom w:val="single" w:sz="4" w:space="0" w:color="auto"/>
              <w:right w:val="single" w:sz="4" w:space="0" w:color="auto"/>
            </w:tcBorders>
            <w:vAlign w:val="center"/>
          </w:tcPr>
          <w:p w14:paraId="5CA1549F" w14:textId="77777777" w:rsidR="00382B5E" w:rsidRDefault="00382B5E">
            <w:pPr>
              <w:rPr>
                <w:sz w:val="22"/>
                <w:szCs w:val="22"/>
              </w:rPr>
            </w:pPr>
          </w:p>
        </w:tc>
        <w:tc>
          <w:tcPr>
            <w:tcW w:w="802" w:type="pct"/>
            <w:tcBorders>
              <w:top w:val="single" w:sz="4" w:space="0" w:color="auto"/>
              <w:left w:val="single" w:sz="4" w:space="0" w:color="auto"/>
              <w:bottom w:val="single" w:sz="4" w:space="0" w:color="auto"/>
              <w:right w:val="single" w:sz="4" w:space="0" w:color="auto"/>
            </w:tcBorders>
            <w:vAlign w:val="center"/>
          </w:tcPr>
          <w:p w14:paraId="34383799" w14:textId="77777777" w:rsidR="00382B5E" w:rsidRDefault="00BE0CD4">
            <w:pPr>
              <w:rPr>
                <w:sz w:val="22"/>
                <w:szCs w:val="22"/>
              </w:rPr>
            </w:pPr>
            <w:r>
              <w:rPr>
                <w:sz w:val="22"/>
                <w:szCs w:val="22"/>
              </w:rPr>
              <w:t>nem ismert</w:t>
            </w:r>
          </w:p>
        </w:tc>
      </w:tr>
      <w:tr w:rsidR="00382B5E" w14:paraId="63CD93E7" w14:textId="77777777">
        <w:trPr>
          <w:cantSplit/>
        </w:trPr>
        <w:tc>
          <w:tcPr>
            <w:tcW w:w="5000" w:type="pct"/>
            <w:gridSpan w:val="6"/>
            <w:tcBorders>
              <w:top w:val="single" w:sz="4" w:space="0" w:color="auto"/>
              <w:left w:val="single" w:sz="4" w:space="0" w:color="auto"/>
              <w:bottom w:val="single" w:sz="4" w:space="0" w:color="auto"/>
              <w:right w:val="single" w:sz="4" w:space="0" w:color="auto"/>
            </w:tcBorders>
            <w:vAlign w:val="center"/>
          </w:tcPr>
          <w:p w14:paraId="4C79480A" w14:textId="77777777" w:rsidR="00382B5E" w:rsidRDefault="00BE0CD4">
            <w:pPr>
              <w:rPr>
                <w:b/>
                <w:sz w:val="22"/>
                <w:szCs w:val="22"/>
              </w:rPr>
            </w:pPr>
            <w:r>
              <w:rPr>
                <w:b/>
                <w:sz w:val="22"/>
                <w:szCs w:val="22"/>
              </w:rPr>
              <w:t>Laboratóriumi és egyéb vizsgálatok eredményei</w:t>
            </w:r>
          </w:p>
        </w:tc>
      </w:tr>
      <w:tr w:rsidR="00382B5E" w14:paraId="59E4A30F" w14:textId="77777777">
        <w:trPr>
          <w:cantSplit/>
        </w:trPr>
        <w:tc>
          <w:tcPr>
            <w:tcW w:w="1338" w:type="pct"/>
            <w:tcBorders>
              <w:top w:val="single" w:sz="4" w:space="0" w:color="auto"/>
              <w:left w:val="single" w:sz="4" w:space="0" w:color="auto"/>
              <w:bottom w:val="single" w:sz="4" w:space="0" w:color="auto"/>
              <w:right w:val="single" w:sz="4" w:space="0" w:color="auto"/>
            </w:tcBorders>
          </w:tcPr>
          <w:p w14:paraId="60AFF0D0" w14:textId="77777777" w:rsidR="00382B5E" w:rsidRDefault="00BE0CD4">
            <w:pPr>
              <w:rPr>
                <w:sz w:val="22"/>
                <w:szCs w:val="22"/>
              </w:rPr>
            </w:pPr>
            <w:r>
              <w:rPr>
                <w:sz w:val="22"/>
                <w:szCs w:val="22"/>
              </w:rPr>
              <w:t>hyperkalaemia</w:t>
            </w:r>
          </w:p>
        </w:tc>
        <w:tc>
          <w:tcPr>
            <w:tcW w:w="991" w:type="pct"/>
            <w:tcBorders>
              <w:top w:val="single" w:sz="4" w:space="0" w:color="auto"/>
              <w:left w:val="single" w:sz="4" w:space="0" w:color="auto"/>
              <w:bottom w:val="single" w:sz="4" w:space="0" w:color="auto"/>
              <w:right w:val="single" w:sz="4" w:space="0" w:color="auto"/>
            </w:tcBorders>
            <w:vAlign w:val="center"/>
          </w:tcPr>
          <w:p w14:paraId="58B64AFB" w14:textId="77777777" w:rsidR="00382B5E" w:rsidRDefault="00382B5E">
            <w:pPr>
              <w:rPr>
                <w:sz w:val="22"/>
                <w:szCs w:val="22"/>
              </w:rPr>
            </w:pPr>
          </w:p>
        </w:tc>
        <w:tc>
          <w:tcPr>
            <w:tcW w:w="957" w:type="pct"/>
            <w:gridSpan w:val="2"/>
            <w:tcBorders>
              <w:top w:val="single" w:sz="4" w:space="0" w:color="auto"/>
              <w:left w:val="single" w:sz="4" w:space="0" w:color="auto"/>
              <w:bottom w:val="single" w:sz="4" w:space="0" w:color="auto"/>
              <w:right w:val="single" w:sz="4" w:space="0" w:color="auto"/>
            </w:tcBorders>
            <w:vAlign w:val="center"/>
          </w:tcPr>
          <w:p w14:paraId="64675CD8" w14:textId="77777777" w:rsidR="00382B5E" w:rsidRDefault="00BE0CD4">
            <w:pPr>
              <w:rPr>
                <w:sz w:val="22"/>
                <w:szCs w:val="22"/>
              </w:rPr>
            </w:pPr>
            <w:r>
              <w:rPr>
                <w:sz w:val="22"/>
                <w:szCs w:val="22"/>
              </w:rPr>
              <w:t>nem gyakori†</w:t>
            </w:r>
          </w:p>
        </w:tc>
        <w:tc>
          <w:tcPr>
            <w:tcW w:w="912" w:type="pct"/>
            <w:tcBorders>
              <w:top w:val="single" w:sz="4" w:space="0" w:color="auto"/>
              <w:left w:val="single" w:sz="4" w:space="0" w:color="auto"/>
              <w:bottom w:val="single" w:sz="4" w:space="0" w:color="auto"/>
              <w:right w:val="single" w:sz="4" w:space="0" w:color="auto"/>
            </w:tcBorders>
            <w:vAlign w:val="center"/>
          </w:tcPr>
          <w:p w14:paraId="6C61A641" w14:textId="77777777" w:rsidR="00382B5E" w:rsidRDefault="00BE0CD4">
            <w:pPr>
              <w:rPr>
                <w:sz w:val="22"/>
                <w:szCs w:val="22"/>
              </w:rPr>
            </w:pPr>
            <w:r>
              <w:rPr>
                <w:sz w:val="22"/>
                <w:szCs w:val="22"/>
              </w:rPr>
              <w:t>gyakori‡</w:t>
            </w:r>
          </w:p>
        </w:tc>
        <w:tc>
          <w:tcPr>
            <w:tcW w:w="802" w:type="pct"/>
            <w:tcBorders>
              <w:top w:val="single" w:sz="4" w:space="0" w:color="auto"/>
              <w:left w:val="single" w:sz="4" w:space="0" w:color="auto"/>
              <w:bottom w:val="single" w:sz="4" w:space="0" w:color="auto"/>
              <w:right w:val="single" w:sz="4" w:space="0" w:color="auto"/>
            </w:tcBorders>
            <w:vAlign w:val="center"/>
          </w:tcPr>
          <w:p w14:paraId="7933F901" w14:textId="77777777" w:rsidR="00382B5E" w:rsidRDefault="00382B5E">
            <w:pPr>
              <w:rPr>
                <w:sz w:val="22"/>
                <w:szCs w:val="22"/>
              </w:rPr>
            </w:pPr>
          </w:p>
        </w:tc>
      </w:tr>
      <w:tr w:rsidR="00382B5E" w14:paraId="6C625BD5" w14:textId="77777777">
        <w:trPr>
          <w:cantSplit/>
        </w:trPr>
        <w:tc>
          <w:tcPr>
            <w:tcW w:w="1338" w:type="pct"/>
            <w:tcBorders>
              <w:top w:val="single" w:sz="4" w:space="0" w:color="auto"/>
              <w:left w:val="single" w:sz="4" w:space="0" w:color="auto"/>
              <w:bottom w:val="single" w:sz="4" w:space="0" w:color="auto"/>
              <w:right w:val="single" w:sz="4" w:space="0" w:color="auto"/>
            </w:tcBorders>
          </w:tcPr>
          <w:p w14:paraId="33504E7E" w14:textId="77777777" w:rsidR="00382B5E" w:rsidRDefault="00BE0CD4">
            <w:pPr>
              <w:rPr>
                <w:sz w:val="22"/>
                <w:szCs w:val="22"/>
              </w:rPr>
            </w:pPr>
            <w:r>
              <w:rPr>
                <w:sz w:val="22"/>
                <w:szCs w:val="22"/>
              </w:rPr>
              <w:t>emelkedett vér karbamid-, szérum kreatinin- és szérum káliumszint</w:t>
            </w:r>
          </w:p>
        </w:tc>
        <w:tc>
          <w:tcPr>
            <w:tcW w:w="991" w:type="pct"/>
            <w:tcBorders>
              <w:top w:val="single" w:sz="4" w:space="0" w:color="auto"/>
              <w:left w:val="single" w:sz="4" w:space="0" w:color="auto"/>
              <w:bottom w:val="single" w:sz="4" w:space="0" w:color="auto"/>
              <w:right w:val="single" w:sz="4" w:space="0" w:color="auto"/>
            </w:tcBorders>
            <w:vAlign w:val="center"/>
          </w:tcPr>
          <w:p w14:paraId="2ADFFBA9" w14:textId="77777777" w:rsidR="00382B5E" w:rsidRDefault="00382B5E">
            <w:pPr>
              <w:rPr>
                <w:sz w:val="22"/>
                <w:szCs w:val="22"/>
              </w:rPr>
            </w:pPr>
          </w:p>
        </w:tc>
        <w:tc>
          <w:tcPr>
            <w:tcW w:w="957" w:type="pct"/>
            <w:gridSpan w:val="2"/>
            <w:tcBorders>
              <w:top w:val="single" w:sz="4" w:space="0" w:color="auto"/>
              <w:left w:val="single" w:sz="4" w:space="0" w:color="auto"/>
              <w:bottom w:val="single" w:sz="4" w:space="0" w:color="auto"/>
              <w:right w:val="single" w:sz="4" w:space="0" w:color="auto"/>
            </w:tcBorders>
            <w:vAlign w:val="center"/>
          </w:tcPr>
          <w:p w14:paraId="6DC64B99" w14:textId="77777777" w:rsidR="00382B5E" w:rsidRDefault="00BE0CD4">
            <w:pPr>
              <w:rPr>
                <w:sz w:val="22"/>
                <w:szCs w:val="22"/>
              </w:rPr>
            </w:pPr>
            <w:r>
              <w:rPr>
                <w:sz w:val="22"/>
                <w:szCs w:val="22"/>
              </w:rPr>
              <w:t>gyakori</w:t>
            </w:r>
          </w:p>
        </w:tc>
        <w:tc>
          <w:tcPr>
            <w:tcW w:w="912" w:type="pct"/>
            <w:tcBorders>
              <w:top w:val="single" w:sz="4" w:space="0" w:color="auto"/>
              <w:left w:val="single" w:sz="4" w:space="0" w:color="auto"/>
              <w:bottom w:val="single" w:sz="4" w:space="0" w:color="auto"/>
              <w:right w:val="single" w:sz="4" w:space="0" w:color="auto"/>
            </w:tcBorders>
            <w:vAlign w:val="center"/>
          </w:tcPr>
          <w:p w14:paraId="6B4F182D" w14:textId="77777777" w:rsidR="00382B5E" w:rsidRDefault="00382B5E">
            <w:pPr>
              <w:rPr>
                <w:sz w:val="22"/>
                <w:szCs w:val="22"/>
              </w:rPr>
            </w:pPr>
          </w:p>
        </w:tc>
        <w:tc>
          <w:tcPr>
            <w:tcW w:w="802" w:type="pct"/>
            <w:tcBorders>
              <w:top w:val="single" w:sz="4" w:space="0" w:color="auto"/>
              <w:left w:val="single" w:sz="4" w:space="0" w:color="auto"/>
              <w:bottom w:val="single" w:sz="4" w:space="0" w:color="auto"/>
              <w:right w:val="single" w:sz="4" w:space="0" w:color="auto"/>
            </w:tcBorders>
            <w:vAlign w:val="center"/>
          </w:tcPr>
          <w:p w14:paraId="545F7041" w14:textId="77777777" w:rsidR="00382B5E" w:rsidRDefault="00382B5E">
            <w:pPr>
              <w:rPr>
                <w:sz w:val="22"/>
                <w:szCs w:val="22"/>
              </w:rPr>
            </w:pPr>
          </w:p>
        </w:tc>
      </w:tr>
      <w:tr w:rsidR="00382B5E" w14:paraId="7E0C1B52" w14:textId="77777777">
        <w:trPr>
          <w:cantSplit/>
        </w:trPr>
        <w:tc>
          <w:tcPr>
            <w:tcW w:w="1338" w:type="pct"/>
            <w:tcBorders>
              <w:top w:val="single" w:sz="4" w:space="0" w:color="auto"/>
              <w:left w:val="single" w:sz="4" w:space="0" w:color="auto"/>
              <w:bottom w:val="single" w:sz="4" w:space="0" w:color="auto"/>
              <w:right w:val="single" w:sz="4" w:space="0" w:color="auto"/>
            </w:tcBorders>
          </w:tcPr>
          <w:p w14:paraId="1469DBA4" w14:textId="77777777" w:rsidR="00382B5E" w:rsidRDefault="00BE0CD4">
            <w:pPr>
              <w:rPr>
                <w:sz w:val="22"/>
                <w:szCs w:val="22"/>
              </w:rPr>
            </w:pPr>
            <w:r>
              <w:rPr>
                <w:sz w:val="22"/>
                <w:szCs w:val="22"/>
              </w:rPr>
              <w:t>hyponatraemia</w:t>
            </w:r>
          </w:p>
        </w:tc>
        <w:tc>
          <w:tcPr>
            <w:tcW w:w="991" w:type="pct"/>
            <w:tcBorders>
              <w:top w:val="single" w:sz="4" w:space="0" w:color="auto"/>
              <w:left w:val="single" w:sz="4" w:space="0" w:color="auto"/>
              <w:bottom w:val="single" w:sz="4" w:space="0" w:color="auto"/>
              <w:right w:val="single" w:sz="4" w:space="0" w:color="auto"/>
            </w:tcBorders>
            <w:vAlign w:val="center"/>
          </w:tcPr>
          <w:p w14:paraId="3C1BCD5D" w14:textId="77777777" w:rsidR="00382B5E" w:rsidRDefault="00382B5E">
            <w:pPr>
              <w:rPr>
                <w:sz w:val="22"/>
                <w:szCs w:val="22"/>
              </w:rPr>
            </w:pPr>
          </w:p>
        </w:tc>
        <w:tc>
          <w:tcPr>
            <w:tcW w:w="957" w:type="pct"/>
            <w:gridSpan w:val="2"/>
            <w:tcBorders>
              <w:top w:val="single" w:sz="4" w:space="0" w:color="auto"/>
              <w:left w:val="single" w:sz="4" w:space="0" w:color="auto"/>
              <w:bottom w:val="single" w:sz="4" w:space="0" w:color="auto"/>
              <w:right w:val="single" w:sz="4" w:space="0" w:color="auto"/>
            </w:tcBorders>
            <w:vAlign w:val="center"/>
          </w:tcPr>
          <w:p w14:paraId="11A237C3" w14:textId="77777777" w:rsidR="00382B5E" w:rsidRDefault="00382B5E">
            <w:pPr>
              <w:rPr>
                <w:sz w:val="22"/>
                <w:szCs w:val="22"/>
              </w:rPr>
            </w:pPr>
          </w:p>
        </w:tc>
        <w:tc>
          <w:tcPr>
            <w:tcW w:w="912" w:type="pct"/>
            <w:tcBorders>
              <w:top w:val="single" w:sz="4" w:space="0" w:color="auto"/>
              <w:left w:val="single" w:sz="4" w:space="0" w:color="auto"/>
              <w:bottom w:val="single" w:sz="4" w:space="0" w:color="auto"/>
              <w:right w:val="single" w:sz="4" w:space="0" w:color="auto"/>
            </w:tcBorders>
            <w:vAlign w:val="center"/>
          </w:tcPr>
          <w:p w14:paraId="1741F88D" w14:textId="77777777" w:rsidR="00382B5E" w:rsidRDefault="00382B5E">
            <w:pPr>
              <w:rPr>
                <w:sz w:val="22"/>
                <w:szCs w:val="22"/>
              </w:rPr>
            </w:pPr>
          </w:p>
        </w:tc>
        <w:tc>
          <w:tcPr>
            <w:tcW w:w="802" w:type="pct"/>
            <w:tcBorders>
              <w:top w:val="single" w:sz="4" w:space="0" w:color="auto"/>
              <w:left w:val="single" w:sz="4" w:space="0" w:color="auto"/>
              <w:bottom w:val="single" w:sz="4" w:space="0" w:color="auto"/>
              <w:right w:val="single" w:sz="4" w:space="0" w:color="auto"/>
            </w:tcBorders>
            <w:vAlign w:val="center"/>
          </w:tcPr>
          <w:p w14:paraId="58E9025A" w14:textId="77777777" w:rsidR="00382B5E" w:rsidRDefault="00BE0CD4">
            <w:pPr>
              <w:rPr>
                <w:sz w:val="22"/>
                <w:szCs w:val="22"/>
              </w:rPr>
            </w:pPr>
            <w:r>
              <w:rPr>
                <w:sz w:val="22"/>
                <w:szCs w:val="22"/>
              </w:rPr>
              <w:t>nem ismert</w:t>
            </w:r>
          </w:p>
        </w:tc>
      </w:tr>
      <w:tr w:rsidR="00382B5E" w14:paraId="548ABA9A" w14:textId="77777777">
        <w:trPr>
          <w:cantSplit/>
        </w:trPr>
        <w:tc>
          <w:tcPr>
            <w:tcW w:w="1338" w:type="pct"/>
            <w:tcBorders>
              <w:top w:val="single" w:sz="4" w:space="0" w:color="auto"/>
              <w:left w:val="single" w:sz="4" w:space="0" w:color="auto"/>
              <w:bottom w:val="single" w:sz="4" w:space="0" w:color="auto"/>
              <w:right w:val="single" w:sz="4" w:space="0" w:color="auto"/>
            </w:tcBorders>
          </w:tcPr>
          <w:p w14:paraId="318116D2" w14:textId="77777777" w:rsidR="00382B5E" w:rsidRDefault="00BE0CD4">
            <w:pPr>
              <w:rPr>
                <w:sz w:val="22"/>
                <w:szCs w:val="22"/>
              </w:rPr>
            </w:pPr>
            <w:r>
              <w:rPr>
                <w:sz w:val="22"/>
                <w:szCs w:val="22"/>
              </w:rPr>
              <w:t>hypoglykaemia</w:t>
            </w:r>
          </w:p>
        </w:tc>
        <w:tc>
          <w:tcPr>
            <w:tcW w:w="991" w:type="pct"/>
            <w:tcBorders>
              <w:top w:val="single" w:sz="4" w:space="0" w:color="auto"/>
              <w:left w:val="single" w:sz="4" w:space="0" w:color="auto"/>
              <w:bottom w:val="single" w:sz="4" w:space="0" w:color="auto"/>
              <w:right w:val="single" w:sz="4" w:space="0" w:color="auto"/>
            </w:tcBorders>
            <w:vAlign w:val="center"/>
          </w:tcPr>
          <w:p w14:paraId="40553DD9" w14:textId="77777777" w:rsidR="00382B5E" w:rsidRDefault="00382B5E">
            <w:pPr>
              <w:rPr>
                <w:sz w:val="22"/>
                <w:szCs w:val="22"/>
              </w:rPr>
            </w:pPr>
          </w:p>
        </w:tc>
        <w:tc>
          <w:tcPr>
            <w:tcW w:w="957" w:type="pct"/>
            <w:gridSpan w:val="2"/>
            <w:tcBorders>
              <w:top w:val="single" w:sz="4" w:space="0" w:color="auto"/>
              <w:left w:val="single" w:sz="4" w:space="0" w:color="auto"/>
              <w:bottom w:val="single" w:sz="4" w:space="0" w:color="auto"/>
              <w:right w:val="single" w:sz="4" w:space="0" w:color="auto"/>
            </w:tcBorders>
            <w:vAlign w:val="center"/>
          </w:tcPr>
          <w:p w14:paraId="21327338" w14:textId="77777777" w:rsidR="00382B5E" w:rsidRDefault="00382B5E">
            <w:pPr>
              <w:rPr>
                <w:sz w:val="22"/>
                <w:szCs w:val="22"/>
              </w:rPr>
            </w:pPr>
          </w:p>
        </w:tc>
        <w:tc>
          <w:tcPr>
            <w:tcW w:w="912" w:type="pct"/>
            <w:tcBorders>
              <w:top w:val="single" w:sz="4" w:space="0" w:color="auto"/>
              <w:left w:val="single" w:sz="4" w:space="0" w:color="auto"/>
              <w:bottom w:val="single" w:sz="4" w:space="0" w:color="auto"/>
              <w:right w:val="single" w:sz="4" w:space="0" w:color="auto"/>
            </w:tcBorders>
            <w:vAlign w:val="center"/>
          </w:tcPr>
          <w:p w14:paraId="277AE677" w14:textId="77777777" w:rsidR="00382B5E" w:rsidRDefault="00BE0CD4">
            <w:pPr>
              <w:rPr>
                <w:sz w:val="22"/>
                <w:szCs w:val="22"/>
              </w:rPr>
            </w:pPr>
            <w:r>
              <w:rPr>
                <w:sz w:val="22"/>
                <w:szCs w:val="22"/>
              </w:rPr>
              <w:t>gyakori</w:t>
            </w:r>
          </w:p>
        </w:tc>
        <w:tc>
          <w:tcPr>
            <w:tcW w:w="802" w:type="pct"/>
            <w:tcBorders>
              <w:top w:val="single" w:sz="4" w:space="0" w:color="auto"/>
              <w:left w:val="single" w:sz="4" w:space="0" w:color="auto"/>
              <w:bottom w:val="single" w:sz="4" w:space="0" w:color="auto"/>
              <w:right w:val="single" w:sz="4" w:space="0" w:color="auto"/>
            </w:tcBorders>
            <w:vAlign w:val="center"/>
          </w:tcPr>
          <w:p w14:paraId="30E822C5" w14:textId="77777777" w:rsidR="00382B5E" w:rsidRDefault="00382B5E">
            <w:pPr>
              <w:rPr>
                <w:sz w:val="22"/>
                <w:szCs w:val="22"/>
              </w:rPr>
            </w:pPr>
          </w:p>
        </w:tc>
      </w:tr>
    </w:tbl>
    <w:p w14:paraId="69259A62" w14:textId="77777777" w:rsidR="00382B5E" w:rsidRDefault="00BE0CD4">
      <w:pPr>
        <w:keepNext/>
        <w:ind w:left="284" w:hanging="284"/>
        <w:rPr>
          <w:rFonts w:cs="Arial"/>
          <w:sz w:val="22"/>
          <w:szCs w:val="22"/>
        </w:rPr>
      </w:pPr>
      <w:r>
        <w:rPr>
          <w:rFonts w:cs="Arial"/>
          <w:sz w:val="22"/>
          <w:szCs w:val="22"/>
          <w:vertAlign w:val="superscript"/>
        </w:rPr>
        <w:lastRenderedPageBreak/>
        <w:sym w:font="Symbol" w:char="F02A"/>
      </w:r>
      <w:r>
        <w:rPr>
          <w:rFonts w:cs="Arial"/>
          <w:sz w:val="22"/>
          <w:szCs w:val="22"/>
          <w:vertAlign w:val="superscript"/>
        </w:rPr>
        <w:tab/>
      </w:r>
      <w:r>
        <w:rPr>
          <w:color w:val="000000"/>
          <w:sz w:val="22"/>
          <w:szCs w:val="22"/>
        </w:rPr>
        <w:t xml:space="preserve">Beleértve a gége és a glottis duzzanatát is, amely légúti elzáródást okoz és/vagy az arc, ajkak, garat és/vagy nyelv duzzanatát; e betegek közül néhányan korábban angiooedemát tapasztaltak egyéb készítmények, többek között </w:t>
      </w:r>
      <w:smartTag w:uri="urn:schemas-microsoft-com:office:smarttags" w:element="stockticker">
        <w:r>
          <w:rPr>
            <w:color w:val="000000"/>
            <w:sz w:val="22"/>
            <w:szCs w:val="22"/>
          </w:rPr>
          <w:t>ACE</w:t>
        </w:r>
      </w:smartTag>
      <w:r>
        <w:rPr>
          <w:color w:val="000000"/>
          <w:sz w:val="22"/>
          <w:szCs w:val="22"/>
        </w:rPr>
        <w:noBreakHyphen/>
        <w:t>gátlók szedésekor.</w:t>
      </w:r>
    </w:p>
    <w:p w14:paraId="62A085C7" w14:textId="77777777" w:rsidR="00382B5E" w:rsidRDefault="00BE0CD4">
      <w:pPr>
        <w:keepNext/>
        <w:ind w:left="284" w:hanging="284"/>
        <w:rPr>
          <w:rFonts w:cs="Arial"/>
          <w:sz w:val="22"/>
          <w:szCs w:val="22"/>
        </w:rPr>
      </w:pPr>
      <w:r>
        <w:rPr>
          <w:rFonts w:cs="Arial"/>
          <w:sz w:val="22"/>
          <w:szCs w:val="22"/>
          <w:vertAlign w:val="superscript"/>
        </w:rPr>
        <w:sym w:font="Symbol" w:char="F02A"/>
      </w:r>
      <w:r>
        <w:rPr>
          <w:rFonts w:cs="Arial"/>
          <w:sz w:val="22"/>
          <w:szCs w:val="22"/>
          <w:vertAlign w:val="superscript"/>
        </w:rPr>
        <w:sym w:font="Symbol" w:char="F02A"/>
      </w:r>
      <w:r>
        <w:rPr>
          <w:color w:val="000000"/>
          <w:sz w:val="22"/>
          <w:szCs w:val="22"/>
        </w:rPr>
        <w:tab/>
        <w:t>Beleértve a Henoch-Schönlein purpurát.</w:t>
      </w:r>
    </w:p>
    <w:p w14:paraId="43391DE0" w14:textId="77777777" w:rsidR="00382B5E" w:rsidRDefault="00BE0CD4">
      <w:pPr>
        <w:keepNext/>
        <w:ind w:left="284" w:hanging="284"/>
        <w:rPr>
          <w:rFonts w:cs="Arial"/>
          <w:sz w:val="22"/>
          <w:szCs w:val="22"/>
        </w:rPr>
      </w:pPr>
      <w:r>
        <w:rPr>
          <w:rFonts w:cs="Arial"/>
          <w:sz w:val="22"/>
          <w:szCs w:val="22"/>
          <w:vertAlign w:val="superscript"/>
        </w:rPr>
        <w:t>║</w:t>
      </w:r>
      <w:r>
        <w:rPr>
          <w:color w:val="000000"/>
          <w:sz w:val="22"/>
          <w:szCs w:val="22"/>
        </w:rPr>
        <w:tab/>
        <w:t>Főként intravascularis volumenhiányban, pl.: súlyos szívelégtelenségben szenvedő vagy magas dózisú diuretikummal kezelt betegeknél.</w:t>
      </w:r>
    </w:p>
    <w:p w14:paraId="013BFA83" w14:textId="77777777" w:rsidR="00382B5E" w:rsidRDefault="00BE0CD4">
      <w:pPr>
        <w:ind w:left="284" w:hanging="284"/>
        <w:rPr>
          <w:rFonts w:cs="Arial"/>
          <w:color w:val="000000"/>
          <w:sz w:val="22"/>
          <w:szCs w:val="22"/>
        </w:rPr>
      </w:pPr>
      <w:r>
        <w:rPr>
          <w:sz w:val="22"/>
          <w:szCs w:val="22"/>
          <w:vertAlign w:val="superscript"/>
        </w:rPr>
        <w:t>†</w:t>
      </w:r>
      <w:r>
        <w:rPr>
          <w:sz w:val="22"/>
          <w:szCs w:val="22"/>
          <w:vertAlign w:val="superscript"/>
        </w:rPr>
        <w:tab/>
      </w:r>
      <w:r>
        <w:rPr>
          <w:color w:val="000000"/>
          <w:sz w:val="22"/>
          <w:szCs w:val="22"/>
        </w:rPr>
        <w:t>Az 50 mg lozartán helyett 150 mg lozartánt szedő betegek között gyakori.</w:t>
      </w:r>
    </w:p>
    <w:p w14:paraId="750628C9" w14:textId="77777777" w:rsidR="00382B5E" w:rsidRDefault="00BE0CD4">
      <w:pPr>
        <w:keepNext/>
        <w:ind w:left="284" w:hanging="284"/>
        <w:rPr>
          <w:sz w:val="22"/>
          <w:szCs w:val="22"/>
        </w:rPr>
      </w:pPr>
      <w:r>
        <w:rPr>
          <w:sz w:val="22"/>
          <w:szCs w:val="22"/>
          <w:vertAlign w:val="superscript"/>
        </w:rPr>
        <w:t>‡</w:t>
      </w:r>
      <w:r>
        <w:rPr>
          <w:bCs/>
          <w:iCs/>
          <w:color w:val="000000"/>
          <w:sz w:val="22"/>
          <w:szCs w:val="22"/>
        </w:rPr>
        <w:tab/>
        <w:t>A nephropathiával járó 2</w:t>
      </w:r>
      <w:r>
        <w:rPr>
          <w:bCs/>
          <w:iCs/>
          <w:color w:val="000000"/>
          <w:sz w:val="22"/>
          <w:szCs w:val="22"/>
        </w:rPr>
        <w:noBreakHyphen/>
        <w:t>es típusú diabetesben szenvedő betegekkel végzett klinikai vizsgálatban hyperkalaemia (&gt; 5,5 mmol/l) mutatkozott a lozartán tablettákkal kezelt betegek 9,9%</w:t>
      </w:r>
      <w:r>
        <w:rPr>
          <w:bCs/>
          <w:iCs/>
          <w:color w:val="000000"/>
          <w:sz w:val="22"/>
          <w:szCs w:val="22"/>
        </w:rPr>
        <w:noBreakHyphen/>
        <w:t>ánál és a placebóval kezelt betegek 3,4%</w:t>
      </w:r>
      <w:r>
        <w:rPr>
          <w:bCs/>
          <w:iCs/>
          <w:color w:val="000000"/>
          <w:sz w:val="22"/>
          <w:szCs w:val="22"/>
        </w:rPr>
        <w:noBreakHyphen/>
        <w:t>ánál.</w:t>
      </w:r>
    </w:p>
    <w:p w14:paraId="0857A5E1" w14:textId="77777777" w:rsidR="00382B5E" w:rsidRDefault="00382B5E">
      <w:pPr>
        <w:pStyle w:val="MGGTextLeft"/>
        <w:rPr>
          <w:bCs/>
          <w:iCs/>
          <w:color w:val="000000"/>
          <w:sz w:val="22"/>
          <w:szCs w:val="22"/>
          <w:lang w:val="hu-HU"/>
        </w:rPr>
      </w:pPr>
    </w:p>
    <w:p w14:paraId="25835553" w14:textId="77777777" w:rsidR="00382B5E" w:rsidRDefault="00BE0CD4">
      <w:pPr>
        <w:pStyle w:val="MGGTextLeft"/>
        <w:rPr>
          <w:bCs/>
          <w:iCs/>
          <w:color w:val="000000"/>
          <w:sz w:val="22"/>
          <w:szCs w:val="22"/>
          <w:lang w:val="hu-HU"/>
        </w:rPr>
      </w:pPr>
      <w:r>
        <w:rPr>
          <w:i/>
          <w:color w:val="000000"/>
          <w:sz w:val="22"/>
          <w:szCs w:val="22"/>
          <w:lang w:val="hu-HU"/>
        </w:rPr>
        <w:t>Vese- és húgyúti betegségek, tünetek</w:t>
      </w:r>
    </w:p>
    <w:p w14:paraId="3A6D078D" w14:textId="77777777" w:rsidR="00382B5E" w:rsidRDefault="00BE0CD4">
      <w:pPr>
        <w:pStyle w:val="MGGTextLeft"/>
        <w:rPr>
          <w:color w:val="000000"/>
          <w:sz w:val="22"/>
          <w:szCs w:val="22"/>
          <w:lang w:val="hu-HU"/>
        </w:rPr>
      </w:pPr>
      <w:r>
        <w:rPr>
          <w:color w:val="000000"/>
          <w:sz w:val="22"/>
          <w:szCs w:val="22"/>
          <w:lang w:val="hu-HU"/>
        </w:rPr>
        <w:t>A renin</w:t>
      </w:r>
      <w:r>
        <w:rPr>
          <w:color w:val="000000"/>
          <w:sz w:val="22"/>
          <w:szCs w:val="22"/>
          <w:lang w:val="hu-HU"/>
        </w:rPr>
        <w:noBreakHyphen/>
        <w:t>angiotenzin</w:t>
      </w:r>
      <w:r>
        <w:rPr>
          <w:color w:val="000000"/>
          <w:sz w:val="22"/>
          <w:szCs w:val="22"/>
          <w:lang w:val="hu-HU"/>
        </w:rPr>
        <w:noBreakHyphen/>
        <w:t>aldoszteron rendszer gátlása következtében kialakult vesefunkciós változásokról – a veseelégtelenséget is beleértve – számoltak be erre veszélyeztetett betegek esetében. Ezek a vesefunkciós változások a kezelés abbahagyásával reverzibilisek lehetnek (lásd 4.4 pont).</w:t>
      </w:r>
    </w:p>
    <w:p w14:paraId="03C7811F" w14:textId="77777777" w:rsidR="00382B5E" w:rsidRDefault="00382B5E">
      <w:pPr>
        <w:pStyle w:val="MGGTextLeft"/>
        <w:rPr>
          <w:color w:val="000000"/>
          <w:sz w:val="22"/>
          <w:szCs w:val="22"/>
          <w:lang w:val="hu-HU"/>
        </w:rPr>
      </w:pPr>
    </w:p>
    <w:p w14:paraId="17B12E06" w14:textId="77777777" w:rsidR="00382B5E" w:rsidRDefault="00BE0CD4">
      <w:pPr>
        <w:rPr>
          <w:sz w:val="22"/>
          <w:szCs w:val="22"/>
          <w:u w:val="single"/>
        </w:rPr>
      </w:pPr>
      <w:r>
        <w:rPr>
          <w:sz w:val="22"/>
          <w:szCs w:val="22"/>
          <w:u w:val="single"/>
        </w:rPr>
        <w:t>Feltételezett mellékhatások bejelentése</w:t>
      </w:r>
    </w:p>
    <w:p w14:paraId="033F52A8" w14:textId="77777777" w:rsidR="00382B5E" w:rsidRDefault="00BE0CD4">
      <w:pPr>
        <w:rPr>
          <w:sz w:val="22"/>
          <w:szCs w:val="22"/>
        </w:rPr>
      </w:pPr>
      <w:r>
        <w:rPr>
          <w:sz w:val="22"/>
          <w:szCs w:val="22"/>
        </w:rPr>
        <w:t>A gyógyszer engedélyezését követően lényeges a feltételezett mellékhatások bejelentése, mert ez fontos eszköze annak, hogy a gyógyszer előny/kockázat profilját folyamatosan figyelemmel lehessen kísérni.</w:t>
      </w:r>
    </w:p>
    <w:p w14:paraId="2F52AC88" w14:textId="77777777" w:rsidR="00382B5E" w:rsidRDefault="00BE0CD4">
      <w:pPr>
        <w:rPr>
          <w:sz w:val="22"/>
          <w:szCs w:val="22"/>
          <w:lang w:eastAsia="en-US"/>
        </w:rPr>
      </w:pPr>
      <w:r>
        <w:rPr>
          <w:sz w:val="22"/>
          <w:szCs w:val="22"/>
        </w:rPr>
        <w:t xml:space="preserve">Az egészségügyi szakembereket kérjük, hogy jelentsék be a feltételezett mellékhatásokat a hatóság részére az </w:t>
      </w:r>
      <w:hyperlink r:id="rId8" w:history="1">
        <w:r>
          <w:rPr>
            <w:rStyle w:val="Hiperhivatkozs"/>
            <w:sz w:val="22"/>
            <w:szCs w:val="22"/>
          </w:rPr>
          <w:t>V. függelékben</w:t>
        </w:r>
      </w:hyperlink>
      <w:r>
        <w:rPr>
          <w:sz w:val="22"/>
          <w:szCs w:val="22"/>
        </w:rPr>
        <w:t xml:space="preserve"> található elérhetőségek valamelyikén keresztül.</w:t>
      </w:r>
    </w:p>
    <w:p w14:paraId="11B1AB69" w14:textId="77777777" w:rsidR="00382B5E" w:rsidRDefault="00382B5E">
      <w:pPr>
        <w:rPr>
          <w:sz w:val="22"/>
          <w:szCs w:val="22"/>
          <w:lang w:eastAsia="en-US"/>
        </w:rPr>
      </w:pPr>
    </w:p>
    <w:p w14:paraId="6809A8FE" w14:textId="77777777" w:rsidR="00382B5E" w:rsidRDefault="00BE0CD4">
      <w:pPr>
        <w:rPr>
          <w:b/>
          <w:sz w:val="22"/>
          <w:szCs w:val="22"/>
        </w:rPr>
      </w:pPr>
      <w:r>
        <w:rPr>
          <w:b/>
          <w:sz w:val="22"/>
          <w:szCs w:val="22"/>
        </w:rPr>
        <w:t>4.9</w:t>
      </w:r>
      <w:r>
        <w:rPr>
          <w:b/>
          <w:sz w:val="22"/>
          <w:szCs w:val="22"/>
        </w:rPr>
        <w:tab/>
        <w:t>Túladagolás</w:t>
      </w:r>
    </w:p>
    <w:p w14:paraId="55A50DE9" w14:textId="77777777" w:rsidR="00382B5E" w:rsidRDefault="00382B5E">
      <w:pPr>
        <w:rPr>
          <w:sz w:val="22"/>
          <w:szCs w:val="22"/>
        </w:rPr>
      </w:pPr>
    </w:p>
    <w:p w14:paraId="3813843A" w14:textId="77777777" w:rsidR="00382B5E" w:rsidRDefault="00BE0CD4">
      <w:pPr>
        <w:autoSpaceDE w:val="0"/>
        <w:autoSpaceDN w:val="0"/>
        <w:adjustRightInd w:val="0"/>
        <w:rPr>
          <w:iCs/>
          <w:sz w:val="22"/>
          <w:szCs w:val="22"/>
          <w:u w:val="single"/>
          <w:lang w:eastAsia="en-US"/>
        </w:rPr>
      </w:pPr>
      <w:r>
        <w:rPr>
          <w:iCs/>
          <w:sz w:val="22"/>
          <w:szCs w:val="22"/>
          <w:u w:val="single"/>
          <w:lang w:eastAsia="en-US"/>
        </w:rPr>
        <w:t>Az intoxikáció tünetei</w:t>
      </w:r>
    </w:p>
    <w:p w14:paraId="5FC48414" w14:textId="77777777" w:rsidR="00382B5E" w:rsidRDefault="00BE0CD4">
      <w:pPr>
        <w:rPr>
          <w:sz w:val="22"/>
          <w:szCs w:val="22"/>
        </w:rPr>
      </w:pPr>
      <w:r>
        <w:rPr>
          <w:sz w:val="22"/>
          <w:szCs w:val="22"/>
        </w:rPr>
        <w:t>A rendelkezésre álló adatok arra utalnak, hogy a nagymértékű amlodipin-túladagolás fokozott perifériás értágulatot, és valószínűleg reflex tachycardiát okozhat. Kifejezett és feltehetően tartós szisztémás hypotoniáról</w:t>
      </w:r>
      <w:r>
        <w:rPr>
          <w:color w:val="000000"/>
          <w:sz w:val="22"/>
          <w:szCs w:val="22"/>
        </w:rPr>
        <w:t xml:space="preserve"> –</w:t>
      </w:r>
      <w:r>
        <w:rPr>
          <w:sz w:val="22"/>
          <w:szCs w:val="22"/>
        </w:rPr>
        <w:t xml:space="preserve"> beleértve a halálos kimenetelű shockot </w:t>
      </w:r>
      <w:r>
        <w:rPr>
          <w:color w:val="000000"/>
          <w:sz w:val="22"/>
          <w:szCs w:val="22"/>
        </w:rPr>
        <w:t xml:space="preserve">– </w:t>
      </w:r>
      <w:r>
        <w:rPr>
          <w:sz w:val="22"/>
          <w:szCs w:val="22"/>
        </w:rPr>
        <w:t>számoltak be.</w:t>
      </w:r>
    </w:p>
    <w:p w14:paraId="110BD965" w14:textId="77777777" w:rsidR="00382B5E" w:rsidRDefault="00382B5E">
      <w:pPr>
        <w:rPr>
          <w:sz w:val="22"/>
          <w:szCs w:val="22"/>
        </w:rPr>
      </w:pPr>
    </w:p>
    <w:p w14:paraId="0E9FC146" w14:textId="77777777" w:rsidR="00382B5E" w:rsidRDefault="00BE0CD4">
      <w:pPr>
        <w:autoSpaceDE w:val="0"/>
        <w:autoSpaceDN w:val="0"/>
        <w:adjustRightInd w:val="0"/>
        <w:rPr>
          <w:noProof/>
          <w:color w:val="000000"/>
          <w:sz w:val="22"/>
          <w:szCs w:val="22"/>
        </w:rPr>
      </w:pPr>
      <w:r>
        <w:rPr>
          <w:noProof/>
          <w:color w:val="000000"/>
          <w:sz w:val="22"/>
          <w:szCs w:val="22"/>
        </w:rPr>
        <w:t>Ritka előfordulási gyakorisággal nem kardiogén eredetű tüdőödémát jelentettek az amlodipin</w:t>
      </w:r>
      <w:r>
        <w:rPr>
          <w:noProof/>
          <w:color w:val="000000"/>
          <w:sz w:val="22"/>
          <w:szCs w:val="22"/>
        </w:rPr>
        <w:noBreakHyphen/>
        <w:t>túladagolás következményeként, amely késői kezdettel (24-48 órával a bevétel után) jelentkezhet, és légzéstámogatást tesz szükségessé. A perfúzió és a perctérfogat fenntartására irányuló korai újraélesztési intézkedések (beleértve a folyadéktúlterhelést) kiváltó tényezők lehetnek.</w:t>
      </w:r>
    </w:p>
    <w:p w14:paraId="21C65C25" w14:textId="77777777" w:rsidR="00382B5E" w:rsidRDefault="00382B5E">
      <w:pPr>
        <w:autoSpaceDE w:val="0"/>
        <w:autoSpaceDN w:val="0"/>
        <w:adjustRightInd w:val="0"/>
        <w:rPr>
          <w:iCs/>
          <w:sz w:val="22"/>
          <w:szCs w:val="22"/>
          <w:u w:val="single"/>
          <w:lang w:eastAsia="en-US"/>
        </w:rPr>
      </w:pPr>
    </w:p>
    <w:p w14:paraId="51C9B661" w14:textId="77777777" w:rsidR="00382B5E" w:rsidRDefault="00BE0CD4">
      <w:pPr>
        <w:autoSpaceDE w:val="0"/>
        <w:autoSpaceDN w:val="0"/>
        <w:adjustRightInd w:val="0"/>
        <w:rPr>
          <w:noProof/>
          <w:color w:val="000000"/>
          <w:sz w:val="22"/>
          <w:szCs w:val="22"/>
        </w:rPr>
      </w:pPr>
      <w:r>
        <w:rPr>
          <w:noProof/>
          <w:color w:val="000000"/>
          <w:sz w:val="22"/>
          <w:szCs w:val="22"/>
        </w:rPr>
        <w:t>Korlátozott adat áll rendelkezésre az emberben történő lozartán-túladagolással kapcsolatban. A túladagolás legvalószínűbb következményei a következők lehetnek: hypotonia és tachycardia. Bradycardia előfordulhat a paraszimpatikus (vagus) ingerlés következtében.</w:t>
      </w:r>
    </w:p>
    <w:p w14:paraId="42669742" w14:textId="77777777" w:rsidR="00382B5E" w:rsidRDefault="00382B5E">
      <w:pPr>
        <w:autoSpaceDE w:val="0"/>
        <w:autoSpaceDN w:val="0"/>
        <w:adjustRightInd w:val="0"/>
        <w:rPr>
          <w:sz w:val="22"/>
          <w:szCs w:val="22"/>
          <w:lang w:eastAsia="en-US"/>
        </w:rPr>
      </w:pPr>
    </w:p>
    <w:p w14:paraId="74C587A7" w14:textId="77777777" w:rsidR="00382B5E" w:rsidRDefault="00BE0CD4">
      <w:pPr>
        <w:autoSpaceDE w:val="0"/>
        <w:autoSpaceDN w:val="0"/>
        <w:adjustRightInd w:val="0"/>
        <w:rPr>
          <w:iCs/>
          <w:sz w:val="22"/>
          <w:szCs w:val="22"/>
          <w:u w:val="single"/>
          <w:lang w:eastAsia="en-US"/>
        </w:rPr>
      </w:pPr>
      <w:r>
        <w:rPr>
          <w:iCs/>
          <w:sz w:val="22"/>
          <w:szCs w:val="22"/>
          <w:u w:val="single"/>
          <w:lang w:eastAsia="en-US"/>
        </w:rPr>
        <w:t>Az intoxikáció kezelése</w:t>
      </w:r>
    </w:p>
    <w:p w14:paraId="58F21936" w14:textId="77777777" w:rsidR="00382B5E" w:rsidRDefault="00BE0CD4">
      <w:pPr>
        <w:autoSpaceDE w:val="0"/>
        <w:autoSpaceDN w:val="0"/>
        <w:adjustRightInd w:val="0"/>
        <w:rPr>
          <w:sz w:val="22"/>
          <w:szCs w:val="22"/>
        </w:rPr>
      </w:pPr>
      <w:r>
        <w:rPr>
          <w:sz w:val="22"/>
          <w:szCs w:val="22"/>
        </w:rPr>
        <w:t>Esetenként a gyomormosás hasznos lehet.</w:t>
      </w:r>
      <w:r>
        <w:rPr>
          <w:sz w:val="22"/>
          <w:szCs w:val="22"/>
          <w:lang w:eastAsia="en-US"/>
        </w:rPr>
        <w:t xml:space="preserve"> Szájon át történő bevételt követően megfelelő dózisú aktív orvosi szén alkalmazása javallt.</w:t>
      </w:r>
      <w:r>
        <w:rPr>
          <w:sz w:val="22"/>
          <w:szCs w:val="22"/>
        </w:rPr>
        <w:t xml:space="preserve"> Egészséges önkénteseknél 10 mg amlodipin bevétele után legfeljebb 2 órán belül adott aktív szén csökkentette az amlodipin felszívódását.</w:t>
      </w:r>
    </w:p>
    <w:p w14:paraId="5ABE1D15" w14:textId="77777777" w:rsidR="00382B5E" w:rsidRDefault="00382B5E">
      <w:pPr>
        <w:autoSpaceDE w:val="0"/>
        <w:autoSpaceDN w:val="0"/>
        <w:adjustRightInd w:val="0"/>
        <w:rPr>
          <w:iCs/>
          <w:sz w:val="22"/>
          <w:szCs w:val="22"/>
          <w:u w:val="single"/>
          <w:lang w:eastAsia="en-US"/>
        </w:rPr>
      </w:pPr>
    </w:p>
    <w:p w14:paraId="4A6EA11E" w14:textId="77777777" w:rsidR="00382B5E" w:rsidRDefault="00BE0CD4">
      <w:pPr>
        <w:rPr>
          <w:sz w:val="22"/>
          <w:szCs w:val="22"/>
        </w:rPr>
      </w:pPr>
      <w:r>
        <w:rPr>
          <w:sz w:val="22"/>
          <w:szCs w:val="22"/>
        </w:rPr>
        <w:t>A Losartan/Amlodipin Krka túladagolása esetén klinikailag jelentős hypotonia jelentkezésekor aktív cardiovascularis támogatás, a szívműködés és légzésfunkció gyakori monitorozása, a végtagok magasra helyezése, a keringő folyadéktérfogat és a vizelet mennyiségének ellenőrzése szükséges. Ha alkalmazása nem kontraindikált, az értónus és a vérnyomás normalizálására vazokonstriktor adható. A kalciumcsatorna-blokkoló hatás megszüntetésére intravénás kalcium-glükonát adása hasznos lehet.</w:t>
      </w:r>
    </w:p>
    <w:p w14:paraId="1127EAB8" w14:textId="77777777" w:rsidR="00382B5E" w:rsidRDefault="00BE0CD4">
      <w:pPr>
        <w:rPr>
          <w:sz w:val="22"/>
          <w:szCs w:val="22"/>
          <w:lang w:eastAsia="en-US"/>
        </w:rPr>
      </w:pPr>
      <w:r>
        <w:rPr>
          <w:sz w:val="22"/>
          <w:szCs w:val="22"/>
          <w:lang w:eastAsia="en-US"/>
        </w:rPr>
        <w:t>Sem a lozartán, sem az amlodipin nem távolítható el hemodialízissel.</w:t>
      </w:r>
    </w:p>
    <w:p w14:paraId="4364611F" w14:textId="77777777" w:rsidR="00382B5E" w:rsidRDefault="00382B5E">
      <w:pPr>
        <w:rPr>
          <w:sz w:val="22"/>
          <w:szCs w:val="22"/>
        </w:rPr>
      </w:pPr>
    </w:p>
    <w:p w14:paraId="7CEEB8A7" w14:textId="77777777" w:rsidR="00382B5E" w:rsidRDefault="00382B5E">
      <w:pPr>
        <w:rPr>
          <w:sz w:val="22"/>
          <w:szCs w:val="22"/>
        </w:rPr>
      </w:pPr>
    </w:p>
    <w:p w14:paraId="6D2EC910" w14:textId="77777777" w:rsidR="00382B5E" w:rsidRDefault="00BE0CD4">
      <w:pPr>
        <w:rPr>
          <w:b/>
          <w:sz w:val="22"/>
          <w:szCs w:val="22"/>
        </w:rPr>
      </w:pPr>
      <w:r>
        <w:rPr>
          <w:b/>
          <w:sz w:val="22"/>
          <w:szCs w:val="22"/>
        </w:rPr>
        <w:t>5.</w:t>
      </w:r>
      <w:r>
        <w:rPr>
          <w:b/>
          <w:sz w:val="22"/>
          <w:szCs w:val="22"/>
        </w:rPr>
        <w:tab/>
        <w:t>FARMAKOLÓGIAI TULAJDONSÁGOK</w:t>
      </w:r>
    </w:p>
    <w:p w14:paraId="36E46851" w14:textId="77777777" w:rsidR="00382B5E" w:rsidRDefault="00382B5E">
      <w:pPr>
        <w:rPr>
          <w:b/>
          <w:sz w:val="22"/>
          <w:szCs w:val="22"/>
        </w:rPr>
      </w:pPr>
    </w:p>
    <w:p w14:paraId="7382CEDA" w14:textId="77777777" w:rsidR="00382B5E" w:rsidRDefault="00BE0CD4">
      <w:pPr>
        <w:rPr>
          <w:b/>
          <w:sz w:val="22"/>
          <w:szCs w:val="22"/>
        </w:rPr>
      </w:pPr>
      <w:r>
        <w:rPr>
          <w:b/>
          <w:sz w:val="22"/>
          <w:szCs w:val="22"/>
        </w:rPr>
        <w:t>5.1</w:t>
      </w:r>
      <w:r>
        <w:rPr>
          <w:b/>
          <w:sz w:val="22"/>
          <w:szCs w:val="22"/>
        </w:rPr>
        <w:tab/>
        <w:t>Farmakodinámiás tulajdonságok</w:t>
      </w:r>
    </w:p>
    <w:p w14:paraId="7C4682D1" w14:textId="77777777" w:rsidR="00382B5E" w:rsidRDefault="00382B5E">
      <w:pPr>
        <w:rPr>
          <w:sz w:val="22"/>
          <w:szCs w:val="22"/>
        </w:rPr>
      </w:pPr>
    </w:p>
    <w:p w14:paraId="3815956C" w14:textId="77777777" w:rsidR="00382B5E" w:rsidRDefault="00BE0CD4">
      <w:pPr>
        <w:rPr>
          <w:sz w:val="22"/>
          <w:szCs w:val="22"/>
        </w:rPr>
      </w:pPr>
      <w:r>
        <w:rPr>
          <w:sz w:val="22"/>
          <w:szCs w:val="22"/>
        </w:rPr>
        <w:lastRenderedPageBreak/>
        <w:t>Farmakoterápiás csoport: renin-angiotenzin rendszerre ható szerek, angiotenzin II-receptor-antagonisták és kalciumcsatorna-blokkolók, ATC kód: C09DB06.</w:t>
      </w:r>
    </w:p>
    <w:p w14:paraId="2F120FB3" w14:textId="77777777" w:rsidR="00382B5E" w:rsidRDefault="00382B5E">
      <w:pPr>
        <w:autoSpaceDE w:val="0"/>
        <w:autoSpaceDN w:val="0"/>
        <w:adjustRightInd w:val="0"/>
        <w:rPr>
          <w:sz w:val="22"/>
          <w:szCs w:val="22"/>
          <w:lang w:eastAsia="en-US"/>
        </w:rPr>
      </w:pPr>
    </w:p>
    <w:p w14:paraId="62F11A18" w14:textId="77777777" w:rsidR="00382B5E" w:rsidRDefault="00BE0CD4">
      <w:pPr>
        <w:autoSpaceDE w:val="0"/>
        <w:autoSpaceDN w:val="0"/>
        <w:adjustRightInd w:val="0"/>
        <w:rPr>
          <w:sz w:val="22"/>
          <w:szCs w:val="22"/>
          <w:u w:val="single"/>
          <w:lang w:eastAsia="en-US"/>
        </w:rPr>
      </w:pPr>
      <w:r>
        <w:rPr>
          <w:sz w:val="22"/>
          <w:szCs w:val="22"/>
          <w:u w:val="single"/>
          <w:lang w:eastAsia="en-US"/>
        </w:rPr>
        <w:t>Lozartán</w:t>
      </w:r>
    </w:p>
    <w:p w14:paraId="56830347" w14:textId="77777777" w:rsidR="00382B5E" w:rsidRDefault="00BE0CD4">
      <w:pPr>
        <w:widowControl w:val="0"/>
        <w:autoSpaceDE w:val="0"/>
        <w:autoSpaceDN w:val="0"/>
        <w:adjustRightInd w:val="0"/>
        <w:rPr>
          <w:sz w:val="22"/>
          <w:szCs w:val="22"/>
          <w:lang w:eastAsia="en-US"/>
        </w:rPr>
      </w:pPr>
      <w:r>
        <w:rPr>
          <w:sz w:val="22"/>
          <w:szCs w:val="22"/>
          <w:lang w:eastAsia="en-US"/>
        </w:rPr>
        <w:t>A l</w:t>
      </w:r>
      <w:r>
        <w:rPr>
          <w:sz w:val="22"/>
          <w:szCs w:val="22"/>
        </w:rPr>
        <w:t>ozartán</w:t>
      </w:r>
      <w:r>
        <w:rPr>
          <w:sz w:val="22"/>
          <w:szCs w:val="22"/>
          <w:lang w:eastAsia="en-US"/>
        </w:rPr>
        <w:t xml:space="preserve"> egy szintetikus </w:t>
      </w:r>
      <w:r>
        <w:rPr>
          <w:i/>
          <w:iCs/>
          <w:sz w:val="22"/>
          <w:szCs w:val="22"/>
          <w:lang w:eastAsia="en-US"/>
        </w:rPr>
        <w:t xml:space="preserve">per os </w:t>
      </w:r>
      <w:r>
        <w:rPr>
          <w:sz w:val="22"/>
          <w:szCs w:val="22"/>
          <w:lang w:eastAsia="en-US"/>
        </w:rPr>
        <w:t>alkalmazható angiotenzin II-receptor- (AT</w:t>
      </w:r>
      <w:r>
        <w:rPr>
          <w:sz w:val="22"/>
          <w:szCs w:val="22"/>
          <w:vertAlign w:val="subscript"/>
          <w:lang w:eastAsia="en-US"/>
        </w:rPr>
        <w:t>1</w:t>
      </w:r>
      <w:r>
        <w:rPr>
          <w:sz w:val="22"/>
          <w:szCs w:val="22"/>
          <w:lang w:eastAsia="en-US"/>
        </w:rPr>
        <w:t>-típusú) antagonista. Az angiotenzin II egy potens vazokonstriktor, az elsődleges aktív hormon a renin-angiotenzin rendszerben és fontos meghatározója a hypertonia patofiziológiájának. Az angiotenzin II az AT</w:t>
      </w:r>
      <w:r>
        <w:rPr>
          <w:sz w:val="22"/>
          <w:szCs w:val="22"/>
          <w:vertAlign w:val="subscript"/>
          <w:lang w:eastAsia="en-US"/>
        </w:rPr>
        <w:t>1</w:t>
      </w:r>
      <w:r>
        <w:rPr>
          <w:sz w:val="22"/>
          <w:szCs w:val="22"/>
          <w:lang w:eastAsia="en-US"/>
        </w:rPr>
        <w:t>-receptorhoz kötődik, ami számos szövetben megtalálható (pl. az ér simaizomzatában, a mellékvesében, a vesékben és a szívben), és számos fontos biológiai hatást vált ki, így érszűkületet és aldoszteron-kiáramlást. Az angiotenzin II a simaizmok sejtszaporodását is stimulálja.</w:t>
      </w:r>
    </w:p>
    <w:p w14:paraId="7B219E98" w14:textId="77777777" w:rsidR="00382B5E" w:rsidRDefault="00382B5E">
      <w:pPr>
        <w:autoSpaceDE w:val="0"/>
        <w:autoSpaceDN w:val="0"/>
        <w:adjustRightInd w:val="0"/>
        <w:rPr>
          <w:sz w:val="22"/>
          <w:szCs w:val="22"/>
          <w:lang w:eastAsia="en-US"/>
        </w:rPr>
      </w:pPr>
    </w:p>
    <w:p w14:paraId="53CE2B52" w14:textId="77777777" w:rsidR="00382B5E" w:rsidRDefault="00BE0CD4">
      <w:pPr>
        <w:autoSpaceDE w:val="0"/>
        <w:autoSpaceDN w:val="0"/>
        <w:adjustRightInd w:val="0"/>
        <w:rPr>
          <w:sz w:val="22"/>
          <w:szCs w:val="22"/>
          <w:lang w:eastAsia="en-US"/>
        </w:rPr>
      </w:pPr>
      <w:r>
        <w:rPr>
          <w:sz w:val="22"/>
          <w:szCs w:val="22"/>
          <w:lang w:eastAsia="en-US"/>
        </w:rPr>
        <w:t>A l</w:t>
      </w:r>
      <w:r>
        <w:rPr>
          <w:sz w:val="22"/>
          <w:szCs w:val="22"/>
        </w:rPr>
        <w:t>ozartán</w:t>
      </w:r>
      <w:r>
        <w:rPr>
          <w:sz w:val="22"/>
          <w:szCs w:val="22"/>
          <w:lang w:eastAsia="en-US"/>
        </w:rPr>
        <w:t xml:space="preserve"> szelektíven gátolja az AT</w:t>
      </w:r>
      <w:r>
        <w:rPr>
          <w:sz w:val="22"/>
          <w:szCs w:val="22"/>
          <w:vertAlign w:val="subscript"/>
          <w:lang w:eastAsia="en-US"/>
        </w:rPr>
        <w:t>1</w:t>
      </w:r>
      <w:r>
        <w:rPr>
          <w:sz w:val="22"/>
          <w:szCs w:val="22"/>
          <w:lang w:eastAsia="en-US"/>
        </w:rPr>
        <w:t xml:space="preserve">-receptort. </w:t>
      </w:r>
      <w:r>
        <w:rPr>
          <w:i/>
          <w:iCs/>
          <w:sz w:val="22"/>
          <w:szCs w:val="22"/>
          <w:lang w:eastAsia="en-US"/>
        </w:rPr>
        <w:t xml:space="preserve">In vitro </w:t>
      </w:r>
      <w:r>
        <w:rPr>
          <w:sz w:val="22"/>
          <w:szCs w:val="22"/>
          <w:lang w:eastAsia="en-US"/>
        </w:rPr>
        <w:t xml:space="preserve">és </w:t>
      </w:r>
      <w:r>
        <w:rPr>
          <w:i/>
          <w:iCs/>
          <w:sz w:val="22"/>
          <w:szCs w:val="22"/>
          <w:lang w:eastAsia="en-US"/>
        </w:rPr>
        <w:t xml:space="preserve">in vivo </w:t>
      </w:r>
      <w:r>
        <w:rPr>
          <w:sz w:val="22"/>
          <w:szCs w:val="22"/>
          <w:lang w:eastAsia="en-US"/>
        </w:rPr>
        <w:t>mind a lozartán, mind farmakológiailag aktív karboxilsav metabolitja (E-3174) gátolja az angiotenzin II összes élettanilag releváns működését, tekintet nélkül a szintézis forrására vagy útjára.</w:t>
      </w:r>
    </w:p>
    <w:p w14:paraId="2760DD9B" w14:textId="77777777" w:rsidR="00382B5E" w:rsidRDefault="00382B5E">
      <w:pPr>
        <w:autoSpaceDE w:val="0"/>
        <w:autoSpaceDN w:val="0"/>
        <w:adjustRightInd w:val="0"/>
        <w:rPr>
          <w:sz w:val="22"/>
          <w:szCs w:val="22"/>
          <w:lang w:eastAsia="en-US"/>
        </w:rPr>
      </w:pPr>
    </w:p>
    <w:p w14:paraId="4A223D9A" w14:textId="77777777" w:rsidR="00382B5E" w:rsidRDefault="00BE0CD4">
      <w:pPr>
        <w:autoSpaceDE w:val="0"/>
        <w:autoSpaceDN w:val="0"/>
        <w:adjustRightInd w:val="0"/>
        <w:rPr>
          <w:sz w:val="22"/>
          <w:szCs w:val="22"/>
          <w:lang w:eastAsia="en-US"/>
        </w:rPr>
      </w:pPr>
      <w:r>
        <w:rPr>
          <w:sz w:val="22"/>
          <w:szCs w:val="22"/>
          <w:lang w:eastAsia="en-US"/>
        </w:rPr>
        <w:t xml:space="preserve">A </w:t>
      </w:r>
      <w:r>
        <w:rPr>
          <w:sz w:val="22"/>
          <w:szCs w:val="22"/>
        </w:rPr>
        <w:t>lozartán</w:t>
      </w:r>
      <w:r>
        <w:rPr>
          <w:sz w:val="22"/>
          <w:szCs w:val="22"/>
          <w:lang w:eastAsia="en-US"/>
        </w:rPr>
        <w:t xml:space="preserve"> nem agonistája vagy gátlója más olyan hormonreceptoroknak, illetve ioncsatornáknak, amelyek a cardiovascularis szabályozás szempontjából fontosak. Ezen kívül, a lozartán-kálium nem gátolja az ACE-t (kinináz II), a bradikinint lebontó enzimet. Ennek következtében a bradikinin által mediált nemkívánatos hatások potencírozása nem következik be.</w:t>
      </w:r>
    </w:p>
    <w:p w14:paraId="1EA222ED" w14:textId="77777777" w:rsidR="00382B5E" w:rsidRDefault="00382B5E">
      <w:pPr>
        <w:autoSpaceDE w:val="0"/>
        <w:autoSpaceDN w:val="0"/>
        <w:adjustRightInd w:val="0"/>
        <w:rPr>
          <w:sz w:val="22"/>
          <w:szCs w:val="22"/>
          <w:lang w:eastAsia="en-US"/>
        </w:rPr>
      </w:pPr>
    </w:p>
    <w:p w14:paraId="4D2299BD" w14:textId="77777777" w:rsidR="00382B5E" w:rsidRDefault="00BE0CD4">
      <w:pPr>
        <w:autoSpaceDE w:val="0"/>
        <w:autoSpaceDN w:val="0"/>
        <w:adjustRightInd w:val="0"/>
        <w:rPr>
          <w:sz w:val="22"/>
          <w:szCs w:val="22"/>
          <w:lang w:eastAsia="en-US"/>
        </w:rPr>
      </w:pPr>
      <w:r>
        <w:rPr>
          <w:sz w:val="22"/>
          <w:szCs w:val="22"/>
          <w:lang w:eastAsia="en-US"/>
        </w:rPr>
        <w:t>A lozartán adagolása során, az angiotenzin II reninszekrécióra gyakorolt negatív visszacsatolásának kikapcsolása megnövekedett plazma reninaktivitáshoz (PRA) vezet. A PRA növekedése a plazma angiotenzin II emelkedését váltja ki. Az említett emelkedések ellenére a vérnyomáscsökkentő hatás és a plazma aldoszteron-koncentrációjának szuppressziója megmarad, jelezve ezzel a hatásos angiotenzin II-receptor-blokádot. A lozartán-terápia befejezése után a PRA- és az angiotenzin II</w:t>
      </w:r>
      <w:r>
        <w:rPr>
          <w:sz w:val="22"/>
          <w:szCs w:val="22"/>
          <w:lang w:eastAsia="en-US"/>
        </w:rPr>
        <w:noBreakHyphen/>
        <w:t>értékek 3 napon belül az alapértékre estek vissza.</w:t>
      </w:r>
    </w:p>
    <w:p w14:paraId="4370D7FA" w14:textId="77777777" w:rsidR="00382B5E" w:rsidRDefault="00382B5E">
      <w:pPr>
        <w:autoSpaceDE w:val="0"/>
        <w:autoSpaceDN w:val="0"/>
        <w:adjustRightInd w:val="0"/>
        <w:rPr>
          <w:sz w:val="22"/>
          <w:szCs w:val="22"/>
          <w:lang w:eastAsia="en-US"/>
        </w:rPr>
      </w:pPr>
    </w:p>
    <w:p w14:paraId="5B1A765F" w14:textId="77777777" w:rsidR="00382B5E" w:rsidRDefault="00BE0CD4">
      <w:pPr>
        <w:rPr>
          <w:sz w:val="22"/>
          <w:szCs w:val="22"/>
          <w:lang w:eastAsia="en-US"/>
        </w:rPr>
      </w:pPr>
      <w:r>
        <w:rPr>
          <w:sz w:val="22"/>
          <w:szCs w:val="22"/>
          <w:lang w:eastAsia="en-US"/>
        </w:rPr>
        <w:t>Mind a lozartánnak, mind pedig fő aktív metabolitjának sokkal nagyobb affinitása van az AT</w:t>
      </w:r>
      <w:r>
        <w:rPr>
          <w:sz w:val="22"/>
          <w:szCs w:val="22"/>
          <w:vertAlign w:val="subscript"/>
          <w:lang w:eastAsia="en-US"/>
        </w:rPr>
        <w:t>1</w:t>
      </w:r>
      <w:r>
        <w:rPr>
          <w:sz w:val="22"/>
          <w:szCs w:val="22"/>
          <w:lang w:eastAsia="en-US"/>
        </w:rPr>
        <w:noBreakHyphen/>
        <w:t>receptorhoz, mint az AT</w:t>
      </w:r>
      <w:r>
        <w:rPr>
          <w:sz w:val="22"/>
          <w:szCs w:val="22"/>
          <w:vertAlign w:val="subscript"/>
          <w:lang w:eastAsia="en-US"/>
        </w:rPr>
        <w:t>2</w:t>
      </w:r>
      <w:r>
        <w:rPr>
          <w:sz w:val="22"/>
          <w:szCs w:val="22"/>
          <w:lang w:eastAsia="en-US"/>
        </w:rPr>
        <w:t>-receptorhoz. Az aktív metabolit tömegszázalék alapon 10-40-szer aktívabb a lozartánnál.</w:t>
      </w:r>
    </w:p>
    <w:p w14:paraId="008E585A" w14:textId="77777777" w:rsidR="00A736A2" w:rsidRDefault="00A736A2">
      <w:pPr>
        <w:rPr>
          <w:sz w:val="22"/>
          <w:szCs w:val="22"/>
          <w:lang w:eastAsia="en-US"/>
        </w:rPr>
      </w:pPr>
    </w:p>
    <w:p w14:paraId="7335579E" w14:textId="77777777" w:rsidR="00132D5F" w:rsidRPr="00ED58F2" w:rsidRDefault="00132D5F" w:rsidP="00132D5F">
      <w:pPr>
        <w:tabs>
          <w:tab w:val="left" w:pos="567"/>
        </w:tabs>
        <w:rPr>
          <w:noProof/>
          <w:sz w:val="22"/>
          <w:szCs w:val="22"/>
        </w:rPr>
      </w:pPr>
      <w:r w:rsidRPr="00ED58F2">
        <w:rPr>
          <w:noProof/>
          <w:sz w:val="22"/>
          <w:szCs w:val="22"/>
        </w:rPr>
        <w:t xml:space="preserve">Egy olyan vizsgálatban, amelynek célja kifejezetten a köhögés előfordulásának felmérése volt a lozartánnal kezelt betegeknél az ACE-gátlóval kezelt betegekhez képest, a lozartánt vagy hidroklorotiazidot kapó betegek által jelentett köhögés </w:t>
      </w:r>
      <w:r>
        <w:rPr>
          <w:noProof/>
          <w:sz w:val="22"/>
          <w:szCs w:val="22"/>
        </w:rPr>
        <w:t>incidenciája</w:t>
      </w:r>
      <w:r w:rsidRPr="00ED58F2">
        <w:rPr>
          <w:noProof/>
          <w:sz w:val="22"/>
          <w:szCs w:val="22"/>
        </w:rPr>
        <w:t xml:space="preserve"> hasonló volt, és ugyanakkor szignifikánsan kisebb volt, mint az ACE-gátlóval kezelt betegeknél. Ezenkívül, 16 kettős vak klinikai vizsgálat 4131 beteggel végzett átfogó elemzése során, a spontán jelentett köhögés </w:t>
      </w:r>
      <w:r>
        <w:rPr>
          <w:noProof/>
          <w:sz w:val="22"/>
          <w:szCs w:val="22"/>
        </w:rPr>
        <w:t>incidenciája</w:t>
      </w:r>
      <w:r w:rsidRPr="00ED58F2">
        <w:rPr>
          <w:noProof/>
          <w:sz w:val="22"/>
          <w:szCs w:val="22"/>
        </w:rPr>
        <w:t xml:space="preserve"> a lozartánnal kezelt betegeknél hasonló volt (3,1%), mint a placebóval (2,6%) vagy hidroklorotiaziddal (4,1%) kezelt betegeknél, míg az ACE-gátlókkal kezelt betegeknél 8,8% volt.</w:t>
      </w:r>
    </w:p>
    <w:p w14:paraId="606F4980" w14:textId="77777777" w:rsidR="00132D5F" w:rsidRPr="00ED58F2" w:rsidRDefault="00132D5F" w:rsidP="00132D5F">
      <w:pPr>
        <w:tabs>
          <w:tab w:val="left" w:pos="567"/>
        </w:tabs>
        <w:rPr>
          <w:noProof/>
          <w:sz w:val="22"/>
          <w:szCs w:val="22"/>
        </w:rPr>
      </w:pPr>
    </w:p>
    <w:p w14:paraId="28638C24" w14:textId="77777777" w:rsidR="00132D5F" w:rsidRPr="00ED58F2" w:rsidRDefault="00132D5F" w:rsidP="00132D5F">
      <w:pPr>
        <w:tabs>
          <w:tab w:val="left" w:pos="567"/>
        </w:tabs>
        <w:rPr>
          <w:noProof/>
          <w:sz w:val="22"/>
          <w:szCs w:val="22"/>
        </w:rPr>
      </w:pPr>
      <w:r w:rsidRPr="00ED58F2">
        <w:rPr>
          <w:noProof/>
          <w:sz w:val="22"/>
          <w:szCs w:val="22"/>
        </w:rPr>
        <w:t>Proteinuriás, nem diabéteszes hipertóniás betegeknél, a lozartán-kálium adása jelentősen csökkenti a proteinuriát, az albumin és az IgG frakcionált kiválasztását. A lozartán fenntartja a glomerulusfiltrációs rátát és csökkenti a filtrációs frakciót. Általánosan, a lozartán a szérum húgysavszint csökkenését okozza (általában &lt;0,4</w:t>
      </w:r>
      <w:r>
        <w:rPr>
          <w:noProof/>
          <w:sz w:val="22"/>
          <w:szCs w:val="22"/>
        </w:rPr>
        <w:t> </w:t>
      </w:r>
      <w:r w:rsidRPr="00ED58F2">
        <w:rPr>
          <w:noProof/>
          <w:sz w:val="22"/>
          <w:szCs w:val="22"/>
        </w:rPr>
        <w:t xml:space="preserve">mg/dl), amely </w:t>
      </w:r>
      <w:r>
        <w:rPr>
          <w:noProof/>
          <w:sz w:val="22"/>
          <w:szCs w:val="22"/>
        </w:rPr>
        <w:t>tartós</w:t>
      </w:r>
      <w:r w:rsidRPr="00ED58F2">
        <w:rPr>
          <w:noProof/>
          <w:sz w:val="22"/>
          <w:szCs w:val="22"/>
        </w:rPr>
        <w:t xml:space="preserve"> kezelés</w:t>
      </w:r>
      <w:r>
        <w:rPr>
          <w:noProof/>
          <w:sz w:val="22"/>
          <w:szCs w:val="22"/>
        </w:rPr>
        <w:t xml:space="preserve"> során</w:t>
      </w:r>
      <w:r w:rsidRPr="00ED58F2">
        <w:rPr>
          <w:noProof/>
          <w:sz w:val="22"/>
          <w:szCs w:val="22"/>
        </w:rPr>
        <w:t xml:space="preserve"> tartósan fennmaradt.</w:t>
      </w:r>
    </w:p>
    <w:p w14:paraId="0E04165A" w14:textId="77777777" w:rsidR="00132D5F" w:rsidRPr="00ED58F2" w:rsidRDefault="00132D5F" w:rsidP="00132D5F">
      <w:pPr>
        <w:tabs>
          <w:tab w:val="left" w:pos="567"/>
        </w:tabs>
        <w:rPr>
          <w:noProof/>
          <w:sz w:val="22"/>
          <w:szCs w:val="22"/>
        </w:rPr>
      </w:pPr>
    </w:p>
    <w:p w14:paraId="4DDA22EE" w14:textId="77777777" w:rsidR="00132D5F" w:rsidRPr="00ED58F2" w:rsidRDefault="00132D5F" w:rsidP="00132D5F">
      <w:pPr>
        <w:tabs>
          <w:tab w:val="left" w:pos="567"/>
        </w:tabs>
        <w:rPr>
          <w:noProof/>
          <w:sz w:val="22"/>
          <w:szCs w:val="22"/>
        </w:rPr>
      </w:pPr>
      <w:r w:rsidRPr="00ED58F2">
        <w:rPr>
          <w:noProof/>
          <w:sz w:val="22"/>
          <w:szCs w:val="22"/>
        </w:rPr>
        <w:t>A lozartánnak nincs hatása a vegetatív reflexekre, és nincs tartós hatása a plazma noradrenalinszintjére.</w:t>
      </w:r>
    </w:p>
    <w:p w14:paraId="447AF30E" w14:textId="77777777" w:rsidR="00132D5F" w:rsidRPr="00ED58F2" w:rsidRDefault="00132D5F" w:rsidP="00132D5F">
      <w:pPr>
        <w:tabs>
          <w:tab w:val="left" w:pos="567"/>
        </w:tabs>
        <w:rPr>
          <w:noProof/>
          <w:sz w:val="22"/>
          <w:szCs w:val="22"/>
        </w:rPr>
      </w:pPr>
    </w:p>
    <w:p w14:paraId="3BCB3DD2" w14:textId="77777777" w:rsidR="00132D5F" w:rsidRPr="00F05F7C" w:rsidRDefault="00132D5F" w:rsidP="00132D5F">
      <w:pPr>
        <w:tabs>
          <w:tab w:val="left" w:pos="567"/>
        </w:tabs>
        <w:rPr>
          <w:noProof/>
          <w:sz w:val="22"/>
          <w:szCs w:val="22"/>
        </w:rPr>
      </w:pPr>
      <w:r w:rsidRPr="00ED58F2">
        <w:rPr>
          <w:noProof/>
          <w:sz w:val="22"/>
          <w:szCs w:val="22"/>
        </w:rPr>
        <w:t>Bal kamrai elégtelenségben szenvedő betegeknél, a 25</w:t>
      </w:r>
      <w:r>
        <w:rPr>
          <w:noProof/>
          <w:sz w:val="22"/>
          <w:szCs w:val="22"/>
        </w:rPr>
        <w:t> </w:t>
      </w:r>
      <w:r w:rsidRPr="00ED58F2">
        <w:rPr>
          <w:noProof/>
          <w:sz w:val="22"/>
          <w:szCs w:val="22"/>
        </w:rPr>
        <w:t>mg és 50</w:t>
      </w:r>
      <w:r>
        <w:rPr>
          <w:noProof/>
          <w:sz w:val="22"/>
          <w:szCs w:val="22"/>
        </w:rPr>
        <w:t> </w:t>
      </w:r>
      <w:r w:rsidRPr="00ED58F2">
        <w:rPr>
          <w:noProof/>
          <w:sz w:val="22"/>
          <w:szCs w:val="22"/>
        </w:rPr>
        <w:t xml:space="preserve">mg-os lozartán </w:t>
      </w:r>
      <w:r>
        <w:rPr>
          <w:noProof/>
          <w:sz w:val="22"/>
          <w:szCs w:val="22"/>
        </w:rPr>
        <w:t>dózisok</w:t>
      </w:r>
      <w:r w:rsidRPr="00ED58F2">
        <w:rPr>
          <w:noProof/>
          <w:sz w:val="22"/>
          <w:szCs w:val="22"/>
        </w:rPr>
        <w:t xml:space="preserve"> pozitív haemodinamikai és neurohormonális hatásokat eredményeztek, amelyeket a szívindex emelkedése, a pulmonális kapilláris éknyomás, a szisztémás érellenállás, az átlagos szisztémás artériás nyomás és a </w:t>
      </w:r>
      <w:r>
        <w:rPr>
          <w:noProof/>
          <w:sz w:val="22"/>
          <w:szCs w:val="22"/>
        </w:rPr>
        <w:t>szívfrekvencia</w:t>
      </w:r>
      <w:r w:rsidRPr="00ED58F2">
        <w:rPr>
          <w:noProof/>
          <w:sz w:val="22"/>
          <w:szCs w:val="22"/>
        </w:rPr>
        <w:t xml:space="preserve"> csökkenése, valamint a keringő aldoszteron- és noradrenalinszint csökkenése jellemzett. A hypoten</w:t>
      </w:r>
      <w:r>
        <w:rPr>
          <w:noProof/>
          <w:sz w:val="22"/>
          <w:szCs w:val="22"/>
        </w:rPr>
        <w:t>s</w:t>
      </w:r>
      <w:r w:rsidRPr="00ED58F2">
        <w:rPr>
          <w:noProof/>
          <w:sz w:val="22"/>
          <w:szCs w:val="22"/>
        </w:rPr>
        <w:t>i</w:t>
      </w:r>
      <w:r>
        <w:rPr>
          <w:noProof/>
          <w:sz w:val="22"/>
          <w:szCs w:val="22"/>
        </w:rPr>
        <w:t>o</w:t>
      </w:r>
      <w:r w:rsidRPr="00ED58F2">
        <w:rPr>
          <w:noProof/>
          <w:sz w:val="22"/>
          <w:szCs w:val="22"/>
        </w:rPr>
        <w:t xml:space="preserve"> előfordulása dózisfüggő volt ezeknél a szívelégtelenségben szenvedő betegeknél.</w:t>
      </w:r>
    </w:p>
    <w:p w14:paraId="213C1193" w14:textId="77777777" w:rsidR="00382B5E" w:rsidRDefault="00382B5E">
      <w:pPr>
        <w:autoSpaceDE w:val="0"/>
        <w:autoSpaceDN w:val="0"/>
        <w:adjustRightInd w:val="0"/>
        <w:rPr>
          <w:sz w:val="22"/>
          <w:szCs w:val="22"/>
          <w:u w:val="single"/>
          <w:lang w:eastAsia="en-US"/>
        </w:rPr>
      </w:pPr>
    </w:p>
    <w:p w14:paraId="187AFFEF" w14:textId="77777777" w:rsidR="00382B5E" w:rsidRDefault="00BE0CD4">
      <w:pPr>
        <w:autoSpaceDE w:val="0"/>
        <w:autoSpaceDN w:val="0"/>
        <w:adjustRightInd w:val="0"/>
        <w:rPr>
          <w:i/>
          <w:sz w:val="22"/>
          <w:szCs w:val="22"/>
          <w:lang w:eastAsia="en-US"/>
        </w:rPr>
      </w:pPr>
      <w:r>
        <w:rPr>
          <w:i/>
          <w:sz w:val="22"/>
          <w:szCs w:val="22"/>
          <w:lang w:eastAsia="en-US"/>
        </w:rPr>
        <w:t>Hypertonia vizsgálatok</w:t>
      </w:r>
    </w:p>
    <w:p w14:paraId="41B92AE6" w14:textId="77777777" w:rsidR="00382B5E" w:rsidRDefault="00BE0CD4">
      <w:pPr>
        <w:autoSpaceDE w:val="0"/>
        <w:autoSpaceDN w:val="0"/>
        <w:adjustRightInd w:val="0"/>
        <w:rPr>
          <w:sz w:val="22"/>
          <w:szCs w:val="22"/>
          <w:lang w:eastAsia="en-US"/>
        </w:rPr>
      </w:pPr>
      <w:r>
        <w:rPr>
          <w:sz w:val="22"/>
          <w:szCs w:val="22"/>
          <w:lang w:eastAsia="en-US"/>
        </w:rPr>
        <w:lastRenderedPageBreak/>
        <w:t>Kontrollos klinikai vizsgálatokban a napi egyszeri lozartán adagolás az enyhe vagy közepes fokú essentialis hypertoniás betegeknél statisztikailag szignifikánsan csökkentette a szisztolés és diasztolés vérnyomást. 24 órával az adagolást követően elvégzett vérnyomásmérés, az 5</w:t>
      </w:r>
      <w:r>
        <w:rPr>
          <w:sz w:val="22"/>
          <w:szCs w:val="22"/>
          <w:lang w:eastAsia="en-US"/>
        </w:rPr>
        <w:noBreakHyphen/>
        <w:t>6 órával az adagolást követően elvégzett vérnyomásméréssel összevetve, 24 órán át fennálló vérnyomáscsökkenést mutatott ki; a természetes diurnális ritmus megmaradt. Az adagolási intervallum végén mért vérnyomáscsökkenés az adagolást követő 5</w:t>
      </w:r>
      <w:r>
        <w:rPr>
          <w:sz w:val="22"/>
          <w:szCs w:val="22"/>
          <w:lang w:eastAsia="en-US"/>
        </w:rPr>
        <w:noBreakHyphen/>
        <w:t>6 órában mért hatás 70</w:t>
      </w:r>
      <w:r>
        <w:rPr>
          <w:sz w:val="22"/>
          <w:szCs w:val="22"/>
          <w:lang w:eastAsia="en-US"/>
        </w:rPr>
        <w:noBreakHyphen/>
        <w:t>80%-a volt.</w:t>
      </w:r>
    </w:p>
    <w:p w14:paraId="77AF806F" w14:textId="77777777" w:rsidR="00382B5E" w:rsidRDefault="00382B5E">
      <w:pPr>
        <w:autoSpaceDE w:val="0"/>
        <w:autoSpaceDN w:val="0"/>
        <w:adjustRightInd w:val="0"/>
        <w:rPr>
          <w:sz w:val="22"/>
          <w:szCs w:val="22"/>
          <w:lang w:eastAsia="en-US"/>
        </w:rPr>
      </w:pPr>
    </w:p>
    <w:p w14:paraId="22DF1C16" w14:textId="77777777" w:rsidR="00382B5E" w:rsidRDefault="00BE0CD4">
      <w:pPr>
        <w:autoSpaceDE w:val="0"/>
        <w:autoSpaceDN w:val="0"/>
        <w:adjustRightInd w:val="0"/>
        <w:rPr>
          <w:sz w:val="22"/>
          <w:szCs w:val="22"/>
          <w:lang w:eastAsia="en-US"/>
        </w:rPr>
      </w:pPr>
      <w:r>
        <w:rPr>
          <w:sz w:val="22"/>
          <w:szCs w:val="22"/>
          <w:lang w:eastAsia="en-US"/>
        </w:rPr>
        <w:t>A lozartán adásának felfüggesztése hypertoniás betegeknél nem eredményezte a vérnyomás hirtelen megemelkedését (rebound). A vérnyomás jelentős csökkenése ellenére a lozartán-kálium nem gyakorolt klinikailag szignifikáns hatást a szívfrekvenciára.</w:t>
      </w:r>
    </w:p>
    <w:p w14:paraId="644531E9" w14:textId="77777777" w:rsidR="00382B5E" w:rsidRDefault="00382B5E">
      <w:pPr>
        <w:autoSpaceDE w:val="0"/>
        <w:autoSpaceDN w:val="0"/>
        <w:adjustRightInd w:val="0"/>
        <w:rPr>
          <w:sz w:val="22"/>
          <w:szCs w:val="22"/>
          <w:lang w:eastAsia="en-US"/>
        </w:rPr>
      </w:pPr>
    </w:p>
    <w:p w14:paraId="4D98A125" w14:textId="77777777" w:rsidR="00382B5E" w:rsidRDefault="00BE0CD4">
      <w:pPr>
        <w:autoSpaceDE w:val="0"/>
        <w:autoSpaceDN w:val="0"/>
        <w:adjustRightInd w:val="0"/>
        <w:rPr>
          <w:sz w:val="22"/>
          <w:szCs w:val="22"/>
          <w:lang w:eastAsia="en-US"/>
        </w:rPr>
      </w:pPr>
      <w:r>
        <w:rPr>
          <w:sz w:val="22"/>
          <w:szCs w:val="22"/>
          <w:lang w:eastAsia="en-US"/>
        </w:rPr>
        <w:t>A l</w:t>
      </w:r>
      <w:r>
        <w:rPr>
          <w:sz w:val="22"/>
          <w:szCs w:val="22"/>
        </w:rPr>
        <w:t>ozartán</w:t>
      </w:r>
      <w:r>
        <w:rPr>
          <w:sz w:val="22"/>
          <w:szCs w:val="22"/>
          <w:lang w:eastAsia="en-US"/>
        </w:rPr>
        <w:t xml:space="preserve"> egyformán hatásos férfi és nő, valamint (65 évesnél) fiatalabb és idősebb hypertoniás betegek esetében.</w:t>
      </w:r>
    </w:p>
    <w:p w14:paraId="736AD8B0" w14:textId="77777777" w:rsidR="00382B5E" w:rsidRDefault="00382B5E">
      <w:pPr>
        <w:autoSpaceDE w:val="0"/>
        <w:autoSpaceDN w:val="0"/>
        <w:adjustRightInd w:val="0"/>
        <w:rPr>
          <w:sz w:val="22"/>
          <w:szCs w:val="22"/>
          <w:lang w:eastAsia="en-US"/>
        </w:rPr>
      </w:pPr>
    </w:p>
    <w:p w14:paraId="6507C661" w14:textId="77777777" w:rsidR="00382B5E" w:rsidRDefault="00BE0CD4">
      <w:pPr>
        <w:autoSpaceDE w:val="0"/>
        <w:autoSpaceDN w:val="0"/>
        <w:adjustRightInd w:val="0"/>
        <w:rPr>
          <w:i/>
          <w:sz w:val="22"/>
          <w:szCs w:val="22"/>
          <w:lang w:eastAsia="en-US"/>
        </w:rPr>
      </w:pPr>
      <w:r>
        <w:rPr>
          <w:i/>
          <w:sz w:val="22"/>
          <w:szCs w:val="22"/>
          <w:lang w:eastAsia="en-US"/>
        </w:rPr>
        <w:t>LIFE vizsgálat</w:t>
      </w:r>
    </w:p>
    <w:p w14:paraId="76526D8C" w14:textId="77777777" w:rsidR="00382B5E" w:rsidRDefault="00BE0CD4">
      <w:pPr>
        <w:autoSpaceDE w:val="0"/>
        <w:autoSpaceDN w:val="0"/>
        <w:adjustRightInd w:val="0"/>
        <w:rPr>
          <w:sz w:val="22"/>
          <w:szCs w:val="22"/>
          <w:lang w:eastAsia="en-US"/>
        </w:rPr>
      </w:pPr>
      <w:r>
        <w:rPr>
          <w:sz w:val="22"/>
          <w:szCs w:val="22"/>
          <w:lang w:eastAsia="en-US"/>
        </w:rPr>
        <w:t>A LIFE (Losartan Intervention For Endpoint Reduction in Hypertension; Lozartánnal elért végponti hypertonia-csökkentés) vizsgálat egy randomizált, hármas vak, aktív-kontrollos vizsgálat volt, melyet 9193, 55 és 80 év közötti, EKG-val igazolt balkamra-hypertrophiás, hypertoniában szenvedő beteg bevonásával végeztek el. A betegek a randomizációt követően naponta egyszer 50 mg lozartánt vagy naponta egyszer 50 mg atenololt kaptak. Amennyiben a vérnyomás célértékét (&lt; 140/90 Hgmm) nem sikerült elérni, elsődlegesen hidroklorotiazidot (12,5 mg) adtak a kezeléshez, majd szükség esetén a lozartán, ill. az atenolol adagját naponta egyszer 100 mg-ra emelték. Szükség esetén a vérnyomás célértékének elérése érdekében ACE-gátlók, angiotenzin II-antagonisták és béta-blokkolók kivételével egyéb vérnyomáscsökkentő gyógyszereket is alkalmaztak.</w:t>
      </w:r>
    </w:p>
    <w:p w14:paraId="53418CCB" w14:textId="77777777" w:rsidR="00382B5E" w:rsidRDefault="00BE0CD4">
      <w:pPr>
        <w:autoSpaceDE w:val="0"/>
        <w:autoSpaceDN w:val="0"/>
        <w:adjustRightInd w:val="0"/>
        <w:rPr>
          <w:sz w:val="22"/>
          <w:szCs w:val="22"/>
          <w:lang w:eastAsia="en-US"/>
        </w:rPr>
      </w:pPr>
      <w:r>
        <w:rPr>
          <w:sz w:val="22"/>
          <w:szCs w:val="22"/>
          <w:lang w:eastAsia="en-US"/>
        </w:rPr>
        <w:t>A követés átlagos időtartama 4,8 év volt.</w:t>
      </w:r>
    </w:p>
    <w:p w14:paraId="14C3282F" w14:textId="77777777" w:rsidR="00382B5E" w:rsidRDefault="00BE0CD4">
      <w:pPr>
        <w:autoSpaceDE w:val="0"/>
        <w:autoSpaceDN w:val="0"/>
        <w:adjustRightInd w:val="0"/>
        <w:rPr>
          <w:sz w:val="22"/>
          <w:szCs w:val="22"/>
          <w:lang w:eastAsia="en-US"/>
        </w:rPr>
      </w:pPr>
      <w:r>
        <w:rPr>
          <w:sz w:val="22"/>
          <w:szCs w:val="22"/>
          <w:lang w:eastAsia="en-US"/>
        </w:rPr>
        <w:t>A vizsgálat elsődleges végpontja az összetett cardiovascularis morbiditás és mortalitás volt, melyet a cardiovascularis halálesetek, stroke és myocardialis infarctus összesített előfordulási gyakoriságának csökkenése alapján mértek. A vérnyomás szignifikánsan lecsökkent, a két csoportban hasonló szintre. Az elsődleges összetett végpontot elérő betegeknél a lozartán-kezelés az atenololhoz képest 13,0%-os (p = 0,021, 95%-os CI (0,77, 0,98)) kockázatcsökkenést jelentett. Ez főként a stroke előfordulási arányában bekövetkezett csökkenésnek tulajdonítható. A lozartán-kezelés a stroke kialakulásának kockázatát az atenololhoz képest 25%-kal csökkentette (p = 0,001, 95%-os CI (0,63, 0,89)). A cardiovascularis halálesetek és a myocardialis infarctus kialakulásának aránya nem különbözött szignifikáns mértékben a kezelési csoportokban.</w:t>
      </w:r>
    </w:p>
    <w:p w14:paraId="1DE93DC9" w14:textId="77777777" w:rsidR="00382B5E" w:rsidRDefault="00382B5E">
      <w:pPr>
        <w:autoSpaceDE w:val="0"/>
        <w:autoSpaceDN w:val="0"/>
        <w:adjustRightInd w:val="0"/>
        <w:rPr>
          <w:sz w:val="22"/>
          <w:szCs w:val="22"/>
          <w:lang w:eastAsia="en-US"/>
        </w:rPr>
      </w:pPr>
    </w:p>
    <w:p w14:paraId="17F41007" w14:textId="77777777" w:rsidR="00382B5E" w:rsidRDefault="00BE0CD4">
      <w:pPr>
        <w:keepNext/>
        <w:autoSpaceDE w:val="0"/>
        <w:autoSpaceDN w:val="0"/>
        <w:adjustRightInd w:val="0"/>
        <w:rPr>
          <w:i/>
          <w:iCs/>
          <w:sz w:val="22"/>
          <w:szCs w:val="22"/>
          <w:lang w:eastAsia="en-US"/>
        </w:rPr>
      </w:pPr>
      <w:r>
        <w:rPr>
          <w:i/>
          <w:iCs/>
          <w:sz w:val="22"/>
          <w:szCs w:val="22"/>
          <w:lang w:eastAsia="en-US"/>
        </w:rPr>
        <w:t>Rassz</w:t>
      </w:r>
    </w:p>
    <w:p w14:paraId="0917A560" w14:textId="77777777" w:rsidR="00382B5E" w:rsidRDefault="00BE0CD4">
      <w:pPr>
        <w:autoSpaceDE w:val="0"/>
        <w:autoSpaceDN w:val="0"/>
        <w:adjustRightInd w:val="0"/>
        <w:rPr>
          <w:sz w:val="22"/>
          <w:szCs w:val="22"/>
          <w:lang w:eastAsia="en-US"/>
        </w:rPr>
      </w:pPr>
      <w:r>
        <w:rPr>
          <w:sz w:val="22"/>
          <w:szCs w:val="22"/>
          <w:lang w:eastAsia="en-US"/>
        </w:rPr>
        <w:t>A LIFE vizsgálatban a lozartánnal kezelt feketebőrű betegeknél az elsődleges összetett végpont, például egy cardiovascularis esemény (pl. cardialis infarctus, cardiovascularis halál) és főként a stroke elérésének kockázata nagyobb volt, mint az atenolollal kezelt feketebőrű betegeknél. Ennek értelmében a LIFE vizsgálat során a lozartán-kálium alkalmazása mellett megfigyelt, és az atenolollal összehasonlítva vizsgált cardiovascularis morbiditásra/mortalitásra vonatkozó eredmények nem vonatkoztathatóak a balkamra-hypertrophiás, hypertoniában szenvedő feketebőrű betegekre.</w:t>
      </w:r>
    </w:p>
    <w:p w14:paraId="6B301CA1" w14:textId="77777777" w:rsidR="00382B5E" w:rsidRDefault="00382B5E">
      <w:pPr>
        <w:autoSpaceDE w:val="0"/>
        <w:autoSpaceDN w:val="0"/>
        <w:adjustRightInd w:val="0"/>
        <w:rPr>
          <w:sz w:val="22"/>
          <w:szCs w:val="22"/>
          <w:lang w:eastAsia="en-US"/>
        </w:rPr>
      </w:pPr>
    </w:p>
    <w:p w14:paraId="2FC734A4" w14:textId="77777777" w:rsidR="00382B5E" w:rsidRDefault="00BE0CD4">
      <w:pPr>
        <w:autoSpaceDE w:val="0"/>
        <w:autoSpaceDN w:val="0"/>
        <w:adjustRightInd w:val="0"/>
        <w:rPr>
          <w:i/>
          <w:sz w:val="22"/>
          <w:szCs w:val="22"/>
          <w:lang w:eastAsia="en-US"/>
        </w:rPr>
      </w:pPr>
      <w:r>
        <w:rPr>
          <w:i/>
          <w:sz w:val="22"/>
          <w:szCs w:val="22"/>
          <w:lang w:eastAsia="en-US"/>
        </w:rPr>
        <w:t>A renin-angiotenzin-aldoszteron rendszer kettős blokádja (RAAS)</w:t>
      </w:r>
    </w:p>
    <w:p w14:paraId="083B3DA4" w14:textId="77777777" w:rsidR="00382B5E" w:rsidRDefault="00BE0CD4">
      <w:pPr>
        <w:rPr>
          <w:sz w:val="22"/>
          <w:szCs w:val="22"/>
        </w:rPr>
      </w:pPr>
      <w:r>
        <w:rPr>
          <w:sz w:val="22"/>
          <w:szCs w:val="22"/>
        </w:rPr>
        <w:t>Két nagy, randomizált, kontrollos vizsgálatban (ONTARGET: ONgoing Telmisartan Alone and in combination with Ramipril Global Endpoint Trial</w:t>
      </w:r>
      <w:r>
        <w:rPr>
          <w:bCs/>
          <w:sz w:val="22"/>
          <w:szCs w:val="22"/>
        </w:rPr>
        <w:t xml:space="preserve"> és</w:t>
      </w:r>
      <w:r>
        <w:rPr>
          <w:sz w:val="22"/>
          <w:szCs w:val="22"/>
        </w:rPr>
        <w:t xml:space="preserve"> a VA NEPHRON-D: The Veterans Affairs Nephropathy in Diabetes</w:t>
      </w:r>
      <w:r>
        <w:rPr>
          <w:bCs/>
          <w:sz w:val="22"/>
          <w:szCs w:val="22"/>
        </w:rPr>
        <w:t>)</w:t>
      </w:r>
      <w:r>
        <w:rPr>
          <w:sz w:val="22"/>
          <w:szCs w:val="22"/>
        </w:rPr>
        <w:t xml:space="preserve"> vizsgálták az ACE-gátló és angiotenzin II-receptor-blokkoló kombinált alkalmazását.</w:t>
      </w:r>
    </w:p>
    <w:p w14:paraId="63B869AF" w14:textId="77777777" w:rsidR="00382B5E" w:rsidRDefault="00BE0CD4">
      <w:pPr>
        <w:rPr>
          <w:sz w:val="22"/>
          <w:szCs w:val="22"/>
        </w:rPr>
      </w:pPr>
      <w:r>
        <w:rPr>
          <w:sz w:val="22"/>
          <w:szCs w:val="22"/>
        </w:rPr>
        <w:t>Az ONTARGET vizsgálatot olyan betegeken végezték, akiknek a kórtörténetében cardiovascularis vagy cerebrovascularis betegség, vagy szervkárosodással járó 2-es típusú diabetes mellitus szerepelt. A VA NEPHRON</w:t>
      </w:r>
      <w:r>
        <w:rPr>
          <w:sz w:val="22"/>
          <w:szCs w:val="22"/>
        </w:rPr>
        <w:noBreakHyphen/>
        <w:t>D vizsgálatot 2-es típusú diabetesben és diabeteses nephropathiában szenvedő betegeken végezték.</w:t>
      </w:r>
    </w:p>
    <w:p w14:paraId="34BB45C0" w14:textId="77777777" w:rsidR="00382B5E" w:rsidRDefault="00BE0CD4">
      <w:pPr>
        <w:rPr>
          <w:sz w:val="22"/>
          <w:szCs w:val="22"/>
        </w:rPr>
      </w:pPr>
      <w:r>
        <w:rPr>
          <w:sz w:val="22"/>
          <w:szCs w:val="22"/>
        </w:rPr>
        <w:t>Ezek a vizsgálatok nem mutattak ki szignifikánsan előnyös hatásokat a renalis és/vagy cardiovascularis kimenetel és a mortalitás vonatkozásában, miközben a monoterápia esetén megfigyelthez képest nőtt a hyperkalaemia, akut veseelégtelenség és/vagy hypotonia kockázata.</w:t>
      </w:r>
    </w:p>
    <w:p w14:paraId="0F6FB52A" w14:textId="77777777" w:rsidR="00382B5E" w:rsidRDefault="00BE0CD4">
      <w:pPr>
        <w:rPr>
          <w:sz w:val="22"/>
          <w:szCs w:val="22"/>
        </w:rPr>
      </w:pPr>
      <w:r>
        <w:rPr>
          <w:sz w:val="22"/>
          <w:szCs w:val="22"/>
        </w:rPr>
        <w:t>A hasonló farmakodinámiás tulajdonságok alapján ezek az eredmények más ACE-gátlók és angiotenzin II-receptor-blokkolók esetében is relevánsak.</w:t>
      </w:r>
    </w:p>
    <w:p w14:paraId="4B85BAA3" w14:textId="77777777" w:rsidR="00382B5E" w:rsidRDefault="00BE0CD4">
      <w:pPr>
        <w:rPr>
          <w:sz w:val="22"/>
          <w:szCs w:val="22"/>
        </w:rPr>
      </w:pPr>
      <w:r>
        <w:rPr>
          <w:sz w:val="22"/>
          <w:szCs w:val="22"/>
        </w:rPr>
        <w:lastRenderedPageBreak/>
        <w:t>Ezért az ACE-gátlók és angiotenzin II-receptor-blokkolók nem adhatók együtt diabeteses nephropathiában szenvedő betegeknek.</w:t>
      </w:r>
    </w:p>
    <w:p w14:paraId="6455E9C3" w14:textId="77777777" w:rsidR="00382B5E" w:rsidRDefault="00BE0CD4">
      <w:pPr>
        <w:rPr>
          <w:bCs/>
          <w:sz w:val="22"/>
          <w:szCs w:val="22"/>
        </w:rPr>
      </w:pPr>
      <w:r>
        <w:rPr>
          <w:bCs/>
          <w:sz w:val="22"/>
          <w:szCs w:val="22"/>
        </w:rPr>
        <w:t>Az ALTITUDE (Aliskiren Trial in Type 2 Diabetes Using Cardiovascular and Renal Disease Endpoints) vizsgálat célja az volt, hogy megállapítsák, előnyös-e a standard ACE-gátló- vagy angiotenzin II-receptor-blokkoló-kezelés kiegészítése aliszkirénnel 2-es típusú diabetesben és krónikus vesebetegségben, illetve cardiovascularis betegségben vagy mindkettőben szenvedő betegeknél. A vizsgálatot idő előtt leállították, mert nőtt a mellékhatások kockázata. A cardiovascularis eredetű halál és a stroke szám szerint gyakoribb volt az aliszkiréncsoportban, mint a placebocsoportban, és a jelentős mellékhatások, illetve súlyos mellékhatások (hyperkalaemia, hypotonia és veseműködési zavar) is gyakoribbak voltak az aliszkiréncsoportban, mint a placebocsoportban.</w:t>
      </w:r>
    </w:p>
    <w:p w14:paraId="4EF5C2EB" w14:textId="77777777" w:rsidR="00382B5E" w:rsidRDefault="00382B5E">
      <w:pPr>
        <w:autoSpaceDE w:val="0"/>
        <w:autoSpaceDN w:val="0"/>
        <w:adjustRightInd w:val="0"/>
        <w:rPr>
          <w:i/>
          <w:sz w:val="22"/>
          <w:szCs w:val="22"/>
        </w:rPr>
      </w:pPr>
    </w:p>
    <w:p w14:paraId="45438C7C" w14:textId="77777777" w:rsidR="00382B5E" w:rsidRDefault="00BE0CD4">
      <w:pPr>
        <w:autoSpaceDE w:val="0"/>
        <w:autoSpaceDN w:val="0"/>
        <w:adjustRightInd w:val="0"/>
        <w:rPr>
          <w:sz w:val="22"/>
          <w:szCs w:val="22"/>
          <w:u w:val="single"/>
        </w:rPr>
      </w:pPr>
      <w:r>
        <w:rPr>
          <w:sz w:val="22"/>
          <w:szCs w:val="22"/>
          <w:u w:val="single"/>
        </w:rPr>
        <w:t>Amlodipin</w:t>
      </w:r>
    </w:p>
    <w:p w14:paraId="4B714617" w14:textId="77777777" w:rsidR="00382B5E" w:rsidRDefault="00BE0CD4">
      <w:pPr>
        <w:tabs>
          <w:tab w:val="left" w:pos="567"/>
        </w:tabs>
        <w:rPr>
          <w:noProof/>
          <w:sz w:val="22"/>
          <w:szCs w:val="22"/>
        </w:rPr>
      </w:pPr>
      <w:r>
        <w:rPr>
          <w:noProof/>
          <w:sz w:val="22"/>
          <w:szCs w:val="22"/>
        </w:rPr>
        <w:t>Az amlodipin a dihidropiridin-csoportba tartozó kalcium-antagonista (L-típusú kalciumcsatorna</w:t>
      </w:r>
      <w:r>
        <w:rPr>
          <w:noProof/>
          <w:sz w:val="22"/>
          <w:szCs w:val="22"/>
        </w:rPr>
        <w:noBreakHyphen/>
        <w:t xml:space="preserve">blokkoló), ami gátolja a kalciumionok bejutását a szívizomsejtekbe és az erek simaizomsejtjeibe. </w:t>
      </w:r>
    </w:p>
    <w:p w14:paraId="539AC06A" w14:textId="77777777" w:rsidR="00382B5E" w:rsidRDefault="00382B5E">
      <w:pPr>
        <w:tabs>
          <w:tab w:val="left" w:pos="567"/>
        </w:tabs>
        <w:rPr>
          <w:noProof/>
          <w:sz w:val="22"/>
          <w:szCs w:val="22"/>
        </w:rPr>
      </w:pPr>
    </w:p>
    <w:p w14:paraId="72D47719" w14:textId="77777777" w:rsidR="00382B5E" w:rsidRDefault="00BE0CD4">
      <w:pPr>
        <w:tabs>
          <w:tab w:val="left" w:pos="567"/>
        </w:tabs>
        <w:rPr>
          <w:noProof/>
          <w:sz w:val="22"/>
          <w:szCs w:val="22"/>
        </w:rPr>
      </w:pPr>
      <w:r>
        <w:rPr>
          <w:noProof/>
          <w:sz w:val="22"/>
          <w:szCs w:val="22"/>
        </w:rPr>
        <w:t xml:space="preserve">Az amlodipin vérnyomáscsökkentő hatása az erek simaizomzatára kifejtett direkt relaxáló hatásának a következménye. Anginát oldó hatásának pontos mechanizmusa nem teljesen ismert, de két hatásra vezethető vissza: </w:t>
      </w:r>
    </w:p>
    <w:p w14:paraId="5BE9FD0E" w14:textId="77777777" w:rsidR="00382B5E" w:rsidRDefault="00BE0CD4">
      <w:pPr>
        <w:numPr>
          <w:ilvl w:val="0"/>
          <w:numId w:val="39"/>
        </w:numPr>
        <w:tabs>
          <w:tab w:val="left" w:pos="562"/>
        </w:tabs>
        <w:ind w:left="540" w:hanging="540"/>
        <w:rPr>
          <w:noProof/>
          <w:sz w:val="22"/>
          <w:szCs w:val="22"/>
        </w:rPr>
      </w:pPr>
      <w:r>
        <w:rPr>
          <w:noProof/>
          <w:sz w:val="22"/>
          <w:szCs w:val="22"/>
        </w:rPr>
        <w:t>Az amlodipin tágítja a perifériás arteriolákat, és ezáltal csökkenti a teljes perifériás ellenállást (afterload), amellyel szemben a szív dolgozik. A szívnek ily módon történő tehermentesítése csökkenti a myocardialis energiafelhasználást és az oxigénigényt.</w:t>
      </w:r>
    </w:p>
    <w:p w14:paraId="3A9DEF68" w14:textId="77777777" w:rsidR="00382B5E" w:rsidRDefault="00BE0CD4">
      <w:pPr>
        <w:tabs>
          <w:tab w:val="left" w:pos="562"/>
        </w:tabs>
        <w:ind w:left="540" w:hanging="540"/>
        <w:rPr>
          <w:noProof/>
          <w:sz w:val="22"/>
          <w:szCs w:val="22"/>
        </w:rPr>
      </w:pPr>
      <w:r>
        <w:rPr>
          <w:noProof/>
          <w:sz w:val="22"/>
          <w:szCs w:val="22"/>
        </w:rPr>
        <w:t>2.</w:t>
      </w:r>
      <w:r>
        <w:rPr>
          <w:noProof/>
          <w:sz w:val="22"/>
          <w:szCs w:val="22"/>
        </w:rPr>
        <w:tab/>
        <w:t>Az amlodipin hatásmechanizmusához valószínűleg hozzájárul a fő koszorúerek és coronaria</w:t>
      </w:r>
      <w:r>
        <w:rPr>
          <w:noProof/>
          <w:sz w:val="22"/>
          <w:szCs w:val="22"/>
        </w:rPr>
        <w:noBreakHyphen/>
        <w:t>arteriolák dilatációja is mind az egészséges, mind az ischaemiás területeken. Ez a dilatáció növeli a szívizom oxigénellátását coronariaspasmusban szenvedő betegeknél (Prinzmetal vagy variáns angina).</w:t>
      </w:r>
    </w:p>
    <w:p w14:paraId="57F64325" w14:textId="77777777" w:rsidR="00382B5E" w:rsidRDefault="00382B5E">
      <w:pPr>
        <w:tabs>
          <w:tab w:val="left" w:pos="562"/>
        </w:tabs>
        <w:rPr>
          <w:noProof/>
          <w:sz w:val="22"/>
          <w:szCs w:val="22"/>
        </w:rPr>
      </w:pPr>
    </w:p>
    <w:p w14:paraId="1D7ABE88" w14:textId="77777777" w:rsidR="00382B5E" w:rsidRDefault="00BE0CD4">
      <w:pPr>
        <w:tabs>
          <w:tab w:val="left" w:pos="284"/>
        </w:tabs>
        <w:rPr>
          <w:noProof/>
          <w:sz w:val="22"/>
          <w:szCs w:val="22"/>
        </w:rPr>
      </w:pPr>
      <w:r>
        <w:rPr>
          <w:noProof/>
          <w:sz w:val="22"/>
          <w:szCs w:val="22"/>
        </w:rPr>
        <w:t xml:space="preserve">Hypertoniás betegekben napi egyszeri adagolás klinikailag szignifikáns vérnyomáscsökkenést biztosít mind fekvő, mind pedig álló helyzetben a nap 24 órájában. </w:t>
      </w:r>
      <w:r>
        <w:rPr>
          <w:sz w:val="22"/>
          <w:szCs w:val="22"/>
          <w:lang w:eastAsia="en-US"/>
        </w:rPr>
        <w:t>Mivel a hatás lassan alakul ki, ezért akut hypotonia esetén az amlodipin alkalmazása nem jellemző.</w:t>
      </w:r>
    </w:p>
    <w:p w14:paraId="08EC23F4" w14:textId="77777777" w:rsidR="00382B5E" w:rsidRDefault="00382B5E">
      <w:pPr>
        <w:tabs>
          <w:tab w:val="left" w:pos="567"/>
        </w:tabs>
        <w:rPr>
          <w:noProof/>
          <w:sz w:val="22"/>
          <w:szCs w:val="22"/>
        </w:rPr>
      </w:pPr>
    </w:p>
    <w:p w14:paraId="662BF21F" w14:textId="77777777" w:rsidR="00382B5E" w:rsidRDefault="00BE0CD4">
      <w:pPr>
        <w:tabs>
          <w:tab w:val="left" w:pos="567"/>
        </w:tabs>
        <w:rPr>
          <w:sz w:val="22"/>
          <w:szCs w:val="22"/>
        </w:rPr>
      </w:pPr>
      <w:r>
        <w:rPr>
          <w:noProof/>
          <w:sz w:val="22"/>
          <w:szCs w:val="22"/>
        </w:rPr>
        <w:t>Anginás betegeknél napi egyszeri adag</w:t>
      </w:r>
      <w:r>
        <w:rPr>
          <w:sz w:val="22"/>
          <w:szCs w:val="22"/>
        </w:rPr>
        <w:t>olás mellett nő a betegek terhelhetőségi ideje, nő a terhelés megkezdésétől az angina, ill. az 1 mm-es ST-depresszió bekövetkeztéig eltelt idő, csökken az anginák gyakorisága és csökken a nitroglicerin tabletta használata.</w:t>
      </w:r>
    </w:p>
    <w:p w14:paraId="3EF48F17" w14:textId="77777777" w:rsidR="00382B5E" w:rsidRDefault="00382B5E">
      <w:pPr>
        <w:tabs>
          <w:tab w:val="left" w:pos="284"/>
          <w:tab w:val="left" w:pos="567"/>
          <w:tab w:val="left" w:pos="709"/>
        </w:tabs>
        <w:rPr>
          <w:sz w:val="22"/>
          <w:szCs w:val="22"/>
          <w:lang w:eastAsia="en-US"/>
        </w:rPr>
      </w:pPr>
    </w:p>
    <w:p w14:paraId="47223A8C" w14:textId="77777777" w:rsidR="00382B5E" w:rsidRDefault="00BE0CD4">
      <w:pPr>
        <w:tabs>
          <w:tab w:val="left" w:pos="567"/>
        </w:tabs>
        <w:rPr>
          <w:noProof/>
          <w:sz w:val="22"/>
          <w:szCs w:val="22"/>
        </w:rPr>
      </w:pPr>
      <w:r>
        <w:rPr>
          <w:noProof/>
          <w:sz w:val="22"/>
          <w:szCs w:val="22"/>
        </w:rPr>
        <w:t>Az amlodipin nincs hatással a metabolikus utakra, nem befolyásolja a plazma lipidszinteket és asztmás, diabeteses vagy köszvényes betegek kezelésére is alkalmazható.</w:t>
      </w:r>
    </w:p>
    <w:p w14:paraId="072CFADC" w14:textId="77777777" w:rsidR="00382B5E" w:rsidRDefault="00382B5E">
      <w:pPr>
        <w:autoSpaceDE w:val="0"/>
        <w:autoSpaceDN w:val="0"/>
        <w:adjustRightInd w:val="0"/>
        <w:rPr>
          <w:sz w:val="22"/>
          <w:szCs w:val="22"/>
        </w:rPr>
      </w:pPr>
    </w:p>
    <w:p w14:paraId="63A06FE9" w14:textId="77777777" w:rsidR="00382B5E" w:rsidRDefault="00BE0CD4">
      <w:pPr>
        <w:keepNext/>
        <w:rPr>
          <w:i/>
          <w:sz w:val="22"/>
          <w:szCs w:val="22"/>
          <w:lang w:eastAsia="en-US"/>
        </w:rPr>
      </w:pPr>
      <w:r>
        <w:rPr>
          <w:i/>
          <w:sz w:val="22"/>
          <w:szCs w:val="22"/>
          <w:lang w:eastAsia="en-US"/>
        </w:rPr>
        <w:t>Alkalmazása coronaria-betegségben (coronary artery disease: CAD) szenvedő betegeknél</w:t>
      </w:r>
    </w:p>
    <w:p w14:paraId="1CF21B02" w14:textId="77777777" w:rsidR="00382B5E" w:rsidRDefault="00BE0CD4">
      <w:pPr>
        <w:rPr>
          <w:sz w:val="22"/>
          <w:szCs w:val="22"/>
          <w:lang w:eastAsia="en-US"/>
        </w:rPr>
      </w:pPr>
      <w:r>
        <w:rPr>
          <w:sz w:val="22"/>
          <w:szCs w:val="22"/>
          <w:lang w:eastAsia="en-US"/>
        </w:rPr>
        <w:t>Az amlodipin hatásosságát ismert koszorúér-betegségben (CAD) szenvedő betegek klinikai eseményeinek megelőzésében igazolták az 1997 beteggel végzett független, multicentrikus, randomizált, kettős vak, placebokontrollos CAMELOT vizsgálatban (Comparison of Amlodipine vs Enalapril to Limit Occurrences of Thrombosis). Két éven keresztül 663 beteget 5</w:t>
      </w:r>
      <w:r>
        <w:rPr>
          <w:sz w:val="22"/>
          <w:szCs w:val="22"/>
          <w:lang w:eastAsia="en-US"/>
        </w:rPr>
        <w:noBreakHyphen/>
        <w:t>10 mg amlodipinnel, 673 beteget 10</w:t>
      </w:r>
      <w:r>
        <w:rPr>
          <w:sz w:val="22"/>
          <w:szCs w:val="22"/>
          <w:lang w:eastAsia="en-US"/>
        </w:rPr>
        <w:noBreakHyphen/>
        <w:t>20 mg enalaprillal és 655 beteget placebóval kezeltek, a sztatinokkal, béta</w:t>
      </w:r>
      <w:r>
        <w:rPr>
          <w:sz w:val="22"/>
          <w:szCs w:val="22"/>
          <w:lang w:eastAsia="en-US"/>
        </w:rPr>
        <w:noBreakHyphen/>
        <w:t>blokkolókkal, diuretikumokkal és acetilszalicilsavval folytatott standard terápia mellett. A legfontosabb hatásossági eredményeket az 1. táblázat tartalmazza. Az eredmények azt mutatják, hogy koszorúér-betegségben szenvedők esetében az amlodipin-kezelés csökkentette az angina miatti hospitalizációt és a revascularisatio szükségességét.</w:t>
      </w:r>
    </w:p>
    <w:p w14:paraId="0F02DBA5" w14:textId="77777777" w:rsidR="00382B5E" w:rsidRDefault="00382B5E">
      <w:pPr>
        <w:rPr>
          <w:sz w:val="22"/>
          <w:szCs w:val="22"/>
          <w:lang w:eastAsia="en-U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9"/>
        <w:gridCol w:w="1372"/>
        <w:gridCol w:w="1372"/>
        <w:gridCol w:w="1374"/>
        <w:gridCol w:w="1559"/>
        <w:gridCol w:w="1126"/>
      </w:tblGrid>
      <w:tr w:rsidR="00382B5E" w14:paraId="4F774A8D" w14:textId="77777777">
        <w:tc>
          <w:tcPr>
            <w:tcW w:w="5000" w:type="pct"/>
            <w:gridSpan w:val="6"/>
          </w:tcPr>
          <w:p w14:paraId="7BB0FA17" w14:textId="77777777" w:rsidR="00382B5E" w:rsidRDefault="00BE0CD4">
            <w:pPr>
              <w:widowControl w:val="0"/>
              <w:rPr>
                <w:sz w:val="22"/>
                <w:szCs w:val="22"/>
              </w:rPr>
            </w:pPr>
            <w:r>
              <w:rPr>
                <w:sz w:val="22"/>
                <w:szCs w:val="22"/>
                <w:lang w:eastAsia="en-GB"/>
              </w:rPr>
              <w:t>1. táblázat. Szignifikáns klinikai eredmények előfordulása a CAMELOT vizsgálatban</w:t>
            </w:r>
          </w:p>
        </w:tc>
      </w:tr>
      <w:tr w:rsidR="00382B5E" w14:paraId="13E73147" w14:textId="77777777">
        <w:tc>
          <w:tcPr>
            <w:tcW w:w="1351" w:type="pct"/>
          </w:tcPr>
          <w:p w14:paraId="2E73E95A" w14:textId="77777777" w:rsidR="00382B5E" w:rsidRDefault="00BE0CD4">
            <w:pPr>
              <w:widowControl w:val="0"/>
              <w:rPr>
                <w:sz w:val="22"/>
                <w:szCs w:val="22"/>
              </w:rPr>
            </w:pPr>
            <w:r>
              <w:rPr>
                <w:sz w:val="22"/>
                <w:szCs w:val="22"/>
              </w:rPr>
              <w:t> </w:t>
            </w:r>
          </w:p>
        </w:tc>
        <w:tc>
          <w:tcPr>
            <w:tcW w:w="2209" w:type="pct"/>
            <w:gridSpan w:val="3"/>
          </w:tcPr>
          <w:p w14:paraId="2FCBEB47" w14:textId="77777777" w:rsidR="00382B5E" w:rsidRDefault="00BE0CD4">
            <w:pPr>
              <w:widowControl w:val="0"/>
              <w:jc w:val="center"/>
              <w:rPr>
                <w:sz w:val="22"/>
                <w:szCs w:val="22"/>
              </w:rPr>
            </w:pPr>
            <w:r>
              <w:rPr>
                <w:rStyle w:val="TableText9"/>
                <w:sz w:val="22"/>
                <w:szCs w:val="22"/>
                <w:u w:val="single"/>
              </w:rPr>
              <w:t>Cardiovascularis események aránya,</w:t>
            </w:r>
          </w:p>
          <w:p w14:paraId="3D0DC481" w14:textId="77777777" w:rsidR="00382B5E" w:rsidRDefault="00BE0CD4">
            <w:pPr>
              <w:widowControl w:val="0"/>
              <w:jc w:val="center"/>
              <w:rPr>
                <w:sz w:val="22"/>
                <w:szCs w:val="22"/>
              </w:rPr>
            </w:pPr>
            <w:r>
              <w:rPr>
                <w:sz w:val="22"/>
                <w:szCs w:val="22"/>
                <w:u w:val="single"/>
              </w:rPr>
              <w:t>No. (%)</w:t>
            </w:r>
          </w:p>
        </w:tc>
        <w:tc>
          <w:tcPr>
            <w:tcW w:w="1440" w:type="pct"/>
            <w:gridSpan w:val="2"/>
          </w:tcPr>
          <w:p w14:paraId="54386E2A" w14:textId="77777777" w:rsidR="00382B5E" w:rsidRDefault="00BE0CD4">
            <w:pPr>
              <w:widowControl w:val="0"/>
              <w:jc w:val="center"/>
              <w:rPr>
                <w:sz w:val="22"/>
                <w:szCs w:val="22"/>
              </w:rPr>
            </w:pPr>
            <w:r>
              <w:rPr>
                <w:rStyle w:val="TableText9"/>
                <w:sz w:val="22"/>
                <w:szCs w:val="22"/>
                <w:u w:val="single"/>
              </w:rPr>
              <w:t>amlodipin vs. placebo</w:t>
            </w:r>
          </w:p>
        </w:tc>
      </w:tr>
      <w:tr w:rsidR="00382B5E" w14:paraId="24E20EC6" w14:textId="77777777">
        <w:tc>
          <w:tcPr>
            <w:tcW w:w="1351" w:type="pct"/>
          </w:tcPr>
          <w:p w14:paraId="275A397A" w14:textId="77777777" w:rsidR="00382B5E" w:rsidRDefault="00BE0CD4">
            <w:pPr>
              <w:widowControl w:val="0"/>
              <w:rPr>
                <w:sz w:val="22"/>
                <w:szCs w:val="22"/>
              </w:rPr>
            </w:pPr>
            <w:r>
              <w:rPr>
                <w:rStyle w:val="TableText9"/>
                <w:sz w:val="22"/>
                <w:szCs w:val="22"/>
              </w:rPr>
              <w:t>Eredmények</w:t>
            </w:r>
          </w:p>
        </w:tc>
        <w:tc>
          <w:tcPr>
            <w:tcW w:w="736" w:type="pct"/>
          </w:tcPr>
          <w:p w14:paraId="4B5BB823" w14:textId="77777777" w:rsidR="00382B5E" w:rsidRDefault="00BE0CD4">
            <w:pPr>
              <w:widowControl w:val="0"/>
              <w:jc w:val="center"/>
              <w:rPr>
                <w:sz w:val="22"/>
                <w:szCs w:val="22"/>
              </w:rPr>
            </w:pPr>
            <w:r>
              <w:rPr>
                <w:sz w:val="22"/>
                <w:szCs w:val="22"/>
              </w:rPr>
              <w:t>amlodipin</w:t>
            </w:r>
          </w:p>
        </w:tc>
        <w:tc>
          <w:tcPr>
            <w:tcW w:w="736" w:type="pct"/>
          </w:tcPr>
          <w:p w14:paraId="18B4071C" w14:textId="77777777" w:rsidR="00382B5E" w:rsidRDefault="00BE0CD4">
            <w:pPr>
              <w:widowControl w:val="0"/>
              <w:jc w:val="center"/>
              <w:rPr>
                <w:sz w:val="22"/>
                <w:szCs w:val="22"/>
              </w:rPr>
            </w:pPr>
            <w:r>
              <w:rPr>
                <w:sz w:val="22"/>
                <w:szCs w:val="22"/>
              </w:rPr>
              <w:t>placebo</w:t>
            </w:r>
          </w:p>
        </w:tc>
        <w:tc>
          <w:tcPr>
            <w:tcW w:w="737" w:type="pct"/>
          </w:tcPr>
          <w:p w14:paraId="4D818255" w14:textId="77777777" w:rsidR="00382B5E" w:rsidRDefault="00BE0CD4">
            <w:pPr>
              <w:widowControl w:val="0"/>
              <w:jc w:val="center"/>
              <w:rPr>
                <w:sz w:val="22"/>
                <w:szCs w:val="22"/>
              </w:rPr>
            </w:pPr>
            <w:r>
              <w:rPr>
                <w:sz w:val="22"/>
                <w:szCs w:val="22"/>
              </w:rPr>
              <w:t>enalapril</w:t>
            </w:r>
          </w:p>
        </w:tc>
        <w:tc>
          <w:tcPr>
            <w:tcW w:w="836" w:type="pct"/>
          </w:tcPr>
          <w:p w14:paraId="7C71C374" w14:textId="77777777" w:rsidR="00382B5E" w:rsidRDefault="00BE0CD4">
            <w:pPr>
              <w:widowControl w:val="0"/>
              <w:jc w:val="center"/>
              <w:rPr>
                <w:sz w:val="22"/>
                <w:szCs w:val="22"/>
              </w:rPr>
            </w:pPr>
            <w:r>
              <w:rPr>
                <w:rStyle w:val="TableText9"/>
                <w:sz w:val="22"/>
                <w:szCs w:val="22"/>
              </w:rPr>
              <w:t>veszélyességi ráta</w:t>
            </w:r>
            <w:r>
              <w:rPr>
                <w:sz w:val="22"/>
                <w:szCs w:val="22"/>
              </w:rPr>
              <w:t xml:space="preserve"> (95%-os CI)</w:t>
            </w:r>
          </w:p>
        </w:tc>
        <w:tc>
          <w:tcPr>
            <w:tcW w:w="604" w:type="pct"/>
          </w:tcPr>
          <w:p w14:paraId="33642B68" w14:textId="77777777" w:rsidR="00382B5E" w:rsidRDefault="00BE0CD4">
            <w:pPr>
              <w:widowControl w:val="0"/>
              <w:jc w:val="center"/>
              <w:rPr>
                <w:sz w:val="22"/>
                <w:szCs w:val="22"/>
              </w:rPr>
            </w:pPr>
            <w:r>
              <w:rPr>
                <w:i/>
                <w:iCs/>
                <w:sz w:val="22"/>
                <w:szCs w:val="22"/>
              </w:rPr>
              <w:t>p</w:t>
            </w:r>
            <w:r>
              <w:rPr>
                <w:sz w:val="22"/>
                <w:szCs w:val="22"/>
              </w:rPr>
              <w:t>-</w:t>
            </w:r>
            <w:r>
              <w:rPr>
                <w:rStyle w:val="TableText9"/>
                <w:sz w:val="22"/>
                <w:szCs w:val="22"/>
              </w:rPr>
              <w:t>érték</w:t>
            </w:r>
          </w:p>
        </w:tc>
      </w:tr>
      <w:tr w:rsidR="00382B5E" w14:paraId="31A95D1D" w14:textId="77777777">
        <w:tc>
          <w:tcPr>
            <w:tcW w:w="1351" w:type="pct"/>
          </w:tcPr>
          <w:p w14:paraId="0F5D7B2E" w14:textId="77777777" w:rsidR="00382B5E" w:rsidRDefault="00BE0CD4">
            <w:pPr>
              <w:widowControl w:val="0"/>
              <w:rPr>
                <w:sz w:val="22"/>
                <w:szCs w:val="22"/>
              </w:rPr>
            </w:pPr>
            <w:r>
              <w:rPr>
                <w:rStyle w:val="TableText9"/>
                <w:sz w:val="22"/>
                <w:szCs w:val="22"/>
                <w:u w:val="single"/>
              </w:rPr>
              <w:t>Elsődleges végpont</w:t>
            </w:r>
          </w:p>
        </w:tc>
        <w:tc>
          <w:tcPr>
            <w:tcW w:w="3649" w:type="pct"/>
            <w:gridSpan w:val="5"/>
          </w:tcPr>
          <w:p w14:paraId="104B3E80" w14:textId="77777777" w:rsidR="00382B5E" w:rsidRDefault="00382B5E">
            <w:pPr>
              <w:widowControl w:val="0"/>
              <w:jc w:val="center"/>
              <w:rPr>
                <w:sz w:val="22"/>
                <w:szCs w:val="22"/>
              </w:rPr>
            </w:pPr>
          </w:p>
        </w:tc>
      </w:tr>
      <w:tr w:rsidR="00382B5E" w14:paraId="4DCCABDB" w14:textId="77777777">
        <w:tc>
          <w:tcPr>
            <w:tcW w:w="1351" w:type="pct"/>
          </w:tcPr>
          <w:p w14:paraId="4965E63F" w14:textId="77777777" w:rsidR="00382B5E" w:rsidRDefault="00BE0CD4">
            <w:pPr>
              <w:widowControl w:val="0"/>
              <w:rPr>
                <w:sz w:val="22"/>
                <w:szCs w:val="22"/>
              </w:rPr>
            </w:pPr>
            <w:r>
              <w:rPr>
                <w:rStyle w:val="TableText9"/>
                <w:sz w:val="22"/>
                <w:szCs w:val="22"/>
              </w:rPr>
              <w:t xml:space="preserve">Nemkívánatos </w:t>
            </w:r>
            <w:r>
              <w:rPr>
                <w:rStyle w:val="TableText9"/>
                <w:sz w:val="22"/>
                <w:szCs w:val="22"/>
              </w:rPr>
              <w:lastRenderedPageBreak/>
              <w:t>cardiovascularis esemény</w:t>
            </w:r>
          </w:p>
        </w:tc>
        <w:tc>
          <w:tcPr>
            <w:tcW w:w="736" w:type="pct"/>
          </w:tcPr>
          <w:p w14:paraId="653EC804" w14:textId="77777777" w:rsidR="00382B5E" w:rsidRDefault="00BE0CD4">
            <w:pPr>
              <w:widowControl w:val="0"/>
              <w:jc w:val="center"/>
              <w:rPr>
                <w:sz w:val="22"/>
                <w:szCs w:val="22"/>
              </w:rPr>
            </w:pPr>
            <w:r>
              <w:rPr>
                <w:sz w:val="22"/>
                <w:szCs w:val="22"/>
              </w:rPr>
              <w:lastRenderedPageBreak/>
              <w:t>110</w:t>
            </w:r>
          </w:p>
          <w:p w14:paraId="348C2615" w14:textId="77777777" w:rsidR="00382B5E" w:rsidRDefault="00BE0CD4">
            <w:pPr>
              <w:widowControl w:val="0"/>
              <w:jc w:val="center"/>
              <w:rPr>
                <w:sz w:val="22"/>
                <w:szCs w:val="22"/>
              </w:rPr>
            </w:pPr>
            <w:r>
              <w:rPr>
                <w:sz w:val="22"/>
                <w:szCs w:val="22"/>
              </w:rPr>
              <w:lastRenderedPageBreak/>
              <w:t>(16,6)</w:t>
            </w:r>
          </w:p>
        </w:tc>
        <w:tc>
          <w:tcPr>
            <w:tcW w:w="736" w:type="pct"/>
          </w:tcPr>
          <w:p w14:paraId="7F9DCB4B" w14:textId="77777777" w:rsidR="00382B5E" w:rsidRDefault="00BE0CD4">
            <w:pPr>
              <w:widowControl w:val="0"/>
              <w:jc w:val="center"/>
              <w:rPr>
                <w:sz w:val="22"/>
                <w:szCs w:val="22"/>
              </w:rPr>
            </w:pPr>
            <w:r>
              <w:rPr>
                <w:sz w:val="22"/>
                <w:szCs w:val="22"/>
              </w:rPr>
              <w:lastRenderedPageBreak/>
              <w:t>151</w:t>
            </w:r>
          </w:p>
          <w:p w14:paraId="638CEA04" w14:textId="77777777" w:rsidR="00382B5E" w:rsidRDefault="00BE0CD4">
            <w:pPr>
              <w:widowControl w:val="0"/>
              <w:jc w:val="center"/>
              <w:rPr>
                <w:sz w:val="22"/>
                <w:szCs w:val="22"/>
              </w:rPr>
            </w:pPr>
            <w:r>
              <w:rPr>
                <w:sz w:val="22"/>
                <w:szCs w:val="22"/>
              </w:rPr>
              <w:lastRenderedPageBreak/>
              <w:t>(23,1)</w:t>
            </w:r>
          </w:p>
        </w:tc>
        <w:tc>
          <w:tcPr>
            <w:tcW w:w="737" w:type="pct"/>
          </w:tcPr>
          <w:p w14:paraId="2FFA7957" w14:textId="77777777" w:rsidR="00382B5E" w:rsidRDefault="00BE0CD4">
            <w:pPr>
              <w:widowControl w:val="0"/>
              <w:jc w:val="center"/>
              <w:rPr>
                <w:sz w:val="22"/>
                <w:szCs w:val="22"/>
              </w:rPr>
            </w:pPr>
            <w:r>
              <w:rPr>
                <w:sz w:val="22"/>
                <w:szCs w:val="22"/>
              </w:rPr>
              <w:lastRenderedPageBreak/>
              <w:t>136</w:t>
            </w:r>
          </w:p>
          <w:p w14:paraId="370DC8EF" w14:textId="77777777" w:rsidR="00382B5E" w:rsidRDefault="00BE0CD4">
            <w:pPr>
              <w:widowControl w:val="0"/>
              <w:jc w:val="center"/>
              <w:rPr>
                <w:sz w:val="22"/>
                <w:szCs w:val="22"/>
              </w:rPr>
            </w:pPr>
            <w:r>
              <w:rPr>
                <w:sz w:val="22"/>
                <w:szCs w:val="22"/>
              </w:rPr>
              <w:lastRenderedPageBreak/>
              <w:t>(20,2)</w:t>
            </w:r>
          </w:p>
        </w:tc>
        <w:tc>
          <w:tcPr>
            <w:tcW w:w="836" w:type="pct"/>
          </w:tcPr>
          <w:p w14:paraId="26E259DC" w14:textId="77777777" w:rsidR="00382B5E" w:rsidRDefault="00BE0CD4">
            <w:pPr>
              <w:widowControl w:val="0"/>
              <w:jc w:val="center"/>
              <w:rPr>
                <w:sz w:val="22"/>
                <w:szCs w:val="22"/>
              </w:rPr>
            </w:pPr>
            <w:r>
              <w:rPr>
                <w:sz w:val="22"/>
                <w:szCs w:val="22"/>
              </w:rPr>
              <w:lastRenderedPageBreak/>
              <w:t xml:space="preserve">0,69 </w:t>
            </w:r>
            <w:r>
              <w:rPr>
                <w:sz w:val="22"/>
                <w:szCs w:val="22"/>
              </w:rPr>
              <w:lastRenderedPageBreak/>
              <w:t>(0,54</w:t>
            </w:r>
            <w:r>
              <w:rPr>
                <w:sz w:val="22"/>
                <w:szCs w:val="22"/>
              </w:rPr>
              <w:noBreakHyphen/>
              <w:t>0,88)</w:t>
            </w:r>
          </w:p>
        </w:tc>
        <w:tc>
          <w:tcPr>
            <w:tcW w:w="604" w:type="pct"/>
          </w:tcPr>
          <w:p w14:paraId="549E0903" w14:textId="77777777" w:rsidR="00382B5E" w:rsidRDefault="00BE0CD4">
            <w:pPr>
              <w:widowControl w:val="0"/>
              <w:jc w:val="center"/>
              <w:rPr>
                <w:sz w:val="22"/>
                <w:szCs w:val="22"/>
              </w:rPr>
            </w:pPr>
            <w:r>
              <w:rPr>
                <w:sz w:val="22"/>
                <w:szCs w:val="22"/>
              </w:rPr>
              <w:lastRenderedPageBreak/>
              <w:t>0,003</w:t>
            </w:r>
          </w:p>
        </w:tc>
      </w:tr>
      <w:tr w:rsidR="00382B5E" w14:paraId="117C6B69" w14:textId="77777777">
        <w:tc>
          <w:tcPr>
            <w:tcW w:w="1351" w:type="pct"/>
          </w:tcPr>
          <w:p w14:paraId="3FE9BC63" w14:textId="77777777" w:rsidR="00382B5E" w:rsidRDefault="00BE0CD4">
            <w:pPr>
              <w:widowControl w:val="0"/>
              <w:rPr>
                <w:sz w:val="22"/>
                <w:szCs w:val="22"/>
              </w:rPr>
            </w:pPr>
            <w:r>
              <w:rPr>
                <w:rStyle w:val="TableText9"/>
                <w:sz w:val="22"/>
                <w:szCs w:val="22"/>
                <w:u w:val="single"/>
              </w:rPr>
              <w:t>Egyéni komponensek</w:t>
            </w:r>
          </w:p>
        </w:tc>
        <w:tc>
          <w:tcPr>
            <w:tcW w:w="3649" w:type="pct"/>
            <w:gridSpan w:val="5"/>
          </w:tcPr>
          <w:p w14:paraId="04ECF4EA" w14:textId="77777777" w:rsidR="00382B5E" w:rsidRDefault="00382B5E">
            <w:pPr>
              <w:widowControl w:val="0"/>
              <w:jc w:val="center"/>
              <w:rPr>
                <w:sz w:val="22"/>
                <w:szCs w:val="22"/>
              </w:rPr>
            </w:pPr>
          </w:p>
        </w:tc>
      </w:tr>
      <w:tr w:rsidR="00382B5E" w14:paraId="464A6903" w14:textId="77777777">
        <w:tc>
          <w:tcPr>
            <w:tcW w:w="1351" w:type="pct"/>
          </w:tcPr>
          <w:p w14:paraId="6D3149AC" w14:textId="77777777" w:rsidR="00382B5E" w:rsidRDefault="00BE0CD4">
            <w:pPr>
              <w:widowControl w:val="0"/>
              <w:rPr>
                <w:sz w:val="22"/>
                <w:szCs w:val="22"/>
              </w:rPr>
            </w:pPr>
            <w:r>
              <w:rPr>
                <w:rStyle w:val="TableText9"/>
                <w:sz w:val="22"/>
                <w:szCs w:val="22"/>
              </w:rPr>
              <w:t>Coronaria revascularisatio</w:t>
            </w:r>
          </w:p>
        </w:tc>
        <w:tc>
          <w:tcPr>
            <w:tcW w:w="736" w:type="pct"/>
          </w:tcPr>
          <w:p w14:paraId="16E443F9" w14:textId="77777777" w:rsidR="00382B5E" w:rsidRDefault="00BE0CD4">
            <w:pPr>
              <w:widowControl w:val="0"/>
              <w:jc w:val="center"/>
              <w:rPr>
                <w:sz w:val="22"/>
                <w:szCs w:val="22"/>
              </w:rPr>
            </w:pPr>
            <w:r>
              <w:rPr>
                <w:sz w:val="22"/>
                <w:szCs w:val="22"/>
              </w:rPr>
              <w:t>78</w:t>
            </w:r>
          </w:p>
          <w:p w14:paraId="4E105DEE" w14:textId="77777777" w:rsidR="00382B5E" w:rsidRDefault="00BE0CD4">
            <w:pPr>
              <w:widowControl w:val="0"/>
              <w:jc w:val="center"/>
              <w:rPr>
                <w:sz w:val="22"/>
                <w:szCs w:val="22"/>
              </w:rPr>
            </w:pPr>
            <w:r>
              <w:rPr>
                <w:sz w:val="22"/>
                <w:szCs w:val="22"/>
              </w:rPr>
              <w:t>(11,8)</w:t>
            </w:r>
          </w:p>
        </w:tc>
        <w:tc>
          <w:tcPr>
            <w:tcW w:w="736" w:type="pct"/>
          </w:tcPr>
          <w:p w14:paraId="64F04F52" w14:textId="77777777" w:rsidR="00382B5E" w:rsidRDefault="00BE0CD4">
            <w:pPr>
              <w:widowControl w:val="0"/>
              <w:jc w:val="center"/>
              <w:rPr>
                <w:sz w:val="22"/>
                <w:szCs w:val="22"/>
              </w:rPr>
            </w:pPr>
            <w:r>
              <w:rPr>
                <w:sz w:val="22"/>
                <w:szCs w:val="22"/>
              </w:rPr>
              <w:t>103</w:t>
            </w:r>
          </w:p>
          <w:p w14:paraId="721FF126" w14:textId="77777777" w:rsidR="00382B5E" w:rsidRDefault="00BE0CD4">
            <w:pPr>
              <w:widowControl w:val="0"/>
              <w:jc w:val="center"/>
              <w:rPr>
                <w:sz w:val="22"/>
                <w:szCs w:val="22"/>
              </w:rPr>
            </w:pPr>
            <w:r>
              <w:rPr>
                <w:sz w:val="22"/>
                <w:szCs w:val="22"/>
              </w:rPr>
              <w:t>(15,7)</w:t>
            </w:r>
          </w:p>
        </w:tc>
        <w:tc>
          <w:tcPr>
            <w:tcW w:w="736" w:type="pct"/>
          </w:tcPr>
          <w:p w14:paraId="4E734261" w14:textId="77777777" w:rsidR="00382B5E" w:rsidRDefault="00BE0CD4">
            <w:pPr>
              <w:widowControl w:val="0"/>
              <w:jc w:val="center"/>
              <w:rPr>
                <w:sz w:val="22"/>
                <w:szCs w:val="22"/>
              </w:rPr>
            </w:pPr>
            <w:r>
              <w:rPr>
                <w:sz w:val="22"/>
                <w:szCs w:val="22"/>
              </w:rPr>
              <w:t>95</w:t>
            </w:r>
          </w:p>
          <w:p w14:paraId="36C65B94" w14:textId="77777777" w:rsidR="00382B5E" w:rsidRDefault="00BE0CD4">
            <w:pPr>
              <w:widowControl w:val="0"/>
              <w:jc w:val="center"/>
              <w:rPr>
                <w:sz w:val="22"/>
                <w:szCs w:val="22"/>
              </w:rPr>
            </w:pPr>
            <w:r>
              <w:rPr>
                <w:sz w:val="22"/>
                <w:szCs w:val="22"/>
              </w:rPr>
              <w:t>(14,1)</w:t>
            </w:r>
          </w:p>
        </w:tc>
        <w:tc>
          <w:tcPr>
            <w:tcW w:w="836" w:type="pct"/>
          </w:tcPr>
          <w:p w14:paraId="72B41C85" w14:textId="77777777" w:rsidR="00382B5E" w:rsidRDefault="00BE0CD4">
            <w:pPr>
              <w:widowControl w:val="0"/>
              <w:jc w:val="center"/>
              <w:rPr>
                <w:sz w:val="22"/>
                <w:szCs w:val="22"/>
              </w:rPr>
            </w:pPr>
            <w:r>
              <w:rPr>
                <w:sz w:val="22"/>
                <w:szCs w:val="22"/>
              </w:rPr>
              <w:t>0,73 (0,54</w:t>
            </w:r>
            <w:r>
              <w:rPr>
                <w:sz w:val="22"/>
                <w:szCs w:val="22"/>
              </w:rPr>
              <w:noBreakHyphen/>
              <w:t>0,98)</w:t>
            </w:r>
          </w:p>
        </w:tc>
        <w:tc>
          <w:tcPr>
            <w:tcW w:w="604" w:type="pct"/>
          </w:tcPr>
          <w:p w14:paraId="02B71FC5" w14:textId="77777777" w:rsidR="00382B5E" w:rsidRDefault="00BE0CD4">
            <w:pPr>
              <w:widowControl w:val="0"/>
              <w:jc w:val="center"/>
              <w:rPr>
                <w:sz w:val="22"/>
                <w:szCs w:val="22"/>
              </w:rPr>
            </w:pPr>
            <w:r>
              <w:rPr>
                <w:sz w:val="22"/>
                <w:szCs w:val="22"/>
              </w:rPr>
              <w:t>0,03</w:t>
            </w:r>
          </w:p>
        </w:tc>
      </w:tr>
      <w:tr w:rsidR="00382B5E" w14:paraId="3AEBE0B9" w14:textId="77777777">
        <w:tc>
          <w:tcPr>
            <w:tcW w:w="1351" w:type="pct"/>
          </w:tcPr>
          <w:p w14:paraId="2FAB6485" w14:textId="77777777" w:rsidR="00382B5E" w:rsidRDefault="00BE0CD4">
            <w:pPr>
              <w:widowControl w:val="0"/>
              <w:rPr>
                <w:sz w:val="22"/>
                <w:szCs w:val="22"/>
              </w:rPr>
            </w:pPr>
            <w:r>
              <w:rPr>
                <w:rStyle w:val="TableText9"/>
                <w:sz w:val="22"/>
                <w:szCs w:val="22"/>
              </w:rPr>
              <w:t>Hospitalizáció angina miatt</w:t>
            </w:r>
          </w:p>
        </w:tc>
        <w:tc>
          <w:tcPr>
            <w:tcW w:w="736" w:type="pct"/>
          </w:tcPr>
          <w:p w14:paraId="5D3C1749" w14:textId="77777777" w:rsidR="00382B5E" w:rsidRDefault="00BE0CD4">
            <w:pPr>
              <w:widowControl w:val="0"/>
              <w:jc w:val="center"/>
              <w:rPr>
                <w:sz w:val="22"/>
                <w:szCs w:val="22"/>
              </w:rPr>
            </w:pPr>
            <w:r>
              <w:rPr>
                <w:sz w:val="22"/>
                <w:szCs w:val="22"/>
              </w:rPr>
              <w:t>51</w:t>
            </w:r>
          </w:p>
          <w:p w14:paraId="6556249B" w14:textId="77777777" w:rsidR="00382B5E" w:rsidRDefault="00BE0CD4">
            <w:pPr>
              <w:widowControl w:val="0"/>
              <w:jc w:val="center"/>
              <w:rPr>
                <w:sz w:val="22"/>
                <w:szCs w:val="22"/>
              </w:rPr>
            </w:pPr>
            <w:r>
              <w:rPr>
                <w:sz w:val="22"/>
                <w:szCs w:val="22"/>
              </w:rPr>
              <w:t>(7,7)</w:t>
            </w:r>
          </w:p>
        </w:tc>
        <w:tc>
          <w:tcPr>
            <w:tcW w:w="736" w:type="pct"/>
          </w:tcPr>
          <w:p w14:paraId="34C74D63" w14:textId="77777777" w:rsidR="00382B5E" w:rsidRDefault="00BE0CD4">
            <w:pPr>
              <w:widowControl w:val="0"/>
              <w:jc w:val="center"/>
              <w:rPr>
                <w:sz w:val="22"/>
                <w:szCs w:val="22"/>
              </w:rPr>
            </w:pPr>
            <w:r>
              <w:rPr>
                <w:sz w:val="22"/>
                <w:szCs w:val="22"/>
              </w:rPr>
              <w:t>84</w:t>
            </w:r>
          </w:p>
          <w:p w14:paraId="5CF0AB33" w14:textId="77777777" w:rsidR="00382B5E" w:rsidRDefault="00BE0CD4">
            <w:pPr>
              <w:widowControl w:val="0"/>
              <w:jc w:val="center"/>
              <w:rPr>
                <w:sz w:val="22"/>
                <w:szCs w:val="22"/>
              </w:rPr>
            </w:pPr>
            <w:r>
              <w:rPr>
                <w:sz w:val="22"/>
                <w:szCs w:val="22"/>
              </w:rPr>
              <w:t>(12,8)</w:t>
            </w:r>
          </w:p>
        </w:tc>
        <w:tc>
          <w:tcPr>
            <w:tcW w:w="736" w:type="pct"/>
          </w:tcPr>
          <w:p w14:paraId="17E4B45F" w14:textId="77777777" w:rsidR="00382B5E" w:rsidRDefault="00BE0CD4">
            <w:pPr>
              <w:widowControl w:val="0"/>
              <w:jc w:val="center"/>
              <w:rPr>
                <w:sz w:val="22"/>
                <w:szCs w:val="22"/>
              </w:rPr>
            </w:pPr>
            <w:r>
              <w:rPr>
                <w:sz w:val="22"/>
                <w:szCs w:val="22"/>
              </w:rPr>
              <w:t>86</w:t>
            </w:r>
          </w:p>
          <w:p w14:paraId="3BE8691E" w14:textId="77777777" w:rsidR="00382B5E" w:rsidRDefault="00BE0CD4">
            <w:pPr>
              <w:widowControl w:val="0"/>
              <w:jc w:val="center"/>
              <w:rPr>
                <w:sz w:val="22"/>
                <w:szCs w:val="22"/>
              </w:rPr>
            </w:pPr>
            <w:r>
              <w:rPr>
                <w:sz w:val="22"/>
                <w:szCs w:val="22"/>
              </w:rPr>
              <w:t>(12,8)</w:t>
            </w:r>
          </w:p>
        </w:tc>
        <w:tc>
          <w:tcPr>
            <w:tcW w:w="836" w:type="pct"/>
          </w:tcPr>
          <w:p w14:paraId="5E157E1C" w14:textId="77777777" w:rsidR="00382B5E" w:rsidRDefault="00BE0CD4">
            <w:pPr>
              <w:widowControl w:val="0"/>
              <w:jc w:val="center"/>
              <w:rPr>
                <w:sz w:val="22"/>
                <w:szCs w:val="22"/>
              </w:rPr>
            </w:pPr>
            <w:r>
              <w:rPr>
                <w:sz w:val="22"/>
                <w:szCs w:val="22"/>
              </w:rPr>
              <w:t>0,58 (0,41</w:t>
            </w:r>
            <w:r>
              <w:rPr>
                <w:sz w:val="22"/>
                <w:szCs w:val="22"/>
              </w:rPr>
              <w:noBreakHyphen/>
              <w:t>0,82)</w:t>
            </w:r>
          </w:p>
        </w:tc>
        <w:tc>
          <w:tcPr>
            <w:tcW w:w="604" w:type="pct"/>
          </w:tcPr>
          <w:p w14:paraId="7993ECAF" w14:textId="77777777" w:rsidR="00382B5E" w:rsidRDefault="00BE0CD4">
            <w:pPr>
              <w:widowControl w:val="0"/>
              <w:jc w:val="center"/>
              <w:rPr>
                <w:sz w:val="22"/>
                <w:szCs w:val="22"/>
              </w:rPr>
            </w:pPr>
            <w:r>
              <w:rPr>
                <w:sz w:val="22"/>
                <w:szCs w:val="22"/>
              </w:rPr>
              <w:t>0,002</w:t>
            </w:r>
          </w:p>
        </w:tc>
      </w:tr>
      <w:tr w:rsidR="00382B5E" w14:paraId="7139E4C1" w14:textId="77777777">
        <w:tc>
          <w:tcPr>
            <w:tcW w:w="1351" w:type="pct"/>
          </w:tcPr>
          <w:p w14:paraId="0618E976" w14:textId="77777777" w:rsidR="00382B5E" w:rsidRDefault="00BE0CD4">
            <w:pPr>
              <w:widowControl w:val="0"/>
              <w:rPr>
                <w:sz w:val="22"/>
                <w:szCs w:val="22"/>
              </w:rPr>
            </w:pPr>
            <w:r>
              <w:rPr>
                <w:rStyle w:val="TableText9"/>
                <w:sz w:val="22"/>
                <w:szCs w:val="22"/>
              </w:rPr>
              <w:t>Nem halálos MI</w:t>
            </w:r>
          </w:p>
        </w:tc>
        <w:tc>
          <w:tcPr>
            <w:tcW w:w="736" w:type="pct"/>
          </w:tcPr>
          <w:p w14:paraId="04C0F597" w14:textId="77777777" w:rsidR="00382B5E" w:rsidRDefault="00BE0CD4">
            <w:pPr>
              <w:widowControl w:val="0"/>
              <w:jc w:val="center"/>
              <w:rPr>
                <w:sz w:val="22"/>
                <w:szCs w:val="22"/>
              </w:rPr>
            </w:pPr>
            <w:r>
              <w:rPr>
                <w:sz w:val="22"/>
                <w:szCs w:val="22"/>
              </w:rPr>
              <w:t>14</w:t>
            </w:r>
          </w:p>
          <w:p w14:paraId="799A4B4A" w14:textId="77777777" w:rsidR="00382B5E" w:rsidRDefault="00BE0CD4">
            <w:pPr>
              <w:widowControl w:val="0"/>
              <w:jc w:val="center"/>
              <w:rPr>
                <w:sz w:val="22"/>
                <w:szCs w:val="22"/>
              </w:rPr>
            </w:pPr>
            <w:r>
              <w:rPr>
                <w:sz w:val="22"/>
                <w:szCs w:val="22"/>
              </w:rPr>
              <w:t>(2,1)</w:t>
            </w:r>
          </w:p>
        </w:tc>
        <w:tc>
          <w:tcPr>
            <w:tcW w:w="736" w:type="pct"/>
          </w:tcPr>
          <w:p w14:paraId="2F4740E2" w14:textId="77777777" w:rsidR="00382B5E" w:rsidRDefault="00BE0CD4">
            <w:pPr>
              <w:widowControl w:val="0"/>
              <w:jc w:val="center"/>
              <w:rPr>
                <w:sz w:val="22"/>
                <w:szCs w:val="22"/>
              </w:rPr>
            </w:pPr>
            <w:r>
              <w:rPr>
                <w:sz w:val="22"/>
                <w:szCs w:val="22"/>
              </w:rPr>
              <w:t>19</w:t>
            </w:r>
          </w:p>
          <w:p w14:paraId="5B90E043" w14:textId="77777777" w:rsidR="00382B5E" w:rsidRDefault="00BE0CD4">
            <w:pPr>
              <w:widowControl w:val="0"/>
              <w:jc w:val="center"/>
              <w:rPr>
                <w:sz w:val="22"/>
                <w:szCs w:val="22"/>
              </w:rPr>
            </w:pPr>
            <w:r>
              <w:rPr>
                <w:sz w:val="22"/>
                <w:szCs w:val="22"/>
              </w:rPr>
              <w:t>(2,9)</w:t>
            </w:r>
          </w:p>
        </w:tc>
        <w:tc>
          <w:tcPr>
            <w:tcW w:w="736" w:type="pct"/>
          </w:tcPr>
          <w:p w14:paraId="5FF85317" w14:textId="77777777" w:rsidR="00382B5E" w:rsidRDefault="00BE0CD4">
            <w:pPr>
              <w:widowControl w:val="0"/>
              <w:jc w:val="center"/>
              <w:rPr>
                <w:sz w:val="22"/>
                <w:szCs w:val="22"/>
              </w:rPr>
            </w:pPr>
            <w:r>
              <w:rPr>
                <w:sz w:val="22"/>
                <w:szCs w:val="22"/>
              </w:rPr>
              <w:t>11</w:t>
            </w:r>
          </w:p>
          <w:p w14:paraId="549870A5" w14:textId="77777777" w:rsidR="00382B5E" w:rsidRDefault="00BE0CD4">
            <w:pPr>
              <w:widowControl w:val="0"/>
              <w:jc w:val="center"/>
              <w:rPr>
                <w:sz w:val="22"/>
                <w:szCs w:val="22"/>
              </w:rPr>
            </w:pPr>
            <w:r>
              <w:rPr>
                <w:sz w:val="22"/>
                <w:szCs w:val="22"/>
              </w:rPr>
              <w:t>(1,6)</w:t>
            </w:r>
          </w:p>
        </w:tc>
        <w:tc>
          <w:tcPr>
            <w:tcW w:w="836" w:type="pct"/>
          </w:tcPr>
          <w:p w14:paraId="77265B3B" w14:textId="77777777" w:rsidR="00382B5E" w:rsidRDefault="00BE0CD4">
            <w:pPr>
              <w:widowControl w:val="0"/>
              <w:jc w:val="center"/>
              <w:rPr>
                <w:sz w:val="22"/>
                <w:szCs w:val="22"/>
              </w:rPr>
            </w:pPr>
            <w:r>
              <w:rPr>
                <w:sz w:val="22"/>
                <w:szCs w:val="22"/>
              </w:rPr>
              <w:t>0,73 (0,37</w:t>
            </w:r>
            <w:r>
              <w:rPr>
                <w:sz w:val="22"/>
                <w:szCs w:val="22"/>
              </w:rPr>
              <w:noBreakHyphen/>
              <w:t>1,46)</w:t>
            </w:r>
          </w:p>
        </w:tc>
        <w:tc>
          <w:tcPr>
            <w:tcW w:w="604" w:type="pct"/>
          </w:tcPr>
          <w:p w14:paraId="1586D8DA" w14:textId="77777777" w:rsidR="00382B5E" w:rsidRDefault="00BE0CD4">
            <w:pPr>
              <w:widowControl w:val="0"/>
              <w:jc w:val="center"/>
              <w:rPr>
                <w:sz w:val="22"/>
                <w:szCs w:val="22"/>
              </w:rPr>
            </w:pPr>
            <w:r>
              <w:rPr>
                <w:sz w:val="22"/>
                <w:szCs w:val="22"/>
              </w:rPr>
              <w:t>0,37</w:t>
            </w:r>
          </w:p>
        </w:tc>
      </w:tr>
      <w:tr w:rsidR="00382B5E" w14:paraId="122694A6" w14:textId="77777777">
        <w:tc>
          <w:tcPr>
            <w:tcW w:w="1351" w:type="pct"/>
          </w:tcPr>
          <w:p w14:paraId="5509BDD8" w14:textId="77777777" w:rsidR="00382B5E" w:rsidRDefault="00BE0CD4">
            <w:pPr>
              <w:widowControl w:val="0"/>
              <w:rPr>
                <w:sz w:val="22"/>
                <w:szCs w:val="22"/>
              </w:rPr>
            </w:pPr>
            <w:r>
              <w:rPr>
                <w:sz w:val="22"/>
                <w:szCs w:val="22"/>
              </w:rPr>
              <w:t xml:space="preserve">Stroke vagy TIA </w:t>
            </w:r>
          </w:p>
        </w:tc>
        <w:tc>
          <w:tcPr>
            <w:tcW w:w="736" w:type="pct"/>
          </w:tcPr>
          <w:p w14:paraId="71C4D983" w14:textId="77777777" w:rsidR="00382B5E" w:rsidRDefault="00BE0CD4">
            <w:pPr>
              <w:widowControl w:val="0"/>
              <w:jc w:val="center"/>
              <w:rPr>
                <w:sz w:val="22"/>
                <w:szCs w:val="22"/>
              </w:rPr>
            </w:pPr>
            <w:r>
              <w:rPr>
                <w:sz w:val="22"/>
                <w:szCs w:val="22"/>
              </w:rPr>
              <w:t>6</w:t>
            </w:r>
          </w:p>
          <w:p w14:paraId="27D972D3" w14:textId="77777777" w:rsidR="00382B5E" w:rsidRDefault="00BE0CD4">
            <w:pPr>
              <w:widowControl w:val="0"/>
              <w:jc w:val="center"/>
              <w:rPr>
                <w:sz w:val="22"/>
                <w:szCs w:val="22"/>
              </w:rPr>
            </w:pPr>
            <w:r>
              <w:rPr>
                <w:sz w:val="22"/>
                <w:szCs w:val="22"/>
              </w:rPr>
              <w:t>(0,9)</w:t>
            </w:r>
          </w:p>
        </w:tc>
        <w:tc>
          <w:tcPr>
            <w:tcW w:w="736" w:type="pct"/>
          </w:tcPr>
          <w:p w14:paraId="5C16C26C" w14:textId="77777777" w:rsidR="00382B5E" w:rsidRDefault="00BE0CD4">
            <w:pPr>
              <w:widowControl w:val="0"/>
              <w:jc w:val="center"/>
              <w:rPr>
                <w:sz w:val="22"/>
                <w:szCs w:val="22"/>
              </w:rPr>
            </w:pPr>
            <w:r>
              <w:rPr>
                <w:sz w:val="22"/>
                <w:szCs w:val="22"/>
              </w:rPr>
              <w:t>12</w:t>
            </w:r>
          </w:p>
          <w:p w14:paraId="702D84CB" w14:textId="77777777" w:rsidR="00382B5E" w:rsidRDefault="00BE0CD4">
            <w:pPr>
              <w:widowControl w:val="0"/>
              <w:jc w:val="center"/>
              <w:rPr>
                <w:sz w:val="22"/>
                <w:szCs w:val="22"/>
              </w:rPr>
            </w:pPr>
            <w:r>
              <w:rPr>
                <w:sz w:val="22"/>
                <w:szCs w:val="22"/>
              </w:rPr>
              <w:t>(1,8)</w:t>
            </w:r>
          </w:p>
        </w:tc>
        <w:tc>
          <w:tcPr>
            <w:tcW w:w="736" w:type="pct"/>
          </w:tcPr>
          <w:p w14:paraId="1D4C5E9A" w14:textId="77777777" w:rsidR="00382B5E" w:rsidRDefault="00BE0CD4">
            <w:pPr>
              <w:widowControl w:val="0"/>
              <w:jc w:val="center"/>
              <w:rPr>
                <w:sz w:val="22"/>
                <w:szCs w:val="22"/>
              </w:rPr>
            </w:pPr>
            <w:r>
              <w:rPr>
                <w:sz w:val="22"/>
                <w:szCs w:val="22"/>
              </w:rPr>
              <w:t>8</w:t>
            </w:r>
          </w:p>
          <w:p w14:paraId="15D6015B" w14:textId="77777777" w:rsidR="00382B5E" w:rsidRDefault="00BE0CD4">
            <w:pPr>
              <w:widowControl w:val="0"/>
              <w:jc w:val="center"/>
              <w:rPr>
                <w:sz w:val="22"/>
                <w:szCs w:val="22"/>
              </w:rPr>
            </w:pPr>
            <w:r>
              <w:rPr>
                <w:sz w:val="22"/>
                <w:szCs w:val="22"/>
              </w:rPr>
              <w:t>(1,2)</w:t>
            </w:r>
          </w:p>
        </w:tc>
        <w:tc>
          <w:tcPr>
            <w:tcW w:w="836" w:type="pct"/>
          </w:tcPr>
          <w:p w14:paraId="4DFEB781" w14:textId="77777777" w:rsidR="00382B5E" w:rsidRDefault="00BE0CD4">
            <w:pPr>
              <w:widowControl w:val="0"/>
              <w:jc w:val="center"/>
              <w:rPr>
                <w:sz w:val="22"/>
                <w:szCs w:val="22"/>
              </w:rPr>
            </w:pPr>
            <w:r>
              <w:rPr>
                <w:sz w:val="22"/>
                <w:szCs w:val="22"/>
              </w:rPr>
              <w:t>0,50 (0,19</w:t>
            </w:r>
            <w:r>
              <w:rPr>
                <w:sz w:val="22"/>
                <w:szCs w:val="22"/>
              </w:rPr>
              <w:noBreakHyphen/>
              <w:t>1,32)</w:t>
            </w:r>
          </w:p>
        </w:tc>
        <w:tc>
          <w:tcPr>
            <w:tcW w:w="604" w:type="pct"/>
          </w:tcPr>
          <w:p w14:paraId="3FD2B996" w14:textId="77777777" w:rsidR="00382B5E" w:rsidRDefault="00BE0CD4">
            <w:pPr>
              <w:widowControl w:val="0"/>
              <w:jc w:val="center"/>
              <w:rPr>
                <w:sz w:val="22"/>
                <w:szCs w:val="22"/>
              </w:rPr>
            </w:pPr>
            <w:r>
              <w:rPr>
                <w:sz w:val="22"/>
                <w:szCs w:val="22"/>
              </w:rPr>
              <w:t>0,15</w:t>
            </w:r>
          </w:p>
        </w:tc>
      </w:tr>
      <w:tr w:rsidR="00382B5E" w14:paraId="4EA1BD55" w14:textId="77777777">
        <w:tc>
          <w:tcPr>
            <w:tcW w:w="1351" w:type="pct"/>
          </w:tcPr>
          <w:p w14:paraId="6D216005" w14:textId="77777777" w:rsidR="00382B5E" w:rsidRDefault="00BE0CD4">
            <w:pPr>
              <w:widowControl w:val="0"/>
              <w:rPr>
                <w:sz w:val="22"/>
                <w:szCs w:val="22"/>
              </w:rPr>
            </w:pPr>
            <w:r>
              <w:rPr>
                <w:rStyle w:val="TableText9"/>
                <w:sz w:val="22"/>
                <w:szCs w:val="22"/>
              </w:rPr>
              <w:t>Cardiovascularis halálozás</w:t>
            </w:r>
          </w:p>
        </w:tc>
        <w:tc>
          <w:tcPr>
            <w:tcW w:w="736" w:type="pct"/>
          </w:tcPr>
          <w:p w14:paraId="346D971A" w14:textId="77777777" w:rsidR="00382B5E" w:rsidRDefault="00BE0CD4">
            <w:pPr>
              <w:widowControl w:val="0"/>
              <w:jc w:val="center"/>
              <w:rPr>
                <w:sz w:val="22"/>
                <w:szCs w:val="22"/>
              </w:rPr>
            </w:pPr>
            <w:r>
              <w:rPr>
                <w:sz w:val="22"/>
                <w:szCs w:val="22"/>
              </w:rPr>
              <w:t>5</w:t>
            </w:r>
          </w:p>
          <w:p w14:paraId="6B4AA0E0" w14:textId="77777777" w:rsidR="00382B5E" w:rsidRDefault="00BE0CD4">
            <w:pPr>
              <w:widowControl w:val="0"/>
              <w:jc w:val="center"/>
              <w:rPr>
                <w:sz w:val="22"/>
                <w:szCs w:val="22"/>
              </w:rPr>
            </w:pPr>
            <w:r>
              <w:rPr>
                <w:sz w:val="22"/>
                <w:szCs w:val="22"/>
              </w:rPr>
              <w:t>(0,8)</w:t>
            </w:r>
          </w:p>
        </w:tc>
        <w:tc>
          <w:tcPr>
            <w:tcW w:w="736" w:type="pct"/>
          </w:tcPr>
          <w:p w14:paraId="290AA8D0" w14:textId="77777777" w:rsidR="00382B5E" w:rsidRDefault="00BE0CD4">
            <w:pPr>
              <w:widowControl w:val="0"/>
              <w:jc w:val="center"/>
              <w:rPr>
                <w:sz w:val="22"/>
                <w:szCs w:val="22"/>
              </w:rPr>
            </w:pPr>
            <w:r>
              <w:rPr>
                <w:sz w:val="22"/>
                <w:szCs w:val="22"/>
              </w:rPr>
              <w:t>2</w:t>
            </w:r>
          </w:p>
          <w:p w14:paraId="18FAFBB9" w14:textId="77777777" w:rsidR="00382B5E" w:rsidRDefault="00BE0CD4">
            <w:pPr>
              <w:widowControl w:val="0"/>
              <w:jc w:val="center"/>
              <w:rPr>
                <w:sz w:val="22"/>
                <w:szCs w:val="22"/>
              </w:rPr>
            </w:pPr>
            <w:r>
              <w:rPr>
                <w:sz w:val="22"/>
                <w:szCs w:val="22"/>
              </w:rPr>
              <w:t>(0,3)</w:t>
            </w:r>
          </w:p>
        </w:tc>
        <w:tc>
          <w:tcPr>
            <w:tcW w:w="736" w:type="pct"/>
          </w:tcPr>
          <w:p w14:paraId="6F97989C" w14:textId="77777777" w:rsidR="00382B5E" w:rsidRDefault="00BE0CD4">
            <w:pPr>
              <w:widowControl w:val="0"/>
              <w:jc w:val="center"/>
              <w:rPr>
                <w:sz w:val="22"/>
                <w:szCs w:val="22"/>
              </w:rPr>
            </w:pPr>
            <w:r>
              <w:rPr>
                <w:sz w:val="22"/>
                <w:szCs w:val="22"/>
              </w:rPr>
              <w:t>5</w:t>
            </w:r>
          </w:p>
          <w:p w14:paraId="25C67F8D" w14:textId="77777777" w:rsidR="00382B5E" w:rsidRDefault="00BE0CD4">
            <w:pPr>
              <w:widowControl w:val="0"/>
              <w:jc w:val="center"/>
              <w:rPr>
                <w:sz w:val="22"/>
                <w:szCs w:val="22"/>
              </w:rPr>
            </w:pPr>
            <w:r>
              <w:rPr>
                <w:sz w:val="22"/>
                <w:szCs w:val="22"/>
              </w:rPr>
              <w:t>(0,7)</w:t>
            </w:r>
          </w:p>
        </w:tc>
        <w:tc>
          <w:tcPr>
            <w:tcW w:w="836" w:type="pct"/>
          </w:tcPr>
          <w:p w14:paraId="4B1806D5" w14:textId="77777777" w:rsidR="00382B5E" w:rsidRDefault="00BE0CD4">
            <w:pPr>
              <w:widowControl w:val="0"/>
              <w:jc w:val="center"/>
              <w:rPr>
                <w:sz w:val="22"/>
                <w:szCs w:val="22"/>
              </w:rPr>
            </w:pPr>
            <w:r>
              <w:rPr>
                <w:sz w:val="22"/>
                <w:szCs w:val="22"/>
              </w:rPr>
              <w:t>2,46 (0,48</w:t>
            </w:r>
            <w:r>
              <w:rPr>
                <w:sz w:val="22"/>
                <w:szCs w:val="22"/>
              </w:rPr>
              <w:noBreakHyphen/>
              <w:t>12,7)</w:t>
            </w:r>
          </w:p>
        </w:tc>
        <w:tc>
          <w:tcPr>
            <w:tcW w:w="604" w:type="pct"/>
          </w:tcPr>
          <w:p w14:paraId="73CB0593" w14:textId="77777777" w:rsidR="00382B5E" w:rsidRDefault="00BE0CD4">
            <w:pPr>
              <w:widowControl w:val="0"/>
              <w:jc w:val="center"/>
              <w:rPr>
                <w:sz w:val="22"/>
                <w:szCs w:val="22"/>
              </w:rPr>
            </w:pPr>
            <w:r>
              <w:rPr>
                <w:sz w:val="22"/>
                <w:szCs w:val="22"/>
              </w:rPr>
              <w:t>0,27</w:t>
            </w:r>
          </w:p>
        </w:tc>
      </w:tr>
      <w:tr w:rsidR="00382B5E" w14:paraId="14225906" w14:textId="77777777">
        <w:tc>
          <w:tcPr>
            <w:tcW w:w="1351" w:type="pct"/>
          </w:tcPr>
          <w:p w14:paraId="2DE93322" w14:textId="77777777" w:rsidR="00382B5E" w:rsidRDefault="00BE0CD4">
            <w:pPr>
              <w:widowControl w:val="0"/>
              <w:rPr>
                <w:sz w:val="22"/>
                <w:szCs w:val="22"/>
              </w:rPr>
            </w:pPr>
            <w:r>
              <w:rPr>
                <w:rStyle w:val="TableText9"/>
                <w:sz w:val="22"/>
                <w:szCs w:val="22"/>
              </w:rPr>
              <w:t>Hospitalizáció CHF-miatt</w:t>
            </w:r>
          </w:p>
        </w:tc>
        <w:tc>
          <w:tcPr>
            <w:tcW w:w="736" w:type="pct"/>
          </w:tcPr>
          <w:p w14:paraId="665B5D3E" w14:textId="77777777" w:rsidR="00382B5E" w:rsidRDefault="00BE0CD4">
            <w:pPr>
              <w:widowControl w:val="0"/>
              <w:jc w:val="center"/>
              <w:rPr>
                <w:sz w:val="22"/>
                <w:szCs w:val="22"/>
              </w:rPr>
            </w:pPr>
            <w:r>
              <w:rPr>
                <w:sz w:val="22"/>
                <w:szCs w:val="22"/>
              </w:rPr>
              <w:t>3</w:t>
            </w:r>
          </w:p>
          <w:p w14:paraId="5A14EEB6" w14:textId="77777777" w:rsidR="00382B5E" w:rsidRDefault="00BE0CD4">
            <w:pPr>
              <w:widowControl w:val="0"/>
              <w:jc w:val="center"/>
              <w:rPr>
                <w:sz w:val="22"/>
                <w:szCs w:val="22"/>
              </w:rPr>
            </w:pPr>
            <w:r>
              <w:rPr>
                <w:sz w:val="22"/>
                <w:szCs w:val="22"/>
              </w:rPr>
              <w:t>(0,5)</w:t>
            </w:r>
          </w:p>
        </w:tc>
        <w:tc>
          <w:tcPr>
            <w:tcW w:w="736" w:type="pct"/>
          </w:tcPr>
          <w:p w14:paraId="70169820" w14:textId="77777777" w:rsidR="00382B5E" w:rsidRDefault="00BE0CD4">
            <w:pPr>
              <w:widowControl w:val="0"/>
              <w:jc w:val="center"/>
              <w:rPr>
                <w:sz w:val="22"/>
                <w:szCs w:val="22"/>
              </w:rPr>
            </w:pPr>
            <w:r>
              <w:rPr>
                <w:sz w:val="22"/>
                <w:szCs w:val="22"/>
              </w:rPr>
              <w:t>5</w:t>
            </w:r>
          </w:p>
          <w:p w14:paraId="2DD705ED" w14:textId="77777777" w:rsidR="00382B5E" w:rsidRDefault="00BE0CD4">
            <w:pPr>
              <w:widowControl w:val="0"/>
              <w:jc w:val="center"/>
              <w:rPr>
                <w:sz w:val="22"/>
                <w:szCs w:val="22"/>
              </w:rPr>
            </w:pPr>
            <w:r>
              <w:rPr>
                <w:sz w:val="22"/>
                <w:szCs w:val="22"/>
              </w:rPr>
              <w:t>(0,8)</w:t>
            </w:r>
          </w:p>
        </w:tc>
        <w:tc>
          <w:tcPr>
            <w:tcW w:w="736" w:type="pct"/>
          </w:tcPr>
          <w:p w14:paraId="2D0B2A25" w14:textId="77777777" w:rsidR="00382B5E" w:rsidRDefault="00BE0CD4">
            <w:pPr>
              <w:widowControl w:val="0"/>
              <w:jc w:val="center"/>
              <w:rPr>
                <w:sz w:val="22"/>
                <w:szCs w:val="22"/>
              </w:rPr>
            </w:pPr>
            <w:r>
              <w:rPr>
                <w:sz w:val="22"/>
                <w:szCs w:val="22"/>
              </w:rPr>
              <w:t>4</w:t>
            </w:r>
          </w:p>
          <w:p w14:paraId="205C8723" w14:textId="77777777" w:rsidR="00382B5E" w:rsidRDefault="00BE0CD4">
            <w:pPr>
              <w:widowControl w:val="0"/>
              <w:jc w:val="center"/>
              <w:rPr>
                <w:sz w:val="22"/>
                <w:szCs w:val="22"/>
              </w:rPr>
            </w:pPr>
            <w:r>
              <w:rPr>
                <w:sz w:val="22"/>
                <w:szCs w:val="22"/>
              </w:rPr>
              <w:t>(0,6)</w:t>
            </w:r>
          </w:p>
        </w:tc>
        <w:tc>
          <w:tcPr>
            <w:tcW w:w="836" w:type="pct"/>
          </w:tcPr>
          <w:p w14:paraId="18B91E50" w14:textId="77777777" w:rsidR="00382B5E" w:rsidRDefault="00BE0CD4">
            <w:pPr>
              <w:widowControl w:val="0"/>
              <w:jc w:val="center"/>
              <w:rPr>
                <w:sz w:val="22"/>
                <w:szCs w:val="22"/>
              </w:rPr>
            </w:pPr>
            <w:r>
              <w:rPr>
                <w:sz w:val="22"/>
                <w:szCs w:val="22"/>
              </w:rPr>
              <w:t>0,59 (0,14</w:t>
            </w:r>
            <w:r>
              <w:rPr>
                <w:sz w:val="22"/>
                <w:szCs w:val="22"/>
              </w:rPr>
              <w:noBreakHyphen/>
              <w:t>2,47)</w:t>
            </w:r>
          </w:p>
        </w:tc>
        <w:tc>
          <w:tcPr>
            <w:tcW w:w="604" w:type="pct"/>
          </w:tcPr>
          <w:p w14:paraId="10CC9950" w14:textId="77777777" w:rsidR="00382B5E" w:rsidRDefault="00BE0CD4">
            <w:pPr>
              <w:widowControl w:val="0"/>
              <w:jc w:val="center"/>
              <w:rPr>
                <w:sz w:val="22"/>
                <w:szCs w:val="22"/>
              </w:rPr>
            </w:pPr>
            <w:r>
              <w:rPr>
                <w:sz w:val="22"/>
                <w:szCs w:val="22"/>
              </w:rPr>
              <w:t>0,46</w:t>
            </w:r>
          </w:p>
        </w:tc>
      </w:tr>
      <w:tr w:rsidR="00382B5E" w14:paraId="2FD8FD5F" w14:textId="77777777">
        <w:tc>
          <w:tcPr>
            <w:tcW w:w="1351" w:type="pct"/>
          </w:tcPr>
          <w:p w14:paraId="04BDEF2F" w14:textId="77777777" w:rsidR="00382B5E" w:rsidRDefault="00BE0CD4">
            <w:pPr>
              <w:widowControl w:val="0"/>
              <w:rPr>
                <w:sz w:val="22"/>
                <w:szCs w:val="22"/>
              </w:rPr>
            </w:pPr>
            <w:r>
              <w:rPr>
                <w:rStyle w:val="TableText9"/>
                <w:sz w:val="22"/>
                <w:szCs w:val="22"/>
              </w:rPr>
              <w:t>Újraélesztés szívmegállás miatt</w:t>
            </w:r>
          </w:p>
        </w:tc>
        <w:tc>
          <w:tcPr>
            <w:tcW w:w="736" w:type="pct"/>
          </w:tcPr>
          <w:p w14:paraId="058D93CD" w14:textId="77777777" w:rsidR="00382B5E" w:rsidRDefault="00BE0CD4">
            <w:pPr>
              <w:widowControl w:val="0"/>
              <w:jc w:val="center"/>
              <w:rPr>
                <w:sz w:val="22"/>
                <w:szCs w:val="22"/>
              </w:rPr>
            </w:pPr>
            <w:r>
              <w:rPr>
                <w:sz w:val="22"/>
                <w:szCs w:val="22"/>
              </w:rPr>
              <w:t>0</w:t>
            </w:r>
          </w:p>
        </w:tc>
        <w:tc>
          <w:tcPr>
            <w:tcW w:w="736" w:type="pct"/>
          </w:tcPr>
          <w:p w14:paraId="236BDC04" w14:textId="77777777" w:rsidR="00382B5E" w:rsidRDefault="00BE0CD4">
            <w:pPr>
              <w:widowControl w:val="0"/>
              <w:jc w:val="center"/>
              <w:rPr>
                <w:sz w:val="22"/>
                <w:szCs w:val="22"/>
              </w:rPr>
            </w:pPr>
            <w:r>
              <w:rPr>
                <w:sz w:val="22"/>
                <w:szCs w:val="22"/>
              </w:rPr>
              <w:t>4</w:t>
            </w:r>
          </w:p>
          <w:p w14:paraId="7BE4564C" w14:textId="77777777" w:rsidR="00382B5E" w:rsidRDefault="00BE0CD4">
            <w:pPr>
              <w:widowControl w:val="0"/>
              <w:jc w:val="center"/>
              <w:rPr>
                <w:sz w:val="22"/>
                <w:szCs w:val="22"/>
              </w:rPr>
            </w:pPr>
            <w:r>
              <w:rPr>
                <w:sz w:val="22"/>
                <w:szCs w:val="22"/>
              </w:rPr>
              <w:t>(0,6)</w:t>
            </w:r>
          </w:p>
        </w:tc>
        <w:tc>
          <w:tcPr>
            <w:tcW w:w="736" w:type="pct"/>
          </w:tcPr>
          <w:p w14:paraId="01CFA171" w14:textId="77777777" w:rsidR="00382B5E" w:rsidRDefault="00BE0CD4">
            <w:pPr>
              <w:widowControl w:val="0"/>
              <w:jc w:val="center"/>
              <w:rPr>
                <w:sz w:val="22"/>
                <w:szCs w:val="22"/>
              </w:rPr>
            </w:pPr>
            <w:r>
              <w:rPr>
                <w:sz w:val="22"/>
                <w:szCs w:val="22"/>
              </w:rPr>
              <w:t>1</w:t>
            </w:r>
          </w:p>
          <w:p w14:paraId="15711B09" w14:textId="77777777" w:rsidR="00382B5E" w:rsidRDefault="00BE0CD4">
            <w:pPr>
              <w:widowControl w:val="0"/>
              <w:jc w:val="center"/>
              <w:rPr>
                <w:sz w:val="22"/>
                <w:szCs w:val="22"/>
              </w:rPr>
            </w:pPr>
            <w:r>
              <w:rPr>
                <w:sz w:val="22"/>
                <w:szCs w:val="22"/>
              </w:rPr>
              <w:t>(0,1)</w:t>
            </w:r>
          </w:p>
        </w:tc>
        <w:tc>
          <w:tcPr>
            <w:tcW w:w="836" w:type="pct"/>
          </w:tcPr>
          <w:p w14:paraId="2F26D77A" w14:textId="77777777" w:rsidR="00382B5E" w:rsidRDefault="00BE0CD4">
            <w:pPr>
              <w:widowControl w:val="0"/>
              <w:jc w:val="center"/>
              <w:rPr>
                <w:sz w:val="22"/>
                <w:szCs w:val="22"/>
              </w:rPr>
            </w:pPr>
            <w:r>
              <w:rPr>
                <w:sz w:val="22"/>
                <w:szCs w:val="22"/>
              </w:rPr>
              <w:t>NA</w:t>
            </w:r>
          </w:p>
        </w:tc>
        <w:tc>
          <w:tcPr>
            <w:tcW w:w="604" w:type="pct"/>
          </w:tcPr>
          <w:p w14:paraId="00253E70" w14:textId="77777777" w:rsidR="00382B5E" w:rsidRDefault="00BE0CD4">
            <w:pPr>
              <w:widowControl w:val="0"/>
              <w:jc w:val="center"/>
              <w:rPr>
                <w:sz w:val="22"/>
                <w:szCs w:val="22"/>
              </w:rPr>
            </w:pPr>
            <w:r>
              <w:rPr>
                <w:sz w:val="22"/>
                <w:szCs w:val="22"/>
              </w:rPr>
              <w:t>0,04</w:t>
            </w:r>
          </w:p>
        </w:tc>
      </w:tr>
      <w:tr w:rsidR="00382B5E" w14:paraId="5F87A865" w14:textId="77777777">
        <w:tc>
          <w:tcPr>
            <w:tcW w:w="1351" w:type="pct"/>
          </w:tcPr>
          <w:p w14:paraId="327CDF36" w14:textId="77777777" w:rsidR="00382B5E" w:rsidRDefault="00BE0CD4">
            <w:pPr>
              <w:widowControl w:val="0"/>
              <w:rPr>
                <w:sz w:val="22"/>
                <w:szCs w:val="22"/>
              </w:rPr>
            </w:pPr>
            <w:r>
              <w:rPr>
                <w:rStyle w:val="TableText9"/>
                <w:sz w:val="22"/>
                <w:szCs w:val="22"/>
              </w:rPr>
              <w:t>Újkeletű perifériás érbetegség</w:t>
            </w:r>
          </w:p>
        </w:tc>
        <w:tc>
          <w:tcPr>
            <w:tcW w:w="736" w:type="pct"/>
          </w:tcPr>
          <w:p w14:paraId="7B8BD73B" w14:textId="77777777" w:rsidR="00382B5E" w:rsidRDefault="00BE0CD4">
            <w:pPr>
              <w:widowControl w:val="0"/>
              <w:jc w:val="center"/>
              <w:rPr>
                <w:sz w:val="22"/>
                <w:szCs w:val="22"/>
              </w:rPr>
            </w:pPr>
            <w:r>
              <w:rPr>
                <w:sz w:val="22"/>
                <w:szCs w:val="22"/>
              </w:rPr>
              <w:t>5</w:t>
            </w:r>
          </w:p>
          <w:p w14:paraId="3ECCF09D" w14:textId="77777777" w:rsidR="00382B5E" w:rsidRDefault="00BE0CD4">
            <w:pPr>
              <w:widowControl w:val="0"/>
              <w:jc w:val="center"/>
              <w:rPr>
                <w:sz w:val="22"/>
                <w:szCs w:val="22"/>
              </w:rPr>
            </w:pPr>
            <w:r>
              <w:rPr>
                <w:sz w:val="22"/>
                <w:szCs w:val="22"/>
              </w:rPr>
              <w:t>(0,8)</w:t>
            </w:r>
          </w:p>
        </w:tc>
        <w:tc>
          <w:tcPr>
            <w:tcW w:w="736" w:type="pct"/>
          </w:tcPr>
          <w:p w14:paraId="57378C61" w14:textId="77777777" w:rsidR="00382B5E" w:rsidRDefault="00BE0CD4">
            <w:pPr>
              <w:widowControl w:val="0"/>
              <w:jc w:val="center"/>
              <w:rPr>
                <w:sz w:val="22"/>
                <w:szCs w:val="22"/>
              </w:rPr>
            </w:pPr>
            <w:r>
              <w:rPr>
                <w:sz w:val="22"/>
                <w:szCs w:val="22"/>
              </w:rPr>
              <w:t>2</w:t>
            </w:r>
          </w:p>
          <w:p w14:paraId="09113ACF" w14:textId="77777777" w:rsidR="00382B5E" w:rsidRDefault="00BE0CD4">
            <w:pPr>
              <w:widowControl w:val="0"/>
              <w:jc w:val="center"/>
              <w:rPr>
                <w:sz w:val="22"/>
                <w:szCs w:val="22"/>
              </w:rPr>
            </w:pPr>
            <w:r>
              <w:rPr>
                <w:sz w:val="22"/>
                <w:szCs w:val="22"/>
              </w:rPr>
              <w:t>(0,3)</w:t>
            </w:r>
          </w:p>
        </w:tc>
        <w:tc>
          <w:tcPr>
            <w:tcW w:w="736" w:type="pct"/>
          </w:tcPr>
          <w:p w14:paraId="7509DB4E" w14:textId="77777777" w:rsidR="00382B5E" w:rsidRDefault="00BE0CD4">
            <w:pPr>
              <w:widowControl w:val="0"/>
              <w:jc w:val="center"/>
              <w:rPr>
                <w:sz w:val="22"/>
                <w:szCs w:val="22"/>
              </w:rPr>
            </w:pPr>
            <w:r>
              <w:rPr>
                <w:sz w:val="22"/>
                <w:szCs w:val="22"/>
              </w:rPr>
              <w:t>8</w:t>
            </w:r>
          </w:p>
          <w:p w14:paraId="162F43D0" w14:textId="77777777" w:rsidR="00382B5E" w:rsidRDefault="00BE0CD4">
            <w:pPr>
              <w:widowControl w:val="0"/>
              <w:jc w:val="center"/>
              <w:rPr>
                <w:sz w:val="22"/>
                <w:szCs w:val="22"/>
              </w:rPr>
            </w:pPr>
            <w:r>
              <w:rPr>
                <w:sz w:val="22"/>
                <w:szCs w:val="22"/>
              </w:rPr>
              <w:t>(1,2)</w:t>
            </w:r>
          </w:p>
        </w:tc>
        <w:tc>
          <w:tcPr>
            <w:tcW w:w="836" w:type="pct"/>
          </w:tcPr>
          <w:p w14:paraId="2E493B6F" w14:textId="77777777" w:rsidR="00382B5E" w:rsidRDefault="00BE0CD4">
            <w:pPr>
              <w:widowControl w:val="0"/>
              <w:jc w:val="center"/>
              <w:rPr>
                <w:sz w:val="22"/>
                <w:szCs w:val="22"/>
              </w:rPr>
            </w:pPr>
            <w:r>
              <w:rPr>
                <w:sz w:val="22"/>
                <w:szCs w:val="22"/>
              </w:rPr>
              <w:t>2,6</w:t>
            </w:r>
          </w:p>
          <w:p w14:paraId="4A79E5FE" w14:textId="77777777" w:rsidR="00382B5E" w:rsidRDefault="00BE0CD4">
            <w:pPr>
              <w:widowControl w:val="0"/>
              <w:jc w:val="center"/>
              <w:rPr>
                <w:sz w:val="22"/>
                <w:szCs w:val="22"/>
              </w:rPr>
            </w:pPr>
            <w:r>
              <w:rPr>
                <w:sz w:val="22"/>
                <w:szCs w:val="22"/>
              </w:rPr>
              <w:t>(0,50</w:t>
            </w:r>
            <w:r>
              <w:rPr>
                <w:sz w:val="22"/>
                <w:szCs w:val="22"/>
              </w:rPr>
              <w:noBreakHyphen/>
              <w:t>13,4)</w:t>
            </w:r>
          </w:p>
        </w:tc>
        <w:tc>
          <w:tcPr>
            <w:tcW w:w="604" w:type="pct"/>
          </w:tcPr>
          <w:p w14:paraId="417924DA" w14:textId="77777777" w:rsidR="00382B5E" w:rsidRDefault="00BE0CD4">
            <w:pPr>
              <w:widowControl w:val="0"/>
              <w:jc w:val="center"/>
              <w:rPr>
                <w:sz w:val="22"/>
                <w:szCs w:val="22"/>
              </w:rPr>
            </w:pPr>
            <w:r>
              <w:rPr>
                <w:sz w:val="22"/>
                <w:szCs w:val="22"/>
              </w:rPr>
              <w:t>0,24</w:t>
            </w:r>
          </w:p>
        </w:tc>
      </w:tr>
      <w:tr w:rsidR="00382B5E" w14:paraId="1C612587" w14:textId="77777777">
        <w:tc>
          <w:tcPr>
            <w:tcW w:w="5000" w:type="pct"/>
            <w:gridSpan w:val="6"/>
          </w:tcPr>
          <w:p w14:paraId="7254056D" w14:textId="77777777" w:rsidR="00382B5E" w:rsidRDefault="00BE0CD4">
            <w:pPr>
              <w:widowControl w:val="0"/>
              <w:rPr>
                <w:sz w:val="22"/>
                <w:szCs w:val="22"/>
              </w:rPr>
            </w:pPr>
            <w:r>
              <w:rPr>
                <w:sz w:val="22"/>
                <w:szCs w:val="22"/>
              </w:rPr>
              <w:t>Rövidítések: CHF: krónikus szívelégtelenség; CI: megbízhatósági intervallum; MI: myocardialis infarctus; PCI: percutan coronaria interventio; TIA: átmeneti agyi keringési zavar</w:t>
            </w:r>
          </w:p>
        </w:tc>
      </w:tr>
    </w:tbl>
    <w:p w14:paraId="55E97A7E" w14:textId="77777777" w:rsidR="00382B5E" w:rsidRDefault="00382B5E">
      <w:pPr>
        <w:rPr>
          <w:sz w:val="22"/>
          <w:szCs w:val="22"/>
          <w:lang w:eastAsia="en-US"/>
        </w:rPr>
      </w:pPr>
    </w:p>
    <w:p w14:paraId="790D146E" w14:textId="77777777" w:rsidR="00382B5E" w:rsidRDefault="00BE0CD4">
      <w:pPr>
        <w:rPr>
          <w:i/>
          <w:sz w:val="22"/>
          <w:szCs w:val="22"/>
          <w:lang w:eastAsia="en-US"/>
        </w:rPr>
      </w:pPr>
      <w:r>
        <w:rPr>
          <w:i/>
          <w:sz w:val="22"/>
          <w:szCs w:val="22"/>
          <w:lang w:eastAsia="en-US"/>
        </w:rPr>
        <w:t>Alkalmazása hypertoniában szenvedő betegeknél</w:t>
      </w:r>
    </w:p>
    <w:p w14:paraId="05D5A5F1" w14:textId="77777777" w:rsidR="00382B5E" w:rsidRDefault="00BE0CD4">
      <w:pPr>
        <w:rPr>
          <w:sz w:val="22"/>
          <w:szCs w:val="22"/>
          <w:lang w:eastAsia="en-US"/>
        </w:rPr>
      </w:pPr>
      <w:r>
        <w:rPr>
          <w:sz w:val="22"/>
          <w:szCs w:val="22"/>
          <w:lang w:eastAsia="en-US"/>
        </w:rPr>
        <w:t>Az „Antihipertenzív és lipidcsökkentő kezelés szerepe a szívroham megelőzésében” (ALLHAT) elnevezésű randomizált, kettős vak, morbiditást-mortalitást elemző klinikai vizsgálatban enyhe vagy közepesen súlyos hypertoniában hasonlították össze az újabb gyógyszeres terápiás előírásokat: 2,5</w:t>
      </w:r>
      <w:r>
        <w:rPr>
          <w:sz w:val="22"/>
          <w:szCs w:val="22"/>
          <w:lang w:eastAsia="en-US"/>
        </w:rPr>
        <w:noBreakHyphen/>
        <w:t>10 mg/nap amlodipint (kalciumcsatorna-blokkoló) és/vagy 10</w:t>
      </w:r>
      <w:r>
        <w:rPr>
          <w:sz w:val="22"/>
          <w:szCs w:val="22"/>
          <w:lang w:eastAsia="en-US"/>
        </w:rPr>
        <w:noBreakHyphen/>
        <w:t>40 mg/nap lizinoprilt (ACE</w:t>
      </w:r>
      <w:r>
        <w:rPr>
          <w:sz w:val="22"/>
          <w:szCs w:val="22"/>
          <w:lang w:eastAsia="en-US"/>
        </w:rPr>
        <w:noBreakHyphen/>
        <w:t>gátló), mint az egyik lehetséges első vonalbeli kezelést a tiazid-típusú diuretikum (12,5</w:t>
      </w:r>
      <w:r>
        <w:rPr>
          <w:sz w:val="22"/>
          <w:szCs w:val="22"/>
          <w:lang w:eastAsia="en-US"/>
        </w:rPr>
        <w:noBreakHyphen/>
        <w:t>25 mg/nap klórtalidon) hagyományos kezeléssel.</w:t>
      </w:r>
    </w:p>
    <w:p w14:paraId="704BCA44" w14:textId="77777777" w:rsidR="00382B5E" w:rsidRDefault="00382B5E">
      <w:pPr>
        <w:rPr>
          <w:sz w:val="22"/>
          <w:szCs w:val="22"/>
          <w:lang w:eastAsia="en-US"/>
        </w:rPr>
      </w:pPr>
    </w:p>
    <w:p w14:paraId="269B89FE" w14:textId="77777777" w:rsidR="00382B5E" w:rsidRDefault="00BE0CD4">
      <w:pPr>
        <w:rPr>
          <w:sz w:val="22"/>
          <w:szCs w:val="22"/>
          <w:lang w:eastAsia="en-US"/>
        </w:rPr>
      </w:pPr>
      <w:r>
        <w:rPr>
          <w:sz w:val="22"/>
          <w:szCs w:val="22"/>
          <w:lang w:eastAsia="en-US"/>
        </w:rPr>
        <w:t>Összesen 33 357, 55 éves vagy idősebb hypertoniás beteget randomizáltak a vizsgálatban és átlagosan 4,9 évig követték őket. A betegeknek legalább még egy coronaria-betegségre hajlamosító kockázati állapota volt: korábbi myocardialis infarctus vagy stroke (a beválasztást megelőzően fél évnél korábbi) vagy egyéb más dokumentált atheroscleroticus cardiovascularis betegség (összesen 51,5%), 2</w:t>
      </w:r>
      <w:r>
        <w:rPr>
          <w:sz w:val="22"/>
          <w:szCs w:val="22"/>
          <w:lang w:eastAsia="en-US"/>
        </w:rPr>
        <w:noBreakHyphen/>
        <w:t>es típusú diabetes mellitus (36,1%); HDL</w:t>
      </w:r>
      <w:r>
        <w:rPr>
          <w:sz w:val="22"/>
          <w:szCs w:val="22"/>
          <w:lang w:eastAsia="en-US"/>
        </w:rPr>
        <w:noBreakHyphen/>
        <w:t>koleszterin &lt; 35 mg/dl (11,6%), EKG</w:t>
      </w:r>
      <w:r>
        <w:rPr>
          <w:sz w:val="22"/>
          <w:szCs w:val="22"/>
          <w:lang w:eastAsia="en-US"/>
        </w:rPr>
        <w:noBreakHyphen/>
        <w:t>val vagy cardialis UH</w:t>
      </w:r>
      <w:r>
        <w:rPr>
          <w:sz w:val="22"/>
          <w:szCs w:val="22"/>
          <w:lang w:eastAsia="en-US"/>
        </w:rPr>
        <w:noBreakHyphen/>
        <w:t>gal diagnosztizált balkamra</w:t>
      </w:r>
      <w:r>
        <w:rPr>
          <w:sz w:val="22"/>
          <w:szCs w:val="22"/>
          <w:lang w:eastAsia="en-US"/>
        </w:rPr>
        <w:noBreakHyphen/>
        <w:t>hypertrophia (20,9%), dohányzás (21,9%).</w:t>
      </w:r>
    </w:p>
    <w:p w14:paraId="38098F58" w14:textId="77777777" w:rsidR="00382B5E" w:rsidRDefault="00382B5E">
      <w:pPr>
        <w:rPr>
          <w:sz w:val="22"/>
          <w:szCs w:val="22"/>
          <w:lang w:eastAsia="en-US"/>
        </w:rPr>
      </w:pPr>
    </w:p>
    <w:p w14:paraId="61CCF40A" w14:textId="77777777" w:rsidR="00382B5E" w:rsidRDefault="00BE0CD4">
      <w:pPr>
        <w:rPr>
          <w:sz w:val="22"/>
          <w:szCs w:val="22"/>
          <w:lang w:eastAsia="en-US"/>
        </w:rPr>
      </w:pPr>
      <w:r>
        <w:rPr>
          <w:sz w:val="22"/>
          <w:szCs w:val="22"/>
          <w:lang w:eastAsia="en-US"/>
        </w:rPr>
        <w:t>Az elsődleges végpont a halálos kimenetelű coronaria-betegség vagy nem-halálos kimenetelű myocardialis infarctus események száma által alkotott összetett végpont volt. Az elsődleges végpont tekintetében nem volt szignifikáns különbség az amlodipin-alapú, ill. a klórtalidon-alapú kezelés között (RR: 0,98; 95%-os CI (0,90, 1,07); p = 0,65). A másodlagos végpontok közül a szívelégtelenség (része az összetett cardiovascularis végpontnak) előfordulása szignifikánsan magasabb volt az amlodipincsoportban a klórtalidoncsoporthoz hasonlítva (10,2% vs. 7,7%; RR: 1,38; 95%-os CI (1,25, 1,52); p &lt; 0,001). Azonban nem volt szignifikáns különbség a bármilyen eredetű mortalitás tekintetében sem az amlodipin, ill. a klórtalidon-alapú kezelés között (RR: 0,96; 95%-os CI (0,89, 1,02); p = 0,20).</w:t>
      </w:r>
    </w:p>
    <w:p w14:paraId="0EBB1201" w14:textId="77777777" w:rsidR="00382B5E" w:rsidRDefault="00382B5E">
      <w:pPr>
        <w:rPr>
          <w:sz w:val="22"/>
          <w:szCs w:val="22"/>
          <w:lang w:eastAsia="en-US"/>
        </w:rPr>
      </w:pPr>
    </w:p>
    <w:p w14:paraId="39AE7932" w14:textId="77777777" w:rsidR="00382B5E" w:rsidRDefault="00BE0CD4">
      <w:pPr>
        <w:rPr>
          <w:i/>
          <w:sz w:val="22"/>
          <w:szCs w:val="22"/>
          <w:lang w:eastAsia="en-US"/>
        </w:rPr>
      </w:pPr>
      <w:r>
        <w:rPr>
          <w:i/>
          <w:sz w:val="22"/>
          <w:szCs w:val="22"/>
          <w:lang w:eastAsia="en-US"/>
        </w:rPr>
        <w:t>Alkalmazása szívelégtelenségben szenvedő betegeknél</w:t>
      </w:r>
    </w:p>
    <w:p w14:paraId="756C3BEB" w14:textId="77777777" w:rsidR="00382B5E" w:rsidRDefault="00BE0CD4">
      <w:pPr>
        <w:rPr>
          <w:sz w:val="22"/>
          <w:szCs w:val="22"/>
          <w:lang w:eastAsia="en-US"/>
        </w:rPr>
      </w:pPr>
      <w:r>
        <w:rPr>
          <w:sz w:val="22"/>
          <w:szCs w:val="22"/>
          <w:lang w:eastAsia="en-US"/>
        </w:rPr>
        <w:t>Hemodinamikai vizsgálatok, valamint NYHA II</w:t>
      </w:r>
      <w:r>
        <w:rPr>
          <w:sz w:val="22"/>
          <w:szCs w:val="22"/>
          <w:lang w:eastAsia="en-US"/>
        </w:rPr>
        <w:noBreakHyphen/>
        <w:t>IV. stádiumú szívelégtelenségben szenvedő betegeken terheléssel végzett kontrollos klinikai vizsgálatok szerint az amlodipin a betegek klinikai állapotát a terhelhetőség, a balkamrai ejekciós frakció és a klinikai tünetek alapján megítélve nem rontotta.</w:t>
      </w:r>
    </w:p>
    <w:p w14:paraId="54438E85" w14:textId="77777777" w:rsidR="00382B5E" w:rsidRDefault="00382B5E">
      <w:pPr>
        <w:rPr>
          <w:sz w:val="22"/>
          <w:szCs w:val="22"/>
          <w:lang w:eastAsia="en-US"/>
        </w:rPr>
      </w:pPr>
    </w:p>
    <w:p w14:paraId="3EBF70BD" w14:textId="77777777" w:rsidR="00382B5E" w:rsidRDefault="00BE0CD4">
      <w:pPr>
        <w:rPr>
          <w:sz w:val="22"/>
          <w:szCs w:val="22"/>
          <w:lang w:eastAsia="en-US"/>
        </w:rPr>
      </w:pPr>
      <w:r>
        <w:rPr>
          <w:sz w:val="22"/>
          <w:szCs w:val="22"/>
          <w:lang w:eastAsia="en-US"/>
        </w:rPr>
        <w:t>Egy placebóval kontrollált vizsgálat (PRAISE) során, amit NYHA III</w:t>
      </w:r>
      <w:r>
        <w:rPr>
          <w:sz w:val="22"/>
          <w:szCs w:val="22"/>
          <w:lang w:eastAsia="en-US"/>
        </w:rPr>
        <w:noBreakHyphen/>
        <w:t>IV. stádiumú szívelégtelenségben szenvedő, digoxint, diuretikumot és angiotenzin-konvertáló enzim (ACE)</w:t>
      </w:r>
      <w:r>
        <w:rPr>
          <w:sz w:val="22"/>
          <w:szCs w:val="22"/>
          <w:lang w:eastAsia="en-US"/>
        </w:rPr>
        <w:noBreakHyphen/>
        <w:t>gátlót szedő betegeken végeztek, az amlodipin kiegészítő adása nem vezetett a szívelégtelenségben szenvedő betegek mortalitásának, illetve a kombinált mortalitás és morbiditás kockázatának növekedéséhez.</w:t>
      </w:r>
    </w:p>
    <w:p w14:paraId="5154D621" w14:textId="77777777" w:rsidR="00382B5E" w:rsidRDefault="00382B5E">
      <w:pPr>
        <w:rPr>
          <w:sz w:val="22"/>
          <w:szCs w:val="22"/>
          <w:lang w:eastAsia="en-US"/>
        </w:rPr>
      </w:pPr>
    </w:p>
    <w:p w14:paraId="3EA7972A" w14:textId="77777777" w:rsidR="00382B5E" w:rsidRDefault="00BE0CD4">
      <w:pPr>
        <w:rPr>
          <w:sz w:val="22"/>
          <w:szCs w:val="22"/>
          <w:lang w:eastAsia="en-US"/>
        </w:rPr>
      </w:pPr>
      <w:r>
        <w:rPr>
          <w:sz w:val="22"/>
          <w:szCs w:val="22"/>
          <w:lang w:eastAsia="en-US"/>
        </w:rPr>
        <w:lastRenderedPageBreak/>
        <w:t>Egy amlodipinnel végzett hosszú távú, placebokontrollos, utánkövetéses vizsgálatban (PRAISE</w:t>
      </w:r>
      <w:r>
        <w:rPr>
          <w:sz w:val="22"/>
          <w:szCs w:val="22"/>
          <w:lang w:eastAsia="en-US"/>
        </w:rPr>
        <w:noBreakHyphen/>
        <w:t>2) ischaemiás szívbetegség meglétére utaló klinikai tünetek vagy vizsgálati leletek nélküli, NYHA III</w:t>
      </w:r>
      <w:r>
        <w:rPr>
          <w:sz w:val="22"/>
          <w:szCs w:val="22"/>
          <w:lang w:eastAsia="en-US"/>
        </w:rPr>
        <w:noBreakHyphen/>
        <w:t>IV. stádiumú szívelégtelenségben szenvedő betegekben ACE</w:t>
      </w:r>
      <w:r>
        <w:rPr>
          <w:sz w:val="22"/>
          <w:szCs w:val="22"/>
          <w:lang w:eastAsia="en-US"/>
        </w:rPr>
        <w:noBreakHyphen/>
        <w:t>gátlók, szívglikozidok és diuretikumok állandó dózisának szedése mellett az amlodipinnek nem volt hatása az összmortalitásra, illetve a cardiovascularis mortalitásra. Ugyanebben a betegpopulációban az amlodipinnel összefüggésben növekedett a pulmonalis oedemáról szóló jelentések száma.</w:t>
      </w:r>
    </w:p>
    <w:p w14:paraId="3E5F04AB" w14:textId="77777777" w:rsidR="00382B5E" w:rsidRDefault="00382B5E">
      <w:pPr>
        <w:autoSpaceDE w:val="0"/>
        <w:autoSpaceDN w:val="0"/>
        <w:adjustRightInd w:val="0"/>
        <w:rPr>
          <w:sz w:val="22"/>
          <w:szCs w:val="22"/>
          <w:u w:val="single"/>
          <w:lang w:eastAsia="en-US"/>
        </w:rPr>
      </w:pPr>
    </w:p>
    <w:p w14:paraId="5E42E8DD" w14:textId="77777777" w:rsidR="00382B5E" w:rsidRDefault="00BE0CD4">
      <w:pPr>
        <w:rPr>
          <w:b/>
          <w:sz w:val="22"/>
          <w:szCs w:val="22"/>
        </w:rPr>
      </w:pPr>
      <w:r>
        <w:rPr>
          <w:b/>
          <w:sz w:val="22"/>
          <w:szCs w:val="22"/>
        </w:rPr>
        <w:t>5.2</w:t>
      </w:r>
      <w:r>
        <w:rPr>
          <w:b/>
          <w:sz w:val="22"/>
          <w:szCs w:val="22"/>
        </w:rPr>
        <w:tab/>
        <w:t>Farmakokinetikai tulajdonságok</w:t>
      </w:r>
    </w:p>
    <w:p w14:paraId="47EC50D5" w14:textId="77777777" w:rsidR="00382B5E" w:rsidRDefault="00382B5E">
      <w:pPr>
        <w:rPr>
          <w:sz w:val="22"/>
          <w:szCs w:val="22"/>
          <w:u w:val="single"/>
        </w:rPr>
      </w:pPr>
    </w:p>
    <w:p w14:paraId="4FE5E075" w14:textId="77777777" w:rsidR="00382B5E" w:rsidRDefault="00BE0CD4">
      <w:pPr>
        <w:autoSpaceDE w:val="0"/>
        <w:autoSpaceDN w:val="0"/>
        <w:adjustRightInd w:val="0"/>
        <w:rPr>
          <w:sz w:val="22"/>
          <w:szCs w:val="22"/>
          <w:u w:val="single"/>
          <w:lang w:eastAsia="en-US"/>
        </w:rPr>
      </w:pPr>
      <w:r>
        <w:rPr>
          <w:sz w:val="22"/>
          <w:szCs w:val="22"/>
          <w:u w:val="single"/>
          <w:lang w:eastAsia="en-US"/>
        </w:rPr>
        <w:t>Felszívódás</w:t>
      </w:r>
    </w:p>
    <w:p w14:paraId="40E0C39E" w14:textId="77777777" w:rsidR="00382B5E" w:rsidRDefault="00BE0CD4">
      <w:pPr>
        <w:autoSpaceDE w:val="0"/>
        <w:autoSpaceDN w:val="0"/>
        <w:adjustRightInd w:val="0"/>
        <w:rPr>
          <w:sz w:val="22"/>
          <w:szCs w:val="22"/>
          <w:u w:val="single"/>
          <w:lang w:eastAsia="en-US"/>
        </w:rPr>
      </w:pPr>
      <w:r>
        <w:rPr>
          <w:i/>
          <w:sz w:val="22"/>
          <w:szCs w:val="22"/>
          <w:lang w:eastAsia="en-US"/>
        </w:rPr>
        <w:t>Lozartán</w:t>
      </w:r>
    </w:p>
    <w:p w14:paraId="09BD5972" w14:textId="77777777" w:rsidR="00382B5E" w:rsidRDefault="00BE0CD4">
      <w:pPr>
        <w:autoSpaceDE w:val="0"/>
        <w:autoSpaceDN w:val="0"/>
        <w:adjustRightInd w:val="0"/>
        <w:rPr>
          <w:sz w:val="22"/>
          <w:szCs w:val="22"/>
          <w:lang w:eastAsia="en-US"/>
        </w:rPr>
      </w:pPr>
      <w:r>
        <w:rPr>
          <w:i/>
          <w:iCs/>
          <w:sz w:val="22"/>
          <w:szCs w:val="22"/>
          <w:lang w:eastAsia="en-US"/>
        </w:rPr>
        <w:t xml:space="preserve">Per os </w:t>
      </w:r>
      <w:r>
        <w:rPr>
          <w:sz w:val="22"/>
          <w:szCs w:val="22"/>
          <w:lang w:eastAsia="en-US"/>
        </w:rPr>
        <w:t xml:space="preserve">adagolást követően a lozartán jól felszívódik, és </w:t>
      </w:r>
      <w:r>
        <w:rPr>
          <w:i/>
          <w:sz w:val="22"/>
          <w:szCs w:val="22"/>
          <w:lang w:eastAsia="en-US"/>
        </w:rPr>
        <w:t>first-pass</w:t>
      </w:r>
      <w:r>
        <w:rPr>
          <w:sz w:val="22"/>
          <w:szCs w:val="22"/>
          <w:lang w:eastAsia="en-US"/>
        </w:rPr>
        <w:t xml:space="preserve"> metabolizmuson megy keresztül egy aktív karboxilsav-metabolitot és más inaktív metabolitokat képezve. A lozartán tabletták szisztémás biohasznosulása körülbelül 33%-nak felel meg. A lozartán-kálium és aktív metabolitja átlagos csúcskoncentrációjukat egy órán, illetve 3</w:t>
      </w:r>
      <w:r>
        <w:rPr>
          <w:sz w:val="22"/>
          <w:szCs w:val="22"/>
          <w:lang w:eastAsia="en-US"/>
        </w:rPr>
        <w:noBreakHyphen/>
        <w:t>4 órán belül érik el.</w:t>
      </w:r>
    </w:p>
    <w:p w14:paraId="401D241C" w14:textId="77777777" w:rsidR="00382B5E" w:rsidRDefault="00382B5E">
      <w:pPr>
        <w:autoSpaceDE w:val="0"/>
        <w:autoSpaceDN w:val="0"/>
        <w:adjustRightInd w:val="0"/>
        <w:rPr>
          <w:sz w:val="22"/>
          <w:szCs w:val="22"/>
          <w:lang w:eastAsia="en-US"/>
        </w:rPr>
      </w:pPr>
    </w:p>
    <w:p w14:paraId="38FF1AC4" w14:textId="77777777" w:rsidR="00382B5E" w:rsidRDefault="00BE0CD4">
      <w:pPr>
        <w:autoSpaceDE w:val="0"/>
        <w:autoSpaceDN w:val="0"/>
        <w:adjustRightInd w:val="0"/>
        <w:rPr>
          <w:i/>
          <w:sz w:val="22"/>
          <w:szCs w:val="22"/>
          <w:lang w:eastAsia="en-US"/>
        </w:rPr>
      </w:pPr>
      <w:r>
        <w:rPr>
          <w:i/>
          <w:sz w:val="22"/>
          <w:szCs w:val="22"/>
          <w:lang w:eastAsia="en-US"/>
        </w:rPr>
        <w:t>Amlodipin</w:t>
      </w:r>
    </w:p>
    <w:p w14:paraId="2DB2ADD1" w14:textId="77777777" w:rsidR="00382B5E" w:rsidRDefault="00BE0CD4">
      <w:pPr>
        <w:autoSpaceDE w:val="0"/>
        <w:autoSpaceDN w:val="0"/>
        <w:adjustRightInd w:val="0"/>
        <w:rPr>
          <w:sz w:val="22"/>
          <w:szCs w:val="22"/>
          <w:lang w:eastAsia="en-US"/>
        </w:rPr>
      </w:pPr>
      <w:r>
        <w:rPr>
          <w:sz w:val="22"/>
          <w:szCs w:val="22"/>
        </w:rPr>
        <w:t>A terápiás dózisok orális adagolását követően az amlodipin jól felszívódik, a maximális vérszint az adagolást követően 6-12 óra múlva alakul ki. Abszolút biohasznosulása 64-80% közötti értékre becsülhető. Biohasznosulását a táplálék nem befolyásolja.</w:t>
      </w:r>
    </w:p>
    <w:p w14:paraId="3AC2F1E2" w14:textId="77777777" w:rsidR="00382B5E" w:rsidRDefault="00382B5E">
      <w:pPr>
        <w:autoSpaceDE w:val="0"/>
        <w:autoSpaceDN w:val="0"/>
        <w:adjustRightInd w:val="0"/>
        <w:rPr>
          <w:sz w:val="22"/>
          <w:szCs w:val="22"/>
          <w:lang w:eastAsia="en-US"/>
        </w:rPr>
      </w:pPr>
    </w:p>
    <w:p w14:paraId="63C64577" w14:textId="77777777" w:rsidR="00382B5E" w:rsidRDefault="00BE0CD4">
      <w:pPr>
        <w:autoSpaceDE w:val="0"/>
        <w:autoSpaceDN w:val="0"/>
        <w:adjustRightInd w:val="0"/>
        <w:rPr>
          <w:sz w:val="22"/>
          <w:szCs w:val="22"/>
          <w:u w:val="single"/>
          <w:lang w:eastAsia="en-US"/>
        </w:rPr>
      </w:pPr>
      <w:r>
        <w:rPr>
          <w:sz w:val="22"/>
          <w:szCs w:val="22"/>
          <w:u w:val="single"/>
          <w:lang w:eastAsia="en-US"/>
        </w:rPr>
        <w:t>Eloszlás</w:t>
      </w:r>
    </w:p>
    <w:p w14:paraId="4863C251" w14:textId="77777777" w:rsidR="00382B5E" w:rsidRDefault="00BE0CD4">
      <w:pPr>
        <w:autoSpaceDE w:val="0"/>
        <w:autoSpaceDN w:val="0"/>
        <w:adjustRightInd w:val="0"/>
        <w:rPr>
          <w:i/>
          <w:sz w:val="22"/>
          <w:szCs w:val="22"/>
          <w:lang w:eastAsia="en-US"/>
        </w:rPr>
      </w:pPr>
      <w:r>
        <w:rPr>
          <w:i/>
          <w:sz w:val="22"/>
          <w:szCs w:val="22"/>
          <w:lang w:eastAsia="en-US"/>
        </w:rPr>
        <w:t>Lozartán</w:t>
      </w:r>
    </w:p>
    <w:p w14:paraId="36228055" w14:textId="77777777" w:rsidR="00382B5E" w:rsidRDefault="00BE0CD4">
      <w:pPr>
        <w:autoSpaceDE w:val="0"/>
        <w:autoSpaceDN w:val="0"/>
        <w:adjustRightInd w:val="0"/>
        <w:rPr>
          <w:sz w:val="22"/>
          <w:szCs w:val="22"/>
          <w:lang w:eastAsia="en-US"/>
        </w:rPr>
      </w:pPr>
      <w:r>
        <w:rPr>
          <w:sz w:val="22"/>
          <w:szCs w:val="22"/>
          <w:lang w:eastAsia="en-US"/>
        </w:rPr>
        <w:t xml:space="preserve">Mind a lozartán, mind aktív metabolitja ≥ 99%-ban kötődik a plazmafehérjékhez, elsősorban az albuminhoz. A lozartán megoszlási térfogata </w:t>
      </w:r>
      <w:smartTag w:uri="urn:schemas-microsoft-com:office:smarttags" w:element="metricconverter">
        <w:smartTagPr>
          <w:attr w:name="ProductID" w:val="34ﾠliter"/>
        </w:smartTagPr>
        <w:r>
          <w:rPr>
            <w:sz w:val="22"/>
            <w:szCs w:val="22"/>
            <w:lang w:eastAsia="en-US"/>
          </w:rPr>
          <w:t>34 liter</w:t>
        </w:r>
      </w:smartTag>
      <w:r>
        <w:rPr>
          <w:sz w:val="22"/>
          <w:szCs w:val="22"/>
          <w:lang w:eastAsia="en-US"/>
        </w:rPr>
        <w:t>.</w:t>
      </w:r>
    </w:p>
    <w:p w14:paraId="64A20DBA" w14:textId="77777777" w:rsidR="00382B5E" w:rsidRDefault="00382B5E">
      <w:pPr>
        <w:autoSpaceDE w:val="0"/>
        <w:autoSpaceDN w:val="0"/>
        <w:adjustRightInd w:val="0"/>
        <w:rPr>
          <w:sz w:val="22"/>
          <w:szCs w:val="22"/>
          <w:lang w:eastAsia="en-US"/>
        </w:rPr>
      </w:pPr>
    </w:p>
    <w:p w14:paraId="37F57209" w14:textId="77777777" w:rsidR="00382B5E" w:rsidRDefault="00BE0CD4">
      <w:pPr>
        <w:autoSpaceDE w:val="0"/>
        <w:autoSpaceDN w:val="0"/>
        <w:adjustRightInd w:val="0"/>
        <w:rPr>
          <w:i/>
          <w:sz w:val="22"/>
          <w:szCs w:val="22"/>
          <w:lang w:eastAsia="en-US"/>
        </w:rPr>
      </w:pPr>
      <w:r>
        <w:rPr>
          <w:i/>
          <w:sz w:val="22"/>
          <w:szCs w:val="22"/>
          <w:lang w:eastAsia="en-US"/>
        </w:rPr>
        <w:t>Amlodipin</w:t>
      </w:r>
    </w:p>
    <w:p w14:paraId="5E249876" w14:textId="77777777" w:rsidR="00382B5E" w:rsidRDefault="00BE0CD4">
      <w:pPr>
        <w:tabs>
          <w:tab w:val="left" w:pos="567"/>
        </w:tabs>
        <w:rPr>
          <w:sz w:val="22"/>
          <w:szCs w:val="22"/>
        </w:rPr>
      </w:pPr>
      <w:r>
        <w:rPr>
          <w:sz w:val="22"/>
          <w:szCs w:val="22"/>
        </w:rPr>
        <w:t>Megoszlási térfogata megközelítőleg 21 l/kg.</w:t>
      </w:r>
    </w:p>
    <w:p w14:paraId="3CF9D4DD" w14:textId="77777777" w:rsidR="00382B5E" w:rsidRDefault="00BE0CD4">
      <w:pPr>
        <w:tabs>
          <w:tab w:val="left" w:pos="567"/>
        </w:tabs>
        <w:rPr>
          <w:sz w:val="22"/>
          <w:szCs w:val="22"/>
        </w:rPr>
      </w:pPr>
      <w:r>
        <w:rPr>
          <w:i/>
          <w:iCs/>
          <w:sz w:val="22"/>
          <w:szCs w:val="22"/>
        </w:rPr>
        <w:t>In vitro</w:t>
      </w:r>
      <w:r>
        <w:rPr>
          <w:sz w:val="22"/>
          <w:szCs w:val="22"/>
        </w:rPr>
        <w:t xml:space="preserve"> vizsgálatokkal kimutatták, hogy a keringő amlodipin kb. 97,5%-a kötődik a plazmafehérjékhez.</w:t>
      </w:r>
    </w:p>
    <w:p w14:paraId="5767EEA3" w14:textId="77777777" w:rsidR="00382B5E" w:rsidRDefault="00382B5E">
      <w:pPr>
        <w:autoSpaceDE w:val="0"/>
        <w:autoSpaceDN w:val="0"/>
        <w:adjustRightInd w:val="0"/>
        <w:rPr>
          <w:sz w:val="22"/>
          <w:szCs w:val="22"/>
          <w:lang w:eastAsia="en-US"/>
        </w:rPr>
      </w:pPr>
    </w:p>
    <w:p w14:paraId="493AC093" w14:textId="77777777" w:rsidR="00382B5E" w:rsidRDefault="00BE0CD4">
      <w:pPr>
        <w:keepNext/>
        <w:autoSpaceDE w:val="0"/>
        <w:autoSpaceDN w:val="0"/>
        <w:adjustRightInd w:val="0"/>
        <w:rPr>
          <w:sz w:val="22"/>
          <w:szCs w:val="22"/>
          <w:u w:val="single"/>
          <w:lang w:eastAsia="en-US"/>
        </w:rPr>
      </w:pPr>
      <w:r>
        <w:rPr>
          <w:sz w:val="22"/>
          <w:szCs w:val="22"/>
          <w:u w:val="single"/>
          <w:lang w:eastAsia="en-US"/>
        </w:rPr>
        <w:t>Biotranszformáció</w:t>
      </w:r>
    </w:p>
    <w:p w14:paraId="6DFAADAD" w14:textId="77777777" w:rsidR="00382B5E" w:rsidRDefault="00BE0CD4">
      <w:pPr>
        <w:autoSpaceDE w:val="0"/>
        <w:autoSpaceDN w:val="0"/>
        <w:adjustRightInd w:val="0"/>
        <w:rPr>
          <w:i/>
          <w:sz w:val="22"/>
          <w:szCs w:val="22"/>
          <w:lang w:eastAsia="en-US"/>
        </w:rPr>
      </w:pPr>
      <w:r>
        <w:rPr>
          <w:i/>
          <w:sz w:val="22"/>
          <w:szCs w:val="22"/>
          <w:lang w:eastAsia="en-US"/>
        </w:rPr>
        <w:t>Lozartán</w:t>
      </w:r>
    </w:p>
    <w:p w14:paraId="44E5C3BA" w14:textId="77777777" w:rsidR="00382B5E" w:rsidRDefault="00BE0CD4">
      <w:pPr>
        <w:autoSpaceDE w:val="0"/>
        <w:autoSpaceDN w:val="0"/>
        <w:adjustRightInd w:val="0"/>
        <w:rPr>
          <w:sz w:val="22"/>
          <w:szCs w:val="22"/>
          <w:lang w:eastAsia="en-US"/>
        </w:rPr>
      </w:pPr>
      <w:r>
        <w:rPr>
          <w:sz w:val="22"/>
          <w:szCs w:val="22"/>
          <w:lang w:eastAsia="en-US"/>
        </w:rPr>
        <w:t xml:space="preserve">Az intravénásan vagy szájon át adott lozartán-kálium kb. 14%-a alakul át aktív metabolittá. </w:t>
      </w:r>
    </w:p>
    <w:p w14:paraId="3D929667" w14:textId="77777777" w:rsidR="00382B5E" w:rsidRDefault="00BE0CD4">
      <w:pPr>
        <w:autoSpaceDE w:val="0"/>
        <w:autoSpaceDN w:val="0"/>
        <w:adjustRightInd w:val="0"/>
        <w:rPr>
          <w:sz w:val="22"/>
          <w:szCs w:val="22"/>
          <w:lang w:eastAsia="en-US"/>
        </w:rPr>
      </w:pPr>
      <w:r>
        <w:rPr>
          <w:sz w:val="22"/>
          <w:szCs w:val="22"/>
          <w:lang w:eastAsia="en-US"/>
        </w:rPr>
        <w:t xml:space="preserve">A </w:t>
      </w:r>
      <w:r>
        <w:rPr>
          <w:sz w:val="22"/>
          <w:szCs w:val="22"/>
          <w:vertAlign w:val="superscript"/>
          <w:lang w:eastAsia="en-US"/>
        </w:rPr>
        <w:t>14</w:t>
      </w:r>
      <w:r>
        <w:rPr>
          <w:sz w:val="22"/>
          <w:szCs w:val="22"/>
          <w:lang w:eastAsia="en-US"/>
        </w:rPr>
        <w:t xml:space="preserve">C-jelzett lozartán </w:t>
      </w:r>
      <w:r>
        <w:rPr>
          <w:i/>
          <w:iCs/>
          <w:sz w:val="22"/>
          <w:szCs w:val="22"/>
          <w:lang w:eastAsia="en-US"/>
        </w:rPr>
        <w:t xml:space="preserve">per os </w:t>
      </w:r>
      <w:r>
        <w:rPr>
          <w:sz w:val="22"/>
          <w:szCs w:val="22"/>
          <w:lang w:eastAsia="en-US"/>
        </w:rPr>
        <w:t>és intravénás adása után a keringő plazma radioaktivitása elsődlegesen a lozartánnak és aktív metabolitjának tudható be. A lozartán aktív metabolittá való minimális átalakulását a vizsgált személyek mintegy egy százalékánál észlelték.</w:t>
      </w:r>
    </w:p>
    <w:p w14:paraId="3BA0D379" w14:textId="77777777" w:rsidR="00382B5E" w:rsidRDefault="00382B5E">
      <w:pPr>
        <w:autoSpaceDE w:val="0"/>
        <w:autoSpaceDN w:val="0"/>
        <w:adjustRightInd w:val="0"/>
        <w:rPr>
          <w:sz w:val="22"/>
          <w:szCs w:val="22"/>
          <w:lang w:eastAsia="en-US"/>
        </w:rPr>
      </w:pPr>
    </w:p>
    <w:p w14:paraId="23DD8B92" w14:textId="77777777" w:rsidR="00382B5E" w:rsidRDefault="00BE0CD4">
      <w:pPr>
        <w:autoSpaceDE w:val="0"/>
        <w:autoSpaceDN w:val="0"/>
        <w:adjustRightInd w:val="0"/>
        <w:rPr>
          <w:sz w:val="22"/>
          <w:szCs w:val="22"/>
          <w:lang w:eastAsia="en-US"/>
        </w:rPr>
      </w:pPr>
      <w:r>
        <w:rPr>
          <w:sz w:val="22"/>
          <w:szCs w:val="22"/>
          <w:lang w:eastAsia="en-US"/>
        </w:rPr>
        <w:t>Az aktív metaboliton kívül inaktív metabolitok is képződnek.</w:t>
      </w:r>
    </w:p>
    <w:p w14:paraId="054025E0" w14:textId="77777777" w:rsidR="00382B5E" w:rsidRDefault="00382B5E">
      <w:pPr>
        <w:autoSpaceDE w:val="0"/>
        <w:autoSpaceDN w:val="0"/>
        <w:adjustRightInd w:val="0"/>
        <w:rPr>
          <w:sz w:val="22"/>
          <w:szCs w:val="22"/>
          <w:lang w:eastAsia="en-US"/>
        </w:rPr>
      </w:pPr>
    </w:p>
    <w:p w14:paraId="08F9C0F2" w14:textId="77777777" w:rsidR="00382B5E" w:rsidRDefault="00BE0CD4">
      <w:pPr>
        <w:autoSpaceDE w:val="0"/>
        <w:autoSpaceDN w:val="0"/>
        <w:adjustRightInd w:val="0"/>
        <w:rPr>
          <w:i/>
          <w:sz w:val="22"/>
          <w:szCs w:val="22"/>
          <w:lang w:eastAsia="en-US"/>
        </w:rPr>
      </w:pPr>
      <w:r>
        <w:rPr>
          <w:i/>
          <w:sz w:val="22"/>
          <w:szCs w:val="22"/>
          <w:lang w:eastAsia="en-US"/>
        </w:rPr>
        <w:t>Amlodipin</w:t>
      </w:r>
    </w:p>
    <w:p w14:paraId="706BAAB9" w14:textId="77777777" w:rsidR="00382B5E" w:rsidRDefault="00BE0CD4">
      <w:pPr>
        <w:autoSpaceDE w:val="0"/>
        <w:autoSpaceDN w:val="0"/>
        <w:adjustRightInd w:val="0"/>
        <w:rPr>
          <w:sz w:val="22"/>
          <w:szCs w:val="22"/>
          <w:lang w:eastAsia="en-US"/>
        </w:rPr>
      </w:pPr>
      <w:r>
        <w:rPr>
          <w:sz w:val="22"/>
          <w:szCs w:val="22"/>
        </w:rPr>
        <w:t>Az amlodipin nagymértékben metabolizálódik inaktív metabolitokká.</w:t>
      </w:r>
    </w:p>
    <w:p w14:paraId="6D817EDB" w14:textId="77777777" w:rsidR="00382B5E" w:rsidRDefault="00382B5E">
      <w:pPr>
        <w:autoSpaceDE w:val="0"/>
        <w:autoSpaceDN w:val="0"/>
        <w:adjustRightInd w:val="0"/>
        <w:rPr>
          <w:sz w:val="22"/>
          <w:szCs w:val="22"/>
          <w:lang w:eastAsia="en-US"/>
        </w:rPr>
      </w:pPr>
    </w:p>
    <w:p w14:paraId="1BEC76F2" w14:textId="77777777" w:rsidR="00382B5E" w:rsidRDefault="00BE0CD4">
      <w:pPr>
        <w:autoSpaceDE w:val="0"/>
        <w:autoSpaceDN w:val="0"/>
        <w:adjustRightInd w:val="0"/>
        <w:rPr>
          <w:sz w:val="22"/>
          <w:szCs w:val="22"/>
          <w:u w:val="single"/>
          <w:lang w:eastAsia="en-US"/>
        </w:rPr>
      </w:pPr>
      <w:r>
        <w:rPr>
          <w:sz w:val="22"/>
          <w:szCs w:val="22"/>
          <w:u w:val="single"/>
          <w:lang w:eastAsia="en-US"/>
        </w:rPr>
        <w:t>Elimináció</w:t>
      </w:r>
    </w:p>
    <w:p w14:paraId="599BDE3B" w14:textId="77777777" w:rsidR="00382B5E" w:rsidRDefault="00BE0CD4">
      <w:pPr>
        <w:autoSpaceDE w:val="0"/>
        <w:autoSpaceDN w:val="0"/>
        <w:adjustRightInd w:val="0"/>
        <w:rPr>
          <w:i/>
          <w:sz w:val="22"/>
          <w:szCs w:val="22"/>
          <w:lang w:eastAsia="en-US"/>
        </w:rPr>
      </w:pPr>
      <w:r>
        <w:rPr>
          <w:i/>
          <w:sz w:val="22"/>
          <w:szCs w:val="22"/>
          <w:lang w:eastAsia="en-US"/>
        </w:rPr>
        <w:t>Lozartán</w:t>
      </w:r>
    </w:p>
    <w:p w14:paraId="4BA95FBD" w14:textId="77777777" w:rsidR="00382B5E" w:rsidRDefault="00BE0CD4">
      <w:pPr>
        <w:autoSpaceDE w:val="0"/>
        <w:autoSpaceDN w:val="0"/>
        <w:adjustRightInd w:val="0"/>
        <w:rPr>
          <w:sz w:val="22"/>
          <w:szCs w:val="22"/>
          <w:lang w:eastAsia="en-US"/>
        </w:rPr>
      </w:pPr>
      <w:r>
        <w:rPr>
          <w:sz w:val="22"/>
          <w:szCs w:val="22"/>
          <w:lang w:eastAsia="en-US"/>
        </w:rPr>
        <w:t xml:space="preserve">A lozartán plazma-clearance-e hozzávetőleg 600 ml/perc, aktív metabolitjáé pedig hozzávetőleg 50 ml/perc. A lozartán, ill. aktív metabolitjának renalis clearance-e külön-külön hozzávetőleg 74 ml/perc, ill. 26 ml/perc. Ha a lozartánt </w:t>
      </w:r>
      <w:r>
        <w:rPr>
          <w:i/>
          <w:iCs/>
          <w:sz w:val="22"/>
          <w:szCs w:val="22"/>
          <w:lang w:eastAsia="en-US"/>
        </w:rPr>
        <w:t xml:space="preserve">per os </w:t>
      </w:r>
      <w:r>
        <w:rPr>
          <w:sz w:val="22"/>
          <w:szCs w:val="22"/>
          <w:lang w:eastAsia="en-US"/>
        </w:rPr>
        <w:t xml:space="preserve">alkalmazzák, a dózis mintegy 4%-a ürül változatlan formában a vizelettel, és mintegy 6%-a ürül a vizelettel aktív metabolitként. Legfeljebb 200 mg-os </w:t>
      </w:r>
      <w:r>
        <w:rPr>
          <w:i/>
          <w:iCs/>
          <w:sz w:val="22"/>
          <w:szCs w:val="22"/>
          <w:lang w:eastAsia="en-US"/>
        </w:rPr>
        <w:t xml:space="preserve">per os </w:t>
      </w:r>
      <w:r>
        <w:rPr>
          <w:sz w:val="22"/>
          <w:szCs w:val="22"/>
          <w:lang w:eastAsia="en-US"/>
        </w:rPr>
        <w:t>lozartán adagig a lozartán és aktív metabolitjának farmakokinetikája lineáris.</w:t>
      </w:r>
    </w:p>
    <w:p w14:paraId="3BCABB7D" w14:textId="77777777" w:rsidR="00382B5E" w:rsidRDefault="00382B5E">
      <w:pPr>
        <w:autoSpaceDE w:val="0"/>
        <w:autoSpaceDN w:val="0"/>
        <w:adjustRightInd w:val="0"/>
        <w:rPr>
          <w:sz w:val="22"/>
          <w:szCs w:val="22"/>
          <w:lang w:eastAsia="en-US"/>
        </w:rPr>
      </w:pPr>
    </w:p>
    <w:p w14:paraId="6B877E7A" w14:textId="77777777" w:rsidR="00382B5E" w:rsidRDefault="00BE0CD4">
      <w:pPr>
        <w:autoSpaceDE w:val="0"/>
        <w:autoSpaceDN w:val="0"/>
        <w:adjustRightInd w:val="0"/>
        <w:rPr>
          <w:sz w:val="22"/>
          <w:szCs w:val="22"/>
          <w:lang w:eastAsia="en-US"/>
        </w:rPr>
      </w:pPr>
      <w:r>
        <w:rPr>
          <w:i/>
          <w:iCs/>
          <w:sz w:val="22"/>
          <w:szCs w:val="22"/>
          <w:lang w:eastAsia="en-US"/>
        </w:rPr>
        <w:t xml:space="preserve">Per os </w:t>
      </w:r>
      <w:r>
        <w:rPr>
          <w:sz w:val="22"/>
          <w:szCs w:val="22"/>
          <w:lang w:eastAsia="en-US"/>
        </w:rPr>
        <w:t>adagolást követően a lozartán és aktív metabolitjának plazmakoncentrációja poliexponenciálisan csökken, a lozartán terminális felezési ideje kb. 2 óra, míg aktív metabolitjáé kb. 6</w:t>
      </w:r>
      <w:r>
        <w:rPr>
          <w:sz w:val="22"/>
          <w:szCs w:val="22"/>
          <w:lang w:eastAsia="en-US"/>
        </w:rPr>
        <w:noBreakHyphen/>
        <w:t>9 óra. Napi egyszer 100 mg-os adag esetén sem a lozartán, sem aktív metabolitja nem mutat szignifikáns akkumulációt a plazmában.</w:t>
      </w:r>
    </w:p>
    <w:p w14:paraId="480C06E1" w14:textId="77777777" w:rsidR="00382B5E" w:rsidRDefault="00382B5E">
      <w:pPr>
        <w:autoSpaceDE w:val="0"/>
        <w:autoSpaceDN w:val="0"/>
        <w:adjustRightInd w:val="0"/>
        <w:rPr>
          <w:sz w:val="22"/>
          <w:szCs w:val="22"/>
          <w:lang w:eastAsia="en-US"/>
        </w:rPr>
      </w:pPr>
    </w:p>
    <w:p w14:paraId="1070C99F" w14:textId="77777777" w:rsidR="00382B5E" w:rsidRDefault="00BE0CD4">
      <w:pPr>
        <w:autoSpaceDE w:val="0"/>
        <w:autoSpaceDN w:val="0"/>
        <w:adjustRightInd w:val="0"/>
        <w:rPr>
          <w:sz w:val="22"/>
          <w:szCs w:val="22"/>
          <w:lang w:eastAsia="en-US"/>
        </w:rPr>
      </w:pPr>
      <w:r>
        <w:rPr>
          <w:sz w:val="22"/>
          <w:szCs w:val="22"/>
          <w:lang w:eastAsia="en-US"/>
        </w:rPr>
        <w:lastRenderedPageBreak/>
        <w:t xml:space="preserve">Mind az epe-, mind a húgyúti kiválasztódás hozzájárul a lozartán és metabolitjainak kiürüléséhez. Embereknél egy </w:t>
      </w:r>
      <w:r>
        <w:rPr>
          <w:sz w:val="22"/>
          <w:szCs w:val="22"/>
          <w:vertAlign w:val="superscript"/>
          <w:lang w:eastAsia="en-US"/>
        </w:rPr>
        <w:t>14</w:t>
      </w:r>
      <w:r>
        <w:rPr>
          <w:sz w:val="22"/>
          <w:szCs w:val="22"/>
          <w:lang w:eastAsia="en-US"/>
        </w:rPr>
        <w:t xml:space="preserve">C-jelzett lozartán </w:t>
      </w:r>
      <w:r>
        <w:rPr>
          <w:i/>
          <w:iCs/>
          <w:sz w:val="22"/>
          <w:szCs w:val="22"/>
          <w:lang w:eastAsia="en-US"/>
        </w:rPr>
        <w:t xml:space="preserve">per os </w:t>
      </w:r>
      <w:r>
        <w:rPr>
          <w:sz w:val="22"/>
          <w:szCs w:val="22"/>
          <w:lang w:eastAsia="en-US"/>
        </w:rPr>
        <w:t>dózisának beadását</w:t>
      </w:r>
      <w:r>
        <w:rPr>
          <w:i/>
          <w:iCs/>
          <w:sz w:val="22"/>
          <w:szCs w:val="22"/>
          <w:lang w:eastAsia="en-US"/>
        </w:rPr>
        <w:t>/</w:t>
      </w:r>
      <w:r>
        <w:rPr>
          <w:sz w:val="22"/>
          <w:szCs w:val="22"/>
          <w:lang w:eastAsia="en-US"/>
        </w:rPr>
        <w:t>intravénás alkalmazását követően a radioaktivitás kb. 35%/43%-a nyerhető vissza a vizeletből és 58%/50%-a a székletből.</w:t>
      </w:r>
    </w:p>
    <w:p w14:paraId="51F3911B" w14:textId="77777777" w:rsidR="00382B5E" w:rsidRDefault="00382B5E">
      <w:pPr>
        <w:autoSpaceDE w:val="0"/>
        <w:autoSpaceDN w:val="0"/>
        <w:adjustRightInd w:val="0"/>
        <w:rPr>
          <w:sz w:val="22"/>
          <w:szCs w:val="22"/>
          <w:lang w:eastAsia="en-US"/>
        </w:rPr>
      </w:pPr>
    </w:p>
    <w:p w14:paraId="0812A96E" w14:textId="77777777" w:rsidR="00382B5E" w:rsidRDefault="00BE0CD4">
      <w:pPr>
        <w:keepNext/>
        <w:autoSpaceDE w:val="0"/>
        <w:autoSpaceDN w:val="0"/>
        <w:adjustRightInd w:val="0"/>
        <w:rPr>
          <w:i/>
          <w:sz w:val="22"/>
          <w:szCs w:val="22"/>
          <w:lang w:eastAsia="en-US"/>
        </w:rPr>
      </w:pPr>
      <w:r>
        <w:rPr>
          <w:i/>
          <w:sz w:val="22"/>
          <w:szCs w:val="22"/>
          <w:lang w:eastAsia="en-US"/>
        </w:rPr>
        <w:t>Amlodipin</w:t>
      </w:r>
    </w:p>
    <w:p w14:paraId="4EFA94A9" w14:textId="77777777" w:rsidR="00382B5E" w:rsidRDefault="00BE0CD4">
      <w:pPr>
        <w:autoSpaceDE w:val="0"/>
        <w:autoSpaceDN w:val="0"/>
        <w:adjustRightInd w:val="0"/>
        <w:rPr>
          <w:sz w:val="22"/>
          <w:szCs w:val="22"/>
          <w:lang w:eastAsia="en-US"/>
        </w:rPr>
      </w:pPr>
      <w:r>
        <w:rPr>
          <w:sz w:val="22"/>
          <w:szCs w:val="22"/>
        </w:rPr>
        <w:t>A terminális felezési idő 35</w:t>
      </w:r>
      <w:r>
        <w:rPr>
          <w:sz w:val="22"/>
          <w:szCs w:val="22"/>
        </w:rPr>
        <w:noBreakHyphen/>
        <w:t>50 óra, ez megfelel a napi egyszeri alkalmazásnak. A változatlan forma 10%</w:t>
      </w:r>
      <w:r>
        <w:rPr>
          <w:sz w:val="22"/>
          <w:szCs w:val="22"/>
        </w:rPr>
        <w:noBreakHyphen/>
        <w:t>a, az inaktív metabolitok 60%</w:t>
      </w:r>
      <w:r>
        <w:rPr>
          <w:sz w:val="22"/>
          <w:szCs w:val="22"/>
        </w:rPr>
        <w:noBreakHyphen/>
        <w:t>a a vizelettel választódik ki.</w:t>
      </w:r>
    </w:p>
    <w:p w14:paraId="7E25FDF8" w14:textId="77777777" w:rsidR="00382B5E" w:rsidRDefault="00382B5E">
      <w:pPr>
        <w:autoSpaceDE w:val="0"/>
        <w:autoSpaceDN w:val="0"/>
        <w:adjustRightInd w:val="0"/>
        <w:rPr>
          <w:sz w:val="22"/>
          <w:szCs w:val="22"/>
          <w:lang w:eastAsia="en-US"/>
        </w:rPr>
      </w:pPr>
    </w:p>
    <w:p w14:paraId="128D067D" w14:textId="77777777" w:rsidR="00382B5E" w:rsidRDefault="00BE0CD4">
      <w:pPr>
        <w:autoSpaceDE w:val="0"/>
        <w:autoSpaceDN w:val="0"/>
        <w:adjustRightInd w:val="0"/>
        <w:rPr>
          <w:sz w:val="22"/>
          <w:szCs w:val="22"/>
          <w:u w:val="single"/>
          <w:lang w:eastAsia="en-US"/>
        </w:rPr>
      </w:pPr>
      <w:r>
        <w:rPr>
          <w:sz w:val="22"/>
          <w:szCs w:val="22"/>
          <w:u w:val="single"/>
          <w:lang w:eastAsia="en-US"/>
        </w:rPr>
        <w:t>Vesekárosodás</w:t>
      </w:r>
    </w:p>
    <w:p w14:paraId="473E9265" w14:textId="77777777" w:rsidR="00382B5E" w:rsidRDefault="00BE0CD4">
      <w:pPr>
        <w:autoSpaceDE w:val="0"/>
        <w:autoSpaceDN w:val="0"/>
        <w:adjustRightInd w:val="0"/>
        <w:rPr>
          <w:i/>
          <w:sz w:val="22"/>
          <w:szCs w:val="22"/>
          <w:lang w:eastAsia="en-US"/>
        </w:rPr>
      </w:pPr>
      <w:r>
        <w:rPr>
          <w:i/>
          <w:sz w:val="22"/>
          <w:szCs w:val="22"/>
          <w:lang w:eastAsia="en-US"/>
        </w:rPr>
        <w:t>Lozartán</w:t>
      </w:r>
    </w:p>
    <w:p w14:paraId="4683143E" w14:textId="77777777" w:rsidR="00382B5E" w:rsidRDefault="00BE0CD4">
      <w:pPr>
        <w:autoSpaceDE w:val="0"/>
        <w:autoSpaceDN w:val="0"/>
        <w:adjustRightInd w:val="0"/>
        <w:rPr>
          <w:sz w:val="22"/>
          <w:szCs w:val="22"/>
          <w:lang w:eastAsia="en-US"/>
        </w:rPr>
      </w:pPr>
      <w:r>
        <w:rPr>
          <w:sz w:val="22"/>
          <w:szCs w:val="22"/>
          <w:lang w:eastAsia="en-US"/>
        </w:rPr>
        <w:t>A lozartán-kálium plazmakoncentrációi nem változnak meg azoknál a betegeknél, akiknek kreatinin</w:t>
      </w:r>
      <w:r>
        <w:rPr>
          <w:sz w:val="22"/>
          <w:szCs w:val="22"/>
          <w:lang w:eastAsia="en-US"/>
        </w:rPr>
        <w:noBreakHyphen/>
        <w:t>clearance értéke 10 ml/perc felett van. Összehasonlítva a normál vesefunkcióval rendelkező betegekkel, a lozartán AUC értéke kb. kétszer magasabb hemodializált betegek esetén.</w:t>
      </w:r>
    </w:p>
    <w:p w14:paraId="2DAC696A" w14:textId="77777777" w:rsidR="00382B5E" w:rsidRDefault="00382B5E">
      <w:pPr>
        <w:autoSpaceDE w:val="0"/>
        <w:autoSpaceDN w:val="0"/>
        <w:adjustRightInd w:val="0"/>
        <w:rPr>
          <w:sz w:val="22"/>
          <w:szCs w:val="22"/>
          <w:lang w:eastAsia="en-US"/>
        </w:rPr>
      </w:pPr>
    </w:p>
    <w:p w14:paraId="4A54C7A5" w14:textId="77777777" w:rsidR="00382B5E" w:rsidRDefault="00BE0CD4">
      <w:pPr>
        <w:autoSpaceDE w:val="0"/>
        <w:autoSpaceDN w:val="0"/>
        <w:adjustRightInd w:val="0"/>
        <w:rPr>
          <w:sz w:val="22"/>
          <w:szCs w:val="22"/>
          <w:lang w:eastAsia="en-US"/>
        </w:rPr>
      </w:pPr>
      <w:r>
        <w:rPr>
          <w:sz w:val="22"/>
          <w:szCs w:val="22"/>
          <w:lang w:eastAsia="en-US"/>
        </w:rPr>
        <w:t>Az aktív metabolit plazmakoncentrációja nem változik vesekárosodott vagy hemodializált betegek esetén.</w:t>
      </w:r>
    </w:p>
    <w:p w14:paraId="317BF15D" w14:textId="77777777" w:rsidR="00382B5E" w:rsidRDefault="00382B5E">
      <w:pPr>
        <w:autoSpaceDE w:val="0"/>
        <w:autoSpaceDN w:val="0"/>
        <w:adjustRightInd w:val="0"/>
        <w:rPr>
          <w:sz w:val="22"/>
          <w:szCs w:val="22"/>
          <w:lang w:eastAsia="en-US"/>
        </w:rPr>
      </w:pPr>
    </w:p>
    <w:p w14:paraId="7AE75041" w14:textId="77777777" w:rsidR="00382B5E" w:rsidRDefault="00BE0CD4">
      <w:pPr>
        <w:autoSpaceDE w:val="0"/>
        <w:autoSpaceDN w:val="0"/>
        <w:adjustRightInd w:val="0"/>
        <w:rPr>
          <w:sz w:val="22"/>
          <w:szCs w:val="22"/>
          <w:lang w:eastAsia="en-US"/>
        </w:rPr>
      </w:pPr>
      <w:r>
        <w:rPr>
          <w:sz w:val="22"/>
          <w:szCs w:val="22"/>
          <w:lang w:eastAsia="en-US"/>
        </w:rPr>
        <w:t>Hemodialízissel sem a lozartán, sem aktív metabolitja nem távolítható el.</w:t>
      </w:r>
    </w:p>
    <w:p w14:paraId="16FEB4CB" w14:textId="77777777" w:rsidR="00382B5E" w:rsidRDefault="00382B5E">
      <w:pPr>
        <w:autoSpaceDE w:val="0"/>
        <w:autoSpaceDN w:val="0"/>
        <w:adjustRightInd w:val="0"/>
        <w:rPr>
          <w:sz w:val="22"/>
          <w:szCs w:val="22"/>
          <w:lang w:eastAsia="en-US"/>
        </w:rPr>
      </w:pPr>
    </w:p>
    <w:p w14:paraId="446A87DE" w14:textId="77777777" w:rsidR="00382B5E" w:rsidRDefault="00BE0CD4">
      <w:pPr>
        <w:autoSpaceDE w:val="0"/>
        <w:autoSpaceDN w:val="0"/>
        <w:adjustRightInd w:val="0"/>
        <w:rPr>
          <w:i/>
          <w:sz w:val="22"/>
          <w:szCs w:val="22"/>
          <w:lang w:eastAsia="en-US"/>
        </w:rPr>
      </w:pPr>
      <w:r>
        <w:rPr>
          <w:i/>
          <w:sz w:val="22"/>
          <w:szCs w:val="22"/>
          <w:lang w:eastAsia="en-US"/>
        </w:rPr>
        <w:t>Amlodipin</w:t>
      </w:r>
    </w:p>
    <w:p w14:paraId="45EB2B5C" w14:textId="77777777" w:rsidR="00382B5E" w:rsidRDefault="00BE0CD4">
      <w:pPr>
        <w:tabs>
          <w:tab w:val="left" w:pos="567"/>
        </w:tabs>
        <w:rPr>
          <w:sz w:val="22"/>
          <w:szCs w:val="22"/>
        </w:rPr>
      </w:pPr>
      <w:r>
        <w:rPr>
          <w:sz w:val="22"/>
          <w:szCs w:val="22"/>
        </w:rPr>
        <w:t>Az amlodipin nagymértékben metabolizálódik inaktív metabolitokká. A változatlan forma 10%</w:t>
      </w:r>
      <w:r>
        <w:rPr>
          <w:sz w:val="22"/>
          <w:szCs w:val="22"/>
        </w:rPr>
        <w:noBreakHyphen/>
        <w:t xml:space="preserve">a a vizelettel választódik ki. </w:t>
      </w:r>
      <w:r>
        <w:rPr>
          <w:sz w:val="22"/>
          <w:szCs w:val="22"/>
          <w:lang w:eastAsia="en-US"/>
        </w:rPr>
        <w:t>Az amlodipin plazmakoncentrációjának változása nem mutat összefüggést a vesekárosodás mértékével. Az amlodipin nem dializálható.</w:t>
      </w:r>
    </w:p>
    <w:p w14:paraId="69EB4ED9" w14:textId="77777777" w:rsidR="00382B5E" w:rsidRDefault="00382B5E">
      <w:pPr>
        <w:autoSpaceDE w:val="0"/>
        <w:autoSpaceDN w:val="0"/>
        <w:adjustRightInd w:val="0"/>
        <w:rPr>
          <w:sz w:val="22"/>
          <w:szCs w:val="22"/>
          <w:lang w:eastAsia="en-US"/>
        </w:rPr>
      </w:pPr>
    </w:p>
    <w:p w14:paraId="033CC04A" w14:textId="77777777" w:rsidR="00382B5E" w:rsidRDefault="00BE0CD4">
      <w:pPr>
        <w:autoSpaceDE w:val="0"/>
        <w:autoSpaceDN w:val="0"/>
        <w:adjustRightInd w:val="0"/>
        <w:rPr>
          <w:sz w:val="22"/>
          <w:szCs w:val="22"/>
          <w:u w:val="single"/>
          <w:lang w:eastAsia="en-US"/>
        </w:rPr>
      </w:pPr>
      <w:r>
        <w:rPr>
          <w:sz w:val="22"/>
          <w:szCs w:val="22"/>
          <w:u w:val="single"/>
          <w:lang w:eastAsia="en-US"/>
        </w:rPr>
        <w:t>Májkárosodás</w:t>
      </w:r>
    </w:p>
    <w:p w14:paraId="4CA9881C" w14:textId="77777777" w:rsidR="00382B5E" w:rsidRDefault="00BE0CD4">
      <w:pPr>
        <w:autoSpaceDE w:val="0"/>
        <w:autoSpaceDN w:val="0"/>
        <w:adjustRightInd w:val="0"/>
        <w:rPr>
          <w:i/>
          <w:sz w:val="22"/>
          <w:szCs w:val="22"/>
          <w:lang w:eastAsia="en-US"/>
        </w:rPr>
      </w:pPr>
      <w:r>
        <w:rPr>
          <w:i/>
          <w:sz w:val="22"/>
          <w:szCs w:val="22"/>
          <w:lang w:eastAsia="en-US"/>
        </w:rPr>
        <w:t>Lozartán</w:t>
      </w:r>
    </w:p>
    <w:p w14:paraId="1ED780FA" w14:textId="77777777" w:rsidR="00382B5E" w:rsidRDefault="00BE0CD4">
      <w:pPr>
        <w:autoSpaceDE w:val="0"/>
        <w:autoSpaceDN w:val="0"/>
        <w:adjustRightInd w:val="0"/>
        <w:rPr>
          <w:sz w:val="22"/>
          <w:szCs w:val="22"/>
          <w:lang w:eastAsia="en-US"/>
        </w:rPr>
      </w:pPr>
      <w:r>
        <w:rPr>
          <w:sz w:val="22"/>
          <w:szCs w:val="22"/>
          <w:lang w:eastAsia="en-US"/>
        </w:rPr>
        <w:t xml:space="preserve">Enyhe és középsúlyos alkohol-indukált májcirrózisban, </w:t>
      </w:r>
      <w:r>
        <w:rPr>
          <w:i/>
          <w:iCs/>
          <w:sz w:val="22"/>
          <w:szCs w:val="22"/>
          <w:lang w:eastAsia="en-US"/>
        </w:rPr>
        <w:t xml:space="preserve">per os </w:t>
      </w:r>
      <w:r>
        <w:rPr>
          <w:sz w:val="22"/>
          <w:szCs w:val="22"/>
          <w:lang w:eastAsia="en-US"/>
        </w:rPr>
        <w:t>adagolást követően a lozartán plazmakoncentrációja a fiatal önként jelentkező férfiak plazmakoncentráció-értékeinek 5-szöröse, aktív metabolitjának plazmakoncentrációja pedig 1,7-szerese volt (lásd 4.2 és 4.4 pont).</w:t>
      </w:r>
    </w:p>
    <w:p w14:paraId="4C7BC964" w14:textId="77777777" w:rsidR="00382B5E" w:rsidRDefault="00382B5E">
      <w:pPr>
        <w:autoSpaceDE w:val="0"/>
        <w:autoSpaceDN w:val="0"/>
        <w:adjustRightInd w:val="0"/>
        <w:rPr>
          <w:sz w:val="22"/>
          <w:szCs w:val="22"/>
          <w:lang w:eastAsia="en-US"/>
        </w:rPr>
      </w:pPr>
    </w:p>
    <w:p w14:paraId="43E9E19C" w14:textId="77777777" w:rsidR="00382B5E" w:rsidRDefault="00BE0CD4">
      <w:pPr>
        <w:keepNext/>
        <w:autoSpaceDE w:val="0"/>
        <w:autoSpaceDN w:val="0"/>
        <w:adjustRightInd w:val="0"/>
        <w:rPr>
          <w:i/>
          <w:sz w:val="22"/>
          <w:szCs w:val="22"/>
          <w:lang w:eastAsia="en-US"/>
        </w:rPr>
      </w:pPr>
      <w:r>
        <w:rPr>
          <w:i/>
          <w:sz w:val="22"/>
          <w:szCs w:val="22"/>
          <w:lang w:eastAsia="en-US"/>
        </w:rPr>
        <w:t>Amlodipin</w:t>
      </w:r>
    </w:p>
    <w:p w14:paraId="7E81072B" w14:textId="77777777" w:rsidR="00382B5E" w:rsidRDefault="00BE0CD4">
      <w:pPr>
        <w:rPr>
          <w:sz w:val="22"/>
          <w:szCs w:val="22"/>
        </w:rPr>
      </w:pPr>
      <w:r>
        <w:rPr>
          <w:sz w:val="22"/>
          <w:szCs w:val="22"/>
        </w:rPr>
        <w:t>Az amlodipin májkárosodásban szenvedő betegnél történő alkalmazásáról nagyon kevés klinikai adat áll rendelkezésre. Májelégtelenségben szenvedő betegek esetében csökken az amlodipin clearence, ami hosszabb felezési időt és körülbelül 40</w:t>
      </w:r>
      <w:r>
        <w:rPr>
          <w:sz w:val="22"/>
          <w:szCs w:val="22"/>
        </w:rPr>
        <w:noBreakHyphen/>
        <w:t>60%</w:t>
      </w:r>
      <w:r>
        <w:rPr>
          <w:sz w:val="22"/>
          <w:szCs w:val="22"/>
        </w:rPr>
        <w:noBreakHyphen/>
        <w:t>kal magasabb AUC értéket eredményez.</w:t>
      </w:r>
    </w:p>
    <w:p w14:paraId="36FCF33C" w14:textId="77777777" w:rsidR="00382B5E" w:rsidRDefault="00382B5E">
      <w:pPr>
        <w:autoSpaceDE w:val="0"/>
        <w:autoSpaceDN w:val="0"/>
        <w:adjustRightInd w:val="0"/>
        <w:rPr>
          <w:sz w:val="22"/>
          <w:szCs w:val="22"/>
          <w:lang w:eastAsia="en-US"/>
        </w:rPr>
      </w:pPr>
    </w:p>
    <w:p w14:paraId="210C0CF4" w14:textId="77777777" w:rsidR="00382B5E" w:rsidRDefault="00BE0CD4">
      <w:pPr>
        <w:autoSpaceDE w:val="0"/>
        <w:autoSpaceDN w:val="0"/>
        <w:adjustRightInd w:val="0"/>
        <w:rPr>
          <w:sz w:val="22"/>
          <w:szCs w:val="22"/>
          <w:u w:val="single"/>
          <w:lang w:eastAsia="en-US"/>
        </w:rPr>
      </w:pPr>
      <w:r>
        <w:rPr>
          <w:sz w:val="22"/>
          <w:szCs w:val="22"/>
          <w:u w:val="single"/>
          <w:lang w:eastAsia="en-US"/>
        </w:rPr>
        <w:t>Nem</w:t>
      </w:r>
    </w:p>
    <w:p w14:paraId="6659C368" w14:textId="77777777" w:rsidR="00382B5E" w:rsidRDefault="00BE0CD4">
      <w:pPr>
        <w:autoSpaceDE w:val="0"/>
        <w:autoSpaceDN w:val="0"/>
        <w:adjustRightInd w:val="0"/>
        <w:rPr>
          <w:i/>
          <w:sz w:val="22"/>
          <w:szCs w:val="22"/>
          <w:lang w:eastAsia="en-US"/>
        </w:rPr>
      </w:pPr>
      <w:r>
        <w:rPr>
          <w:i/>
          <w:sz w:val="22"/>
          <w:szCs w:val="22"/>
          <w:lang w:eastAsia="en-US"/>
        </w:rPr>
        <w:t>Lozartán</w:t>
      </w:r>
    </w:p>
    <w:p w14:paraId="1CAA53A9" w14:textId="77777777" w:rsidR="00382B5E" w:rsidRDefault="00BE0CD4">
      <w:pPr>
        <w:autoSpaceDE w:val="0"/>
        <w:autoSpaceDN w:val="0"/>
        <w:adjustRightInd w:val="0"/>
        <w:rPr>
          <w:sz w:val="22"/>
          <w:szCs w:val="22"/>
          <w:lang w:eastAsia="en-US"/>
        </w:rPr>
      </w:pPr>
      <w:r>
        <w:rPr>
          <w:sz w:val="22"/>
          <w:szCs w:val="22"/>
          <w:lang w:eastAsia="en-US"/>
        </w:rPr>
        <w:t>Hypertoniás nőbetegeknél a lozartán plazmaszintjei legfeljebb kétszer olyan magasak voltak, mint a hypertoniás férfibetegeknél, míg az aktív metabolit plazmaszintjei nem tértek el férfiak és nők esetén.</w:t>
      </w:r>
    </w:p>
    <w:p w14:paraId="4D583CEE" w14:textId="77777777" w:rsidR="00382B5E" w:rsidRDefault="00382B5E">
      <w:pPr>
        <w:autoSpaceDE w:val="0"/>
        <w:autoSpaceDN w:val="0"/>
        <w:adjustRightInd w:val="0"/>
        <w:rPr>
          <w:sz w:val="22"/>
          <w:szCs w:val="22"/>
          <w:lang w:eastAsia="en-US"/>
        </w:rPr>
      </w:pPr>
    </w:p>
    <w:p w14:paraId="4D265BB0" w14:textId="77777777" w:rsidR="00382B5E" w:rsidRDefault="00BE0CD4">
      <w:pPr>
        <w:autoSpaceDE w:val="0"/>
        <w:autoSpaceDN w:val="0"/>
        <w:adjustRightInd w:val="0"/>
        <w:rPr>
          <w:sz w:val="22"/>
          <w:szCs w:val="22"/>
          <w:u w:val="single"/>
          <w:lang w:eastAsia="en-US"/>
        </w:rPr>
      </w:pPr>
      <w:r>
        <w:rPr>
          <w:sz w:val="22"/>
          <w:szCs w:val="22"/>
          <w:u w:val="single"/>
          <w:lang w:eastAsia="en-US"/>
        </w:rPr>
        <w:t>Idősek</w:t>
      </w:r>
    </w:p>
    <w:p w14:paraId="539857FC" w14:textId="77777777" w:rsidR="00382B5E" w:rsidRDefault="00BE0CD4">
      <w:pPr>
        <w:autoSpaceDE w:val="0"/>
        <w:autoSpaceDN w:val="0"/>
        <w:adjustRightInd w:val="0"/>
        <w:rPr>
          <w:i/>
          <w:sz w:val="22"/>
          <w:szCs w:val="22"/>
          <w:lang w:eastAsia="en-US"/>
        </w:rPr>
      </w:pPr>
      <w:r>
        <w:rPr>
          <w:i/>
          <w:sz w:val="22"/>
          <w:szCs w:val="22"/>
          <w:lang w:eastAsia="en-US"/>
        </w:rPr>
        <w:t>Lozartán</w:t>
      </w:r>
    </w:p>
    <w:p w14:paraId="167451B7" w14:textId="77777777" w:rsidR="00382B5E" w:rsidRDefault="00BE0CD4">
      <w:pPr>
        <w:autoSpaceDE w:val="0"/>
        <w:autoSpaceDN w:val="0"/>
        <w:adjustRightInd w:val="0"/>
        <w:rPr>
          <w:sz w:val="22"/>
          <w:szCs w:val="22"/>
          <w:lang w:eastAsia="en-US"/>
        </w:rPr>
      </w:pPr>
      <w:r>
        <w:rPr>
          <w:sz w:val="22"/>
          <w:szCs w:val="22"/>
          <w:lang w:eastAsia="en-US"/>
        </w:rPr>
        <w:t>Az idős hypertoniás betegeknél a lozartán és aktív metabolitjának plazmakoncentrációi alapvetően nem térnek el a fiatal hypertoniás betegeknél tapasztaltaktól.</w:t>
      </w:r>
    </w:p>
    <w:p w14:paraId="076F93EE" w14:textId="77777777" w:rsidR="00382B5E" w:rsidRDefault="00382B5E">
      <w:pPr>
        <w:autoSpaceDE w:val="0"/>
        <w:autoSpaceDN w:val="0"/>
        <w:adjustRightInd w:val="0"/>
        <w:rPr>
          <w:sz w:val="22"/>
          <w:szCs w:val="22"/>
          <w:lang w:eastAsia="en-US"/>
        </w:rPr>
      </w:pPr>
    </w:p>
    <w:p w14:paraId="5E8AB8A6" w14:textId="77777777" w:rsidR="00382B5E" w:rsidRDefault="00BE0CD4">
      <w:pPr>
        <w:autoSpaceDE w:val="0"/>
        <w:autoSpaceDN w:val="0"/>
        <w:adjustRightInd w:val="0"/>
        <w:rPr>
          <w:i/>
          <w:sz w:val="22"/>
          <w:szCs w:val="22"/>
          <w:lang w:eastAsia="en-US"/>
        </w:rPr>
      </w:pPr>
      <w:r>
        <w:rPr>
          <w:i/>
          <w:sz w:val="22"/>
          <w:szCs w:val="22"/>
          <w:lang w:eastAsia="en-US"/>
        </w:rPr>
        <w:t>Amlodipin</w:t>
      </w:r>
    </w:p>
    <w:p w14:paraId="0ADA9213" w14:textId="77777777" w:rsidR="00382B5E" w:rsidRDefault="00BE0CD4">
      <w:pPr>
        <w:autoSpaceDE w:val="0"/>
        <w:autoSpaceDN w:val="0"/>
        <w:adjustRightInd w:val="0"/>
        <w:rPr>
          <w:sz w:val="22"/>
          <w:szCs w:val="22"/>
        </w:rPr>
      </w:pPr>
      <w:r>
        <w:rPr>
          <w:sz w:val="22"/>
          <w:szCs w:val="22"/>
        </w:rPr>
        <w:t>A plazma csúcskoncentráció kialakulásának ideje idős és fiatalabb személyekben hasonló. Idős betegekben az amlodipin-clearance többnyire csökken, az AUC és az eliminációs felezési idő nő. Pangásos szívelégtelenségben az AUC és a felezési idő növekedése a vizsgált korosztálynak megfelelő volt (lásd 4.4 pont – Különleges figyelmeztetések és az alkalmazással kapcsolatos óvintézkedések).</w:t>
      </w:r>
    </w:p>
    <w:p w14:paraId="7E22873D" w14:textId="77777777" w:rsidR="00382B5E" w:rsidRDefault="00382B5E">
      <w:pPr>
        <w:autoSpaceDE w:val="0"/>
        <w:autoSpaceDN w:val="0"/>
        <w:adjustRightInd w:val="0"/>
        <w:rPr>
          <w:sz w:val="22"/>
          <w:szCs w:val="22"/>
          <w:lang w:eastAsia="en-US"/>
        </w:rPr>
      </w:pPr>
    </w:p>
    <w:p w14:paraId="0DAB330A" w14:textId="77777777" w:rsidR="00382B5E" w:rsidRDefault="00BE0CD4">
      <w:pPr>
        <w:rPr>
          <w:b/>
          <w:sz w:val="22"/>
          <w:szCs w:val="22"/>
        </w:rPr>
      </w:pPr>
      <w:r>
        <w:rPr>
          <w:b/>
          <w:sz w:val="22"/>
          <w:szCs w:val="22"/>
        </w:rPr>
        <w:t>5.3</w:t>
      </w:r>
      <w:r>
        <w:rPr>
          <w:b/>
          <w:sz w:val="22"/>
          <w:szCs w:val="22"/>
        </w:rPr>
        <w:tab/>
        <w:t>A preklinikai biztonságossági vizsgálatok eredményei</w:t>
      </w:r>
    </w:p>
    <w:p w14:paraId="7BD1AE1E" w14:textId="77777777" w:rsidR="00382B5E" w:rsidRDefault="00382B5E">
      <w:pPr>
        <w:rPr>
          <w:bCs/>
          <w:sz w:val="22"/>
          <w:szCs w:val="22"/>
        </w:rPr>
      </w:pPr>
    </w:p>
    <w:p w14:paraId="3611AA89" w14:textId="77777777" w:rsidR="00382B5E" w:rsidRDefault="00BE0CD4">
      <w:pPr>
        <w:rPr>
          <w:bCs/>
          <w:sz w:val="22"/>
          <w:szCs w:val="22"/>
          <w:u w:val="single"/>
        </w:rPr>
      </w:pPr>
      <w:r>
        <w:rPr>
          <w:bCs/>
          <w:sz w:val="22"/>
          <w:szCs w:val="22"/>
          <w:u w:val="single"/>
        </w:rPr>
        <w:t>Amlodipin</w:t>
      </w:r>
    </w:p>
    <w:p w14:paraId="5EC82A80" w14:textId="77777777" w:rsidR="00382B5E" w:rsidRDefault="00BE0CD4">
      <w:pPr>
        <w:rPr>
          <w:i/>
          <w:sz w:val="22"/>
          <w:szCs w:val="22"/>
        </w:rPr>
      </w:pPr>
      <w:r>
        <w:rPr>
          <w:i/>
          <w:sz w:val="22"/>
          <w:szCs w:val="22"/>
        </w:rPr>
        <w:t>Reprodukciós toxicitás</w:t>
      </w:r>
    </w:p>
    <w:p w14:paraId="40135D72" w14:textId="77777777" w:rsidR="00382B5E" w:rsidRDefault="00BE0CD4">
      <w:pPr>
        <w:rPr>
          <w:sz w:val="22"/>
          <w:szCs w:val="22"/>
        </w:rPr>
      </w:pPr>
      <w:r>
        <w:rPr>
          <w:sz w:val="22"/>
          <w:szCs w:val="22"/>
        </w:rPr>
        <w:lastRenderedPageBreak/>
        <w:t>Patkányokkal és egerekkel végzett reprodukciós vizsgálatok a szülés időpontjának későbbre tolódását, a vajúdás időtartamának megnyúlását és az utódok alacsonyabb túlélését mutatták, az ember számára maximálisan javasolt dózis 50-szeresét alkalmazva, mg/kg</w:t>
      </w:r>
      <w:r>
        <w:rPr>
          <w:sz w:val="22"/>
          <w:szCs w:val="22"/>
        </w:rPr>
        <w:noBreakHyphen/>
        <w:t>ra vonatkoztatva.</w:t>
      </w:r>
    </w:p>
    <w:p w14:paraId="41F4BC4D" w14:textId="77777777" w:rsidR="00382B5E" w:rsidRDefault="00382B5E">
      <w:pPr>
        <w:rPr>
          <w:sz w:val="22"/>
          <w:szCs w:val="22"/>
        </w:rPr>
      </w:pPr>
    </w:p>
    <w:p w14:paraId="64E8A04D" w14:textId="77777777" w:rsidR="00382B5E" w:rsidRDefault="00BE0CD4">
      <w:pPr>
        <w:rPr>
          <w:i/>
          <w:sz w:val="22"/>
          <w:szCs w:val="22"/>
        </w:rPr>
      </w:pPr>
      <w:r>
        <w:rPr>
          <w:i/>
          <w:sz w:val="22"/>
          <w:szCs w:val="22"/>
        </w:rPr>
        <w:t>Fertilitás károsodása</w:t>
      </w:r>
    </w:p>
    <w:p w14:paraId="4B5A8B01" w14:textId="77777777" w:rsidR="00382B5E" w:rsidRDefault="00BE0CD4">
      <w:pPr>
        <w:rPr>
          <w:sz w:val="22"/>
          <w:szCs w:val="22"/>
        </w:rPr>
      </w:pPr>
      <w:r>
        <w:rPr>
          <w:sz w:val="22"/>
          <w:szCs w:val="22"/>
        </w:rPr>
        <w:t>Legfeljebb 10 mg/kg/nap dózisú (ami a mg/m</w:t>
      </w:r>
      <w:r>
        <w:rPr>
          <w:sz w:val="22"/>
          <w:szCs w:val="22"/>
          <w:vertAlign w:val="superscript"/>
        </w:rPr>
        <w:t>2</w:t>
      </w:r>
      <w:r>
        <w:rPr>
          <w:sz w:val="22"/>
          <w:szCs w:val="22"/>
        </w:rPr>
        <w:t xml:space="preserve"> alapon számolt maximálisan 10 mg javasolt humán dózis 8-szorosa*) amlodipinnel kezelt patkányoknál (hímek 64 napon át, nőstények 14 napon át párzás előtt) termékenységére gyakorolt hatás nem volt. Egy másik, patkányokkal végzett vizsgálatban, amiben hím patkányokat kezeltek 30 napon keresztül, mg/kg</w:t>
      </w:r>
      <w:r>
        <w:rPr>
          <w:sz w:val="22"/>
          <w:szCs w:val="22"/>
        </w:rPr>
        <w:noBreakHyphen/>
        <w:t>ra vonatkoztatva az embernél alkalmazott dózisokhoz hasonló amlodipin-bezilát adagokkal, csökkent a plazma folliculusstimuláló hormon és tesztoszteron szintje, valamint a spermium denzitásának, az érett spermiumok számának és a Sertolli sejtek számának csökkenését tapasztalták.</w:t>
      </w:r>
    </w:p>
    <w:p w14:paraId="6B9387D1" w14:textId="77777777" w:rsidR="00382B5E" w:rsidRDefault="00382B5E">
      <w:pPr>
        <w:rPr>
          <w:sz w:val="22"/>
          <w:szCs w:val="22"/>
        </w:rPr>
      </w:pPr>
    </w:p>
    <w:p w14:paraId="15CE50B1" w14:textId="77777777" w:rsidR="00382B5E" w:rsidRDefault="00BE0CD4">
      <w:pPr>
        <w:rPr>
          <w:i/>
          <w:sz w:val="22"/>
          <w:szCs w:val="22"/>
        </w:rPr>
      </w:pPr>
      <w:r>
        <w:rPr>
          <w:i/>
          <w:sz w:val="22"/>
          <w:szCs w:val="22"/>
        </w:rPr>
        <w:t>Karcinogenitás, mutagenitás</w:t>
      </w:r>
    </w:p>
    <w:p w14:paraId="26FA6234" w14:textId="77777777" w:rsidR="00382B5E" w:rsidRDefault="00BE0CD4">
      <w:pPr>
        <w:rPr>
          <w:sz w:val="22"/>
          <w:szCs w:val="22"/>
        </w:rPr>
      </w:pPr>
      <w:r>
        <w:rPr>
          <w:sz w:val="22"/>
          <w:szCs w:val="22"/>
        </w:rPr>
        <w:t>Patkányok és egerek 2 éves, a táplálékhoz adott amlodipin-kezelése 0,5, 1,25 és 2,5 mg/kg/nap dózisszintet biztosító számolt koncentrációnál nem mutatott karcinogenitást. A legmagasabb adag (egereknél hasonló, patkányoknál a kétszerese a mg/m</w:t>
      </w:r>
      <w:r>
        <w:rPr>
          <w:sz w:val="22"/>
          <w:szCs w:val="22"/>
          <w:vertAlign w:val="superscript"/>
        </w:rPr>
        <w:t>2</w:t>
      </w:r>
      <w:r>
        <w:rPr>
          <w:sz w:val="22"/>
          <w:szCs w:val="22"/>
        </w:rPr>
        <w:t xml:space="preserve"> alapon javasolt 10 mg</w:t>
      </w:r>
      <w:r>
        <w:rPr>
          <w:sz w:val="22"/>
          <w:szCs w:val="22"/>
        </w:rPr>
        <w:noBreakHyphen/>
        <w:t>os maximális klinikai dózisszintnek*) megközelítette az egereknél mért maximális tolerálható adagot, azonban a patkányoknál nem.</w:t>
      </w:r>
    </w:p>
    <w:p w14:paraId="6E963ECD" w14:textId="77777777" w:rsidR="00382B5E" w:rsidRDefault="00BE0CD4">
      <w:pPr>
        <w:rPr>
          <w:sz w:val="22"/>
          <w:szCs w:val="22"/>
        </w:rPr>
      </w:pPr>
      <w:r>
        <w:rPr>
          <w:sz w:val="22"/>
          <w:szCs w:val="22"/>
        </w:rPr>
        <w:t>Mutagenitási vizsgálatok gyógyszerrel kapcsolatos hatást sem gén-, sem kromoszómaszinten nem mutattak.</w:t>
      </w:r>
    </w:p>
    <w:p w14:paraId="14F43D7B" w14:textId="77777777" w:rsidR="00382B5E" w:rsidRDefault="00382B5E">
      <w:pPr>
        <w:rPr>
          <w:sz w:val="22"/>
          <w:szCs w:val="22"/>
        </w:rPr>
      </w:pPr>
    </w:p>
    <w:p w14:paraId="78E746A9" w14:textId="77777777" w:rsidR="00382B5E" w:rsidRDefault="00BE0CD4">
      <w:pPr>
        <w:rPr>
          <w:b/>
          <w:sz w:val="22"/>
          <w:szCs w:val="22"/>
          <w:lang w:eastAsia="en-US"/>
        </w:rPr>
      </w:pPr>
      <w:r>
        <w:rPr>
          <w:sz w:val="22"/>
          <w:szCs w:val="22"/>
        </w:rPr>
        <w:t>*50 kg</w:t>
      </w:r>
      <w:r>
        <w:rPr>
          <w:sz w:val="22"/>
          <w:szCs w:val="22"/>
        </w:rPr>
        <w:noBreakHyphen/>
        <w:t>os testtömeget véve alapul.</w:t>
      </w:r>
    </w:p>
    <w:p w14:paraId="5B8EBD53" w14:textId="77777777" w:rsidR="00382B5E" w:rsidRDefault="00382B5E">
      <w:pPr>
        <w:rPr>
          <w:bCs/>
          <w:sz w:val="22"/>
          <w:szCs w:val="22"/>
        </w:rPr>
      </w:pPr>
    </w:p>
    <w:p w14:paraId="0E0203C7" w14:textId="77777777" w:rsidR="00382B5E" w:rsidRDefault="00BE0CD4">
      <w:pPr>
        <w:rPr>
          <w:bCs/>
          <w:sz w:val="22"/>
          <w:szCs w:val="22"/>
          <w:u w:val="single"/>
        </w:rPr>
      </w:pPr>
      <w:r>
        <w:rPr>
          <w:bCs/>
          <w:sz w:val="22"/>
          <w:szCs w:val="22"/>
          <w:u w:val="single"/>
        </w:rPr>
        <w:t>Lozartán</w:t>
      </w:r>
    </w:p>
    <w:p w14:paraId="7E57AEF9" w14:textId="77777777" w:rsidR="00382B5E" w:rsidRDefault="00BE0CD4">
      <w:pPr>
        <w:rPr>
          <w:sz w:val="22"/>
          <w:szCs w:val="22"/>
          <w:lang w:eastAsia="en-US"/>
        </w:rPr>
      </w:pPr>
      <w:r>
        <w:rPr>
          <w:sz w:val="22"/>
          <w:szCs w:val="22"/>
          <w:lang w:eastAsia="en-US"/>
        </w:rPr>
        <w:t>Az általános farmakológiai, genotoxicitási és karcinogenitási potenciált vizsgáló hagyományos vizsgálatok alapján a preklinikai adatok azt igazolták, hogy a készítmény nem jelent különleges veszélyt az emberre. Az ismételt adagolású dózistoxicitási vizsgálatokban a lozartán alkalmazása a vörösvértestek paramétereinek (erythrocyták, hemoglobin, hematokrit) csökkenését, a szérum karbamid-N növekedését, a szérum kreatinin alkalmankénti megemelkedését, a szív tömegének csökkenését (hisztológiai korreláció nélkül) és gastrointestinalis változásokat (mucosus membránléziók, fekélyek, eróziók, haemorrhagia) okozott. Más, a renin-angiotenzin rendszerre közvetlenül ható szerekhez hasonlóan a lozartánról is kimutatták, hogy nemkívánatos hatásai vannak a késői magzati fejlődésre, magzati halált és malformációkat okozva.</w:t>
      </w:r>
    </w:p>
    <w:p w14:paraId="04E083D1" w14:textId="77777777" w:rsidR="00382B5E" w:rsidRDefault="00382B5E">
      <w:pPr>
        <w:rPr>
          <w:bCs/>
          <w:sz w:val="22"/>
          <w:szCs w:val="22"/>
        </w:rPr>
      </w:pPr>
    </w:p>
    <w:p w14:paraId="342D980F" w14:textId="77777777" w:rsidR="00382B5E" w:rsidRDefault="00382B5E">
      <w:pPr>
        <w:rPr>
          <w:sz w:val="22"/>
          <w:szCs w:val="22"/>
        </w:rPr>
      </w:pPr>
    </w:p>
    <w:p w14:paraId="542F3497" w14:textId="77777777" w:rsidR="00382B5E" w:rsidRDefault="00BE0CD4">
      <w:pPr>
        <w:rPr>
          <w:b/>
          <w:sz w:val="22"/>
          <w:szCs w:val="22"/>
        </w:rPr>
      </w:pPr>
      <w:r>
        <w:rPr>
          <w:b/>
          <w:sz w:val="22"/>
          <w:szCs w:val="22"/>
        </w:rPr>
        <w:t>6.</w:t>
      </w:r>
      <w:r>
        <w:rPr>
          <w:b/>
          <w:sz w:val="22"/>
          <w:szCs w:val="22"/>
        </w:rPr>
        <w:tab/>
        <w:t>GYÓGYSZERÉSZETI JELLEMZŐK</w:t>
      </w:r>
    </w:p>
    <w:p w14:paraId="32016716" w14:textId="77777777" w:rsidR="00382B5E" w:rsidRDefault="00382B5E">
      <w:pPr>
        <w:rPr>
          <w:sz w:val="22"/>
          <w:szCs w:val="22"/>
        </w:rPr>
      </w:pPr>
    </w:p>
    <w:p w14:paraId="7ADC95D9" w14:textId="77777777" w:rsidR="00382B5E" w:rsidRDefault="00BE0CD4">
      <w:pPr>
        <w:rPr>
          <w:b/>
          <w:sz w:val="22"/>
          <w:szCs w:val="22"/>
        </w:rPr>
      </w:pPr>
      <w:r>
        <w:rPr>
          <w:b/>
          <w:sz w:val="22"/>
          <w:szCs w:val="22"/>
        </w:rPr>
        <w:t>6.1</w:t>
      </w:r>
      <w:r>
        <w:rPr>
          <w:b/>
          <w:sz w:val="22"/>
          <w:szCs w:val="22"/>
        </w:rPr>
        <w:tab/>
        <w:t>Segédanyagok felsorolása</w:t>
      </w:r>
    </w:p>
    <w:p w14:paraId="7B6DA462" w14:textId="77777777" w:rsidR="00382B5E" w:rsidRDefault="00382B5E">
      <w:pPr>
        <w:rPr>
          <w:sz w:val="22"/>
          <w:szCs w:val="22"/>
        </w:rPr>
      </w:pPr>
    </w:p>
    <w:p w14:paraId="38483BDD" w14:textId="77777777" w:rsidR="00382B5E" w:rsidRDefault="00BE0CD4">
      <w:pPr>
        <w:keepNext/>
        <w:tabs>
          <w:tab w:val="left" w:pos="0"/>
        </w:tabs>
        <w:rPr>
          <w:sz w:val="22"/>
          <w:szCs w:val="22"/>
          <w:u w:val="single"/>
        </w:rPr>
      </w:pPr>
      <w:r>
        <w:rPr>
          <w:sz w:val="22"/>
          <w:szCs w:val="22"/>
          <w:u w:val="single"/>
        </w:rPr>
        <w:t>Tablettamag:</w:t>
      </w:r>
    </w:p>
    <w:p w14:paraId="462D554B" w14:textId="77777777" w:rsidR="00382B5E" w:rsidRDefault="00BE0CD4">
      <w:pPr>
        <w:tabs>
          <w:tab w:val="left" w:pos="0"/>
        </w:tabs>
        <w:rPr>
          <w:noProof/>
          <w:sz w:val="22"/>
          <w:szCs w:val="22"/>
          <w:lang w:eastAsia="en-US"/>
        </w:rPr>
      </w:pPr>
      <w:r>
        <w:rPr>
          <w:noProof/>
          <w:sz w:val="22"/>
          <w:szCs w:val="22"/>
          <w:lang w:eastAsia="en-US"/>
        </w:rPr>
        <w:t>laktóz-monohidrát</w:t>
      </w:r>
    </w:p>
    <w:p w14:paraId="542DE713" w14:textId="77777777" w:rsidR="00382B5E" w:rsidRDefault="00BE0CD4">
      <w:pPr>
        <w:tabs>
          <w:tab w:val="left" w:pos="0"/>
        </w:tabs>
        <w:rPr>
          <w:noProof/>
          <w:sz w:val="22"/>
          <w:szCs w:val="22"/>
          <w:lang w:eastAsia="en-US"/>
        </w:rPr>
      </w:pPr>
      <w:r>
        <w:rPr>
          <w:noProof/>
          <w:sz w:val="22"/>
          <w:szCs w:val="22"/>
          <w:lang w:eastAsia="en-US"/>
        </w:rPr>
        <w:t>cellulózpor (E460)</w:t>
      </w:r>
    </w:p>
    <w:p w14:paraId="0006B306" w14:textId="77777777" w:rsidR="00382B5E" w:rsidRDefault="00BE0CD4">
      <w:pPr>
        <w:tabs>
          <w:tab w:val="left" w:pos="0"/>
        </w:tabs>
        <w:rPr>
          <w:noProof/>
          <w:sz w:val="22"/>
          <w:szCs w:val="22"/>
          <w:lang w:eastAsia="en-US"/>
        </w:rPr>
      </w:pPr>
      <w:r>
        <w:rPr>
          <w:noProof/>
          <w:sz w:val="22"/>
          <w:szCs w:val="22"/>
          <w:lang w:eastAsia="en-US"/>
        </w:rPr>
        <w:t>hidegen duzzadó kukoricakeményítő</w:t>
      </w:r>
    </w:p>
    <w:p w14:paraId="1C0EAEF8" w14:textId="77777777" w:rsidR="00382B5E" w:rsidRDefault="00BE0CD4">
      <w:pPr>
        <w:tabs>
          <w:tab w:val="left" w:pos="0"/>
        </w:tabs>
        <w:rPr>
          <w:noProof/>
          <w:sz w:val="22"/>
          <w:szCs w:val="22"/>
          <w:lang w:eastAsia="en-US"/>
        </w:rPr>
      </w:pPr>
      <w:r>
        <w:rPr>
          <w:noProof/>
          <w:sz w:val="22"/>
          <w:szCs w:val="22"/>
          <w:lang w:eastAsia="en-US"/>
        </w:rPr>
        <w:t>kukoricakeményítő</w:t>
      </w:r>
    </w:p>
    <w:p w14:paraId="7A5B2600" w14:textId="77777777" w:rsidR="00382B5E" w:rsidRDefault="00BE0CD4">
      <w:pPr>
        <w:tabs>
          <w:tab w:val="left" w:pos="0"/>
        </w:tabs>
        <w:rPr>
          <w:noProof/>
          <w:sz w:val="22"/>
          <w:szCs w:val="22"/>
          <w:lang w:eastAsia="en-US"/>
        </w:rPr>
      </w:pPr>
      <w:r>
        <w:rPr>
          <w:noProof/>
          <w:sz w:val="22"/>
          <w:szCs w:val="22"/>
          <w:lang w:eastAsia="en-US"/>
        </w:rPr>
        <w:t>mikrokristályos cellulóz (E460)</w:t>
      </w:r>
    </w:p>
    <w:p w14:paraId="15CDC789" w14:textId="77777777" w:rsidR="00382B5E" w:rsidRDefault="00BE0CD4">
      <w:pPr>
        <w:tabs>
          <w:tab w:val="left" w:pos="0"/>
        </w:tabs>
        <w:rPr>
          <w:sz w:val="22"/>
          <w:szCs w:val="22"/>
          <w:lang w:eastAsia="en-US"/>
        </w:rPr>
      </w:pPr>
      <w:r>
        <w:rPr>
          <w:sz w:val="22"/>
          <w:szCs w:val="22"/>
          <w:lang w:eastAsia="en-US"/>
        </w:rPr>
        <w:t>vízmentes kolloid szilícium-dioxid</w:t>
      </w:r>
    </w:p>
    <w:p w14:paraId="126C9E3A" w14:textId="77777777" w:rsidR="00382B5E" w:rsidRDefault="00BE0CD4">
      <w:pPr>
        <w:tabs>
          <w:tab w:val="left" w:pos="0"/>
        </w:tabs>
        <w:rPr>
          <w:sz w:val="22"/>
          <w:szCs w:val="22"/>
          <w:lang w:eastAsia="en-US"/>
        </w:rPr>
      </w:pPr>
      <w:r>
        <w:rPr>
          <w:sz w:val="22"/>
          <w:szCs w:val="22"/>
          <w:lang w:eastAsia="en-US"/>
        </w:rPr>
        <w:t>magnézium-sztearát (E470b)</w:t>
      </w:r>
    </w:p>
    <w:p w14:paraId="6BFEC72C" w14:textId="77777777" w:rsidR="00382B5E" w:rsidRDefault="00BE0CD4">
      <w:pPr>
        <w:tabs>
          <w:tab w:val="left" w:pos="0"/>
        </w:tabs>
        <w:rPr>
          <w:sz w:val="22"/>
          <w:szCs w:val="22"/>
        </w:rPr>
      </w:pPr>
      <w:r>
        <w:rPr>
          <w:sz w:val="22"/>
          <w:szCs w:val="22"/>
        </w:rPr>
        <w:t>karboximetilkeményítő-nátrium (A típusú)</w:t>
      </w:r>
    </w:p>
    <w:p w14:paraId="282BD45A" w14:textId="77777777" w:rsidR="00382B5E" w:rsidRDefault="00BE0CD4">
      <w:pPr>
        <w:tabs>
          <w:tab w:val="left" w:pos="0"/>
        </w:tabs>
        <w:rPr>
          <w:sz w:val="22"/>
          <w:szCs w:val="22"/>
        </w:rPr>
      </w:pPr>
      <w:r>
        <w:rPr>
          <w:sz w:val="22"/>
          <w:szCs w:val="22"/>
        </w:rPr>
        <w:t>sárga vas-oxid (E172)</w:t>
      </w:r>
    </w:p>
    <w:p w14:paraId="347E53CB" w14:textId="77777777" w:rsidR="00382B5E" w:rsidRDefault="00382B5E">
      <w:pPr>
        <w:tabs>
          <w:tab w:val="left" w:pos="0"/>
        </w:tabs>
        <w:rPr>
          <w:sz w:val="22"/>
          <w:szCs w:val="22"/>
        </w:rPr>
      </w:pPr>
    </w:p>
    <w:p w14:paraId="6D615714" w14:textId="77777777" w:rsidR="00382B5E" w:rsidRDefault="00BE0CD4">
      <w:pPr>
        <w:tabs>
          <w:tab w:val="left" w:pos="0"/>
        </w:tabs>
        <w:rPr>
          <w:sz w:val="22"/>
          <w:szCs w:val="22"/>
          <w:u w:val="single"/>
        </w:rPr>
      </w:pPr>
      <w:r>
        <w:rPr>
          <w:sz w:val="22"/>
          <w:szCs w:val="22"/>
          <w:u w:val="single"/>
        </w:rPr>
        <w:t>Filmbevonat:</w:t>
      </w:r>
    </w:p>
    <w:p w14:paraId="4A568D48" w14:textId="77777777" w:rsidR="00382B5E" w:rsidRDefault="00BE0CD4">
      <w:pPr>
        <w:tabs>
          <w:tab w:val="left" w:pos="600"/>
        </w:tabs>
        <w:rPr>
          <w:noProof/>
          <w:sz w:val="22"/>
          <w:szCs w:val="22"/>
          <w:lang w:eastAsia="en-US"/>
        </w:rPr>
      </w:pPr>
      <w:r>
        <w:rPr>
          <w:noProof/>
          <w:sz w:val="22"/>
          <w:szCs w:val="22"/>
          <w:lang w:eastAsia="en-US"/>
        </w:rPr>
        <w:t>poli(vinil-alkohol)</w:t>
      </w:r>
    </w:p>
    <w:p w14:paraId="7576D619" w14:textId="77777777" w:rsidR="00382B5E" w:rsidRDefault="00BE0CD4">
      <w:pPr>
        <w:tabs>
          <w:tab w:val="left" w:pos="600"/>
        </w:tabs>
        <w:rPr>
          <w:noProof/>
          <w:sz w:val="22"/>
          <w:szCs w:val="22"/>
          <w:lang w:eastAsia="en-US"/>
        </w:rPr>
      </w:pPr>
      <w:r>
        <w:rPr>
          <w:noProof/>
          <w:sz w:val="22"/>
          <w:szCs w:val="22"/>
          <w:lang w:eastAsia="en-US"/>
        </w:rPr>
        <w:t>titán-dioxid (E171)</w:t>
      </w:r>
    </w:p>
    <w:p w14:paraId="6B008034" w14:textId="77777777" w:rsidR="00382B5E" w:rsidRDefault="00BE0CD4">
      <w:pPr>
        <w:tabs>
          <w:tab w:val="left" w:pos="600"/>
        </w:tabs>
        <w:rPr>
          <w:noProof/>
          <w:sz w:val="22"/>
          <w:szCs w:val="22"/>
          <w:lang w:eastAsia="en-US"/>
        </w:rPr>
      </w:pPr>
      <w:r>
        <w:rPr>
          <w:noProof/>
          <w:sz w:val="22"/>
          <w:szCs w:val="22"/>
          <w:lang w:eastAsia="en-US"/>
        </w:rPr>
        <w:t>makrogol 3000</w:t>
      </w:r>
    </w:p>
    <w:p w14:paraId="0D43464D" w14:textId="77777777" w:rsidR="00382B5E" w:rsidRDefault="00BE0CD4">
      <w:pPr>
        <w:tabs>
          <w:tab w:val="left" w:pos="600"/>
        </w:tabs>
        <w:rPr>
          <w:noProof/>
          <w:sz w:val="22"/>
          <w:szCs w:val="22"/>
          <w:lang w:eastAsia="en-US"/>
        </w:rPr>
      </w:pPr>
      <w:r>
        <w:rPr>
          <w:noProof/>
          <w:sz w:val="22"/>
          <w:szCs w:val="22"/>
          <w:lang w:eastAsia="en-US"/>
        </w:rPr>
        <w:t>talkum (E553b)</w:t>
      </w:r>
    </w:p>
    <w:p w14:paraId="68ECB1BD" w14:textId="77777777" w:rsidR="00382B5E" w:rsidRDefault="00BE0CD4">
      <w:pPr>
        <w:tabs>
          <w:tab w:val="left" w:pos="600"/>
        </w:tabs>
        <w:rPr>
          <w:noProof/>
          <w:sz w:val="22"/>
          <w:szCs w:val="22"/>
          <w:lang w:eastAsia="en-US"/>
        </w:rPr>
      </w:pPr>
      <w:r>
        <w:rPr>
          <w:noProof/>
          <w:sz w:val="22"/>
          <w:szCs w:val="22"/>
          <w:lang w:eastAsia="en-US"/>
        </w:rPr>
        <w:t>vörös vas-oxid (E172)</w:t>
      </w:r>
      <w:r>
        <w:rPr>
          <w:sz w:val="22"/>
          <w:szCs w:val="22"/>
        </w:rPr>
        <w:t>*</w:t>
      </w:r>
    </w:p>
    <w:p w14:paraId="5B6BA196" w14:textId="77777777" w:rsidR="00382B5E" w:rsidRDefault="00BE0CD4">
      <w:pPr>
        <w:tabs>
          <w:tab w:val="left" w:pos="600"/>
        </w:tabs>
        <w:rPr>
          <w:sz w:val="22"/>
          <w:szCs w:val="22"/>
        </w:rPr>
      </w:pPr>
      <w:r>
        <w:rPr>
          <w:noProof/>
          <w:sz w:val="22"/>
          <w:szCs w:val="22"/>
          <w:lang w:eastAsia="en-US"/>
        </w:rPr>
        <w:lastRenderedPageBreak/>
        <w:t>sárga vas-oxid (E172)</w:t>
      </w:r>
      <w:r>
        <w:rPr>
          <w:sz w:val="22"/>
          <w:szCs w:val="22"/>
        </w:rPr>
        <w:t>**</w:t>
      </w:r>
    </w:p>
    <w:p w14:paraId="4B22CFFB" w14:textId="77777777" w:rsidR="00382B5E" w:rsidRDefault="00382B5E">
      <w:pPr>
        <w:tabs>
          <w:tab w:val="left" w:pos="600"/>
        </w:tabs>
        <w:rPr>
          <w:sz w:val="22"/>
          <w:szCs w:val="22"/>
        </w:rPr>
      </w:pPr>
    </w:p>
    <w:p w14:paraId="1191BDE2" w14:textId="77777777" w:rsidR="00382B5E" w:rsidRDefault="00BE0CD4">
      <w:pPr>
        <w:tabs>
          <w:tab w:val="left" w:pos="600"/>
        </w:tabs>
        <w:rPr>
          <w:sz w:val="22"/>
          <w:szCs w:val="22"/>
        </w:rPr>
      </w:pPr>
      <w:r>
        <w:rPr>
          <w:sz w:val="22"/>
          <w:szCs w:val="22"/>
        </w:rPr>
        <w:t>* csak az 50 mg/5 mg, 50 mg/10 mg, 100 mg/5 mg filmtablettában</w:t>
      </w:r>
    </w:p>
    <w:p w14:paraId="1F2E3795" w14:textId="77777777" w:rsidR="00382B5E" w:rsidRDefault="00BE0CD4">
      <w:pPr>
        <w:tabs>
          <w:tab w:val="left" w:pos="600"/>
        </w:tabs>
        <w:rPr>
          <w:noProof/>
          <w:sz w:val="22"/>
          <w:szCs w:val="22"/>
          <w:lang w:eastAsia="en-US"/>
        </w:rPr>
      </w:pPr>
      <w:r>
        <w:rPr>
          <w:sz w:val="22"/>
          <w:szCs w:val="22"/>
        </w:rPr>
        <w:t>** csak az 50 mg/5 mg, 100 mg/10 mg filmtablettában</w:t>
      </w:r>
    </w:p>
    <w:p w14:paraId="4B17169C" w14:textId="77777777" w:rsidR="00382B5E" w:rsidRDefault="00382B5E">
      <w:pPr>
        <w:tabs>
          <w:tab w:val="left" w:pos="600"/>
        </w:tabs>
        <w:rPr>
          <w:sz w:val="22"/>
          <w:szCs w:val="22"/>
          <w:u w:val="single"/>
        </w:rPr>
      </w:pPr>
    </w:p>
    <w:p w14:paraId="4FCB4373" w14:textId="77777777" w:rsidR="00382B5E" w:rsidRDefault="00BE0CD4">
      <w:pPr>
        <w:rPr>
          <w:b/>
          <w:sz w:val="22"/>
          <w:szCs w:val="22"/>
        </w:rPr>
      </w:pPr>
      <w:r>
        <w:rPr>
          <w:b/>
          <w:sz w:val="22"/>
          <w:szCs w:val="22"/>
        </w:rPr>
        <w:t>6.2</w:t>
      </w:r>
      <w:r>
        <w:rPr>
          <w:b/>
          <w:sz w:val="22"/>
          <w:szCs w:val="22"/>
        </w:rPr>
        <w:tab/>
        <w:t>Inkompatibilitások</w:t>
      </w:r>
    </w:p>
    <w:p w14:paraId="43E77861" w14:textId="77777777" w:rsidR="00382B5E" w:rsidRDefault="00382B5E">
      <w:pPr>
        <w:rPr>
          <w:sz w:val="22"/>
          <w:szCs w:val="22"/>
        </w:rPr>
      </w:pPr>
    </w:p>
    <w:p w14:paraId="220206C5" w14:textId="77777777" w:rsidR="00382B5E" w:rsidRDefault="00BE0CD4">
      <w:pPr>
        <w:rPr>
          <w:sz w:val="22"/>
          <w:szCs w:val="22"/>
        </w:rPr>
      </w:pPr>
      <w:r>
        <w:rPr>
          <w:sz w:val="22"/>
          <w:szCs w:val="22"/>
        </w:rPr>
        <w:t>Nem értelmezhető.</w:t>
      </w:r>
    </w:p>
    <w:p w14:paraId="42CA6BC3" w14:textId="77777777" w:rsidR="00382B5E" w:rsidRDefault="00382B5E">
      <w:pPr>
        <w:rPr>
          <w:sz w:val="22"/>
          <w:szCs w:val="22"/>
        </w:rPr>
      </w:pPr>
    </w:p>
    <w:p w14:paraId="6A94FA85" w14:textId="77777777" w:rsidR="00382B5E" w:rsidRDefault="00BE0CD4">
      <w:pPr>
        <w:rPr>
          <w:b/>
          <w:sz w:val="22"/>
          <w:szCs w:val="22"/>
        </w:rPr>
      </w:pPr>
      <w:r>
        <w:rPr>
          <w:b/>
          <w:sz w:val="22"/>
          <w:szCs w:val="22"/>
        </w:rPr>
        <w:t>6.3</w:t>
      </w:r>
      <w:r>
        <w:rPr>
          <w:b/>
          <w:sz w:val="22"/>
          <w:szCs w:val="22"/>
        </w:rPr>
        <w:tab/>
        <w:t>Felhasználhatósági időtartam</w:t>
      </w:r>
    </w:p>
    <w:p w14:paraId="705BA29F" w14:textId="77777777" w:rsidR="00382B5E" w:rsidRDefault="00382B5E">
      <w:pPr>
        <w:rPr>
          <w:sz w:val="22"/>
          <w:szCs w:val="22"/>
        </w:rPr>
      </w:pPr>
    </w:p>
    <w:p w14:paraId="067A9398" w14:textId="77777777" w:rsidR="00382B5E" w:rsidRDefault="00BE0CD4">
      <w:pPr>
        <w:tabs>
          <w:tab w:val="left" w:pos="600"/>
        </w:tabs>
        <w:rPr>
          <w:sz w:val="22"/>
          <w:szCs w:val="22"/>
        </w:rPr>
      </w:pPr>
      <w:r>
        <w:rPr>
          <w:sz w:val="22"/>
          <w:szCs w:val="22"/>
        </w:rPr>
        <w:t>3 év</w:t>
      </w:r>
    </w:p>
    <w:p w14:paraId="277CDC00" w14:textId="77777777" w:rsidR="00382B5E" w:rsidRDefault="00382B5E">
      <w:pPr>
        <w:rPr>
          <w:sz w:val="22"/>
          <w:szCs w:val="22"/>
        </w:rPr>
      </w:pPr>
    </w:p>
    <w:p w14:paraId="7C10C529" w14:textId="77777777" w:rsidR="00382B5E" w:rsidRDefault="00BE0CD4">
      <w:pPr>
        <w:rPr>
          <w:b/>
          <w:sz w:val="22"/>
          <w:szCs w:val="22"/>
        </w:rPr>
      </w:pPr>
      <w:r>
        <w:rPr>
          <w:b/>
          <w:sz w:val="22"/>
          <w:szCs w:val="22"/>
        </w:rPr>
        <w:t>6.4</w:t>
      </w:r>
      <w:r>
        <w:rPr>
          <w:b/>
          <w:sz w:val="22"/>
          <w:szCs w:val="22"/>
        </w:rPr>
        <w:tab/>
        <w:t>Különleges tárolási előírások</w:t>
      </w:r>
    </w:p>
    <w:p w14:paraId="2A68BBF1" w14:textId="77777777" w:rsidR="00382B5E" w:rsidRDefault="00382B5E">
      <w:pPr>
        <w:tabs>
          <w:tab w:val="left" w:pos="600"/>
        </w:tabs>
        <w:rPr>
          <w:i/>
          <w:sz w:val="22"/>
          <w:szCs w:val="22"/>
        </w:rPr>
      </w:pPr>
    </w:p>
    <w:p w14:paraId="0EFEE4BF" w14:textId="77777777" w:rsidR="00382B5E" w:rsidRDefault="00BE0CD4">
      <w:pPr>
        <w:tabs>
          <w:tab w:val="left" w:pos="600"/>
        </w:tabs>
        <w:rPr>
          <w:sz w:val="22"/>
          <w:szCs w:val="22"/>
        </w:rPr>
      </w:pPr>
      <w:r>
        <w:rPr>
          <w:noProof/>
          <w:sz w:val="22"/>
          <w:szCs w:val="22"/>
        </w:rPr>
        <w:t>Ez a gyógyszer nem igényel különleges tárolást.</w:t>
      </w:r>
    </w:p>
    <w:p w14:paraId="639A1ED8" w14:textId="77777777" w:rsidR="00382B5E" w:rsidRDefault="00382B5E">
      <w:pPr>
        <w:rPr>
          <w:i/>
          <w:sz w:val="22"/>
          <w:szCs w:val="22"/>
        </w:rPr>
      </w:pPr>
    </w:p>
    <w:p w14:paraId="2A9E2BCC" w14:textId="77777777" w:rsidR="00382B5E" w:rsidRDefault="00BE0CD4">
      <w:pPr>
        <w:rPr>
          <w:b/>
          <w:sz w:val="22"/>
          <w:szCs w:val="22"/>
        </w:rPr>
      </w:pPr>
      <w:r>
        <w:rPr>
          <w:b/>
          <w:sz w:val="22"/>
          <w:szCs w:val="22"/>
        </w:rPr>
        <w:t>6.5</w:t>
      </w:r>
      <w:r>
        <w:rPr>
          <w:b/>
          <w:sz w:val="22"/>
          <w:szCs w:val="22"/>
        </w:rPr>
        <w:tab/>
        <w:t>Csomagolás típusa és kiszerelése</w:t>
      </w:r>
    </w:p>
    <w:p w14:paraId="1102F718" w14:textId="77777777" w:rsidR="00382B5E" w:rsidRDefault="00382B5E">
      <w:pPr>
        <w:rPr>
          <w:sz w:val="22"/>
          <w:szCs w:val="22"/>
        </w:rPr>
      </w:pPr>
    </w:p>
    <w:p w14:paraId="39CE2039" w14:textId="77777777" w:rsidR="00382B5E" w:rsidRDefault="00BE0CD4">
      <w:pPr>
        <w:tabs>
          <w:tab w:val="left" w:pos="567"/>
        </w:tabs>
        <w:rPr>
          <w:sz w:val="22"/>
          <w:szCs w:val="22"/>
          <w:lang w:eastAsia="en-US"/>
        </w:rPr>
      </w:pPr>
      <w:r>
        <w:rPr>
          <w:sz w:val="22"/>
          <w:szCs w:val="22"/>
          <w:lang w:eastAsia="en-US"/>
        </w:rPr>
        <w:t>10 db, 28 db, 30 db, 56 db, 60 db, 84 db, 90 db és 100 db filmtabletta OPA/Al/PVC//Al buborékcsomagolásban, dobozban.</w:t>
      </w:r>
    </w:p>
    <w:p w14:paraId="33B6EFA4" w14:textId="77777777" w:rsidR="00382B5E" w:rsidRDefault="00382B5E">
      <w:pPr>
        <w:rPr>
          <w:sz w:val="22"/>
          <w:szCs w:val="22"/>
          <w:u w:val="single"/>
        </w:rPr>
      </w:pPr>
    </w:p>
    <w:p w14:paraId="0C14449E" w14:textId="77777777" w:rsidR="00382B5E" w:rsidRDefault="00BE0CD4">
      <w:pPr>
        <w:rPr>
          <w:sz w:val="22"/>
          <w:szCs w:val="22"/>
        </w:rPr>
      </w:pPr>
      <w:r>
        <w:rPr>
          <w:sz w:val="22"/>
          <w:szCs w:val="22"/>
        </w:rPr>
        <w:t>Nem feltétlenül mindegyik kiszerelés kerül kereskedelmi forgalomba.</w:t>
      </w:r>
    </w:p>
    <w:p w14:paraId="0099134E" w14:textId="77777777" w:rsidR="00382B5E" w:rsidRDefault="00382B5E">
      <w:pPr>
        <w:rPr>
          <w:sz w:val="22"/>
          <w:szCs w:val="22"/>
        </w:rPr>
      </w:pPr>
    </w:p>
    <w:p w14:paraId="0B8649C4" w14:textId="77777777" w:rsidR="00382B5E" w:rsidRDefault="00BE0CD4">
      <w:pPr>
        <w:ind w:left="567" w:hanging="567"/>
        <w:rPr>
          <w:b/>
          <w:noProof/>
          <w:sz w:val="22"/>
          <w:szCs w:val="22"/>
        </w:rPr>
      </w:pPr>
      <w:r>
        <w:rPr>
          <w:b/>
          <w:sz w:val="22"/>
          <w:szCs w:val="22"/>
        </w:rPr>
        <w:t>6.6</w:t>
      </w:r>
      <w:r>
        <w:rPr>
          <w:b/>
          <w:sz w:val="22"/>
          <w:szCs w:val="22"/>
        </w:rPr>
        <w:tab/>
      </w:r>
      <w:r>
        <w:rPr>
          <w:b/>
          <w:noProof/>
          <w:sz w:val="22"/>
          <w:szCs w:val="22"/>
        </w:rPr>
        <w:t>A megsemmisítésre vonatkozó különleges óvintézkedések</w:t>
      </w:r>
      <w:r>
        <w:rPr>
          <w:b/>
          <w:bCs/>
          <w:sz w:val="22"/>
          <w:szCs w:val="22"/>
        </w:rPr>
        <w:t xml:space="preserve"> és egyéb, a készítmény kezelésével kapcsolatos információk</w:t>
      </w:r>
    </w:p>
    <w:p w14:paraId="39C8A10C" w14:textId="77777777" w:rsidR="00382B5E" w:rsidRDefault="00382B5E">
      <w:pPr>
        <w:rPr>
          <w:sz w:val="22"/>
          <w:szCs w:val="22"/>
        </w:rPr>
      </w:pPr>
    </w:p>
    <w:p w14:paraId="60D71B38" w14:textId="77777777" w:rsidR="00382B5E" w:rsidRPr="00AD5446" w:rsidRDefault="00BE0CD4">
      <w:pPr>
        <w:pStyle w:val="02"/>
        <w:autoSpaceDE w:val="0"/>
        <w:spacing w:before="0" w:after="0"/>
        <w:ind w:firstLine="0"/>
        <w:rPr>
          <w:b w:val="0"/>
          <w:lang w:val="hu-HU"/>
        </w:rPr>
      </w:pPr>
      <w:r w:rsidRPr="00AD5446">
        <w:rPr>
          <w:b w:val="0"/>
          <w:lang w:val="hu-HU"/>
        </w:rPr>
        <w:t>Bármilyen fel nem használt gyógyszer, illetve hulladékanyag megsemmisítését a gyógyszerekre vonatkozó előírások szerint kell végrehajtani.</w:t>
      </w:r>
    </w:p>
    <w:p w14:paraId="373C0B03" w14:textId="77777777" w:rsidR="00382B5E" w:rsidRDefault="00382B5E">
      <w:pPr>
        <w:pStyle w:val="02"/>
        <w:autoSpaceDE w:val="0"/>
        <w:spacing w:before="0" w:after="0"/>
        <w:ind w:firstLine="0"/>
        <w:rPr>
          <w:b w:val="0"/>
          <w:bCs w:val="0"/>
          <w:lang w:val="hu-HU"/>
        </w:rPr>
      </w:pPr>
    </w:p>
    <w:p w14:paraId="157F3980" w14:textId="77777777" w:rsidR="00382B5E" w:rsidRDefault="00BE0CD4">
      <w:pPr>
        <w:keepNext/>
        <w:tabs>
          <w:tab w:val="left" w:pos="567"/>
        </w:tabs>
        <w:rPr>
          <w:b/>
          <w:sz w:val="22"/>
          <w:szCs w:val="22"/>
        </w:rPr>
      </w:pPr>
      <w:r>
        <w:rPr>
          <w:b/>
          <w:sz w:val="22"/>
          <w:szCs w:val="22"/>
        </w:rPr>
        <w:t xml:space="preserve">Megjegyzés: </w:t>
      </w:r>
      <w:r>
        <w:rPr>
          <w:sz w:val="22"/>
          <w:szCs w:val="22"/>
        </w:rPr>
        <w:sym w:font="Wingdings" w:char="F058"/>
      </w:r>
      <w:r>
        <w:rPr>
          <w:b/>
          <w:sz w:val="22"/>
          <w:szCs w:val="22"/>
        </w:rPr>
        <w:t xml:space="preserve"> (egy keresztes)</w:t>
      </w:r>
    </w:p>
    <w:p w14:paraId="4CCD9AF2" w14:textId="77777777" w:rsidR="00382B5E" w:rsidRDefault="00BE0CD4">
      <w:pPr>
        <w:pStyle w:val="Cmsor3"/>
        <w:numPr>
          <w:ilvl w:val="0"/>
          <w:numId w:val="0"/>
        </w:numPr>
        <w:tabs>
          <w:tab w:val="left" w:pos="567"/>
          <w:tab w:val="left" w:pos="7088"/>
        </w:tabs>
        <w:jc w:val="left"/>
        <w:rPr>
          <w:b/>
          <w:i w:val="0"/>
          <w:sz w:val="22"/>
          <w:szCs w:val="22"/>
        </w:rPr>
      </w:pPr>
      <w:r>
        <w:rPr>
          <w:b/>
          <w:i w:val="0"/>
          <w:sz w:val="22"/>
          <w:szCs w:val="22"/>
        </w:rPr>
        <w:t>Osztályozás: II. csoport</w:t>
      </w:r>
    </w:p>
    <w:p w14:paraId="06BE1FA4" w14:textId="77777777" w:rsidR="00382B5E" w:rsidRDefault="00BE0CD4">
      <w:pPr>
        <w:tabs>
          <w:tab w:val="left" w:pos="567"/>
          <w:tab w:val="left" w:pos="7088"/>
        </w:tabs>
        <w:rPr>
          <w:sz w:val="22"/>
          <w:szCs w:val="22"/>
        </w:rPr>
      </w:pPr>
      <w:r>
        <w:rPr>
          <w:sz w:val="22"/>
          <w:szCs w:val="22"/>
        </w:rPr>
        <w:t>Kizárólag orvosi rendelvényhez kötött gyógyszer (V).</w:t>
      </w:r>
    </w:p>
    <w:p w14:paraId="46D0955E" w14:textId="77777777" w:rsidR="00382B5E" w:rsidRDefault="00382B5E">
      <w:pPr>
        <w:tabs>
          <w:tab w:val="left" w:pos="567"/>
          <w:tab w:val="left" w:pos="7088"/>
        </w:tabs>
        <w:rPr>
          <w:sz w:val="22"/>
          <w:szCs w:val="22"/>
        </w:rPr>
      </w:pPr>
    </w:p>
    <w:p w14:paraId="4AFF193B" w14:textId="77777777" w:rsidR="00382B5E" w:rsidRDefault="00382B5E">
      <w:pPr>
        <w:rPr>
          <w:sz w:val="22"/>
          <w:szCs w:val="22"/>
        </w:rPr>
      </w:pPr>
    </w:p>
    <w:p w14:paraId="3777BD5B" w14:textId="77777777" w:rsidR="00382B5E" w:rsidRDefault="00BE0CD4">
      <w:pPr>
        <w:rPr>
          <w:b/>
          <w:sz w:val="22"/>
          <w:szCs w:val="22"/>
        </w:rPr>
      </w:pPr>
      <w:r>
        <w:rPr>
          <w:b/>
          <w:sz w:val="22"/>
          <w:szCs w:val="22"/>
        </w:rPr>
        <w:t>7.</w:t>
      </w:r>
      <w:r>
        <w:rPr>
          <w:b/>
          <w:sz w:val="22"/>
          <w:szCs w:val="22"/>
        </w:rPr>
        <w:tab/>
        <w:t>A FORGALOMBA HOZATALI ENGEDÉLY JOGOSULTJA</w:t>
      </w:r>
    </w:p>
    <w:p w14:paraId="07A82C7F" w14:textId="77777777" w:rsidR="00382B5E" w:rsidRDefault="00382B5E">
      <w:pPr>
        <w:rPr>
          <w:sz w:val="22"/>
          <w:szCs w:val="22"/>
        </w:rPr>
      </w:pPr>
    </w:p>
    <w:p w14:paraId="59BFAED8" w14:textId="77777777" w:rsidR="00382B5E" w:rsidRDefault="00BE0CD4">
      <w:pPr>
        <w:rPr>
          <w:sz w:val="22"/>
          <w:szCs w:val="22"/>
          <w:lang w:eastAsia="en-US"/>
        </w:rPr>
      </w:pPr>
      <w:r>
        <w:rPr>
          <w:sz w:val="22"/>
          <w:szCs w:val="22"/>
          <w:lang w:eastAsia="en-US"/>
        </w:rPr>
        <w:t>KRKA, d.d., Novo mesto, Šmarješka cesta 6, 8501 Novo mesto, Szlovénia</w:t>
      </w:r>
    </w:p>
    <w:p w14:paraId="29A382D7" w14:textId="77777777" w:rsidR="00382B5E" w:rsidRDefault="00382B5E">
      <w:pPr>
        <w:rPr>
          <w:sz w:val="22"/>
          <w:szCs w:val="22"/>
        </w:rPr>
      </w:pPr>
    </w:p>
    <w:p w14:paraId="00DF3AF1" w14:textId="77777777" w:rsidR="00382B5E" w:rsidRDefault="00382B5E">
      <w:pPr>
        <w:rPr>
          <w:sz w:val="22"/>
          <w:szCs w:val="22"/>
        </w:rPr>
      </w:pPr>
    </w:p>
    <w:p w14:paraId="0EE4D1F2" w14:textId="77777777" w:rsidR="00382B5E" w:rsidRDefault="00BE0CD4">
      <w:pPr>
        <w:keepNext/>
        <w:rPr>
          <w:b/>
          <w:sz w:val="22"/>
          <w:szCs w:val="22"/>
        </w:rPr>
      </w:pPr>
      <w:r>
        <w:rPr>
          <w:b/>
          <w:sz w:val="22"/>
          <w:szCs w:val="22"/>
        </w:rPr>
        <w:t>8.</w:t>
      </w:r>
      <w:r>
        <w:rPr>
          <w:b/>
          <w:sz w:val="22"/>
          <w:szCs w:val="22"/>
        </w:rPr>
        <w:tab/>
        <w:t>A FORGALOMBA HOZATALI ENGEDÉLY SZÁMA(I)</w:t>
      </w:r>
    </w:p>
    <w:p w14:paraId="7B56F2B3" w14:textId="77777777" w:rsidR="00382B5E" w:rsidRDefault="00382B5E">
      <w:pPr>
        <w:rPr>
          <w:i/>
          <w:sz w:val="22"/>
          <w:szCs w:val="22"/>
        </w:rPr>
      </w:pPr>
    </w:p>
    <w:p w14:paraId="51A9B4CD" w14:textId="77777777" w:rsidR="00382B5E" w:rsidRDefault="00BE0CD4">
      <w:pPr>
        <w:rPr>
          <w:sz w:val="22"/>
          <w:szCs w:val="22"/>
          <w:u w:val="single"/>
        </w:rPr>
      </w:pPr>
      <w:r>
        <w:rPr>
          <w:sz w:val="22"/>
          <w:szCs w:val="22"/>
          <w:u w:val="single"/>
        </w:rPr>
        <w:t>Losartan/Amlodipin Krka 50 mg/5 mg filmtabletta</w:t>
      </w:r>
    </w:p>
    <w:p w14:paraId="7689F0C4" w14:textId="77777777" w:rsidR="00382B5E" w:rsidRDefault="00BE0CD4">
      <w:pPr>
        <w:tabs>
          <w:tab w:val="right" w:pos="2410"/>
          <w:tab w:val="left" w:pos="2835"/>
        </w:tabs>
        <w:rPr>
          <w:sz w:val="22"/>
          <w:szCs w:val="22"/>
        </w:rPr>
      </w:pPr>
      <w:r>
        <w:rPr>
          <w:sz w:val="22"/>
          <w:szCs w:val="22"/>
        </w:rPr>
        <w:t>OGYI-T-23039/01</w:t>
      </w:r>
      <w:r>
        <w:rPr>
          <w:sz w:val="22"/>
          <w:szCs w:val="22"/>
        </w:rPr>
        <w:tab/>
        <w:t>10×</w:t>
      </w:r>
      <w:r>
        <w:rPr>
          <w:sz w:val="22"/>
          <w:szCs w:val="22"/>
        </w:rPr>
        <w:tab/>
      </w:r>
      <w:r>
        <w:rPr>
          <w:sz w:val="22"/>
          <w:szCs w:val="22"/>
          <w:lang w:eastAsia="en-US"/>
        </w:rPr>
        <w:t>OPA/Al/PVC//Al buborékcsomagolás</w:t>
      </w:r>
    </w:p>
    <w:p w14:paraId="24E6764E" w14:textId="77777777" w:rsidR="00382B5E" w:rsidRDefault="00BE0CD4">
      <w:pPr>
        <w:tabs>
          <w:tab w:val="right" w:pos="2410"/>
          <w:tab w:val="left" w:pos="2835"/>
        </w:tabs>
        <w:rPr>
          <w:sz w:val="22"/>
          <w:szCs w:val="22"/>
        </w:rPr>
      </w:pPr>
      <w:r>
        <w:rPr>
          <w:sz w:val="22"/>
          <w:szCs w:val="22"/>
        </w:rPr>
        <w:t>OGYI-T-23039/02</w:t>
      </w:r>
      <w:r>
        <w:rPr>
          <w:sz w:val="22"/>
          <w:szCs w:val="22"/>
        </w:rPr>
        <w:tab/>
        <w:t>28×</w:t>
      </w:r>
      <w:r>
        <w:rPr>
          <w:sz w:val="22"/>
          <w:szCs w:val="22"/>
        </w:rPr>
        <w:tab/>
      </w:r>
      <w:r>
        <w:rPr>
          <w:sz w:val="22"/>
          <w:szCs w:val="22"/>
          <w:lang w:eastAsia="en-US"/>
        </w:rPr>
        <w:t>OPA/Al/PVC//Al buborékcsomagolás</w:t>
      </w:r>
    </w:p>
    <w:p w14:paraId="385565C7" w14:textId="77777777" w:rsidR="00382B5E" w:rsidRDefault="00BE0CD4">
      <w:pPr>
        <w:tabs>
          <w:tab w:val="right" w:pos="2410"/>
          <w:tab w:val="left" w:pos="2835"/>
        </w:tabs>
        <w:rPr>
          <w:sz w:val="22"/>
          <w:szCs w:val="22"/>
        </w:rPr>
      </w:pPr>
      <w:r>
        <w:rPr>
          <w:sz w:val="22"/>
          <w:szCs w:val="22"/>
        </w:rPr>
        <w:t>OGYI-T-23039/03</w:t>
      </w:r>
      <w:r>
        <w:rPr>
          <w:sz w:val="22"/>
          <w:szCs w:val="22"/>
        </w:rPr>
        <w:tab/>
        <w:t>30×</w:t>
      </w:r>
      <w:r>
        <w:rPr>
          <w:sz w:val="22"/>
          <w:szCs w:val="22"/>
        </w:rPr>
        <w:tab/>
      </w:r>
      <w:r>
        <w:rPr>
          <w:sz w:val="22"/>
          <w:szCs w:val="22"/>
          <w:lang w:eastAsia="en-US"/>
        </w:rPr>
        <w:t>OPA/Al/PVC//Al buborékcsomagolás</w:t>
      </w:r>
    </w:p>
    <w:p w14:paraId="3F2E5C29" w14:textId="77777777" w:rsidR="00382B5E" w:rsidRDefault="00BE0CD4">
      <w:pPr>
        <w:tabs>
          <w:tab w:val="right" w:pos="2410"/>
          <w:tab w:val="left" w:pos="2835"/>
        </w:tabs>
        <w:rPr>
          <w:sz w:val="22"/>
          <w:szCs w:val="22"/>
        </w:rPr>
      </w:pPr>
      <w:r>
        <w:rPr>
          <w:sz w:val="22"/>
          <w:szCs w:val="22"/>
        </w:rPr>
        <w:t>OGYI-T-23039/04</w:t>
      </w:r>
      <w:r>
        <w:rPr>
          <w:sz w:val="22"/>
          <w:szCs w:val="22"/>
        </w:rPr>
        <w:tab/>
        <w:t>56×</w:t>
      </w:r>
      <w:r>
        <w:rPr>
          <w:sz w:val="22"/>
          <w:szCs w:val="22"/>
        </w:rPr>
        <w:tab/>
      </w:r>
      <w:r>
        <w:rPr>
          <w:sz w:val="22"/>
          <w:szCs w:val="22"/>
          <w:lang w:eastAsia="en-US"/>
        </w:rPr>
        <w:t>OPA/Al/PVC//Al buborékcsomagolás</w:t>
      </w:r>
    </w:p>
    <w:p w14:paraId="709254B4" w14:textId="77777777" w:rsidR="00382B5E" w:rsidRDefault="00BE0CD4">
      <w:pPr>
        <w:tabs>
          <w:tab w:val="right" w:pos="2410"/>
          <w:tab w:val="left" w:pos="2835"/>
        </w:tabs>
        <w:rPr>
          <w:sz w:val="22"/>
          <w:szCs w:val="22"/>
        </w:rPr>
      </w:pPr>
      <w:r>
        <w:rPr>
          <w:sz w:val="22"/>
          <w:szCs w:val="22"/>
        </w:rPr>
        <w:t>OGYI-T-23039/05</w:t>
      </w:r>
      <w:r>
        <w:rPr>
          <w:sz w:val="22"/>
          <w:szCs w:val="22"/>
        </w:rPr>
        <w:tab/>
        <w:t>60×</w:t>
      </w:r>
      <w:r>
        <w:rPr>
          <w:sz w:val="22"/>
          <w:szCs w:val="22"/>
        </w:rPr>
        <w:tab/>
      </w:r>
      <w:r>
        <w:rPr>
          <w:sz w:val="22"/>
          <w:szCs w:val="22"/>
          <w:lang w:eastAsia="en-US"/>
        </w:rPr>
        <w:t>OPA/Al/PVC//Al buborékcsomagolás</w:t>
      </w:r>
    </w:p>
    <w:p w14:paraId="38C865FE" w14:textId="77777777" w:rsidR="00382B5E" w:rsidRDefault="00BE0CD4">
      <w:pPr>
        <w:tabs>
          <w:tab w:val="right" w:pos="2410"/>
          <w:tab w:val="left" w:pos="2835"/>
        </w:tabs>
        <w:rPr>
          <w:sz w:val="22"/>
          <w:szCs w:val="22"/>
        </w:rPr>
      </w:pPr>
      <w:r>
        <w:rPr>
          <w:sz w:val="22"/>
          <w:szCs w:val="22"/>
        </w:rPr>
        <w:t>OGYI-T-23039/06</w:t>
      </w:r>
      <w:r>
        <w:rPr>
          <w:sz w:val="22"/>
          <w:szCs w:val="22"/>
        </w:rPr>
        <w:tab/>
        <w:t>84×</w:t>
      </w:r>
      <w:r>
        <w:rPr>
          <w:sz w:val="22"/>
          <w:szCs w:val="22"/>
        </w:rPr>
        <w:tab/>
      </w:r>
      <w:r>
        <w:rPr>
          <w:sz w:val="22"/>
          <w:szCs w:val="22"/>
          <w:lang w:eastAsia="en-US"/>
        </w:rPr>
        <w:t>OPA/Al/PVC//Al buborékcsomagolás</w:t>
      </w:r>
    </w:p>
    <w:p w14:paraId="7AFD8AA0" w14:textId="77777777" w:rsidR="00382B5E" w:rsidRDefault="00BE0CD4">
      <w:pPr>
        <w:tabs>
          <w:tab w:val="right" w:pos="2410"/>
          <w:tab w:val="left" w:pos="2835"/>
        </w:tabs>
        <w:rPr>
          <w:sz w:val="22"/>
          <w:szCs w:val="22"/>
        </w:rPr>
      </w:pPr>
      <w:r>
        <w:rPr>
          <w:sz w:val="22"/>
          <w:szCs w:val="22"/>
        </w:rPr>
        <w:t>OGYI-T-23039/07</w:t>
      </w:r>
      <w:r>
        <w:rPr>
          <w:sz w:val="22"/>
          <w:szCs w:val="22"/>
        </w:rPr>
        <w:tab/>
        <w:t>90×</w:t>
      </w:r>
      <w:r>
        <w:rPr>
          <w:sz w:val="22"/>
          <w:szCs w:val="22"/>
        </w:rPr>
        <w:tab/>
      </w:r>
      <w:r>
        <w:rPr>
          <w:sz w:val="22"/>
          <w:szCs w:val="22"/>
          <w:lang w:eastAsia="en-US"/>
        </w:rPr>
        <w:t>OPA/Al/PVC//Al buborékcsomagolás</w:t>
      </w:r>
    </w:p>
    <w:p w14:paraId="6BBC15A8" w14:textId="77777777" w:rsidR="00382B5E" w:rsidRDefault="00BE0CD4">
      <w:pPr>
        <w:tabs>
          <w:tab w:val="right" w:pos="2410"/>
          <w:tab w:val="left" w:pos="2835"/>
        </w:tabs>
        <w:rPr>
          <w:sz w:val="22"/>
          <w:szCs w:val="22"/>
        </w:rPr>
      </w:pPr>
      <w:r>
        <w:rPr>
          <w:sz w:val="22"/>
          <w:szCs w:val="22"/>
        </w:rPr>
        <w:t>OGYI-T-23039/08</w:t>
      </w:r>
      <w:r>
        <w:rPr>
          <w:sz w:val="22"/>
          <w:szCs w:val="22"/>
        </w:rPr>
        <w:tab/>
        <w:t>100×</w:t>
      </w:r>
      <w:r>
        <w:rPr>
          <w:sz w:val="22"/>
          <w:szCs w:val="22"/>
        </w:rPr>
        <w:tab/>
      </w:r>
      <w:r>
        <w:rPr>
          <w:sz w:val="22"/>
          <w:szCs w:val="22"/>
          <w:lang w:eastAsia="en-US"/>
        </w:rPr>
        <w:t>OPA/Al/PVC//Al buborékcsomagolás</w:t>
      </w:r>
    </w:p>
    <w:p w14:paraId="2997BFD9" w14:textId="77777777" w:rsidR="00382B5E" w:rsidRDefault="00382B5E">
      <w:pPr>
        <w:rPr>
          <w:sz w:val="22"/>
          <w:szCs w:val="22"/>
        </w:rPr>
      </w:pPr>
    </w:p>
    <w:p w14:paraId="3DA7BE60" w14:textId="77777777" w:rsidR="00382B5E" w:rsidRDefault="00BE0CD4">
      <w:pPr>
        <w:rPr>
          <w:sz w:val="22"/>
          <w:szCs w:val="22"/>
          <w:u w:val="single"/>
        </w:rPr>
      </w:pPr>
      <w:r>
        <w:rPr>
          <w:sz w:val="22"/>
          <w:szCs w:val="22"/>
          <w:u w:val="single"/>
        </w:rPr>
        <w:t>Losartan/Amlodipin Krka 50 mg/10 mg filmtabletta</w:t>
      </w:r>
    </w:p>
    <w:p w14:paraId="673F3AD8" w14:textId="77777777" w:rsidR="00382B5E" w:rsidRDefault="00BE0CD4">
      <w:pPr>
        <w:tabs>
          <w:tab w:val="right" w:pos="2410"/>
          <w:tab w:val="left" w:pos="2835"/>
        </w:tabs>
        <w:rPr>
          <w:sz w:val="22"/>
          <w:szCs w:val="22"/>
        </w:rPr>
      </w:pPr>
      <w:r>
        <w:rPr>
          <w:sz w:val="22"/>
          <w:szCs w:val="22"/>
        </w:rPr>
        <w:t>OGYI-T-23039/09</w:t>
      </w:r>
      <w:r>
        <w:rPr>
          <w:sz w:val="22"/>
          <w:szCs w:val="22"/>
        </w:rPr>
        <w:tab/>
        <w:t>10×</w:t>
      </w:r>
      <w:r>
        <w:rPr>
          <w:sz w:val="22"/>
          <w:szCs w:val="22"/>
        </w:rPr>
        <w:tab/>
      </w:r>
      <w:r>
        <w:rPr>
          <w:sz w:val="22"/>
          <w:szCs w:val="22"/>
          <w:lang w:eastAsia="en-US"/>
        </w:rPr>
        <w:t>OPA/Al/PVC//Al buborékcsomagolás</w:t>
      </w:r>
    </w:p>
    <w:p w14:paraId="7FC165BA" w14:textId="77777777" w:rsidR="00382B5E" w:rsidRDefault="00BE0CD4">
      <w:pPr>
        <w:tabs>
          <w:tab w:val="right" w:pos="2410"/>
          <w:tab w:val="left" w:pos="2835"/>
        </w:tabs>
        <w:rPr>
          <w:sz w:val="22"/>
          <w:szCs w:val="22"/>
        </w:rPr>
      </w:pPr>
      <w:r>
        <w:rPr>
          <w:sz w:val="22"/>
          <w:szCs w:val="22"/>
        </w:rPr>
        <w:t>OGYI-T-23039/10</w:t>
      </w:r>
      <w:r>
        <w:rPr>
          <w:sz w:val="22"/>
          <w:szCs w:val="22"/>
        </w:rPr>
        <w:tab/>
        <w:t>28×</w:t>
      </w:r>
      <w:r>
        <w:rPr>
          <w:sz w:val="22"/>
          <w:szCs w:val="22"/>
        </w:rPr>
        <w:tab/>
      </w:r>
      <w:r>
        <w:rPr>
          <w:sz w:val="22"/>
          <w:szCs w:val="22"/>
          <w:lang w:eastAsia="en-US"/>
        </w:rPr>
        <w:t>OPA/Al/PVC//Al buborékcsomagolás</w:t>
      </w:r>
    </w:p>
    <w:p w14:paraId="39689B0A" w14:textId="77777777" w:rsidR="00382B5E" w:rsidRDefault="00BE0CD4">
      <w:pPr>
        <w:tabs>
          <w:tab w:val="right" w:pos="2410"/>
          <w:tab w:val="left" w:pos="2835"/>
        </w:tabs>
        <w:rPr>
          <w:sz w:val="22"/>
          <w:szCs w:val="22"/>
        </w:rPr>
      </w:pPr>
      <w:r>
        <w:rPr>
          <w:sz w:val="22"/>
          <w:szCs w:val="22"/>
        </w:rPr>
        <w:t>OGYI-T-23039/11</w:t>
      </w:r>
      <w:r>
        <w:rPr>
          <w:sz w:val="22"/>
          <w:szCs w:val="22"/>
        </w:rPr>
        <w:tab/>
        <w:t>30×</w:t>
      </w:r>
      <w:r>
        <w:rPr>
          <w:sz w:val="22"/>
          <w:szCs w:val="22"/>
        </w:rPr>
        <w:tab/>
      </w:r>
      <w:r>
        <w:rPr>
          <w:sz w:val="22"/>
          <w:szCs w:val="22"/>
          <w:lang w:eastAsia="en-US"/>
        </w:rPr>
        <w:t>OPA/Al/PVC//Al buborékcsomagolás</w:t>
      </w:r>
    </w:p>
    <w:p w14:paraId="7D109BE1" w14:textId="77777777" w:rsidR="00382B5E" w:rsidRDefault="00BE0CD4">
      <w:pPr>
        <w:tabs>
          <w:tab w:val="right" w:pos="2410"/>
          <w:tab w:val="left" w:pos="2835"/>
        </w:tabs>
        <w:rPr>
          <w:sz w:val="22"/>
          <w:szCs w:val="22"/>
        </w:rPr>
      </w:pPr>
      <w:r>
        <w:rPr>
          <w:sz w:val="22"/>
          <w:szCs w:val="22"/>
        </w:rPr>
        <w:t>OGYI-T-23039/12</w:t>
      </w:r>
      <w:r>
        <w:rPr>
          <w:sz w:val="22"/>
          <w:szCs w:val="22"/>
        </w:rPr>
        <w:tab/>
        <w:t>56×</w:t>
      </w:r>
      <w:r>
        <w:rPr>
          <w:sz w:val="22"/>
          <w:szCs w:val="22"/>
        </w:rPr>
        <w:tab/>
      </w:r>
      <w:r>
        <w:rPr>
          <w:sz w:val="22"/>
          <w:szCs w:val="22"/>
          <w:lang w:eastAsia="en-US"/>
        </w:rPr>
        <w:t>OPA/Al/PVC//Al buborékcsomagolás</w:t>
      </w:r>
    </w:p>
    <w:p w14:paraId="0139115C" w14:textId="77777777" w:rsidR="00382B5E" w:rsidRDefault="00BE0CD4">
      <w:pPr>
        <w:tabs>
          <w:tab w:val="right" w:pos="2410"/>
          <w:tab w:val="left" w:pos="2835"/>
        </w:tabs>
        <w:rPr>
          <w:sz w:val="22"/>
          <w:szCs w:val="22"/>
        </w:rPr>
      </w:pPr>
      <w:r>
        <w:rPr>
          <w:sz w:val="22"/>
          <w:szCs w:val="22"/>
        </w:rPr>
        <w:lastRenderedPageBreak/>
        <w:t>OGYI-T-23039/13</w:t>
      </w:r>
      <w:r>
        <w:rPr>
          <w:sz w:val="22"/>
          <w:szCs w:val="22"/>
        </w:rPr>
        <w:tab/>
        <w:t>60×</w:t>
      </w:r>
      <w:r>
        <w:rPr>
          <w:sz w:val="22"/>
          <w:szCs w:val="22"/>
        </w:rPr>
        <w:tab/>
      </w:r>
      <w:r>
        <w:rPr>
          <w:sz w:val="22"/>
          <w:szCs w:val="22"/>
          <w:lang w:eastAsia="en-US"/>
        </w:rPr>
        <w:t>OPA/Al/PVC//Al buborékcsomagolás</w:t>
      </w:r>
    </w:p>
    <w:p w14:paraId="055BAB66" w14:textId="77777777" w:rsidR="00382B5E" w:rsidRDefault="00BE0CD4">
      <w:pPr>
        <w:tabs>
          <w:tab w:val="right" w:pos="2410"/>
          <w:tab w:val="left" w:pos="2835"/>
        </w:tabs>
        <w:rPr>
          <w:sz w:val="22"/>
          <w:szCs w:val="22"/>
        </w:rPr>
      </w:pPr>
      <w:r>
        <w:rPr>
          <w:sz w:val="22"/>
          <w:szCs w:val="22"/>
        </w:rPr>
        <w:t>OGYI-T-23039/14</w:t>
      </w:r>
      <w:r>
        <w:rPr>
          <w:sz w:val="22"/>
          <w:szCs w:val="22"/>
        </w:rPr>
        <w:tab/>
        <w:t>84×</w:t>
      </w:r>
      <w:r>
        <w:rPr>
          <w:sz w:val="22"/>
          <w:szCs w:val="22"/>
        </w:rPr>
        <w:tab/>
      </w:r>
      <w:r>
        <w:rPr>
          <w:sz w:val="22"/>
          <w:szCs w:val="22"/>
          <w:lang w:eastAsia="en-US"/>
        </w:rPr>
        <w:t>OPA/Al/PVC//Al buborékcsomagolás</w:t>
      </w:r>
    </w:p>
    <w:p w14:paraId="28CB2BA5" w14:textId="77777777" w:rsidR="00382B5E" w:rsidRDefault="00BE0CD4">
      <w:pPr>
        <w:tabs>
          <w:tab w:val="right" w:pos="2410"/>
          <w:tab w:val="left" w:pos="2835"/>
        </w:tabs>
        <w:rPr>
          <w:sz w:val="22"/>
          <w:szCs w:val="22"/>
        </w:rPr>
      </w:pPr>
      <w:r>
        <w:rPr>
          <w:sz w:val="22"/>
          <w:szCs w:val="22"/>
        </w:rPr>
        <w:t>OGYI-T-23039/15</w:t>
      </w:r>
      <w:r>
        <w:rPr>
          <w:sz w:val="22"/>
          <w:szCs w:val="22"/>
        </w:rPr>
        <w:tab/>
        <w:t>90×</w:t>
      </w:r>
      <w:r>
        <w:rPr>
          <w:sz w:val="22"/>
          <w:szCs w:val="22"/>
        </w:rPr>
        <w:tab/>
      </w:r>
      <w:r>
        <w:rPr>
          <w:sz w:val="22"/>
          <w:szCs w:val="22"/>
          <w:lang w:eastAsia="en-US"/>
        </w:rPr>
        <w:t>OPA/Al/PVC//Al buborékcsomagolás</w:t>
      </w:r>
    </w:p>
    <w:p w14:paraId="155611C6" w14:textId="77777777" w:rsidR="00382B5E" w:rsidRDefault="00BE0CD4">
      <w:pPr>
        <w:tabs>
          <w:tab w:val="right" w:pos="2410"/>
          <w:tab w:val="left" w:pos="2835"/>
        </w:tabs>
        <w:rPr>
          <w:sz w:val="22"/>
          <w:szCs w:val="22"/>
        </w:rPr>
      </w:pPr>
      <w:r>
        <w:rPr>
          <w:sz w:val="22"/>
          <w:szCs w:val="22"/>
        </w:rPr>
        <w:t>OGYI-T-23039/16</w:t>
      </w:r>
      <w:r>
        <w:rPr>
          <w:sz w:val="22"/>
          <w:szCs w:val="22"/>
        </w:rPr>
        <w:tab/>
        <w:t>100×</w:t>
      </w:r>
      <w:r>
        <w:rPr>
          <w:sz w:val="22"/>
          <w:szCs w:val="22"/>
        </w:rPr>
        <w:tab/>
      </w:r>
      <w:r>
        <w:rPr>
          <w:sz w:val="22"/>
          <w:szCs w:val="22"/>
          <w:lang w:eastAsia="en-US"/>
        </w:rPr>
        <w:t>OPA/Al/PVC//Al buborékcsomagolás</w:t>
      </w:r>
    </w:p>
    <w:p w14:paraId="21F48F4B" w14:textId="77777777" w:rsidR="00382B5E" w:rsidRDefault="00382B5E">
      <w:pPr>
        <w:tabs>
          <w:tab w:val="right" w:pos="2410"/>
          <w:tab w:val="left" w:pos="2835"/>
        </w:tabs>
        <w:rPr>
          <w:sz w:val="22"/>
          <w:szCs w:val="22"/>
        </w:rPr>
      </w:pPr>
    </w:p>
    <w:p w14:paraId="3E29EE79" w14:textId="77777777" w:rsidR="00382B5E" w:rsidRDefault="00BE0CD4">
      <w:pPr>
        <w:rPr>
          <w:sz w:val="22"/>
          <w:szCs w:val="22"/>
          <w:u w:val="single"/>
        </w:rPr>
      </w:pPr>
      <w:r>
        <w:rPr>
          <w:sz w:val="22"/>
          <w:szCs w:val="22"/>
          <w:u w:val="single"/>
        </w:rPr>
        <w:t>Losartan/Amlodipin Krka 100 mg/5 mg filmtabletta</w:t>
      </w:r>
    </w:p>
    <w:p w14:paraId="69AE7F52" w14:textId="77777777" w:rsidR="00382B5E" w:rsidRDefault="00BE0CD4">
      <w:pPr>
        <w:tabs>
          <w:tab w:val="right" w:pos="2410"/>
          <w:tab w:val="left" w:pos="2835"/>
        </w:tabs>
        <w:rPr>
          <w:sz w:val="22"/>
          <w:szCs w:val="22"/>
        </w:rPr>
      </w:pPr>
      <w:r>
        <w:rPr>
          <w:sz w:val="22"/>
          <w:szCs w:val="22"/>
        </w:rPr>
        <w:t>OGYI-T-23039/17</w:t>
      </w:r>
      <w:r>
        <w:rPr>
          <w:sz w:val="22"/>
          <w:szCs w:val="22"/>
        </w:rPr>
        <w:tab/>
        <w:t>10×</w:t>
      </w:r>
      <w:r>
        <w:rPr>
          <w:sz w:val="22"/>
          <w:szCs w:val="22"/>
        </w:rPr>
        <w:tab/>
      </w:r>
      <w:r>
        <w:rPr>
          <w:sz w:val="22"/>
          <w:szCs w:val="22"/>
          <w:lang w:eastAsia="en-US"/>
        </w:rPr>
        <w:t>OPA/Al/PVC//Al buborékcsomagolás</w:t>
      </w:r>
    </w:p>
    <w:p w14:paraId="66574966" w14:textId="77777777" w:rsidR="00382B5E" w:rsidRDefault="00BE0CD4">
      <w:pPr>
        <w:tabs>
          <w:tab w:val="right" w:pos="2410"/>
          <w:tab w:val="left" w:pos="2835"/>
        </w:tabs>
        <w:rPr>
          <w:sz w:val="22"/>
          <w:szCs w:val="22"/>
        </w:rPr>
      </w:pPr>
      <w:r>
        <w:rPr>
          <w:sz w:val="22"/>
          <w:szCs w:val="22"/>
        </w:rPr>
        <w:t>OGYI-T-23039/18</w:t>
      </w:r>
      <w:r>
        <w:rPr>
          <w:sz w:val="22"/>
          <w:szCs w:val="22"/>
        </w:rPr>
        <w:tab/>
        <w:t>28×</w:t>
      </w:r>
      <w:r>
        <w:rPr>
          <w:sz w:val="22"/>
          <w:szCs w:val="22"/>
        </w:rPr>
        <w:tab/>
      </w:r>
      <w:r>
        <w:rPr>
          <w:sz w:val="22"/>
          <w:szCs w:val="22"/>
          <w:lang w:eastAsia="en-US"/>
        </w:rPr>
        <w:t>OPA/Al/PVC//Al buborékcsomagolás</w:t>
      </w:r>
    </w:p>
    <w:p w14:paraId="3DA7BB60" w14:textId="77777777" w:rsidR="00382B5E" w:rsidRDefault="00BE0CD4">
      <w:pPr>
        <w:tabs>
          <w:tab w:val="right" w:pos="2410"/>
          <w:tab w:val="left" w:pos="2835"/>
        </w:tabs>
        <w:rPr>
          <w:sz w:val="22"/>
          <w:szCs w:val="22"/>
        </w:rPr>
      </w:pPr>
      <w:r>
        <w:rPr>
          <w:sz w:val="22"/>
          <w:szCs w:val="22"/>
        </w:rPr>
        <w:t>OGYI-T-23039/19</w:t>
      </w:r>
      <w:r>
        <w:rPr>
          <w:sz w:val="22"/>
          <w:szCs w:val="22"/>
        </w:rPr>
        <w:tab/>
        <w:t>30×</w:t>
      </w:r>
      <w:r>
        <w:rPr>
          <w:sz w:val="22"/>
          <w:szCs w:val="22"/>
        </w:rPr>
        <w:tab/>
      </w:r>
      <w:r>
        <w:rPr>
          <w:sz w:val="22"/>
          <w:szCs w:val="22"/>
          <w:lang w:eastAsia="en-US"/>
        </w:rPr>
        <w:t>OPA/Al/PVC//Al buborékcsomagolás</w:t>
      </w:r>
    </w:p>
    <w:p w14:paraId="66CC2C3D" w14:textId="77777777" w:rsidR="00382B5E" w:rsidRDefault="00BE0CD4">
      <w:pPr>
        <w:tabs>
          <w:tab w:val="right" w:pos="2410"/>
          <w:tab w:val="left" w:pos="2835"/>
        </w:tabs>
        <w:rPr>
          <w:sz w:val="22"/>
          <w:szCs w:val="22"/>
        </w:rPr>
      </w:pPr>
      <w:r>
        <w:rPr>
          <w:sz w:val="22"/>
          <w:szCs w:val="22"/>
        </w:rPr>
        <w:t>OGYI-T-23039/20</w:t>
      </w:r>
      <w:r>
        <w:rPr>
          <w:sz w:val="22"/>
          <w:szCs w:val="22"/>
        </w:rPr>
        <w:tab/>
        <w:t>56×</w:t>
      </w:r>
      <w:r>
        <w:rPr>
          <w:sz w:val="22"/>
          <w:szCs w:val="22"/>
        </w:rPr>
        <w:tab/>
      </w:r>
      <w:r>
        <w:rPr>
          <w:sz w:val="22"/>
          <w:szCs w:val="22"/>
          <w:lang w:eastAsia="en-US"/>
        </w:rPr>
        <w:t>OPA/Al/PVC//Al buborékcsomagolás</w:t>
      </w:r>
    </w:p>
    <w:p w14:paraId="41C9FC3F" w14:textId="77777777" w:rsidR="00382B5E" w:rsidRDefault="00BE0CD4">
      <w:pPr>
        <w:tabs>
          <w:tab w:val="right" w:pos="2410"/>
          <w:tab w:val="left" w:pos="2835"/>
        </w:tabs>
        <w:rPr>
          <w:sz w:val="22"/>
          <w:szCs w:val="22"/>
        </w:rPr>
      </w:pPr>
      <w:r>
        <w:rPr>
          <w:sz w:val="22"/>
          <w:szCs w:val="22"/>
        </w:rPr>
        <w:t>OGYI-T-23039/21</w:t>
      </w:r>
      <w:r>
        <w:rPr>
          <w:sz w:val="22"/>
          <w:szCs w:val="22"/>
        </w:rPr>
        <w:tab/>
        <w:t>60×</w:t>
      </w:r>
      <w:r>
        <w:rPr>
          <w:sz w:val="22"/>
          <w:szCs w:val="22"/>
        </w:rPr>
        <w:tab/>
      </w:r>
      <w:r>
        <w:rPr>
          <w:sz w:val="22"/>
          <w:szCs w:val="22"/>
          <w:lang w:eastAsia="en-US"/>
        </w:rPr>
        <w:t>OPA/Al/PVC//Al buborékcsomagolás</w:t>
      </w:r>
    </w:p>
    <w:p w14:paraId="7CDEDFCA" w14:textId="77777777" w:rsidR="00382B5E" w:rsidRDefault="00BE0CD4">
      <w:pPr>
        <w:tabs>
          <w:tab w:val="right" w:pos="2410"/>
          <w:tab w:val="left" w:pos="2835"/>
        </w:tabs>
        <w:rPr>
          <w:sz w:val="22"/>
          <w:szCs w:val="22"/>
        </w:rPr>
      </w:pPr>
      <w:r>
        <w:rPr>
          <w:sz w:val="22"/>
          <w:szCs w:val="22"/>
        </w:rPr>
        <w:t>OGYI-T-23039/22</w:t>
      </w:r>
      <w:r>
        <w:rPr>
          <w:sz w:val="22"/>
          <w:szCs w:val="22"/>
        </w:rPr>
        <w:tab/>
        <w:t>84×</w:t>
      </w:r>
      <w:r>
        <w:rPr>
          <w:sz w:val="22"/>
          <w:szCs w:val="22"/>
        </w:rPr>
        <w:tab/>
      </w:r>
      <w:r>
        <w:rPr>
          <w:sz w:val="22"/>
          <w:szCs w:val="22"/>
          <w:lang w:eastAsia="en-US"/>
        </w:rPr>
        <w:t>OPA/Al/PVC//Al buborékcsomagolás</w:t>
      </w:r>
    </w:p>
    <w:p w14:paraId="0D3C3F99" w14:textId="77777777" w:rsidR="00382B5E" w:rsidRDefault="00BE0CD4">
      <w:pPr>
        <w:tabs>
          <w:tab w:val="right" w:pos="2410"/>
          <w:tab w:val="left" w:pos="2835"/>
        </w:tabs>
        <w:rPr>
          <w:sz w:val="22"/>
          <w:szCs w:val="22"/>
        </w:rPr>
      </w:pPr>
      <w:r>
        <w:rPr>
          <w:sz w:val="22"/>
          <w:szCs w:val="22"/>
        </w:rPr>
        <w:t>OGYI-T-23039/23</w:t>
      </w:r>
      <w:r>
        <w:rPr>
          <w:sz w:val="22"/>
          <w:szCs w:val="22"/>
        </w:rPr>
        <w:tab/>
        <w:t>90×</w:t>
      </w:r>
      <w:r>
        <w:rPr>
          <w:sz w:val="22"/>
          <w:szCs w:val="22"/>
        </w:rPr>
        <w:tab/>
      </w:r>
      <w:r>
        <w:rPr>
          <w:sz w:val="22"/>
          <w:szCs w:val="22"/>
          <w:lang w:eastAsia="en-US"/>
        </w:rPr>
        <w:t>OPA/Al/PVC//Al buborékcsomagolás</w:t>
      </w:r>
    </w:p>
    <w:p w14:paraId="5B6083C2" w14:textId="77777777" w:rsidR="00382B5E" w:rsidRDefault="00BE0CD4">
      <w:pPr>
        <w:tabs>
          <w:tab w:val="right" w:pos="2410"/>
          <w:tab w:val="left" w:pos="2835"/>
        </w:tabs>
        <w:rPr>
          <w:sz w:val="22"/>
          <w:szCs w:val="22"/>
        </w:rPr>
      </w:pPr>
      <w:r>
        <w:rPr>
          <w:sz w:val="22"/>
          <w:szCs w:val="22"/>
        </w:rPr>
        <w:t>OGYI-T-23039/24</w:t>
      </w:r>
      <w:r>
        <w:rPr>
          <w:sz w:val="22"/>
          <w:szCs w:val="22"/>
        </w:rPr>
        <w:tab/>
        <w:t>100×</w:t>
      </w:r>
      <w:r>
        <w:rPr>
          <w:sz w:val="22"/>
          <w:szCs w:val="22"/>
        </w:rPr>
        <w:tab/>
      </w:r>
      <w:r>
        <w:rPr>
          <w:sz w:val="22"/>
          <w:szCs w:val="22"/>
          <w:lang w:eastAsia="en-US"/>
        </w:rPr>
        <w:t>OPA/Al/PVC//Al buborékcsomagolás</w:t>
      </w:r>
    </w:p>
    <w:p w14:paraId="20AB85A4" w14:textId="77777777" w:rsidR="00382B5E" w:rsidRDefault="00382B5E">
      <w:pPr>
        <w:rPr>
          <w:sz w:val="22"/>
          <w:szCs w:val="22"/>
        </w:rPr>
      </w:pPr>
    </w:p>
    <w:p w14:paraId="6F32A816" w14:textId="77777777" w:rsidR="00382B5E" w:rsidRDefault="00BE0CD4">
      <w:pPr>
        <w:rPr>
          <w:sz w:val="22"/>
          <w:szCs w:val="22"/>
          <w:u w:val="single"/>
        </w:rPr>
      </w:pPr>
      <w:r>
        <w:rPr>
          <w:sz w:val="22"/>
          <w:szCs w:val="22"/>
          <w:u w:val="single"/>
        </w:rPr>
        <w:t>Losartan/Amlodipin Krka 100 mg/10 mg filmtabletta</w:t>
      </w:r>
    </w:p>
    <w:p w14:paraId="05674716" w14:textId="77777777" w:rsidR="00382B5E" w:rsidRDefault="00BE0CD4">
      <w:pPr>
        <w:tabs>
          <w:tab w:val="right" w:pos="2410"/>
          <w:tab w:val="left" w:pos="2835"/>
        </w:tabs>
        <w:rPr>
          <w:sz w:val="22"/>
          <w:szCs w:val="22"/>
        </w:rPr>
      </w:pPr>
      <w:r>
        <w:rPr>
          <w:sz w:val="22"/>
          <w:szCs w:val="22"/>
        </w:rPr>
        <w:t>OGYI-T-23039/25</w:t>
      </w:r>
      <w:r>
        <w:rPr>
          <w:sz w:val="22"/>
          <w:szCs w:val="22"/>
        </w:rPr>
        <w:tab/>
        <w:t>10×</w:t>
      </w:r>
      <w:r>
        <w:rPr>
          <w:sz w:val="22"/>
          <w:szCs w:val="22"/>
        </w:rPr>
        <w:tab/>
      </w:r>
      <w:r>
        <w:rPr>
          <w:sz w:val="22"/>
          <w:szCs w:val="22"/>
          <w:lang w:eastAsia="en-US"/>
        </w:rPr>
        <w:t>OPA/Al/PVC//Al buborékcsomagolás</w:t>
      </w:r>
    </w:p>
    <w:p w14:paraId="661ECA77" w14:textId="77777777" w:rsidR="00382B5E" w:rsidRDefault="00BE0CD4">
      <w:pPr>
        <w:tabs>
          <w:tab w:val="right" w:pos="2410"/>
          <w:tab w:val="left" w:pos="2835"/>
        </w:tabs>
        <w:rPr>
          <w:sz w:val="22"/>
          <w:szCs w:val="22"/>
        </w:rPr>
      </w:pPr>
      <w:r>
        <w:rPr>
          <w:sz w:val="22"/>
          <w:szCs w:val="22"/>
        </w:rPr>
        <w:t>OGYI-T-23039/26</w:t>
      </w:r>
      <w:r>
        <w:rPr>
          <w:sz w:val="22"/>
          <w:szCs w:val="22"/>
        </w:rPr>
        <w:tab/>
        <w:t>28×</w:t>
      </w:r>
      <w:r>
        <w:rPr>
          <w:sz w:val="22"/>
          <w:szCs w:val="22"/>
        </w:rPr>
        <w:tab/>
      </w:r>
      <w:r>
        <w:rPr>
          <w:sz w:val="22"/>
          <w:szCs w:val="22"/>
          <w:lang w:eastAsia="en-US"/>
        </w:rPr>
        <w:t>OPA/Al/PVC//Al buborékcsomagolás</w:t>
      </w:r>
    </w:p>
    <w:p w14:paraId="464A2F44" w14:textId="77777777" w:rsidR="00382B5E" w:rsidRDefault="00BE0CD4">
      <w:pPr>
        <w:tabs>
          <w:tab w:val="right" w:pos="2410"/>
          <w:tab w:val="left" w:pos="2835"/>
        </w:tabs>
        <w:rPr>
          <w:sz w:val="22"/>
          <w:szCs w:val="22"/>
        </w:rPr>
      </w:pPr>
      <w:r>
        <w:rPr>
          <w:sz w:val="22"/>
          <w:szCs w:val="22"/>
        </w:rPr>
        <w:t>OGYI-T-23039/27</w:t>
      </w:r>
      <w:r>
        <w:rPr>
          <w:sz w:val="22"/>
          <w:szCs w:val="22"/>
        </w:rPr>
        <w:tab/>
        <w:t>30×</w:t>
      </w:r>
      <w:r>
        <w:rPr>
          <w:sz w:val="22"/>
          <w:szCs w:val="22"/>
        </w:rPr>
        <w:tab/>
      </w:r>
      <w:r>
        <w:rPr>
          <w:sz w:val="22"/>
          <w:szCs w:val="22"/>
          <w:lang w:eastAsia="en-US"/>
        </w:rPr>
        <w:t>OPA/Al/PVC//Al buborékcsomagolás</w:t>
      </w:r>
    </w:p>
    <w:p w14:paraId="27041D18" w14:textId="77777777" w:rsidR="00382B5E" w:rsidRDefault="00BE0CD4">
      <w:pPr>
        <w:tabs>
          <w:tab w:val="right" w:pos="2410"/>
          <w:tab w:val="left" w:pos="2835"/>
        </w:tabs>
        <w:rPr>
          <w:sz w:val="22"/>
          <w:szCs w:val="22"/>
        </w:rPr>
      </w:pPr>
      <w:r>
        <w:rPr>
          <w:sz w:val="22"/>
          <w:szCs w:val="22"/>
        </w:rPr>
        <w:t>OGYI-T-23039/28</w:t>
      </w:r>
      <w:r>
        <w:rPr>
          <w:sz w:val="22"/>
          <w:szCs w:val="22"/>
        </w:rPr>
        <w:tab/>
        <w:t>56×</w:t>
      </w:r>
      <w:r>
        <w:rPr>
          <w:sz w:val="22"/>
          <w:szCs w:val="22"/>
        </w:rPr>
        <w:tab/>
      </w:r>
      <w:r>
        <w:rPr>
          <w:sz w:val="22"/>
          <w:szCs w:val="22"/>
          <w:lang w:eastAsia="en-US"/>
        </w:rPr>
        <w:t>OPA/Al/PVC//Al buborékcsomagolás</w:t>
      </w:r>
    </w:p>
    <w:p w14:paraId="63DCEFF1" w14:textId="77777777" w:rsidR="00382B5E" w:rsidRDefault="00BE0CD4">
      <w:pPr>
        <w:tabs>
          <w:tab w:val="right" w:pos="2410"/>
          <w:tab w:val="left" w:pos="2835"/>
        </w:tabs>
        <w:rPr>
          <w:sz w:val="22"/>
          <w:szCs w:val="22"/>
        </w:rPr>
      </w:pPr>
      <w:r>
        <w:rPr>
          <w:sz w:val="22"/>
          <w:szCs w:val="22"/>
        </w:rPr>
        <w:t>OGYI-T-23039/29</w:t>
      </w:r>
      <w:r>
        <w:rPr>
          <w:sz w:val="22"/>
          <w:szCs w:val="22"/>
        </w:rPr>
        <w:tab/>
        <w:t>60×</w:t>
      </w:r>
      <w:r>
        <w:rPr>
          <w:sz w:val="22"/>
          <w:szCs w:val="22"/>
        </w:rPr>
        <w:tab/>
      </w:r>
      <w:r>
        <w:rPr>
          <w:sz w:val="22"/>
          <w:szCs w:val="22"/>
          <w:lang w:eastAsia="en-US"/>
        </w:rPr>
        <w:t>OPA/Al/PVC//Al buborékcsomagolás</w:t>
      </w:r>
    </w:p>
    <w:p w14:paraId="2DEDE2AB" w14:textId="77777777" w:rsidR="00382B5E" w:rsidRDefault="00BE0CD4">
      <w:pPr>
        <w:tabs>
          <w:tab w:val="right" w:pos="2410"/>
          <w:tab w:val="left" w:pos="2835"/>
        </w:tabs>
        <w:rPr>
          <w:sz w:val="22"/>
          <w:szCs w:val="22"/>
        </w:rPr>
      </w:pPr>
      <w:r>
        <w:rPr>
          <w:sz w:val="22"/>
          <w:szCs w:val="22"/>
        </w:rPr>
        <w:t>OGYI-T-23039/30</w:t>
      </w:r>
      <w:r>
        <w:rPr>
          <w:sz w:val="22"/>
          <w:szCs w:val="22"/>
        </w:rPr>
        <w:tab/>
        <w:t>84×</w:t>
      </w:r>
      <w:r>
        <w:rPr>
          <w:sz w:val="22"/>
          <w:szCs w:val="22"/>
        </w:rPr>
        <w:tab/>
      </w:r>
      <w:r>
        <w:rPr>
          <w:sz w:val="22"/>
          <w:szCs w:val="22"/>
          <w:lang w:eastAsia="en-US"/>
        </w:rPr>
        <w:t>OPA/Al/PVC//Al buborékcsomagolás</w:t>
      </w:r>
    </w:p>
    <w:p w14:paraId="1A1D861A" w14:textId="77777777" w:rsidR="00382B5E" w:rsidRDefault="00BE0CD4">
      <w:pPr>
        <w:tabs>
          <w:tab w:val="right" w:pos="2410"/>
          <w:tab w:val="left" w:pos="2835"/>
        </w:tabs>
        <w:rPr>
          <w:sz w:val="22"/>
          <w:szCs w:val="22"/>
        </w:rPr>
      </w:pPr>
      <w:r>
        <w:rPr>
          <w:sz w:val="22"/>
          <w:szCs w:val="22"/>
        </w:rPr>
        <w:t>OGYI-T-23039/31</w:t>
      </w:r>
      <w:r>
        <w:rPr>
          <w:sz w:val="22"/>
          <w:szCs w:val="22"/>
        </w:rPr>
        <w:tab/>
        <w:t>90×</w:t>
      </w:r>
      <w:r>
        <w:rPr>
          <w:sz w:val="22"/>
          <w:szCs w:val="22"/>
        </w:rPr>
        <w:tab/>
      </w:r>
      <w:r>
        <w:rPr>
          <w:sz w:val="22"/>
          <w:szCs w:val="22"/>
          <w:lang w:eastAsia="en-US"/>
        </w:rPr>
        <w:t>OPA/Al/PVC//Al buborékcsomagolás</w:t>
      </w:r>
    </w:p>
    <w:p w14:paraId="79AE4DF6" w14:textId="77777777" w:rsidR="00382B5E" w:rsidRDefault="00BE0CD4">
      <w:pPr>
        <w:tabs>
          <w:tab w:val="right" w:pos="2410"/>
          <w:tab w:val="left" w:pos="2835"/>
        </w:tabs>
        <w:rPr>
          <w:sz w:val="22"/>
          <w:szCs w:val="22"/>
        </w:rPr>
      </w:pPr>
      <w:r>
        <w:rPr>
          <w:sz w:val="22"/>
          <w:szCs w:val="22"/>
        </w:rPr>
        <w:t>OGYI-T-23039/32</w:t>
      </w:r>
      <w:r>
        <w:rPr>
          <w:sz w:val="22"/>
          <w:szCs w:val="22"/>
        </w:rPr>
        <w:tab/>
        <w:t>100×</w:t>
      </w:r>
      <w:r>
        <w:rPr>
          <w:sz w:val="22"/>
          <w:szCs w:val="22"/>
        </w:rPr>
        <w:tab/>
      </w:r>
      <w:r>
        <w:rPr>
          <w:sz w:val="22"/>
          <w:szCs w:val="22"/>
          <w:lang w:eastAsia="en-US"/>
        </w:rPr>
        <w:t>OPA/Al/PVC//Al buborékcsomagolás</w:t>
      </w:r>
    </w:p>
    <w:p w14:paraId="2EF1D140" w14:textId="77777777" w:rsidR="00382B5E" w:rsidRDefault="00382B5E">
      <w:pPr>
        <w:rPr>
          <w:sz w:val="22"/>
          <w:szCs w:val="22"/>
        </w:rPr>
      </w:pPr>
    </w:p>
    <w:p w14:paraId="0DF559E5" w14:textId="77777777" w:rsidR="00382B5E" w:rsidRDefault="00382B5E">
      <w:pPr>
        <w:rPr>
          <w:sz w:val="22"/>
          <w:szCs w:val="22"/>
        </w:rPr>
      </w:pPr>
    </w:p>
    <w:p w14:paraId="18867146" w14:textId="77777777" w:rsidR="00382B5E" w:rsidRDefault="00BE0CD4">
      <w:pPr>
        <w:ind w:left="567" w:hanging="567"/>
        <w:rPr>
          <w:b/>
          <w:sz w:val="22"/>
          <w:szCs w:val="22"/>
        </w:rPr>
      </w:pPr>
      <w:r>
        <w:rPr>
          <w:b/>
          <w:sz w:val="22"/>
          <w:szCs w:val="22"/>
        </w:rPr>
        <w:t>9.</w:t>
      </w:r>
      <w:r>
        <w:rPr>
          <w:b/>
          <w:sz w:val="22"/>
          <w:szCs w:val="22"/>
        </w:rPr>
        <w:tab/>
        <w:t>A FORGALOMBA HOZATALI ENGEDÉLY ELSŐ KIADÁSÁNAK/ MEGÚJÍTÁSÁNAK DÁTUMA</w:t>
      </w:r>
    </w:p>
    <w:p w14:paraId="78B43E0D" w14:textId="77777777" w:rsidR="00382B5E" w:rsidRDefault="00382B5E">
      <w:pPr>
        <w:rPr>
          <w:b/>
          <w:sz w:val="22"/>
          <w:szCs w:val="22"/>
        </w:rPr>
      </w:pPr>
    </w:p>
    <w:p w14:paraId="35BD7EB2" w14:textId="77777777" w:rsidR="00382B5E" w:rsidRDefault="00BE0CD4">
      <w:pPr>
        <w:rPr>
          <w:bCs/>
          <w:sz w:val="22"/>
          <w:szCs w:val="22"/>
        </w:rPr>
      </w:pPr>
      <w:r>
        <w:rPr>
          <w:bCs/>
          <w:sz w:val="22"/>
          <w:szCs w:val="22"/>
        </w:rPr>
        <w:t>A forgalomba hozatali engedély első kiadásának dátuma: 2016. május 27.</w:t>
      </w:r>
    </w:p>
    <w:p w14:paraId="41B243D0" w14:textId="77777777" w:rsidR="00382B5E" w:rsidRDefault="00382B5E">
      <w:pPr>
        <w:rPr>
          <w:bCs/>
          <w:sz w:val="22"/>
          <w:szCs w:val="22"/>
        </w:rPr>
      </w:pPr>
    </w:p>
    <w:p w14:paraId="6EE05189" w14:textId="77777777" w:rsidR="00382B5E" w:rsidRDefault="00BE0CD4">
      <w:pPr>
        <w:rPr>
          <w:bCs/>
          <w:iCs/>
          <w:sz w:val="22"/>
          <w:szCs w:val="22"/>
        </w:rPr>
      </w:pPr>
      <w:r>
        <w:rPr>
          <w:bCs/>
          <w:sz w:val="22"/>
          <w:szCs w:val="22"/>
        </w:rPr>
        <w:t xml:space="preserve">A forgalomba hozatali engedély legutóbbi megújításának dátuma: 2021. </w:t>
      </w:r>
      <w:r>
        <w:rPr>
          <w:bCs/>
          <w:iCs/>
          <w:sz w:val="22"/>
          <w:szCs w:val="22"/>
        </w:rPr>
        <w:t>június 22.</w:t>
      </w:r>
    </w:p>
    <w:p w14:paraId="2EA4DFD8" w14:textId="77777777" w:rsidR="00382B5E" w:rsidRDefault="00382B5E">
      <w:pPr>
        <w:rPr>
          <w:bCs/>
          <w:sz w:val="22"/>
          <w:szCs w:val="22"/>
        </w:rPr>
      </w:pPr>
    </w:p>
    <w:p w14:paraId="062C2AAD" w14:textId="77777777" w:rsidR="00382B5E" w:rsidRDefault="00382B5E">
      <w:pPr>
        <w:rPr>
          <w:sz w:val="22"/>
          <w:szCs w:val="22"/>
        </w:rPr>
      </w:pPr>
    </w:p>
    <w:p w14:paraId="676DF414" w14:textId="77777777" w:rsidR="00382B5E" w:rsidRDefault="00BE0CD4">
      <w:pPr>
        <w:numPr>
          <w:ilvl w:val="0"/>
          <w:numId w:val="28"/>
        </w:numPr>
        <w:tabs>
          <w:tab w:val="clear" w:pos="930"/>
        </w:tabs>
        <w:ind w:left="0" w:firstLine="0"/>
        <w:rPr>
          <w:b/>
          <w:sz w:val="22"/>
          <w:szCs w:val="22"/>
        </w:rPr>
      </w:pPr>
      <w:r>
        <w:rPr>
          <w:b/>
          <w:sz w:val="22"/>
          <w:szCs w:val="22"/>
        </w:rPr>
        <w:t>A SZÖVEG ELLENŐRZÉSÉNEK DÁTUMA</w:t>
      </w:r>
    </w:p>
    <w:p w14:paraId="00399D2E" w14:textId="77777777" w:rsidR="00382B5E" w:rsidRDefault="00382B5E">
      <w:pPr>
        <w:rPr>
          <w:bCs/>
          <w:sz w:val="22"/>
          <w:szCs w:val="22"/>
        </w:rPr>
      </w:pPr>
    </w:p>
    <w:p w14:paraId="3D4F8F21" w14:textId="36075796" w:rsidR="00382B5E" w:rsidRDefault="00084086">
      <w:pPr>
        <w:rPr>
          <w:noProof/>
          <w:sz w:val="22"/>
          <w:szCs w:val="22"/>
        </w:rPr>
      </w:pPr>
      <w:r>
        <w:rPr>
          <w:noProof/>
          <w:sz w:val="22"/>
          <w:szCs w:val="22"/>
        </w:rPr>
        <w:t>2026. szeptember 22.</w:t>
      </w:r>
      <w:bookmarkStart w:id="0" w:name="_GoBack"/>
      <w:bookmarkEnd w:id="0"/>
    </w:p>
    <w:sectPr w:rsidR="00382B5E">
      <w:headerReference w:type="even" r:id="rId9"/>
      <w:headerReference w:type="default" r:id="rId10"/>
      <w:footerReference w:type="default" r:id="rId11"/>
      <w:footerReference w:type="first" r:id="rId12"/>
      <w:pgSz w:w="11905" w:h="16837" w:code="9"/>
      <w:pgMar w:top="1134" w:right="1418" w:bottom="1134" w:left="1418" w:header="737"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3F63DB" w14:textId="77777777" w:rsidR="00BE2F08" w:rsidRDefault="00BE2F08">
      <w:r>
        <w:separator/>
      </w:r>
    </w:p>
  </w:endnote>
  <w:endnote w:type="continuationSeparator" w:id="0">
    <w:p w14:paraId="5743FA1B" w14:textId="77777777" w:rsidR="00BE2F08" w:rsidRDefault="00BE2F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Arial Unicode MS"/>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G Mincho Light J">
    <w:altName w:val="Times New Roman"/>
    <w:charset w:val="00"/>
    <w:family w:val="auto"/>
    <w:pitch w:val="variable"/>
  </w:font>
  <w:font w:name="Helvetica">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940DC" w14:textId="77777777" w:rsidR="00382B5E" w:rsidRDefault="00382B5E">
    <w:pPr>
      <w:pStyle w:val="llb"/>
      <w:spacing w:line="240" w:lineRule="auto"/>
      <w:jc w:val="center"/>
      <w:rPr>
        <w:rFonts w:ascii="Times New Roman" w:hAnsi="Times New Roman"/>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138FFA" w14:textId="77777777" w:rsidR="00132D5F" w:rsidRDefault="00132D5F">
    <w:pPr>
      <w:pStyle w:val="llb"/>
      <w:spacing w:line="240" w:lineRule="auto"/>
      <w:rPr>
        <w:rFonts w:ascii="Times New Roman" w:hAnsi="Times New Roman"/>
        <w:sz w:val="18"/>
        <w:szCs w:val="18"/>
        <w:lang w:val="hu-HU"/>
      </w:rPr>
    </w:pPr>
    <w:r w:rsidRPr="00132D5F">
      <w:rPr>
        <w:rFonts w:ascii="Times New Roman" w:hAnsi="Times New Roman"/>
        <w:sz w:val="18"/>
        <w:szCs w:val="18"/>
        <w:lang w:val="hu-HU"/>
      </w:rPr>
      <w:t>NNGYK/ETGY/11092/2026</w:t>
    </w:r>
  </w:p>
  <w:p w14:paraId="3BE3E977" w14:textId="77777777" w:rsidR="00132D5F" w:rsidRDefault="00132D5F">
    <w:pPr>
      <w:pStyle w:val="llb"/>
      <w:spacing w:line="240" w:lineRule="auto"/>
      <w:rPr>
        <w:rFonts w:ascii="Times New Roman" w:hAnsi="Times New Roman"/>
        <w:sz w:val="18"/>
        <w:szCs w:val="18"/>
        <w:lang w:val="hu-HU"/>
      </w:rPr>
    </w:pPr>
    <w:r w:rsidRPr="00132D5F">
      <w:rPr>
        <w:rFonts w:ascii="Times New Roman" w:hAnsi="Times New Roman"/>
        <w:sz w:val="18"/>
        <w:szCs w:val="18"/>
        <w:lang w:val="hu-HU"/>
      </w:rPr>
      <w:t>NNGYK/ETGY/11093/2026</w:t>
    </w:r>
  </w:p>
  <w:p w14:paraId="77E29BB3" w14:textId="77777777" w:rsidR="00132D5F" w:rsidRDefault="00132D5F">
    <w:pPr>
      <w:pStyle w:val="llb"/>
      <w:spacing w:line="240" w:lineRule="auto"/>
      <w:rPr>
        <w:rFonts w:ascii="Times New Roman" w:hAnsi="Times New Roman"/>
        <w:sz w:val="18"/>
        <w:szCs w:val="18"/>
        <w:lang w:val="hu-HU"/>
      </w:rPr>
    </w:pPr>
    <w:r w:rsidRPr="00132D5F">
      <w:rPr>
        <w:rFonts w:ascii="Times New Roman" w:hAnsi="Times New Roman"/>
        <w:sz w:val="18"/>
        <w:szCs w:val="18"/>
        <w:lang w:val="hu-HU"/>
      </w:rPr>
      <w:t>NNGYK/ETGY/11094/2026</w:t>
    </w:r>
  </w:p>
  <w:p w14:paraId="38AB392A" w14:textId="7C31E7EC" w:rsidR="00BE0CD4" w:rsidRDefault="00132D5F">
    <w:pPr>
      <w:pStyle w:val="llb"/>
      <w:spacing w:line="240" w:lineRule="auto"/>
      <w:rPr>
        <w:rFonts w:ascii="Times New Roman" w:hAnsi="Times New Roman"/>
        <w:sz w:val="18"/>
        <w:szCs w:val="18"/>
        <w:lang w:val="hu-HU"/>
      </w:rPr>
    </w:pPr>
    <w:r w:rsidRPr="00132D5F">
      <w:rPr>
        <w:rFonts w:ascii="Times New Roman" w:hAnsi="Times New Roman"/>
        <w:sz w:val="18"/>
        <w:szCs w:val="18"/>
        <w:lang w:val="hu-HU"/>
      </w:rPr>
      <w:t>NNGYK/ETGY/11096/2026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BF1B2E" w14:textId="77777777" w:rsidR="00BE2F08" w:rsidRDefault="00BE2F08">
      <w:r>
        <w:separator/>
      </w:r>
    </w:p>
  </w:footnote>
  <w:footnote w:type="continuationSeparator" w:id="0">
    <w:p w14:paraId="6B9F27F6" w14:textId="77777777" w:rsidR="00BE2F08" w:rsidRDefault="00BE2F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C35D9A" w14:textId="77777777" w:rsidR="00382B5E" w:rsidRDefault="00BE0CD4">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3EEA8016" w14:textId="77777777" w:rsidR="00382B5E" w:rsidRDefault="00382B5E">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3D9882" w14:textId="198250C2" w:rsidR="00382B5E" w:rsidRDefault="00BE0CD4">
    <w:pPr>
      <w:pStyle w:val="lfej"/>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084086">
      <w:rPr>
        <w:noProof/>
        <w:sz w:val="18"/>
        <w:szCs w:val="18"/>
      </w:rPr>
      <w:t>21</w:t>
    </w:r>
    <w:r>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pStyle w:val="Cmsor3"/>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imes New Roman"/>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imes New Roman"/>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10" w15:restartNumberingAfterBreak="0">
    <w:nsid w:val="0000000A"/>
    <w:multiLevelType w:val="multilevel"/>
    <w:tmpl w:val="0000000A"/>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11" w15:restartNumberingAfterBreak="0">
    <w:nsid w:val="03103477"/>
    <w:multiLevelType w:val="hybridMultilevel"/>
    <w:tmpl w:val="B2CCA8CC"/>
    <w:lvl w:ilvl="0" w:tplc="F9CA61DA">
      <w:start w:val="1"/>
      <w:numFmt w:val="bullet"/>
      <w:lvlText w:val="-"/>
      <w:lvlJc w:val="left"/>
      <w:pPr>
        <w:tabs>
          <w:tab w:val="num" w:pos="360"/>
        </w:tabs>
        <w:ind w:left="360" w:hanging="360"/>
      </w:pPr>
      <w:rPr>
        <w:rFonts w:ascii="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083B0129"/>
    <w:multiLevelType w:val="hybridMultilevel"/>
    <w:tmpl w:val="543AC1B8"/>
    <w:lvl w:ilvl="0" w:tplc="040E000F">
      <w:start w:val="1"/>
      <w:numFmt w:val="decimal"/>
      <w:lvlText w:val="%1."/>
      <w:lvlJc w:val="left"/>
      <w:pPr>
        <w:ind w:left="1004" w:hanging="360"/>
      </w:pPr>
    </w:lvl>
    <w:lvl w:ilvl="1" w:tplc="040E0019" w:tentative="1">
      <w:start w:val="1"/>
      <w:numFmt w:val="lowerLetter"/>
      <w:lvlText w:val="%2."/>
      <w:lvlJc w:val="left"/>
      <w:pPr>
        <w:ind w:left="1724" w:hanging="360"/>
      </w:pPr>
    </w:lvl>
    <w:lvl w:ilvl="2" w:tplc="040E001B" w:tentative="1">
      <w:start w:val="1"/>
      <w:numFmt w:val="lowerRoman"/>
      <w:lvlText w:val="%3."/>
      <w:lvlJc w:val="right"/>
      <w:pPr>
        <w:ind w:left="2444" w:hanging="180"/>
      </w:pPr>
    </w:lvl>
    <w:lvl w:ilvl="3" w:tplc="040E000F" w:tentative="1">
      <w:start w:val="1"/>
      <w:numFmt w:val="decimal"/>
      <w:lvlText w:val="%4."/>
      <w:lvlJc w:val="left"/>
      <w:pPr>
        <w:ind w:left="3164" w:hanging="360"/>
      </w:pPr>
    </w:lvl>
    <w:lvl w:ilvl="4" w:tplc="040E0019" w:tentative="1">
      <w:start w:val="1"/>
      <w:numFmt w:val="lowerLetter"/>
      <w:lvlText w:val="%5."/>
      <w:lvlJc w:val="left"/>
      <w:pPr>
        <w:ind w:left="3884" w:hanging="360"/>
      </w:pPr>
    </w:lvl>
    <w:lvl w:ilvl="5" w:tplc="040E001B" w:tentative="1">
      <w:start w:val="1"/>
      <w:numFmt w:val="lowerRoman"/>
      <w:lvlText w:val="%6."/>
      <w:lvlJc w:val="right"/>
      <w:pPr>
        <w:ind w:left="4604" w:hanging="180"/>
      </w:pPr>
    </w:lvl>
    <w:lvl w:ilvl="6" w:tplc="040E000F" w:tentative="1">
      <w:start w:val="1"/>
      <w:numFmt w:val="decimal"/>
      <w:lvlText w:val="%7."/>
      <w:lvlJc w:val="left"/>
      <w:pPr>
        <w:ind w:left="5324" w:hanging="360"/>
      </w:pPr>
    </w:lvl>
    <w:lvl w:ilvl="7" w:tplc="040E0019" w:tentative="1">
      <w:start w:val="1"/>
      <w:numFmt w:val="lowerLetter"/>
      <w:lvlText w:val="%8."/>
      <w:lvlJc w:val="left"/>
      <w:pPr>
        <w:ind w:left="6044" w:hanging="360"/>
      </w:pPr>
    </w:lvl>
    <w:lvl w:ilvl="8" w:tplc="040E001B" w:tentative="1">
      <w:start w:val="1"/>
      <w:numFmt w:val="lowerRoman"/>
      <w:lvlText w:val="%9."/>
      <w:lvlJc w:val="right"/>
      <w:pPr>
        <w:ind w:left="6764" w:hanging="180"/>
      </w:pPr>
    </w:lvl>
  </w:abstractNum>
  <w:abstractNum w:abstractNumId="14" w15:restartNumberingAfterBreak="0">
    <w:nsid w:val="091F1F8F"/>
    <w:multiLevelType w:val="multilevel"/>
    <w:tmpl w:val="E4588EAC"/>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0DE24B0D"/>
    <w:multiLevelType w:val="hybridMultilevel"/>
    <w:tmpl w:val="D5AE33A8"/>
    <w:lvl w:ilvl="0" w:tplc="040E000F">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6" w15:restartNumberingAfterBreak="0">
    <w:nsid w:val="106071BD"/>
    <w:multiLevelType w:val="hybridMultilevel"/>
    <w:tmpl w:val="539E3622"/>
    <w:lvl w:ilvl="0" w:tplc="77463972">
      <w:start w:val="4"/>
      <w:numFmt w:val="bullet"/>
      <w:lvlText w:val="-"/>
      <w:lvlJc w:val="left"/>
      <w:pPr>
        <w:tabs>
          <w:tab w:val="num" w:pos="363"/>
        </w:tabs>
        <w:ind w:left="0" w:firstLine="3"/>
      </w:pPr>
      <w:rPr>
        <w:rFonts w:ascii="Times New Roman" w:eastAsia="Times New Roman" w:hAnsi="Times New Roman" w:cs="Times New Roman" w:hint="default"/>
      </w:rPr>
    </w:lvl>
    <w:lvl w:ilvl="1" w:tplc="04050019">
      <w:start w:val="1"/>
      <w:numFmt w:val="lowerLetter"/>
      <w:lvlText w:val="%2."/>
      <w:lvlJc w:val="left"/>
      <w:pPr>
        <w:tabs>
          <w:tab w:val="num" w:pos="723"/>
        </w:tabs>
        <w:ind w:left="723" w:hanging="360"/>
      </w:pPr>
    </w:lvl>
    <w:lvl w:ilvl="2" w:tplc="0405001B" w:tentative="1">
      <w:start w:val="1"/>
      <w:numFmt w:val="lowerRoman"/>
      <w:lvlText w:val="%3."/>
      <w:lvlJc w:val="right"/>
      <w:pPr>
        <w:tabs>
          <w:tab w:val="num" w:pos="1443"/>
        </w:tabs>
        <w:ind w:left="1443" w:hanging="180"/>
      </w:pPr>
    </w:lvl>
    <w:lvl w:ilvl="3" w:tplc="0405000F" w:tentative="1">
      <w:start w:val="1"/>
      <w:numFmt w:val="decimal"/>
      <w:lvlText w:val="%4."/>
      <w:lvlJc w:val="left"/>
      <w:pPr>
        <w:tabs>
          <w:tab w:val="num" w:pos="2163"/>
        </w:tabs>
        <w:ind w:left="2163" w:hanging="360"/>
      </w:pPr>
    </w:lvl>
    <w:lvl w:ilvl="4" w:tplc="04050019" w:tentative="1">
      <w:start w:val="1"/>
      <w:numFmt w:val="lowerLetter"/>
      <w:lvlText w:val="%5."/>
      <w:lvlJc w:val="left"/>
      <w:pPr>
        <w:tabs>
          <w:tab w:val="num" w:pos="2883"/>
        </w:tabs>
        <w:ind w:left="2883" w:hanging="360"/>
      </w:pPr>
    </w:lvl>
    <w:lvl w:ilvl="5" w:tplc="0405001B" w:tentative="1">
      <w:start w:val="1"/>
      <w:numFmt w:val="lowerRoman"/>
      <w:lvlText w:val="%6."/>
      <w:lvlJc w:val="right"/>
      <w:pPr>
        <w:tabs>
          <w:tab w:val="num" w:pos="3603"/>
        </w:tabs>
        <w:ind w:left="3603" w:hanging="180"/>
      </w:pPr>
    </w:lvl>
    <w:lvl w:ilvl="6" w:tplc="0405000F" w:tentative="1">
      <w:start w:val="1"/>
      <w:numFmt w:val="decimal"/>
      <w:lvlText w:val="%7."/>
      <w:lvlJc w:val="left"/>
      <w:pPr>
        <w:tabs>
          <w:tab w:val="num" w:pos="4323"/>
        </w:tabs>
        <w:ind w:left="4323" w:hanging="360"/>
      </w:pPr>
    </w:lvl>
    <w:lvl w:ilvl="7" w:tplc="04050019" w:tentative="1">
      <w:start w:val="1"/>
      <w:numFmt w:val="lowerLetter"/>
      <w:lvlText w:val="%8."/>
      <w:lvlJc w:val="left"/>
      <w:pPr>
        <w:tabs>
          <w:tab w:val="num" w:pos="5043"/>
        </w:tabs>
        <w:ind w:left="5043" w:hanging="360"/>
      </w:pPr>
    </w:lvl>
    <w:lvl w:ilvl="8" w:tplc="0405001B" w:tentative="1">
      <w:start w:val="1"/>
      <w:numFmt w:val="lowerRoman"/>
      <w:lvlText w:val="%9."/>
      <w:lvlJc w:val="right"/>
      <w:pPr>
        <w:tabs>
          <w:tab w:val="num" w:pos="5763"/>
        </w:tabs>
        <w:ind w:left="5763" w:hanging="180"/>
      </w:pPr>
    </w:lvl>
  </w:abstractNum>
  <w:abstractNum w:abstractNumId="17" w15:restartNumberingAfterBreak="0">
    <w:nsid w:val="108911F1"/>
    <w:multiLevelType w:val="multilevel"/>
    <w:tmpl w:val="B7AE1A60"/>
    <w:lvl w:ilvl="0">
      <w:start w:val="4"/>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8" w15:restartNumberingAfterBreak="0">
    <w:nsid w:val="1CEA67BB"/>
    <w:multiLevelType w:val="hybridMultilevel"/>
    <w:tmpl w:val="6AA6E9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31B0794"/>
    <w:multiLevelType w:val="hybridMultilevel"/>
    <w:tmpl w:val="B7AE1A60"/>
    <w:lvl w:ilvl="0" w:tplc="A79484AC">
      <w:start w:val="4"/>
      <w:numFmt w:val="bullet"/>
      <w:lvlText w:val="-"/>
      <w:lvlJc w:val="left"/>
      <w:pPr>
        <w:tabs>
          <w:tab w:val="num" w:pos="720"/>
        </w:tabs>
        <w:ind w:left="720" w:hanging="360"/>
      </w:pPr>
      <w:rPr>
        <w:rFonts w:ascii="Times New Roman" w:eastAsia="Times New Roman" w:hAnsi="Times New Roman" w:cs="Times New Roman" w:hint="default"/>
      </w:r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20" w15:restartNumberingAfterBreak="0">
    <w:nsid w:val="2ACE569E"/>
    <w:multiLevelType w:val="multilevel"/>
    <w:tmpl w:val="EA9CECCC"/>
    <w:lvl w:ilvl="0">
      <w:start w:val="2"/>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1" w15:restartNumberingAfterBreak="0">
    <w:nsid w:val="2B285DF9"/>
    <w:multiLevelType w:val="hybridMultilevel"/>
    <w:tmpl w:val="EA9CECCC"/>
    <w:lvl w:ilvl="0" w:tplc="B20C0038">
      <w:start w:val="2"/>
      <w:numFmt w:val="bullet"/>
      <w:lvlText w:val="-"/>
      <w:lvlJc w:val="left"/>
      <w:pPr>
        <w:tabs>
          <w:tab w:val="num" w:pos="360"/>
        </w:tabs>
        <w:ind w:left="360" w:hanging="360"/>
      </w:pPr>
      <w:rPr>
        <w:rFonts w:ascii="Times New Roman" w:eastAsia="Times New Roman" w:hAnsi="Times New Roman" w:cs="Times New Roman" w:hint="default"/>
      </w:r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22" w15:restartNumberingAfterBreak="0">
    <w:nsid w:val="2B3F575A"/>
    <w:multiLevelType w:val="hybridMultilevel"/>
    <w:tmpl w:val="D7D46A6E"/>
    <w:lvl w:ilvl="0" w:tplc="8850EF2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30D16F5D"/>
    <w:multiLevelType w:val="hybridMultilevel"/>
    <w:tmpl w:val="49245D34"/>
    <w:lvl w:ilvl="0" w:tplc="77463972">
      <w:start w:val="4"/>
      <w:numFmt w:val="bullet"/>
      <w:lvlText w:val="-"/>
      <w:lvlJc w:val="left"/>
      <w:pPr>
        <w:tabs>
          <w:tab w:val="num" w:pos="1200"/>
        </w:tabs>
        <w:ind w:left="837" w:firstLine="3"/>
      </w:pPr>
      <w:rPr>
        <w:rFonts w:ascii="Times New Roman" w:eastAsia="Times New Roman" w:hAnsi="Times New Roman" w:cs="Times New Roman" w:hint="default"/>
      </w:rPr>
    </w:lvl>
    <w:lvl w:ilvl="1" w:tplc="040E0003" w:tentative="1">
      <w:start w:val="1"/>
      <w:numFmt w:val="bullet"/>
      <w:lvlText w:val="o"/>
      <w:lvlJc w:val="left"/>
      <w:pPr>
        <w:tabs>
          <w:tab w:val="num" w:pos="1920"/>
        </w:tabs>
        <w:ind w:left="1920" w:hanging="360"/>
      </w:pPr>
      <w:rPr>
        <w:rFonts w:ascii="Courier New" w:hAnsi="Courier New" w:cs="Courier New" w:hint="default"/>
      </w:rPr>
    </w:lvl>
    <w:lvl w:ilvl="2" w:tplc="040E0005" w:tentative="1">
      <w:start w:val="1"/>
      <w:numFmt w:val="bullet"/>
      <w:lvlText w:val=""/>
      <w:lvlJc w:val="left"/>
      <w:pPr>
        <w:tabs>
          <w:tab w:val="num" w:pos="2640"/>
        </w:tabs>
        <w:ind w:left="2640" w:hanging="360"/>
      </w:pPr>
      <w:rPr>
        <w:rFonts w:ascii="Wingdings" w:hAnsi="Wingdings" w:hint="default"/>
      </w:rPr>
    </w:lvl>
    <w:lvl w:ilvl="3" w:tplc="040E0001" w:tentative="1">
      <w:start w:val="1"/>
      <w:numFmt w:val="bullet"/>
      <w:lvlText w:val=""/>
      <w:lvlJc w:val="left"/>
      <w:pPr>
        <w:tabs>
          <w:tab w:val="num" w:pos="3360"/>
        </w:tabs>
        <w:ind w:left="3360" w:hanging="360"/>
      </w:pPr>
      <w:rPr>
        <w:rFonts w:ascii="Symbol" w:hAnsi="Symbol" w:hint="default"/>
      </w:rPr>
    </w:lvl>
    <w:lvl w:ilvl="4" w:tplc="040E0003" w:tentative="1">
      <w:start w:val="1"/>
      <w:numFmt w:val="bullet"/>
      <w:lvlText w:val="o"/>
      <w:lvlJc w:val="left"/>
      <w:pPr>
        <w:tabs>
          <w:tab w:val="num" w:pos="4080"/>
        </w:tabs>
        <w:ind w:left="4080" w:hanging="360"/>
      </w:pPr>
      <w:rPr>
        <w:rFonts w:ascii="Courier New" w:hAnsi="Courier New" w:cs="Courier New" w:hint="default"/>
      </w:rPr>
    </w:lvl>
    <w:lvl w:ilvl="5" w:tplc="040E0005" w:tentative="1">
      <w:start w:val="1"/>
      <w:numFmt w:val="bullet"/>
      <w:lvlText w:val=""/>
      <w:lvlJc w:val="left"/>
      <w:pPr>
        <w:tabs>
          <w:tab w:val="num" w:pos="4800"/>
        </w:tabs>
        <w:ind w:left="4800" w:hanging="360"/>
      </w:pPr>
      <w:rPr>
        <w:rFonts w:ascii="Wingdings" w:hAnsi="Wingdings" w:hint="default"/>
      </w:rPr>
    </w:lvl>
    <w:lvl w:ilvl="6" w:tplc="040E0001" w:tentative="1">
      <w:start w:val="1"/>
      <w:numFmt w:val="bullet"/>
      <w:lvlText w:val=""/>
      <w:lvlJc w:val="left"/>
      <w:pPr>
        <w:tabs>
          <w:tab w:val="num" w:pos="5520"/>
        </w:tabs>
        <w:ind w:left="5520" w:hanging="360"/>
      </w:pPr>
      <w:rPr>
        <w:rFonts w:ascii="Symbol" w:hAnsi="Symbol" w:hint="default"/>
      </w:rPr>
    </w:lvl>
    <w:lvl w:ilvl="7" w:tplc="040E0003" w:tentative="1">
      <w:start w:val="1"/>
      <w:numFmt w:val="bullet"/>
      <w:lvlText w:val="o"/>
      <w:lvlJc w:val="left"/>
      <w:pPr>
        <w:tabs>
          <w:tab w:val="num" w:pos="6240"/>
        </w:tabs>
        <w:ind w:left="6240" w:hanging="360"/>
      </w:pPr>
      <w:rPr>
        <w:rFonts w:ascii="Courier New" w:hAnsi="Courier New" w:cs="Courier New" w:hint="default"/>
      </w:rPr>
    </w:lvl>
    <w:lvl w:ilvl="8" w:tplc="040E0005" w:tentative="1">
      <w:start w:val="1"/>
      <w:numFmt w:val="bullet"/>
      <w:lvlText w:val=""/>
      <w:lvlJc w:val="left"/>
      <w:pPr>
        <w:tabs>
          <w:tab w:val="num" w:pos="6960"/>
        </w:tabs>
        <w:ind w:left="6960" w:hanging="360"/>
      </w:pPr>
      <w:rPr>
        <w:rFonts w:ascii="Wingdings" w:hAnsi="Wingdings" w:hint="default"/>
      </w:rPr>
    </w:lvl>
  </w:abstractNum>
  <w:abstractNum w:abstractNumId="24" w15:restartNumberingAfterBreak="0">
    <w:nsid w:val="386B1F73"/>
    <w:multiLevelType w:val="hybridMultilevel"/>
    <w:tmpl w:val="17EE45D6"/>
    <w:lvl w:ilvl="0" w:tplc="A4722B78">
      <w:start w:val="10"/>
      <w:numFmt w:val="decimal"/>
      <w:lvlText w:val="%1."/>
      <w:lvlJc w:val="left"/>
      <w:pPr>
        <w:tabs>
          <w:tab w:val="num" w:pos="930"/>
        </w:tabs>
        <w:ind w:left="930" w:hanging="57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5" w15:restartNumberingAfterBreak="0">
    <w:nsid w:val="41D140EB"/>
    <w:multiLevelType w:val="hybridMultilevel"/>
    <w:tmpl w:val="A5CAC232"/>
    <w:lvl w:ilvl="0" w:tplc="040B0001">
      <w:start w:val="1"/>
      <w:numFmt w:val="bullet"/>
      <w:lvlText w:val=""/>
      <w:lvlJc w:val="left"/>
      <w:pPr>
        <w:tabs>
          <w:tab w:val="num" w:pos="720"/>
        </w:tabs>
        <w:ind w:left="720" w:hanging="360"/>
      </w:pPr>
      <w:rPr>
        <w:rFonts w:ascii="Symbol" w:hAnsi="Symbol" w:hint="default"/>
      </w:rPr>
    </w:lvl>
    <w:lvl w:ilvl="1" w:tplc="040B0003" w:tentative="1">
      <w:start w:val="1"/>
      <w:numFmt w:val="bullet"/>
      <w:lvlText w:val="o"/>
      <w:lvlJc w:val="left"/>
      <w:pPr>
        <w:tabs>
          <w:tab w:val="num" w:pos="1440"/>
        </w:tabs>
        <w:ind w:left="1440" w:hanging="360"/>
      </w:pPr>
      <w:rPr>
        <w:rFonts w:ascii="Courier New" w:hAnsi="Courier New" w:cs="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cs="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cs="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6377E67"/>
    <w:multiLevelType w:val="hybridMultilevel"/>
    <w:tmpl w:val="2B605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7FA09D7"/>
    <w:multiLevelType w:val="multilevel"/>
    <w:tmpl w:val="28686E04"/>
    <w:lvl w:ilvl="0">
      <w:start w:val="1"/>
      <w:numFmt w:val="bullet"/>
      <w:lvlText w:val="-"/>
      <w:lvlJc w:val="left"/>
      <w:pPr>
        <w:tabs>
          <w:tab w:val="num" w:pos="360"/>
        </w:tabs>
        <w:ind w:left="360" w:hanging="360"/>
      </w:pPr>
      <w:rPr>
        <w:rFonts w:ascii="Times New Roman" w:hAnsi="Times New Roman" w:cs="Times New Roma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8" w15:restartNumberingAfterBreak="0">
    <w:nsid w:val="500F0A91"/>
    <w:multiLevelType w:val="hybridMultilevel"/>
    <w:tmpl w:val="2B94116C"/>
    <w:lvl w:ilvl="0" w:tplc="040E000F">
      <w:start w:val="1"/>
      <w:numFmt w:val="decimal"/>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9" w15:restartNumberingAfterBreak="0">
    <w:nsid w:val="54405813"/>
    <w:multiLevelType w:val="hybridMultilevel"/>
    <w:tmpl w:val="28686E04"/>
    <w:lvl w:ilvl="0" w:tplc="F9CA61DA">
      <w:start w:val="1"/>
      <w:numFmt w:val="bullet"/>
      <w:lvlText w:val="-"/>
      <w:lvlJc w:val="left"/>
      <w:pPr>
        <w:tabs>
          <w:tab w:val="num" w:pos="360"/>
        </w:tabs>
        <w:ind w:left="360" w:hanging="360"/>
      </w:pPr>
      <w:rPr>
        <w:rFonts w:ascii="Times New Roman" w:hAnsi="Times New Roman" w:cs="Times New Roman" w:hint="default"/>
      </w:rPr>
    </w:lvl>
    <w:lvl w:ilvl="1" w:tplc="04050019">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30" w15:restartNumberingAfterBreak="0">
    <w:nsid w:val="588B0C25"/>
    <w:multiLevelType w:val="hybridMultilevel"/>
    <w:tmpl w:val="499086A6"/>
    <w:lvl w:ilvl="0" w:tplc="040E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90D085D"/>
    <w:multiLevelType w:val="hybridMultilevel"/>
    <w:tmpl w:val="F40CFF90"/>
    <w:lvl w:ilvl="0" w:tplc="A79484AC">
      <w:start w:val="4"/>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93E7325"/>
    <w:multiLevelType w:val="hybridMultilevel"/>
    <w:tmpl w:val="4BAEABDE"/>
    <w:lvl w:ilvl="0" w:tplc="DE5AD7D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94D3B1C"/>
    <w:multiLevelType w:val="hybridMultilevel"/>
    <w:tmpl w:val="9BF0B576"/>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CB13BD7"/>
    <w:multiLevelType w:val="hybridMultilevel"/>
    <w:tmpl w:val="E8CED8C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62D547C3"/>
    <w:multiLevelType w:val="hybridMultilevel"/>
    <w:tmpl w:val="7012F3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9BD4417"/>
    <w:multiLevelType w:val="multilevel"/>
    <w:tmpl w:val="F7BA47A8"/>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711334EB"/>
    <w:multiLevelType w:val="hybridMultilevel"/>
    <w:tmpl w:val="6BFC2510"/>
    <w:lvl w:ilvl="0" w:tplc="04090001">
      <w:start w:val="1"/>
      <w:numFmt w:val="bullet"/>
      <w:lvlText w:val=""/>
      <w:lvlJc w:val="left"/>
      <w:pPr>
        <w:tabs>
          <w:tab w:val="num" w:pos="1494"/>
        </w:tabs>
        <w:ind w:left="1494" w:hanging="360"/>
      </w:pPr>
      <w:rPr>
        <w:rFonts w:ascii="Symbol" w:hAnsi="Symbol" w:hint="default"/>
        <w:b/>
        <w:i w:val="0"/>
      </w:rPr>
    </w:lvl>
    <w:lvl w:ilvl="1" w:tplc="2B4ED95C">
      <w:numFmt w:val="bullet"/>
      <w:lvlText w:val="-"/>
      <w:lvlJc w:val="left"/>
      <w:pPr>
        <w:tabs>
          <w:tab w:val="num" w:pos="1440"/>
        </w:tabs>
        <w:ind w:left="1440" w:hanging="360"/>
      </w:pPr>
      <w:rPr>
        <w:rFonts w:ascii="Times New Roman" w:eastAsia="Times New Roman" w:hAnsi="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6FD175F"/>
    <w:multiLevelType w:val="hybridMultilevel"/>
    <w:tmpl w:val="352C6B6E"/>
    <w:lvl w:ilvl="0" w:tplc="A79484AC">
      <w:start w:val="4"/>
      <w:numFmt w:val="bullet"/>
      <w:lvlText w:val="-"/>
      <w:lvlJc w:val="left"/>
      <w:pPr>
        <w:tabs>
          <w:tab w:val="num" w:pos="720"/>
        </w:tabs>
        <w:ind w:left="720" w:hanging="360"/>
      </w:pPr>
      <w:rPr>
        <w:rFonts w:ascii="Times New Roman" w:eastAsia="Times New Roman" w:hAnsi="Times New Roman" w:cs="Times New Roman" w:hint="default"/>
      </w:rPr>
    </w:lvl>
    <w:lvl w:ilvl="1" w:tplc="040E000F">
      <w:start w:val="1"/>
      <w:numFmt w:val="decimal"/>
      <w:lvlText w:val="%2."/>
      <w:lvlJc w:val="left"/>
      <w:pPr>
        <w:tabs>
          <w:tab w:val="num" w:pos="1440"/>
        </w:tabs>
        <w:ind w:left="1440" w:hanging="360"/>
      </w:pPr>
      <w:rPr>
        <w:rFonts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C53438D"/>
    <w:multiLevelType w:val="hybridMultilevel"/>
    <w:tmpl w:val="37D0AB2A"/>
    <w:lvl w:ilvl="0" w:tplc="040B0001">
      <w:start w:val="1"/>
      <w:numFmt w:val="bullet"/>
      <w:lvlText w:val=""/>
      <w:lvlJc w:val="left"/>
      <w:pPr>
        <w:tabs>
          <w:tab w:val="num" w:pos="720"/>
        </w:tabs>
        <w:ind w:left="720" w:hanging="360"/>
      </w:pPr>
      <w:rPr>
        <w:rFonts w:ascii="Symbol" w:hAnsi="Symbol"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28"/>
  </w:num>
  <w:num w:numId="12">
    <w:abstractNumId w:val="12"/>
  </w:num>
  <w:num w:numId="1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14">
    <w:abstractNumId w:val="34"/>
  </w:num>
  <w:num w:numId="15">
    <w:abstractNumId w:val="38"/>
  </w:num>
  <w:num w:numId="16">
    <w:abstractNumId w:val="29"/>
  </w:num>
  <w:num w:numId="17">
    <w:abstractNumId w:val="11"/>
  </w:num>
  <w:num w:numId="18">
    <w:abstractNumId w:val="31"/>
  </w:num>
  <w:num w:numId="19">
    <w:abstractNumId w:val="27"/>
  </w:num>
  <w:num w:numId="20">
    <w:abstractNumId w:val="21"/>
  </w:num>
  <w:num w:numId="21">
    <w:abstractNumId w:val="20"/>
  </w:num>
  <w:num w:numId="22">
    <w:abstractNumId w:val="19"/>
  </w:num>
  <w:num w:numId="23">
    <w:abstractNumId w:val="17"/>
  </w:num>
  <w:num w:numId="24">
    <w:abstractNumId w:val="16"/>
  </w:num>
  <w:num w:numId="25">
    <w:abstractNumId w:val="23"/>
  </w:num>
  <w:num w:numId="26">
    <w:abstractNumId w:val="25"/>
  </w:num>
  <w:num w:numId="27">
    <w:abstractNumId w:val="39"/>
  </w:num>
  <w:num w:numId="28">
    <w:abstractNumId w:val="24"/>
  </w:num>
  <w:num w:numId="29">
    <w:abstractNumId w:val="35"/>
  </w:num>
  <w:num w:numId="30">
    <w:abstractNumId w:val="18"/>
  </w:num>
  <w:num w:numId="31">
    <w:abstractNumId w:val="32"/>
  </w:num>
  <w:num w:numId="32">
    <w:abstractNumId w:val="37"/>
  </w:num>
  <w:num w:numId="33">
    <w:abstractNumId w:val="15"/>
  </w:num>
  <w:num w:numId="34">
    <w:abstractNumId w:val="22"/>
  </w:num>
  <w:num w:numId="35">
    <w:abstractNumId w:val="26"/>
  </w:num>
  <w:num w:numId="36">
    <w:abstractNumId w:val="14"/>
  </w:num>
  <w:num w:numId="37">
    <w:abstractNumId w:val="36"/>
  </w:num>
  <w:num w:numId="38">
    <w:abstractNumId w:val="33"/>
  </w:num>
  <w:num w:numId="39">
    <w:abstractNumId w:val="13"/>
  </w:num>
  <w:num w:numId="4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2"/>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2B5E"/>
    <w:rsid w:val="00084086"/>
    <w:rsid w:val="00132D5F"/>
    <w:rsid w:val="00382B5E"/>
    <w:rsid w:val="00953658"/>
    <w:rsid w:val="00A736A2"/>
    <w:rsid w:val="00AD5446"/>
    <w:rsid w:val="00BE0CD4"/>
    <w:rsid w:val="00BE2367"/>
    <w:rsid w:val="00BE2F08"/>
    <w:rsid w:val="00C82934"/>
    <w:rsid w:val="00DB03F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stockticker"/>
  <w:shapeDefaults>
    <o:shapedefaults v:ext="edit" spidmax="2050"/>
    <o:shapelayout v:ext="edit">
      <o:idmap v:ext="edit" data="2"/>
    </o:shapelayout>
  </w:shapeDefaults>
  <w:decimalSymbol w:val=","/>
  <w:listSeparator w:val=";"/>
  <w14:docId w14:val="418564DA"/>
  <w15:chartTrackingRefBased/>
  <w15:docId w15:val="{E2B54EC1-134C-4D61-B6B2-28C049C1E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Pr>
      <w:sz w:val="24"/>
      <w:szCs w:val="24"/>
    </w:rPr>
  </w:style>
  <w:style w:type="paragraph" w:styleId="Cmsor3">
    <w:name w:val="heading 3"/>
    <w:basedOn w:val="Norml"/>
    <w:next w:val="Norml"/>
    <w:qFormat/>
    <w:pPr>
      <w:keepNext/>
      <w:widowControl w:val="0"/>
      <w:numPr>
        <w:ilvl w:val="2"/>
        <w:numId w:val="1"/>
      </w:numPr>
      <w:suppressAutoHyphens/>
      <w:jc w:val="both"/>
      <w:outlineLvl w:val="2"/>
    </w:pPr>
    <w:rPr>
      <w:rFonts w:eastAsia="HG Mincho Light J"/>
      <w:i/>
      <w:color w:val="000000"/>
      <w:lang w:eastAsia="ar-SA"/>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uiPriority w:val="99"/>
    <w:pPr>
      <w:spacing w:before="100" w:beforeAutospacing="1" w:after="100" w:afterAutospacing="1"/>
    </w:pPr>
    <w:rPr>
      <w:lang w:val="en-US" w:eastAsia="en-US"/>
    </w:rPr>
  </w:style>
  <w:style w:type="character" w:styleId="Jegyzethivatkozs">
    <w:name w:val="annotation reference"/>
    <w:semiHidden/>
    <w:rPr>
      <w:sz w:val="16"/>
      <w:szCs w:val="16"/>
    </w:rPr>
  </w:style>
  <w:style w:type="paragraph" w:styleId="Szvegtrzs">
    <w:name w:val="Body Text"/>
    <w:basedOn w:val="Norml"/>
    <w:rPr>
      <w:sz w:val="22"/>
      <w:szCs w:val="20"/>
      <w:lang w:val="en-GB" w:eastAsia="en-US"/>
    </w:rPr>
  </w:style>
  <w:style w:type="character" w:styleId="Oldalszm">
    <w:name w:val="page number"/>
    <w:basedOn w:val="Bekezdsalapbettpusa"/>
  </w:style>
  <w:style w:type="paragraph" w:styleId="llb">
    <w:name w:val="footer"/>
    <w:basedOn w:val="Norml"/>
    <w:link w:val="llbChar"/>
    <w:uiPriority w:val="99"/>
    <w:pPr>
      <w:tabs>
        <w:tab w:val="left" w:pos="567"/>
        <w:tab w:val="center" w:pos="4536"/>
        <w:tab w:val="center" w:pos="8930"/>
      </w:tabs>
      <w:suppressAutoHyphens/>
      <w:spacing w:line="260" w:lineRule="atLeast"/>
    </w:pPr>
    <w:rPr>
      <w:rFonts w:ascii="Helvetica" w:hAnsi="Helvetica"/>
      <w:sz w:val="16"/>
      <w:szCs w:val="20"/>
      <w:lang w:val="x-none" w:eastAsia="x-none"/>
    </w:rPr>
  </w:style>
  <w:style w:type="paragraph" w:styleId="Jegyzetszveg">
    <w:name w:val="annotation text"/>
    <w:basedOn w:val="Norml"/>
    <w:link w:val="JegyzetszvegChar"/>
    <w:pPr>
      <w:suppressAutoHyphens/>
      <w:spacing w:line="260" w:lineRule="exact"/>
    </w:pPr>
    <w:rPr>
      <w:sz w:val="20"/>
      <w:szCs w:val="20"/>
    </w:rPr>
  </w:style>
  <w:style w:type="paragraph" w:styleId="Dokumentumtrkp">
    <w:name w:val="Document Map"/>
    <w:basedOn w:val="Norml"/>
    <w:semiHidden/>
    <w:pPr>
      <w:shd w:val="clear" w:color="auto" w:fill="000080"/>
    </w:pPr>
    <w:rPr>
      <w:rFonts w:ascii="Tahoma" w:hAnsi="Tahoma" w:cs="Tahoma"/>
      <w:sz w:val="20"/>
      <w:szCs w:val="20"/>
    </w:rPr>
  </w:style>
  <w:style w:type="paragraph" w:styleId="Buborkszveg">
    <w:name w:val="Balloon Text"/>
    <w:basedOn w:val="Norml"/>
    <w:semiHidden/>
    <w:rPr>
      <w:rFonts w:ascii="Tahoma" w:hAnsi="Tahoma" w:cs="Tahoma"/>
      <w:sz w:val="16"/>
      <w:szCs w:val="16"/>
    </w:rPr>
  </w:style>
  <w:style w:type="paragraph" w:styleId="Megjegyzstrgya">
    <w:name w:val="annotation subject"/>
    <w:basedOn w:val="Jegyzetszveg"/>
    <w:next w:val="Jegyzetszveg"/>
    <w:semiHidden/>
    <w:pPr>
      <w:suppressAutoHyphens w:val="0"/>
      <w:spacing w:line="240" w:lineRule="auto"/>
    </w:pPr>
    <w:rPr>
      <w:b/>
      <w:bCs/>
    </w:rPr>
  </w:style>
  <w:style w:type="paragraph" w:styleId="lfej">
    <w:name w:val="header"/>
    <w:basedOn w:val="Norml"/>
    <w:link w:val="lfejChar"/>
    <w:uiPriority w:val="99"/>
    <w:pPr>
      <w:tabs>
        <w:tab w:val="center" w:pos="4536"/>
        <w:tab w:val="right" w:pos="9072"/>
      </w:tabs>
    </w:pPr>
  </w:style>
  <w:style w:type="paragraph" w:customStyle="1" w:styleId="02">
    <w:name w:val="02"/>
    <w:basedOn w:val="Norml"/>
    <w:pPr>
      <w:widowControl w:val="0"/>
      <w:suppressAutoHyphens/>
      <w:spacing w:before="120" w:after="120"/>
      <w:ind w:hanging="426"/>
    </w:pPr>
    <w:rPr>
      <w:rFonts w:eastAsia="HG Mincho Light J"/>
      <w:b/>
      <w:bCs/>
      <w:color w:val="000000"/>
      <w:sz w:val="22"/>
      <w:szCs w:val="22"/>
      <w:lang w:val="en-GB"/>
    </w:rPr>
  </w:style>
  <w:style w:type="paragraph" w:customStyle="1" w:styleId="MGGTextLeft">
    <w:name w:val="MGG Text Left"/>
    <w:basedOn w:val="Szvegtrzs"/>
    <w:rPr>
      <w:sz w:val="24"/>
      <w:szCs w:val="24"/>
    </w:rPr>
  </w:style>
  <w:style w:type="paragraph" w:customStyle="1" w:styleId="Default">
    <w:name w:val="Default"/>
    <w:pPr>
      <w:autoSpaceDE w:val="0"/>
      <w:autoSpaceDN w:val="0"/>
      <w:adjustRightInd w:val="0"/>
    </w:pPr>
    <w:rPr>
      <w:rFonts w:ascii="Arial" w:hAnsi="Arial" w:cs="Arial"/>
      <w:color w:val="000000"/>
      <w:sz w:val="24"/>
      <w:szCs w:val="24"/>
      <w:lang w:val="en-US" w:eastAsia="en-US"/>
    </w:rPr>
  </w:style>
  <w:style w:type="paragraph" w:styleId="Vltozat">
    <w:name w:val="Revision"/>
    <w:hidden/>
    <w:uiPriority w:val="99"/>
    <w:semiHidden/>
    <w:rPr>
      <w:sz w:val="24"/>
      <w:szCs w:val="24"/>
    </w:rPr>
  </w:style>
  <w:style w:type="paragraph" w:customStyle="1" w:styleId="NoSpacing1">
    <w:name w:val="No Spacing1"/>
    <w:uiPriority w:val="1"/>
    <w:qFormat/>
    <w:rPr>
      <w:rFonts w:ascii="Calibri" w:eastAsia="Calibri" w:hAnsi="Calibri"/>
      <w:sz w:val="22"/>
      <w:szCs w:val="22"/>
      <w:lang w:val="sl-SI" w:eastAsia="en-US"/>
    </w:rPr>
  </w:style>
  <w:style w:type="character" w:styleId="Hiperhivatkozs">
    <w:name w:val="Hyperlink"/>
    <w:rPr>
      <w:rFonts w:cs="Times New Roman"/>
      <w:color w:val="0000FF"/>
      <w:u w:val="single"/>
    </w:rPr>
  </w:style>
  <w:style w:type="character" w:styleId="Kiemels2">
    <w:name w:val="Strong"/>
    <w:uiPriority w:val="22"/>
    <w:qFormat/>
    <w:rPr>
      <w:b/>
      <w:bCs/>
    </w:rPr>
  </w:style>
  <w:style w:type="paragraph" w:customStyle="1" w:styleId="TableText">
    <w:name w:val="TableText"/>
    <w:rPr>
      <w:rFonts w:cs="Arial"/>
      <w:lang w:val="en-US" w:eastAsia="en-US"/>
    </w:rPr>
  </w:style>
  <w:style w:type="character" w:customStyle="1" w:styleId="TableText9">
    <w:name w:val="TableText 9"/>
    <w:rPr>
      <w:rFonts w:ascii="Times New Roman" w:hAnsi="Times New Roman"/>
      <w:sz w:val="18"/>
    </w:rPr>
  </w:style>
  <w:style w:type="paragraph" w:customStyle="1" w:styleId="Paragraph">
    <w:name w:val="Paragraph"/>
    <w:link w:val="ParagraphChar"/>
    <w:pPr>
      <w:spacing w:after="240"/>
    </w:pPr>
    <w:rPr>
      <w:sz w:val="24"/>
      <w:szCs w:val="24"/>
      <w:lang w:val="en-US" w:eastAsia="en-US"/>
    </w:rPr>
  </w:style>
  <w:style w:type="character" w:customStyle="1" w:styleId="ParagraphChar">
    <w:name w:val="Paragraph Char"/>
    <w:link w:val="Paragraph"/>
    <w:rPr>
      <w:sz w:val="24"/>
      <w:szCs w:val="24"/>
      <w:lang w:val="en-US" w:eastAsia="en-US" w:bidi="ar-SA"/>
    </w:rPr>
  </w:style>
  <w:style w:type="character" w:customStyle="1" w:styleId="llbChar">
    <w:name w:val="Élőláb Char"/>
    <w:link w:val="llb"/>
    <w:uiPriority w:val="99"/>
    <w:rPr>
      <w:rFonts w:ascii="Helvetica" w:hAnsi="Helvetica"/>
      <w:sz w:val="16"/>
    </w:rPr>
  </w:style>
  <w:style w:type="character" w:styleId="Mrltotthiperhivatkozs">
    <w:name w:val="FollowedHyperlink"/>
    <w:rPr>
      <w:color w:val="800080"/>
      <w:u w:val="single"/>
    </w:rPr>
  </w:style>
  <w:style w:type="character" w:customStyle="1" w:styleId="JegyzetszvegChar">
    <w:name w:val="Jegyzetszöveg Char"/>
    <w:link w:val="Jegyzetszveg"/>
  </w:style>
  <w:style w:type="character" w:customStyle="1" w:styleId="lfejChar">
    <w:name w:val="Élőfej Char"/>
    <w:link w:val="lfej"/>
    <w:uiPriority w:val="9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049191">
      <w:bodyDiv w:val="1"/>
      <w:marLeft w:val="0"/>
      <w:marRight w:val="0"/>
      <w:marTop w:val="0"/>
      <w:marBottom w:val="0"/>
      <w:divBdr>
        <w:top w:val="none" w:sz="0" w:space="0" w:color="auto"/>
        <w:left w:val="none" w:sz="0" w:space="0" w:color="auto"/>
        <w:bottom w:val="none" w:sz="0" w:space="0" w:color="auto"/>
        <w:right w:val="none" w:sz="0" w:space="0" w:color="auto"/>
      </w:divBdr>
    </w:div>
    <w:div w:id="584262022">
      <w:bodyDiv w:val="1"/>
      <w:marLeft w:val="0"/>
      <w:marRight w:val="0"/>
      <w:marTop w:val="0"/>
      <w:marBottom w:val="0"/>
      <w:divBdr>
        <w:top w:val="none" w:sz="0" w:space="0" w:color="auto"/>
        <w:left w:val="none" w:sz="0" w:space="0" w:color="auto"/>
        <w:bottom w:val="none" w:sz="0" w:space="0" w:color="auto"/>
        <w:right w:val="none" w:sz="0" w:space="0" w:color="auto"/>
      </w:divBdr>
    </w:div>
    <w:div w:id="665405422">
      <w:bodyDiv w:val="1"/>
      <w:marLeft w:val="0"/>
      <w:marRight w:val="0"/>
      <w:marTop w:val="0"/>
      <w:marBottom w:val="0"/>
      <w:divBdr>
        <w:top w:val="none" w:sz="0" w:space="0" w:color="auto"/>
        <w:left w:val="none" w:sz="0" w:space="0" w:color="auto"/>
        <w:bottom w:val="none" w:sz="0" w:space="0" w:color="auto"/>
        <w:right w:val="none" w:sz="0" w:space="0" w:color="auto"/>
      </w:divBdr>
    </w:div>
    <w:div w:id="916941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08E726-CF0C-4F9F-8FCD-10177FB58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8000</Words>
  <Characters>55205</Characters>
  <Application>Microsoft Office Word</Application>
  <DocSecurity>0</DocSecurity>
  <Lines>460</Lines>
  <Paragraphs>126</Paragraphs>
  <ScaleCrop>false</ScaleCrop>
  <HeadingPairs>
    <vt:vector size="6" baseType="variant">
      <vt:variant>
        <vt:lpstr>Cím</vt:lpstr>
      </vt:variant>
      <vt:variant>
        <vt:i4>1</vt:i4>
      </vt:variant>
      <vt:variant>
        <vt:lpstr>Title</vt:lpstr>
      </vt:variant>
      <vt:variant>
        <vt:i4>1</vt:i4>
      </vt:variant>
      <vt:variant>
        <vt:lpstr>Naslov</vt:lpstr>
      </vt:variant>
      <vt:variant>
        <vt:i4>1</vt:i4>
      </vt:variant>
    </vt:vector>
  </HeadingPairs>
  <TitlesOfParts>
    <vt:vector size="3" baseType="lpstr">
      <vt:lpstr>Lorista</vt:lpstr>
      <vt:lpstr>Lorista</vt:lpstr>
      <vt:lpstr>Lorista</vt:lpstr>
    </vt:vector>
  </TitlesOfParts>
  <Company>Pannon Program Kft</Company>
  <LinksUpToDate>false</LinksUpToDate>
  <CharactersWithSpaces>63079</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Lorista</dc:title>
  <dc:subject/>
  <dc:creator>Windows XP</dc:creator>
  <cp:keywords/>
  <cp:lastModifiedBy>HU OGYI 49.1</cp:lastModifiedBy>
  <cp:revision>4</cp:revision>
  <cp:lastPrinted>2013-05-08T08:50:00Z</cp:lastPrinted>
  <dcterms:created xsi:type="dcterms:W3CDTF">2026-09-21T15:03:00Z</dcterms:created>
  <dcterms:modified xsi:type="dcterms:W3CDTF">2026-09-22T09:48:00Z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Contributor">
    <vt:lpwstr/>
  </property>
</Properties>
</file>