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7FFB4" w14:textId="77777777" w:rsidR="00B00CBD" w:rsidRPr="007D3B01" w:rsidRDefault="00B00CBD" w:rsidP="007D3B01">
      <w:pPr>
        <w:rPr>
          <w:b/>
        </w:rPr>
      </w:pPr>
      <w:r>
        <w:rPr>
          <w:b/>
        </w:rPr>
        <w:t>1.</w:t>
      </w:r>
      <w:r>
        <w:rPr>
          <w:b/>
        </w:rPr>
        <w:tab/>
        <w:t>A GYÓGYSZER NEVE</w:t>
      </w:r>
    </w:p>
    <w:p w14:paraId="23397362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68CD385A" w14:textId="44DA6134" w:rsidR="00E501FE" w:rsidRDefault="00D56E66" w:rsidP="00E501FE">
      <w:pPr>
        <w:rPr>
          <w:szCs w:val="22"/>
        </w:rPr>
      </w:pPr>
      <w:proofErr w:type="spellStart"/>
      <w:r>
        <w:rPr>
          <w:szCs w:val="22"/>
          <w:shd w:val="clear" w:color="auto" w:fill="FFFFFF" w:themeFill="background1"/>
        </w:rPr>
        <w:t>Tresuvi</w:t>
      </w:r>
      <w:proofErr w:type="spellEnd"/>
      <w:r>
        <w:rPr>
          <w:szCs w:val="22"/>
          <w:shd w:val="clear" w:color="auto" w:fill="FFFFFF" w:themeFill="background1"/>
        </w:rPr>
        <w:t xml:space="preserve"> 5 mg/ml </w:t>
      </w:r>
      <w:proofErr w:type="spellStart"/>
      <w:r>
        <w:rPr>
          <w:szCs w:val="22"/>
          <w:shd w:val="clear" w:color="auto" w:fill="FFFFFF" w:themeFill="background1"/>
        </w:rPr>
        <w:t>oldatos</w:t>
      </w:r>
      <w:proofErr w:type="spellEnd"/>
      <w:r>
        <w:rPr>
          <w:szCs w:val="22"/>
          <w:shd w:val="clear" w:color="auto" w:fill="FFFFFF" w:themeFill="background1"/>
        </w:rPr>
        <w:t xml:space="preserve"> infúzió</w:t>
      </w:r>
    </w:p>
    <w:p w14:paraId="71D279B6" w14:textId="77777777" w:rsidR="00B00CBD" w:rsidRPr="00B00CBD" w:rsidRDefault="00B00CBD" w:rsidP="00435BCF">
      <w:bookmarkStart w:id="0" w:name="_Toc399649938"/>
      <w:bookmarkStart w:id="1" w:name="_Toc399654870"/>
      <w:bookmarkStart w:id="2" w:name="_Toc399655176"/>
      <w:bookmarkStart w:id="3" w:name="_Toc399729041"/>
      <w:bookmarkStart w:id="4" w:name="_Toc401626163"/>
      <w:bookmarkStart w:id="5" w:name="_Toc401626201"/>
      <w:bookmarkStart w:id="6" w:name="_Toc401626236"/>
      <w:bookmarkStart w:id="7" w:name="_Toc402239799"/>
      <w:bookmarkStart w:id="8" w:name="_Toc417272466"/>
    </w:p>
    <w:p w14:paraId="32943913" w14:textId="77777777" w:rsidR="00B00CBD" w:rsidRPr="00B00CBD" w:rsidRDefault="00B00CBD" w:rsidP="00435BCF">
      <w:pPr>
        <w:rPr>
          <w:lang w:eastAsia="en-US"/>
        </w:rPr>
      </w:pPr>
    </w:p>
    <w:p w14:paraId="7B5E4E6A" w14:textId="77777777" w:rsidR="00B00CBD" w:rsidRPr="007D3B01" w:rsidRDefault="00B00CBD" w:rsidP="007D3B01">
      <w:pPr>
        <w:rPr>
          <w:b/>
        </w:rPr>
      </w:pPr>
      <w:r>
        <w:rPr>
          <w:b/>
        </w:rPr>
        <w:t>2.</w:t>
      </w:r>
      <w:r>
        <w:rPr>
          <w:b/>
        </w:rPr>
        <w:tab/>
        <w:t>MINŐSÉGI ÉS MENNYISÉGI ÖSSZETÉTEL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6BF32168" w14:textId="77777777" w:rsidR="00B00CBD" w:rsidRDefault="00B00CBD" w:rsidP="00B00CBD">
      <w:pPr>
        <w:jc w:val="both"/>
        <w:rPr>
          <w:szCs w:val="22"/>
          <w:lang w:eastAsia="en-US"/>
        </w:rPr>
      </w:pPr>
    </w:p>
    <w:p w14:paraId="311B329A" w14:textId="58D970A7" w:rsidR="00E501FE" w:rsidRPr="005D5674" w:rsidRDefault="00E501FE" w:rsidP="00985634">
      <w:pPr>
        <w:shd w:val="clear" w:color="auto" w:fill="FFFFFF" w:themeFill="background1"/>
        <w:jc w:val="both"/>
        <w:rPr>
          <w:shd w:val="clear" w:color="auto" w:fill="A6A6A6" w:themeFill="background1" w:themeFillShade="A6"/>
        </w:rPr>
      </w:pPr>
      <w:r>
        <w:rPr>
          <w:szCs w:val="22"/>
          <w:shd w:val="clear" w:color="auto" w:fill="FFFFFF" w:themeFill="background1"/>
        </w:rPr>
        <w:t xml:space="preserve">Egy ml oldatos infúzió 5 mg </w:t>
      </w:r>
      <w:proofErr w:type="spellStart"/>
      <w:r>
        <w:rPr>
          <w:szCs w:val="22"/>
          <w:shd w:val="clear" w:color="auto" w:fill="FFFFFF" w:themeFill="background1"/>
        </w:rPr>
        <w:t>treprosztinilt</w:t>
      </w:r>
      <w:proofErr w:type="spellEnd"/>
      <w:r>
        <w:rPr>
          <w:szCs w:val="22"/>
          <w:shd w:val="clear" w:color="auto" w:fill="FFFFFF" w:themeFill="background1"/>
        </w:rPr>
        <w:t xml:space="preserve"> tartalmaz </w:t>
      </w:r>
      <w:proofErr w:type="spellStart"/>
      <w:r>
        <w:rPr>
          <w:szCs w:val="22"/>
          <w:shd w:val="clear" w:color="auto" w:fill="FFFFFF" w:themeFill="background1"/>
        </w:rPr>
        <w:t>treprosztinil</w:t>
      </w:r>
      <w:proofErr w:type="spellEnd"/>
      <w:r>
        <w:rPr>
          <w:szCs w:val="22"/>
          <w:shd w:val="clear" w:color="auto" w:fill="FFFFFF" w:themeFill="background1"/>
        </w:rPr>
        <w:noBreakHyphen/>
        <w:t>nátrium formájában.</w:t>
      </w:r>
    </w:p>
    <w:p w14:paraId="7B70FBAF" w14:textId="06B904CF" w:rsidR="00E501FE" w:rsidRPr="005D5674" w:rsidRDefault="00E501FE" w:rsidP="00985634">
      <w:pPr>
        <w:shd w:val="clear" w:color="auto" w:fill="FFFFFF" w:themeFill="background1"/>
        <w:jc w:val="both"/>
        <w:rPr>
          <w:shd w:val="clear" w:color="auto" w:fill="A6A6A6" w:themeFill="background1" w:themeFillShade="A6"/>
        </w:rPr>
      </w:pPr>
      <w:r>
        <w:rPr>
          <w:szCs w:val="22"/>
          <w:shd w:val="clear" w:color="auto" w:fill="FFFFFF" w:themeFill="background1"/>
        </w:rPr>
        <w:t>Az oldat 10 ml</w:t>
      </w:r>
      <w:r>
        <w:rPr>
          <w:szCs w:val="22"/>
          <w:shd w:val="clear" w:color="auto" w:fill="FFFFFF" w:themeFill="background1"/>
        </w:rPr>
        <w:noBreakHyphen/>
        <w:t xml:space="preserve">es injekciós </w:t>
      </w:r>
      <w:proofErr w:type="spellStart"/>
      <w:r>
        <w:rPr>
          <w:szCs w:val="22"/>
          <w:shd w:val="clear" w:color="auto" w:fill="FFFFFF" w:themeFill="background1"/>
        </w:rPr>
        <w:t>üvege</w:t>
      </w:r>
      <w:proofErr w:type="spellEnd"/>
      <w:r>
        <w:rPr>
          <w:szCs w:val="22"/>
          <w:shd w:val="clear" w:color="auto" w:fill="FFFFFF" w:themeFill="background1"/>
        </w:rPr>
        <w:t xml:space="preserve"> 50 mg </w:t>
      </w:r>
      <w:proofErr w:type="spellStart"/>
      <w:r>
        <w:rPr>
          <w:szCs w:val="22"/>
          <w:shd w:val="clear" w:color="auto" w:fill="FFFFFF" w:themeFill="background1"/>
        </w:rPr>
        <w:t>treprosztinilt</w:t>
      </w:r>
      <w:proofErr w:type="spellEnd"/>
      <w:r>
        <w:rPr>
          <w:szCs w:val="22"/>
          <w:shd w:val="clear" w:color="auto" w:fill="FFFFFF" w:themeFill="background1"/>
        </w:rPr>
        <w:t xml:space="preserve"> tartalmaz, </w:t>
      </w:r>
      <w:proofErr w:type="spellStart"/>
      <w:r>
        <w:rPr>
          <w:szCs w:val="22"/>
          <w:shd w:val="clear" w:color="auto" w:fill="FFFFFF" w:themeFill="background1"/>
        </w:rPr>
        <w:t>treprosztinil</w:t>
      </w:r>
      <w:proofErr w:type="spellEnd"/>
      <w:r>
        <w:rPr>
          <w:szCs w:val="22"/>
          <w:shd w:val="clear" w:color="auto" w:fill="FFFFFF" w:themeFill="background1"/>
        </w:rPr>
        <w:noBreakHyphen/>
        <w:t>nátrium) formájában.</w:t>
      </w:r>
    </w:p>
    <w:p w14:paraId="644DB706" w14:textId="77777777" w:rsidR="00D73710" w:rsidRDefault="00D73710" w:rsidP="00985634">
      <w:pPr>
        <w:shd w:val="clear" w:color="auto" w:fill="FFFFFF" w:themeFill="background1"/>
        <w:jc w:val="both"/>
        <w:rPr>
          <w:szCs w:val="22"/>
          <w:shd w:val="clear" w:color="auto" w:fill="FFFFFF" w:themeFill="background1"/>
          <w:lang w:eastAsia="en-US"/>
        </w:rPr>
      </w:pPr>
    </w:p>
    <w:p w14:paraId="13C1D4E9" w14:textId="77777777" w:rsidR="00A525B0" w:rsidRPr="00020748" w:rsidRDefault="00E501FE" w:rsidP="00985634">
      <w:pPr>
        <w:shd w:val="clear" w:color="auto" w:fill="FFFFFF" w:themeFill="background1"/>
        <w:jc w:val="both"/>
        <w:rPr>
          <w:szCs w:val="22"/>
          <w:u w:val="single"/>
          <w:shd w:val="clear" w:color="auto" w:fill="FFFFFF" w:themeFill="background1"/>
        </w:rPr>
      </w:pPr>
      <w:r w:rsidRPr="00020748">
        <w:rPr>
          <w:szCs w:val="22"/>
          <w:u w:val="single"/>
          <w:shd w:val="clear" w:color="auto" w:fill="FFFFFF" w:themeFill="background1"/>
        </w:rPr>
        <w:t xml:space="preserve">Ismert hatású segédanyagok: </w:t>
      </w:r>
    </w:p>
    <w:p w14:paraId="38745C30" w14:textId="02FA4016" w:rsidR="00E501FE" w:rsidRPr="00AE3368" w:rsidRDefault="00590CCD" w:rsidP="00985634">
      <w:pPr>
        <w:shd w:val="clear" w:color="auto" w:fill="FFFFFF" w:themeFill="background1"/>
        <w:jc w:val="both"/>
        <w:rPr>
          <w:szCs w:val="22"/>
          <w:shd w:val="clear" w:color="auto" w:fill="A6A6A6" w:themeFill="background1" w:themeFillShade="A6"/>
        </w:rPr>
      </w:pPr>
      <w:r>
        <w:rPr>
          <w:szCs w:val="22"/>
          <w:shd w:val="clear" w:color="auto" w:fill="FFFFFF" w:themeFill="background1"/>
        </w:rPr>
        <w:t>N</w:t>
      </w:r>
      <w:r w:rsidR="00E501FE">
        <w:rPr>
          <w:szCs w:val="22"/>
          <w:shd w:val="clear" w:color="auto" w:fill="FFFFFF" w:themeFill="background1"/>
        </w:rPr>
        <w:t xml:space="preserve">átrium: </w:t>
      </w:r>
      <w:r>
        <w:rPr>
          <w:szCs w:val="22"/>
          <w:shd w:val="clear" w:color="auto" w:fill="FFFFFF" w:themeFill="background1"/>
        </w:rPr>
        <w:t xml:space="preserve">maximum </w:t>
      </w:r>
      <w:r w:rsidR="00E501FE">
        <w:rPr>
          <w:szCs w:val="22"/>
          <w:shd w:val="clear" w:color="auto" w:fill="FFFFFF" w:themeFill="background1"/>
        </w:rPr>
        <w:t>39,1 mg (1,70 </w:t>
      </w:r>
      <w:proofErr w:type="spellStart"/>
      <w:r w:rsidR="00E501FE">
        <w:rPr>
          <w:szCs w:val="22"/>
          <w:shd w:val="clear" w:color="auto" w:fill="FFFFFF" w:themeFill="background1"/>
        </w:rPr>
        <w:t>mmol</w:t>
      </w:r>
      <w:proofErr w:type="spellEnd"/>
      <w:r w:rsidR="00E501FE">
        <w:rPr>
          <w:szCs w:val="22"/>
          <w:shd w:val="clear" w:color="auto" w:fill="FFFFFF" w:themeFill="background1"/>
        </w:rPr>
        <w:t>) nátrium 10 ml</w:t>
      </w:r>
      <w:r w:rsidR="00E501FE">
        <w:rPr>
          <w:szCs w:val="22"/>
          <w:shd w:val="clear" w:color="auto" w:fill="FFFFFF" w:themeFill="background1"/>
        </w:rPr>
        <w:noBreakHyphen/>
        <w:t>es injekciós üvegenként</w:t>
      </w:r>
    </w:p>
    <w:p w14:paraId="630181C4" w14:textId="77777777" w:rsidR="00E501FE" w:rsidRPr="005D5674" w:rsidRDefault="00E501FE" w:rsidP="005D5674">
      <w:pPr>
        <w:jc w:val="both"/>
      </w:pPr>
    </w:p>
    <w:p w14:paraId="52175BC6" w14:textId="5F85F9EA" w:rsidR="00B00CBD" w:rsidRPr="00B00CBD" w:rsidRDefault="00B00CBD" w:rsidP="00B00CBD">
      <w:pPr>
        <w:jc w:val="both"/>
        <w:rPr>
          <w:szCs w:val="22"/>
        </w:rPr>
      </w:pPr>
      <w:r>
        <w:t>A segédanyagok teljes listáját lásd a 6.1 pontban.</w:t>
      </w:r>
    </w:p>
    <w:p w14:paraId="6F2FDF6C" w14:textId="77777777" w:rsidR="00B00CBD" w:rsidRDefault="00B00CBD" w:rsidP="00EA7E06">
      <w:bookmarkStart w:id="9" w:name="_Toc399649939"/>
      <w:bookmarkStart w:id="10" w:name="_Toc399654871"/>
      <w:bookmarkStart w:id="11" w:name="_Toc399655177"/>
      <w:bookmarkStart w:id="12" w:name="_Toc399729042"/>
      <w:bookmarkStart w:id="13" w:name="_Toc401626164"/>
      <w:bookmarkStart w:id="14" w:name="_Toc401626202"/>
      <w:bookmarkStart w:id="15" w:name="_Toc401626237"/>
      <w:bookmarkStart w:id="16" w:name="_Toc402239800"/>
      <w:bookmarkStart w:id="17" w:name="_Toc417272467"/>
    </w:p>
    <w:p w14:paraId="0E173870" w14:textId="77777777" w:rsidR="00EA7E06" w:rsidRPr="00B00CBD" w:rsidRDefault="00EA7E06" w:rsidP="00A525B0">
      <w:pPr>
        <w:rPr>
          <w:lang w:eastAsia="en-US"/>
        </w:rPr>
      </w:pPr>
    </w:p>
    <w:p w14:paraId="1A9B2627" w14:textId="77777777" w:rsidR="00B00CBD" w:rsidRPr="007D3B01" w:rsidRDefault="00B00CBD" w:rsidP="00A525B0">
      <w:pPr>
        <w:rPr>
          <w:b/>
        </w:rPr>
      </w:pPr>
      <w:r>
        <w:rPr>
          <w:b/>
        </w:rPr>
        <w:t>3.</w:t>
      </w:r>
      <w:r>
        <w:rPr>
          <w:b/>
        </w:rPr>
        <w:tab/>
        <w:t>GYÓGYSZERFORMA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14:paraId="4D1359A5" w14:textId="77777777" w:rsidR="00B00CBD" w:rsidRPr="00B00CBD" w:rsidRDefault="00B00CBD" w:rsidP="00020748">
      <w:pPr>
        <w:rPr>
          <w:szCs w:val="22"/>
          <w:lang w:eastAsia="en-US"/>
        </w:rPr>
      </w:pPr>
    </w:p>
    <w:p w14:paraId="7A62E09C" w14:textId="31D170C8" w:rsidR="00B00CBD" w:rsidRPr="00B00CBD" w:rsidRDefault="00B00CBD" w:rsidP="00020748">
      <w:pPr>
        <w:rPr>
          <w:szCs w:val="22"/>
        </w:rPr>
      </w:pPr>
      <w:r>
        <w:t>Oldatos infúzió:</w:t>
      </w:r>
    </w:p>
    <w:p w14:paraId="1495E3E7" w14:textId="08292ECD" w:rsidR="00B00CBD" w:rsidRPr="00A41259" w:rsidRDefault="00B00CBD" w:rsidP="00020748">
      <w:pPr>
        <w:rPr>
          <w:szCs w:val="22"/>
        </w:rPr>
      </w:pPr>
      <w:r>
        <w:t>Átlátszó, színtelen vagy világossárgás színű, látható részecskéktől mentes, 6,0 és 7,2 közötti kémhatású izotóniás oldat.</w:t>
      </w:r>
    </w:p>
    <w:p w14:paraId="2EF534D5" w14:textId="77777777" w:rsidR="00B617D9" w:rsidRPr="005D5674" w:rsidRDefault="00B617D9" w:rsidP="00020748"/>
    <w:p w14:paraId="0E36CA1F" w14:textId="77777777" w:rsidR="00B00CBD" w:rsidRPr="00B00CBD" w:rsidRDefault="00B00CBD" w:rsidP="00A525B0">
      <w:bookmarkStart w:id="18" w:name="_Toc399649940"/>
      <w:bookmarkStart w:id="19" w:name="_Toc399654872"/>
      <w:bookmarkStart w:id="20" w:name="_Toc399655178"/>
      <w:bookmarkStart w:id="21" w:name="_Toc399729043"/>
      <w:bookmarkStart w:id="22" w:name="_Toc401626165"/>
      <w:bookmarkStart w:id="23" w:name="_Toc401626203"/>
      <w:bookmarkStart w:id="24" w:name="_Toc401626238"/>
      <w:bookmarkStart w:id="25" w:name="_Toc402239801"/>
      <w:bookmarkStart w:id="26" w:name="_Toc417272468"/>
    </w:p>
    <w:p w14:paraId="66F4D316" w14:textId="77777777" w:rsidR="00B00CBD" w:rsidRPr="007D3B01" w:rsidRDefault="00B00CBD" w:rsidP="00A525B0">
      <w:pPr>
        <w:rPr>
          <w:b/>
        </w:rPr>
      </w:pPr>
      <w:r>
        <w:rPr>
          <w:b/>
        </w:rPr>
        <w:t>4.</w:t>
      </w:r>
      <w:r>
        <w:rPr>
          <w:b/>
        </w:rPr>
        <w:tab/>
        <w:t>KLINIKAI JELLEMZŐK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14:paraId="4D5F388B" w14:textId="77777777" w:rsidR="00774645" w:rsidRPr="00B00CBD" w:rsidRDefault="00774645" w:rsidP="00F96EF4">
      <w:bookmarkStart w:id="27" w:name="_Toc399649941"/>
      <w:bookmarkStart w:id="28" w:name="_Toc399654873"/>
      <w:bookmarkStart w:id="29" w:name="_Toc399655179"/>
      <w:bookmarkStart w:id="30" w:name="_Toc399729044"/>
      <w:bookmarkStart w:id="31" w:name="_Toc401626166"/>
      <w:bookmarkStart w:id="32" w:name="_Toc401626204"/>
      <w:bookmarkStart w:id="33" w:name="_Toc401626239"/>
      <w:bookmarkStart w:id="34" w:name="_Toc402239802"/>
      <w:bookmarkStart w:id="35" w:name="_Toc417272469"/>
    </w:p>
    <w:p w14:paraId="5D4022BB" w14:textId="77777777" w:rsidR="00B00CBD" w:rsidRPr="007D3B01" w:rsidRDefault="00B00CBD">
      <w:pPr>
        <w:rPr>
          <w:b/>
        </w:rPr>
      </w:pPr>
      <w:r>
        <w:rPr>
          <w:b/>
        </w:rPr>
        <w:t>4.1.</w:t>
      </w:r>
      <w:r>
        <w:rPr>
          <w:b/>
        </w:rPr>
        <w:tab/>
        <w:t>Terápiás javallatok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14:paraId="00815B32" w14:textId="77777777" w:rsidR="00B00CBD" w:rsidRPr="00B00CBD" w:rsidRDefault="00B00CBD" w:rsidP="00020748">
      <w:pPr>
        <w:rPr>
          <w:szCs w:val="22"/>
          <w:lang w:eastAsia="en-US"/>
        </w:rPr>
      </w:pPr>
    </w:p>
    <w:p w14:paraId="7D9438EB" w14:textId="775F70A9" w:rsidR="00B00CBD" w:rsidRPr="00B00CBD" w:rsidRDefault="00B00CBD" w:rsidP="00020748">
      <w:pPr>
        <w:rPr>
          <w:szCs w:val="22"/>
        </w:rPr>
      </w:pPr>
      <w:bookmarkStart w:id="36" w:name="_Toc399649942"/>
      <w:bookmarkStart w:id="37" w:name="_Toc399654874"/>
      <w:bookmarkStart w:id="38" w:name="_Toc399655180"/>
      <w:bookmarkStart w:id="39" w:name="_Toc399729045"/>
      <w:bookmarkStart w:id="40" w:name="_Toc401626167"/>
      <w:bookmarkStart w:id="41" w:name="_Toc401626205"/>
      <w:bookmarkStart w:id="42" w:name="_Toc401626240"/>
      <w:bookmarkStart w:id="43" w:name="_Toc402239803"/>
      <w:bookmarkStart w:id="44" w:name="_Toc417272470"/>
      <w:r>
        <w:t xml:space="preserve">Az </w:t>
      </w:r>
      <w:proofErr w:type="spellStart"/>
      <w:r>
        <w:t>idiopathiás</w:t>
      </w:r>
      <w:proofErr w:type="spellEnd"/>
      <w:r>
        <w:t xml:space="preserve"> vagy örökletes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(PAH) kezelése a terheléstűrés javítására, valamint a betegség tüneteinek enyhítésére a New York </w:t>
      </w:r>
      <w:proofErr w:type="spellStart"/>
      <w:r>
        <w:t>Heart</w:t>
      </w:r>
      <w:proofErr w:type="spellEnd"/>
      <w:r>
        <w:t xml:space="preserve"> </w:t>
      </w:r>
      <w:proofErr w:type="spellStart"/>
      <w:r>
        <w:t>Association</w:t>
      </w:r>
      <w:proofErr w:type="spellEnd"/>
      <w:r>
        <w:t xml:space="preserve"> (NYHA) által a III-</w:t>
      </w:r>
      <w:proofErr w:type="spellStart"/>
      <w:r>
        <w:t>as</w:t>
      </w:r>
      <w:proofErr w:type="spellEnd"/>
      <w:r>
        <w:t xml:space="preserve"> funkcionális osztályba sorolt betegeknél.</w:t>
      </w:r>
    </w:p>
    <w:p w14:paraId="78B6C623" w14:textId="77777777" w:rsidR="002679FE" w:rsidRPr="00B00CBD" w:rsidRDefault="002679FE" w:rsidP="00A525B0">
      <w:pPr>
        <w:rPr>
          <w:lang w:eastAsia="en-US"/>
        </w:rPr>
      </w:pPr>
    </w:p>
    <w:p w14:paraId="72FBD283" w14:textId="77777777" w:rsidR="00B00CBD" w:rsidRPr="007D3B01" w:rsidRDefault="00B00CBD" w:rsidP="00A525B0">
      <w:pPr>
        <w:rPr>
          <w:b/>
        </w:rPr>
      </w:pPr>
      <w:r>
        <w:rPr>
          <w:b/>
        </w:rPr>
        <w:t>4.2</w:t>
      </w:r>
      <w:r>
        <w:rPr>
          <w:b/>
        </w:rPr>
        <w:tab/>
        <w:t>Adagolás és alkalmazás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14:paraId="41C7E5DF" w14:textId="77777777" w:rsidR="00B00CBD" w:rsidRPr="00B00CBD" w:rsidRDefault="00B00CBD" w:rsidP="00020748">
      <w:pPr>
        <w:rPr>
          <w:szCs w:val="22"/>
          <w:lang w:eastAsia="en-US"/>
        </w:rPr>
      </w:pPr>
    </w:p>
    <w:p w14:paraId="2CCA86A3" w14:textId="4EDEA24A" w:rsidR="00B00CBD" w:rsidRPr="00B00CBD" w:rsidRDefault="00D56E66" w:rsidP="00020748">
      <w:pPr>
        <w:autoSpaceDE w:val="0"/>
        <w:autoSpaceDN w:val="0"/>
        <w:adjustRightInd w:val="0"/>
        <w:rPr>
          <w:szCs w:val="22"/>
        </w:rPr>
      </w:pPr>
      <w:r>
        <w:t xml:space="preserve">A </w:t>
      </w:r>
      <w:proofErr w:type="spellStart"/>
      <w:r>
        <w:t>Tresuvi</w:t>
      </w:r>
      <w:proofErr w:type="spellEnd"/>
      <w:r>
        <w:t xml:space="preserve">-t folyamatos </w:t>
      </w:r>
      <w:proofErr w:type="spellStart"/>
      <w:r>
        <w:t>subcutan</w:t>
      </w:r>
      <w:proofErr w:type="spellEnd"/>
      <w:r>
        <w:t xml:space="preserve"> vagy intravénás infúzió formájában kell alkalmazni. A tartós használatra behelyezett, centrális vénás katéterekkel járó kockázatok (többek között a súlyos, szisztémás fertőzések) miatt a (hígítatlan) készítmény </w:t>
      </w:r>
      <w:proofErr w:type="spellStart"/>
      <w:r>
        <w:t>subcutan</w:t>
      </w:r>
      <w:proofErr w:type="spellEnd"/>
      <w:r>
        <w:t xml:space="preserve"> infúziója az alkalmazás előnyben részesített módja. A folyamatos intravénás infúziót 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subcutan</w:t>
      </w:r>
      <w:proofErr w:type="spellEnd"/>
      <w:r>
        <w:t xml:space="preserve"> infúzióval már stabilizált, vagy a </w:t>
      </w:r>
      <w:proofErr w:type="spellStart"/>
      <w:r>
        <w:t>subcutan</w:t>
      </w:r>
      <w:proofErr w:type="spellEnd"/>
      <w:r>
        <w:t xml:space="preserve"> gyógyszerbevitelre intoleránssá vált, továbbá azoknak a betegeknek kell fenntartani, akik esetében ezeket a kockázatokat elfogadhatónak tekintik.</w:t>
      </w:r>
    </w:p>
    <w:p w14:paraId="270FAE8C" w14:textId="77777777" w:rsidR="00B00CBD" w:rsidRPr="00B00CBD" w:rsidRDefault="00B00CBD" w:rsidP="00020748">
      <w:pPr>
        <w:autoSpaceDE w:val="0"/>
        <w:autoSpaceDN w:val="0"/>
        <w:adjustRightInd w:val="0"/>
        <w:rPr>
          <w:szCs w:val="22"/>
        </w:rPr>
      </w:pPr>
      <w:r>
        <w:t xml:space="preserve">A terápiát csak a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kezelésében gyakorlattal rendelkező klinikus kezdheti meg és követheti nyomon. </w:t>
      </w:r>
    </w:p>
    <w:p w14:paraId="1FA8065B" w14:textId="6E1969E9" w:rsidR="00B00CBD" w:rsidRPr="00B00CBD" w:rsidRDefault="00B00CBD" w:rsidP="00020748">
      <w:pPr>
        <w:rPr>
          <w:szCs w:val="22"/>
          <w:lang w:eastAsia="en-US"/>
        </w:rPr>
      </w:pPr>
    </w:p>
    <w:p w14:paraId="0C088E34" w14:textId="60010102" w:rsidR="00B00CBD" w:rsidRPr="00B00CBD" w:rsidRDefault="00B00CBD" w:rsidP="00020748">
      <w:pPr>
        <w:rPr>
          <w:b/>
          <w:szCs w:val="22"/>
          <w:u w:val="single"/>
        </w:rPr>
      </w:pPr>
      <w:r>
        <w:rPr>
          <w:b/>
          <w:szCs w:val="22"/>
          <w:u w:val="single"/>
        </w:rPr>
        <w:t>Felnőttek</w:t>
      </w:r>
    </w:p>
    <w:p w14:paraId="3F441CC2" w14:textId="77777777" w:rsidR="00B00CBD" w:rsidRPr="00B00CBD" w:rsidRDefault="00B00CBD" w:rsidP="00020748">
      <w:pPr>
        <w:rPr>
          <w:szCs w:val="22"/>
          <w:u w:val="single"/>
          <w:lang w:eastAsia="en-US"/>
        </w:rPr>
      </w:pPr>
    </w:p>
    <w:p w14:paraId="33101D56" w14:textId="77777777" w:rsidR="00B00CBD" w:rsidRPr="00B00CBD" w:rsidRDefault="00B00CBD" w:rsidP="00020748">
      <w:pPr>
        <w:rPr>
          <w:szCs w:val="22"/>
        </w:rPr>
      </w:pPr>
      <w:r>
        <w:rPr>
          <w:szCs w:val="22"/>
          <w:u w:val="single"/>
        </w:rPr>
        <w:t xml:space="preserve">A kezelés megkezdése olyan betegeknél, akik először részesülnek </w:t>
      </w:r>
      <w:proofErr w:type="spellStart"/>
      <w:r>
        <w:rPr>
          <w:szCs w:val="22"/>
          <w:u w:val="single"/>
        </w:rPr>
        <w:t>prosztaciklin</w:t>
      </w:r>
      <w:proofErr w:type="spellEnd"/>
      <w:r>
        <w:rPr>
          <w:szCs w:val="22"/>
          <w:u w:val="single"/>
        </w:rPr>
        <w:noBreakHyphen/>
        <w:t>terápiában.</w:t>
      </w:r>
    </w:p>
    <w:p w14:paraId="0C424470" w14:textId="77777777" w:rsidR="00B00CBD" w:rsidRPr="00B00CBD" w:rsidRDefault="00B00CBD" w:rsidP="00020748">
      <w:pPr>
        <w:rPr>
          <w:szCs w:val="22"/>
        </w:rPr>
      </w:pPr>
      <w:r>
        <w:t>A kezelést csak szigorú orvosi felügyelet mellett, intenzív ellátást biztosító orvosi létesítményben szabad elkezdeni.</w:t>
      </w:r>
    </w:p>
    <w:p w14:paraId="1C38FAC5" w14:textId="4E04C7F3" w:rsidR="00B00CBD" w:rsidRPr="00B00CBD" w:rsidRDefault="00B00CBD" w:rsidP="00020748">
      <w:pPr>
        <w:rPr>
          <w:szCs w:val="22"/>
        </w:rPr>
      </w:pPr>
      <w:r>
        <w:t>A javasolt kezdeti infúziós sebesség 1,25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/perc. Ha a beteg ezt a kezdeti dózist rosszul tolerálja, akkor az infúzió sebességét 0,625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/percre kell csökkenteni.</w:t>
      </w:r>
    </w:p>
    <w:p w14:paraId="3A88BE38" w14:textId="77777777" w:rsidR="0003321A" w:rsidRPr="00B00CBD" w:rsidRDefault="0003321A" w:rsidP="00A525B0">
      <w:pPr>
        <w:rPr>
          <w:lang w:eastAsia="en-US"/>
        </w:rPr>
      </w:pPr>
    </w:p>
    <w:p w14:paraId="7FEF76B9" w14:textId="77777777" w:rsidR="00B00CBD" w:rsidRPr="007D3B01" w:rsidRDefault="00B00CBD" w:rsidP="00A525B0">
      <w:pPr>
        <w:rPr>
          <w:b/>
          <w:u w:val="single"/>
        </w:rPr>
      </w:pPr>
      <w:r>
        <w:rPr>
          <w:u w:val="single"/>
        </w:rPr>
        <w:t>Dózismódosítások</w:t>
      </w:r>
    </w:p>
    <w:p w14:paraId="20AA8282" w14:textId="77777777" w:rsidR="00B00CBD" w:rsidRPr="00B00CBD" w:rsidRDefault="00B00CBD" w:rsidP="00020748">
      <w:pPr>
        <w:rPr>
          <w:szCs w:val="22"/>
        </w:rPr>
      </w:pPr>
      <w:r>
        <w:t>Az infúzió sebességét orvosi felügyelet mellett a kezelés első négy hetében hetenk</w:t>
      </w:r>
      <w:bookmarkStart w:id="45" w:name="_GoBack"/>
      <w:bookmarkEnd w:id="45"/>
      <w:r>
        <w:t>ént 1,25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/perccel, majd ezután hetenként 2,5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/perccel kell emelni.  </w:t>
      </w:r>
    </w:p>
    <w:p w14:paraId="43278BD2" w14:textId="77777777" w:rsidR="00B00CBD" w:rsidRPr="00B00CBD" w:rsidRDefault="00B00CBD" w:rsidP="00020748">
      <w:pPr>
        <w:rPr>
          <w:szCs w:val="22"/>
        </w:rPr>
      </w:pPr>
      <w:r>
        <w:t xml:space="preserve">Az adagolást egyedileg és orvosi felügyelet mellett kell módosítani a fenntartó adag eléréséig, amelynél a tünetek enyhülnek, és amelyet a beteg tolerál. </w:t>
      </w:r>
    </w:p>
    <w:p w14:paraId="5F2BD014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2EDA7279" w14:textId="11BE642C" w:rsidR="00B00CBD" w:rsidRPr="00B00CBD" w:rsidRDefault="00B00CBD" w:rsidP="00020748">
      <w:pPr>
        <w:rPr>
          <w:szCs w:val="22"/>
        </w:rPr>
      </w:pPr>
      <w:r>
        <w:lastRenderedPageBreak/>
        <w:t xml:space="preserve">A </w:t>
      </w:r>
      <w:r w:rsidR="005D0D95">
        <w:t>gyógy</w:t>
      </w:r>
      <w:r>
        <w:t>szer csak abban az esetben bizonyult tartósan hatásosnak a 12 hetes, legfontosabb vizsgálatok során, ha az adagot havonta átlagosan 3</w:t>
      </w:r>
      <w:r>
        <w:noBreakHyphen/>
        <w:t xml:space="preserve">4 alkalommal megemelték. A többszöri dózismódosítás célja olyan adag megállapítása, amely mellett a PAH tünetei enyhülnek, míg a </w:t>
      </w:r>
      <w:proofErr w:type="spellStart"/>
      <w:r>
        <w:t>treprosztinil</w:t>
      </w:r>
      <w:proofErr w:type="spellEnd"/>
      <w:r>
        <w:t xml:space="preserve"> túlzott mértékű farmakológiai hatásai minimálisra csökkennek. </w:t>
      </w:r>
    </w:p>
    <w:p w14:paraId="2970B668" w14:textId="77777777" w:rsidR="00B00CBD" w:rsidRPr="00B00CBD" w:rsidRDefault="00B00CBD" w:rsidP="00020748">
      <w:pPr>
        <w:rPr>
          <w:szCs w:val="22"/>
        </w:rPr>
      </w:pPr>
      <w:r>
        <w:t xml:space="preserve">A mellékhatások, mint például a bőrpír, a fejfájás, a </w:t>
      </w:r>
      <w:proofErr w:type="spellStart"/>
      <w:r>
        <w:t>hypotensio</w:t>
      </w:r>
      <w:proofErr w:type="spellEnd"/>
      <w:r>
        <w:t xml:space="preserve">, a hányinger, a hányás és a hasmenés, általában a </w:t>
      </w:r>
      <w:proofErr w:type="spellStart"/>
      <w:r>
        <w:t>treprosztinil</w:t>
      </w:r>
      <w:proofErr w:type="spellEnd"/>
      <w:r>
        <w:t xml:space="preserve"> beadott dózisával vannak összefüggésben. Ezek a kezelés során elmúlhatnak, ha azonban továbbra is fennállnak, vagy a beteg számára elviselhetetlenné válnak, intenzitásuk mérséklése érdekében az infúzió sebessége csökkenthető.</w:t>
      </w:r>
    </w:p>
    <w:p w14:paraId="64128A79" w14:textId="77777777" w:rsidR="00B00CBD" w:rsidRPr="00B00CBD" w:rsidRDefault="00B00CBD" w:rsidP="00020748">
      <w:pPr>
        <w:rPr>
          <w:szCs w:val="22"/>
          <w:lang w:eastAsia="en-US"/>
        </w:rPr>
      </w:pPr>
    </w:p>
    <w:p w14:paraId="365723DE" w14:textId="77777777" w:rsidR="00B00CBD" w:rsidRPr="00B00CBD" w:rsidRDefault="00B00CBD" w:rsidP="00020748">
      <w:pPr>
        <w:rPr>
          <w:szCs w:val="22"/>
        </w:rPr>
      </w:pPr>
      <w:r>
        <w:t>A klinikai vizsgálatok követési fázisa során elért átlagos adag 12 hónap után 26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/perc, 24 hónap után 36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/perc, 48 hónap után pedig 42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 volt.</w:t>
      </w:r>
    </w:p>
    <w:p w14:paraId="4807C24E" w14:textId="77777777" w:rsidR="00B00CBD" w:rsidRPr="00B00CBD" w:rsidRDefault="00B00CBD" w:rsidP="00020748">
      <w:pPr>
        <w:rPr>
          <w:szCs w:val="22"/>
          <w:lang w:eastAsia="en-US"/>
        </w:rPr>
      </w:pPr>
    </w:p>
    <w:p w14:paraId="6CB60F30" w14:textId="539CA746" w:rsidR="00B00CBD" w:rsidRPr="00B00CBD" w:rsidRDefault="00F27C61" w:rsidP="00020748">
      <w:pPr>
        <w:rPr>
          <w:szCs w:val="22"/>
        </w:rPr>
      </w:pPr>
      <w:r>
        <w:t xml:space="preserve">Elhízott </w:t>
      </w:r>
      <w:r w:rsidR="00B00CBD">
        <w:t>betegek esetében (akiknek a testtömege legalább 30%</w:t>
      </w:r>
      <w:r w:rsidR="00B00CBD">
        <w:noBreakHyphen/>
        <w:t>kal haladja meg az ideális értéket) a kezdeti dózist és a további emelések mértékét az ideális testtömegük alapján kell meghatározni.</w:t>
      </w:r>
    </w:p>
    <w:p w14:paraId="1F719103" w14:textId="77777777" w:rsidR="00B00CBD" w:rsidRPr="005D5674" w:rsidRDefault="00B00CBD" w:rsidP="00020748">
      <w:pPr>
        <w:rPr>
          <w:szCs w:val="22"/>
          <w:lang w:eastAsia="en-US"/>
        </w:rPr>
      </w:pPr>
    </w:p>
    <w:p w14:paraId="62D4DB35" w14:textId="11072D69" w:rsidR="00B00CBD" w:rsidRPr="00A6286E" w:rsidRDefault="00B00CBD" w:rsidP="00020748">
      <w:pPr>
        <w:autoSpaceDE w:val="0"/>
        <w:autoSpaceDN w:val="0"/>
        <w:adjustRightInd w:val="0"/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hirtelen elhagyása vagy adagjának gyors és jelentős csökkentése „</w:t>
      </w:r>
      <w:proofErr w:type="spellStart"/>
      <w:r>
        <w:t>rebound</w:t>
      </w:r>
      <w:proofErr w:type="spellEnd"/>
      <w:r>
        <w:t xml:space="preserve">”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hypertoniát</w:t>
      </w:r>
      <w:proofErr w:type="spellEnd"/>
      <w:r>
        <w:t xml:space="preserve"> válthat ki. Emiatt ajánlott elkerülni a </w:t>
      </w:r>
      <w:proofErr w:type="spellStart"/>
      <w:r>
        <w:t>treprosztinil</w:t>
      </w:r>
      <w:proofErr w:type="spellEnd"/>
      <w:r>
        <w:noBreakHyphen/>
        <w:t xml:space="preserve">terápia megszakítását, továbbá a nem szándékos, hirtelen dóziscsökkenés vagy a beadás megszakítása után a lehető leghamarabb javasolt újraindítani az infúziót. A </w:t>
      </w:r>
      <w:proofErr w:type="spellStart"/>
      <w:r>
        <w:t>treprosztinil</w:t>
      </w:r>
      <w:proofErr w:type="spellEnd"/>
      <w:r>
        <w:t xml:space="preserve"> infúzió újrakezdésének legjobb stratégiája még kidolgozandó – ezt orvosi képzettségű személyzetnek kell megtennie, eseti alapon. Az esetek zömében néhány órás megszakítás után a </w:t>
      </w:r>
      <w:proofErr w:type="spellStart"/>
      <w:r>
        <w:t>treprosztinil</w:t>
      </w:r>
      <w:proofErr w:type="spellEnd"/>
      <w:r>
        <w:t xml:space="preserve"> infúzió ugyanazzal a sebességgel indítható újra; hosszabb ideig tartó megszakítás esetén szükségessé válhat a </w:t>
      </w:r>
      <w:proofErr w:type="spellStart"/>
      <w:r>
        <w:t>treprosztinil</w:t>
      </w:r>
      <w:proofErr w:type="spellEnd"/>
      <w:r>
        <w:t xml:space="preserve"> adagjának </w:t>
      </w:r>
      <w:proofErr w:type="spellStart"/>
      <w:r>
        <w:t>újratitrálása</w:t>
      </w:r>
      <w:proofErr w:type="spellEnd"/>
      <w:r>
        <w:t xml:space="preserve">. </w:t>
      </w:r>
    </w:p>
    <w:p w14:paraId="1AEA6629" w14:textId="77777777" w:rsidR="00B00CBD" w:rsidRPr="005D5674" w:rsidRDefault="00B00CBD" w:rsidP="00B00CBD">
      <w:pPr>
        <w:jc w:val="both"/>
        <w:rPr>
          <w:szCs w:val="22"/>
          <w:lang w:eastAsia="en-US"/>
        </w:rPr>
      </w:pPr>
    </w:p>
    <w:p w14:paraId="2D5DE792" w14:textId="218EFD7D" w:rsidR="00B00CBD" w:rsidRPr="007D3B01" w:rsidRDefault="00B00CBD" w:rsidP="00020748">
      <w:pPr>
        <w:rPr>
          <w:b/>
          <w:szCs w:val="22"/>
          <w:u w:val="single"/>
        </w:rPr>
      </w:pPr>
      <w:r>
        <w:rPr>
          <w:b/>
          <w:szCs w:val="22"/>
          <w:u w:val="single"/>
        </w:rPr>
        <w:t>Idős</w:t>
      </w:r>
      <w:r w:rsidR="00067E49">
        <w:rPr>
          <w:b/>
          <w:szCs w:val="22"/>
          <w:u w:val="single"/>
        </w:rPr>
        <w:t>ek</w:t>
      </w:r>
    </w:p>
    <w:p w14:paraId="06899A1E" w14:textId="77777777" w:rsidR="00B00CBD" w:rsidRPr="00B00CBD" w:rsidRDefault="00B00CBD" w:rsidP="00F96EF4">
      <w:pPr>
        <w:rPr>
          <w:i/>
          <w:szCs w:val="22"/>
          <w:lang w:eastAsia="en-US"/>
        </w:rPr>
      </w:pPr>
    </w:p>
    <w:p w14:paraId="67EA2EB6" w14:textId="354CA3CB" w:rsidR="00B00CBD" w:rsidRPr="007D3B01" w:rsidRDefault="00B00CBD" w:rsidP="00020748">
      <w:pPr>
        <w:autoSpaceDE w:val="0"/>
        <w:autoSpaceDN w:val="0"/>
        <w:adjustRightInd w:val="0"/>
        <w:rPr>
          <w:szCs w:val="22"/>
        </w:rPr>
      </w:pPr>
      <w:r>
        <w:t xml:space="preserve">A </w:t>
      </w:r>
      <w:proofErr w:type="spellStart"/>
      <w:r>
        <w:t>treprosztinillel</w:t>
      </w:r>
      <w:proofErr w:type="spellEnd"/>
      <w:r>
        <w:t xml:space="preserve"> végzett klinikai vizsgálatokba nem vontak be elegendő számú 65 éves és idősebb beteget ahhoz, hogy meg lehessen határozni, eltérően reagál-e a szervezetük a fiatalabb betegekéhez képest. Egy populációs </w:t>
      </w:r>
      <w:proofErr w:type="spellStart"/>
      <w:r>
        <w:t>farmakokinetikai</w:t>
      </w:r>
      <w:proofErr w:type="spellEnd"/>
      <w:r>
        <w:t xml:space="preserve"> (PK) analízisben 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plazmaclearance</w:t>
      </w:r>
      <w:proofErr w:type="spellEnd"/>
      <w:r>
        <w:t xml:space="preserve"> értéke 20%</w:t>
      </w:r>
      <w:r>
        <w:noBreakHyphen/>
      </w:r>
      <w:proofErr w:type="spellStart"/>
      <w:r>
        <w:t>kal</w:t>
      </w:r>
      <w:proofErr w:type="spellEnd"/>
      <w:r>
        <w:t xml:space="preserve"> csökkent. Időskorú betegek esetében általában elővigyázatosan kell meghatározni a dózist a csökkent máj-, vese- és szívműködés, valamint az esetleges kísérőbetegségek, illetve az alkalmazott egyéb gyógyszeres kezelések figyelembevételével.</w:t>
      </w:r>
    </w:p>
    <w:p w14:paraId="1E0EF6B4" w14:textId="77777777" w:rsidR="00B00CBD" w:rsidRPr="00B00CBD" w:rsidRDefault="00B00CBD" w:rsidP="00020748">
      <w:pPr>
        <w:rPr>
          <w:b/>
          <w:szCs w:val="22"/>
          <w:u w:val="single"/>
          <w:lang w:eastAsia="en-US"/>
        </w:rPr>
      </w:pPr>
    </w:p>
    <w:p w14:paraId="3F1B1129" w14:textId="58348161" w:rsidR="00B00CBD" w:rsidRPr="00B00CBD" w:rsidRDefault="00B3684E" w:rsidP="00020748">
      <w:pPr>
        <w:rPr>
          <w:b/>
          <w:szCs w:val="22"/>
          <w:u w:val="single"/>
        </w:rPr>
      </w:pPr>
      <w:r>
        <w:rPr>
          <w:b/>
          <w:szCs w:val="22"/>
          <w:u w:val="single"/>
        </w:rPr>
        <w:t>Gyermekek és serdülők</w:t>
      </w:r>
    </w:p>
    <w:p w14:paraId="0C6E2D76" w14:textId="77777777" w:rsidR="00B00CBD" w:rsidRPr="00B00CBD" w:rsidRDefault="00B00CBD" w:rsidP="00020748">
      <w:pPr>
        <w:rPr>
          <w:b/>
          <w:szCs w:val="22"/>
          <w:u w:val="single"/>
          <w:lang w:eastAsia="en-US"/>
        </w:rPr>
      </w:pPr>
    </w:p>
    <w:p w14:paraId="79D2B9FE" w14:textId="71544FE2" w:rsidR="00B00CBD" w:rsidRPr="00B00CBD" w:rsidRDefault="00B00CBD" w:rsidP="00020748">
      <w:pPr>
        <w:rPr>
          <w:szCs w:val="22"/>
        </w:rPr>
      </w:pPr>
      <w:r>
        <w:t xml:space="preserve">A gyógyszer 18 éven aluli betegekre gyakorolt hatásairól kevés adat áll rendelkezésre. A rendelkezésre álló klinikai vizsgálatok alapján nem következtethetünk arra, hogy vajon a felnőtteknél javasolt adagolási rend hatásossága és biztonságossága gyermekek illetve serdülők számára is </w:t>
      </w:r>
      <w:proofErr w:type="spellStart"/>
      <w:r>
        <w:t>extrapolálható</w:t>
      </w:r>
      <w:proofErr w:type="spellEnd"/>
      <w:r>
        <w:t>-e.</w:t>
      </w:r>
    </w:p>
    <w:p w14:paraId="243632F8" w14:textId="77777777" w:rsidR="00B00CBD" w:rsidRPr="00B00CBD" w:rsidRDefault="00B00CBD" w:rsidP="00020748">
      <w:pPr>
        <w:rPr>
          <w:b/>
          <w:szCs w:val="22"/>
          <w:u w:val="single"/>
          <w:lang w:eastAsia="en-US"/>
        </w:rPr>
      </w:pPr>
    </w:p>
    <w:p w14:paraId="4E4E2AEF" w14:textId="77777777" w:rsidR="00B00CBD" w:rsidRPr="00B00CBD" w:rsidRDefault="00B00CBD" w:rsidP="00020748">
      <w:pPr>
        <w:rPr>
          <w:szCs w:val="22"/>
          <w:u w:val="single"/>
        </w:rPr>
      </w:pPr>
      <w:r>
        <w:rPr>
          <w:b/>
          <w:szCs w:val="22"/>
          <w:u w:val="single"/>
        </w:rPr>
        <w:t>Kockázatnak kitett betegek</w:t>
      </w:r>
    </w:p>
    <w:p w14:paraId="27D200AC" w14:textId="77777777" w:rsidR="00B00CBD" w:rsidRPr="00B00CBD" w:rsidRDefault="00B00CBD" w:rsidP="00020748">
      <w:pPr>
        <w:rPr>
          <w:szCs w:val="22"/>
          <w:u w:val="single"/>
          <w:lang w:eastAsia="en-US"/>
        </w:rPr>
      </w:pPr>
    </w:p>
    <w:p w14:paraId="3E7084E6" w14:textId="77777777" w:rsidR="00B00CBD" w:rsidRPr="00B00CBD" w:rsidRDefault="00B00CBD" w:rsidP="00020748">
      <w:pPr>
        <w:rPr>
          <w:szCs w:val="22"/>
          <w:u w:val="single"/>
        </w:rPr>
      </w:pPr>
      <w:r>
        <w:rPr>
          <w:szCs w:val="22"/>
          <w:u w:val="single"/>
        </w:rPr>
        <w:t>Májkárosodás</w:t>
      </w:r>
    </w:p>
    <w:p w14:paraId="7DA75127" w14:textId="1B3EE796" w:rsidR="00B00CBD" w:rsidRPr="00B00CBD" w:rsidRDefault="00B00CBD" w:rsidP="00020748">
      <w:pPr>
        <w:rPr>
          <w:szCs w:val="22"/>
        </w:rPr>
      </w:pPr>
      <w:r>
        <w:t xml:space="preserve">A plazma </w:t>
      </w:r>
      <w:proofErr w:type="spellStart"/>
      <w:r>
        <w:t>treprosztinil</w:t>
      </w:r>
      <w:proofErr w:type="spellEnd"/>
      <w:r>
        <w:noBreakHyphen/>
        <w:t>expozíció (plazmakoncentráció-idő görbe alatti terület; AUC</w:t>
      </w:r>
      <w:r>
        <w:noBreakHyphen/>
        <w:t xml:space="preserve">érték) növekedésének mértéke 260% és 510% közé esik enyhe vagy közepesen súlyos májkárosodás, a </w:t>
      </w:r>
      <w:proofErr w:type="spellStart"/>
      <w:r>
        <w:t>Child</w:t>
      </w:r>
      <w:r>
        <w:noBreakHyphen/>
        <w:t>Pugh</w:t>
      </w:r>
      <w:proofErr w:type="spellEnd"/>
      <w:r>
        <w:t xml:space="preserve"> osztályozás szerinti A, illetve B stádium esetén. Enyhe vagy közepesen súlyos májkárosodással rendelkező betegeknél 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plazmaclearance</w:t>
      </w:r>
      <w:proofErr w:type="spellEnd"/>
      <w:r>
        <w:t xml:space="preserve"> értéke akár 80%-</w:t>
      </w:r>
      <w:proofErr w:type="spellStart"/>
      <w:r>
        <w:t>ra</w:t>
      </w:r>
      <w:proofErr w:type="spellEnd"/>
      <w:r>
        <w:t xml:space="preserve"> is lecsökkent. Májkárosodás esetén a betegek kezelésekor tehát óvatosan kell eljárni, a szisztémás expozíció fokozódásának veszélye miatt, amely csökkentheti a </w:t>
      </w:r>
      <w:proofErr w:type="spellStart"/>
      <w:r>
        <w:t>tolerálhatóságot</w:t>
      </w:r>
      <w:proofErr w:type="spellEnd"/>
      <w:r>
        <w:t>, és fokozhatja a dózisfüggő mellékhatásokat.</w:t>
      </w:r>
    </w:p>
    <w:p w14:paraId="16E15110" w14:textId="77777777" w:rsidR="004760E7" w:rsidRDefault="004760E7" w:rsidP="00020748">
      <w:pPr>
        <w:rPr>
          <w:szCs w:val="22"/>
          <w:lang w:eastAsia="en-US"/>
        </w:rPr>
      </w:pPr>
    </w:p>
    <w:p w14:paraId="5CEF8B15" w14:textId="5B65D38F" w:rsidR="00B00CBD" w:rsidRPr="00B00CBD" w:rsidRDefault="00B00CBD" w:rsidP="00020748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kezdeti adagját 0,625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/percre kell csökkenteni, és a dózis növelésénél nagy körültekintéssel kell eljárni.</w:t>
      </w:r>
    </w:p>
    <w:p w14:paraId="6CB78E47" w14:textId="77777777" w:rsidR="00B00CBD" w:rsidRPr="00B00CBD" w:rsidRDefault="00B00CBD" w:rsidP="00020748">
      <w:pPr>
        <w:rPr>
          <w:szCs w:val="22"/>
          <w:u w:val="single"/>
          <w:lang w:eastAsia="en-US"/>
        </w:rPr>
      </w:pPr>
    </w:p>
    <w:p w14:paraId="58DA17FA" w14:textId="77777777" w:rsidR="00B00CBD" w:rsidRPr="00B00CBD" w:rsidRDefault="00B00CBD" w:rsidP="00020748">
      <w:pPr>
        <w:rPr>
          <w:szCs w:val="22"/>
          <w:u w:val="single"/>
        </w:rPr>
      </w:pPr>
      <w:r>
        <w:rPr>
          <w:szCs w:val="22"/>
          <w:u w:val="single"/>
        </w:rPr>
        <w:t>Vesekárosodás</w:t>
      </w:r>
    </w:p>
    <w:p w14:paraId="65616E99" w14:textId="4D59A917" w:rsidR="00B00CBD" w:rsidRDefault="001E406E" w:rsidP="00020748">
      <w:pPr>
        <w:rPr>
          <w:szCs w:val="22"/>
        </w:rPr>
      </w:pPr>
      <w:r w:rsidRPr="00730516">
        <w:rPr>
          <w:szCs w:val="22"/>
        </w:rPr>
        <w:t xml:space="preserve">Vesekárosodásban szenvedő betegeknél nincs szükség az adag módosítására. A </w:t>
      </w:r>
      <w:proofErr w:type="spellStart"/>
      <w:r w:rsidRPr="00730516">
        <w:rPr>
          <w:szCs w:val="22"/>
        </w:rPr>
        <w:t>treprosztinil</w:t>
      </w:r>
      <w:proofErr w:type="spellEnd"/>
      <w:r w:rsidRPr="00730516">
        <w:rPr>
          <w:szCs w:val="22"/>
        </w:rPr>
        <w:t xml:space="preserve"> nem ürül ki dialízissel [lásd </w:t>
      </w:r>
      <w:proofErr w:type="spellStart"/>
      <w:r w:rsidRPr="00730516">
        <w:rPr>
          <w:szCs w:val="22"/>
        </w:rPr>
        <w:t>Farmakokinetikai</w:t>
      </w:r>
      <w:proofErr w:type="spellEnd"/>
      <w:r w:rsidRPr="00730516">
        <w:rPr>
          <w:szCs w:val="22"/>
        </w:rPr>
        <w:t xml:space="preserve"> tulajdonságok (5.2</w:t>
      </w:r>
      <w:r w:rsidR="00CB7333">
        <w:rPr>
          <w:szCs w:val="22"/>
        </w:rPr>
        <w:t> </w:t>
      </w:r>
      <w:proofErr w:type="spellStart"/>
      <w:r w:rsidR="00CB7333">
        <w:rPr>
          <w:szCs w:val="22"/>
        </w:rPr>
        <w:t>pon</w:t>
      </w:r>
      <w:proofErr w:type="spellEnd"/>
      <w:r w:rsidRPr="00730516">
        <w:rPr>
          <w:szCs w:val="22"/>
        </w:rPr>
        <w:t>)].</w:t>
      </w:r>
    </w:p>
    <w:p w14:paraId="22F4C838" w14:textId="77777777" w:rsidR="001E406E" w:rsidRPr="00B00CBD" w:rsidRDefault="001E406E" w:rsidP="00020748">
      <w:pPr>
        <w:rPr>
          <w:szCs w:val="22"/>
          <w:lang w:eastAsia="en-US"/>
        </w:rPr>
      </w:pPr>
    </w:p>
    <w:p w14:paraId="65DCC36A" w14:textId="77777777" w:rsidR="00DB351A" w:rsidRPr="00C34928" w:rsidRDefault="00DB351A" w:rsidP="00020748">
      <w:pPr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Az intravénás </w:t>
      </w:r>
      <w:proofErr w:type="spellStart"/>
      <w:r>
        <w:rPr>
          <w:b/>
          <w:szCs w:val="24"/>
          <w:u w:val="single"/>
        </w:rPr>
        <w:t>epoprosztenol</w:t>
      </w:r>
      <w:proofErr w:type="spellEnd"/>
      <w:r>
        <w:rPr>
          <w:b/>
          <w:szCs w:val="24"/>
          <w:u w:val="single"/>
        </w:rPr>
        <w:noBreakHyphen/>
        <w:t>kezelésre való átállás módszere</w:t>
      </w:r>
    </w:p>
    <w:p w14:paraId="61419F8F" w14:textId="77777777" w:rsidR="00DB351A" w:rsidRPr="00C34928" w:rsidRDefault="00DB351A" w:rsidP="00020748">
      <w:pPr>
        <w:rPr>
          <w:szCs w:val="24"/>
          <w:lang w:eastAsia="en-US"/>
        </w:rPr>
      </w:pPr>
    </w:p>
    <w:p w14:paraId="2D9319ED" w14:textId="77777777" w:rsidR="00DB351A" w:rsidRPr="00B43AA1" w:rsidRDefault="00DB351A" w:rsidP="00020748">
      <w:pPr>
        <w:rPr>
          <w:szCs w:val="24"/>
        </w:rPr>
      </w:pPr>
      <w:r>
        <w:t xml:space="preserve">Amikor intravénás </w:t>
      </w:r>
      <w:proofErr w:type="spellStart"/>
      <w:r>
        <w:t>epoprosztenol</w:t>
      </w:r>
      <w:proofErr w:type="spellEnd"/>
      <w:r>
        <w:noBreakHyphen/>
        <w:t xml:space="preserve">kezelésre való átállás szükséges, az átállási fázist szigorú orvosi felügyelet mellett kell végezni. Tájékoztatási célból közöljük az ilyen átállás esetén javasolt, alábbi kezelési rendet. A </w:t>
      </w:r>
      <w:proofErr w:type="spellStart"/>
      <w:r>
        <w:t>treprosztinil</w:t>
      </w:r>
      <w:proofErr w:type="spellEnd"/>
      <w:r>
        <w:noBreakHyphen/>
        <w:t>infúzió adagját először lassan kell csökkenteni, 2,5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/perccel. Miután legalább 1 órán keresztül alkalmaztuk az új </w:t>
      </w:r>
      <w:proofErr w:type="spellStart"/>
      <w:r>
        <w:t>treprosztinil</w:t>
      </w:r>
      <w:proofErr w:type="spellEnd"/>
      <w:r>
        <w:noBreakHyphen/>
        <w:t xml:space="preserve">adagot, elkezdhetjük az </w:t>
      </w:r>
      <w:proofErr w:type="spellStart"/>
      <w:r>
        <w:t>epoprosztenol</w:t>
      </w:r>
      <w:proofErr w:type="spellEnd"/>
      <w:r>
        <w:noBreakHyphen/>
        <w:t>kezelést, maximálisan 2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</w:t>
      </w:r>
      <w:proofErr w:type="spellStart"/>
      <w:r>
        <w:t>epoprosztenol</w:t>
      </w:r>
      <w:proofErr w:type="spellEnd"/>
      <w:r>
        <w:noBreakHyphen/>
        <w:t xml:space="preserve">adaggal. A </w:t>
      </w:r>
      <w:proofErr w:type="spellStart"/>
      <w:r>
        <w:t>treprosztinil</w:t>
      </w:r>
      <w:proofErr w:type="spellEnd"/>
      <w:r>
        <w:noBreakHyphen/>
        <w:t xml:space="preserve">adagot ezután legalább 2 órás, egymást követő időközönként csökkentsük, miközben fokozatosan emeljük az </w:t>
      </w:r>
      <w:proofErr w:type="spellStart"/>
      <w:r>
        <w:t>epoprosztenol</w:t>
      </w:r>
      <w:proofErr w:type="spellEnd"/>
      <w:r>
        <w:t xml:space="preserve"> adagját, miután legalább egy órán keresztül alkalmaztuk a kezdeti dózist.</w:t>
      </w:r>
    </w:p>
    <w:p w14:paraId="7F565EED" w14:textId="77777777" w:rsidR="00DB351A" w:rsidRDefault="00DB351A" w:rsidP="00020748">
      <w:pPr>
        <w:rPr>
          <w:b/>
          <w:szCs w:val="22"/>
          <w:u w:val="single"/>
          <w:lang w:eastAsia="en-US"/>
        </w:rPr>
      </w:pPr>
    </w:p>
    <w:p w14:paraId="0C04A1A6" w14:textId="643CC228" w:rsidR="00B00CBD" w:rsidRPr="00B00CBD" w:rsidRDefault="00B3684E" w:rsidP="00020748">
      <w:pPr>
        <w:rPr>
          <w:b/>
          <w:szCs w:val="22"/>
          <w:u w:val="single"/>
        </w:rPr>
      </w:pPr>
      <w:r>
        <w:rPr>
          <w:b/>
          <w:szCs w:val="22"/>
          <w:u w:val="single"/>
        </w:rPr>
        <w:t>Az alkalmazás módja</w:t>
      </w:r>
    </w:p>
    <w:p w14:paraId="28BA1D98" w14:textId="77777777" w:rsidR="00B00CBD" w:rsidRPr="00B00CBD" w:rsidRDefault="00B00CBD" w:rsidP="00020748">
      <w:pPr>
        <w:rPr>
          <w:b/>
          <w:szCs w:val="22"/>
          <w:u w:val="single"/>
          <w:lang w:eastAsia="en-US"/>
        </w:rPr>
      </w:pPr>
    </w:p>
    <w:p w14:paraId="070E2438" w14:textId="09F164CE" w:rsidR="00B00CBD" w:rsidRPr="001D38B4" w:rsidRDefault="00DB351A" w:rsidP="00020748">
      <w:pPr>
        <w:rPr>
          <w:szCs w:val="22"/>
          <w:u w:val="single"/>
        </w:rPr>
      </w:pPr>
      <w:r>
        <w:rPr>
          <w:szCs w:val="22"/>
          <w:u w:val="single"/>
        </w:rPr>
        <w:t xml:space="preserve">Alkalmazás folyamatos </w:t>
      </w:r>
      <w:proofErr w:type="spellStart"/>
      <w:r>
        <w:rPr>
          <w:szCs w:val="22"/>
          <w:u w:val="single"/>
        </w:rPr>
        <w:t>subcutan</w:t>
      </w:r>
      <w:proofErr w:type="spellEnd"/>
      <w:r>
        <w:rPr>
          <w:szCs w:val="22"/>
          <w:u w:val="single"/>
        </w:rPr>
        <w:t xml:space="preserve"> infúzióban</w:t>
      </w:r>
    </w:p>
    <w:p w14:paraId="44901D35" w14:textId="77777777" w:rsidR="00B00CBD" w:rsidRPr="00B00CBD" w:rsidRDefault="00B00CBD" w:rsidP="00020748">
      <w:pPr>
        <w:rPr>
          <w:szCs w:val="22"/>
          <w:lang w:eastAsia="en-US"/>
        </w:rPr>
      </w:pPr>
    </w:p>
    <w:p w14:paraId="67BD622D" w14:textId="15A91D92" w:rsidR="00B00CBD" w:rsidRPr="00B00CBD" w:rsidRDefault="00D56E66" w:rsidP="00020748">
      <w:pPr>
        <w:rPr>
          <w:szCs w:val="22"/>
        </w:rPr>
      </w:pPr>
      <w:r>
        <w:t xml:space="preserve">A </w:t>
      </w:r>
      <w:proofErr w:type="spellStart"/>
      <w:r>
        <w:t>Tresuvi</w:t>
      </w:r>
      <w:proofErr w:type="spellEnd"/>
      <w:r>
        <w:t xml:space="preserve"> folyamatos </w:t>
      </w:r>
      <w:proofErr w:type="spellStart"/>
      <w:r>
        <w:t>subcutan</w:t>
      </w:r>
      <w:proofErr w:type="spellEnd"/>
      <w:r>
        <w:t xml:space="preserve"> infúzió formájában adandó be, </w:t>
      </w:r>
      <w:proofErr w:type="spellStart"/>
      <w:r>
        <w:t>subcutan</w:t>
      </w:r>
      <w:proofErr w:type="spellEnd"/>
      <w:r>
        <w:t xml:space="preserve"> katéter segítségével, hordozható infúziós pumpát használva. </w:t>
      </w:r>
    </w:p>
    <w:p w14:paraId="422F0F2A" w14:textId="77777777" w:rsidR="00B00CBD" w:rsidRPr="00B00CBD" w:rsidRDefault="00B00CBD" w:rsidP="00020748">
      <w:pPr>
        <w:rPr>
          <w:szCs w:val="22"/>
        </w:rPr>
      </w:pPr>
      <w:r>
        <w:t xml:space="preserve">A gyógyszerbevitel esetleges megszakadásának elkerülése érdekében a beteg elérhető közelségében tartalék infúziós pumpát és tartalék </w:t>
      </w:r>
      <w:proofErr w:type="spellStart"/>
      <w:r>
        <w:t>subcutan</w:t>
      </w:r>
      <w:proofErr w:type="spellEnd"/>
      <w:r>
        <w:t xml:space="preserve"> infúziós készletet kell elhelyezni, hogy a gyógyszer beadásához szükséges felszerelés előre nem látható meghibásodása ne okozzon gondot.</w:t>
      </w:r>
    </w:p>
    <w:p w14:paraId="22658631" w14:textId="77777777" w:rsidR="00B00CBD" w:rsidRPr="00B00CBD" w:rsidRDefault="00B00CBD" w:rsidP="00020748">
      <w:pPr>
        <w:rPr>
          <w:szCs w:val="22"/>
          <w:lang w:eastAsia="en-US"/>
        </w:rPr>
      </w:pPr>
    </w:p>
    <w:p w14:paraId="2BD9C7AA" w14:textId="186BBC08" w:rsidR="00B00CBD" w:rsidRPr="00B00CBD" w:rsidRDefault="00B00CBD" w:rsidP="00020748">
      <w:pPr>
        <w:rPr>
          <w:szCs w:val="22"/>
        </w:rPr>
      </w:pPr>
      <w:r>
        <w:t xml:space="preserve">A hígítatlan </w:t>
      </w:r>
      <w:proofErr w:type="spellStart"/>
      <w:r>
        <w:t>Tresuvi</w:t>
      </w:r>
      <w:proofErr w:type="spellEnd"/>
      <w:r>
        <w:t xml:space="preserve"> </w:t>
      </w:r>
      <w:proofErr w:type="spellStart"/>
      <w:r>
        <w:t>subcutan</w:t>
      </w:r>
      <w:proofErr w:type="spellEnd"/>
      <w:r>
        <w:t xml:space="preserve"> beadásához használt hordozható infúziós pumpa legyen:</w:t>
      </w:r>
    </w:p>
    <w:p w14:paraId="5CCD91A2" w14:textId="77777777" w:rsidR="00B00CBD" w:rsidRPr="00B00CBD" w:rsidRDefault="00B00CBD" w:rsidP="00020748">
      <w:pPr>
        <w:rPr>
          <w:szCs w:val="22"/>
          <w:lang w:eastAsia="en-US"/>
        </w:rPr>
      </w:pPr>
    </w:p>
    <w:p w14:paraId="5558DBA0" w14:textId="77777777" w:rsidR="00B00CBD" w:rsidRPr="00B00CBD" w:rsidRDefault="00B00CBD" w:rsidP="00020748">
      <w:pPr>
        <w:rPr>
          <w:szCs w:val="22"/>
        </w:rPr>
      </w:pPr>
      <w:r>
        <w:t>1)</w:t>
      </w:r>
      <w:r>
        <w:tab/>
        <w:t>kisméretű és könnyű,</w:t>
      </w:r>
    </w:p>
    <w:p w14:paraId="73A1A982" w14:textId="77777777" w:rsidR="00B00CBD" w:rsidRPr="00B00CBD" w:rsidRDefault="00B00CBD" w:rsidP="00020748">
      <w:pPr>
        <w:rPr>
          <w:szCs w:val="22"/>
        </w:rPr>
      </w:pPr>
      <w:r>
        <w:t>2)</w:t>
      </w:r>
      <w:r>
        <w:tab/>
        <w:t>alkalmas az infúziós sebesség beállítására, körülbelül 0,002 ml/órás fokozatokban,</w:t>
      </w:r>
    </w:p>
    <w:p w14:paraId="0012EDFD" w14:textId="77777777" w:rsidR="00B00CBD" w:rsidRPr="00B00CBD" w:rsidRDefault="00B00CBD" w:rsidP="00020748">
      <w:pPr>
        <w:ind w:left="705" w:hanging="705"/>
        <w:rPr>
          <w:szCs w:val="22"/>
        </w:rPr>
      </w:pPr>
      <w:r>
        <w:t>3)</w:t>
      </w:r>
      <w:r>
        <w:tab/>
        <w:t>ellátva eltömődés, alacsony akkumulátortöltöttség, programozási hiba és motorhiba esetén történő riasztással,</w:t>
      </w:r>
    </w:p>
    <w:p w14:paraId="5B345F0B" w14:textId="77777777" w:rsidR="00B00CBD" w:rsidRPr="00B00CBD" w:rsidRDefault="00B00CBD" w:rsidP="00020748">
      <w:pPr>
        <w:rPr>
          <w:szCs w:val="22"/>
        </w:rPr>
      </w:pPr>
      <w:r>
        <w:t>4)</w:t>
      </w:r>
      <w:r>
        <w:tab/>
        <w:t xml:space="preserve">a beprogramozott beadási sebesség szempontjából legalább +/– 6% pontosságú, </w:t>
      </w:r>
    </w:p>
    <w:p w14:paraId="3CC92635" w14:textId="77777777" w:rsidR="00B00CBD" w:rsidRPr="00B00CBD" w:rsidRDefault="00B00CBD" w:rsidP="00020748">
      <w:pPr>
        <w:rPr>
          <w:szCs w:val="22"/>
        </w:rPr>
      </w:pPr>
      <w:r>
        <w:t>5)</w:t>
      </w:r>
      <w:r>
        <w:tab/>
        <w:t>(folyamatos vagy pulzáló) pozitív nyomás által vezérelt.</w:t>
      </w:r>
    </w:p>
    <w:p w14:paraId="0BCBA457" w14:textId="77777777" w:rsidR="00B00CBD" w:rsidRPr="00B00CBD" w:rsidRDefault="00B00CBD" w:rsidP="00020748">
      <w:pPr>
        <w:rPr>
          <w:szCs w:val="22"/>
          <w:lang w:eastAsia="en-US"/>
        </w:rPr>
      </w:pPr>
    </w:p>
    <w:p w14:paraId="1E6C42FF" w14:textId="71522812" w:rsidR="00B00CBD" w:rsidRPr="00B00CBD" w:rsidRDefault="00B00CBD" w:rsidP="00020748">
      <w:pPr>
        <w:rPr>
          <w:szCs w:val="22"/>
        </w:rPr>
      </w:pPr>
      <w:r>
        <w:t>A tartálynak polipropilénből vagy üvegből kell lennie.</w:t>
      </w:r>
    </w:p>
    <w:p w14:paraId="3A52FC9D" w14:textId="77777777" w:rsidR="00B00CBD" w:rsidRPr="00B00CBD" w:rsidRDefault="00B00CBD" w:rsidP="00020748">
      <w:pPr>
        <w:rPr>
          <w:szCs w:val="22"/>
        </w:rPr>
      </w:pPr>
      <w:r>
        <w:t>A betegeket pontosan meg kell tanítani a pumpa használatára, programozására, az infúziós készlet kezelésére, valamint csatlakoztatásának módjára.</w:t>
      </w:r>
    </w:p>
    <w:p w14:paraId="373084C6" w14:textId="77777777" w:rsidR="002D33B8" w:rsidRPr="00B00CBD" w:rsidRDefault="002D33B8" w:rsidP="00020748">
      <w:pPr>
        <w:rPr>
          <w:szCs w:val="22"/>
        </w:rPr>
      </w:pPr>
      <w:r>
        <w:t>Az infúziót nem szabad olyankor feltölteni, amikor az éppen be van kötve a betegnek, mert ez véletlen túladagoláshoz vezethet.</w:t>
      </w:r>
    </w:p>
    <w:p w14:paraId="71E752E3" w14:textId="77777777" w:rsidR="00B00CBD" w:rsidRPr="00B00CBD" w:rsidRDefault="00B00CBD" w:rsidP="00020748">
      <w:pPr>
        <w:rPr>
          <w:szCs w:val="22"/>
          <w:lang w:eastAsia="en-US"/>
        </w:rPr>
      </w:pPr>
    </w:p>
    <w:p w14:paraId="5263CA78" w14:textId="77777777" w:rsidR="00B00CBD" w:rsidRPr="00B00CBD" w:rsidRDefault="00B00CBD" w:rsidP="00020748">
      <w:pPr>
        <w:rPr>
          <w:szCs w:val="22"/>
        </w:rPr>
      </w:pPr>
      <w:r>
        <w:t xml:space="preserve">Az infúziós sebesség </w:t>
      </w:r>
      <w:r>
        <w:sym w:font="Symbol" w:char="F0D1"/>
      </w:r>
      <w:r>
        <w:t xml:space="preserve"> (ml/óra) az alábbi képlet alapján számolható ki:</w:t>
      </w:r>
    </w:p>
    <w:p w14:paraId="595B4F1C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1EF6C622" w14:textId="6C71FA8D" w:rsidR="00B00CBD" w:rsidRPr="00B00CBD" w:rsidRDefault="00B00CBD" w:rsidP="00B00C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Cs w:val="22"/>
        </w:rPr>
      </w:pPr>
      <w:r>
        <w:sym w:font="Symbol" w:char="F0D1"/>
      </w:r>
      <w:r>
        <w:t xml:space="preserve"> (ml/óra) = D (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/perc) × T (</w:t>
      </w:r>
      <w:proofErr w:type="spellStart"/>
      <w:r>
        <w:t>ttkg</w:t>
      </w:r>
      <w:proofErr w:type="spellEnd"/>
      <w:r>
        <w:t xml:space="preserve">) × [0,00006 / </w:t>
      </w:r>
      <w:proofErr w:type="spellStart"/>
      <w:r>
        <w:t>treprosztinil</w:t>
      </w:r>
      <w:proofErr w:type="spellEnd"/>
      <w:r>
        <w:noBreakHyphen/>
        <w:t>koncentráció (mg/ml)]</w:t>
      </w:r>
    </w:p>
    <w:p w14:paraId="7C1BBB79" w14:textId="77777777" w:rsidR="00B00CBD" w:rsidRPr="00B00CBD" w:rsidRDefault="00B00CBD" w:rsidP="00B00CBD">
      <w:pPr>
        <w:rPr>
          <w:szCs w:val="22"/>
          <w:lang w:eastAsia="en-US"/>
        </w:rPr>
      </w:pPr>
    </w:p>
    <w:p w14:paraId="4EF408D7" w14:textId="77777777" w:rsidR="00B00CBD" w:rsidRPr="00B00CBD" w:rsidRDefault="00B00CBD" w:rsidP="00B00CBD">
      <w:pPr>
        <w:rPr>
          <w:szCs w:val="22"/>
        </w:rPr>
      </w:pPr>
      <w:r>
        <w:t xml:space="preserve">D = előírt dózis 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 értékben kifejezve</w:t>
      </w:r>
    </w:p>
    <w:p w14:paraId="030411ED" w14:textId="77777777" w:rsidR="00B00CBD" w:rsidRPr="00B00CBD" w:rsidRDefault="00B00CBD" w:rsidP="00B00CBD">
      <w:pPr>
        <w:rPr>
          <w:szCs w:val="22"/>
        </w:rPr>
      </w:pPr>
      <w:r>
        <w:t>T = a beteg testtömege kg-ban kifejezve</w:t>
      </w:r>
    </w:p>
    <w:p w14:paraId="4E306133" w14:textId="77777777" w:rsidR="00B00CBD" w:rsidRPr="00B00CBD" w:rsidRDefault="00B00CBD" w:rsidP="00B00CBD">
      <w:pPr>
        <w:rPr>
          <w:szCs w:val="22"/>
          <w:lang w:eastAsia="en-US"/>
        </w:rPr>
      </w:pPr>
    </w:p>
    <w:p w14:paraId="310DD2E6" w14:textId="599E6C61" w:rsidR="00B00CBD" w:rsidRPr="00B00CBD" w:rsidRDefault="00D56E66" w:rsidP="00B00CBD">
      <w:pPr>
        <w:jc w:val="both"/>
        <w:rPr>
          <w:szCs w:val="22"/>
        </w:rPr>
      </w:pPr>
      <w:r>
        <w:t xml:space="preserve">A </w:t>
      </w:r>
      <w:proofErr w:type="spellStart"/>
      <w:r>
        <w:t>Tresuvi</w:t>
      </w:r>
      <w:r>
        <w:noBreakHyphen/>
        <w:t>ból</w:t>
      </w:r>
      <w:proofErr w:type="spellEnd"/>
      <w:r>
        <w:t xml:space="preserve"> 1; 2,5; 5 és 10 mg/ml-es koncentrációjú készítmények vannak forgalomban.</w:t>
      </w:r>
    </w:p>
    <w:p w14:paraId="7A608536" w14:textId="77777777" w:rsidR="00B00CBD" w:rsidRPr="00B00CBD" w:rsidRDefault="00B00CBD" w:rsidP="00B00CBD">
      <w:pPr>
        <w:jc w:val="both"/>
        <w:rPr>
          <w:szCs w:val="22"/>
          <w:u w:val="single"/>
          <w:lang w:eastAsia="en-US"/>
        </w:rPr>
      </w:pPr>
    </w:p>
    <w:p w14:paraId="63E369A4" w14:textId="77D82D7A" w:rsidR="00B00CBD" w:rsidRDefault="00B00CBD" w:rsidP="00B00CBD">
      <w:pPr>
        <w:jc w:val="both"/>
      </w:pPr>
      <w:proofErr w:type="spellStart"/>
      <w:r>
        <w:t>Subcutan</w:t>
      </w:r>
      <w:proofErr w:type="spellEnd"/>
      <w:r>
        <w:t xml:space="preserve"> infúzióként a </w:t>
      </w:r>
      <w:proofErr w:type="spellStart"/>
      <w:r>
        <w:t>Tresuvi</w:t>
      </w:r>
      <w:proofErr w:type="spellEnd"/>
      <w:r>
        <w:t xml:space="preserve">‑t </w:t>
      </w:r>
      <w:r>
        <w:rPr>
          <w:b/>
          <w:szCs w:val="22"/>
        </w:rPr>
        <w:t>további hígítás nélkül kell adagolni</w:t>
      </w:r>
      <w:r>
        <w:t xml:space="preserve"> a kiszámolt </w:t>
      </w:r>
      <w:proofErr w:type="spellStart"/>
      <w:r>
        <w:t>subcutan</w:t>
      </w:r>
      <w:proofErr w:type="spellEnd"/>
      <w:r>
        <w:t xml:space="preserve"> infúziós sebességgel (ml/óra), amelyet a beteg dózisa (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/perc), testtömege (</w:t>
      </w:r>
      <w:proofErr w:type="spellStart"/>
      <w:r>
        <w:t>ttkg</w:t>
      </w:r>
      <w:proofErr w:type="spellEnd"/>
      <w:r>
        <w:t xml:space="preserve">) és a </w:t>
      </w:r>
      <w:proofErr w:type="spellStart"/>
      <w:r>
        <w:t>Tresuvi</w:t>
      </w:r>
      <w:proofErr w:type="spellEnd"/>
      <w:r>
        <w:t xml:space="preserve"> injekciós üveg tartalmának koncentrációja (mg/ml) alapján határoznak meg. Használat közben egy hígítatlan </w:t>
      </w:r>
      <w:proofErr w:type="spellStart"/>
      <w:r>
        <w:t>Tresuvi</w:t>
      </w:r>
      <w:proofErr w:type="spellEnd"/>
      <w:r>
        <w:t xml:space="preserve"> tartály (fecskendő) maximálisan </w:t>
      </w:r>
      <w:r w:rsidR="004F62F6">
        <w:t>14 napig</w:t>
      </w:r>
      <w:r>
        <w:t xml:space="preserve"> adagolható 37 </w:t>
      </w:r>
      <w:r>
        <w:sym w:font="Symbol" w:char="F0B0"/>
      </w:r>
      <w:r>
        <w:t>C-</w:t>
      </w:r>
      <w:proofErr w:type="spellStart"/>
      <w:r>
        <w:t>on</w:t>
      </w:r>
      <w:proofErr w:type="spellEnd"/>
      <w:r>
        <w:t xml:space="preserve">. A </w:t>
      </w:r>
      <w:proofErr w:type="spellStart"/>
      <w:r>
        <w:rPr>
          <w:szCs w:val="22"/>
          <w:u w:val="single"/>
        </w:rPr>
        <w:t>subcutan</w:t>
      </w:r>
      <w:proofErr w:type="spellEnd"/>
      <w:r>
        <w:rPr>
          <w:szCs w:val="22"/>
          <w:u w:val="single"/>
        </w:rPr>
        <w:t xml:space="preserve"> infúzió</w:t>
      </w:r>
      <w:r>
        <w:t xml:space="preserve"> sebességét a következő képlet alapján kell meghatározni:</w:t>
      </w:r>
    </w:p>
    <w:p w14:paraId="747934D7" w14:textId="1B06F9B7" w:rsidR="00F96EF4" w:rsidRDefault="00F96EF4" w:rsidP="00B00CBD">
      <w:pPr>
        <w:jc w:val="both"/>
      </w:pPr>
    </w:p>
    <w:p w14:paraId="75A6AC68" w14:textId="77777777" w:rsidR="00F96EF4" w:rsidRPr="00B00CBD" w:rsidRDefault="00F96EF4" w:rsidP="00B00CBD">
      <w:pPr>
        <w:jc w:val="both"/>
        <w:rPr>
          <w:szCs w:val="22"/>
        </w:rPr>
      </w:pPr>
    </w:p>
    <w:p w14:paraId="2658B0B1" w14:textId="77777777" w:rsidR="00B00CBD" w:rsidRPr="005D5674" w:rsidRDefault="00B00CBD" w:rsidP="00B00CBD">
      <w:pPr>
        <w:rPr>
          <w:szCs w:val="22"/>
          <w:lang w:eastAsia="en-US"/>
        </w:rPr>
      </w:pPr>
    </w:p>
    <w:tbl>
      <w:tblPr>
        <w:tblpPr w:leftFromText="141" w:rightFromText="141" w:vertAnchor="text" w:tblpX="1357" w:tblpY="1"/>
        <w:tblOverlap w:val="never"/>
        <w:tblW w:w="7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1"/>
        <w:gridCol w:w="450"/>
        <w:gridCol w:w="2190"/>
        <w:gridCol w:w="360"/>
        <w:gridCol w:w="1483"/>
        <w:gridCol w:w="360"/>
        <w:gridCol w:w="1200"/>
      </w:tblGrid>
      <w:tr w:rsidR="00B00CBD" w:rsidRPr="00B00CBD" w14:paraId="1616C80B" w14:textId="77777777" w:rsidTr="00210B57">
        <w:trPr>
          <w:cantSplit/>
          <w:trHeight w:val="495"/>
        </w:trPr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F304C" w14:textId="24F81B99" w:rsidR="00B00CBD" w:rsidRPr="00B00CBD" w:rsidRDefault="00B00CBD" w:rsidP="00B00CBD">
            <w:pPr>
              <w:jc w:val="center"/>
              <w:rPr>
                <w:szCs w:val="22"/>
              </w:rPr>
            </w:pPr>
            <w:proofErr w:type="spellStart"/>
            <w:r>
              <w:rPr>
                <w:b/>
                <w:szCs w:val="22"/>
              </w:rPr>
              <w:t>Subcutan</w:t>
            </w:r>
            <w:proofErr w:type="spellEnd"/>
            <w:r>
              <w:rPr>
                <w:b/>
                <w:szCs w:val="22"/>
              </w:rPr>
              <w:t xml:space="preserve"> infúzió sebessége</w:t>
            </w:r>
            <w:r>
              <w:t xml:space="preserve"> (ml/óra)</w:t>
            </w:r>
          </w:p>
        </w:tc>
        <w:tc>
          <w:tcPr>
            <w:tcW w:w="45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C9DB7" w14:textId="77777777" w:rsidR="00B00CBD" w:rsidRPr="00B00CBD" w:rsidRDefault="00B00CB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EEB419C" w14:textId="77777777" w:rsidR="00B00CBD" w:rsidRPr="00B00CBD" w:rsidRDefault="00B00CB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dózis</w:t>
            </w:r>
            <w:r>
              <w:t xml:space="preserve"> (</w:t>
            </w:r>
            <w:proofErr w:type="spellStart"/>
            <w:r>
              <w:t>ng</w:t>
            </w:r>
            <w:proofErr w:type="spellEnd"/>
            <w:r>
              <w:t>/</w:t>
            </w:r>
            <w:proofErr w:type="spellStart"/>
            <w:r>
              <w:t>ttkg</w:t>
            </w:r>
            <w:proofErr w:type="spellEnd"/>
            <w:r>
              <w:t>/perc)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240C621" w14:textId="003E2BB4" w:rsidR="00B00CBD" w:rsidRPr="00B00CBD" w:rsidRDefault="00F96EF4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9FDAC44" w14:textId="77777777" w:rsidR="00B00CBD" w:rsidRPr="00B00CBD" w:rsidRDefault="00B00CB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Tömeg</w:t>
            </w:r>
            <w:r w:rsidRPr="005D5674">
              <w:t xml:space="preserve"> </w:t>
            </w:r>
            <w:r>
              <w:t>(kg)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3C68318" w14:textId="6C1F40C6" w:rsidR="00B00CBD" w:rsidRPr="00B00CBD" w:rsidRDefault="00F96EF4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1A01A1E" w14:textId="77777777" w:rsidR="00B00CBD" w:rsidRPr="00B00CBD" w:rsidRDefault="00B00CBD" w:rsidP="00B00CBD">
            <w:pPr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0,00006*</w:t>
            </w:r>
          </w:p>
        </w:tc>
      </w:tr>
      <w:tr w:rsidR="00B00CBD" w:rsidRPr="00B00CBD" w14:paraId="5403ABCB" w14:textId="77777777" w:rsidTr="00210B57">
        <w:trPr>
          <w:cantSplit/>
          <w:trHeight w:val="495"/>
        </w:trPr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050AFE" w14:textId="77777777" w:rsidR="00B00CBD" w:rsidRPr="00B00CBD" w:rsidRDefault="00B00CBD" w:rsidP="00B00CBD">
            <w:pPr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4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36034" w14:textId="77777777" w:rsidR="00B00CBD" w:rsidRPr="00B00CBD" w:rsidRDefault="00B00CBD" w:rsidP="00B00CBD">
            <w:pPr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5593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20E91FF" w14:textId="26C6AF65" w:rsidR="00B00CBD" w:rsidRPr="00B00CBD" w:rsidRDefault="00D56E66" w:rsidP="00B00CBD">
            <w:pPr>
              <w:widowControl w:val="0"/>
              <w:jc w:val="center"/>
              <w:rPr>
                <w:szCs w:val="22"/>
              </w:rPr>
            </w:pPr>
            <w:proofErr w:type="spellStart"/>
            <w:r>
              <w:rPr>
                <w:b/>
                <w:szCs w:val="22"/>
              </w:rPr>
              <w:t>Tresuvi</w:t>
            </w:r>
            <w:proofErr w:type="spellEnd"/>
            <w:r>
              <w:rPr>
                <w:b/>
                <w:szCs w:val="22"/>
              </w:rPr>
              <w:t xml:space="preserve"> injekciós üvegen feltüntetett hatáserősség</w:t>
            </w:r>
            <w:r>
              <w:t xml:space="preserve"> (mg/ml)</w:t>
            </w:r>
          </w:p>
        </w:tc>
      </w:tr>
    </w:tbl>
    <w:p w14:paraId="2BE26184" w14:textId="77777777" w:rsidR="00B00CBD" w:rsidRPr="00B00CBD" w:rsidRDefault="00B00CBD" w:rsidP="00B00CBD">
      <w:pPr>
        <w:rPr>
          <w:i/>
          <w:szCs w:val="22"/>
          <w:lang w:val="en-US" w:eastAsia="en-US"/>
        </w:rPr>
      </w:pPr>
    </w:p>
    <w:p w14:paraId="26C3C578" w14:textId="77777777" w:rsidR="00B00CBD" w:rsidRPr="00B00CBD" w:rsidRDefault="00B00CBD" w:rsidP="00B00CBD">
      <w:pPr>
        <w:rPr>
          <w:i/>
          <w:szCs w:val="22"/>
          <w:lang w:val="en-US" w:eastAsia="en-US"/>
        </w:rPr>
      </w:pPr>
    </w:p>
    <w:p w14:paraId="3F7B4F21" w14:textId="77777777" w:rsidR="00B00CBD" w:rsidRPr="00B00CBD" w:rsidRDefault="00B00CBD" w:rsidP="00B00CBD">
      <w:pPr>
        <w:rPr>
          <w:i/>
          <w:szCs w:val="22"/>
          <w:lang w:val="en-US" w:eastAsia="en-US"/>
        </w:rPr>
      </w:pPr>
    </w:p>
    <w:p w14:paraId="78978A37" w14:textId="77777777" w:rsidR="00B00CBD" w:rsidRPr="00B00CBD" w:rsidRDefault="00B00CBD" w:rsidP="00B00CBD">
      <w:pPr>
        <w:rPr>
          <w:i/>
          <w:szCs w:val="22"/>
          <w:lang w:val="en-US" w:eastAsia="en-US"/>
        </w:rPr>
      </w:pPr>
    </w:p>
    <w:p w14:paraId="689E4907" w14:textId="77777777" w:rsidR="00B00CBD" w:rsidRPr="00B00CBD" w:rsidRDefault="00B00CBD" w:rsidP="00B00CBD">
      <w:pPr>
        <w:rPr>
          <w:i/>
          <w:szCs w:val="22"/>
          <w:lang w:val="en-US" w:eastAsia="en-US"/>
        </w:rPr>
      </w:pPr>
    </w:p>
    <w:p w14:paraId="1B6484DC" w14:textId="77777777" w:rsidR="00B00CBD" w:rsidRPr="00B00CBD" w:rsidRDefault="00B00CBD" w:rsidP="00F96EF4">
      <w:pPr>
        <w:rPr>
          <w:i/>
          <w:szCs w:val="22"/>
        </w:rPr>
      </w:pPr>
      <w:r>
        <w:rPr>
          <w:i/>
          <w:szCs w:val="22"/>
        </w:rPr>
        <w:t>*Átváltási faktor 0,00006 = 60 perc/óra × 0,000001 mg/</w:t>
      </w:r>
      <w:proofErr w:type="spellStart"/>
      <w:r>
        <w:rPr>
          <w:i/>
          <w:szCs w:val="22"/>
        </w:rPr>
        <w:t>ng</w:t>
      </w:r>
      <w:proofErr w:type="spellEnd"/>
    </w:p>
    <w:p w14:paraId="4E286987" w14:textId="77777777" w:rsidR="00B00CBD" w:rsidRPr="00B00CBD" w:rsidRDefault="00B00CBD">
      <w:r>
        <w:t xml:space="preserve">A </w:t>
      </w:r>
      <w:proofErr w:type="spellStart"/>
      <w:r>
        <w:rPr>
          <w:b/>
          <w:i/>
        </w:rPr>
        <w:t>subcutan</w:t>
      </w:r>
      <w:proofErr w:type="spellEnd"/>
      <w:r>
        <w:rPr>
          <w:b/>
          <w:i/>
        </w:rPr>
        <w:t xml:space="preserve"> infúzió</w:t>
      </w:r>
      <w:r>
        <w:t xml:space="preserve"> számításának példái az alábbiakban találhatók:</w:t>
      </w:r>
    </w:p>
    <w:p w14:paraId="7F65511B" w14:textId="77777777" w:rsidR="00B00CBD" w:rsidRPr="005D5674" w:rsidRDefault="00B00CBD">
      <w:pPr>
        <w:rPr>
          <w:lang w:val="pl-PL" w:eastAsia="en-US"/>
        </w:rPr>
      </w:pPr>
    </w:p>
    <w:p w14:paraId="6CE57CAE" w14:textId="77777777" w:rsidR="00B00CBD" w:rsidRPr="007D3B01" w:rsidRDefault="00B00CBD">
      <w:pPr>
        <w:rPr>
          <w:b/>
          <w:i/>
          <w:szCs w:val="22"/>
          <w:u w:val="single"/>
        </w:rPr>
      </w:pPr>
      <w:r>
        <w:rPr>
          <w:b/>
          <w:i/>
          <w:szCs w:val="22"/>
          <w:u w:val="single"/>
        </w:rPr>
        <w:t>1. példa:</w:t>
      </w:r>
    </w:p>
    <w:p w14:paraId="3AED136D" w14:textId="62B15C44" w:rsidR="00B00CBD" w:rsidRPr="00B00CBD" w:rsidRDefault="00B00CBD" w:rsidP="00020748">
      <w:pPr>
        <w:rPr>
          <w:szCs w:val="22"/>
        </w:rPr>
      </w:pPr>
      <w:r>
        <w:t>Egy 60 kg tömegű egyén esetében az 1,25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ajánlott kezdeti dózisnál az 1 mg/ml </w:t>
      </w:r>
      <w:proofErr w:type="spellStart"/>
      <w:r>
        <w:t>Tresuvi</w:t>
      </w:r>
      <w:proofErr w:type="spellEnd"/>
      <w:r>
        <w:t xml:space="preserve"> injekciós üveg koncentrációt használva, az infúzió sebességét a következőképpen számoljuk ki:</w:t>
      </w:r>
    </w:p>
    <w:p w14:paraId="340F0BF3" w14:textId="77777777" w:rsidR="00B00CBD" w:rsidRPr="005D5674" w:rsidRDefault="00B00CBD" w:rsidP="00B00CBD">
      <w:pPr>
        <w:rPr>
          <w:szCs w:val="22"/>
          <w:lang w:val="pl-PL" w:eastAsia="en-US"/>
        </w:rPr>
      </w:pPr>
    </w:p>
    <w:tbl>
      <w:tblPr>
        <w:tblW w:w="7996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2"/>
        <w:gridCol w:w="368"/>
        <w:gridCol w:w="1838"/>
        <w:gridCol w:w="368"/>
        <w:gridCol w:w="919"/>
        <w:gridCol w:w="368"/>
        <w:gridCol w:w="1011"/>
        <w:gridCol w:w="1562"/>
      </w:tblGrid>
      <w:tr w:rsidR="00B00CBD" w:rsidRPr="00B00CBD" w14:paraId="2D6AF6CF" w14:textId="77777777" w:rsidTr="009B7AD9">
        <w:trPr>
          <w:cantSplit/>
          <w:trHeight w:val="510"/>
        </w:trPr>
        <w:tc>
          <w:tcPr>
            <w:tcW w:w="156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A2A77" w14:textId="77777777" w:rsidR="00B00CBD" w:rsidRPr="00B00CBD" w:rsidRDefault="00B00CBD" w:rsidP="00B00CBD">
            <w:pPr>
              <w:keepLines/>
              <w:jc w:val="center"/>
              <w:rPr>
                <w:szCs w:val="22"/>
              </w:rPr>
            </w:pPr>
            <w:proofErr w:type="spellStart"/>
            <w:r>
              <w:rPr>
                <w:b/>
                <w:szCs w:val="22"/>
              </w:rPr>
              <w:t>Subcutan</w:t>
            </w:r>
            <w:proofErr w:type="spellEnd"/>
            <w:r>
              <w:rPr>
                <w:b/>
                <w:szCs w:val="22"/>
              </w:rPr>
              <w:t xml:space="preserve"> infúzió sebessége</w:t>
            </w:r>
            <w:r>
              <w:t xml:space="preserve"> (ml/óra)</w:t>
            </w:r>
          </w:p>
        </w:tc>
        <w:tc>
          <w:tcPr>
            <w:tcW w:w="36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BF21E" w14:textId="77777777" w:rsidR="00B00CBD" w:rsidRPr="00B00CBD" w:rsidRDefault="00B00CBD" w:rsidP="00B00CBD">
            <w:pPr>
              <w:keepLines/>
              <w:rPr>
                <w:b/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4944F67" w14:textId="77777777" w:rsidR="00B00CBD" w:rsidRPr="00B00CBD" w:rsidRDefault="00B00CBD" w:rsidP="00B00CBD">
            <w:pPr>
              <w:keepLines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1,25 </w:t>
            </w:r>
            <w:proofErr w:type="spellStart"/>
            <w:r>
              <w:t>ng</w:t>
            </w:r>
            <w:proofErr w:type="spellEnd"/>
            <w:r>
              <w:t>/</w:t>
            </w:r>
            <w:proofErr w:type="spellStart"/>
            <w:r>
              <w:t>ttkg</w:t>
            </w:r>
            <w:proofErr w:type="spellEnd"/>
            <w:r>
              <w:t>/perc</w:t>
            </w:r>
          </w:p>
        </w:tc>
        <w:tc>
          <w:tcPr>
            <w:tcW w:w="3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8B6E87B" w14:textId="0604E877" w:rsidR="00B00CBD" w:rsidRPr="00B00CBD" w:rsidRDefault="00F96EF4" w:rsidP="00B00CBD">
            <w:pPr>
              <w:keepLines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91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3C0163CA" w14:textId="77777777" w:rsidR="00B00CBD" w:rsidRPr="00B00CBD" w:rsidRDefault="00B00CBD" w:rsidP="00B00CBD">
            <w:pPr>
              <w:keepLines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60 </w:t>
            </w:r>
            <w:r>
              <w:t>kg</w:t>
            </w:r>
          </w:p>
        </w:tc>
        <w:tc>
          <w:tcPr>
            <w:tcW w:w="3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C5E2390" w14:textId="0556DAC0" w:rsidR="00B00CBD" w:rsidRPr="00B00CBD" w:rsidRDefault="00F96EF4" w:rsidP="00B00CBD">
            <w:pPr>
              <w:keepLines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6287035B" w14:textId="77777777" w:rsidR="00B00CBD" w:rsidRPr="00B00CBD" w:rsidRDefault="00B00CBD" w:rsidP="00B00CBD">
            <w:pPr>
              <w:keepLines/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0,00006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8B52A" w14:textId="77777777" w:rsidR="00B00CBD" w:rsidRPr="00B00CBD" w:rsidRDefault="00B00CBD" w:rsidP="00B00CBD">
            <w:pPr>
              <w:keepLines/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= 0,005 </w:t>
            </w:r>
            <w:r>
              <w:t>ml/óra</w:t>
            </w:r>
          </w:p>
        </w:tc>
      </w:tr>
      <w:tr w:rsidR="00B00CBD" w:rsidRPr="00B00CBD" w14:paraId="3BAD595A" w14:textId="77777777" w:rsidTr="009B7AD9">
        <w:trPr>
          <w:cantSplit/>
          <w:trHeight w:val="510"/>
        </w:trPr>
        <w:tc>
          <w:tcPr>
            <w:tcW w:w="15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B2210" w14:textId="77777777" w:rsidR="00B00CBD" w:rsidRPr="00B00CBD" w:rsidRDefault="00B00CBD" w:rsidP="00B00CBD">
            <w:pPr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36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A6A8DD" w14:textId="77777777" w:rsidR="00B00CBD" w:rsidRPr="00B00CBD" w:rsidRDefault="00B00CBD" w:rsidP="00B00CBD">
            <w:pPr>
              <w:rPr>
                <w:b/>
                <w:szCs w:val="22"/>
                <w:lang w:val="en-US" w:eastAsia="en-US"/>
              </w:rPr>
            </w:pPr>
          </w:p>
        </w:tc>
        <w:tc>
          <w:tcPr>
            <w:tcW w:w="4503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BA8F33C" w14:textId="77777777" w:rsidR="00B00CBD" w:rsidRPr="00B00CBD" w:rsidRDefault="00B00CBD" w:rsidP="00B00CBD">
            <w:pPr>
              <w:widowControl w:val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1 </w:t>
            </w:r>
            <w:r>
              <w:t>mg/ml</w:t>
            </w:r>
          </w:p>
          <w:p w14:paraId="2B88338B" w14:textId="77777777" w:rsidR="00B00CBD" w:rsidRPr="00B00CBD" w:rsidRDefault="00B00CBD" w:rsidP="00B00CBD">
            <w:pPr>
              <w:widowControl w:val="0"/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1562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2E20CF" w14:textId="77777777" w:rsidR="00B00CBD" w:rsidRPr="00B00CBD" w:rsidRDefault="00B00CBD" w:rsidP="00B00CBD">
            <w:pPr>
              <w:widowControl w:val="0"/>
              <w:jc w:val="center"/>
              <w:rPr>
                <w:b/>
                <w:szCs w:val="22"/>
                <w:lang w:val="en-US" w:eastAsia="en-US"/>
              </w:rPr>
            </w:pPr>
          </w:p>
        </w:tc>
      </w:tr>
    </w:tbl>
    <w:p w14:paraId="0449955C" w14:textId="77777777" w:rsidR="00B00CBD" w:rsidRPr="001D38B4" w:rsidRDefault="00B00CBD" w:rsidP="00F96EF4">
      <w:pPr>
        <w:rPr>
          <w:i/>
          <w:szCs w:val="22"/>
        </w:rPr>
      </w:pPr>
      <w:r>
        <w:rPr>
          <w:b/>
          <w:i/>
          <w:szCs w:val="22"/>
          <w:u w:val="single"/>
        </w:rPr>
        <w:t>2. példa</w:t>
      </w:r>
      <w:r>
        <w:rPr>
          <w:b/>
          <w:i/>
          <w:szCs w:val="22"/>
        </w:rPr>
        <w:t>:</w:t>
      </w:r>
    </w:p>
    <w:p w14:paraId="15F39EBA" w14:textId="721ACDCB" w:rsidR="00B00CBD" w:rsidRPr="00B00CBD" w:rsidRDefault="00B00CBD" w:rsidP="00020748">
      <w:pPr>
        <w:rPr>
          <w:szCs w:val="22"/>
        </w:rPr>
      </w:pPr>
      <w:r>
        <w:t>Egy 65 kg tömegű egyén esetében a 40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ajánlott kezdeti dózisnál az 5 mg/ml </w:t>
      </w:r>
      <w:proofErr w:type="spellStart"/>
      <w:r>
        <w:t>Tresuvi</w:t>
      </w:r>
      <w:proofErr w:type="spellEnd"/>
      <w:r>
        <w:t xml:space="preserve"> injekciós üveg koncentrációt használva, az infúzió sebességét a következőképpen számoljuk ki:</w:t>
      </w:r>
    </w:p>
    <w:p w14:paraId="3E1CF0CE" w14:textId="77777777" w:rsidR="00B00CBD" w:rsidRPr="005D5674" w:rsidRDefault="00B00CBD" w:rsidP="00B00CBD">
      <w:pPr>
        <w:rPr>
          <w:szCs w:val="22"/>
          <w:lang w:eastAsia="en-US"/>
        </w:rPr>
      </w:pPr>
    </w:p>
    <w:tbl>
      <w:tblPr>
        <w:tblW w:w="798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367"/>
        <w:gridCol w:w="1835"/>
        <w:gridCol w:w="367"/>
        <w:gridCol w:w="917"/>
        <w:gridCol w:w="367"/>
        <w:gridCol w:w="1009"/>
        <w:gridCol w:w="1559"/>
      </w:tblGrid>
      <w:tr w:rsidR="00B00CBD" w:rsidRPr="00B00CBD" w14:paraId="74964398" w14:textId="77777777" w:rsidTr="009B7AD9">
        <w:trPr>
          <w:cantSplit/>
          <w:trHeight w:val="477"/>
        </w:trPr>
        <w:tc>
          <w:tcPr>
            <w:tcW w:w="155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EE141" w14:textId="77777777" w:rsidR="00B00CBD" w:rsidRPr="00B00CBD" w:rsidRDefault="00B00CBD" w:rsidP="00B00CBD">
            <w:pPr>
              <w:jc w:val="center"/>
              <w:rPr>
                <w:szCs w:val="22"/>
              </w:rPr>
            </w:pPr>
            <w:proofErr w:type="spellStart"/>
            <w:r>
              <w:rPr>
                <w:b/>
                <w:szCs w:val="22"/>
              </w:rPr>
              <w:t>Subcutan</w:t>
            </w:r>
            <w:proofErr w:type="spellEnd"/>
            <w:r>
              <w:rPr>
                <w:b/>
                <w:szCs w:val="22"/>
              </w:rPr>
              <w:t xml:space="preserve"> infúzió sebessége</w:t>
            </w:r>
            <w:r>
              <w:t xml:space="preserve"> (ml/óra)</w:t>
            </w:r>
          </w:p>
        </w:tc>
        <w:tc>
          <w:tcPr>
            <w:tcW w:w="3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247353" w14:textId="77777777" w:rsidR="00B00CBD" w:rsidRPr="00B00CBD" w:rsidRDefault="00B00CBD" w:rsidP="00B00CBD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969029C" w14:textId="77777777" w:rsidR="00B00CBD" w:rsidRPr="00B00CBD" w:rsidRDefault="00B00CB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40 </w:t>
            </w:r>
            <w:proofErr w:type="spellStart"/>
            <w:r>
              <w:t>ng</w:t>
            </w:r>
            <w:proofErr w:type="spellEnd"/>
            <w:r>
              <w:t>/</w:t>
            </w:r>
            <w:proofErr w:type="spellStart"/>
            <w:r>
              <w:t>ttkg</w:t>
            </w:r>
            <w:proofErr w:type="spellEnd"/>
            <w:r>
              <w:t>/perc</w:t>
            </w:r>
          </w:p>
        </w:tc>
        <w:tc>
          <w:tcPr>
            <w:tcW w:w="3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6C95CAC6" w14:textId="7012B018" w:rsidR="00B00CBD" w:rsidRPr="00B00CBD" w:rsidRDefault="00F96EF4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91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4990FF4C" w14:textId="77777777" w:rsidR="00B00CBD" w:rsidRPr="00B00CBD" w:rsidRDefault="00B00CBD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65 </w:t>
            </w:r>
            <w:r>
              <w:t>kg</w:t>
            </w:r>
          </w:p>
        </w:tc>
        <w:tc>
          <w:tcPr>
            <w:tcW w:w="36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5A9ED9B4" w14:textId="17FA7957" w:rsidR="00B00CBD" w:rsidRPr="00B00CBD" w:rsidRDefault="00F96EF4" w:rsidP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B12B917" w14:textId="77777777" w:rsidR="00B00CBD" w:rsidRPr="00B00CBD" w:rsidRDefault="00B00CBD" w:rsidP="00B00CBD">
            <w:pPr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0,00006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37402" w14:textId="77777777" w:rsidR="00B00CBD" w:rsidRPr="00B00CBD" w:rsidRDefault="00B00CBD" w:rsidP="00B00CBD">
            <w:pPr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= 0,031 </w:t>
            </w:r>
            <w:r>
              <w:t>ml/óra</w:t>
            </w:r>
          </w:p>
        </w:tc>
      </w:tr>
      <w:tr w:rsidR="00B00CBD" w:rsidRPr="00B00CBD" w14:paraId="50813B19" w14:textId="77777777" w:rsidTr="009B7AD9">
        <w:trPr>
          <w:cantSplit/>
          <w:trHeight w:val="477"/>
        </w:trPr>
        <w:tc>
          <w:tcPr>
            <w:tcW w:w="155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AC1A60" w14:textId="77777777" w:rsidR="00B00CBD" w:rsidRPr="00B00CBD" w:rsidRDefault="00B00CBD" w:rsidP="00B00CBD">
            <w:pPr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36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7CADF7" w14:textId="77777777" w:rsidR="00B00CBD" w:rsidRPr="00B00CBD" w:rsidRDefault="00B00CBD" w:rsidP="00B00CBD">
            <w:pPr>
              <w:rPr>
                <w:b/>
                <w:szCs w:val="22"/>
                <w:lang w:val="en-US" w:eastAsia="en-US"/>
              </w:rPr>
            </w:pPr>
          </w:p>
        </w:tc>
        <w:tc>
          <w:tcPr>
            <w:tcW w:w="4495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62AB573" w14:textId="77777777" w:rsidR="00B00CBD" w:rsidRPr="00B00CBD" w:rsidRDefault="00B00CBD" w:rsidP="00B00CBD">
            <w:pPr>
              <w:widowControl w:val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5 </w:t>
            </w:r>
            <w:r>
              <w:t>mg/ml</w:t>
            </w:r>
          </w:p>
          <w:p w14:paraId="7F7FB2A6" w14:textId="77777777" w:rsidR="00B00CBD" w:rsidRPr="00B00CBD" w:rsidRDefault="00B00CBD" w:rsidP="00B00CBD">
            <w:pPr>
              <w:widowControl w:val="0"/>
              <w:jc w:val="center"/>
              <w:rPr>
                <w:szCs w:val="22"/>
                <w:lang w:val="en-US" w:eastAsia="en-US"/>
              </w:rPr>
            </w:pPr>
          </w:p>
          <w:p w14:paraId="60F57B25" w14:textId="77777777" w:rsidR="00B00CBD" w:rsidRPr="00B00CBD" w:rsidRDefault="00B00CBD" w:rsidP="00B00CBD">
            <w:pPr>
              <w:widowControl w:val="0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482298F" w14:textId="77777777" w:rsidR="00B00CBD" w:rsidRPr="00B00CBD" w:rsidRDefault="00B00CBD" w:rsidP="00B00CBD">
            <w:pPr>
              <w:widowControl w:val="0"/>
              <w:jc w:val="center"/>
              <w:rPr>
                <w:b/>
                <w:szCs w:val="22"/>
                <w:lang w:val="en-US" w:eastAsia="en-US"/>
              </w:rPr>
            </w:pPr>
          </w:p>
        </w:tc>
      </w:tr>
    </w:tbl>
    <w:p w14:paraId="4FF65C6C" w14:textId="77777777" w:rsidR="00774645" w:rsidRPr="005D5674" w:rsidRDefault="00774645" w:rsidP="00020748">
      <w:pPr>
        <w:shd w:val="clear" w:color="auto" w:fill="FFFFFF" w:themeFill="background1"/>
      </w:pPr>
    </w:p>
    <w:p w14:paraId="1672FB09" w14:textId="33C89A9D" w:rsidR="00CE17F7" w:rsidRPr="00CE17F7" w:rsidRDefault="00CE17F7" w:rsidP="00020748">
      <w:pPr>
        <w:shd w:val="clear" w:color="auto" w:fill="FFFFFF" w:themeFill="background1"/>
        <w:rPr>
          <w:szCs w:val="22"/>
        </w:rPr>
      </w:pPr>
      <w:bookmarkStart w:id="46" w:name="_Toc399649943"/>
      <w:bookmarkStart w:id="47" w:name="_Toc399654875"/>
      <w:bookmarkStart w:id="48" w:name="_Toc399655181"/>
      <w:bookmarkStart w:id="49" w:name="_Toc399729046"/>
      <w:bookmarkStart w:id="50" w:name="_Toc401626168"/>
      <w:bookmarkStart w:id="51" w:name="_Toc401626206"/>
      <w:bookmarkStart w:id="52" w:name="_Toc401626241"/>
      <w:bookmarkStart w:id="53" w:name="_Toc402239804"/>
      <w:bookmarkStart w:id="54" w:name="_Toc417272471"/>
      <w:r>
        <w:rPr>
          <w:szCs w:val="22"/>
          <w:shd w:val="clear" w:color="auto" w:fill="FFFFFF" w:themeFill="background1"/>
        </w:rPr>
        <w:t xml:space="preserve">Az 1. táblázatban a 5 mg/ml-es </w:t>
      </w:r>
      <w:proofErr w:type="spellStart"/>
      <w:r>
        <w:rPr>
          <w:szCs w:val="22"/>
          <w:shd w:val="clear" w:color="auto" w:fill="FFFFFF" w:themeFill="background1"/>
        </w:rPr>
        <w:t>Tresuvi</w:t>
      </w:r>
      <w:proofErr w:type="spellEnd"/>
      <w:r>
        <w:rPr>
          <w:szCs w:val="22"/>
          <w:shd w:val="clear" w:color="auto" w:fill="FFFFFF" w:themeFill="background1"/>
        </w:rPr>
        <w:t xml:space="preserve"> készítményre vonatkozó </w:t>
      </w:r>
      <w:proofErr w:type="spellStart"/>
      <w:r>
        <w:rPr>
          <w:b/>
          <w:szCs w:val="22"/>
          <w:shd w:val="clear" w:color="auto" w:fill="FFFFFF" w:themeFill="background1"/>
        </w:rPr>
        <w:t>subcutan</w:t>
      </w:r>
      <w:proofErr w:type="spellEnd"/>
      <w:r>
        <w:rPr>
          <w:szCs w:val="22"/>
          <w:shd w:val="clear" w:color="auto" w:fill="FFFFFF" w:themeFill="background1"/>
        </w:rPr>
        <w:t xml:space="preserve"> infúziós sebességek láthatók, különböző testtömegű betegek esetében, ahol a </w:t>
      </w:r>
      <w:proofErr w:type="spellStart"/>
      <w:r>
        <w:rPr>
          <w:szCs w:val="22"/>
          <w:shd w:val="clear" w:color="auto" w:fill="FFFFFF" w:themeFill="background1"/>
        </w:rPr>
        <w:t>testtömegegységenkénti</w:t>
      </w:r>
      <w:proofErr w:type="spellEnd"/>
      <w:r>
        <w:rPr>
          <w:szCs w:val="22"/>
          <w:shd w:val="clear" w:color="auto" w:fill="FFFFFF" w:themeFill="background1"/>
        </w:rPr>
        <w:t xml:space="preserve"> adag maximálisan </w:t>
      </w:r>
      <w:r w:rsidR="005D5674">
        <w:rPr>
          <w:szCs w:val="22"/>
          <w:shd w:val="clear" w:color="auto" w:fill="FFFFFF" w:themeFill="background1"/>
        </w:rPr>
        <w:t>80</w:t>
      </w:r>
      <w:r>
        <w:rPr>
          <w:szCs w:val="22"/>
          <w:shd w:val="clear" w:color="auto" w:fill="FFFFFF" w:themeFill="background1"/>
        </w:rPr>
        <w:t> </w:t>
      </w:r>
      <w:proofErr w:type="spellStart"/>
      <w:r>
        <w:rPr>
          <w:szCs w:val="22"/>
          <w:shd w:val="clear" w:color="auto" w:fill="FFFFFF" w:themeFill="background1"/>
        </w:rPr>
        <w:t>ng</w:t>
      </w:r>
      <w:proofErr w:type="spellEnd"/>
      <w:r>
        <w:rPr>
          <w:szCs w:val="22"/>
          <w:shd w:val="clear" w:color="auto" w:fill="FFFFFF" w:themeFill="background1"/>
        </w:rPr>
        <w:t>/</w:t>
      </w:r>
      <w:proofErr w:type="spellStart"/>
      <w:r>
        <w:rPr>
          <w:szCs w:val="22"/>
          <w:shd w:val="clear" w:color="auto" w:fill="FFFFFF" w:themeFill="background1"/>
        </w:rPr>
        <w:t>ttkg</w:t>
      </w:r>
      <w:proofErr w:type="spellEnd"/>
      <w:r>
        <w:rPr>
          <w:szCs w:val="22"/>
          <w:shd w:val="clear" w:color="auto" w:fill="FFFFFF" w:themeFill="background1"/>
        </w:rPr>
        <w:t>/perc lehet.</w:t>
      </w:r>
    </w:p>
    <w:p w14:paraId="4D3784D8" w14:textId="77777777" w:rsidR="00CE17F7" w:rsidRPr="005D5674" w:rsidRDefault="00CE17F7" w:rsidP="00020748">
      <w:pPr>
        <w:rPr>
          <w:b/>
          <w:u w:val="single"/>
        </w:rPr>
      </w:pPr>
    </w:p>
    <w:p w14:paraId="65F02AE2" w14:textId="1B3ECA8A" w:rsidR="00A273E9" w:rsidRDefault="00A273E9" w:rsidP="00020748">
      <w:pPr>
        <w:shd w:val="clear" w:color="auto" w:fill="FFFFFF" w:themeFill="background1"/>
        <w:rPr>
          <w:b/>
          <w:sz w:val="24"/>
          <w:szCs w:val="24"/>
        </w:rPr>
      </w:pPr>
      <w:r w:rsidRPr="005D5674">
        <w:rPr>
          <w:b/>
          <w:sz w:val="24"/>
          <w:shd w:val="clear" w:color="auto" w:fill="FFFFFF" w:themeFill="background1"/>
        </w:rPr>
        <w:t>1. táblázat:</w:t>
      </w:r>
    </w:p>
    <w:p w14:paraId="57D50819" w14:textId="0A4C6CCC" w:rsidR="00400D3C" w:rsidRDefault="00400D3C" w:rsidP="005D5674">
      <w:pPr>
        <w:jc w:val="both"/>
        <w:rPr>
          <w:b/>
          <w:u w:val="single"/>
        </w:rPr>
      </w:pPr>
    </w:p>
    <w:tbl>
      <w:tblPr>
        <w:tblW w:w="9570" w:type="dxa"/>
        <w:tblInd w:w="-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9"/>
        <w:gridCol w:w="541"/>
        <w:gridCol w:w="76"/>
        <w:gridCol w:w="465"/>
        <w:gridCol w:w="152"/>
        <w:gridCol w:w="388"/>
        <w:gridCol w:w="229"/>
        <w:gridCol w:w="311"/>
        <w:gridCol w:w="306"/>
        <w:gridCol w:w="234"/>
        <w:gridCol w:w="383"/>
        <w:gridCol w:w="157"/>
        <w:gridCol w:w="460"/>
        <w:gridCol w:w="80"/>
        <w:gridCol w:w="540"/>
        <w:gridCol w:w="540"/>
        <w:gridCol w:w="77"/>
        <w:gridCol w:w="463"/>
        <w:gridCol w:w="154"/>
        <w:gridCol w:w="386"/>
        <w:gridCol w:w="231"/>
        <w:gridCol w:w="309"/>
        <w:gridCol w:w="308"/>
        <w:gridCol w:w="232"/>
        <w:gridCol w:w="385"/>
        <w:gridCol w:w="155"/>
        <w:gridCol w:w="462"/>
        <w:gridCol w:w="78"/>
        <w:gridCol w:w="549"/>
      </w:tblGrid>
      <w:tr w:rsidR="005D5674" w:rsidRPr="005D5674" w14:paraId="34DB1920" w14:textId="77777777" w:rsidTr="005D5674">
        <w:trPr>
          <w:trHeight w:val="20"/>
        </w:trPr>
        <w:tc>
          <w:tcPr>
            <w:tcW w:w="9554" w:type="dxa"/>
            <w:gridSpan w:val="29"/>
            <w:vAlign w:val="bottom"/>
            <w:hideMark/>
          </w:tcPr>
          <w:p w14:paraId="22ABD36F" w14:textId="3F819A77" w:rsidR="005D5674" w:rsidRPr="005D5674" w:rsidRDefault="005D5674" w:rsidP="005D5674">
            <w:pPr>
              <w:shd w:val="clear" w:color="auto" w:fill="FFFFFF" w:themeFill="background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 </w:t>
            </w:r>
            <w:proofErr w:type="spellStart"/>
            <w:r>
              <w:rPr>
                <w:b/>
                <w:szCs w:val="24"/>
              </w:rPr>
              <w:t>subcutan</w:t>
            </w:r>
            <w:proofErr w:type="spellEnd"/>
            <w:r>
              <w:rPr>
                <w:b/>
                <w:szCs w:val="24"/>
              </w:rPr>
              <w:t xml:space="preserve"> pumpa infúziós sebessége (ml/óra) </w:t>
            </w:r>
            <w:proofErr w:type="spellStart"/>
            <w:r>
              <w:rPr>
                <w:b/>
                <w:szCs w:val="24"/>
              </w:rPr>
              <w:t>Tresuvi</w:t>
            </w:r>
            <w:proofErr w:type="spellEnd"/>
            <w:r>
              <w:rPr>
                <w:b/>
                <w:szCs w:val="24"/>
              </w:rPr>
              <w:t xml:space="preserve"> beadása esetén</w:t>
            </w:r>
            <w:r>
              <w:rPr>
                <w:b/>
                <w:szCs w:val="24"/>
              </w:rPr>
              <w:br/>
              <w:t xml:space="preserve">5 mg/ml-es </w:t>
            </w:r>
            <w:proofErr w:type="spellStart"/>
            <w:r>
              <w:rPr>
                <w:b/>
                <w:szCs w:val="24"/>
              </w:rPr>
              <w:t>treprosztinil</w:t>
            </w:r>
            <w:proofErr w:type="spellEnd"/>
            <w:r>
              <w:rPr>
                <w:b/>
                <w:szCs w:val="24"/>
              </w:rPr>
              <w:noBreakHyphen/>
              <w:t>koncentrációnál</w:t>
            </w:r>
          </w:p>
        </w:tc>
      </w:tr>
      <w:tr w:rsidR="005D5674" w:rsidRPr="005D5674" w14:paraId="7453BD80" w14:textId="77777777" w:rsidTr="005D5674">
        <w:trPr>
          <w:trHeight w:val="80"/>
        </w:trPr>
        <w:tc>
          <w:tcPr>
            <w:tcW w:w="9554" w:type="dxa"/>
            <w:gridSpan w:val="29"/>
            <w:vAlign w:val="bottom"/>
          </w:tcPr>
          <w:p w14:paraId="545FA542" w14:textId="77777777" w:rsidR="005D5674" w:rsidRDefault="005D5674">
            <w:pPr>
              <w:jc w:val="both"/>
              <w:rPr>
                <w:rFonts w:eastAsia="Arial Unicode MS"/>
                <w:szCs w:val="24"/>
                <w:lang w:eastAsia="fr-FR"/>
              </w:rPr>
            </w:pPr>
          </w:p>
        </w:tc>
      </w:tr>
      <w:tr w:rsidR="005D5674" w14:paraId="64712EB0" w14:textId="77777777" w:rsidTr="005D5674">
        <w:trPr>
          <w:trHeight w:val="20"/>
        </w:trPr>
        <w:tc>
          <w:tcPr>
            <w:tcW w:w="9554" w:type="dxa"/>
            <w:gridSpan w:val="29"/>
            <w:vAlign w:val="bottom"/>
            <w:hideMark/>
          </w:tcPr>
          <w:p w14:paraId="595429C3" w14:textId="77777777" w:rsidR="005D5674" w:rsidRDefault="005D5674" w:rsidP="005D567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Beteg testtömege (kg)</w:t>
            </w:r>
          </w:p>
          <w:p w14:paraId="4B99C040" w14:textId="2FBBF935" w:rsidR="005D5674" w:rsidRDefault="005D5674">
            <w:pPr>
              <w:jc w:val="center"/>
              <w:rPr>
                <w:rFonts w:eastAsia="Arial Unicode MS"/>
                <w:szCs w:val="24"/>
              </w:rPr>
            </w:pPr>
          </w:p>
        </w:tc>
      </w:tr>
      <w:tr w:rsidR="005D5674" w14:paraId="72694EAA" w14:textId="77777777" w:rsidTr="005D5674">
        <w:trPr>
          <w:trHeight w:val="20"/>
        </w:trPr>
        <w:tc>
          <w:tcPr>
            <w:tcW w:w="9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9152A" w14:textId="4F1C76A4" w:rsidR="005D5674" w:rsidRPr="005D5674" w:rsidRDefault="00475025" w:rsidP="00475025">
            <w:r>
              <w:rPr>
                <w:b/>
                <w:sz w:val="16"/>
                <w:szCs w:val="24"/>
              </w:rPr>
              <w:t xml:space="preserve">Dózis </w:t>
            </w:r>
            <w:proofErr w:type="spellStart"/>
            <w:r w:rsidR="005D5674">
              <w:rPr>
                <w:b/>
                <w:sz w:val="16"/>
                <w:szCs w:val="24"/>
              </w:rPr>
              <w:t>ng</w:t>
            </w:r>
            <w:proofErr w:type="spellEnd"/>
            <w:r w:rsidR="005D5674">
              <w:rPr>
                <w:b/>
                <w:sz w:val="16"/>
                <w:szCs w:val="24"/>
              </w:rPr>
              <w:t>/</w:t>
            </w:r>
            <w:proofErr w:type="spellStart"/>
            <w:r w:rsidR="005D5674">
              <w:rPr>
                <w:b/>
                <w:sz w:val="16"/>
                <w:szCs w:val="24"/>
              </w:rPr>
              <w:t>ttkg</w:t>
            </w:r>
            <w:proofErr w:type="spellEnd"/>
            <w:r w:rsidR="005D5674">
              <w:rPr>
                <w:b/>
                <w:sz w:val="16"/>
                <w:szCs w:val="24"/>
              </w:rPr>
              <w:t>/perc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E4DD66F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25</w:t>
            </w:r>
          </w:p>
        </w:tc>
        <w:tc>
          <w:tcPr>
            <w:tcW w:w="5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B28228F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30</w:t>
            </w:r>
          </w:p>
        </w:tc>
        <w:tc>
          <w:tcPr>
            <w:tcW w:w="5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DC2B7AB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35</w:t>
            </w:r>
          </w:p>
        </w:tc>
        <w:tc>
          <w:tcPr>
            <w:tcW w:w="5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20CEE4B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40</w:t>
            </w:r>
          </w:p>
        </w:tc>
        <w:tc>
          <w:tcPr>
            <w:tcW w:w="5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51E7E8C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45</w:t>
            </w:r>
          </w:p>
        </w:tc>
        <w:tc>
          <w:tcPr>
            <w:tcW w:w="5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DE9AFC0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50</w:t>
            </w:r>
          </w:p>
        </w:tc>
        <w:tc>
          <w:tcPr>
            <w:tcW w:w="5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908525B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55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F4C65B1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60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0E62213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65</w:t>
            </w:r>
          </w:p>
        </w:tc>
        <w:tc>
          <w:tcPr>
            <w:tcW w:w="5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7B6069A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70</w:t>
            </w:r>
          </w:p>
        </w:tc>
        <w:tc>
          <w:tcPr>
            <w:tcW w:w="5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D27F14C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75</w:t>
            </w:r>
          </w:p>
        </w:tc>
        <w:tc>
          <w:tcPr>
            <w:tcW w:w="5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060E905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80</w:t>
            </w:r>
          </w:p>
        </w:tc>
        <w:tc>
          <w:tcPr>
            <w:tcW w:w="5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0D83AC3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85</w:t>
            </w:r>
          </w:p>
        </w:tc>
        <w:tc>
          <w:tcPr>
            <w:tcW w:w="5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2530B6D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90</w:t>
            </w:r>
          </w:p>
        </w:tc>
        <w:tc>
          <w:tcPr>
            <w:tcW w:w="5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6EA4477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95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4516A56" w14:textId="77777777" w:rsidR="005D5674" w:rsidRDefault="005D5674">
            <w:pPr>
              <w:jc w:val="both"/>
              <w:rPr>
                <w:rFonts w:eastAsia="Arial Unicode MS"/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100</w:t>
            </w:r>
          </w:p>
        </w:tc>
      </w:tr>
      <w:tr w:rsidR="005D5674" w14:paraId="6B2B8E90" w14:textId="77777777" w:rsidTr="005D5674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4CFBBF7A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10</w:t>
            </w:r>
          </w:p>
        </w:tc>
        <w:tc>
          <w:tcPr>
            <w:tcW w:w="61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0ED7E9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21D52F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A03F8D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56E0B4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9B44F7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559F89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7A2FA6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26CD55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4419D4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43CC1B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9E006B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26E324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88CD16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0,011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0D4A019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0,012</w:t>
            </w:r>
          </w:p>
        </w:tc>
      </w:tr>
      <w:tr w:rsidR="005D5674" w14:paraId="6ABE3739" w14:textId="77777777" w:rsidTr="005D5674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1091790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12,5</w:t>
            </w:r>
          </w:p>
        </w:tc>
        <w:tc>
          <w:tcPr>
            <w:tcW w:w="61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54D99C7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B557BE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97FCC1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6C6B4B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01019E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4BDFCE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79BB87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C001D1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B6A061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D78029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008F03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1F53EC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8766AB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0,014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1E8602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0,015</w:t>
            </w:r>
          </w:p>
        </w:tc>
      </w:tr>
      <w:tr w:rsidR="005D5674" w14:paraId="0500C008" w14:textId="77777777" w:rsidTr="005D5674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E596B3D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15</w:t>
            </w:r>
          </w:p>
        </w:tc>
        <w:tc>
          <w:tcPr>
            <w:tcW w:w="61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773BB5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DE774B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37658F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E3FE18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3BCFF0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490350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B4E97E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12603E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A71B63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7679C5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CE693D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4C1B8A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6D6B97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0,017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3694C97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0,018</w:t>
            </w:r>
          </w:p>
        </w:tc>
      </w:tr>
      <w:tr w:rsidR="005D5674" w14:paraId="001ADBF3" w14:textId="77777777" w:rsidTr="005D5674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8D3AD6E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17,5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3BB1031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0D16B8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D177E9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95FA76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5A586F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A36765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666903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7B7790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4ABD73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F6C3D9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684615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F970E0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10166E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0,020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7DD56F4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0,021</w:t>
            </w:r>
          </w:p>
        </w:tc>
      </w:tr>
      <w:tr w:rsidR="005D5674" w14:paraId="1C64C943" w14:textId="77777777" w:rsidTr="005D5674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174B526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20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15562B4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5C80F8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709614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DE4A39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7650C2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A8F4F3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6DFBDA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07BE8D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C9F6D6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B34A2D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D58FD0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9F0FD3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D2E2B5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0,023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7F41DA6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0,024</w:t>
            </w:r>
          </w:p>
        </w:tc>
      </w:tr>
      <w:tr w:rsidR="005D5674" w14:paraId="41B7E7F2" w14:textId="77777777" w:rsidTr="005D5674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6189BE05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22,5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7C4BA5D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0,009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D2756F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94044C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19B7AA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4BD5C3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F888ED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4DD940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385491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B51715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E76C23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D06AD0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4298E1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93D9F7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0,026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7C1B632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0,027</w:t>
            </w:r>
          </w:p>
        </w:tc>
      </w:tr>
      <w:tr w:rsidR="005D5674" w14:paraId="51E7221B" w14:textId="77777777" w:rsidTr="005D5674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474A16D7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25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005B0D7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020ACD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094157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C09530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CC2D54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97C3B2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DF598B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1F066A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E9E8A6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3306FA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439441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3F63D6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89EC62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0,029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0E258EE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0,030</w:t>
            </w:r>
          </w:p>
        </w:tc>
      </w:tr>
      <w:tr w:rsidR="005D5674" w14:paraId="5BDC4F8B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B1453E1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27,5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45E2B20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4D5C2B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79AC09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6DB34D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2875A6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DA4C92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5C6014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82B396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D4560D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9A0AB5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3DADC7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E4968C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144503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0,031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605E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0,033</w:t>
            </w:r>
          </w:p>
        </w:tc>
      </w:tr>
      <w:tr w:rsidR="005D5674" w14:paraId="02D045DD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DE47A4A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30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313426D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8C334F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3D4A5C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FE985C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CBE417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9E25D2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C1C82B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CCFE01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DD4362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12F778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509305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5C903938" w14:textId="77777777" w:rsidR="005D5674" w:rsidRPr="000764A1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0,032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23EFFB5A" w14:textId="77777777" w:rsidR="005D5674" w:rsidRPr="000764A1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0,034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88A75A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0,036</w:t>
            </w:r>
          </w:p>
        </w:tc>
      </w:tr>
      <w:tr w:rsidR="005D5674" w14:paraId="0EF876E5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B14D9A0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32,5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39ED744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5932F4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A8AE4F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D7E5D2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3C7717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55897B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2C1AEF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B60E40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F19059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DF9116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171E880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955FB1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28E8D2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0,037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71CADFC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0,039</w:t>
            </w:r>
          </w:p>
        </w:tc>
      </w:tr>
      <w:tr w:rsidR="005D5674" w14:paraId="47FD2012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6CF5E450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35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3044C8F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9DDDDB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F90256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7F7AB6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378214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2A09E5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6E766B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65D598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6401CA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0,032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24973A1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89D140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D16DBF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10150C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0,040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7A847EB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0,042</w:t>
            </w:r>
          </w:p>
        </w:tc>
      </w:tr>
      <w:tr w:rsidR="005D5674" w14:paraId="6367F10D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4C42F60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37,5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055A51B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4FE8DA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48D699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01937A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278BB1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CAD33E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BACC54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E19846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0,032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73F9E33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48EE03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83B939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099CEE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7A2BBC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0,043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190B592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0,045</w:t>
            </w:r>
          </w:p>
        </w:tc>
      </w:tr>
      <w:tr w:rsidR="005D5674" w14:paraId="2E2178C1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5976F4B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40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3D95557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4FD233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E3D563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221564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3F76A2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5B1741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3BFD9E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7217E95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A6031D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7658AA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D86132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B9A506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A0C76D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0,046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6B36BDE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0,048</w:t>
            </w:r>
          </w:p>
        </w:tc>
      </w:tr>
      <w:tr w:rsidR="005D5674" w14:paraId="2BA30544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5225290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42,5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20C63EF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06A961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40C128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E304ED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E4C661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3F65D9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6D71821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3699499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1A9ACA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55076D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AEC654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9F65E1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B835CA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0,048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98698D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0,051</w:t>
            </w:r>
          </w:p>
        </w:tc>
      </w:tr>
      <w:tr w:rsidR="005D5674" w14:paraId="0EEF057D" w14:textId="77777777" w:rsidTr="005D5674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80DD746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45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36085C8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0,019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9D2F83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D8A41C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C09843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42242E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16D09E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F21E46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243CBB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DEBCB5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9E536A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96E814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F626E1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E2728E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0,051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7F58DBA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0,054</w:t>
            </w:r>
          </w:p>
        </w:tc>
      </w:tr>
      <w:tr w:rsidR="005D5674" w14:paraId="0EDE129D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2B236E6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47,5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09F0C8A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54EAA3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5E551B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97BF41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3506C8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0F5F494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58B46B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B25BCF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1CF36A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571A11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33D5D5F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433EEF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762367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0,054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0DD065C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0,057</w:t>
            </w:r>
          </w:p>
        </w:tc>
      </w:tr>
      <w:tr w:rsidR="005D5674" w14:paraId="2139D9B7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787CB9CB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50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63F099C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047687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E7E7D0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58F8EC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6F6506F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1C80A3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23BCDF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B58961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0825CF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434AE6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413238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D4776F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9AAE7A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0,057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0C868F7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0,060</w:t>
            </w:r>
          </w:p>
        </w:tc>
      </w:tr>
      <w:tr w:rsidR="005D5674" w14:paraId="083A30C7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4361F807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55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2075076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4A8B7C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79E44B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2DBE5BD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AD65EF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D06CA8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893928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06817F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46BFB9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D9F33F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F9A0E8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42B616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F446D8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0,063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5F2ACE5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0,066</w:t>
            </w:r>
          </w:p>
        </w:tc>
      </w:tr>
      <w:tr w:rsidR="005D5674" w14:paraId="536028E9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B6E07FA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60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0734D8D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16E78F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0,029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562411B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0C8A63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C9CAAA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14B7E0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82E45E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23BAE3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696656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2BC942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78BAEE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4C2740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2E9A6F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0,068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38B6AEE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0,072</w:t>
            </w:r>
          </w:p>
        </w:tc>
      </w:tr>
      <w:tr w:rsidR="005D5674" w14:paraId="2DF1C1A4" w14:textId="77777777" w:rsidTr="005D5674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B0E4272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65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5D17D40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62EB8E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9779ED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D15E8A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C8A8E2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A7C5F6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0641E0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BE19E7B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989B2A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297356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DE801D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89A632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0,070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5DA99C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0,074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E4AFDA7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0,078</w:t>
            </w:r>
          </w:p>
        </w:tc>
      </w:tr>
      <w:tr w:rsidR="005D5674" w14:paraId="1FAC59F3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E9E7F7B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70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118D4F6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0,029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  <w:hideMark/>
          </w:tcPr>
          <w:p w14:paraId="752CD5D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414CA1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C99895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936457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213B9E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9D08ED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103B9F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7025B5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0765F2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82C8F5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0,071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083DD5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0,076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DCF193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0,080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6D06245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0,084</w:t>
            </w:r>
          </w:p>
        </w:tc>
      </w:tr>
      <w:tr w:rsidR="005D5674" w14:paraId="0D37B9A3" w14:textId="77777777" w:rsidTr="005D5674"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2037201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75</w:t>
            </w:r>
          </w:p>
        </w:tc>
        <w:tc>
          <w:tcPr>
            <w:tcW w:w="615" w:type="dxa"/>
            <w:gridSpan w:val="2"/>
            <w:vAlign w:val="bottom"/>
            <w:hideMark/>
          </w:tcPr>
          <w:p w14:paraId="4939691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3A810081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0,036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1FD1F5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6A83B9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0,045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F02509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0,050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76DBA28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0,054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62F7DD4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0,059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59F1CA55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0,063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BEC064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0,068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18B9C51C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0,072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29CB8B8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0,077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00B58BE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0,081</w:t>
            </w:r>
          </w:p>
        </w:tc>
        <w:tc>
          <w:tcPr>
            <w:tcW w:w="617" w:type="dxa"/>
            <w:gridSpan w:val="2"/>
            <w:vAlign w:val="bottom"/>
            <w:hideMark/>
          </w:tcPr>
          <w:p w14:paraId="4FC4AAB4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0,086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6D5A56A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0,090</w:t>
            </w:r>
          </w:p>
        </w:tc>
      </w:tr>
      <w:tr w:rsidR="005D5674" w14:paraId="74E4674A" w14:textId="77777777" w:rsidTr="000764A1">
        <w:tc>
          <w:tcPr>
            <w:tcW w:w="9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96BCC" w14:textId="77777777" w:rsidR="005D5674" w:rsidRDefault="005D5674">
            <w:pPr>
              <w:jc w:val="center"/>
              <w:rPr>
                <w:b/>
                <w:sz w:val="16"/>
                <w:szCs w:val="24"/>
                <w:lang w:val="fi-FI" w:eastAsia="fr-FR"/>
              </w:rPr>
            </w:pPr>
            <w:r>
              <w:rPr>
                <w:b/>
                <w:sz w:val="16"/>
                <w:szCs w:val="24"/>
                <w:lang w:val="fi-FI" w:eastAsia="fr-FR"/>
              </w:rPr>
              <w:t>80</w:t>
            </w: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90932D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0764A1">
              <w:rPr>
                <w:sz w:val="16"/>
                <w:szCs w:val="24"/>
                <w:lang w:val="fi-FI" w:eastAsia="fr-FR"/>
              </w:rPr>
              <w:t>0,034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0EF8798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0,038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0319BE0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A35A90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0,048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7A35F4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18AA41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0,058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EC6183D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09CCF1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0,067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AC1E459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0,072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B62045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0,077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A4C9D66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0,082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83F2333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0,086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93650DE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0,091</w:t>
            </w:r>
          </w:p>
        </w:tc>
        <w:tc>
          <w:tcPr>
            <w:tcW w:w="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91982" w14:textId="77777777" w:rsidR="005D5674" w:rsidRPr="007B14DE" w:rsidRDefault="005D5674">
            <w:pPr>
              <w:jc w:val="center"/>
              <w:rPr>
                <w:sz w:val="16"/>
                <w:szCs w:val="24"/>
                <w:lang w:val="fi-FI" w:eastAsia="fr-FR"/>
              </w:rPr>
            </w:pPr>
            <w:r w:rsidRPr="007B14DE">
              <w:rPr>
                <w:sz w:val="16"/>
                <w:szCs w:val="24"/>
                <w:lang w:val="fi-FI" w:eastAsia="fr-FR"/>
              </w:rPr>
              <w:t>0,096</w:t>
            </w:r>
          </w:p>
        </w:tc>
      </w:tr>
    </w:tbl>
    <w:p w14:paraId="30F688EE" w14:textId="77777777" w:rsidR="005D5674" w:rsidRPr="005D5674" w:rsidRDefault="005D5674" w:rsidP="005D5674">
      <w:pPr>
        <w:jc w:val="both"/>
        <w:rPr>
          <w:b/>
          <w:u w:val="single"/>
        </w:rPr>
      </w:pPr>
    </w:p>
    <w:p w14:paraId="037EC804" w14:textId="77777777" w:rsidR="006D1740" w:rsidRPr="005D5674" w:rsidRDefault="006D1740" w:rsidP="00020748">
      <w:pPr>
        <w:rPr>
          <w:b/>
          <w:u w:val="single"/>
        </w:rPr>
      </w:pPr>
    </w:p>
    <w:p w14:paraId="1608E950" w14:textId="1D1E88C0" w:rsidR="00B00CBD" w:rsidRPr="001D38B4" w:rsidRDefault="006215F9" w:rsidP="00020748">
      <w:pPr>
        <w:rPr>
          <w:szCs w:val="22"/>
          <w:u w:val="single"/>
        </w:rPr>
      </w:pPr>
      <w:r w:rsidRPr="00404671">
        <w:rPr>
          <w:b/>
          <w:bCs/>
          <w:szCs w:val="22"/>
          <w:u w:val="single"/>
        </w:rPr>
        <w:t>Alkalmazás folyamatos intravénás infúzióban</w:t>
      </w:r>
      <w:r w:rsidR="000F26B4">
        <w:rPr>
          <w:szCs w:val="22"/>
          <w:u w:val="single"/>
        </w:rPr>
        <w:t xml:space="preserve"> </w:t>
      </w:r>
      <w:bookmarkStart w:id="55" w:name="_Hlk93327760"/>
      <w:r w:rsidR="00495382">
        <w:rPr>
          <w:szCs w:val="22"/>
          <w:u w:val="single"/>
        </w:rPr>
        <w:t xml:space="preserve">külső </w:t>
      </w:r>
      <w:r w:rsidR="000F26B4" w:rsidRPr="00C02D33">
        <w:rPr>
          <w:b/>
          <w:bCs/>
          <w:szCs w:val="22"/>
        </w:rPr>
        <w:t>hordozható infúziós pumpa segítségével</w:t>
      </w:r>
      <w:bookmarkEnd w:id="55"/>
    </w:p>
    <w:p w14:paraId="6EEB5F80" w14:textId="77777777" w:rsidR="00B00CBD" w:rsidRPr="00B00CBD" w:rsidRDefault="00B00CBD" w:rsidP="00020748">
      <w:pPr>
        <w:rPr>
          <w:b/>
          <w:szCs w:val="22"/>
          <w:u w:val="single"/>
          <w:lang w:eastAsia="en-US"/>
        </w:rPr>
      </w:pPr>
    </w:p>
    <w:p w14:paraId="56BBAF9A" w14:textId="3A1028ED" w:rsidR="00B00CBD" w:rsidRPr="00B00CBD" w:rsidRDefault="00D56E66" w:rsidP="00020748">
      <w:pPr>
        <w:autoSpaceDE w:val="0"/>
        <w:autoSpaceDN w:val="0"/>
        <w:adjustRightInd w:val="0"/>
        <w:rPr>
          <w:szCs w:val="22"/>
        </w:rPr>
      </w:pPr>
      <w:r>
        <w:t xml:space="preserve">A </w:t>
      </w:r>
      <w:proofErr w:type="spellStart"/>
      <w:r>
        <w:t>Tresuvi</w:t>
      </w:r>
      <w:proofErr w:type="spellEnd"/>
      <w:r>
        <w:noBreakHyphen/>
        <w:t xml:space="preserve">t folyamatos intravénás infúzióban centrális vénás katéteren át, </w:t>
      </w:r>
      <w:r w:rsidR="00C0364D">
        <w:t xml:space="preserve">külső </w:t>
      </w:r>
      <w:r>
        <w:t xml:space="preserve">hordozható infúziós pumpával kell alkalmazni. Ideiglenesen is alkalmazható perifériás, lehetőleg nagy vénába bevezetett </w:t>
      </w:r>
      <w:proofErr w:type="spellStart"/>
      <w:r>
        <w:t>vénakanülön</w:t>
      </w:r>
      <w:proofErr w:type="spellEnd"/>
      <w:r>
        <w:t xml:space="preserve"> át. A néhány óránál hosszabb perifériás infúzió </w:t>
      </w:r>
      <w:proofErr w:type="spellStart"/>
      <w:r>
        <w:t>thrombophlebitis</w:t>
      </w:r>
      <w:proofErr w:type="spellEnd"/>
      <w:r>
        <w:t xml:space="preserve"> fokozott kockázatával járhat (lásd 4.8 pont). </w:t>
      </w:r>
    </w:p>
    <w:p w14:paraId="794C9BC1" w14:textId="77777777" w:rsidR="00B00CBD" w:rsidRPr="005D5674" w:rsidRDefault="00B00CBD" w:rsidP="00020748">
      <w:pPr>
        <w:autoSpaceDE w:val="0"/>
        <w:autoSpaceDN w:val="0"/>
        <w:adjustRightInd w:val="0"/>
        <w:rPr>
          <w:szCs w:val="22"/>
          <w:lang w:eastAsia="fr-FR"/>
        </w:rPr>
      </w:pPr>
    </w:p>
    <w:p w14:paraId="0B004223" w14:textId="789C9840" w:rsidR="00B00CBD" w:rsidRPr="00B00CBD" w:rsidRDefault="00CF51BC" w:rsidP="00020748">
      <w:pPr>
        <w:autoSpaceDE w:val="0"/>
        <w:autoSpaceDN w:val="0"/>
        <w:adjustRightInd w:val="0"/>
        <w:rPr>
          <w:szCs w:val="22"/>
        </w:rPr>
      </w:pPr>
      <w:r>
        <w:t xml:space="preserve">A gyógyszerbevitel esetleges megszakításait elkerülendő, a beteg számára tartalék infúziós pumpát és infúziós szerelékeket is biztosítani kell, arra az esetre, ha a gyógyszer alkalmazásához szükséges készülék </w:t>
      </w:r>
      <w:proofErr w:type="spellStart"/>
      <w:r>
        <w:t>meghibásodna</w:t>
      </w:r>
      <w:proofErr w:type="spellEnd"/>
      <w:r>
        <w:t>.</w:t>
      </w:r>
    </w:p>
    <w:p w14:paraId="23F5F87B" w14:textId="77777777" w:rsidR="00B00CBD" w:rsidRPr="005D5674" w:rsidRDefault="00B00CBD" w:rsidP="00020748">
      <w:pPr>
        <w:autoSpaceDE w:val="0"/>
        <w:autoSpaceDN w:val="0"/>
        <w:adjustRightInd w:val="0"/>
        <w:rPr>
          <w:szCs w:val="22"/>
          <w:lang w:eastAsia="fr-FR"/>
        </w:rPr>
      </w:pPr>
    </w:p>
    <w:p w14:paraId="2E4A5044" w14:textId="03FEEC0E" w:rsidR="00B00CBD" w:rsidRPr="00B00CBD" w:rsidRDefault="00CF51BC" w:rsidP="00020748">
      <w:pPr>
        <w:autoSpaceDE w:val="0"/>
        <w:autoSpaceDN w:val="0"/>
        <w:adjustRightInd w:val="0"/>
        <w:rPr>
          <w:szCs w:val="22"/>
        </w:rPr>
      </w:pPr>
      <w:r>
        <w:t xml:space="preserve">A hígított </w:t>
      </w:r>
      <w:proofErr w:type="spellStart"/>
      <w:r>
        <w:t>Tresuvi</w:t>
      </w:r>
      <w:proofErr w:type="spellEnd"/>
      <w:r>
        <w:t xml:space="preserve"> intravénás beadásához használt </w:t>
      </w:r>
      <w:r w:rsidR="00C0364D">
        <w:t xml:space="preserve">külső </w:t>
      </w:r>
      <w:r>
        <w:t>hordozható infúziós pumpa legyen:</w:t>
      </w:r>
    </w:p>
    <w:p w14:paraId="73F6026A" w14:textId="77777777" w:rsidR="00B00CBD" w:rsidRPr="005D5674" w:rsidRDefault="00B00CBD" w:rsidP="00020748">
      <w:pPr>
        <w:autoSpaceDE w:val="0"/>
        <w:autoSpaceDN w:val="0"/>
        <w:adjustRightInd w:val="0"/>
        <w:rPr>
          <w:szCs w:val="22"/>
          <w:lang w:eastAsia="fr-FR"/>
        </w:rPr>
      </w:pPr>
    </w:p>
    <w:p w14:paraId="3FC781D0" w14:textId="77777777" w:rsidR="00B00CBD" w:rsidRPr="00B00CBD" w:rsidRDefault="00B00CBD" w:rsidP="00020748">
      <w:pPr>
        <w:ind w:left="284" w:hanging="284"/>
        <w:rPr>
          <w:szCs w:val="22"/>
        </w:rPr>
      </w:pPr>
      <w:r>
        <w:t>1)</w:t>
      </w:r>
      <w:r>
        <w:tab/>
        <w:t xml:space="preserve">kisméretű és könnyű; </w:t>
      </w:r>
    </w:p>
    <w:p w14:paraId="63CBD237" w14:textId="77777777" w:rsidR="00B00CBD" w:rsidRPr="00B00CBD" w:rsidRDefault="00B00CBD" w:rsidP="00020748">
      <w:pPr>
        <w:rPr>
          <w:szCs w:val="22"/>
          <w:lang w:eastAsia="en-US"/>
        </w:rPr>
      </w:pPr>
    </w:p>
    <w:p w14:paraId="1D4C7707" w14:textId="59B34C29" w:rsidR="00B00CBD" w:rsidRPr="00B00CBD" w:rsidRDefault="00B00CBD" w:rsidP="00020748">
      <w:pPr>
        <w:ind w:left="284" w:hanging="284"/>
        <w:rPr>
          <w:szCs w:val="22"/>
        </w:rPr>
      </w:pPr>
      <w:r>
        <w:t>2)</w:t>
      </w:r>
      <w:r>
        <w:tab/>
        <w:t>alkalmas az infúziós sebesség beállítására, körülbelül 0,05 ml/óra fokozatokban (az áramlási sebesség jellemzően 0,4</w:t>
      </w:r>
      <w:r w:rsidR="008E722F">
        <w:noBreakHyphen/>
      </w:r>
      <w:r>
        <w:t>2 ml/óra);</w:t>
      </w:r>
    </w:p>
    <w:p w14:paraId="197F025D" w14:textId="77777777" w:rsidR="00B00CBD" w:rsidRPr="00B00CBD" w:rsidRDefault="00B00CBD" w:rsidP="00020748">
      <w:pPr>
        <w:ind w:left="284" w:hanging="284"/>
        <w:rPr>
          <w:szCs w:val="22"/>
          <w:lang w:eastAsia="en-US"/>
        </w:rPr>
      </w:pPr>
    </w:p>
    <w:p w14:paraId="388A73D1" w14:textId="17248CCA" w:rsidR="00B00CBD" w:rsidRPr="00B00CBD" w:rsidRDefault="00B00CBD" w:rsidP="00020748">
      <w:pPr>
        <w:ind w:left="284" w:hanging="284"/>
        <w:rPr>
          <w:szCs w:val="22"/>
        </w:rPr>
      </w:pPr>
      <w:r>
        <w:t>3)</w:t>
      </w:r>
      <w:r>
        <w:tab/>
        <w:t>ellátva riasztással eltömődés / nincs adagolás, alacsony akkumulátortöltöttség, programozási hiba és motorhiba esetére;</w:t>
      </w:r>
    </w:p>
    <w:p w14:paraId="3289DE16" w14:textId="77777777" w:rsidR="00B00CBD" w:rsidRPr="00B00CBD" w:rsidRDefault="00B00CBD" w:rsidP="00020748">
      <w:pPr>
        <w:ind w:left="284" w:hanging="284"/>
        <w:rPr>
          <w:szCs w:val="22"/>
          <w:lang w:eastAsia="en-US"/>
        </w:rPr>
      </w:pPr>
    </w:p>
    <w:p w14:paraId="6E19BE91" w14:textId="7039CFD6" w:rsidR="00B00CBD" w:rsidRPr="00B00CBD" w:rsidRDefault="00B00CBD" w:rsidP="00020748">
      <w:pPr>
        <w:ind w:left="284" w:hanging="284"/>
        <w:rPr>
          <w:szCs w:val="22"/>
        </w:rPr>
      </w:pPr>
      <w:r>
        <w:t>4)</w:t>
      </w:r>
      <w:r>
        <w:tab/>
        <w:t>pontos: az óránként beadandó dózist legalább ± 6%-os pontossággal juttassa be;</w:t>
      </w:r>
    </w:p>
    <w:p w14:paraId="6CB0B2F0" w14:textId="77777777" w:rsidR="00B00CBD" w:rsidRPr="00B00CBD" w:rsidRDefault="00B00CBD" w:rsidP="00020748">
      <w:pPr>
        <w:ind w:left="284" w:hanging="284"/>
        <w:rPr>
          <w:szCs w:val="22"/>
          <w:lang w:eastAsia="en-US"/>
        </w:rPr>
      </w:pPr>
    </w:p>
    <w:p w14:paraId="51CDA18A" w14:textId="424E948C" w:rsidR="00B00CBD" w:rsidRPr="00B00CBD" w:rsidRDefault="00B00CBD" w:rsidP="00020748">
      <w:pPr>
        <w:ind w:left="284" w:hanging="284"/>
        <w:rPr>
          <w:szCs w:val="22"/>
        </w:rPr>
      </w:pPr>
      <w:r>
        <w:t>5)</w:t>
      </w:r>
      <w:r>
        <w:tab/>
        <w:t xml:space="preserve">pozitív nyomás által vezérelt. A tartály anyaga </w:t>
      </w:r>
      <w:proofErr w:type="spellStart"/>
      <w:r>
        <w:t>poli</w:t>
      </w:r>
      <w:proofErr w:type="spellEnd"/>
      <w:r w:rsidR="00A24189">
        <w:t>(</w:t>
      </w:r>
      <w:proofErr w:type="spellStart"/>
      <w:r>
        <w:t>vinil</w:t>
      </w:r>
      <w:proofErr w:type="spellEnd"/>
      <w:r>
        <w:t>-klorid</w:t>
      </w:r>
      <w:r w:rsidR="00A24189">
        <w:t>)</w:t>
      </w:r>
      <w:r>
        <w:t>, polipropilén vagy üveg legyen.</w:t>
      </w:r>
    </w:p>
    <w:p w14:paraId="58BB0AD1" w14:textId="77777777" w:rsidR="00B00CBD" w:rsidRPr="005D5674" w:rsidRDefault="00B00CBD" w:rsidP="00020748">
      <w:pPr>
        <w:autoSpaceDE w:val="0"/>
        <w:autoSpaceDN w:val="0"/>
        <w:adjustRightInd w:val="0"/>
        <w:rPr>
          <w:szCs w:val="22"/>
          <w:lang w:eastAsia="fr-FR"/>
        </w:rPr>
      </w:pPr>
    </w:p>
    <w:p w14:paraId="1A9ACC0B" w14:textId="7F0DB261" w:rsidR="00B00CBD" w:rsidRPr="00B00CBD" w:rsidRDefault="00D56E66" w:rsidP="00020748">
      <w:pPr>
        <w:autoSpaceDE w:val="0"/>
        <w:autoSpaceDN w:val="0"/>
        <w:adjustRightInd w:val="0"/>
        <w:rPr>
          <w:szCs w:val="22"/>
        </w:rPr>
      </w:pPr>
      <w:r>
        <w:rPr>
          <w:b/>
          <w:bCs/>
          <w:szCs w:val="22"/>
        </w:rPr>
        <w:t xml:space="preserve">A </w:t>
      </w:r>
      <w:proofErr w:type="spellStart"/>
      <w:r>
        <w:rPr>
          <w:b/>
          <w:bCs/>
          <w:szCs w:val="22"/>
        </w:rPr>
        <w:t>Tresuvi</w:t>
      </w:r>
      <w:proofErr w:type="spellEnd"/>
      <w:r>
        <w:rPr>
          <w:b/>
          <w:bCs/>
          <w:szCs w:val="22"/>
        </w:rPr>
        <w:t>-t steril, injekcióhoz való vízzel vagy 0,9%-os (</w:t>
      </w:r>
      <w:r w:rsidR="00A525B0">
        <w:rPr>
          <w:b/>
          <w:bCs/>
          <w:szCs w:val="22"/>
        </w:rPr>
        <w:t>tömeg</w:t>
      </w:r>
      <w:r>
        <w:rPr>
          <w:b/>
          <w:bCs/>
          <w:szCs w:val="22"/>
        </w:rPr>
        <w:t>/térfogat) nátrium-klorid injekcióval kell hígítani</w:t>
      </w:r>
      <w:r>
        <w:t xml:space="preserve"> és intravénásan, folyamatos infúzióban, műtéti úton behelyezett állandó centrális vénás katéteren vagy – ideiglenesen – perifériás </w:t>
      </w:r>
      <w:proofErr w:type="spellStart"/>
      <w:r>
        <w:t>vénakanülön</w:t>
      </w:r>
      <w:proofErr w:type="spellEnd"/>
      <w:r>
        <w:t xml:space="preserve"> át kell beadni, intravénás gyógyszerbevitelre szolgáló infúziós pumpával.</w:t>
      </w:r>
    </w:p>
    <w:p w14:paraId="3F928CDA" w14:textId="77777777" w:rsidR="00B00CBD" w:rsidRPr="005D5674" w:rsidRDefault="00B00CBD" w:rsidP="00020748">
      <w:pPr>
        <w:autoSpaceDE w:val="0"/>
        <w:autoSpaceDN w:val="0"/>
        <w:adjustRightInd w:val="0"/>
        <w:rPr>
          <w:szCs w:val="22"/>
          <w:lang w:eastAsia="fr-FR"/>
        </w:rPr>
      </w:pPr>
    </w:p>
    <w:p w14:paraId="74324C47" w14:textId="1F8440CD" w:rsidR="00B00CBD" w:rsidRPr="00B00CBD" w:rsidRDefault="00B00CBD" w:rsidP="00020748">
      <w:pPr>
        <w:autoSpaceDE w:val="0"/>
        <w:autoSpaceDN w:val="0"/>
        <w:adjustRightInd w:val="0"/>
        <w:rPr>
          <w:szCs w:val="22"/>
        </w:rPr>
      </w:pPr>
      <w:r>
        <w:t xml:space="preserve">Megfelelő </w:t>
      </w:r>
      <w:r w:rsidR="00C0364D">
        <w:t>külső, h</w:t>
      </w:r>
      <w:r w:rsidR="00CB7333">
        <w:t>o</w:t>
      </w:r>
      <w:r w:rsidR="00C0364D">
        <w:t xml:space="preserve">rdozható </w:t>
      </w:r>
      <w:r>
        <w:t>infúziós pumpa és tartály használata esetén először az infúzió beadásának kívánt időtartamát lehetővé tevő, előre meghatározott infúziós sebességet kell kiválasztani.</w:t>
      </w:r>
    </w:p>
    <w:p w14:paraId="48A52BC4" w14:textId="7FD46305" w:rsidR="00B00CBD" w:rsidRPr="00B00CBD" w:rsidRDefault="00B00CBD" w:rsidP="00020748">
      <w:pPr>
        <w:autoSpaceDE w:val="0"/>
        <w:autoSpaceDN w:val="0"/>
        <w:adjustRightInd w:val="0"/>
        <w:rPr>
          <w:szCs w:val="22"/>
        </w:rPr>
      </w:pPr>
      <w:r>
        <w:t xml:space="preserve"> A hígított </w:t>
      </w:r>
      <w:proofErr w:type="spellStart"/>
      <w:r>
        <w:t>Tresuvi</w:t>
      </w:r>
      <w:proofErr w:type="spellEnd"/>
      <w:r>
        <w:t xml:space="preserve"> alkalmazásának maximális időtartama nem lehet hosszabb 24 óránál (lásd 6.3 pont).</w:t>
      </w:r>
    </w:p>
    <w:p w14:paraId="038CCE4E" w14:textId="77777777" w:rsidR="00B00CBD" w:rsidRPr="005D5674" w:rsidRDefault="00B00CBD" w:rsidP="00020748">
      <w:pPr>
        <w:autoSpaceDE w:val="0"/>
        <w:autoSpaceDN w:val="0"/>
        <w:adjustRightInd w:val="0"/>
        <w:rPr>
          <w:szCs w:val="22"/>
          <w:lang w:eastAsia="fr-FR"/>
        </w:rPr>
      </w:pPr>
    </w:p>
    <w:p w14:paraId="4BD3407B" w14:textId="619079CB" w:rsidR="00B00CBD" w:rsidRPr="00B00CBD" w:rsidRDefault="00B00CBD" w:rsidP="00020748">
      <w:pPr>
        <w:autoSpaceDE w:val="0"/>
        <w:autoSpaceDN w:val="0"/>
        <w:adjustRightInd w:val="0"/>
        <w:rPr>
          <w:szCs w:val="22"/>
        </w:rPr>
      </w:pPr>
      <w:r>
        <w:t>Az intravénás infúziós rendszerek tartályainak térfogata jellemzően 20, 50 vagy 100 ml. Az intravénás infúzió szükséges beadási sebességének (ml/óra), a beteg számára előírt dózisnak (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/perc), valamint a beteg testtömegének (kg) a meghatározása után a </w:t>
      </w:r>
      <w:proofErr w:type="spellStart"/>
      <w:r>
        <w:t>treprosztinil</w:t>
      </w:r>
      <w:proofErr w:type="spellEnd"/>
      <w:r>
        <w:t xml:space="preserve"> hígított intravénás oldatának koncentrációja (mg/ml) a következő képlettel számolható ki:</w:t>
      </w:r>
    </w:p>
    <w:p w14:paraId="59065174" w14:textId="77777777" w:rsidR="00B00CBD" w:rsidRPr="005D5674" w:rsidRDefault="00B00CBD" w:rsidP="00020748">
      <w:pPr>
        <w:autoSpaceDE w:val="0"/>
        <w:autoSpaceDN w:val="0"/>
        <w:adjustRightInd w:val="0"/>
        <w:rPr>
          <w:szCs w:val="22"/>
          <w:lang w:eastAsia="fr-FR"/>
        </w:rPr>
      </w:pPr>
    </w:p>
    <w:p w14:paraId="626FBEB6" w14:textId="77777777" w:rsidR="00B00CBD" w:rsidRPr="00B00CBD" w:rsidRDefault="00B00CBD" w:rsidP="00F96EF4">
      <w:pPr>
        <w:ind w:left="6480" w:hanging="6480"/>
        <w:rPr>
          <w:b/>
          <w:szCs w:val="22"/>
          <w:u w:val="single"/>
        </w:rPr>
      </w:pPr>
      <w:r>
        <w:rPr>
          <w:b/>
          <w:szCs w:val="22"/>
          <w:u w:val="single"/>
        </w:rPr>
        <w:t>1. lépés</w:t>
      </w:r>
    </w:p>
    <w:p w14:paraId="73F4285A" w14:textId="77777777" w:rsidR="00B00CBD" w:rsidRPr="00B00CBD" w:rsidRDefault="00B00CBD" w:rsidP="00B00CBD">
      <w:pPr>
        <w:ind w:left="6480" w:hanging="6480"/>
        <w:rPr>
          <w:b/>
          <w:szCs w:val="22"/>
          <w:lang w:val="en-US" w:eastAsia="fr-FR"/>
        </w:rPr>
      </w:pPr>
    </w:p>
    <w:tbl>
      <w:tblPr>
        <w:tblpPr w:leftFromText="141" w:rightFromText="141" w:vertAnchor="text" w:tblpXSpec="center" w:tblpY="1"/>
        <w:tblOverlap w:val="never"/>
        <w:tblW w:w="7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1"/>
        <w:gridCol w:w="450"/>
        <w:gridCol w:w="2048"/>
        <w:gridCol w:w="360"/>
        <w:gridCol w:w="1341"/>
        <w:gridCol w:w="360"/>
        <w:gridCol w:w="1200"/>
      </w:tblGrid>
      <w:tr w:rsidR="00B00CBD" w:rsidRPr="00B00CBD" w14:paraId="01F6D842" w14:textId="77777777" w:rsidTr="005D5674">
        <w:trPr>
          <w:cantSplit/>
          <w:trHeight w:val="969"/>
        </w:trPr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CF589" w14:textId="7E9D412D" w:rsidR="00B00CBD" w:rsidRPr="00B00CBD" w:rsidRDefault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 xml:space="preserve">Hígított intravénás </w:t>
            </w:r>
            <w:proofErr w:type="spellStart"/>
            <w:r>
              <w:rPr>
                <w:b/>
                <w:szCs w:val="22"/>
              </w:rPr>
              <w:t>treprosztinil</w:t>
            </w:r>
            <w:proofErr w:type="spellEnd"/>
            <w:r>
              <w:rPr>
                <w:b/>
                <w:szCs w:val="22"/>
              </w:rPr>
              <w:t xml:space="preserve">-oldat koncentrációja </w:t>
            </w:r>
            <w:r>
              <w:t>(mg/ml)</w:t>
            </w:r>
          </w:p>
        </w:tc>
        <w:tc>
          <w:tcPr>
            <w:tcW w:w="45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477E4" w14:textId="77777777" w:rsidR="00B00CBD" w:rsidRPr="00B00CBD" w:rsidRDefault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61827B2" w14:textId="77777777" w:rsidR="00B00CBD" w:rsidRPr="00B00CBD" w:rsidRDefault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dózis</w:t>
            </w:r>
            <w:r>
              <w:t xml:space="preserve"> (</w:t>
            </w:r>
            <w:proofErr w:type="spellStart"/>
            <w:r>
              <w:t>ng</w:t>
            </w:r>
            <w:proofErr w:type="spellEnd"/>
            <w:r>
              <w:t>/</w:t>
            </w:r>
            <w:proofErr w:type="spellStart"/>
            <w:r>
              <w:t>ttkg</w:t>
            </w:r>
            <w:proofErr w:type="spellEnd"/>
            <w:r>
              <w:t>/perc)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7B77E2D" w14:textId="4B8120C8" w:rsidR="00B00CBD" w:rsidRPr="00B00CBD" w:rsidRDefault="00F96EF4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5706C21" w14:textId="77777777" w:rsidR="00B00CBD" w:rsidRPr="00B00CBD" w:rsidRDefault="00B00CBD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Tömeg</w:t>
            </w:r>
            <w:r w:rsidRPr="005D5674">
              <w:t xml:space="preserve"> </w:t>
            </w:r>
            <w:r>
              <w:t>(kg)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4F0D10E" w14:textId="33D38813" w:rsidR="00B00CBD" w:rsidRPr="00B00CBD" w:rsidRDefault="00F96EF4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590E039" w14:textId="77777777" w:rsidR="00B00CBD" w:rsidRPr="00B00CBD" w:rsidRDefault="00B00CBD">
            <w:pPr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0,00006</w:t>
            </w:r>
          </w:p>
        </w:tc>
      </w:tr>
      <w:tr w:rsidR="00B00CBD" w:rsidRPr="00B00CBD" w14:paraId="4E11B335" w14:textId="77777777" w:rsidTr="005D5674">
        <w:trPr>
          <w:cantSplit/>
          <w:trHeight w:val="1019"/>
        </w:trPr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2FE84" w14:textId="77777777" w:rsidR="00B00CBD" w:rsidRPr="00B00CBD" w:rsidRDefault="00B00CBD">
            <w:pPr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4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B040B" w14:textId="77777777" w:rsidR="00B00CBD" w:rsidRPr="00B00CBD" w:rsidRDefault="00B00CBD">
            <w:pPr>
              <w:jc w:val="center"/>
              <w:rPr>
                <w:b/>
                <w:szCs w:val="22"/>
                <w:lang w:val="en-US" w:eastAsia="en-US"/>
              </w:rPr>
            </w:pPr>
          </w:p>
        </w:tc>
        <w:tc>
          <w:tcPr>
            <w:tcW w:w="530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C56EEBE" w14:textId="77777777" w:rsidR="00B00CBD" w:rsidRPr="00B00CBD" w:rsidRDefault="00B00CBD">
            <w:pPr>
              <w:widowControl w:val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Intravénás infúzió sebessége</w:t>
            </w:r>
            <w:r>
              <w:t xml:space="preserve"> (ml/óra)</w:t>
            </w:r>
          </w:p>
        </w:tc>
      </w:tr>
    </w:tbl>
    <w:p w14:paraId="1814DD56" w14:textId="77777777" w:rsidR="00B00CBD" w:rsidRPr="005D5674" w:rsidRDefault="00B00CBD" w:rsidP="00B00CBD">
      <w:pPr>
        <w:autoSpaceDE w:val="0"/>
        <w:autoSpaceDN w:val="0"/>
        <w:adjustRightInd w:val="0"/>
        <w:jc w:val="both"/>
        <w:rPr>
          <w:lang w:val="fr-FR"/>
        </w:rPr>
      </w:pPr>
    </w:p>
    <w:p w14:paraId="737BE0FD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fr-FR" w:eastAsia="fr-FR"/>
        </w:rPr>
      </w:pPr>
    </w:p>
    <w:p w14:paraId="72734550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fr-FR" w:eastAsia="fr-FR"/>
        </w:rPr>
      </w:pPr>
    </w:p>
    <w:p w14:paraId="4B37148F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fr-FR" w:eastAsia="fr-FR"/>
        </w:rPr>
      </w:pPr>
    </w:p>
    <w:p w14:paraId="1B1C8D97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317092F4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46C25DDA" w14:textId="77777777" w:rsidR="00B00CBD" w:rsidRPr="00EA7E06" w:rsidRDefault="00B00CBD" w:rsidP="00B00CBD">
      <w:pPr>
        <w:autoSpaceDE w:val="0"/>
        <w:autoSpaceDN w:val="0"/>
        <w:adjustRightInd w:val="0"/>
        <w:jc w:val="both"/>
        <w:rPr>
          <w:sz w:val="24"/>
          <w:szCs w:val="24"/>
          <w:lang w:val="en-US" w:eastAsia="fr-FR"/>
        </w:rPr>
      </w:pPr>
    </w:p>
    <w:p w14:paraId="29974B6A" w14:textId="77777777" w:rsidR="002046D2" w:rsidRDefault="002046D2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2C34E578" w14:textId="71DA52C8" w:rsidR="00B00CBD" w:rsidRPr="00B00CBD" w:rsidRDefault="00B00CBD" w:rsidP="00020748">
      <w:pPr>
        <w:autoSpaceDE w:val="0"/>
        <w:autoSpaceDN w:val="0"/>
        <w:adjustRightInd w:val="0"/>
        <w:rPr>
          <w:szCs w:val="22"/>
        </w:rPr>
      </w:pPr>
      <w:r>
        <w:t xml:space="preserve">A hígított intravénás </w:t>
      </w:r>
      <w:proofErr w:type="spellStart"/>
      <w:r>
        <w:t>treprosztinil</w:t>
      </w:r>
      <w:proofErr w:type="spellEnd"/>
      <w:r>
        <w:noBreakHyphen/>
        <w:t xml:space="preserve">oldat adott tartályméretnek megfelelő koncentrációjának előállításához szükséges </w:t>
      </w:r>
      <w:proofErr w:type="spellStart"/>
      <w:r>
        <w:t>Tresuvi</w:t>
      </w:r>
      <w:proofErr w:type="spellEnd"/>
      <w:r>
        <w:t xml:space="preserve"> mennyisége a következő képlettel számolható ki:</w:t>
      </w:r>
    </w:p>
    <w:p w14:paraId="0453FCC5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2514D2AE" w14:textId="77777777" w:rsidR="00B00CBD" w:rsidRPr="00B00CBD" w:rsidRDefault="00B00CBD" w:rsidP="00B00CBD">
      <w:pPr>
        <w:jc w:val="both"/>
        <w:rPr>
          <w:b/>
          <w:szCs w:val="22"/>
          <w:u w:val="single"/>
        </w:rPr>
      </w:pPr>
      <w:r>
        <w:rPr>
          <w:b/>
          <w:szCs w:val="22"/>
          <w:u w:val="single"/>
        </w:rPr>
        <w:t>2. lépés</w:t>
      </w:r>
    </w:p>
    <w:p w14:paraId="2AE33122" w14:textId="77777777" w:rsidR="00B00CBD" w:rsidRPr="00B00CBD" w:rsidRDefault="00B00CBD" w:rsidP="00B00CBD">
      <w:pPr>
        <w:jc w:val="both"/>
        <w:rPr>
          <w:szCs w:val="22"/>
          <w:lang w:val="fr-FR" w:eastAsia="fr-FR"/>
        </w:rPr>
      </w:pPr>
    </w:p>
    <w:tbl>
      <w:tblPr>
        <w:tblW w:w="9072" w:type="dxa"/>
        <w:jc w:val="center"/>
        <w:tblLook w:val="01E0" w:firstRow="1" w:lastRow="1" w:firstColumn="1" w:lastColumn="1" w:noHBand="0" w:noVBand="0"/>
      </w:tblPr>
      <w:tblGrid>
        <w:gridCol w:w="2085"/>
        <w:gridCol w:w="417"/>
        <w:gridCol w:w="2523"/>
        <w:gridCol w:w="397"/>
        <w:gridCol w:w="3650"/>
      </w:tblGrid>
      <w:tr w:rsidR="00B00CBD" w:rsidRPr="00B00CBD" w14:paraId="4F3D71A5" w14:textId="77777777" w:rsidTr="009B7AD9">
        <w:trPr>
          <w:cantSplit/>
          <w:trHeight w:val="1009"/>
          <w:jc w:val="center"/>
        </w:trPr>
        <w:tc>
          <w:tcPr>
            <w:tcW w:w="1924" w:type="dxa"/>
            <w:vMerge w:val="restart"/>
            <w:vAlign w:val="center"/>
          </w:tcPr>
          <w:p w14:paraId="68E0A99C" w14:textId="77777777" w:rsidR="00B00CBD" w:rsidRPr="00B00CBD" w:rsidRDefault="00B00CBD" w:rsidP="00B00CBD">
            <w:pPr>
              <w:jc w:val="center"/>
              <w:rPr>
                <w:b/>
                <w:szCs w:val="22"/>
                <w:lang w:val="en-US" w:eastAsia="fr-FR"/>
              </w:rPr>
            </w:pPr>
          </w:p>
          <w:p w14:paraId="0DD7B1B9" w14:textId="2321427E" w:rsidR="00B00CBD" w:rsidRPr="00B00CBD" w:rsidRDefault="00B00CBD" w:rsidP="00B00CBD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A </w:t>
            </w:r>
            <w:proofErr w:type="spellStart"/>
            <w:r>
              <w:rPr>
                <w:b/>
                <w:szCs w:val="22"/>
              </w:rPr>
              <w:t>Tresuvi</w:t>
            </w:r>
            <w:proofErr w:type="spellEnd"/>
            <w:r>
              <w:rPr>
                <w:b/>
                <w:szCs w:val="22"/>
              </w:rPr>
              <w:t xml:space="preserve"> mennyisége </w:t>
            </w:r>
          </w:p>
          <w:p w14:paraId="26C9B6D6" w14:textId="77777777" w:rsidR="00B00CBD" w:rsidRPr="00B00CBD" w:rsidRDefault="00B00CBD" w:rsidP="00B00CBD">
            <w:pPr>
              <w:jc w:val="center"/>
              <w:rPr>
                <w:b/>
                <w:szCs w:val="22"/>
              </w:rPr>
            </w:pPr>
            <w:r>
              <w:t>(ml)</w:t>
            </w:r>
          </w:p>
        </w:tc>
        <w:tc>
          <w:tcPr>
            <w:tcW w:w="385" w:type="dxa"/>
            <w:vMerge w:val="restart"/>
            <w:vAlign w:val="center"/>
          </w:tcPr>
          <w:p w14:paraId="2378052A" w14:textId="77777777" w:rsidR="00B00CBD" w:rsidRPr="00B00CBD" w:rsidRDefault="00B00CBD" w:rsidP="00B00CBD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4E6AD26E" w14:textId="5FA6B106" w:rsidR="00B00CBD" w:rsidRPr="00B00CBD" w:rsidRDefault="00B00CBD" w:rsidP="00B00CBD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Hígított intravénás </w:t>
            </w:r>
            <w:proofErr w:type="spellStart"/>
            <w:r>
              <w:rPr>
                <w:b/>
                <w:szCs w:val="22"/>
              </w:rPr>
              <w:t>treprosztinil</w:t>
            </w:r>
            <w:proofErr w:type="spellEnd"/>
            <w:r>
              <w:rPr>
                <w:b/>
                <w:szCs w:val="22"/>
              </w:rPr>
              <w:t>-oldat koncentrációja</w:t>
            </w:r>
            <w:r>
              <w:t xml:space="preserve"> </w:t>
            </w:r>
            <w:r>
              <w:br/>
              <w:t>(mg/ml)</w:t>
            </w:r>
          </w:p>
        </w:tc>
        <w:tc>
          <w:tcPr>
            <w:tcW w:w="366" w:type="dxa"/>
            <w:vMerge w:val="restart"/>
            <w:vAlign w:val="center"/>
          </w:tcPr>
          <w:p w14:paraId="7317AC4F" w14:textId="55181E90" w:rsidR="00B00CBD" w:rsidRPr="00B00CBD" w:rsidRDefault="00F96EF4" w:rsidP="00B00CBD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3368" w:type="dxa"/>
            <w:vMerge w:val="restart"/>
            <w:vAlign w:val="center"/>
          </w:tcPr>
          <w:p w14:paraId="6E3A578B" w14:textId="18E22273" w:rsidR="00B00CBD" w:rsidRPr="00B00CBD" w:rsidRDefault="00B00CBD" w:rsidP="00B00CBD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A tartályban lévő hígított </w:t>
            </w:r>
            <w:proofErr w:type="spellStart"/>
            <w:r>
              <w:rPr>
                <w:b/>
                <w:szCs w:val="22"/>
              </w:rPr>
              <w:t>Tresuvi</w:t>
            </w:r>
            <w:proofErr w:type="spellEnd"/>
            <w:r>
              <w:rPr>
                <w:b/>
                <w:szCs w:val="22"/>
              </w:rPr>
              <w:t xml:space="preserve"> oldat össztérfogata</w:t>
            </w:r>
            <w:r>
              <w:rPr>
                <w:b/>
                <w:szCs w:val="22"/>
              </w:rPr>
              <w:br/>
            </w:r>
            <w:r>
              <w:t>(ml)</w:t>
            </w:r>
          </w:p>
        </w:tc>
      </w:tr>
      <w:tr w:rsidR="00B00CBD" w:rsidRPr="00B00CBD" w14:paraId="06862416" w14:textId="77777777" w:rsidTr="009B7AD9">
        <w:trPr>
          <w:cantSplit/>
          <w:trHeight w:val="504"/>
          <w:jc w:val="center"/>
        </w:trPr>
        <w:tc>
          <w:tcPr>
            <w:tcW w:w="0" w:type="auto"/>
            <w:vMerge/>
            <w:vAlign w:val="center"/>
          </w:tcPr>
          <w:p w14:paraId="033DB46A" w14:textId="77777777" w:rsidR="00B00CBD" w:rsidRPr="005D5674" w:rsidRDefault="00B00CBD" w:rsidP="00B00CBD">
            <w:pPr>
              <w:rPr>
                <w:b/>
                <w:szCs w:val="22"/>
                <w:lang w:eastAsia="fr-FR"/>
              </w:rPr>
            </w:pPr>
          </w:p>
        </w:tc>
        <w:tc>
          <w:tcPr>
            <w:tcW w:w="0" w:type="auto"/>
            <w:vMerge/>
            <w:vAlign w:val="center"/>
          </w:tcPr>
          <w:p w14:paraId="713F0871" w14:textId="77777777" w:rsidR="00B00CBD" w:rsidRPr="005D5674" w:rsidRDefault="00B00CBD" w:rsidP="00B00CBD">
            <w:pPr>
              <w:rPr>
                <w:b/>
                <w:szCs w:val="22"/>
                <w:lang w:eastAsia="fr-FR"/>
              </w:rPr>
            </w:pPr>
          </w:p>
        </w:tc>
        <w:tc>
          <w:tcPr>
            <w:tcW w:w="232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A33D144" w14:textId="0EB9C6AE" w:rsidR="00B00CBD" w:rsidRPr="00B00CBD" w:rsidRDefault="00D56E66" w:rsidP="00B00CBD">
            <w:pPr>
              <w:jc w:val="center"/>
              <w:rPr>
                <w:b/>
                <w:szCs w:val="22"/>
              </w:rPr>
            </w:pPr>
            <w:proofErr w:type="spellStart"/>
            <w:r>
              <w:rPr>
                <w:b/>
                <w:szCs w:val="22"/>
              </w:rPr>
              <w:t>Tresuvi</w:t>
            </w:r>
            <w:proofErr w:type="spellEnd"/>
            <w:r>
              <w:rPr>
                <w:b/>
                <w:szCs w:val="22"/>
              </w:rPr>
              <w:t xml:space="preserve"> injekciós üvegen feltüntetett hatáserősség</w:t>
            </w:r>
            <w:r>
              <w:rPr>
                <w:b/>
                <w:szCs w:val="22"/>
              </w:rPr>
              <w:br/>
            </w:r>
            <w:r>
              <w:t>(mg/ml)</w:t>
            </w:r>
          </w:p>
        </w:tc>
        <w:tc>
          <w:tcPr>
            <w:tcW w:w="0" w:type="auto"/>
            <w:vMerge/>
            <w:vAlign w:val="center"/>
          </w:tcPr>
          <w:p w14:paraId="50EFCBA2" w14:textId="77777777" w:rsidR="00B00CBD" w:rsidRPr="005D5674" w:rsidRDefault="00B00CBD" w:rsidP="00B00CBD">
            <w:pPr>
              <w:rPr>
                <w:b/>
                <w:szCs w:val="22"/>
                <w:lang w:eastAsia="fr-FR"/>
              </w:rPr>
            </w:pPr>
          </w:p>
        </w:tc>
        <w:tc>
          <w:tcPr>
            <w:tcW w:w="0" w:type="auto"/>
            <w:vMerge/>
            <w:vAlign w:val="center"/>
          </w:tcPr>
          <w:p w14:paraId="1A63ECF5" w14:textId="77777777" w:rsidR="00B00CBD" w:rsidRPr="005D5674" w:rsidRDefault="00B00CBD" w:rsidP="00B00CBD">
            <w:pPr>
              <w:rPr>
                <w:b/>
                <w:szCs w:val="22"/>
                <w:lang w:eastAsia="fr-FR"/>
              </w:rPr>
            </w:pPr>
          </w:p>
        </w:tc>
      </w:tr>
    </w:tbl>
    <w:p w14:paraId="6323127E" w14:textId="77777777" w:rsidR="00B00CBD" w:rsidRPr="005D5674" w:rsidRDefault="00B00CBD" w:rsidP="00B00CBD">
      <w:pPr>
        <w:jc w:val="both"/>
        <w:rPr>
          <w:szCs w:val="22"/>
          <w:lang w:eastAsia="fr-FR"/>
        </w:rPr>
      </w:pPr>
    </w:p>
    <w:p w14:paraId="538955F2" w14:textId="77777777" w:rsidR="00B00CBD" w:rsidRPr="005D5674" w:rsidRDefault="00B00CBD" w:rsidP="00B00CBD">
      <w:pPr>
        <w:autoSpaceDE w:val="0"/>
        <w:autoSpaceDN w:val="0"/>
        <w:adjustRightInd w:val="0"/>
        <w:jc w:val="both"/>
        <w:rPr>
          <w:szCs w:val="22"/>
          <w:lang w:eastAsia="fr-FR"/>
        </w:rPr>
      </w:pPr>
    </w:p>
    <w:p w14:paraId="41A18BDF" w14:textId="38B7C114" w:rsidR="00B00CBD" w:rsidRPr="00B00CBD" w:rsidRDefault="00B00CBD" w:rsidP="00020748">
      <w:pPr>
        <w:autoSpaceDE w:val="0"/>
        <w:autoSpaceDN w:val="0"/>
        <w:adjustRightInd w:val="0"/>
        <w:rPr>
          <w:szCs w:val="22"/>
        </w:rPr>
      </w:pPr>
      <w:r>
        <w:t xml:space="preserve">Ezután a </w:t>
      </w:r>
      <w:proofErr w:type="spellStart"/>
      <w:r>
        <w:t>Tresuvi</w:t>
      </w:r>
      <w:proofErr w:type="spellEnd"/>
      <w:r>
        <w:t xml:space="preserve"> számított mennyiségét a tartályba töltjük, elegendő térfogatú oldószerrel (steril injekcióhoz való víz vagy 0,9%‑</w:t>
      </w:r>
      <w:proofErr w:type="spellStart"/>
      <w:r>
        <w:t>os</w:t>
      </w:r>
      <w:proofErr w:type="spellEnd"/>
      <w:r>
        <w:t xml:space="preserve"> </w:t>
      </w:r>
      <w:proofErr w:type="spellStart"/>
      <w:r>
        <w:t>NaCl</w:t>
      </w:r>
      <w:proofErr w:type="spellEnd"/>
      <w:r>
        <w:t xml:space="preserve"> injekció) együtt, a szükséges össztérfogat eléréséig.</w:t>
      </w:r>
    </w:p>
    <w:p w14:paraId="6D7FB550" w14:textId="77777777" w:rsidR="00B00CBD" w:rsidRPr="005D5674" w:rsidRDefault="00B00CBD" w:rsidP="00020748">
      <w:pPr>
        <w:autoSpaceDE w:val="0"/>
        <w:autoSpaceDN w:val="0"/>
        <w:adjustRightInd w:val="0"/>
        <w:rPr>
          <w:szCs w:val="22"/>
          <w:lang w:eastAsia="fr-FR"/>
        </w:rPr>
      </w:pPr>
    </w:p>
    <w:p w14:paraId="575BACF5" w14:textId="77777777" w:rsidR="00B00CBD" w:rsidRPr="00B00CBD" w:rsidRDefault="00B00CBD" w:rsidP="00020748">
      <w:pPr>
        <w:rPr>
          <w:szCs w:val="22"/>
        </w:rPr>
      </w:pPr>
      <w:r>
        <w:t xml:space="preserve">Íme néhány példa az </w:t>
      </w:r>
      <w:r>
        <w:rPr>
          <w:b/>
          <w:bCs/>
          <w:i/>
          <w:iCs/>
          <w:szCs w:val="22"/>
        </w:rPr>
        <w:t>intravénás infúzióra</w:t>
      </w:r>
      <w:r>
        <w:t xml:space="preserve"> vonatkozó számításokra:</w:t>
      </w:r>
    </w:p>
    <w:p w14:paraId="7307063F" w14:textId="77777777" w:rsidR="00B00CBD" w:rsidRPr="005D5674" w:rsidRDefault="00B00CBD" w:rsidP="00020748">
      <w:pPr>
        <w:rPr>
          <w:szCs w:val="22"/>
          <w:lang w:eastAsia="fr-FR"/>
        </w:rPr>
      </w:pPr>
    </w:p>
    <w:p w14:paraId="6F879785" w14:textId="77777777" w:rsidR="00B00CBD" w:rsidRPr="001D38B4" w:rsidRDefault="00B00CBD" w:rsidP="00020748">
      <w:pPr>
        <w:autoSpaceDE w:val="0"/>
        <w:autoSpaceDN w:val="0"/>
        <w:adjustRightInd w:val="0"/>
        <w:rPr>
          <w:b/>
          <w:bCs/>
          <w:i/>
          <w:szCs w:val="22"/>
          <w:u w:val="single"/>
        </w:rPr>
      </w:pPr>
      <w:r>
        <w:rPr>
          <w:b/>
          <w:bCs/>
          <w:i/>
          <w:szCs w:val="22"/>
          <w:u w:val="single"/>
        </w:rPr>
        <w:t>3. példa:</w:t>
      </w:r>
    </w:p>
    <w:p w14:paraId="3FCCB43D" w14:textId="36506581" w:rsidR="00B00CBD" w:rsidRPr="00B00CBD" w:rsidRDefault="00B00CBD" w:rsidP="00020748">
      <w:pPr>
        <w:autoSpaceDE w:val="0"/>
        <w:autoSpaceDN w:val="0"/>
        <w:adjustRightInd w:val="0"/>
        <w:rPr>
          <w:szCs w:val="22"/>
        </w:rPr>
      </w:pPr>
      <w:r>
        <w:t>Egy 60 kg-os személy 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dózist kap előre meghatározott 1 ml/órás intravénás infúziós sebességgel, 50 ml-es tartályból. A </w:t>
      </w:r>
      <w:proofErr w:type="spellStart"/>
      <w:r>
        <w:t>treprosztinil</w:t>
      </w:r>
      <w:proofErr w:type="spellEnd"/>
      <w:r>
        <w:t xml:space="preserve"> hígított intravénás oldatának a koncentrációját a következőképpen számítjuk ki:</w:t>
      </w:r>
    </w:p>
    <w:p w14:paraId="2B2B69CB" w14:textId="77777777" w:rsidR="00B00CBD" w:rsidRPr="005D5674" w:rsidRDefault="00B00CBD" w:rsidP="00B00CBD">
      <w:pPr>
        <w:autoSpaceDE w:val="0"/>
        <w:autoSpaceDN w:val="0"/>
        <w:adjustRightInd w:val="0"/>
        <w:jc w:val="both"/>
        <w:rPr>
          <w:szCs w:val="22"/>
          <w:lang w:eastAsia="fr-FR"/>
        </w:rPr>
      </w:pPr>
    </w:p>
    <w:p w14:paraId="5E6F8B52" w14:textId="77777777" w:rsidR="00EA7E06" w:rsidRPr="005D5674" w:rsidRDefault="00EA7E06" w:rsidP="00B00CBD">
      <w:pPr>
        <w:autoSpaceDE w:val="0"/>
        <w:autoSpaceDN w:val="0"/>
        <w:adjustRightInd w:val="0"/>
        <w:jc w:val="both"/>
        <w:rPr>
          <w:szCs w:val="22"/>
          <w:lang w:eastAsia="fr-FR"/>
        </w:rPr>
      </w:pPr>
    </w:p>
    <w:p w14:paraId="3B865E39" w14:textId="77777777" w:rsidR="00B00CBD" w:rsidRPr="00B00CBD" w:rsidRDefault="00B00CBD" w:rsidP="00B00CBD">
      <w:pPr>
        <w:ind w:left="6480" w:hanging="6480"/>
        <w:rPr>
          <w:b/>
          <w:szCs w:val="22"/>
          <w:u w:val="single"/>
        </w:rPr>
      </w:pPr>
      <w:r>
        <w:rPr>
          <w:b/>
          <w:szCs w:val="22"/>
          <w:u w:val="single"/>
        </w:rPr>
        <w:t>1. lépés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4"/>
        <w:gridCol w:w="386"/>
        <w:gridCol w:w="1650"/>
        <w:gridCol w:w="360"/>
        <w:gridCol w:w="900"/>
        <w:gridCol w:w="360"/>
        <w:gridCol w:w="990"/>
        <w:gridCol w:w="1980"/>
      </w:tblGrid>
      <w:tr w:rsidR="00B00CBD" w:rsidRPr="00B00CBD" w14:paraId="32A553AF" w14:textId="77777777" w:rsidTr="002046D2">
        <w:trPr>
          <w:cantSplit/>
          <w:trHeight w:val="993"/>
        </w:trPr>
        <w:tc>
          <w:tcPr>
            <w:tcW w:w="165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98381" w14:textId="4552C387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 xml:space="preserve">Hígított intravénás </w:t>
            </w:r>
            <w:proofErr w:type="spellStart"/>
            <w:r>
              <w:rPr>
                <w:b/>
                <w:szCs w:val="22"/>
              </w:rPr>
              <w:t>treprosztinil</w:t>
            </w:r>
            <w:proofErr w:type="spellEnd"/>
            <w:r>
              <w:rPr>
                <w:b/>
                <w:szCs w:val="22"/>
              </w:rPr>
              <w:t>-oldat koncentrációja</w:t>
            </w:r>
            <w:r>
              <w:t xml:space="preserve"> </w:t>
            </w:r>
            <w:r>
              <w:br/>
              <w:t>(mg/ml)</w:t>
            </w:r>
          </w:p>
        </w:tc>
        <w:tc>
          <w:tcPr>
            <w:tcW w:w="38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96BAB0" w14:textId="77777777" w:rsidR="00B00CBD" w:rsidRPr="00B00CBD" w:rsidRDefault="00B00CBD" w:rsidP="00B00CBD">
            <w:pPr>
              <w:keepNext/>
              <w:rPr>
                <w:b/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4484CF13" w14:textId="77777777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5 </w:t>
            </w:r>
            <w:proofErr w:type="spellStart"/>
            <w:r>
              <w:t>ng</w:t>
            </w:r>
            <w:proofErr w:type="spellEnd"/>
            <w:r>
              <w:t>/</w:t>
            </w:r>
            <w:proofErr w:type="spellStart"/>
            <w:r>
              <w:t>ttkg</w:t>
            </w:r>
            <w:proofErr w:type="spellEnd"/>
            <w:r>
              <w:t>/perc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3608DD47" w14:textId="1959561A" w:rsidR="00B00CBD" w:rsidRPr="00B00CBD" w:rsidRDefault="00F96EF4" w:rsidP="002046D2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0D1DAA50" w14:textId="77777777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60 </w:t>
            </w:r>
            <w:r>
              <w:t>kg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461B7769" w14:textId="1348EA7B" w:rsidR="00B00CBD" w:rsidRPr="00B00CBD" w:rsidRDefault="00F96EF4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26C0C166" w14:textId="77777777" w:rsidR="00B00CBD" w:rsidRPr="00B00CBD" w:rsidRDefault="00B00CBD" w:rsidP="00387BAA">
            <w:pPr>
              <w:keepNext/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0,00006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8401E" w14:textId="77777777" w:rsidR="00B00CBD" w:rsidRPr="00B00CBD" w:rsidRDefault="00B00CBD" w:rsidP="00B00CBD">
            <w:pPr>
              <w:keepNext/>
              <w:widowControl w:val="0"/>
              <w:jc w:val="center"/>
              <w:rPr>
                <w:b/>
                <w:szCs w:val="22"/>
                <w:lang w:val="en-US" w:eastAsia="fr-FR"/>
              </w:rPr>
            </w:pPr>
          </w:p>
          <w:p w14:paraId="5C50A579" w14:textId="77777777" w:rsidR="00B00CBD" w:rsidRPr="00B00CBD" w:rsidRDefault="00B00CBD" w:rsidP="00B00CBD">
            <w:pPr>
              <w:keepNext/>
              <w:widowControl w:val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= 0,018 </w:t>
            </w:r>
            <w:r>
              <w:t>mg/ml</w:t>
            </w:r>
          </w:p>
          <w:p w14:paraId="1CE90659" w14:textId="2A5F7EDA" w:rsidR="00B00CBD" w:rsidRPr="00B00CBD" w:rsidRDefault="00B00CBD" w:rsidP="00387BAA">
            <w:pPr>
              <w:keepNext/>
              <w:widowControl w:val="0"/>
              <w:spacing w:line="280" w:lineRule="exact"/>
              <w:jc w:val="center"/>
              <w:rPr>
                <w:b/>
                <w:szCs w:val="22"/>
              </w:rPr>
            </w:pPr>
            <w:r>
              <w:t>(18 000 </w:t>
            </w:r>
            <w:proofErr w:type="spellStart"/>
            <w:r>
              <w:t>ng</w:t>
            </w:r>
            <w:proofErr w:type="spellEnd"/>
            <w:r>
              <w:t>/ml)</w:t>
            </w:r>
          </w:p>
        </w:tc>
      </w:tr>
      <w:tr w:rsidR="00B00CBD" w:rsidRPr="00B00CBD" w14:paraId="4797E84D" w14:textId="77777777" w:rsidTr="009B7AD9">
        <w:trPr>
          <w:cantSplit/>
          <w:trHeight w:val="495"/>
        </w:trPr>
        <w:tc>
          <w:tcPr>
            <w:tcW w:w="165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821C4" w14:textId="77777777" w:rsidR="00B00CBD" w:rsidRPr="00B00CBD" w:rsidRDefault="00B00CBD" w:rsidP="00B00CBD">
            <w:pPr>
              <w:rPr>
                <w:sz w:val="24"/>
                <w:szCs w:val="24"/>
                <w:lang w:val="en-US" w:eastAsia="fr-FR"/>
              </w:rPr>
            </w:pPr>
          </w:p>
        </w:tc>
        <w:tc>
          <w:tcPr>
            <w:tcW w:w="38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410BB" w14:textId="77777777" w:rsidR="00B00CBD" w:rsidRPr="00B00CBD" w:rsidRDefault="00B00CBD" w:rsidP="00B00CBD">
            <w:pPr>
              <w:rPr>
                <w:b/>
                <w:sz w:val="24"/>
                <w:szCs w:val="24"/>
                <w:lang w:val="en-US" w:eastAsia="fr-FR"/>
              </w:rPr>
            </w:pPr>
          </w:p>
        </w:tc>
        <w:tc>
          <w:tcPr>
            <w:tcW w:w="426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5829612" w14:textId="77777777" w:rsidR="00B00CBD" w:rsidRPr="00B00CBD" w:rsidRDefault="00B00CBD" w:rsidP="00B00CBD">
            <w:pPr>
              <w:keepNext/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1 </w:t>
            </w:r>
            <w:r>
              <w:t>ml/óra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41CF6" w14:textId="77777777" w:rsidR="00B00CBD" w:rsidRPr="00B00CBD" w:rsidRDefault="00B00CBD" w:rsidP="00B00CBD">
            <w:pPr>
              <w:rPr>
                <w:b/>
                <w:sz w:val="24"/>
                <w:szCs w:val="24"/>
                <w:lang w:val="en-US" w:eastAsia="fr-FR"/>
              </w:rPr>
            </w:pPr>
          </w:p>
        </w:tc>
      </w:tr>
    </w:tbl>
    <w:p w14:paraId="29B7B122" w14:textId="77777777" w:rsidR="00B00CBD" w:rsidRPr="00B00CBD" w:rsidRDefault="00B00CBD" w:rsidP="00B00CBD">
      <w:pPr>
        <w:jc w:val="both"/>
        <w:rPr>
          <w:szCs w:val="22"/>
          <w:lang w:val="en-US" w:eastAsia="fr-FR"/>
        </w:rPr>
      </w:pPr>
    </w:p>
    <w:p w14:paraId="0713330E" w14:textId="1323FEB1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</w:rPr>
      </w:pPr>
      <w:r>
        <w:t xml:space="preserve">A 0,018 mg/ml </w:t>
      </w:r>
      <w:proofErr w:type="spellStart"/>
      <w:r>
        <w:t>összkoncentrációjú</w:t>
      </w:r>
      <w:proofErr w:type="spellEnd"/>
      <w:r>
        <w:t xml:space="preserve"> és 50 ml össztérfogatú hígított </w:t>
      </w:r>
      <w:proofErr w:type="spellStart"/>
      <w:r>
        <w:t>treprosztinil</w:t>
      </w:r>
      <w:proofErr w:type="spellEnd"/>
      <w:r>
        <w:t xml:space="preserve"> előállításához (1 mg/ml hatáserősségű kiszerelés felhasználása esetén) szükséges </w:t>
      </w:r>
      <w:proofErr w:type="spellStart"/>
      <w:r>
        <w:t>Tresuvi</w:t>
      </w:r>
      <w:proofErr w:type="spellEnd"/>
      <w:r>
        <w:t xml:space="preserve"> mennyiséget a következőképpen számítjuk ki:</w:t>
      </w:r>
    </w:p>
    <w:p w14:paraId="069A616D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6B98550F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b/>
          <w:szCs w:val="22"/>
          <w:u w:val="single"/>
        </w:rPr>
      </w:pPr>
      <w:r>
        <w:rPr>
          <w:b/>
          <w:szCs w:val="22"/>
          <w:u w:val="single"/>
        </w:rPr>
        <w:t>2. lépés</w:t>
      </w:r>
    </w:p>
    <w:tbl>
      <w:tblPr>
        <w:tblW w:w="0" w:type="auto"/>
        <w:tblInd w:w="918" w:type="dxa"/>
        <w:tblLook w:val="01E0" w:firstRow="1" w:lastRow="1" w:firstColumn="1" w:lastColumn="1" w:noHBand="0" w:noVBand="0"/>
      </w:tblPr>
      <w:tblGrid>
        <w:gridCol w:w="2430"/>
        <w:gridCol w:w="372"/>
        <w:gridCol w:w="1860"/>
        <w:gridCol w:w="2448"/>
      </w:tblGrid>
      <w:tr w:rsidR="00B00CBD" w:rsidRPr="00B00CBD" w14:paraId="27F81DBB" w14:textId="77777777" w:rsidTr="002046D2">
        <w:trPr>
          <w:cantSplit/>
          <w:trHeight w:val="756"/>
        </w:trPr>
        <w:tc>
          <w:tcPr>
            <w:tcW w:w="2430" w:type="dxa"/>
            <w:vMerge w:val="restart"/>
            <w:vAlign w:val="center"/>
          </w:tcPr>
          <w:p w14:paraId="4E03FEB5" w14:textId="77777777" w:rsidR="00B00CBD" w:rsidRPr="00B00CBD" w:rsidRDefault="00B00CBD" w:rsidP="00B00CBD">
            <w:pPr>
              <w:keepNext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br/>
              <w:t xml:space="preserve">A </w:t>
            </w:r>
            <w:proofErr w:type="spellStart"/>
            <w:r>
              <w:rPr>
                <w:b/>
                <w:szCs w:val="22"/>
              </w:rPr>
              <w:t>Tresuvi</w:t>
            </w:r>
            <w:proofErr w:type="spellEnd"/>
            <w:r>
              <w:rPr>
                <w:b/>
                <w:szCs w:val="22"/>
              </w:rPr>
              <w:t xml:space="preserve"> mennyisége</w:t>
            </w:r>
            <w:r>
              <w:rPr>
                <w:b/>
                <w:szCs w:val="22"/>
              </w:rPr>
              <w:br/>
              <w:t xml:space="preserve">(ml) </w:t>
            </w:r>
          </w:p>
          <w:p w14:paraId="0A4F5314" w14:textId="5CDEB146" w:rsidR="00B00CBD" w:rsidRPr="00B00CBD" w:rsidRDefault="00B00CBD" w:rsidP="00B00CBD">
            <w:pPr>
              <w:keepNext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372" w:type="dxa"/>
            <w:vMerge w:val="restart"/>
            <w:vAlign w:val="center"/>
          </w:tcPr>
          <w:p w14:paraId="2032DA45" w14:textId="77777777" w:rsidR="00B00CBD" w:rsidRPr="00B00CBD" w:rsidRDefault="00B00CBD" w:rsidP="00B00CBD">
            <w:pPr>
              <w:keepNext/>
              <w:rPr>
                <w:szCs w:val="22"/>
              </w:rPr>
            </w:pPr>
            <w:r>
              <w:t>=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59EC3ECA" w14:textId="77777777" w:rsidR="00B00CBD" w:rsidRPr="00B00CBD" w:rsidRDefault="00B00CBD" w:rsidP="00387BAA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0,018</w:t>
            </w:r>
            <w:r>
              <w:t> mg/ml</w:t>
            </w:r>
          </w:p>
        </w:tc>
        <w:tc>
          <w:tcPr>
            <w:tcW w:w="2448" w:type="dxa"/>
            <w:vMerge w:val="restart"/>
            <w:vAlign w:val="center"/>
          </w:tcPr>
          <w:p w14:paraId="5731AE49" w14:textId="6F582BA6" w:rsidR="00B00CBD" w:rsidRPr="00B00CBD" w:rsidRDefault="00F96EF4" w:rsidP="00387BAA">
            <w:pPr>
              <w:keepNext/>
              <w:jc w:val="center"/>
              <w:rPr>
                <w:szCs w:val="22"/>
              </w:rPr>
            </w:pPr>
            <w:r>
              <w:t>×</w:t>
            </w:r>
            <w:r w:rsidR="00B00CBD">
              <w:t xml:space="preserve"> </w:t>
            </w:r>
            <w:r w:rsidR="00B00CBD">
              <w:rPr>
                <w:b/>
                <w:szCs w:val="22"/>
              </w:rPr>
              <w:t>50</w:t>
            </w:r>
            <w:r w:rsidR="00B00CBD">
              <w:t> </w:t>
            </w:r>
            <w:proofErr w:type="gramStart"/>
            <w:r w:rsidR="00B00CBD">
              <w:t xml:space="preserve">ml  =  </w:t>
            </w:r>
            <w:r w:rsidR="00B00CBD">
              <w:rPr>
                <w:b/>
                <w:szCs w:val="22"/>
              </w:rPr>
              <w:t>0</w:t>
            </w:r>
            <w:proofErr w:type="gramEnd"/>
            <w:r w:rsidR="00B00CBD">
              <w:rPr>
                <w:b/>
                <w:szCs w:val="22"/>
              </w:rPr>
              <w:t>,9</w:t>
            </w:r>
            <w:r w:rsidR="00B00CBD">
              <w:t> ml</w:t>
            </w:r>
          </w:p>
        </w:tc>
      </w:tr>
      <w:tr w:rsidR="00B00CBD" w:rsidRPr="00B00CBD" w14:paraId="639CB764" w14:textId="77777777" w:rsidTr="009B7AD9">
        <w:trPr>
          <w:cantSplit/>
        </w:trPr>
        <w:tc>
          <w:tcPr>
            <w:tcW w:w="0" w:type="auto"/>
            <w:vMerge/>
            <w:vAlign w:val="center"/>
          </w:tcPr>
          <w:p w14:paraId="74996865" w14:textId="77777777" w:rsidR="00B00CBD" w:rsidRPr="00B00CBD" w:rsidRDefault="00B00CBD" w:rsidP="00B00CBD">
            <w:pPr>
              <w:rPr>
                <w:sz w:val="24"/>
                <w:szCs w:val="24"/>
                <w:lang w:val="en-US" w:eastAsia="fr-FR"/>
              </w:rPr>
            </w:pPr>
          </w:p>
        </w:tc>
        <w:tc>
          <w:tcPr>
            <w:tcW w:w="0" w:type="auto"/>
            <w:vMerge/>
            <w:vAlign w:val="center"/>
          </w:tcPr>
          <w:p w14:paraId="3C46E640" w14:textId="77777777" w:rsidR="00B00CBD" w:rsidRPr="00B00CBD" w:rsidRDefault="00B00CBD" w:rsidP="00B00CBD">
            <w:pPr>
              <w:rPr>
                <w:sz w:val="24"/>
                <w:szCs w:val="24"/>
                <w:lang w:val="fr-FR" w:eastAsia="fr-FR"/>
              </w:rPr>
            </w:pPr>
          </w:p>
        </w:tc>
        <w:tc>
          <w:tcPr>
            <w:tcW w:w="186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6FBECF6" w14:textId="77777777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1</w:t>
            </w:r>
            <w:r>
              <w:t> mg/ml</w:t>
            </w:r>
          </w:p>
        </w:tc>
        <w:tc>
          <w:tcPr>
            <w:tcW w:w="0" w:type="auto"/>
            <w:vMerge/>
            <w:vAlign w:val="center"/>
          </w:tcPr>
          <w:p w14:paraId="09BE4654" w14:textId="77777777" w:rsidR="00B00CBD" w:rsidRPr="00B00CBD" w:rsidRDefault="00B00CBD" w:rsidP="00B00CBD">
            <w:pPr>
              <w:rPr>
                <w:szCs w:val="22"/>
                <w:lang w:val="fr-FR" w:eastAsia="fr-FR"/>
              </w:rPr>
            </w:pPr>
          </w:p>
        </w:tc>
      </w:tr>
    </w:tbl>
    <w:p w14:paraId="0E345DFC" w14:textId="77777777" w:rsidR="00B00CBD" w:rsidRPr="00B00CBD" w:rsidRDefault="00B00CBD" w:rsidP="007D3B01">
      <w:pPr>
        <w:rPr>
          <w:lang w:val="en-US" w:eastAsia="fr-FR"/>
        </w:rPr>
      </w:pPr>
    </w:p>
    <w:p w14:paraId="0A063A2F" w14:textId="66EE8E50" w:rsidR="00B00CBD" w:rsidRPr="00B00CBD" w:rsidRDefault="00B00CBD" w:rsidP="00020748">
      <w:pPr>
        <w:autoSpaceDE w:val="0"/>
        <w:autoSpaceDN w:val="0"/>
        <w:adjustRightInd w:val="0"/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hígított intravénás oldatát a 3. példában szereplő személynek szánt koncentrációban tehát úgy készítenénk el, hogy 0,9 ml 1 mg/ml </w:t>
      </w:r>
      <w:proofErr w:type="spellStart"/>
      <w:r>
        <w:t>Tresuvi</w:t>
      </w:r>
      <w:proofErr w:type="spellEnd"/>
      <w:r>
        <w:t>-t adagolnánk a megfelelő tartályba, megfelelő térfogatú oldószerrel együtt, 50 ml-es össztérfogat eléréséig a tartályban. Az infúziós pumpán ebben a példában 1 ml/óra áramlási sebességet állítanánk be.</w:t>
      </w:r>
    </w:p>
    <w:p w14:paraId="2BF2C1F1" w14:textId="77777777" w:rsidR="00B00CBD" w:rsidRPr="005D5674" w:rsidRDefault="00B00CBD" w:rsidP="00020748">
      <w:pPr>
        <w:autoSpaceDE w:val="0"/>
        <w:autoSpaceDN w:val="0"/>
        <w:adjustRightInd w:val="0"/>
        <w:rPr>
          <w:szCs w:val="22"/>
          <w:lang w:eastAsia="fr-FR"/>
        </w:rPr>
      </w:pPr>
    </w:p>
    <w:p w14:paraId="1B06FC1E" w14:textId="77777777" w:rsidR="00B00CBD" w:rsidRPr="001D38B4" w:rsidRDefault="00B00CBD" w:rsidP="00F96EF4">
      <w:pPr>
        <w:autoSpaceDE w:val="0"/>
        <w:autoSpaceDN w:val="0"/>
        <w:adjustRightInd w:val="0"/>
        <w:rPr>
          <w:b/>
          <w:bCs/>
          <w:i/>
          <w:szCs w:val="22"/>
          <w:u w:val="single"/>
        </w:rPr>
      </w:pPr>
      <w:r>
        <w:rPr>
          <w:b/>
          <w:bCs/>
          <w:i/>
          <w:szCs w:val="22"/>
          <w:u w:val="single"/>
        </w:rPr>
        <w:t>4. példa:</w:t>
      </w:r>
    </w:p>
    <w:p w14:paraId="7602BBE6" w14:textId="68D66DE0" w:rsidR="00B00CBD" w:rsidRPr="00B00CBD" w:rsidRDefault="00B00CBD" w:rsidP="00020748">
      <w:pPr>
        <w:autoSpaceDE w:val="0"/>
        <w:autoSpaceDN w:val="0"/>
        <w:adjustRightInd w:val="0"/>
        <w:rPr>
          <w:szCs w:val="22"/>
        </w:rPr>
      </w:pPr>
      <w:r>
        <w:t>Egy 75 kg-os személy 30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dózist kap előre meghatározott 2 ml/órás intravénás infúziós sebességgel, 100 ml-es tartályból. A </w:t>
      </w:r>
      <w:proofErr w:type="spellStart"/>
      <w:r>
        <w:t>treprosztinil</w:t>
      </w:r>
      <w:proofErr w:type="spellEnd"/>
      <w:r>
        <w:t xml:space="preserve"> hígított intravénás oldatának a koncentrációját a következőképpen számítjuk ki:</w:t>
      </w:r>
    </w:p>
    <w:p w14:paraId="61EF5ED0" w14:textId="77777777" w:rsidR="00B00CBD" w:rsidRPr="005D5674" w:rsidRDefault="00B00CBD" w:rsidP="00020748">
      <w:pPr>
        <w:autoSpaceDE w:val="0"/>
        <w:autoSpaceDN w:val="0"/>
        <w:adjustRightInd w:val="0"/>
        <w:rPr>
          <w:szCs w:val="22"/>
          <w:lang w:eastAsia="fr-FR"/>
        </w:rPr>
      </w:pPr>
    </w:p>
    <w:p w14:paraId="37153FEF" w14:textId="77777777" w:rsidR="00B00CBD" w:rsidRPr="00B00CBD" w:rsidRDefault="00B00CBD" w:rsidP="00020748">
      <w:pPr>
        <w:keepNext/>
        <w:ind w:left="6481" w:hanging="6481"/>
        <w:rPr>
          <w:szCs w:val="22"/>
        </w:rPr>
      </w:pPr>
      <w:r>
        <w:rPr>
          <w:b/>
          <w:szCs w:val="22"/>
          <w:u w:val="single"/>
        </w:rPr>
        <w:t>1. lépés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4"/>
        <w:gridCol w:w="386"/>
        <w:gridCol w:w="1650"/>
        <w:gridCol w:w="360"/>
        <w:gridCol w:w="900"/>
        <w:gridCol w:w="360"/>
        <w:gridCol w:w="990"/>
        <w:gridCol w:w="1980"/>
      </w:tblGrid>
      <w:tr w:rsidR="00B00CBD" w:rsidRPr="00B00CBD" w14:paraId="67A500A2" w14:textId="77777777" w:rsidTr="009B7AD9">
        <w:trPr>
          <w:cantSplit/>
          <w:trHeight w:val="558"/>
        </w:trPr>
        <w:tc>
          <w:tcPr>
            <w:tcW w:w="165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27CA8" w14:textId="054209EA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 xml:space="preserve">Hígított intravénás </w:t>
            </w:r>
            <w:proofErr w:type="spellStart"/>
            <w:r>
              <w:rPr>
                <w:b/>
                <w:szCs w:val="22"/>
              </w:rPr>
              <w:t>treprosztinil</w:t>
            </w:r>
            <w:proofErr w:type="spellEnd"/>
            <w:r>
              <w:rPr>
                <w:b/>
                <w:szCs w:val="22"/>
              </w:rPr>
              <w:t>-oldat koncentrációja</w:t>
            </w:r>
            <w:r>
              <w:t xml:space="preserve"> </w:t>
            </w:r>
            <w:r>
              <w:br/>
              <w:t>(mg/ml)</w:t>
            </w:r>
          </w:p>
        </w:tc>
        <w:tc>
          <w:tcPr>
            <w:tcW w:w="38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501CA" w14:textId="77777777" w:rsidR="00B00CBD" w:rsidRPr="00B00CBD" w:rsidRDefault="00B00CBD" w:rsidP="00B00CBD">
            <w:pPr>
              <w:keepNext/>
              <w:rPr>
                <w:b/>
                <w:szCs w:val="22"/>
              </w:rPr>
            </w:pPr>
            <w:r>
              <w:rPr>
                <w:b/>
                <w:szCs w:val="22"/>
              </w:rPr>
              <w:t>=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512642C" w14:textId="77777777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30 </w:t>
            </w:r>
            <w:proofErr w:type="spellStart"/>
            <w:r>
              <w:t>ng</w:t>
            </w:r>
            <w:proofErr w:type="spellEnd"/>
            <w:r>
              <w:t>/</w:t>
            </w:r>
            <w:proofErr w:type="spellStart"/>
            <w:r>
              <w:t>ttkg</w:t>
            </w:r>
            <w:proofErr w:type="spellEnd"/>
            <w:r>
              <w:t>/perc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7D99B1E4" w14:textId="248F7DA3" w:rsidR="00B00CBD" w:rsidRPr="00B00CBD" w:rsidRDefault="00F96EF4" w:rsidP="002046D2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0C4A63BA" w14:textId="77777777" w:rsidR="00B00CBD" w:rsidRPr="00B00CBD" w:rsidRDefault="00B00CBD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75 </w:t>
            </w:r>
            <w:r>
              <w:t>kg</w:t>
            </w:r>
          </w:p>
        </w:tc>
        <w:tc>
          <w:tcPr>
            <w:tcW w:w="3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1CE09FA1" w14:textId="2FD39348" w:rsidR="00B00CBD" w:rsidRPr="00B00CBD" w:rsidRDefault="00F96EF4" w:rsidP="00B00CBD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×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70589AC8" w14:textId="77777777" w:rsidR="00B00CBD" w:rsidRPr="00B00CBD" w:rsidRDefault="00B00CBD" w:rsidP="00387BAA">
            <w:pPr>
              <w:keepNext/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0,00006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6ECCF" w14:textId="77777777" w:rsidR="00B00CBD" w:rsidRPr="00B00CBD" w:rsidRDefault="00B00CBD" w:rsidP="00B00CBD">
            <w:pPr>
              <w:keepNext/>
              <w:widowControl w:val="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= 0,0675 </w:t>
            </w:r>
            <w:r>
              <w:t>mg/ml</w:t>
            </w:r>
          </w:p>
          <w:p w14:paraId="6027884E" w14:textId="109DCFCE" w:rsidR="00B00CBD" w:rsidRPr="00B00CBD" w:rsidRDefault="00B00CBD" w:rsidP="00387BAA">
            <w:pPr>
              <w:keepNext/>
              <w:widowControl w:val="0"/>
              <w:jc w:val="center"/>
              <w:rPr>
                <w:b/>
                <w:szCs w:val="22"/>
              </w:rPr>
            </w:pPr>
            <w:r>
              <w:t xml:space="preserve">(67 500 </w:t>
            </w:r>
            <w:proofErr w:type="spellStart"/>
            <w:r>
              <w:t>ng</w:t>
            </w:r>
            <w:proofErr w:type="spellEnd"/>
            <w:r>
              <w:t>/ml)</w:t>
            </w:r>
          </w:p>
        </w:tc>
      </w:tr>
      <w:tr w:rsidR="00B00CBD" w:rsidRPr="00B00CBD" w14:paraId="0F97A59C" w14:textId="77777777" w:rsidTr="009B7AD9">
        <w:trPr>
          <w:cantSplit/>
          <w:trHeight w:val="495"/>
        </w:trPr>
        <w:tc>
          <w:tcPr>
            <w:tcW w:w="165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6410F" w14:textId="77777777" w:rsidR="00B00CBD" w:rsidRPr="00B00CBD" w:rsidRDefault="00B00CBD" w:rsidP="00B00CBD">
            <w:pPr>
              <w:rPr>
                <w:szCs w:val="22"/>
                <w:lang w:val="en-US" w:eastAsia="fr-FR"/>
              </w:rPr>
            </w:pPr>
          </w:p>
        </w:tc>
        <w:tc>
          <w:tcPr>
            <w:tcW w:w="38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AC01B" w14:textId="77777777" w:rsidR="00B00CBD" w:rsidRPr="00B00CBD" w:rsidRDefault="00B00CBD" w:rsidP="00B00CBD">
            <w:pPr>
              <w:rPr>
                <w:b/>
                <w:szCs w:val="22"/>
                <w:lang w:val="en-US" w:eastAsia="fr-FR"/>
              </w:rPr>
            </w:pPr>
          </w:p>
        </w:tc>
        <w:tc>
          <w:tcPr>
            <w:tcW w:w="426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D38959C" w14:textId="77777777" w:rsidR="00B00CBD" w:rsidRPr="00B00CBD" w:rsidRDefault="00B00CBD" w:rsidP="00B00CBD">
            <w:pPr>
              <w:keepNext/>
              <w:widowControl w:val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2 </w:t>
            </w:r>
            <w:r>
              <w:t>ml/óra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07EA7" w14:textId="77777777" w:rsidR="00B00CBD" w:rsidRPr="00B00CBD" w:rsidRDefault="00B00CBD" w:rsidP="00B00CBD">
            <w:pPr>
              <w:rPr>
                <w:b/>
                <w:szCs w:val="22"/>
                <w:lang w:val="en-US" w:eastAsia="fr-FR"/>
              </w:rPr>
            </w:pPr>
          </w:p>
        </w:tc>
      </w:tr>
    </w:tbl>
    <w:p w14:paraId="47B91C73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23854C42" w14:textId="5182F9D3" w:rsidR="00B00CBD" w:rsidRPr="00B00CBD" w:rsidRDefault="00B00CBD" w:rsidP="00020748">
      <w:pPr>
        <w:autoSpaceDE w:val="0"/>
        <w:autoSpaceDN w:val="0"/>
        <w:adjustRightInd w:val="0"/>
        <w:rPr>
          <w:szCs w:val="22"/>
        </w:rPr>
      </w:pPr>
      <w:r>
        <w:t xml:space="preserve">A 0,0675 mg/ml </w:t>
      </w:r>
      <w:proofErr w:type="spellStart"/>
      <w:r>
        <w:t>összkoncentrációjú</w:t>
      </w:r>
      <w:proofErr w:type="spellEnd"/>
      <w:r>
        <w:t xml:space="preserve"> és 100 ml össztérfogatú hígított </w:t>
      </w:r>
      <w:proofErr w:type="spellStart"/>
      <w:r>
        <w:t>treprosztinil</w:t>
      </w:r>
      <w:proofErr w:type="spellEnd"/>
      <w:r>
        <w:t xml:space="preserve"> előállításához (2,5 mg/ml hatáserősségű kiszerelés felhasználása esetén) szükséges </w:t>
      </w:r>
      <w:proofErr w:type="spellStart"/>
      <w:r>
        <w:t>Tresuvi</w:t>
      </w:r>
      <w:proofErr w:type="spellEnd"/>
      <w:r>
        <w:t xml:space="preserve"> mennyiséget a következőképpen számítjuk ki:</w:t>
      </w:r>
    </w:p>
    <w:p w14:paraId="4BCB49B5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50D77467" w14:textId="77777777" w:rsidR="00B00CBD" w:rsidRPr="00B00CBD" w:rsidRDefault="00B00CBD" w:rsidP="00B00CBD">
      <w:pPr>
        <w:autoSpaceDE w:val="0"/>
        <w:autoSpaceDN w:val="0"/>
        <w:adjustRightInd w:val="0"/>
        <w:jc w:val="both"/>
        <w:rPr>
          <w:b/>
          <w:color w:val="000000" w:themeColor="text1"/>
          <w:szCs w:val="22"/>
          <w:u w:val="single"/>
        </w:rPr>
      </w:pPr>
      <w:r>
        <w:rPr>
          <w:b/>
          <w:color w:val="000000" w:themeColor="text1"/>
          <w:szCs w:val="22"/>
          <w:u w:val="single"/>
        </w:rPr>
        <w:t>2. lépés</w:t>
      </w:r>
    </w:p>
    <w:tbl>
      <w:tblPr>
        <w:tblW w:w="0" w:type="auto"/>
        <w:tblInd w:w="918" w:type="dxa"/>
        <w:tblLook w:val="01E0" w:firstRow="1" w:lastRow="1" w:firstColumn="1" w:lastColumn="1" w:noHBand="0" w:noVBand="0"/>
      </w:tblPr>
      <w:tblGrid>
        <w:gridCol w:w="2430"/>
        <w:gridCol w:w="372"/>
        <w:gridCol w:w="1860"/>
        <w:gridCol w:w="2448"/>
      </w:tblGrid>
      <w:tr w:rsidR="00B00CBD" w:rsidRPr="00B00CBD" w14:paraId="2CF8204A" w14:textId="77777777" w:rsidTr="009B7AD9">
        <w:trPr>
          <w:cantSplit/>
          <w:trHeight w:val="503"/>
        </w:trPr>
        <w:tc>
          <w:tcPr>
            <w:tcW w:w="2430" w:type="dxa"/>
            <w:vMerge w:val="restart"/>
            <w:vAlign w:val="center"/>
          </w:tcPr>
          <w:p w14:paraId="7499707A" w14:textId="77777777" w:rsidR="00B00CBD" w:rsidRPr="00B00CBD" w:rsidRDefault="00B00CBD" w:rsidP="00B00CBD">
            <w:pPr>
              <w:keepNext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br/>
              <w:t xml:space="preserve">A </w:t>
            </w:r>
            <w:proofErr w:type="spellStart"/>
            <w:r>
              <w:rPr>
                <w:b/>
                <w:szCs w:val="22"/>
              </w:rPr>
              <w:t>Tresuvi</w:t>
            </w:r>
            <w:proofErr w:type="spellEnd"/>
            <w:r>
              <w:rPr>
                <w:b/>
                <w:szCs w:val="22"/>
              </w:rPr>
              <w:t xml:space="preserve"> mennyisége</w:t>
            </w:r>
            <w:r>
              <w:rPr>
                <w:b/>
                <w:szCs w:val="22"/>
              </w:rPr>
              <w:br/>
              <w:t xml:space="preserve">(ml) </w:t>
            </w:r>
          </w:p>
          <w:p w14:paraId="3D7CE916" w14:textId="58BBCEB5" w:rsidR="00B00CBD" w:rsidRPr="00B00CBD" w:rsidRDefault="00B00CBD" w:rsidP="00B00CBD">
            <w:pPr>
              <w:keepNext/>
              <w:jc w:val="center"/>
              <w:rPr>
                <w:b/>
                <w:szCs w:val="22"/>
                <w:u w:val="single"/>
              </w:rPr>
            </w:pPr>
          </w:p>
        </w:tc>
        <w:tc>
          <w:tcPr>
            <w:tcW w:w="372" w:type="dxa"/>
            <w:vMerge w:val="restart"/>
            <w:vAlign w:val="center"/>
          </w:tcPr>
          <w:p w14:paraId="7C06D910" w14:textId="77777777" w:rsidR="00B00CBD" w:rsidRPr="00B00CBD" w:rsidRDefault="00B00CBD" w:rsidP="00B00CBD">
            <w:pPr>
              <w:keepNext/>
              <w:rPr>
                <w:szCs w:val="22"/>
              </w:rPr>
            </w:pPr>
            <w:r>
              <w:t>=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2DC2467B" w14:textId="77777777" w:rsidR="00B00CBD" w:rsidRPr="00B00CBD" w:rsidRDefault="00B00CBD" w:rsidP="00387BAA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0,0675</w:t>
            </w:r>
            <w:r>
              <w:t> mg/ml</w:t>
            </w:r>
          </w:p>
        </w:tc>
        <w:tc>
          <w:tcPr>
            <w:tcW w:w="2448" w:type="dxa"/>
            <w:vMerge w:val="restart"/>
            <w:vAlign w:val="center"/>
          </w:tcPr>
          <w:p w14:paraId="1116A657" w14:textId="62C60C6B" w:rsidR="00B00CBD" w:rsidRPr="00B00CBD" w:rsidRDefault="00F96EF4" w:rsidP="00387BAA">
            <w:pPr>
              <w:keepNext/>
              <w:jc w:val="center"/>
              <w:rPr>
                <w:szCs w:val="22"/>
              </w:rPr>
            </w:pPr>
            <w:r>
              <w:t>×</w:t>
            </w:r>
            <w:r w:rsidR="00B00CBD">
              <w:t xml:space="preserve"> </w:t>
            </w:r>
            <w:r w:rsidR="00B00CBD">
              <w:rPr>
                <w:b/>
                <w:szCs w:val="22"/>
              </w:rPr>
              <w:t>100</w:t>
            </w:r>
            <w:r w:rsidR="00B00CBD">
              <w:t> </w:t>
            </w:r>
            <w:proofErr w:type="gramStart"/>
            <w:r w:rsidR="00B00CBD">
              <w:t xml:space="preserve">ml  =  </w:t>
            </w:r>
            <w:r w:rsidR="00B00CBD">
              <w:rPr>
                <w:b/>
                <w:szCs w:val="22"/>
              </w:rPr>
              <w:t>2</w:t>
            </w:r>
            <w:proofErr w:type="gramEnd"/>
            <w:r w:rsidR="00B00CBD">
              <w:rPr>
                <w:b/>
                <w:szCs w:val="22"/>
              </w:rPr>
              <w:t>,7</w:t>
            </w:r>
            <w:r w:rsidR="00B00CBD">
              <w:t> ml</w:t>
            </w:r>
          </w:p>
        </w:tc>
      </w:tr>
      <w:tr w:rsidR="00B00CBD" w:rsidRPr="00B00CBD" w14:paraId="0D7399F9" w14:textId="77777777" w:rsidTr="009B7AD9">
        <w:trPr>
          <w:cantSplit/>
        </w:trPr>
        <w:tc>
          <w:tcPr>
            <w:tcW w:w="0" w:type="auto"/>
            <w:vMerge/>
            <w:vAlign w:val="center"/>
          </w:tcPr>
          <w:p w14:paraId="45FB71B4" w14:textId="77777777" w:rsidR="00B00CBD" w:rsidRPr="00B00CBD" w:rsidRDefault="00B00CBD" w:rsidP="00B00CBD">
            <w:pPr>
              <w:rPr>
                <w:szCs w:val="22"/>
                <w:lang w:val="en-US" w:eastAsia="fr-FR"/>
              </w:rPr>
            </w:pPr>
          </w:p>
        </w:tc>
        <w:tc>
          <w:tcPr>
            <w:tcW w:w="0" w:type="auto"/>
            <w:vMerge/>
            <w:vAlign w:val="center"/>
          </w:tcPr>
          <w:p w14:paraId="5A45D06B" w14:textId="77777777" w:rsidR="00B00CBD" w:rsidRPr="00B00CBD" w:rsidRDefault="00B00CBD" w:rsidP="00B00CBD">
            <w:pPr>
              <w:rPr>
                <w:szCs w:val="22"/>
                <w:lang w:val="fr-FR" w:eastAsia="fr-FR"/>
              </w:rPr>
            </w:pPr>
          </w:p>
        </w:tc>
        <w:tc>
          <w:tcPr>
            <w:tcW w:w="186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3598465" w14:textId="77777777" w:rsidR="00B00CBD" w:rsidRPr="00B00CBD" w:rsidRDefault="00B00CBD" w:rsidP="00387BAA">
            <w:pPr>
              <w:keepNext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2,5</w:t>
            </w:r>
            <w:r>
              <w:t> mg/ml</w:t>
            </w:r>
          </w:p>
        </w:tc>
        <w:tc>
          <w:tcPr>
            <w:tcW w:w="0" w:type="auto"/>
            <w:vMerge/>
            <w:vAlign w:val="center"/>
          </w:tcPr>
          <w:p w14:paraId="5C38E344" w14:textId="77777777" w:rsidR="00B00CBD" w:rsidRPr="00B00CBD" w:rsidRDefault="00B00CBD" w:rsidP="00B00CBD">
            <w:pPr>
              <w:rPr>
                <w:szCs w:val="22"/>
                <w:lang w:val="fr-FR" w:eastAsia="fr-FR"/>
              </w:rPr>
            </w:pPr>
          </w:p>
        </w:tc>
      </w:tr>
    </w:tbl>
    <w:p w14:paraId="4ADDD5AC" w14:textId="77777777" w:rsidR="00CF51BC" w:rsidRPr="00CF51BC" w:rsidRDefault="00CF51BC" w:rsidP="00B00CBD">
      <w:pPr>
        <w:autoSpaceDE w:val="0"/>
        <w:autoSpaceDN w:val="0"/>
        <w:adjustRightInd w:val="0"/>
        <w:jc w:val="both"/>
        <w:rPr>
          <w:szCs w:val="22"/>
          <w:lang w:val="en-US" w:eastAsia="fr-FR"/>
        </w:rPr>
      </w:pPr>
    </w:p>
    <w:p w14:paraId="3B5B0658" w14:textId="0BBF1817" w:rsidR="00B00CBD" w:rsidRPr="00B00CBD" w:rsidRDefault="00B00CBD" w:rsidP="00020748">
      <w:pPr>
        <w:autoSpaceDE w:val="0"/>
        <w:autoSpaceDN w:val="0"/>
        <w:adjustRightInd w:val="0"/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hígított intravénás oldatát a 4. példában szereplő személynek szánt koncentrációban tehát úgy készítenénk el, hogy 2,7 ml 2,5 mg/ml </w:t>
      </w:r>
      <w:proofErr w:type="spellStart"/>
      <w:r>
        <w:t>Tresuvi</w:t>
      </w:r>
      <w:proofErr w:type="spellEnd"/>
      <w:r>
        <w:t>-t adagolnánk a megfelelő tartályba, megfelelő térfogatú oldószerrel együtt, 100 ml-es össztérfogat eléréséig a tartályban. Az infúziós pumpán ebben a példában 2 ml/óra áramlási sebességet állítanánk be.</w:t>
      </w:r>
    </w:p>
    <w:p w14:paraId="2E0F3629" w14:textId="77777777" w:rsidR="00B00CBD" w:rsidRPr="005D5674" w:rsidRDefault="00B00CBD" w:rsidP="00020748">
      <w:pPr>
        <w:autoSpaceDE w:val="0"/>
        <w:autoSpaceDN w:val="0"/>
        <w:adjustRightInd w:val="0"/>
        <w:rPr>
          <w:szCs w:val="22"/>
          <w:lang w:eastAsia="fr-FR"/>
        </w:rPr>
      </w:pPr>
    </w:p>
    <w:p w14:paraId="7538A814" w14:textId="32714E67" w:rsidR="00AD187C" w:rsidRPr="00931752" w:rsidRDefault="00CE17F7" w:rsidP="00020748">
      <w:pPr>
        <w:shd w:val="clear" w:color="auto" w:fill="FFFFFF" w:themeFill="background1"/>
        <w:tabs>
          <w:tab w:val="left" w:pos="1985"/>
          <w:tab w:val="left" w:pos="2268"/>
        </w:tabs>
        <w:rPr>
          <w:bCs/>
          <w:szCs w:val="22"/>
        </w:rPr>
      </w:pPr>
      <w:r w:rsidRPr="005D5674">
        <w:rPr>
          <w:shd w:val="clear" w:color="auto" w:fill="FFFFFF" w:themeFill="background1"/>
        </w:rPr>
        <w:t xml:space="preserve">A 2. táblázat a </w:t>
      </w:r>
      <w:proofErr w:type="spellStart"/>
      <w:r w:rsidRPr="005D5674">
        <w:rPr>
          <w:shd w:val="clear" w:color="auto" w:fill="FFFFFF" w:themeFill="background1"/>
        </w:rPr>
        <w:t>Tresuvi</w:t>
      </w:r>
      <w:proofErr w:type="spellEnd"/>
      <w:r w:rsidRPr="005D5674">
        <w:rPr>
          <w:shd w:val="clear" w:color="auto" w:fill="FFFFFF" w:themeFill="background1"/>
        </w:rPr>
        <w:t xml:space="preserve"> </w:t>
      </w:r>
      <w:r>
        <w:rPr>
          <w:bCs/>
          <w:szCs w:val="22"/>
          <w:shd w:val="clear" w:color="auto" w:fill="FFFFFF" w:themeFill="background1"/>
        </w:rPr>
        <w:t xml:space="preserve">5 </w:t>
      </w:r>
      <w:r w:rsidRPr="005D5674">
        <w:rPr>
          <w:shd w:val="clear" w:color="auto" w:fill="FFFFFF" w:themeFill="background1"/>
        </w:rPr>
        <w:t xml:space="preserve">mg/ml hatáserősségére vonatkozóan ad útmutatást arra, hogy a </w:t>
      </w:r>
      <w:proofErr w:type="spellStart"/>
      <w:r w:rsidRPr="005D5674">
        <w:rPr>
          <w:shd w:val="clear" w:color="auto" w:fill="FFFFFF" w:themeFill="background1"/>
        </w:rPr>
        <w:t>Tresuvi</w:t>
      </w:r>
      <w:proofErr w:type="spellEnd"/>
      <w:r w:rsidRPr="005D5674">
        <w:rPr>
          <w:shd w:val="clear" w:color="auto" w:fill="FFFFFF" w:themeFill="background1"/>
        </w:rPr>
        <w:t xml:space="preserve"> mekkora térfogatát (ml) kell hígítani 20 ml-es, 50 ml-es vagy 100 ml-es tartályokban (sorrendben 0,4, 1 vagy 2 ml/óra infúziós sebességhez) különböző testtömegű betegek számára, legfeljebb </w:t>
      </w:r>
      <w:r w:rsidR="005D5674">
        <w:rPr>
          <w:shd w:val="clear" w:color="auto" w:fill="FFFFFF" w:themeFill="background1"/>
        </w:rPr>
        <w:t>80</w:t>
      </w:r>
      <w:r w:rsidRPr="005D5674">
        <w:rPr>
          <w:shd w:val="clear" w:color="auto" w:fill="FFFFFF" w:themeFill="background1"/>
        </w:rPr>
        <w:t> </w:t>
      </w:r>
      <w:proofErr w:type="spellStart"/>
      <w:r w:rsidRPr="005D5674">
        <w:rPr>
          <w:shd w:val="clear" w:color="auto" w:fill="FFFFFF" w:themeFill="background1"/>
        </w:rPr>
        <w:t>ng</w:t>
      </w:r>
      <w:proofErr w:type="spellEnd"/>
      <w:r w:rsidRPr="005D5674">
        <w:rPr>
          <w:shd w:val="clear" w:color="auto" w:fill="FFFFFF" w:themeFill="background1"/>
        </w:rPr>
        <w:t>/</w:t>
      </w:r>
      <w:proofErr w:type="spellStart"/>
      <w:r w:rsidRPr="005D5674">
        <w:rPr>
          <w:shd w:val="clear" w:color="auto" w:fill="FFFFFF" w:themeFill="background1"/>
        </w:rPr>
        <w:t>ttkg</w:t>
      </w:r>
      <w:proofErr w:type="spellEnd"/>
      <w:r w:rsidRPr="005D5674">
        <w:rPr>
          <w:shd w:val="clear" w:color="auto" w:fill="FFFFFF" w:themeFill="background1"/>
        </w:rPr>
        <w:t>/perc dózisig.</w:t>
      </w:r>
    </w:p>
    <w:p w14:paraId="19950C1E" w14:textId="77777777" w:rsidR="00AD187C" w:rsidRPr="005D5674" w:rsidRDefault="00AD187C" w:rsidP="00020748"/>
    <w:p w14:paraId="05FE9054" w14:textId="4648581E" w:rsidR="00AD187C" w:rsidRPr="00B00CBD" w:rsidRDefault="00AD187C" w:rsidP="005D5674">
      <w:pPr>
        <w:shd w:val="clear" w:color="auto" w:fill="FFFFFF" w:themeFill="background1"/>
        <w:tabs>
          <w:tab w:val="left" w:pos="1985"/>
          <w:tab w:val="left" w:pos="2268"/>
        </w:tabs>
        <w:jc w:val="both"/>
        <w:rPr>
          <w:b/>
          <w:bCs/>
          <w:szCs w:val="22"/>
        </w:rPr>
      </w:pPr>
      <w:r>
        <w:rPr>
          <w:b/>
          <w:bCs/>
          <w:szCs w:val="22"/>
          <w:shd w:val="clear" w:color="auto" w:fill="FFFFFF" w:themeFill="background1"/>
        </w:rPr>
        <w:t>2. táblázat:</w:t>
      </w:r>
    </w:p>
    <w:p w14:paraId="32BFCAD0" w14:textId="77777777" w:rsidR="002B5673" w:rsidRDefault="002B5673" w:rsidP="00AD187C">
      <w:pPr>
        <w:jc w:val="both"/>
        <w:rPr>
          <w:szCs w:val="22"/>
          <w:lang w:eastAsia="en-US"/>
        </w:rPr>
      </w:pPr>
    </w:p>
    <w:tbl>
      <w:tblPr>
        <w:tblpPr w:leftFromText="180" w:rightFromText="180" w:vertAnchor="text" w:horzAnchor="margin" w:tblpY="449"/>
        <w:tblW w:w="10263" w:type="dxa"/>
        <w:tblBorders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159"/>
        <w:gridCol w:w="679"/>
        <w:gridCol w:w="567"/>
        <w:gridCol w:w="561"/>
        <w:gridCol w:w="554"/>
        <w:gridCol w:w="554"/>
        <w:gridCol w:w="554"/>
        <w:gridCol w:w="554"/>
        <w:gridCol w:w="554"/>
        <w:gridCol w:w="554"/>
        <w:gridCol w:w="554"/>
        <w:gridCol w:w="554"/>
        <w:gridCol w:w="554"/>
        <w:gridCol w:w="554"/>
        <w:gridCol w:w="554"/>
        <w:gridCol w:w="554"/>
        <w:gridCol w:w="661"/>
      </w:tblGrid>
      <w:tr w:rsidR="005D5674" w:rsidRPr="005D5674" w14:paraId="1EBAC612" w14:textId="77777777" w:rsidTr="005D5674">
        <w:trPr>
          <w:trHeight w:val="826"/>
        </w:trPr>
        <w:tc>
          <w:tcPr>
            <w:tcW w:w="10263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0C675F" w14:textId="77777777" w:rsidR="005D5674" w:rsidRDefault="005D5674" w:rsidP="005D567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 mg/ml </w:t>
            </w:r>
            <w:proofErr w:type="spellStart"/>
            <w:r>
              <w:rPr>
                <w:b/>
                <w:szCs w:val="24"/>
              </w:rPr>
              <w:t>Tresuvi</w:t>
            </w:r>
            <w:proofErr w:type="spellEnd"/>
            <w:r>
              <w:rPr>
                <w:b/>
                <w:szCs w:val="24"/>
              </w:rPr>
              <w:t xml:space="preserve"> kazettában vagy fecskendőben hígítandó térfogata (ml) 20 ml (0,4 ml/óra infúziós sebesség), 50 ml (1 ml/óra infúziós sebesség), 100 ml-es kazetta (2 ml/óra infúziós sebesség)</w:t>
            </w:r>
          </w:p>
          <w:p w14:paraId="6CC6B92C" w14:textId="1E7E9AFC" w:rsidR="005D5674" w:rsidRDefault="005D5674">
            <w:pPr>
              <w:keepNext/>
              <w:keepLines/>
              <w:jc w:val="center"/>
              <w:rPr>
                <w:b/>
                <w:bCs/>
                <w:szCs w:val="24"/>
              </w:rPr>
            </w:pPr>
          </w:p>
        </w:tc>
      </w:tr>
      <w:tr w:rsidR="005D5674" w14:paraId="14E3CD8F" w14:textId="77777777" w:rsidTr="005D5674">
        <w:trPr>
          <w:trHeight w:val="270"/>
        </w:trPr>
        <w:tc>
          <w:tcPr>
            <w:tcW w:w="84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B9F6A6" w14:textId="3937F24B" w:rsidR="005D5674" w:rsidRPr="005D5674" w:rsidRDefault="005D5674" w:rsidP="005D5674">
            <w:r>
              <w:rPr>
                <w:b/>
                <w:sz w:val="16"/>
                <w:szCs w:val="24"/>
              </w:rPr>
              <w:t>Dózis (</w:t>
            </w:r>
            <w:proofErr w:type="spellStart"/>
            <w:r>
              <w:rPr>
                <w:b/>
                <w:sz w:val="16"/>
                <w:szCs w:val="24"/>
              </w:rPr>
              <w:t>ng</w:t>
            </w:r>
            <w:proofErr w:type="spellEnd"/>
            <w:r>
              <w:rPr>
                <w:b/>
                <w:sz w:val="16"/>
                <w:szCs w:val="24"/>
              </w:rPr>
              <w:t>/</w:t>
            </w:r>
            <w:proofErr w:type="spellStart"/>
            <w:r>
              <w:rPr>
                <w:b/>
                <w:sz w:val="16"/>
                <w:szCs w:val="24"/>
              </w:rPr>
              <w:t>ttkg</w:t>
            </w:r>
            <w:proofErr w:type="spellEnd"/>
            <w:r>
              <w:rPr>
                <w:b/>
                <w:sz w:val="16"/>
                <w:szCs w:val="24"/>
              </w:rPr>
              <w:t>/perc)</w:t>
            </w:r>
          </w:p>
        </w:tc>
        <w:tc>
          <w:tcPr>
            <w:tcW w:w="9416" w:type="dxa"/>
            <w:gridSpan w:val="16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243809FC" w14:textId="451AFD25" w:rsidR="005D5674" w:rsidRPr="005D5674" w:rsidRDefault="005D5674" w:rsidP="005D5674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Beteg testtömege (kg)</w:t>
            </w:r>
          </w:p>
        </w:tc>
      </w:tr>
      <w:tr w:rsidR="005D5674" w14:paraId="254362D6" w14:textId="77777777" w:rsidTr="005D5674">
        <w:trPr>
          <w:trHeight w:val="3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51A598" w14:textId="77777777" w:rsidR="005D5674" w:rsidRDefault="005D5674">
            <w:pPr>
              <w:rPr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67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114A6601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E37E72A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56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1AC2CF1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5450EF6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55BE57B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17F9219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614B101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2D77119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E1A77C3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8717013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2E542AD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03B9C0C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9DE50D9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0D09987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D9EC442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</w:t>
            </w:r>
          </w:p>
        </w:tc>
        <w:tc>
          <w:tcPr>
            <w:tcW w:w="66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0EDBE741" w14:textId="77777777" w:rsidR="005D5674" w:rsidRDefault="005D5674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</w:t>
            </w:r>
          </w:p>
        </w:tc>
      </w:tr>
      <w:tr w:rsidR="005D5674" w14:paraId="645DA35D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25336464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10</w:t>
            </w:r>
          </w:p>
        </w:tc>
        <w:tc>
          <w:tcPr>
            <w:tcW w:w="67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3F9F101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0,150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39324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0,180</w:t>
            </w:r>
          </w:p>
        </w:tc>
        <w:tc>
          <w:tcPr>
            <w:tcW w:w="561" w:type="dxa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B75B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0,210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E9FE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0,240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8446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0,270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49F5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0,300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2E0D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0,330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8967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0,360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0039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0,390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71EA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0,420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F181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0,450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B67F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0,480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0717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0,510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E541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D29C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0,570</w:t>
            </w:r>
          </w:p>
        </w:tc>
        <w:tc>
          <w:tcPr>
            <w:tcW w:w="66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489C52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0,600</w:t>
            </w:r>
          </w:p>
        </w:tc>
      </w:tr>
      <w:tr w:rsidR="005D5674" w14:paraId="64C1997B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77510F28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12,5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BBF72B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0,188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0694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0,225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4062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0,263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C46D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706D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D4FC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B371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CB84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7717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88FA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B3CE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C37D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72FB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E359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A4E2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0,713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FA4EA6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0,750</w:t>
            </w:r>
          </w:p>
        </w:tc>
      </w:tr>
      <w:tr w:rsidR="005D5674" w14:paraId="660309DE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7229EDA1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15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4D8E338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0,225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C57A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0,270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B7AA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BE5D5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EF32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2C2E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4C30C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7E46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1763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1FEE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3D416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309E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0861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4F4C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02B3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0,855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136FFD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0,900</w:t>
            </w:r>
          </w:p>
        </w:tc>
      </w:tr>
      <w:tr w:rsidR="005D5674" w14:paraId="05D09F4A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1D9E6D3B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17,5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61D1334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0,263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8B8C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0,315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68F6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830B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1D59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AE38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17B9A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3A7FC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3F68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4F2E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776A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01D1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7EFB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31CF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AE40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0,998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A7AD88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1,050</w:t>
            </w:r>
          </w:p>
        </w:tc>
      </w:tr>
      <w:tr w:rsidR="005D5674" w14:paraId="590A3636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2F7B85DE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20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30CB610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6190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0,360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B8A1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E99E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3408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6F86E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85D6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35B4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1BB8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4639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C819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5A9B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BF21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37A2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218A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1,140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5B9EEC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1,200</w:t>
            </w:r>
          </w:p>
        </w:tc>
      </w:tr>
      <w:tr w:rsidR="005D5674" w14:paraId="39346C69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77CEA15C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22,5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4D114E4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0,338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46CA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0,405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FA313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3EFB4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B772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756F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FC08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9FED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26B5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4D2F1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4659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927D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A5DE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1A8A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110E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1,283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963154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1,350</w:t>
            </w:r>
          </w:p>
        </w:tc>
      </w:tr>
      <w:tr w:rsidR="005D5674" w14:paraId="615BB239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2B2FB849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25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60BD8E9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0,375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3973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0,450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9DBFF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A91D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AC66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9E06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1B69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70D8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E0CD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075F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B66E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8108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EC5A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0D9B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C9FF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1,425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18827F5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1,500</w:t>
            </w:r>
          </w:p>
        </w:tc>
      </w:tr>
      <w:tr w:rsidR="005D5674" w14:paraId="1F786E5C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15D12673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27,5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13BCD94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847E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0,495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BD50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7E1B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A9BC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6A53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1C0D5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963F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D5AB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D0F3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DA5C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E3D6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67E6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8BCAB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BFEF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1,568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7EA1C7B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1,650</w:t>
            </w:r>
          </w:p>
        </w:tc>
      </w:tr>
      <w:tr w:rsidR="005D5674" w14:paraId="3FF8796D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6A2E8B06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30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1698499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4BC24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0,540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80B6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98B7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7238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BA63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84B5E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3D0B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AB5E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0317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6429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5D36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BFED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1,530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D6C6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5937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1,710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6D96744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1,800</w:t>
            </w:r>
          </w:p>
        </w:tc>
      </w:tr>
      <w:tr w:rsidR="005D5674" w14:paraId="2F2AF825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3A572124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32,5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3B9F340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0,488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CA59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0,585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AA8D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D19E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770D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F908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8C1B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C838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F1AD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5EF3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7F36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1235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1,560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481B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01DA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1,755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F161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1,853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23E681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1,950</w:t>
            </w:r>
          </w:p>
        </w:tc>
      </w:tr>
      <w:tr w:rsidR="005D5674" w14:paraId="5121DE7C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1E7E5E1D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35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0ED51A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0,525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1782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0,630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C961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26C33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1C5DD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9C04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31BB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B423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78EF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598C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25FA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1,575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CA2A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976E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1,785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259C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1,890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AD81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1,995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44000DE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2,100</w:t>
            </w:r>
          </w:p>
        </w:tc>
      </w:tr>
      <w:tr w:rsidR="005D5674" w14:paraId="4F905F7E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1B612227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37,5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867E33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0,563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5C0C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0,675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0701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8591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1E156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6FE3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40F0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1411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5B802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1103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1,575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908D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4222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EFF0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1,913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B30C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2,025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7AE55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2,138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ABDD49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2,250</w:t>
            </w:r>
          </w:p>
        </w:tc>
      </w:tr>
      <w:tr w:rsidR="005D5674" w14:paraId="5FC0399A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70AC540A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40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1E20F9B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18EBD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0,720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DB6A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5338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C7B75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1358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F93C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4E5F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67F0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1,560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3408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E40F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04FF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1,920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80AE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2,040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6E96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5EC9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2,280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93134B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2,400</w:t>
            </w:r>
          </w:p>
        </w:tc>
      </w:tr>
      <w:tr w:rsidR="005D5674" w14:paraId="772F86D6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6C6EC313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42,5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03EB2F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0,638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408A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0,765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AC58D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D9F59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AFA3D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DE80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ACB0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BBB9C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1,530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24F1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1431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1,785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E73DA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1,913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5961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2,040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B1F4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2,168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BF8D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2,295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5B78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2,423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065EA01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2,550</w:t>
            </w:r>
          </w:p>
        </w:tc>
      </w:tr>
      <w:tr w:rsidR="005D5674" w14:paraId="57353DA7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7554B7B3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45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4E1846E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0,675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44BD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0,810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EDEC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590C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FC7E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E4F02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E4FC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75AF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58744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1,755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12EB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1,890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91BE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2,025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08AC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95CB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2,295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6E9E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2,430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8A58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2,565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1D12042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2,700</w:t>
            </w:r>
          </w:p>
        </w:tc>
      </w:tr>
      <w:tr w:rsidR="005D5674" w14:paraId="292CA635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308B1D70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47,5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63F52F7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C04D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0,855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3511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A27F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CBF7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A3F0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0C09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1,568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A356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1,710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F9F9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1,853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B12C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1,995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CB78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2,138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9C8A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2,280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480B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2,423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BE87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2,565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114C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2,708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1A745C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2,850</w:t>
            </w:r>
          </w:p>
        </w:tc>
      </w:tr>
      <w:tr w:rsidR="005D5674" w14:paraId="12BC0434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30F0FA99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50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27CA940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0,750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9D9F3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0,900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1F68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8C0C1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9714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C7CC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C988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4DEB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A0101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1,950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6B38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72F6A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6E052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81C0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2,550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9271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D8DA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2,850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5380E41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3,000</w:t>
            </w:r>
          </w:p>
        </w:tc>
      </w:tr>
      <w:tr w:rsidR="005D5674" w14:paraId="64F79C72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51FA064C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55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FD06F6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0,825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F459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0,990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DBD7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9A78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D2CE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0769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2E63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1,815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7620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1,980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8F62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8B5F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2,310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9EFF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2,475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6CC4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2,640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70CC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2,805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1A0B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2,970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0047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3,135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5F9387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3,300</w:t>
            </w:r>
          </w:p>
        </w:tc>
      </w:tr>
      <w:tr w:rsidR="005D5674" w14:paraId="16342DF8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0A39A73F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60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60D1C99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F9E6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1,080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D2C5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F9D0C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C3D3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51A7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4CC2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1,980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9B3B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2,160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127F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2,340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6DB1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2,520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FC93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B6FDF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2,880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92B3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3,060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CCCC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9C82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3,420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44D0B81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3,600</w:t>
            </w:r>
          </w:p>
        </w:tc>
      </w:tr>
      <w:tr w:rsidR="005D5674" w14:paraId="00AE219E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6AD4391D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65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6AA00C5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0,975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53FC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1,170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D035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26347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1,560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6951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1,755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161A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1,950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B16A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2,145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11B9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2,340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BA97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2,535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257D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2,730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D0796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2,925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DEA9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3,120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C6C1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3,315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C20D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3,510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4106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3,705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1B35F96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3,900</w:t>
            </w:r>
          </w:p>
        </w:tc>
      </w:tr>
      <w:tr w:rsidR="005D5674" w14:paraId="6A1B1C11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334C502A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70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11AC23B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1,050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2FB4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1,260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CDF805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09C4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7A0A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1,890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9FA0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9F1E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2,310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2F606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2,520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537B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2,730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76B4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2,940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B700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6030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3,360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F03C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3,570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FBF48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3,780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9A018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3,990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E395FC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4,200</w:t>
            </w:r>
          </w:p>
        </w:tc>
      </w:tr>
      <w:tr w:rsidR="005D5674" w14:paraId="43ABECB7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2D10B7C8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75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  <w:hideMark/>
          </w:tcPr>
          <w:p w14:paraId="756733F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1,125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09EE9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1,350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D1BF3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1,575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C601C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0357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2,025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F28A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8AC8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2,475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5E65B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0242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2,925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882E7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2A65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3,375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544C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D78D0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3,825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0A592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4,050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C9BF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4,275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  <w:hideMark/>
          </w:tcPr>
          <w:p w14:paraId="26F943D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4,500</w:t>
            </w:r>
          </w:p>
        </w:tc>
      </w:tr>
      <w:tr w:rsidR="005D5674" w14:paraId="5FFE06B1" w14:textId="77777777" w:rsidTr="005D5674">
        <w:trPr>
          <w:trHeight w:val="255"/>
        </w:trPr>
        <w:tc>
          <w:tcPr>
            <w:tcW w:w="847" w:type="dxa"/>
            <w:tcBorders>
              <w:top w:val="nil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5A4F402" w14:textId="77777777" w:rsidR="005D5674" w:rsidRDefault="005D5674">
            <w:pPr>
              <w:keepNext/>
              <w:keepLines/>
              <w:spacing w:line="160" w:lineRule="exact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fr-FR" w:eastAsia="fr-FR"/>
              </w:rPr>
              <w:t>80</w:t>
            </w:r>
          </w:p>
        </w:tc>
        <w:tc>
          <w:tcPr>
            <w:tcW w:w="67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1431CE2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55BEE824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1,440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17DC807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0139822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1,920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164367C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32F184C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767EB35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75B232C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2,880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5052162A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7829336E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5FA6EB8F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21A7BCA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3,840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3AFDBF4B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4,080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33A06B8D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4,320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2C4AC8C1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4,560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  <w:hideMark/>
          </w:tcPr>
          <w:p w14:paraId="4C04675C" w14:textId="77777777" w:rsidR="005D5674" w:rsidRDefault="005D5674">
            <w:pPr>
              <w:keepNext/>
              <w:keepLines/>
              <w:spacing w:line="160" w:lineRule="exact"/>
              <w:rPr>
                <w:sz w:val="15"/>
                <w:szCs w:val="16"/>
              </w:rPr>
            </w:pPr>
            <w:r>
              <w:rPr>
                <w:sz w:val="15"/>
                <w:szCs w:val="15"/>
                <w:lang w:val="fr-FR" w:eastAsia="fr-FR"/>
              </w:rPr>
              <w:t>4,800</w:t>
            </w:r>
          </w:p>
        </w:tc>
      </w:tr>
    </w:tbl>
    <w:p w14:paraId="02D461A3" w14:textId="60694EDD" w:rsidR="002B5673" w:rsidRDefault="002B5673">
      <w:pPr>
        <w:rPr>
          <w:szCs w:val="22"/>
          <w:lang w:eastAsia="en-US"/>
        </w:rPr>
      </w:pPr>
    </w:p>
    <w:p w14:paraId="5DCAF762" w14:textId="77777777" w:rsidR="000F26B4" w:rsidRDefault="000F26B4" w:rsidP="00020748">
      <w:pPr>
        <w:rPr>
          <w:color w:val="000000" w:themeColor="text1"/>
          <w:szCs w:val="22"/>
          <w:u w:val="single"/>
        </w:rPr>
      </w:pPr>
    </w:p>
    <w:p w14:paraId="1371A704" w14:textId="77777777" w:rsidR="000F26B4" w:rsidRDefault="000F26B4" w:rsidP="00020748">
      <w:pPr>
        <w:rPr>
          <w:color w:val="000000" w:themeColor="text1"/>
          <w:szCs w:val="22"/>
          <w:u w:val="single"/>
        </w:rPr>
      </w:pPr>
    </w:p>
    <w:p w14:paraId="54BC08C9" w14:textId="2FB6B53E" w:rsidR="00B00CBD" w:rsidRPr="001D38B4" w:rsidRDefault="00B00CBD" w:rsidP="00020748">
      <w:pPr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  <w:u w:val="single"/>
        </w:rPr>
        <w:t xml:space="preserve">A </w:t>
      </w:r>
      <w:bookmarkStart w:id="56" w:name="_Hlk93327856"/>
      <w:r w:rsidR="000F26B4" w:rsidRPr="00C02D33">
        <w:rPr>
          <w:bCs/>
          <w:szCs w:val="22"/>
        </w:rPr>
        <w:t>külső, hordozható infúziós pumpa segítségével történő</w:t>
      </w:r>
      <w:r w:rsidR="000F26B4">
        <w:rPr>
          <w:color w:val="000000" w:themeColor="text1"/>
          <w:szCs w:val="22"/>
          <w:u w:val="single"/>
        </w:rPr>
        <w:t xml:space="preserve">, </w:t>
      </w:r>
      <w:bookmarkEnd w:id="56"/>
      <w:r>
        <w:rPr>
          <w:color w:val="000000" w:themeColor="text1"/>
          <w:szCs w:val="22"/>
          <w:u w:val="single"/>
        </w:rPr>
        <w:t>folyamatos intravénás infúzióban részesülő betegek oktatása</w:t>
      </w:r>
    </w:p>
    <w:p w14:paraId="4CA9E7AD" w14:textId="77777777" w:rsidR="00B00CBD" w:rsidRPr="005D5674" w:rsidRDefault="00B00CBD" w:rsidP="00020748">
      <w:pPr>
        <w:rPr>
          <w:color w:val="000000" w:themeColor="text1"/>
          <w:szCs w:val="22"/>
          <w:u w:val="single"/>
          <w:lang w:eastAsia="fr-FR"/>
        </w:rPr>
      </w:pPr>
    </w:p>
    <w:p w14:paraId="356429A9" w14:textId="059F7543" w:rsidR="00B00CBD" w:rsidRDefault="00B00CBD" w:rsidP="00020748">
      <w:pPr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</w:rPr>
        <w:t xml:space="preserve">A terápiáért felelős klinikai csapatnak feltétlenül gondoskodnia kell arról, hogy a beteg teljes körű képzést kapjon és képes legyen használni a választott infúziós eszközt. A személyes oktatás és felügyelet időszakának mindaddig kell tartania, amíg a beteget alkalmasnak nem ítélik az infúziók cseréjére, az áramlási sebesség/dózis a kapott útmutatásnak megfelelő módosítására, valamint arra, hogy a készülék gyakori riasztójelzései esetén beavatkozzék. A betegeket meg kell tanítani arra, hogy az aszepszis módszereit alkalmazva, szakszerűen készítsék elő a </w:t>
      </w:r>
      <w:proofErr w:type="spellStart"/>
      <w:r>
        <w:rPr>
          <w:color w:val="000000" w:themeColor="text1"/>
          <w:szCs w:val="22"/>
        </w:rPr>
        <w:t>treprosztiniles</w:t>
      </w:r>
      <w:proofErr w:type="spellEnd"/>
      <w:r>
        <w:rPr>
          <w:color w:val="000000" w:themeColor="text1"/>
          <w:szCs w:val="22"/>
        </w:rPr>
        <w:t xml:space="preserve"> infúziós tartályt, továbbá légtelenítsék az infúziós szereléket és csatlakozóit. A beteget mindenképpen el kell látni – a pumpa gyártója által vagy a gyógyszert rendelő orvos által kifejezetten a betegnek összeállított – írásba adott útmutatással. Ebben szerepelniük kell a gyógyszerbevitelhez kapcsolódó szokványos tevékenységeknek, az eltömődés és a pumpa riasztójelzései esetén szükséges teendőknek, valamint a vészhelyzetben elérhető kapcsolattartó adatainak.</w:t>
      </w:r>
    </w:p>
    <w:p w14:paraId="11155646" w14:textId="7A9B7559" w:rsidR="00067E49" w:rsidRDefault="00067E49" w:rsidP="00020748">
      <w:pPr>
        <w:rPr>
          <w:color w:val="000000" w:themeColor="text1"/>
          <w:szCs w:val="22"/>
          <w:u w:val="single"/>
        </w:rPr>
      </w:pPr>
    </w:p>
    <w:p w14:paraId="38F1C0D5" w14:textId="77777777" w:rsidR="00067E49" w:rsidRPr="005D5674" w:rsidRDefault="00067E49" w:rsidP="00020748">
      <w:pPr>
        <w:rPr>
          <w:szCs w:val="22"/>
          <w:lang w:eastAsia="fr-FR"/>
        </w:rPr>
      </w:pPr>
    </w:p>
    <w:p w14:paraId="41B6B21B" w14:textId="77777777" w:rsidR="000F26B4" w:rsidRPr="00730516" w:rsidRDefault="008554F7" w:rsidP="000F26B4">
      <w:pPr>
        <w:keepNext/>
        <w:contextualSpacing/>
        <w:rPr>
          <w:b/>
          <w:szCs w:val="22"/>
          <w:u w:val="single"/>
        </w:rPr>
      </w:pPr>
      <w:r>
        <w:rPr>
          <w:b/>
          <w:color w:val="000000" w:themeColor="text1"/>
          <w:szCs w:val="22"/>
        </w:rPr>
        <w:t>A katéterrel összefüggő szisztémás fertőzések kockázatának minimalizálása</w:t>
      </w:r>
      <w:r w:rsidR="000F26B4">
        <w:rPr>
          <w:b/>
          <w:color w:val="000000" w:themeColor="text1"/>
          <w:szCs w:val="22"/>
        </w:rPr>
        <w:t xml:space="preserve"> </w:t>
      </w:r>
      <w:bookmarkStart w:id="57" w:name="_Hlk93327900"/>
      <w:r w:rsidR="000F26B4" w:rsidRPr="00730516">
        <w:rPr>
          <w:b/>
          <w:szCs w:val="22"/>
        </w:rPr>
        <w:t xml:space="preserve">egy </w:t>
      </w:r>
      <w:r w:rsidR="000F26B4" w:rsidRPr="00730516">
        <w:rPr>
          <w:b/>
          <w:szCs w:val="22"/>
          <w:u w:val="single"/>
        </w:rPr>
        <w:t>külső, hordozható infúziós pumpa használata esetén</w:t>
      </w:r>
    </w:p>
    <w:bookmarkEnd w:id="57"/>
    <w:p w14:paraId="1529F4E4" w14:textId="77777777" w:rsidR="00B00CBD" w:rsidRPr="005D5674" w:rsidRDefault="00B00CBD" w:rsidP="00020748">
      <w:pPr>
        <w:rPr>
          <w:color w:val="000000" w:themeColor="text1"/>
          <w:szCs w:val="22"/>
          <w:lang w:eastAsia="fr-FR"/>
        </w:rPr>
      </w:pPr>
    </w:p>
    <w:p w14:paraId="05A4792B" w14:textId="75EB216D" w:rsidR="008554F7" w:rsidRDefault="008554F7" w:rsidP="00020748">
      <w:pPr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A katéterrel összefüggő szisztémás fertőzések kockázatának lehető legteljesebb kiküszöbölése érdekében a </w:t>
      </w:r>
      <w:proofErr w:type="spellStart"/>
      <w:r>
        <w:rPr>
          <w:color w:val="000000" w:themeColor="text1"/>
          <w:szCs w:val="22"/>
        </w:rPr>
        <w:t>treprosztinilt</w:t>
      </w:r>
      <w:proofErr w:type="spellEnd"/>
      <w:r>
        <w:rPr>
          <w:color w:val="000000" w:themeColor="text1"/>
          <w:szCs w:val="22"/>
        </w:rPr>
        <w:t xml:space="preserve"> intravénás infúzióban</w:t>
      </w:r>
      <w:r w:rsidR="000F26B4">
        <w:rPr>
          <w:color w:val="000000" w:themeColor="text1"/>
          <w:szCs w:val="22"/>
        </w:rPr>
        <w:t xml:space="preserve">, </w:t>
      </w:r>
      <w:bookmarkStart w:id="58" w:name="_Hlk93327917"/>
      <w:r w:rsidR="000F26B4" w:rsidRPr="00730516">
        <w:rPr>
          <w:szCs w:val="22"/>
        </w:rPr>
        <w:t>külső, hordozható infúziós pumpa alkalmazásával</w:t>
      </w:r>
      <w:bookmarkEnd w:id="58"/>
      <w:r>
        <w:rPr>
          <w:color w:val="000000" w:themeColor="text1"/>
          <w:szCs w:val="22"/>
        </w:rPr>
        <w:t xml:space="preserve"> kapó betegek esetében nagy figyelmet kell szentelni a következőknek (lásd 4.4 pont). Ezek a tanácsok összhangban állnak a katéterrel összefüggő szisztémás fertőzések megelőzését célzó legjobb gyakorlatra vonatkozó, jelenlegi iránymutatásokkal:</w:t>
      </w:r>
    </w:p>
    <w:p w14:paraId="68D5FB74" w14:textId="77777777" w:rsidR="00B00CBD" w:rsidRPr="005D5674" w:rsidRDefault="00B00CBD" w:rsidP="00020748">
      <w:pPr>
        <w:rPr>
          <w:bCs/>
          <w:color w:val="000000" w:themeColor="text1"/>
          <w:szCs w:val="22"/>
          <w:lang w:eastAsia="fr-FR"/>
        </w:rPr>
      </w:pPr>
    </w:p>
    <w:p w14:paraId="741C7E62" w14:textId="6D3041CA" w:rsidR="00B00CBD" w:rsidRPr="00B00CBD" w:rsidRDefault="00B00CBD" w:rsidP="00020748">
      <w:pPr>
        <w:rPr>
          <w:i/>
          <w:color w:val="000000" w:themeColor="text1"/>
          <w:szCs w:val="22"/>
        </w:rPr>
      </w:pPr>
      <w:r>
        <w:rPr>
          <w:i/>
          <w:color w:val="000000" w:themeColor="text1"/>
          <w:szCs w:val="22"/>
        </w:rPr>
        <w:t>Általános alapelvek</w:t>
      </w:r>
    </w:p>
    <w:p w14:paraId="04296F5D" w14:textId="77777777" w:rsidR="00B00CBD" w:rsidRPr="00B00CBD" w:rsidRDefault="00B00CBD" w:rsidP="00020748">
      <w:pPr>
        <w:rPr>
          <w:color w:val="000000" w:themeColor="text1"/>
          <w:szCs w:val="22"/>
          <w:lang w:val="fr-FR" w:eastAsia="fr-FR"/>
        </w:rPr>
      </w:pPr>
    </w:p>
    <w:p w14:paraId="44A1FCB4" w14:textId="23CFA86E" w:rsidR="00B00CBD" w:rsidRPr="00B00CBD" w:rsidRDefault="00B00CBD" w:rsidP="00020748">
      <w:pPr>
        <w:numPr>
          <w:ilvl w:val="0"/>
          <w:numId w:val="19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A lehető legkevesebb </w:t>
      </w:r>
      <w:proofErr w:type="spellStart"/>
      <w:r>
        <w:rPr>
          <w:color w:val="000000" w:themeColor="text1"/>
          <w:szCs w:val="22"/>
        </w:rPr>
        <w:t>porttal</w:t>
      </w:r>
      <w:proofErr w:type="spellEnd"/>
      <w:r>
        <w:rPr>
          <w:color w:val="000000" w:themeColor="text1"/>
          <w:szCs w:val="22"/>
        </w:rPr>
        <w:t xml:space="preserve"> ellátott, mandzsettás és </w:t>
      </w:r>
      <w:proofErr w:type="spellStart"/>
      <w:r>
        <w:rPr>
          <w:color w:val="000000" w:themeColor="text1"/>
          <w:szCs w:val="22"/>
        </w:rPr>
        <w:t>subcutan</w:t>
      </w:r>
      <w:proofErr w:type="spellEnd"/>
      <w:r>
        <w:rPr>
          <w:color w:val="000000" w:themeColor="text1"/>
          <w:szCs w:val="22"/>
        </w:rPr>
        <w:t xml:space="preserve"> alagúton át bevezetett centrális vénás katétert (CVC) kell használni.</w:t>
      </w:r>
    </w:p>
    <w:p w14:paraId="15686EE5" w14:textId="71500D00" w:rsidR="00B00CBD" w:rsidRPr="00B00CBD" w:rsidRDefault="00865472" w:rsidP="00020748">
      <w:pPr>
        <w:numPr>
          <w:ilvl w:val="0"/>
          <w:numId w:val="19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 CVC bevezetését steril izolálással kell végezni.</w:t>
      </w:r>
    </w:p>
    <w:p w14:paraId="6272F113" w14:textId="204F5C81" w:rsidR="00B00CBD" w:rsidRPr="00B00CBD" w:rsidRDefault="00865472" w:rsidP="00020748">
      <w:pPr>
        <w:numPr>
          <w:ilvl w:val="0"/>
          <w:numId w:val="19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 katéter bevezetésekor, cseréjekor, kezelésekor, javításakor vagy belépési pontjának vizsgálatakor és/vagy a fedőkötés cseréjekor alkalmazni kell a szakszerű kézhigiéné és aszepszis szabályait.</w:t>
      </w:r>
    </w:p>
    <w:p w14:paraId="6E975458" w14:textId="4EB4135C" w:rsidR="00B00CBD" w:rsidRPr="00B00CBD" w:rsidRDefault="00865472" w:rsidP="00020748">
      <w:pPr>
        <w:numPr>
          <w:ilvl w:val="0"/>
          <w:numId w:val="19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 katéter bevezetésének helyét steril (két naponként cserélt) gézzel vagy steril, átlátszó, féligáteresztő (legalább hétnaponként cserélt) kötszerrel kell fedni.</w:t>
      </w:r>
    </w:p>
    <w:p w14:paraId="3E8BAA22" w14:textId="5B3C70EE" w:rsidR="00B00CBD" w:rsidRPr="00B00CBD" w:rsidRDefault="00865472" w:rsidP="00020748">
      <w:pPr>
        <w:numPr>
          <w:ilvl w:val="0"/>
          <w:numId w:val="19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 kötést ki kell cserélni, ha átnedvesedett, meglazult vagy szennyeződött, vagy miután megvizsgálták a katéter belépési helyét.</w:t>
      </w:r>
    </w:p>
    <w:p w14:paraId="0F0A9F10" w14:textId="5EA1DB56" w:rsidR="00B00CBD" w:rsidRPr="00B00CBD" w:rsidRDefault="00B00CBD" w:rsidP="00020748">
      <w:pPr>
        <w:numPr>
          <w:ilvl w:val="0"/>
          <w:numId w:val="19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Lokális antibiotikum kenőcsöket vagy krémeket nem szabad használni, mert ezek kedvezhetnek a gombás fertőzéseknek és az </w:t>
      </w:r>
      <w:proofErr w:type="spellStart"/>
      <w:r>
        <w:rPr>
          <w:color w:val="000000" w:themeColor="text1"/>
          <w:szCs w:val="22"/>
        </w:rPr>
        <w:t>antimicrobialis</w:t>
      </w:r>
      <w:proofErr w:type="spellEnd"/>
      <w:r>
        <w:rPr>
          <w:color w:val="000000" w:themeColor="text1"/>
          <w:szCs w:val="22"/>
        </w:rPr>
        <w:t xml:space="preserve"> szerekre rezisztens baktériumoknak.</w:t>
      </w:r>
    </w:p>
    <w:p w14:paraId="2584F1F2" w14:textId="77777777" w:rsidR="00B00CBD" w:rsidRPr="005D5674" w:rsidRDefault="00B00CBD" w:rsidP="00020748">
      <w:pPr>
        <w:rPr>
          <w:bCs/>
          <w:color w:val="000000" w:themeColor="text1"/>
          <w:szCs w:val="22"/>
          <w:lang w:eastAsia="fr-FR"/>
        </w:rPr>
      </w:pPr>
    </w:p>
    <w:p w14:paraId="78428F2D" w14:textId="35F4EF26" w:rsidR="00B00CBD" w:rsidRPr="00B00CBD" w:rsidRDefault="00EE7864" w:rsidP="00020748">
      <w:pPr>
        <w:contextualSpacing/>
        <w:rPr>
          <w:i/>
          <w:color w:val="000000" w:themeColor="text1"/>
          <w:szCs w:val="22"/>
        </w:rPr>
      </w:pPr>
      <w:r>
        <w:rPr>
          <w:i/>
          <w:color w:val="000000" w:themeColor="text1"/>
          <w:szCs w:val="22"/>
        </w:rPr>
        <w:t xml:space="preserve">A hígított </w:t>
      </w:r>
      <w:proofErr w:type="spellStart"/>
      <w:r>
        <w:rPr>
          <w:i/>
          <w:color w:val="000000" w:themeColor="text1"/>
          <w:szCs w:val="22"/>
        </w:rPr>
        <w:t>Tresuvi</w:t>
      </w:r>
      <w:proofErr w:type="spellEnd"/>
      <w:r>
        <w:rPr>
          <w:i/>
          <w:color w:val="000000" w:themeColor="text1"/>
          <w:szCs w:val="22"/>
        </w:rPr>
        <w:t xml:space="preserve"> oldat felhasználási időtartama</w:t>
      </w:r>
    </w:p>
    <w:p w14:paraId="2003E3CC" w14:textId="4BD10BA6" w:rsidR="00B00CBD" w:rsidRPr="00B00CBD" w:rsidRDefault="00B00CBD" w:rsidP="00020748">
      <w:pPr>
        <w:numPr>
          <w:ilvl w:val="0"/>
          <w:numId w:val="18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 hígított készítmény legfeljebb 24 órán át használható.</w:t>
      </w:r>
    </w:p>
    <w:p w14:paraId="5046CE7E" w14:textId="77777777" w:rsidR="00B00CBD" w:rsidRPr="005D5674" w:rsidRDefault="00B00CBD" w:rsidP="00020748">
      <w:pPr>
        <w:ind w:left="720"/>
        <w:contextualSpacing/>
        <w:rPr>
          <w:color w:val="000000" w:themeColor="text1"/>
          <w:szCs w:val="22"/>
          <w:lang w:eastAsia="en-US"/>
        </w:rPr>
      </w:pPr>
    </w:p>
    <w:p w14:paraId="476C9941" w14:textId="49696F55" w:rsidR="00B00CBD" w:rsidRPr="00B00CBD" w:rsidRDefault="000E0F31" w:rsidP="00020748">
      <w:pPr>
        <w:rPr>
          <w:i/>
          <w:color w:val="000000" w:themeColor="text1"/>
          <w:szCs w:val="22"/>
        </w:rPr>
      </w:pPr>
      <w:r>
        <w:rPr>
          <w:i/>
          <w:color w:val="000000" w:themeColor="text1"/>
          <w:szCs w:val="22"/>
        </w:rPr>
        <w:t>0,2 mikronos soros szűrő használata</w:t>
      </w:r>
    </w:p>
    <w:p w14:paraId="36C4FAFE" w14:textId="3DB8A13F" w:rsidR="00B00CBD" w:rsidRPr="00B00CBD" w:rsidRDefault="00B00CBD" w:rsidP="00020748">
      <w:pPr>
        <w:numPr>
          <w:ilvl w:val="0"/>
          <w:numId w:val="18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Az infúziós szerelék és a katéter csatlakozója közé 0,2 mikronos szűrőt kell iktatni és azt 24 óránként, az infúziós tartállyal együtt cserélni kell.</w:t>
      </w:r>
    </w:p>
    <w:p w14:paraId="3DDDB059" w14:textId="77777777" w:rsidR="00B00CBD" w:rsidRPr="00404671" w:rsidRDefault="00B00CBD" w:rsidP="00020748">
      <w:pPr>
        <w:ind w:left="720"/>
        <w:contextualSpacing/>
        <w:rPr>
          <w:color w:val="000000" w:themeColor="text1"/>
          <w:szCs w:val="22"/>
          <w:lang w:eastAsia="en-US"/>
        </w:rPr>
      </w:pPr>
    </w:p>
    <w:p w14:paraId="7CC32A82" w14:textId="2DB8BFAA" w:rsidR="00B00CBD" w:rsidRPr="00B00CBD" w:rsidRDefault="000E0F31" w:rsidP="00020748">
      <w:pPr>
        <w:autoSpaceDE w:val="0"/>
        <w:autoSpaceDN w:val="0"/>
        <w:adjustRightInd w:val="0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További két, a vízzel terjedő </w:t>
      </w:r>
      <w:proofErr w:type="spellStart"/>
      <w:r>
        <w:rPr>
          <w:color w:val="000000" w:themeColor="text1"/>
          <w:szCs w:val="22"/>
        </w:rPr>
        <w:t>Gram</w:t>
      </w:r>
      <w:proofErr w:type="spellEnd"/>
      <w:r>
        <w:rPr>
          <w:color w:val="000000" w:themeColor="text1"/>
          <w:szCs w:val="22"/>
        </w:rPr>
        <w:noBreakHyphen/>
        <w:t>negatív szisztémás fertőzések megelőzése szempontjából esetleg fontos ajánlás</w:t>
      </w:r>
      <w:r>
        <w:t xml:space="preserve"> </w:t>
      </w:r>
      <w:r>
        <w:rPr>
          <w:color w:val="000000" w:themeColor="text1"/>
          <w:szCs w:val="22"/>
        </w:rPr>
        <w:t>a katéter csatlakozójának kezelésére vonatkozik. Így például:</w:t>
      </w:r>
    </w:p>
    <w:p w14:paraId="6642B7CF" w14:textId="77777777" w:rsidR="00B00CBD" w:rsidRPr="00B00CBD" w:rsidRDefault="00B00CBD" w:rsidP="00020748">
      <w:pPr>
        <w:autoSpaceDE w:val="0"/>
        <w:autoSpaceDN w:val="0"/>
        <w:adjustRightInd w:val="0"/>
        <w:rPr>
          <w:color w:val="000000" w:themeColor="text1"/>
          <w:szCs w:val="22"/>
          <w:lang w:val="en-US" w:eastAsia="fr-FR"/>
        </w:rPr>
      </w:pPr>
    </w:p>
    <w:p w14:paraId="28926055" w14:textId="0B2808FA" w:rsidR="00B00CBD" w:rsidRPr="00B00CBD" w:rsidRDefault="000E0F31" w:rsidP="00020748">
      <w:pPr>
        <w:contextualSpacing/>
        <w:rPr>
          <w:i/>
          <w:color w:val="000000" w:themeColor="text1"/>
          <w:szCs w:val="22"/>
        </w:rPr>
      </w:pPr>
      <w:r>
        <w:rPr>
          <w:i/>
          <w:color w:val="000000" w:themeColor="text1"/>
          <w:szCs w:val="22"/>
        </w:rPr>
        <w:t>Osztott membrános, zárt elosztós rendszer használata</w:t>
      </w:r>
    </w:p>
    <w:p w14:paraId="4BC75F8A" w14:textId="239DA6DD" w:rsidR="00B00CBD" w:rsidRPr="00B00CBD" w:rsidRDefault="00B00CBD" w:rsidP="00020748">
      <w:pPr>
        <w:numPr>
          <w:ilvl w:val="0"/>
          <w:numId w:val="20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Zárt elosztós (inkább osztott membrános, mint mechanikus szeleppel</w:t>
      </w:r>
      <w:r>
        <w:t xml:space="preserve"> </w:t>
      </w:r>
      <w:r>
        <w:rPr>
          <w:color w:val="000000" w:themeColor="text1"/>
          <w:szCs w:val="22"/>
        </w:rPr>
        <w:t>ellátott) rendszer használata biztosítja, hogy az infúziós rendszer minden egyes szétkapcsolásakor légmentesen zárt maradjon a katéter lumene. Ez megelőzi azt, hogy a mikrobás szennyeződés kockázatának legyen kitéve.</w:t>
      </w:r>
    </w:p>
    <w:p w14:paraId="3AA91ED4" w14:textId="6A15669E" w:rsidR="00B00CBD" w:rsidRPr="00B00CBD" w:rsidRDefault="00B00CBD" w:rsidP="00020748">
      <w:pPr>
        <w:numPr>
          <w:ilvl w:val="0"/>
          <w:numId w:val="20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Az osztott membrános zárt elosztóval ellátott eszközt 7 naponta cserélni kell.</w:t>
      </w:r>
    </w:p>
    <w:p w14:paraId="051081DD" w14:textId="77777777" w:rsidR="00B00CBD" w:rsidRPr="005D5674" w:rsidRDefault="00B00CBD" w:rsidP="00020748">
      <w:pPr>
        <w:ind w:left="720"/>
        <w:contextualSpacing/>
        <w:rPr>
          <w:color w:val="000000" w:themeColor="text1"/>
          <w:szCs w:val="22"/>
          <w:lang w:eastAsia="en-US"/>
        </w:rPr>
      </w:pPr>
    </w:p>
    <w:p w14:paraId="65529C67" w14:textId="520EB408" w:rsidR="00B00CBD" w:rsidRPr="00B00CBD" w:rsidRDefault="00583326" w:rsidP="00020748">
      <w:pPr>
        <w:contextualSpacing/>
        <w:rPr>
          <w:i/>
          <w:color w:val="000000" w:themeColor="text1"/>
          <w:szCs w:val="22"/>
        </w:rPr>
      </w:pPr>
      <w:proofErr w:type="spellStart"/>
      <w:r>
        <w:rPr>
          <w:i/>
          <w:color w:val="000000" w:themeColor="text1"/>
          <w:szCs w:val="22"/>
        </w:rPr>
        <w:t>Luer-záras</w:t>
      </w:r>
      <w:proofErr w:type="spellEnd"/>
      <w:r>
        <w:rPr>
          <w:i/>
          <w:color w:val="000000" w:themeColor="text1"/>
          <w:szCs w:val="22"/>
        </w:rPr>
        <w:t xml:space="preserve"> infúziós összekötők</w:t>
      </w:r>
    </w:p>
    <w:p w14:paraId="17DF63C5" w14:textId="33185507" w:rsidR="00583326" w:rsidRDefault="00B00CBD" w:rsidP="00020748">
      <w:p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A víz útján terjedő </w:t>
      </w:r>
      <w:proofErr w:type="spellStart"/>
      <w:r>
        <w:rPr>
          <w:color w:val="000000" w:themeColor="text1"/>
          <w:szCs w:val="22"/>
        </w:rPr>
        <w:t>Gram</w:t>
      </w:r>
      <w:proofErr w:type="spellEnd"/>
      <w:r>
        <w:rPr>
          <w:color w:val="000000" w:themeColor="text1"/>
          <w:szCs w:val="22"/>
        </w:rPr>
        <w:t xml:space="preserve">-negatív mikroorganizmusokkal történő szennyeződés kockázata nagy valószínűséggel fokozott, ha az infúziós szerelék vagy a zárt elosztó cseréjekor nedves a </w:t>
      </w:r>
      <w:proofErr w:type="spellStart"/>
      <w:r>
        <w:rPr>
          <w:color w:val="000000" w:themeColor="text1"/>
          <w:szCs w:val="22"/>
        </w:rPr>
        <w:t>Luer-záras</w:t>
      </w:r>
      <w:proofErr w:type="spellEnd"/>
      <w:r>
        <w:rPr>
          <w:color w:val="000000" w:themeColor="text1"/>
          <w:szCs w:val="22"/>
        </w:rPr>
        <w:t xml:space="preserve"> összekötő.</w:t>
      </w:r>
    </w:p>
    <w:p w14:paraId="70033BBA" w14:textId="77777777" w:rsidR="00B00CBD" w:rsidRPr="00B00CBD" w:rsidRDefault="00B00CBD" w:rsidP="00020748">
      <w:p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Ezért:</w:t>
      </w:r>
    </w:p>
    <w:p w14:paraId="4717537E" w14:textId="77777777" w:rsidR="00B00CBD" w:rsidRPr="00B00CBD" w:rsidRDefault="00B00CBD" w:rsidP="00020748">
      <w:pPr>
        <w:contextualSpacing/>
        <w:rPr>
          <w:color w:val="000000" w:themeColor="text1"/>
          <w:szCs w:val="22"/>
          <w:lang w:val="en-US" w:eastAsia="en-US"/>
        </w:rPr>
      </w:pPr>
    </w:p>
    <w:p w14:paraId="64EAEB9A" w14:textId="366A8A15" w:rsidR="00B00CBD" w:rsidRPr="00B00CBD" w:rsidRDefault="00393621" w:rsidP="00020748">
      <w:pPr>
        <w:numPr>
          <w:ilvl w:val="0"/>
          <w:numId w:val="21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Helyteleníteni kell az úszást és az infúziós rendszer alámerítését a katéterelosztóhoz történő csatlakozás helyénél.</w:t>
      </w:r>
    </w:p>
    <w:p w14:paraId="235D6331" w14:textId="0EA046D9" w:rsidR="00B00CBD" w:rsidRPr="00B00CBD" w:rsidRDefault="00B00CBD" w:rsidP="00020748">
      <w:pPr>
        <w:numPr>
          <w:ilvl w:val="0"/>
          <w:numId w:val="21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A zárt elosztóval ellátott eszköz cseréjekor a </w:t>
      </w:r>
      <w:proofErr w:type="spellStart"/>
      <w:r>
        <w:rPr>
          <w:color w:val="000000" w:themeColor="text1"/>
          <w:szCs w:val="22"/>
        </w:rPr>
        <w:t>Luer</w:t>
      </w:r>
      <w:proofErr w:type="spellEnd"/>
      <w:r>
        <w:rPr>
          <w:color w:val="000000" w:themeColor="text1"/>
          <w:szCs w:val="22"/>
        </w:rPr>
        <w:t>-zár menetes része nem lehet szemmel láthatóan vizes.</w:t>
      </w:r>
    </w:p>
    <w:p w14:paraId="50B30606" w14:textId="08BE87B9" w:rsidR="00B00CBD" w:rsidRDefault="00B00CBD" w:rsidP="00020748">
      <w:pPr>
        <w:numPr>
          <w:ilvl w:val="0"/>
          <w:numId w:val="21"/>
        </w:numPr>
        <w:contextualSpacing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Az infúziós szereléket csak 24 óránként, a csere időpontjában szabad lekapcsolni a zárt elosztóval ellátott eszközről.</w:t>
      </w:r>
    </w:p>
    <w:p w14:paraId="106989F8" w14:textId="77777777" w:rsidR="0003544C" w:rsidRDefault="0003544C" w:rsidP="00020748">
      <w:pPr>
        <w:numPr>
          <w:ilvl w:val="0"/>
          <w:numId w:val="21"/>
        </w:numPr>
        <w:contextualSpacing/>
        <w:rPr>
          <w:color w:val="000000" w:themeColor="text1"/>
          <w:szCs w:val="22"/>
        </w:rPr>
      </w:pPr>
    </w:p>
    <w:p w14:paraId="6DE6BA36" w14:textId="77777777" w:rsidR="000F26B4" w:rsidRPr="000F26B4" w:rsidRDefault="000F26B4" w:rsidP="000F26B4">
      <w:pPr>
        <w:contextualSpacing/>
        <w:rPr>
          <w:color w:val="000000" w:themeColor="text1"/>
          <w:szCs w:val="22"/>
        </w:rPr>
      </w:pPr>
      <w:bookmarkStart w:id="59" w:name="_Hlk93331822"/>
      <w:r w:rsidRPr="000F26B4">
        <w:rPr>
          <w:color w:val="000000" w:themeColor="text1"/>
          <w:szCs w:val="22"/>
        </w:rPr>
        <w:t xml:space="preserve">Adagolás folyamatos, intravénás infúzióként egy teljes egészében a szervezetbe beültetett infúziós pumpa segítségével, a </w:t>
      </w:r>
      <w:proofErr w:type="spellStart"/>
      <w:r w:rsidRPr="000F26B4">
        <w:rPr>
          <w:color w:val="000000" w:themeColor="text1"/>
          <w:szCs w:val="22"/>
        </w:rPr>
        <w:t>Tresuvi</w:t>
      </w:r>
      <w:proofErr w:type="spellEnd"/>
      <w:r w:rsidRPr="000F26B4">
        <w:rPr>
          <w:color w:val="000000" w:themeColor="text1"/>
          <w:szCs w:val="22"/>
        </w:rPr>
        <w:t xml:space="preserve"> intravénás úton történő rendeltetésszerű alkalmazása mellett</w:t>
      </w:r>
    </w:p>
    <w:p w14:paraId="4782A89F" w14:textId="77777777" w:rsidR="000F26B4" w:rsidRPr="000F26B4" w:rsidRDefault="000F26B4" w:rsidP="000F26B4">
      <w:pPr>
        <w:contextualSpacing/>
        <w:rPr>
          <w:color w:val="000000" w:themeColor="text1"/>
          <w:szCs w:val="22"/>
        </w:rPr>
      </w:pPr>
      <w:r w:rsidRPr="000F26B4">
        <w:rPr>
          <w:color w:val="000000" w:themeColor="text1"/>
          <w:szCs w:val="22"/>
        </w:rPr>
        <w:tab/>
      </w:r>
    </w:p>
    <w:p w14:paraId="7A8BB11A" w14:textId="0F53CAEB" w:rsidR="000F26B4" w:rsidRPr="000F26B4" w:rsidRDefault="000F26B4" w:rsidP="000F26B4">
      <w:pPr>
        <w:contextualSpacing/>
        <w:rPr>
          <w:color w:val="000000" w:themeColor="text1"/>
          <w:szCs w:val="22"/>
        </w:rPr>
      </w:pPr>
      <w:r w:rsidRPr="000F26B4">
        <w:rPr>
          <w:color w:val="000000" w:themeColor="text1"/>
          <w:szCs w:val="22"/>
        </w:rPr>
        <w:t xml:space="preserve">A </w:t>
      </w:r>
      <w:proofErr w:type="spellStart"/>
      <w:r w:rsidRPr="000F26B4">
        <w:rPr>
          <w:color w:val="000000" w:themeColor="text1"/>
          <w:szCs w:val="22"/>
        </w:rPr>
        <w:t>Tresuvi</w:t>
      </w:r>
      <w:proofErr w:type="spellEnd"/>
      <w:r w:rsidRPr="000F26B4">
        <w:rPr>
          <w:color w:val="000000" w:themeColor="text1"/>
          <w:szCs w:val="22"/>
        </w:rPr>
        <w:t xml:space="preserve"> adagolható folyamatos, intravénás infúzióként egy centrális vénás katéteren keresztül, sebészileg elhelyezett és teljes mértékben belsőleg alkalmazott, beültethető infúziós pumpa segítségével, amely a </w:t>
      </w:r>
      <w:proofErr w:type="spellStart"/>
      <w:r w:rsidRPr="000F26B4">
        <w:rPr>
          <w:color w:val="000000" w:themeColor="text1"/>
          <w:szCs w:val="22"/>
        </w:rPr>
        <w:t>Tresuvi</w:t>
      </w:r>
      <w:proofErr w:type="spellEnd"/>
      <w:r w:rsidRPr="000F26B4">
        <w:rPr>
          <w:color w:val="000000" w:themeColor="text1"/>
          <w:szCs w:val="22"/>
        </w:rPr>
        <w:t xml:space="preserve"> intravénás adagolásának rendeltetésszerű használata érdekében beépített akusztikus riasztóval (elzáródás és alacsony elemtöltöttség kijelzésére), valamint 0,22</w:t>
      </w:r>
      <w:r w:rsidR="00CB7333">
        <w:rPr>
          <w:color w:val="000000" w:themeColor="text1"/>
          <w:szCs w:val="22"/>
        </w:rPr>
        <w:t> </w:t>
      </w:r>
      <w:r w:rsidRPr="000F26B4">
        <w:rPr>
          <w:color w:val="000000" w:themeColor="text1"/>
          <w:szCs w:val="22"/>
        </w:rPr>
        <w:t xml:space="preserve">µm-es belső szűrővel van ellátva a véráramba jutó fertőzés kockázatának csökkentése érdekében. A fix infúziós sebességű, beültethető pumpák különböző tartálytérfogattal és tartálymodellel állnak rendelkezésre, ami lehetővé teszi az egyénileg szükséges adagok beállítását, és ezáltal a túladagolási vagy </w:t>
      </w:r>
      <w:proofErr w:type="spellStart"/>
      <w:r w:rsidRPr="000F26B4">
        <w:rPr>
          <w:color w:val="000000" w:themeColor="text1"/>
          <w:szCs w:val="22"/>
        </w:rPr>
        <w:t>aluldozírozási</w:t>
      </w:r>
      <w:proofErr w:type="spellEnd"/>
      <w:r w:rsidRPr="000F26B4">
        <w:rPr>
          <w:color w:val="000000" w:themeColor="text1"/>
          <w:szCs w:val="22"/>
        </w:rPr>
        <w:t xml:space="preserve"> helyzetek elkerülését. A szilikontető (a </w:t>
      </w:r>
      <w:proofErr w:type="spellStart"/>
      <w:r w:rsidRPr="000F26B4">
        <w:rPr>
          <w:color w:val="000000" w:themeColor="text1"/>
          <w:szCs w:val="22"/>
        </w:rPr>
        <w:t>szeptum</w:t>
      </w:r>
      <w:proofErr w:type="spellEnd"/>
      <w:r w:rsidRPr="000F26B4">
        <w:rPr>
          <w:color w:val="000000" w:themeColor="text1"/>
          <w:szCs w:val="22"/>
        </w:rPr>
        <w:t xml:space="preserve">) élettartama minimum 500 átszúrásra van tervezve a betöltő-port esetében, és 250 átszúrásra a katéter-port esetében. </w:t>
      </w:r>
    </w:p>
    <w:p w14:paraId="5C162E60" w14:textId="77777777" w:rsidR="000F26B4" w:rsidRPr="000F26B4" w:rsidRDefault="000F26B4" w:rsidP="000F26B4">
      <w:pPr>
        <w:contextualSpacing/>
        <w:rPr>
          <w:color w:val="000000" w:themeColor="text1"/>
          <w:szCs w:val="22"/>
        </w:rPr>
      </w:pPr>
    </w:p>
    <w:p w14:paraId="59FE037F" w14:textId="77777777" w:rsidR="000F26B4" w:rsidRPr="000F26B4" w:rsidRDefault="000F26B4" w:rsidP="000F26B4">
      <w:pPr>
        <w:contextualSpacing/>
        <w:rPr>
          <w:color w:val="000000" w:themeColor="text1"/>
          <w:szCs w:val="22"/>
        </w:rPr>
      </w:pPr>
      <w:r w:rsidRPr="000F26B4">
        <w:rPr>
          <w:color w:val="000000" w:themeColor="text1"/>
          <w:szCs w:val="22"/>
        </w:rPr>
        <w:t xml:space="preserve">A pumpa előkészítésére, beültetésére, ellenőrzésére és </w:t>
      </w:r>
      <w:proofErr w:type="spellStart"/>
      <w:r w:rsidRPr="000F26B4">
        <w:rPr>
          <w:color w:val="000000" w:themeColor="text1"/>
          <w:szCs w:val="22"/>
        </w:rPr>
        <w:t>újratöltésére</w:t>
      </w:r>
      <w:proofErr w:type="spellEnd"/>
      <w:r w:rsidRPr="000F26B4">
        <w:rPr>
          <w:color w:val="000000" w:themeColor="text1"/>
          <w:szCs w:val="22"/>
        </w:rPr>
        <w:t xml:space="preserve"> vonatkozó konkrét utasításokkal kapcsolatban kérjük, mindenképpen olvassa el a pumpa gyártójának kezelői útmutatóját.</w:t>
      </w:r>
    </w:p>
    <w:p w14:paraId="00D90B30" w14:textId="77777777" w:rsidR="000F26B4" w:rsidRPr="000F26B4" w:rsidRDefault="000F26B4" w:rsidP="000F26B4">
      <w:pPr>
        <w:contextualSpacing/>
        <w:rPr>
          <w:color w:val="000000" w:themeColor="text1"/>
          <w:szCs w:val="22"/>
        </w:rPr>
      </w:pPr>
    </w:p>
    <w:p w14:paraId="218EE111" w14:textId="1C9C401D" w:rsidR="000F26B4" w:rsidRPr="000F26B4" w:rsidRDefault="000F26B4" w:rsidP="000F26B4">
      <w:pPr>
        <w:contextualSpacing/>
        <w:rPr>
          <w:color w:val="000000" w:themeColor="text1"/>
          <w:szCs w:val="22"/>
        </w:rPr>
      </w:pPr>
      <w:r w:rsidRPr="000F26B4">
        <w:rPr>
          <w:color w:val="000000" w:themeColor="text1"/>
          <w:szCs w:val="22"/>
        </w:rPr>
        <w:t xml:space="preserve">A rendelkezésre álló stabilitásvizsgálati adatok alapján lehetőség szerint előnyösebb a 0,5 mg/ml-nél nagyobb koncentrációjú oldatot használni a beültethető pumpa tartályának feltöltéséhez (lásd 6.3. pont). A </w:t>
      </w:r>
      <w:r w:rsidR="000D29B5">
        <w:rPr>
          <w:color w:val="000000" w:themeColor="text1"/>
          <w:szCs w:val="22"/>
        </w:rPr>
        <w:t>tömege</w:t>
      </w:r>
      <w:r w:rsidRPr="000F26B4">
        <w:rPr>
          <w:color w:val="000000" w:themeColor="text1"/>
          <w:szCs w:val="22"/>
        </w:rPr>
        <w:t>t és a pumpa jellemzőit figyelembe vevő számítások részletes leírása a pumpa kézikönyv tartalmazza.</w:t>
      </w:r>
    </w:p>
    <w:p w14:paraId="015D1E99" w14:textId="77777777" w:rsidR="000F26B4" w:rsidRPr="000F26B4" w:rsidRDefault="000F26B4" w:rsidP="000F26B4">
      <w:pPr>
        <w:contextualSpacing/>
        <w:rPr>
          <w:color w:val="000000" w:themeColor="text1"/>
          <w:szCs w:val="22"/>
        </w:rPr>
      </w:pPr>
    </w:p>
    <w:p w14:paraId="10EF8691" w14:textId="77777777" w:rsidR="000D29B5" w:rsidRDefault="000F26B4" w:rsidP="000F26B4">
      <w:pPr>
        <w:contextualSpacing/>
        <w:rPr>
          <w:color w:val="000000" w:themeColor="text1"/>
          <w:szCs w:val="22"/>
        </w:rPr>
      </w:pPr>
      <w:r w:rsidRPr="000F26B4">
        <w:rPr>
          <w:color w:val="000000" w:themeColor="text1"/>
          <w:szCs w:val="22"/>
        </w:rPr>
        <w:t xml:space="preserve">A beültethető pumpával történő folyamatos intravénás infúziót olyan válogatott betegek számára kell fenntartani, akik tolerálni tudják magát az eljárást, és akikről igazoltan kimutatható, hogy tolerálják a </w:t>
      </w:r>
      <w:proofErr w:type="spellStart"/>
      <w:r w:rsidRPr="000F26B4">
        <w:rPr>
          <w:color w:val="000000" w:themeColor="text1"/>
          <w:szCs w:val="22"/>
        </w:rPr>
        <w:t>treprosztinilt</w:t>
      </w:r>
      <w:proofErr w:type="spellEnd"/>
      <w:r w:rsidRPr="000F26B4">
        <w:rPr>
          <w:color w:val="000000" w:themeColor="text1"/>
          <w:szCs w:val="22"/>
        </w:rPr>
        <w:t xml:space="preserve">, akiket a </w:t>
      </w:r>
      <w:proofErr w:type="spellStart"/>
      <w:r w:rsidRPr="000F26B4">
        <w:rPr>
          <w:color w:val="000000" w:themeColor="text1"/>
          <w:szCs w:val="22"/>
        </w:rPr>
        <w:t>treprosztinil</w:t>
      </w:r>
      <w:proofErr w:type="spellEnd"/>
      <w:r w:rsidRPr="000F26B4">
        <w:rPr>
          <w:color w:val="000000" w:themeColor="text1"/>
          <w:szCs w:val="22"/>
        </w:rPr>
        <w:t xml:space="preserve"> infúzióval stabilizáltak, és akik nem tolerálják, vagy nem alkalmasak a </w:t>
      </w:r>
      <w:proofErr w:type="spellStart"/>
      <w:r w:rsidRPr="000F26B4">
        <w:rPr>
          <w:color w:val="000000" w:themeColor="text1"/>
          <w:szCs w:val="22"/>
        </w:rPr>
        <w:t>szubkután</w:t>
      </w:r>
      <w:proofErr w:type="spellEnd"/>
      <w:r w:rsidRPr="000F26B4">
        <w:rPr>
          <w:color w:val="000000" w:themeColor="text1"/>
          <w:szCs w:val="22"/>
        </w:rPr>
        <w:t xml:space="preserve"> vagy az intravénás külső adagolásra, vagy elutasítják azt. </w:t>
      </w:r>
    </w:p>
    <w:p w14:paraId="40E54640" w14:textId="77777777" w:rsidR="000D29B5" w:rsidRDefault="000D29B5" w:rsidP="000F26B4">
      <w:pPr>
        <w:contextualSpacing/>
        <w:rPr>
          <w:color w:val="000000" w:themeColor="text1"/>
          <w:szCs w:val="22"/>
        </w:rPr>
      </w:pPr>
    </w:p>
    <w:p w14:paraId="54B42B5A" w14:textId="77777777" w:rsidR="000D29B5" w:rsidRDefault="000F26B4" w:rsidP="000F26B4">
      <w:pPr>
        <w:contextualSpacing/>
        <w:rPr>
          <w:color w:val="000000" w:themeColor="text1"/>
          <w:szCs w:val="22"/>
        </w:rPr>
      </w:pPr>
      <w:r w:rsidRPr="000F26B4">
        <w:rPr>
          <w:color w:val="000000" w:themeColor="text1"/>
          <w:szCs w:val="22"/>
        </w:rPr>
        <w:t xml:space="preserve">A beültethető pumpával adagolt kezdeti adag megegyezik a külső infúziós pumpával adagolt, az átállás idejében kapott stabil adaggal. A beültethető pumpa nem alkalmas a kezdeti dózis beállítására. </w:t>
      </w:r>
    </w:p>
    <w:p w14:paraId="30291C0B" w14:textId="77777777" w:rsidR="000D29B5" w:rsidRDefault="000D29B5" w:rsidP="000F26B4">
      <w:pPr>
        <w:contextualSpacing/>
        <w:rPr>
          <w:color w:val="000000" w:themeColor="text1"/>
          <w:szCs w:val="22"/>
        </w:rPr>
      </w:pPr>
    </w:p>
    <w:p w14:paraId="6C6B9541" w14:textId="676D7F68" w:rsidR="000F26B4" w:rsidRDefault="000F26B4" w:rsidP="000F26B4">
      <w:pPr>
        <w:contextualSpacing/>
        <w:rPr>
          <w:color w:val="000000" w:themeColor="text1"/>
          <w:szCs w:val="22"/>
        </w:rPr>
      </w:pPr>
      <w:r w:rsidRPr="000F26B4">
        <w:rPr>
          <w:color w:val="000000" w:themeColor="text1"/>
          <w:szCs w:val="22"/>
        </w:rPr>
        <w:t xml:space="preserve">Az infúziós pumpát csak az infúziós rendszer működésére és használatára betanított, szakképzett orvos ültetheti be.  </w:t>
      </w:r>
    </w:p>
    <w:p w14:paraId="6EBD9517" w14:textId="77777777" w:rsidR="000D29B5" w:rsidRPr="000F26B4" w:rsidRDefault="000D29B5" w:rsidP="000F26B4">
      <w:pPr>
        <w:contextualSpacing/>
        <w:rPr>
          <w:color w:val="000000" w:themeColor="text1"/>
          <w:szCs w:val="22"/>
        </w:rPr>
      </w:pPr>
    </w:p>
    <w:p w14:paraId="7649D39D" w14:textId="58DDE698" w:rsidR="000F26B4" w:rsidRDefault="000F26B4" w:rsidP="000F26B4">
      <w:pPr>
        <w:contextualSpacing/>
        <w:rPr>
          <w:color w:val="000000" w:themeColor="text1"/>
          <w:szCs w:val="22"/>
        </w:rPr>
      </w:pPr>
      <w:r w:rsidRPr="000F26B4">
        <w:rPr>
          <w:color w:val="000000" w:themeColor="text1"/>
          <w:szCs w:val="22"/>
        </w:rPr>
        <w:t xml:space="preserve">A pumpa feltöltését kizárólag olyan képzett egészségügyi szakember végezheti kórházi környezetben, aki megkapta az infúziós rendszer működtetésére és használatára vonatkozó képzést a gyártó használati utasításának megfelelően, és akinek megfelelő felkészültsége van a </w:t>
      </w:r>
      <w:proofErr w:type="spellStart"/>
      <w:r w:rsidRPr="000F26B4">
        <w:rPr>
          <w:color w:val="000000" w:themeColor="text1"/>
          <w:szCs w:val="22"/>
        </w:rPr>
        <w:t>treprosztinil</w:t>
      </w:r>
      <w:proofErr w:type="spellEnd"/>
      <w:r w:rsidRPr="000F26B4">
        <w:rPr>
          <w:color w:val="000000" w:themeColor="text1"/>
          <w:szCs w:val="22"/>
        </w:rPr>
        <w:t xml:space="preserve"> nem tervezett szervezetbe kerülése vagy a pumpát körülvevő </w:t>
      </w:r>
      <w:proofErr w:type="spellStart"/>
      <w:r w:rsidRPr="000F26B4">
        <w:rPr>
          <w:color w:val="000000" w:themeColor="text1"/>
          <w:szCs w:val="22"/>
        </w:rPr>
        <w:t>szubkután</w:t>
      </w:r>
      <w:proofErr w:type="spellEnd"/>
      <w:r w:rsidRPr="000F26B4">
        <w:rPr>
          <w:color w:val="000000" w:themeColor="text1"/>
          <w:szCs w:val="22"/>
        </w:rPr>
        <w:t xml:space="preserve"> térbe való beszivárgása esetén fellépő szövődmények kezelésére.  </w:t>
      </w:r>
    </w:p>
    <w:p w14:paraId="53E43414" w14:textId="77777777" w:rsidR="000D29B5" w:rsidRPr="000F26B4" w:rsidRDefault="000D29B5" w:rsidP="000F26B4">
      <w:pPr>
        <w:contextualSpacing/>
        <w:rPr>
          <w:color w:val="000000" w:themeColor="text1"/>
          <w:szCs w:val="22"/>
        </w:rPr>
      </w:pPr>
    </w:p>
    <w:p w14:paraId="09481883" w14:textId="6592C063" w:rsidR="000F26B4" w:rsidRDefault="000F26B4" w:rsidP="000F26B4">
      <w:pPr>
        <w:contextualSpacing/>
        <w:rPr>
          <w:color w:val="000000" w:themeColor="text1"/>
          <w:szCs w:val="22"/>
        </w:rPr>
      </w:pPr>
      <w:r w:rsidRPr="000F26B4">
        <w:rPr>
          <w:color w:val="000000" w:themeColor="text1"/>
          <w:szCs w:val="22"/>
        </w:rPr>
        <w:t xml:space="preserve">A fix áramlási sebességű beültethető infúziós pumpa a használat során eltérést mutathat az infúziós sebesség terén. A beültetett pumpa biztonságos klinikai használata a pumpa alkalmazásában jártas egészségügyi szakember által mért tényleges klinikai áramlási sebesség összehasonlításával biztosítható minden egyes feltöltéskor, a pumpában maradó gyógyszermennyiség figyelembevételével. Minden egyes </w:t>
      </w:r>
      <w:proofErr w:type="spellStart"/>
      <w:r w:rsidRPr="000F26B4">
        <w:rPr>
          <w:color w:val="000000" w:themeColor="text1"/>
          <w:szCs w:val="22"/>
        </w:rPr>
        <w:t>újratöltést</w:t>
      </w:r>
      <w:proofErr w:type="spellEnd"/>
      <w:r w:rsidRPr="000F26B4">
        <w:rPr>
          <w:color w:val="000000" w:themeColor="text1"/>
          <w:szCs w:val="22"/>
        </w:rPr>
        <w:t xml:space="preserve"> a használati utasítás alapján kell végezni, biztosítva a szükséges műveletek elvégzését.</w:t>
      </w:r>
    </w:p>
    <w:p w14:paraId="49EB9199" w14:textId="77777777" w:rsidR="000D29B5" w:rsidRPr="000F26B4" w:rsidRDefault="000D29B5" w:rsidP="000F26B4">
      <w:pPr>
        <w:contextualSpacing/>
        <w:rPr>
          <w:color w:val="000000" w:themeColor="text1"/>
          <w:szCs w:val="22"/>
        </w:rPr>
      </w:pPr>
    </w:p>
    <w:p w14:paraId="52CB9427" w14:textId="2DE1116A" w:rsidR="000F26B4" w:rsidRPr="00B00CBD" w:rsidRDefault="000F26B4" w:rsidP="00404671">
      <w:pPr>
        <w:contextualSpacing/>
        <w:rPr>
          <w:color w:val="000000" w:themeColor="text1"/>
          <w:szCs w:val="22"/>
        </w:rPr>
      </w:pPr>
      <w:r w:rsidRPr="000F26B4">
        <w:rPr>
          <w:color w:val="000000" w:themeColor="text1"/>
          <w:szCs w:val="22"/>
        </w:rPr>
        <w:t>A beteget figyelmeztetni kell arra, hogy elzáródási riasztás esetén azonnal lépjen kapcsolatba a kezelő kórházzal.</w:t>
      </w:r>
    </w:p>
    <w:bookmarkEnd w:id="59"/>
    <w:p w14:paraId="43035791" w14:textId="77777777" w:rsidR="00435BCF" w:rsidRPr="005D5674" w:rsidRDefault="00435BCF" w:rsidP="00020748">
      <w:pPr>
        <w:autoSpaceDE w:val="0"/>
        <w:autoSpaceDN w:val="0"/>
        <w:adjustRightInd w:val="0"/>
        <w:rPr>
          <w:szCs w:val="22"/>
          <w:lang w:eastAsia="fr-FR"/>
        </w:rPr>
      </w:pPr>
    </w:p>
    <w:p w14:paraId="7AC97026" w14:textId="77777777" w:rsidR="00B00CBD" w:rsidRPr="007D3B01" w:rsidRDefault="00B00CBD" w:rsidP="00375B36">
      <w:pPr>
        <w:rPr>
          <w:b/>
        </w:rPr>
      </w:pPr>
      <w:r>
        <w:rPr>
          <w:b/>
        </w:rPr>
        <w:t>4.3</w:t>
      </w:r>
      <w:r>
        <w:rPr>
          <w:b/>
        </w:rPr>
        <w:tab/>
        <w:t>Ellenjavallatok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14:paraId="1CE06934" w14:textId="77777777" w:rsidR="00B00CBD" w:rsidRPr="00B00CBD" w:rsidRDefault="00B00CBD" w:rsidP="00BF7E15">
      <w:pPr>
        <w:rPr>
          <w:lang w:eastAsia="en-US"/>
        </w:rPr>
      </w:pPr>
    </w:p>
    <w:p w14:paraId="6830AC0E" w14:textId="29BE27E7" w:rsidR="00B00CBD" w:rsidRPr="00B00CBD" w:rsidRDefault="00EF7BC0" w:rsidP="00020748">
      <w:pPr>
        <w:numPr>
          <w:ilvl w:val="0"/>
          <w:numId w:val="7"/>
        </w:numPr>
        <w:rPr>
          <w:szCs w:val="22"/>
        </w:rPr>
      </w:pPr>
      <w:r>
        <w:t>A készítmény hatóanyagával vagy a 6.1 pontban felsorolt bármely segédanyagával szembeni túlérzékenység.</w:t>
      </w:r>
    </w:p>
    <w:p w14:paraId="2E458FD2" w14:textId="77777777" w:rsidR="00B00CBD" w:rsidRPr="00B00CBD" w:rsidRDefault="00B00CBD" w:rsidP="00020748">
      <w:pPr>
        <w:numPr>
          <w:ilvl w:val="0"/>
          <w:numId w:val="7"/>
        </w:numPr>
        <w:rPr>
          <w:szCs w:val="22"/>
        </w:rPr>
      </w:pPr>
      <w:proofErr w:type="spellStart"/>
      <w:r>
        <w:t>Vénaelzáródásos</w:t>
      </w:r>
      <w:proofErr w:type="spellEnd"/>
      <w:r>
        <w:t xml:space="preserve"> betegséggel összefüggő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</w:p>
    <w:p w14:paraId="3DAB32FF" w14:textId="7F0D84C8" w:rsidR="00B00CBD" w:rsidRPr="00B00CBD" w:rsidRDefault="00B00CBD" w:rsidP="00020748">
      <w:pPr>
        <w:numPr>
          <w:ilvl w:val="0"/>
          <w:numId w:val="7"/>
        </w:numPr>
        <w:rPr>
          <w:szCs w:val="22"/>
        </w:rPr>
      </w:pPr>
      <w:r>
        <w:t>Súlyos balszívfél diszfunkció okozta szívelégtelenség</w:t>
      </w:r>
    </w:p>
    <w:p w14:paraId="6BD033F4" w14:textId="77777777" w:rsidR="00B00CBD" w:rsidRPr="00B00CBD" w:rsidRDefault="00B00CBD" w:rsidP="00375B36">
      <w:pPr>
        <w:numPr>
          <w:ilvl w:val="0"/>
          <w:numId w:val="7"/>
        </w:numPr>
        <w:rPr>
          <w:szCs w:val="22"/>
        </w:rPr>
      </w:pPr>
      <w:r>
        <w:t>Súlyos májkárosodás (</w:t>
      </w:r>
      <w:proofErr w:type="spellStart"/>
      <w:r>
        <w:t>Child-Pugh</w:t>
      </w:r>
      <w:proofErr w:type="spellEnd"/>
      <w:r>
        <w:t xml:space="preserve"> C stádium)</w:t>
      </w:r>
    </w:p>
    <w:p w14:paraId="2D66173F" w14:textId="77777777" w:rsidR="00B00CBD" w:rsidRPr="00B00CBD" w:rsidRDefault="00B00CBD" w:rsidP="00BF7E15">
      <w:pPr>
        <w:numPr>
          <w:ilvl w:val="0"/>
          <w:numId w:val="7"/>
        </w:numPr>
        <w:rPr>
          <w:szCs w:val="22"/>
        </w:rPr>
      </w:pPr>
      <w:r>
        <w:t xml:space="preserve">Aktív emésztőrendszeri fekély, </w:t>
      </w:r>
      <w:proofErr w:type="spellStart"/>
      <w:r>
        <w:t>intracranialis</w:t>
      </w:r>
      <w:proofErr w:type="spellEnd"/>
      <w:r>
        <w:t xml:space="preserve"> vérzés, sérülés, vagy egyéb vérzés </w:t>
      </w:r>
    </w:p>
    <w:p w14:paraId="40968C40" w14:textId="44ABF1E1" w:rsidR="00B00CBD" w:rsidRPr="00B00CBD" w:rsidRDefault="00B00CBD" w:rsidP="00020748">
      <w:pPr>
        <w:numPr>
          <w:ilvl w:val="0"/>
          <w:numId w:val="7"/>
        </w:numPr>
        <w:rPr>
          <w:szCs w:val="22"/>
        </w:rPr>
      </w:pPr>
      <w:r>
        <w:t xml:space="preserve">Veleszületett vagy szerzett szívbillentyű-elégtelenség vele klinikailag összefüggésben álló szívizomműködési zavarral, mely nem áll kapcsolatban a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hypertoniával</w:t>
      </w:r>
      <w:proofErr w:type="spellEnd"/>
    </w:p>
    <w:p w14:paraId="6A8F4E36" w14:textId="136B1CEF" w:rsidR="00B00CBD" w:rsidRPr="00B00CBD" w:rsidRDefault="00B00CBD" w:rsidP="00020748">
      <w:pPr>
        <w:numPr>
          <w:ilvl w:val="0"/>
          <w:numId w:val="7"/>
        </w:numPr>
        <w:rPr>
          <w:szCs w:val="22"/>
        </w:rPr>
      </w:pPr>
      <w:r>
        <w:t xml:space="preserve">Súlyos szívkoszorúér-betegség, instabil angina; </w:t>
      </w:r>
      <w:proofErr w:type="spellStart"/>
      <w:r>
        <w:t>myocardialis</w:t>
      </w:r>
      <w:proofErr w:type="spellEnd"/>
      <w:r>
        <w:t xml:space="preserve"> </w:t>
      </w:r>
      <w:proofErr w:type="spellStart"/>
      <w:r>
        <w:t>infarctus</w:t>
      </w:r>
      <w:proofErr w:type="spellEnd"/>
      <w:r>
        <w:t xml:space="preserve"> az utóbbi hat hónapon belül; dekompenzált szívelégtelenség, mely nem áll szigorú orvosi felügyelet alatt; súlyos </w:t>
      </w:r>
      <w:proofErr w:type="spellStart"/>
      <w:r>
        <w:t>arrhythmiák</w:t>
      </w:r>
      <w:proofErr w:type="spellEnd"/>
      <w:r>
        <w:t xml:space="preserve">; </w:t>
      </w:r>
      <w:proofErr w:type="spellStart"/>
      <w:r>
        <w:t>cerebrovascularis</w:t>
      </w:r>
      <w:proofErr w:type="spellEnd"/>
      <w:r>
        <w:t xml:space="preserve"> események (pl. tranziens </w:t>
      </w:r>
      <w:proofErr w:type="spellStart"/>
      <w:r>
        <w:t>ischaemiás</w:t>
      </w:r>
      <w:proofErr w:type="spellEnd"/>
      <w:r>
        <w:t xml:space="preserve"> roham, stroke) az utóbbi három hónapban.</w:t>
      </w:r>
    </w:p>
    <w:p w14:paraId="70E6C69A" w14:textId="77777777" w:rsidR="00EF7BC0" w:rsidRDefault="00EF7BC0" w:rsidP="00375B36">
      <w:bookmarkStart w:id="60" w:name="_Toc399649944"/>
      <w:bookmarkStart w:id="61" w:name="_Toc399654876"/>
      <w:bookmarkStart w:id="62" w:name="_Toc399655182"/>
      <w:bookmarkStart w:id="63" w:name="_Toc399729047"/>
      <w:bookmarkStart w:id="64" w:name="_Toc401626169"/>
      <w:bookmarkStart w:id="65" w:name="_Toc401626207"/>
      <w:bookmarkStart w:id="66" w:name="_Toc401626242"/>
      <w:bookmarkStart w:id="67" w:name="_Toc402239805"/>
      <w:bookmarkStart w:id="68" w:name="_Toc417272472"/>
    </w:p>
    <w:p w14:paraId="605DEB11" w14:textId="35CAACAD" w:rsidR="00B00CBD" w:rsidRPr="007D3B01" w:rsidRDefault="00B00CBD" w:rsidP="00BF7E15">
      <w:pPr>
        <w:rPr>
          <w:b/>
        </w:rPr>
      </w:pPr>
      <w:r>
        <w:rPr>
          <w:b/>
        </w:rPr>
        <w:t>4.4</w:t>
      </w:r>
      <w:r>
        <w:rPr>
          <w:b/>
        </w:rPr>
        <w:tab/>
        <w:t>Különleges figyelmeztetések és az alkalmazással kapcsolatos óvintézkedések</w:t>
      </w:r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</w:p>
    <w:p w14:paraId="0E0FE563" w14:textId="77777777" w:rsidR="00B00CBD" w:rsidRPr="00B00CBD" w:rsidRDefault="00B00CBD" w:rsidP="00020748">
      <w:pPr>
        <w:rPr>
          <w:szCs w:val="22"/>
          <w:lang w:eastAsia="en-US"/>
        </w:rPr>
      </w:pPr>
    </w:p>
    <w:p w14:paraId="12DFC442" w14:textId="3B4F4B61" w:rsidR="00B00CBD" w:rsidRPr="00B00CBD" w:rsidRDefault="00B00CBD" w:rsidP="00020748">
      <w:pPr>
        <w:rPr>
          <w:szCs w:val="22"/>
        </w:rPr>
      </w:pPr>
      <w:r>
        <w:t xml:space="preserve">A </w:t>
      </w:r>
      <w:proofErr w:type="spellStart"/>
      <w:r>
        <w:t>Tresuvi</w:t>
      </w:r>
      <w:proofErr w:type="spellEnd"/>
      <w:r>
        <w:t>-kezelés elkezdésével kapcsolatban figyelembe kell venni, hogy az infúziót nagy valószínűséggel hosszú ideig folytatni kell. Ezért gondosan mérlegelni kell, hogy mennyire képes a beteg elfogadni és megfelelően kezelni a bennmaradó katétert és az infúziós eszközt.</w:t>
      </w:r>
    </w:p>
    <w:p w14:paraId="2D78E1C8" w14:textId="77777777" w:rsidR="00B00CBD" w:rsidRPr="00B00CBD" w:rsidRDefault="00B00CBD" w:rsidP="00020748">
      <w:pPr>
        <w:rPr>
          <w:szCs w:val="22"/>
          <w:lang w:eastAsia="en-US"/>
        </w:rPr>
      </w:pPr>
    </w:p>
    <w:p w14:paraId="117A8C47" w14:textId="77777777" w:rsidR="00B00CBD" w:rsidRPr="00B00CBD" w:rsidRDefault="00B00CBD" w:rsidP="00020748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erős </w:t>
      </w:r>
      <w:proofErr w:type="spellStart"/>
      <w:r>
        <w:t>pulmonalis</w:t>
      </w:r>
      <w:proofErr w:type="spellEnd"/>
      <w:r>
        <w:t xml:space="preserve"> és szisztémás értágító. Az alacsony szisztémás artériás nyomással rendelkező betegeknél a </w:t>
      </w:r>
      <w:proofErr w:type="spellStart"/>
      <w:r>
        <w:t>treprosztinil</w:t>
      </w:r>
      <w:proofErr w:type="spellEnd"/>
      <w:r>
        <w:t xml:space="preserve">-kezelés növelheti a szisztémás </w:t>
      </w:r>
      <w:proofErr w:type="spellStart"/>
      <w:r>
        <w:t>hypotensio</w:t>
      </w:r>
      <w:proofErr w:type="spellEnd"/>
      <w:r>
        <w:t xml:space="preserve"> kockázatát. A kezelés nem ajánlott olyan betegek esetén, akiknek a szisztolés artériás nyomása 85 Hgmm-nél kisebb.</w:t>
      </w:r>
    </w:p>
    <w:p w14:paraId="2564325F" w14:textId="77777777" w:rsidR="00B00CBD" w:rsidRPr="00B00CBD" w:rsidRDefault="00B00CBD" w:rsidP="00020748">
      <w:pPr>
        <w:rPr>
          <w:bCs/>
          <w:iCs/>
          <w:szCs w:val="22"/>
          <w:lang w:eastAsia="en-US"/>
        </w:rPr>
      </w:pPr>
    </w:p>
    <w:p w14:paraId="0FED314B" w14:textId="77777777" w:rsidR="00B00CBD" w:rsidRPr="00B00CBD" w:rsidRDefault="00B00CBD" w:rsidP="00020748">
      <w:pPr>
        <w:rPr>
          <w:szCs w:val="22"/>
        </w:rPr>
      </w:pPr>
      <w:r>
        <w:t xml:space="preserve">Az adagolás bármiféle megváltoztatásánál ajánlott a szisztémás vérnyomást és a pulzust megmérni, és az infúziós kezelést leállítani, ha a </w:t>
      </w:r>
      <w:proofErr w:type="spellStart"/>
      <w:r>
        <w:t>hypotensiós</w:t>
      </w:r>
      <w:proofErr w:type="spellEnd"/>
      <w:r>
        <w:t xml:space="preserve"> tünetek fokozódnának, vagy ha a szisztolés vérnyomás értéke 85 Hgmm-re, illetve ennél alacsonyabb értékre csökkenne.</w:t>
      </w:r>
    </w:p>
    <w:p w14:paraId="1988C85D" w14:textId="77777777" w:rsidR="00B00CBD" w:rsidRPr="00B00CBD" w:rsidRDefault="00B00CBD" w:rsidP="00020748">
      <w:pPr>
        <w:rPr>
          <w:szCs w:val="22"/>
          <w:lang w:eastAsia="en-US"/>
        </w:rPr>
      </w:pPr>
    </w:p>
    <w:p w14:paraId="2F7B6184" w14:textId="6C0B9C9B" w:rsidR="00B00CBD" w:rsidRPr="00B00CBD" w:rsidRDefault="00B00CBD" w:rsidP="00020748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-kezelés hirtelen megvonása, vagy a </w:t>
      </w:r>
      <w:proofErr w:type="spellStart"/>
      <w:r>
        <w:t>treprosztinil</w:t>
      </w:r>
      <w:proofErr w:type="spellEnd"/>
      <w:r>
        <w:t xml:space="preserve"> adagjának hirtelen nagymértékű csökkentése a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gyors visszaállását eredményezheti (lásd 4.2 pont).</w:t>
      </w:r>
    </w:p>
    <w:p w14:paraId="2B58D49A" w14:textId="77777777" w:rsidR="00B00CBD" w:rsidRPr="00B00CBD" w:rsidRDefault="00B00CBD" w:rsidP="00020748">
      <w:pPr>
        <w:rPr>
          <w:szCs w:val="22"/>
          <w:lang w:eastAsia="en-US"/>
        </w:rPr>
      </w:pPr>
    </w:p>
    <w:p w14:paraId="09E0F503" w14:textId="1483D462" w:rsidR="00B00CBD" w:rsidRPr="00B00CBD" w:rsidRDefault="00B00CBD" w:rsidP="00020748">
      <w:pPr>
        <w:rPr>
          <w:szCs w:val="22"/>
        </w:rPr>
      </w:pPr>
      <w:r>
        <w:t xml:space="preserve">Ha egy </w:t>
      </w:r>
      <w:proofErr w:type="spellStart"/>
      <w:r>
        <w:t>treprosztinillel</w:t>
      </w:r>
      <w:proofErr w:type="spellEnd"/>
      <w:r>
        <w:t xml:space="preserve"> kezelt betegnél </w:t>
      </w:r>
      <w:proofErr w:type="spellStart"/>
      <w:r>
        <w:t>pulmonalis</w:t>
      </w:r>
      <w:proofErr w:type="spellEnd"/>
      <w:r>
        <w:t xml:space="preserve"> </w:t>
      </w:r>
      <w:proofErr w:type="spellStart"/>
      <w:r>
        <w:t>oedema</w:t>
      </w:r>
      <w:proofErr w:type="spellEnd"/>
      <w:r>
        <w:t xml:space="preserve"> alakul ki, akkor társult betegségként számolni kell egy esetleges </w:t>
      </w:r>
      <w:proofErr w:type="spellStart"/>
      <w:r>
        <w:t>pulmonalis</w:t>
      </w:r>
      <w:proofErr w:type="spellEnd"/>
      <w:r>
        <w:t xml:space="preserve"> vénaelzáródás lehetőségével. Ilyenkor a kezelést le kell állítani.</w:t>
      </w:r>
    </w:p>
    <w:p w14:paraId="16241822" w14:textId="77777777" w:rsidR="00B00CBD" w:rsidRPr="00B00CBD" w:rsidRDefault="00B00CBD" w:rsidP="00020748">
      <w:pPr>
        <w:rPr>
          <w:szCs w:val="22"/>
          <w:lang w:eastAsia="en-US"/>
        </w:rPr>
      </w:pPr>
    </w:p>
    <w:p w14:paraId="01BE91FE" w14:textId="24103A36" w:rsidR="00B00CBD" w:rsidRPr="00B00CBD" w:rsidRDefault="00F27C61" w:rsidP="00020748">
      <w:pPr>
        <w:rPr>
          <w:szCs w:val="22"/>
        </w:rPr>
      </w:pPr>
      <w:r>
        <w:t xml:space="preserve">Elhízott </w:t>
      </w:r>
      <w:r w:rsidR="00B00CBD">
        <w:t>betegek esetén (a testtömegindex 30 </w:t>
      </w:r>
      <w:proofErr w:type="spellStart"/>
      <w:r w:rsidR="00B00CBD">
        <w:t>ttkg</w:t>
      </w:r>
      <w:proofErr w:type="spellEnd"/>
      <w:r w:rsidR="00B00CBD">
        <w:t>/m</w:t>
      </w:r>
      <w:r w:rsidR="00B00CBD">
        <w:rPr>
          <w:szCs w:val="22"/>
          <w:vertAlign w:val="superscript"/>
        </w:rPr>
        <w:t>2</w:t>
      </w:r>
      <w:r w:rsidR="00B00CBD">
        <w:t xml:space="preserve">-nél nagyobb) a </w:t>
      </w:r>
      <w:proofErr w:type="spellStart"/>
      <w:r w:rsidR="00B00CBD">
        <w:t>treprosztinil</w:t>
      </w:r>
      <w:proofErr w:type="spellEnd"/>
      <w:r w:rsidR="00B00CBD">
        <w:t xml:space="preserve"> lassabban ürül.</w:t>
      </w:r>
    </w:p>
    <w:p w14:paraId="06F37540" w14:textId="77777777" w:rsidR="00B00CBD" w:rsidRPr="00B00CBD" w:rsidRDefault="00B00CBD" w:rsidP="00020748">
      <w:pPr>
        <w:rPr>
          <w:szCs w:val="22"/>
          <w:lang w:eastAsia="en-US"/>
        </w:rPr>
      </w:pPr>
    </w:p>
    <w:p w14:paraId="44E5BFAA" w14:textId="4F2F7DC3" w:rsidR="00B00CBD" w:rsidRPr="00B00CBD" w:rsidRDefault="00B00CBD" w:rsidP="00020748">
      <w:pPr>
        <w:rPr>
          <w:szCs w:val="22"/>
        </w:rPr>
      </w:pPr>
      <w:r>
        <w:t xml:space="preserve">A súlyosabb (NYHA szerinti IV-es funkcionális osztályú)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hypertoniában</w:t>
      </w:r>
      <w:proofErr w:type="spellEnd"/>
      <w:r>
        <w:t xml:space="preserve"> szenvedő betegek esetén a </w:t>
      </w:r>
      <w:proofErr w:type="spellStart"/>
      <w:r>
        <w:t>treprosztinillel</w:t>
      </w:r>
      <w:proofErr w:type="spellEnd"/>
      <w:r>
        <w:t xml:space="preserve"> történő </w:t>
      </w:r>
      <w:proofErr w:type="spellStart"/>
      <w:r>
        <w:t>subcutan</w:t>
      </w:r>
      <w:proofErr w:type="spellEnd"/>
      <w:r>
        <w:t xml:space="preserve"> kezelés előnye nem bizonyított.</w:t>
      </w:r>
    </w:p>
    <w:p w14:paraId="3CF6BC0F" w14:textId="77777777" w:rsidR="00B00CBD" w:rsidRPr="00B00CBD" w:rsidRDefault="00B00CBD" w:rsidP="00B00CBD">
      <w:pPr>
        <w:jc w:val="both"/>
        <w:rPr>
          <w:b/>
          <w:szCs w:val="22"/>
          <w:lang w:eastAsia="en-US"/>
        </w:rPr>
      </w:pPr>
    </w:p>
    <w:p w14:paraId="609957CD" w14:textId="6BF87888" w:rsidR="00B00CBD" w:rsidRPr="00B00CBD" w:rsidRDefault="00B00CBD" w:rsidP="00020748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hatásosság/biztonságosság arányát nem tanulmányozták bal-jobb </w:t>
      </w:r>
      <w:proofErr w:type="spellStart"/>
      <w:r>
        <w:t>cardialis</w:t>
      </w:r>
      <w:proofErr w:type="spellEnd"/>
      <w:r>
        <w:t xml:space="preserve"> </w:t>
      </w:r>
      <w:proofErr w:type="spellStart"/>
      <w:r>
        <w:t>shunttel</w:t>
      </w:r>
      <w:proofErr w:type="spellEnd"/>
      <w:r>
        <w:t xml:space="preserve">, </w:t>
      </w:r>
      <w:proofErr w:type="spellStart"/>
      <w:r>
        <w:t>portalis</w:t>
      </w:r>
      <w:proofErr w:type="spellEnd"/>
      <w:r>
        <w:t xml:space="preserve"> </w:t>
      </w:r>
      <w:proofErr w:type="spellStart"/>
      <w:r>
        <w:t>hypertensióval</w:t>
      </w:r>
      <w:proofErr w:type="spellEnd"/>
      <w:r>
        <w:t xml:space="preserve"> vagy HIV-fertőzéssel társult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esetén.</w:t>
      </w:r>
    </w:p>
    <w:p w14:paraId="75CA30D5" w14:textId="77777777" w:rsidR="00B00CBD" w:rsidRPr="00B00CBD" w:rsidRDefault="00B00CBD" w:rsidP="00020748">
      <w:pPr>
        <w:rPr>
          <w:iCs/>
          <w:szCs w:val="22"/>
          <w:lang w:eastAsia="en-US"/>
        </w:rPr>
      </w:pPr>
    </w:p>
    <w:p w14:paraId="68C041A7" w14:textId="1D95F9F1" w:rsidR="00B00CBD" w:rsidRPr="00B00CBD" w:rsidRDefault="00B00CBD" w:rsidP="00020748">
      <w:pPr>
        <w:rPr>
          <w:szCs w:val="22"/>
        </w:rPr>
      </w:pPr>
      <w:r>
        <w:t>Májkárosodásban szenvedő betegek esetében a dózist nagy körültekintéssel kell megállapítani (lásd a 4.2 pontot).</w:t>
      </w:r>
    </w:p>
    <w:p w14:paraId="32A3A1A0" w14:textId="77777777" w:rsidR="00B00CBD" w:rsidRPr="00B00CBD" w:rsidRDefault="00B00CBD" w:rsidP="00020748">
      <w:pPr>
        <w:rPr>
          <w:iCs/>
          <w:szCs w:val="22"/>
          <w:lang w:eastAsia="en-US"/>
        </w:rPr>
      </w:pPr>
    </w:p>
    <w:p w14:paraId="4D4140DF" w14:textId="77777777" w:rsidR="00B00CBD" w:rsidRPr="00B00CBD" w:rsidRDefault="00B00CBD" w:rsidP="00020748">
      <w:pPr>
        <w:rPr>
          <w:szCs w:val="22"/>
        </w:rPr>
      </w:pPr>
      <w:r>
        <w:t xml:space="preserve">Fokozott elővigyázatosságra van szükség ott, ahol a </w:t>
      </w:r>
      <w:proofErr w:type="spellStart"/>
      <w:r>
        <w:t>treprosztinil</w:t>
      </w:r>
      <w:proofErr w:type="spellEnd"/>
      <w:r>
        <w:t xml:space="preserve"> a </w:t>
      </w:r>
      <w:proofErr w:type="spellStart"/>
      <w:r>
        <w:t>thrombocytaaggregáció</w:t>
      </w:r>
      <w:proofErr w:type="spellEnd"/>
      <w:r>
        <w:t xml:space="preserve"> gátlása révén növelheti a vérzés kockázatát.</w:t>
      </w:r>
    </w:p>
    <w:p w14:paraId="10C6682B" w14:textId="77777777" w:rsidR="00847534" w:rsidRDefault="00847534" w:rsidP="00020748">
      <w:pPr>
        <w:rPr>
          <w:szCs w:val="22"/>
          <w:lang w:eastAsia="en-US"/>
        </w:rPr>
      </w:pPr>
    </w:p>
    <w:p w14:paraId="5B6293AF" w14:textId="2FBDF5A6" w:rsidR="00B00CBD" w:rsidRDefault="000004B6" w:rsidP="00020748">
      <w:pPr>
        <w:rPr>
          <w:szCs w:val="22"/>
        </w:rPr>
      </w:pPr>
      <w:r>
        <w:t>Ez a gyógyszer</w:t>
      </w:r>
      <w:r w:rsidR="00847534">
        <w:t xml:space="preserve"> </w:t>
      </w:r>
      <w:r w:rsidR="00590CCD">
        <w:t xml:space="preserve">maximum </w:t>
      </w:r>
      <w:r w:rsidR="00847534">
        <w:t xml:space="preserve">39,1 mg nátriumot tartalmaz </w:t>
      </w:r>
      <w:r w:rsidR="00847534" w:rsidRPr="005D5674">
        <w:t>10 ml-es injekciós üvegenként</w:t>
      </w:r>
      <w:r w:rsidR="00847534">
        <w:t xml:space="preserve">, </w:t>
      </w:r>
      <w:r>
        <w:t xml:space="preserve">ami </w:t>
      </w:r>
      <w:r w:rsidR="00847534">
        <w:t xml:space="preserve">megfelel a WHO által </w:t>
      </w:r>
      <w:r>
        <w:t xml:space="preserve">ajánlott </w:t>
      </w:r>
      <w:r w:rsidR="00847534">
        <w:t xml:space="preserve">maximális napi </w:t>
      </w:r>
      <w:r>
        <w:t xml:space="preserve">2 g nátrium </w:t>
      </w:r>
      <w:r w:rsidR="00847534">
        <w:t>bevitel 2,0 %-</w:t>
      </w:r>
      <w:proofErr w:type="spellStart"/>
      <w:r w:rsidR="00847534">
        <w:t>ának</w:t>
      </w:r>
      <w:proofErr w:type="spellEnd"/>
      <w:r>
        <w:t xml:space="preserve"> felnőtteknél</w:t>
      </w:r>
      <w:r w:rsidR="00847534">
        <w:t>.</w:t>
      </w:r>
    </w:p>
    <w:p w14:paraId="05447A5D" w14:textId="77777777" w:rsidR="00B36CF0" w:rsidRDefault="00B36CF0" w:rsidP="00020748">
      <w:pPr>
        <w:rPr>
          <w:bCs/>
          <w:szCs w:val="22"/>
          <w:lang w:eastAsia="en-US"/>
        </w:rPr>
      </w:pPr>
    </w:p>
    <w:p w14:paraId="2F16FF61" w14:textId="6D86181F" w:rsidR="00B36CF0" w:rsidRDefault="00B36CF0" w:rsidP="00020748">
      <w:pPr>
        <w:rPr>
          <w:bCs/>
          <w:szCs w:val="22"/>
        </w:rPr>
      </w:pPr>
      <w:r>
        <w:t xml:space="preserve">A gyógyszer együttes alkalmazása </w:t>
      </w:r>
      <w:proofErr w:type="spellStart"/>
      <w:r>
        <w:t>citokróm</w:t>
      </w:r>
      <w:proofErr w:type="spellEnd"/>
      <w:r>
        <w:t xml:space="preserve"> P450 (CYP) 2C8 enzimgátlókkal (pl. </w:t>
      </w:r>
      <w:proofErr w:type="spellStart"/>
      <w:r>
        <w:t>gemfibrozillal</w:t>
      </w:r>
      <w:proofErr w:type="spellEnd"/>
      <w:r>
        <w:t xml:space="preserve">) fokozhatja a </w:t>
      </w:r>
      <w:proofErr w:type="spellStart"/>
      <w:r>
        <w:t>treprosztinil</w:t>
      </w:r>
      <w:proofErr w:type="spellEnd"/>
      <w:r>
        <w:t xml:space="preserve">-expozíciót (a </w:t>
      </w:r>
      <w:proofErr w:type="spellStart"/>
      <w:r>
        <w:t>C</w:t>
      </w:r>
      <w:r>
        <w:rPr>
          <w:bCs/>
          <w:szCs w:val="22"/>
          <w:vertAlign w:val="subscript"/>
        </w:rPr>
        <w:t>max</w:t>
      </w:r>
      <w:proofErr w:type="spellEnd"/>
      <w:r>
        <w:t xml:space="preserve">- és AUC-értéket is). A fokozott expozíció megnövelheti a </w:t>
      </w:r>
      <w:proofErr w:type="spellStart"/>
      <w:r>
        <w:t>treprosztinillel</w:t>
      </w:r>
      <w:proofErr w:type="spellEnd"/>
      <w:r>
        <w:t xml:space="preserve"> összefüggésbe hozható nemkívánatos események előfordulását. Meg kell fontolni a </w:t>
      </w:r>
      <w:proofErr w:type="spellStart"/>
      <w:r>
        <w:t>treprosztinil</w:t>
      </w:r>
      <w:proofErr w:type="spellEnd"/>
      <w:r>
        <w:t xml:space="preserve"> dózisának csökkentését (lásd 4.5 pont). </w:t>
      </w:r>
    </w:p>
    <w:p w14:paraId="204FEB8E" w14:textId="77777777" w:rsidR="00B36CF0" w:rsidRDefault="00B36CF0" w:rsidP="00020748">
      <w:pPr>
        <w:rPr>
          <w:bCs/>
          <w:szCs w:val="22"/>
          <w:lang w:eastAsia="en-US"/>
        </w:rPr>
      </w:pPr>
    </w:p>
    <w:p w14:paraId="350C6CB8" w14:textId="24314BFC" w:rsidR="00B36CF0" w:rsidRDefault="00B36CF0" w:rsidP="00020748">
      <w:pPr>
        <w:rPr>
          <w:bCs/>
          <w:szCs w:val="22"/>
        </w:rPr>
      </w:pPr>
      <w:r>
        <w:t xml:space="preserve">A gyógyszer együttes alkalmazása CYP 2C8 enziminduktorokkal (pl. </w:t>
      </w:r>
      <w:proofErr w:type="spellStart"/>
      <w:r>
        <w:t>rifampicinnel</w:t>
      </w:r>
      <w:proofErr w:type="spellEnd"/>
      <w:r>
        <w:t xml:space="preserve">) csökkentheti a </w:t>
      </w:r>
      <w:proofErr w:type="spellStart"/>
      <w:r>
        <w:t>treprosztinil</w:t>
      </w:r>
      <w:proofErr w:type="spellEnd"/>
      <w:r>
        <w:t xml:space="preserve">-expozíciót. A csökkent expozíció következtében valószínűsíthetően csökken a klinikai hatásosság. Meg kell fontolni a </w:t>
      </w:r>
      <w:proofErr w:type="spellStart"/>
      <w:r>
        <w:t>treprosztinil</w:t>
      </w:r>
      <w:proofErr w:type="spellEnd"/>
      <w:r>
        <w:t xml:space="preserve"> dózisának növelését (lásd 4.5 pont).</w:t>
      </w:r>
    </w:p>
    <w:p w14:paraId="24B3BA45" w14:textId="77777777" w:rsidR="00B00CBD" w:rsidRPr="00B00CBD" w:rsidRDefault="00B00CBD" w:rsidP="00020748">
      <w:pPr>
        <w:rPr>
          <w:bCs/>
          <w:szCs w:val="22"/>
          <w:lang w:eastAsia="en-US"/>
        </w:rPr>
      </w:pPr>
    </w:p>
    <w:p w14:paraId="1DFDB293" w14:textId="1BF2A6E9" w:rsidR="00B00CBD" w:rsidRPr="00B00CBD" w:rsidRDefault="00B00CBD" w:rsidP="00020748">
      <w:pPr>
        <w:rPr>
          <w:szCs w:val="22"/>
          <w:u w:val="single"/>
        </w:rPr>
      </w:pPr>
      <w:r>
        <w:rPr>
          <w:szCs w:val="22"/>
          <w:u w:val="single"/>
        </w:rPr>
        <w:t>Az intravénás gyógyszerbeviteli rendszernek tulajdonítható mellékhatások</w:t>
      </w:r>
    </w:p>
    <w:p w14:paraId="28B86C26" w14:textId="77777777" w:rsidR="00B00CBD" w:rsidRPr="00B00CBD" w:rsidRDefault="00B00CBD" w:rsidP="00020748">
      <w:pPr>
        <w:rPr>
          <w:szCs w:val="22"/>
          <w:u w:val="single"/>
          <w:lang w:eastAsia="en-US"/>
        </w:rPr>
      </w:pPr>
    </w:p>
    <w:p w14:paraId="62A2FDED" w14:textId="6B85800C" w:rsidR="00B00CBD" w:rsidRDefault="00AA59D2" w:rsidP="00020748">
      <w:pPr>
        <w:rPr>
          <w:bCs/>
          <w:color w:val="000000" w:themeColor="text1"/>
          <w:szCs w:val="22"/>
        </w:rPr>
      </w:pPr>
      <w:r>
        <w:t xml:space="preserve">A centrális vénás katéterrel összefüggő szisztémás fertőzésekről és szepszisről számoltak be </w:t>
      </w:r>
      <w:proofErr w:type="spellStart"/>
      <w:r>
        <w:t>treprosztinilt</w:t>
      </w:r>
      <w:proofErr w:type="spellEnd"/>
      <w:r>
        <w:t xml:space="preserve"> intravénás infúzióban kapó betegeknél. Ezek a kockázatok a gyógyszerbeviteli rendszernek tulajdoníthatók. Az Egyesült Államok Közegészségügyi Hatósága (</w:t>
      </w:r>
      <w:proofErr w:type="spellStart"/>
      <w:r>
        <w:t>Centers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Disease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&amp; </w:t>
      </w:r>
      <w:proofErr w:type="spellStart"/>
      <w:r>
        <w:t>Prevention</w:t>
      </w:r>
      <w:proofErr w:type="spellEnd"/>
      <w:r>
        <w:t xml:space="preserve">), PAH kezelésére </w:t>
      </w:r>
      <w:proofErr w:type="spellStart"/>
      <w:r w:rsidR="000F26B4">
        <w:t>treprosztinilt</w:t>
      </w:r>
      <w:proofErr w:type="spellEnd"/>
      <w:r w:rsidR="000F26B4">
        <w:t xml:space="preserve"> </w:t>
      </w:r>
      <w:r>
        <w:t>intravénás</w:t>
      </w:r>
      <w:r w:rsidR="000F26B4">
        <w:t xml:space="preserve"> </w:t>
      </w:r>
      <w:bookmarkStart w:id="69" w:name="_Hlk93328102"/>
      <w:r w:rsidR="000F26B4" w:rsidRPr="00730516">
        <w:rPr>
          <w:szCs w:val="22"/>
        </w:rPr>
        <w:t>infúzióban, külső, hordozható pumpával</w:t>
      </w:r>
      <w:bookmarkEnd w:id="69"/>
      <w:r>
        <w:t xml:space="preserve"> alkalmazó </w:t>
      </w:r>
      <w:r w:rsidR="007E5A34">
        <w:t xml:space="preserve">hét </w:t>
      </w:r>
      <w:r>
        <w:t>amerikai központban lefolytatott retrospektív felmérésének megállapítása szerint a katéterrel összefüggő szisztémás fertőzések előfordulási gyakorisága 1,10 esemény/1000 katéternap</w:t>
      </w:r>
      <w:r>
        <w:rPr>
          <w:bCs/>
          <w:color w:val="000000" w:themeColor="text1"/>
          <w:szCs w:val="22"/>
        </w:rPr>
        <w:t xml:space="preserve">. A klinikusoknak tudatában kell lenniük, hogy a hosszú távon centrális vénás katétert viselő betegeket egy sor </w:t>
      </w:r>
      <w:proofErr w:type="spellStart"/>
      <w:r>
        <w:rPr>
          <w:bCs/>
          <w:color w:val="000000" w:themeColor="text1"/>
          <w:szCs w:val="22"/>
        </w:rPr>
        <w:t>Gram</w:t>
      </w:r>
      <w:proofErr w:type="spellEnd"/>
      <w:r>
        <w:rPr>
          <w:bCs/>
          <w:color w:val="000000" w:themeColor="text1"/>
          <w:szCs w:val="22"/>
        </w:rPr>
        <w:t xml:space="preserve">-negatív és </w:t>
      </w:r>
      <w:proofErr w:type="spellStart"/>
      <w:r>
        <w:rPr>
          <w:bCs/>
          <w:color w:val="000000" w:themeColor="text1"/>
          <w:szCs w:val="22"/>
        </w:rPr>
        <w:t>Gram</w:t>
      </w:r>
      <w:proofErr w:type="spellEnd"/>
      <w:r>
        <w:rPr>
          <w:bCs/>
          <w:color w:val="000000" w:themeColor="text1"/>
          <w:szCs w:val="22"/>
        </w:rPr>
        <w:t xml:space="preserve">-pozitív mikroorganizmus fertőzheti meg, ezért az alkalmazás előnyben részesített módja a hígítatlan </w:t>
      </w:r>
      <w:proofErr w:type="spellStart"/>
      <w:r>
        <w:rPr>
          <w:bCs/>
          <w:color w:val="000000" w:themeColor="text1"/>
          <w:szCs w:val="22"/>
        </w:rPr>
        <w:t>Tresuvi</w:t>
      </w:r>
      <w:proofErr w:type="spellEnd"/>
      <w:r>
        <w:rPr>
          <w:bCs/>
          <w:color w:val="000000" w:themeColor="text1"/>
          <w:szCs w:val="22"/>
        </w:rPr>
        <w:t xml:space="preserve"> folyamatos, </w:t>
      </w:r>
      <w:proofErr w:type="spellStart"/>
      <w:r>
        <w:rPr>
          <w:bCs/>
          <w:color w:val="000000" w:themeColor="text1"/>
          <w:szCs w:val="22"/>
        </w:rPr>
        <w:t>subcutan</w:t>
      </w:r>
      <w:proofErr w:type="spellEnd"/>
      <w:r>
        <w:rPr>
          <w:bCs/>
          <w:color w:val="000000" w:themeColor="text1"/>
          <w:szCs w:val="22"/>
        </w:rPr>
        <w:t xml:space="preserve"> infúziója.</w:t>
      </w:r>
    </w:p>
    <w:p w14:paraId="71AD701B" w14:textId="5C12B1B8" w:rsidR="000F26B4" w:rsidRDefault="000F26B4" w:rsidP="00020748">
      <w:pPr>
        <w:rPr>
          <w:bCs/>
          <w:color w:val="000000" w:themeColor="text1"/>
          <w:szCs w:val="22"/>
        </w:rPr>
      </w:pPr>
    </w:p>
    <w:p w14:paraId="0DEE7794" w14:textId="77777777" w:rsidR="000F26B4" w:rsidRPr="00730516" w:rsidRDefault="000F26B4" w:rsidP="000F26B4">
      <w:pPr>
        <w:pStyle w:val="Text"/>
        <w:spacing w:before="0"/>
        <w:jc w:val="left"/>
        <w:rPr>
          <w:sz w:val="22"/>
          <w:szCs w:val="22"/>
        </w:rPr>
      </w:pPr>
      <w:bookmarkStart w:id="70" w:name="_Hlk93328125"/>
      <w:bookmarkStart w:id="71" w:name="_Hlk93331892"/>
      <w:r w:rsidRPr="00730516">
        <w:rPr>
          <w:sz w:val="22"/>
          <w:szCs w:val="22"/>
        </w:rPr>
        <w:t>A teljes egészében szervezetbe beültethető pumpa esetében a fertőzések, így a véráramba jutó fertőzések kockázata jelentősen alacsonyabb, mint a külső, hordozható pumpák esetében.</w:t>
      </w:r>
    </w:p>
    <w:bookmarkEnd w:id="70"/>
    <w:p w14:paraId="5438C765" w14:textId="77777777" w:rsidR="000F26B4" w:rsidRPr="005D5674" w:rsidRDefault="000F26B4" w:rsidP="00020748">
      <w:pPr>
        <w:rPr>
          <w:bCs/>
          <w:color w:val="000000" w:themeColor="text1"/>
          <w:szCs w:val="22"/>
          <w:lang w:eastAsia="fr-FR"/>
        </w:rPr>
      </w:pPr>
    </w:p>
    <w:bookmarkEnd w:id="71"/>
    <w:p w14:paraId="21F45FAA" w14:textId="4E6677DF" w:rsidR="00B00CBD" w:rsidRPr="00B00CBD" w:rsidRDefault="00B00CBD" w:rsidP="00020748">
      <w:pPr>
        <w:rPr>
          <w:b/>
          <w:bCs/>
          <w:color w:val="000000" w:themeColor="text1"/>
          <w:szCs w:val="22"/>
        </w:rPr>
      </w:pPr>
      <w:r>
        <w:rPr>
          <w:color w:val="000000" w:themeColor="text1"/>
          <w:szCs w:val="22"/>
        </w:rPr>
        <w:t>A terápiáért felelős klinikai csapatnak feltétlenül gondoskodnia kell arról, hogy a beteg teljes körű képzést kapjon és képes legyen használni a választott infúziós eszközt (lásd 4.2 pont).</w:t>
      </w:r>
    </w:p>
    <w:p w14:paraId="3706CC2F" w14:textId="77777777" w:rsidR="00B00CBD" w:rsidRPr="005D5674" w:rsidRDefault="00B00CBD" w:rsidP="00020748">
      <w:pPr>
        <w:rPr>
          <w:szCs w:val="22"/>
        </w:rPr>
      </w:pPr>
    </w:p>
    <w:p w14:paraId="1AD3EF3C" w14:textId="77777777" w:rsidR="00B00CBD" w:rsidRPr="007D3B01" w:rsidRDefault="00B00CBD" w:rsidP="00375B36">
      <w:pPr>
        <w:rPr>
          <w:b/>
        </w:rPr>
      </w:pPr>
      <w:bookmarkStart w:id="72" w:name="_Toc399649945"/>
      <w:bookmarkStart w:id="73" w:name="_Toc399654877"/>
      <w:bookmarkStart w:id="74" w:name="_Toc399655183"/>
      <w:bookmarkStart w:id="75" w:name="_Toc399729048"/>
      <w:bookmarkStart w:id="76" w:name="_Toc401626170"/>
      <w:bookmarkStart w:id="77" w:name="_Toc401626208"/>
      <w:bookmarkStart w:id="78" w:name="_Toc401626243"/>
      <w:bookmarkStart w:id="79" w:name="_Toc402239806"/>
      <w:bookmarkStart w:id="80" w:name="_Toc417272473"/>
      <w:r>
        <w:rPr>
          <w:b/>
        </w:rPr>
        <w:t>4.5</w:t>
      </w:r>
      <w:r>
        <w:rPr>
          <w:b/>
        </w:rPr>
        <w:tab/>
        <w:t>Gyógyszerkölcsönhatások és egyéb interakciók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14:paraId="4F8D8133" w14:textId="77777777" w:rsidR="00B00CBD" w:rsidRPr="00B00CBD" w:rsidRDefault="00B00CBD" w:rsidP="00BF7E15">
      <w:pPr>
        <w:rPr>
          <w:lang w:eastAsia="en-US"/>
        </w:rPr>
      </w:pPr>
    </w:p>
    <w:p w14:paraId="02A26868" w14:textId="77777777" w:rsidR="00B00CBD" w:rsidRPr="001D38B4" w:rsidRDefault="00B00CBD" w:rsidP="00020748">
      <w:pPr>
        <w:rPr>
          <w:szCs w:val="22"/>
          <w:u w:val="single"/>
        </w:rPr>
      </w:pPr>
      <w:r>
        <w:rPr>
          <w:szCs w:val="22"/>
          <w:u w:val="single"/>
        </w:rPr>
        <w:t>Fokozott elővigyázatosságot igénylő gyógyszer-kombinációk</w:t>
      </w:r>
    </w:p>
    <w:p w14:paraId="2B8C2052" w14:textId="77777777" w:rsidR="00B00CBD" w:rsidRPr="00B00CBD" w:rsidRDefault="00B00CBD" w:rsidP="00375B36">
      <w:pPr>
        <w:rPr>
          <w:lang w:eastAsia="en-US"/>
        </w:rPr>
      </w:pPr>
    </w:p>
    <w:p w14:paraId="39C0A8A8" w14:textId="46B247F7" w:rsidR="00B00CBD" w:rsidRPr="005060AE" w:rsidRDefault="00B00CBD" w:rsidP="005D7C32">
      <w:pPr>
        <w:pStyle w:val="Listaszerbekezds"/>
        <w:numPr>
          <w:ilvl w:val="0"/>
          <w:numId w:val="21"/>
        </w:numPr>
        <w:rPr>
          <w:b/>
        </w:rPr>
      </w:pPr>
      <w:proofErr w:type="spellStart"/>
      <w:r w:rsidRPr="005060AE">
        <w:rPr>
          <w:rFonts w:ascii="Times New Roman" w:hAnsi="Times New Roman" w:cs="Times New Roman"/>
          <w:b/>
        </w:rPr>
        <w:t>diuretikumok</w:t>
      </w:r>
      <w:proofErr w:type="spellEnd"/>
      <w:r w:rsidRPr="005060AE">
        <w:rPr>
          <w:rFonts w:ascii="Times New Roman" w:hAnsi="Times New Roman" w:cs="Times New Roman"/>
          <w:b/>
        </w:rPr>
        <w:t>, vérnyomáscsökkentő készítmények és egyéb értágítók</w:t>
      </w:r>
    </w:p>
    <w:p w14:paraId="2F130EB9" w14:textId="49769C86" w:rsidR="00B00CBD" w:rsidRPr="005060AE" w:rsidRDefault="00B00CBD" w:rsidP="00020748">
      <w:pPr>
        <w:pStyle w:val="Listaszerbekezds"/>
        <w:rPr>
          <w:color w:val="000000" w:themeColor="text1"/>
        </w:rPr>
      </w:pPr>
      <w:r w:rsidRPr="005060AE">
        <w:rPr>
          <w:rFonts w:ascii="Times New Roman" w:hAnsi="Times New Roman" w:cs="Times New Roman"/>
          <w:color w:val="000000" w:themeColor="text1"/>
        </w:rPr>
        <w:t xml:space="preserve">A </w:t>
      </w:r>
      <w:proofErr w:type="spellStart"/>
      <w:r w:rsidRPr="005060AE">
        <w:rPr>
          <w:rFonts w:ascii="Times New Roman" w:hAnsi="Times New Roman" w:cs="Times New Roman"/>
          <w:color w:val="000000" w:themeColor="text1"/>
        </w:rPr>
        <w:t>treprosztinil</w:t>
      </w:r>
      <w:proofErr w:type="spellEnd"/>
      <w:r w:rsidRPr="005060AE">
        <w:rPr>
          <w:rFonts w:ascii="Times New Roman" w:hAnsi="Times New Roman" w:cs="Times New Roman"/>
          <w:color w:val="000000" w:themeColor="text1"/>
        </w:rPr>
        <w:t xml:space="preserve"> és </w:t>
      </w:r>
      <w:proofErr w:type="spellStart"/>
      <w:r w:rsidRPr="005060AE">
        <w:rPr>
          <w:rFonts w:ascii="Times New Roman" w:hAnsi="Times New Roman" w:cs="Times New Roman"/>
          <w:color w:val="000000" w:themeColor="text1"/>
        </w:rPr>
        <w:t>diuretikumok</w:t>
      </w:r>
      <w:proofErr w:type="spellEnd"/>
      <w:r w:rsidRPr="005060AE">
        <w:rPr>
          <w:rFonts w:ascii="Times New Roman" w:hAnsi="Times New Roman" w:cs="Times New Roman"/>
          <w:color w:val="000000" w:themeColor="text1"/>
        </w:rPr>
        <w:t xml:space="preserve">, vérnyomáscsökkentő készítmények vagy egyéb értágítók együttes alkalmazása növeli a szisztémás </w:t>
      </w:r>
      <w:proofErr w:type="spellStart"/>
      <w:r w:rsidRPr="005060AE">
        <w:rPr>
          <w:rFonts w:ascii="Times New Roman" w:hAnsi="Times New Roman" w:cs="Times New Roman"/>
          <w:color w:val="000000" w:themeColor="text1"/>
        </w:rPr>
        <w:t>hypotensio</w:t>
      </w:r>
      <w:proofErr w:type="spellEnd"/>
      <w:r w:rsidRPr="005060AE">
        <w:rPr>
          <w:rFonts w:ascii="Times New Roman" w:hAnsi="Times New Roman" w:cs="Times New Roman"/>
          <w:color w:val="000000" w:themeColor="text1"/>
        </w:rPr>
        <w:t xml:space="preserve"> kockázatát. </w:t>
      </w:r>
    </w:p>
    <w:p w14:paraId="092892F2" w14:textId="77777777" w:rsidR="00B00CBD" w:rsidRPr="00067E49" w:rsidRDefault="00B00CBD" w:rsidP="00020748">
      <w:pPr>
        <w:rPr>
          <w:b/>
          <w:szCs w:val="22"/>
          <w:lang w:eastAsia="en-US"/>
        </w:rPr>
      </w:pPr>
    </w:p>
    <w:p w14:paraId="749A092E" w14:textId="07869332" w:rsidR="00B00CBD" w:rsidRPr="005060AE" w:rsidRDefault="00B00CBD" w:rsidP="005D7C32">
      <w:pPr>
        <w:pStyle w:val="Listaszerbekezds"/>
        <w:numPr>
          <w:ilvl w:val="0"/>
          <w:numId w:val="21"/>
        </w:numPr>
        <w:rPr>
          <w:b/>
        </w:rPr>
      </w:pPr>
      <w:proofErr w:type="spellStart"/>
      <w:r w:rsidRPr="005060AE">
        <w:rPr>
          <w:rFonts w:ascii="Times New Roman" w:hAnsi="Times New Roman" w:cs="Times New Roman"/>
          <w:b/>
        </w:rPr>
        <w:t>thrombocytaaggregáció</w:t>
      </w:r>
      <w:proofErr w:type="spellEnd"/>
      <w:r w:rsidRPr="005060AE">
        <w:rPr>
          <w:rFonts w:ascii="Times New Roman" w:hAnsi="Times New Roman" w:cs="Times New Roman"/>
          <w:b/>
        </w:rPr>
        <w:t>-gátlók</w:t>
      </w:r>
      <w:r w:rsidRPr="005060AE">
        <w:rPr>
          <w:rFonts w:ascii="Times New Roman" w:hAnsi="Times New Roman" w:cs="Times New Roman"/>
          <w:b/>
          <w:i/>
        </w:rPr>
        <w:t>, az NSAID készítményeket is beleértve,</w:t>
      </w:r>
      <w:r w:rsidRPr="005060AE">
        <w:rPr>
          <w:rFonts w:ascii="Times New Roman" w:hAnsi="Times New Roman" w:cs="Times New Roman"/>
          <w:b/>
        </w:rPr>
        <w:t xml:space="preserve"> valamint véralvadásgátlók</w:t>
      </w:r>
    </w:p>
    <w:p w14:paraId="545F1D8D" w14:textId="665F9FE9" w:rsidR="00B00CBD" w:rsidRPr="009458E2" w:rsidRDefault="00B00CBD" w:rsidP="00020748">
      <w:pPr>
        <w:pStyle w:val="Listaszerbekezds"/>
      </w:pPr>
      <w:r w:rsidRPr="005060AE">
        <w:rPr>
          <w:rFonts w:ascii="Times New Roman" w:hAnsi="Times New Roman" w:cs="Times New Roman"/>
        </w:rPr>
        <w:t xml:space="preserve">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 gátolhatja a </w:t>
      </w:r>
      <w:proofErr w:type="spellStart"/>
      <w:r w:rsidRPr="005060AE">
        <w:rPr>
          <w:rFonts w:ascii="Times New Roman" w:hAnsi="Times New Roman" w:cs="Times New Roman"/>
        </w:rPr>
        <w:t>thrombocyták</w:t>
      </w:r>
      <w:proofErr w:type="spellEnd"/>
      <w:r w:rsidRPr="005060AE">
        <w:rPr>
          <w:rFonts w:ascii="Times New Roman" w:hAnsi="Times New Roman" w:cs="Times New Roman"/>
        </w:rPr>
        <w:t xml:space="preserve"> működését.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 együttes alkalmazása </w:t>
      </w:r>
      <w:proofErr w:type="spellStart"/>
      <w:r w:rsidRPr="005060AE">
        <w:rPr>
          <w:rFonts w:ascii="Times New Roman" w:hAnsi="Times New Roman" w:cs="Times New Roman"/>
        </w:rPr>
        <w:t>thrombocytaaggregáció</w:t>
      </w:r>
      <w:proofErr w:type="spellEnd"/>
      <w:r w:rsidRPr="005060AE">
        <w:rPr>
          <w:rFonts w:ascii="Times New Roman" w:hAnsi="Times New Roman" w:cs="Times New Roman"/>
        </w:rPr>
        <w:t>-gátlókkal</w:t>
      </w:r>
      <w:r w:rsidRPr="005060AE">
        <w:rPr>
          <w:rFonts w:ascii="Times New Roman" w:hAnsi="Times New Roman" w:cs="Times New Roman"/>
          <w:b/>
          <w:i/>
        </w:rPr>
        <w:t xml:space="preserve"> </w:t>
      </w:r>
      <w:r w:rsidRPr="005060AE">
        <w:rPr>
          <w:rFonts w:ascii="Times New Roman" w:hAnsi="Times New Roman" w:cs="Times New Roman"/>
        </w:rPr>
        <w:t xml:space="preserve">– az NSAID-készítményeket is beleértve –, nitrogén-monoxid donorokkal vagy véralvadásgátlókkal, növelheti a vérzés kockázatát. A véralvadásgátlóval kezelt betegek ellenőrzésének szigorú összhangban kell lennie az ilyen kezelések során alkalmazott szokásos orvosi gyakorlatra vonatkozó ajánlásokkal. Véralvadásgátlókat szedő betegek esetében más </w:t>
      </w:r>
      <w:proofErr w:type="spellStart"/>
      <w:r w:rsidRPr="005060AE">
        <w:rPr>
          <w:rFonts w:ascii="Times New Roman" w:hAnsi="Times New Roman" w:cs="Times New Roman"/>
        </w:rPr>
        <w:t>thrombocytaaggregáció</w:t>
      </w:r>
      <w:proofErr w:type="spellEnd"/>
      <w:r w:rsidRPr="005060AE">
        <w:rPr>
          <w:rFonts w:ascii="Times New Roman" w:hAnsi="Times New Roman" w:cs="Times New Roman"/>
        </w:rPr>
        <w:t xml:space="preserve">-gátlók együttes alkalmazása kerülendő.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 folyamatos </w:t>
      </w:r>
      <w:proofErr w:type="spellStart"/>
      <w:r w:rsidRPr="005060AE">
        <w:rPr>
          <w:rFonts w:ascii="Times New Roman" w:hAnsi="Times New Roman" w:cs="Times New Roman"/>
        </w:rPr>
        <w:t>subcutan</w:t>
      </w:r>
      <w:proofErr w:type="spellEnd"/>
      <w:r w:rsidRPr="005060AE">
        <w:rPr>
          <w:rFonts w:ascii="Times New Roman" w:hAnsi="Times New Roman" w:cs="Times New Roman"/>
        </w:rPr>
        <w:t xml:space="preserve"> infúziója nincs hatással egyetlen </w:t>
      </w:r>
      <w:proofErr w:type="spellStart"/>
      <w:r w:rsidRPr="005060AE">
        <w:rPr>
          <w:rFonts w:ascii="Times New Roman" w:hAnsi="Times New Roman" w:cs="Times New Roman"/>
        </w:rPr>
        <w:t>warfarin</w:t>
      </w:r>
      <w:proofErr w:type="spellEnd"/>
      <w:r w:rsidRPr="005060AE">
        <w:rPr>
          <w:rFonts w:ascii="Times New Roman" w:hAnsi="Times New Roman" w:cs="Times New Roman"/>
        </w:rPr>
        <w:t xml:space="preserve"> dózis (25 mg) </w:t>
      </w:r>
      <w:proofErr w:type="spellStart"/>
      <w:r w:rsidRPr="005060AE">
        <w:rPr>
          <w:rFonts w:ascii="Times New Roman" w:hAnsi="Times New Roman" w:cs="Times New Roman"/>
        </w:rPr>
        <w:t>farmakodinámiájára</w:t>
      </w:r>
      <w:proofErr w:type="spellEnd"/>
      <w:r w:rsidRPr="005060AE">
        <w:rPr>
          <w:rFonts w:ascii="Times New Roman" w:hAnsi="Times New Roman" w:cs="Times New Roman"/>
        </w:rPr>
        <w:t xml:space="preserve"> és </w:t>
      </w:r>
      <w:proofErr w:type="spellStart"/>
      <w:r w:rsidRPr="005060AE">
        <w:rPr>
          <w:rFonts w:ascii="Times New Roman" w:hAnsi="Times New Roman" w:cs="Times New Roman"/>
        </w:rPr>
        <w:t>farmakokinetikájára</w:t>
      </w:r>
      <w:proofErr w:type="spellEnd"/>
      <w:r w:rsidRPr="005060AE">
        <w:rPr>
          <w:rFonts w:ascii="Times New Roman" w:hAnsi="Times New Roman" w:cs="Times New Roman"/>
        </w:rPr>
        <w:t xml:space="preserve">. Nincsenek azonban rendelkezésre álló adatok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 és nitrogén-monoxid donorok együttes alkalmazása esetén fellépő lehetséges interakciókról, melyek a vérzések bekövetkezésének fokozott kockázatához vezetnének</w:t>
      </w:r>
      <w:r w:rsidRPr="005060AE">
        <w:rPr>
          <w:rFonts w:ascii="Times New Roman" w:hAnsi="Times New Roman" w:cs="Times New Roman"/>
          <w:b/>
          <w:i/>
        </w:rPr>
        <w:t>.</w:t>
      </w:r>
    </w:p>
    <w:p w14:paraId="5FFD7D2B" w14:textId="77777777" w:rsidR="00B00CBD" w:rsidRPr="00067E49" w:rsidRDefault="00B00CBD" w:rsidP="00020748">
      <w:pPr>
        <w:rPr>
          <w:b/>
          <w:szCs w:val="22"/>
          <w:lang w:eastAsia="en-US"/>
        </w:rPr>
      </w:pPr>
    </w:p>
    <w:p w14:paraId="1AB7B763" w14:textId="7DD44ACD" w:rsidR="00B00CBD" w:rsidRPr="005060AE" w:rsidRDefault="00B00CBD" w:rsidP="00404671">
      <w:pPr>
        <w:pStyle w:val="Listaszerbekezds"/>
        <w:numPr>
          <w:ilvl w:val="0"/>
          <w:numId w:val="21"/>
        </w:numPr>
        <w:rPr>
          <w:b/>
        </w:rPr>
      </w:pPr>
      <w:proofErr w:type="spellStart"/>
      <w:r w:rsidRPr="005060AE">
        <w:rPr>
          <w:rFonts w:ascii="Times New Roman" w:hAnsi="Times New Roman" w:cs="Times New Roman"/>
          <w:b/>
        </w:rPr>
        <w:t>furoszemid</w:t>
      </w:r>
      <w:proofErr w:type="spellEnd"/>
    </w:p>
    <w:p w14:paraId="1502FF80" w14:textId="1E46DD3F" w:rsidR="00C76812" w:rsidRPr="009458E2" w:rsidRDefault="00B00CBD" w:rsidP="00020748">
      <w:pPr>
        <w:pStyle w:val="Listaszerbekezds"/>
      </w:pPr>
      <w:proofErr w:type="spellStart"/>
      <w:r w:rsidRPr="005060AE">
        <w:rPr>
          <w:rFonts w:ascii="Times New Roman" w:hAnsi="Times New Roman" w:cs="Times New Roman"/>
        </w:rPr>
        <w:t>Furoszemiddel</w:t>
      </w:r>
      <w:proofErr w:type="spellEnd"/>
      <w:r w:rsidRPr="005060AE">
        <w:rPr>
          <w:rFonts w:ascii="Times New Roman" w:hAnsi="Times New Roman" w:cs="Times New Roman"/>
        </w:rPr>
        <w:t xml:space="preserve"> kezelt betegeknél enyhén csökkenhet a </w:t>
      </w:r>
      <w:proofErr w:type="spellStart"/>
      <w:r w:rsidRPr="005060AE">
        <w:rPr>
          <w:rFonts w:ascii="Times New Roman" w:hAnsi="Times New Roman" w:cs="Times New Roman"/>
        </w:rPr>
        <w:t>treprosztinil-plazmaclearence</w:t>
      </w:r>
      <w:proofErr w:type="spellEnd"/>
      <w:r w:rsidRPr="005060AE">
        <w:rPr>
          <w:rFonts w:ascii="Times New Roman" w:hAnsi="Times New Roman" w:cs="Times New Roman"/>
        </w:rPr>
        <w:t xml:space="preserve"> értéke.  Ez a kölcsönhatás valószínűleg a mindkét vegyületre jellemző néhány közös anyagcsere-tulajdonságnak (</w:t>
      </w:r>
      <w:proofErr w:type="spellStart"/>
      <w:r w:rsidRPr="005060AE">
        <w:rPr>
          <w:rFonts w:ascii="Times New Roman" w:hAnsi="Times New Roman" w:cs="Times New Roman"/>
        </w:rPr>
        <w:t>karboxilátcsoport</w:t>
      </w:r>
      <w:proofErr w:type="spellEnd"/>
      <w:r w:rsidRPr="005060AE">
        <w:rPr>
          <w:rFonts w:ascii="Times New Roman" w:hAnsi="Times New Roman" w:cs="Times New Roman"/>
        </w:rPr>
        <w:t xml:space="preserve"> </w:t>
      </w:r>
      <w:proofErr w:type="spellStart"/>
      <w:r w:rsidRPr="005060AE">
        <w:rPr>
          <w:rFonts w:ascii="Times New Roman" w:hAnsi="Times New Roman" w:cs="Times New Roman"/>
        </w:rPr>
        <w:t>glükurokonjugáció</w:t>
      </w:r>
      <w:proofErr w:type="spellEnd"/>
      <w:r w:rsidRPr="005060AE">
        <w:rPr>
          <w:rFonts w:ascii="Times New Roman" w:hAnsi="Times New Roman" w:cs="Times New Roman"/>
        </w:rPr>
        <w:t>) tulajdonítható.</w:t>
      </w:r>
    </w:p>
    <w:p w14:paraId="2F107D42" w14:textId="77777777" w:rsidR="00C76812" w:rsidRPr="00067E49" w:rsidRDefault="00C76812" w:rsidP="00020748">
      <w:pPr>
        <w:rPr>
          <w:szCs w:val="22"/>
          <w:lang w:eastAsia="en-US"/>
        </w:rPr>
      </w:pPr>
    </w:p>
    <w:p w14:paraId="26A229D1" w14:textId="325E1F65" w:rsidR="00C76812" w:rsidRPr="005060AE" w:rsidRDefault="00C76812" w:rsidP="00404671">
      <w:pPr>
        <w:pStyle w:val="Listaszerbekezds"/>
        <w:numPr>
          <w:ilvl w:val="0"/>
          <w:numId w:val="21"/>
        </w:numPr>
        <w:rPr>
          <w:b/>
        </w:rPr>
      </w:pPr>
      <w:proofErr w:type="spellStart"/>
      <w:r w:rsidRPr="005060AE">
        <w:rPr>
          <w:rFonts w:ascii="Times New Roman" w:hAnsi="Times New Roman" w:cs="Times New Roman"/>
          <w:b/>
        </w:rPr>
        <w:t>citokróm</w:t>
      </w:r>
      <w:proofErr w:type="spellEnd"/>
      <w:r w:rsidRPr="005060AE">
        <w:rPr>
          <w:rFonts w:ascii="Times New Roman" w:hAnsi="Times New Roman" w:cs="Times New Roman"/>
          <w:b/>
        </w:rPr>
        <w:t xml:space="preserve"> P450 (CYP) 2C8 enziminduktorok/-inhibitorok </w:t>
      </w:r>
    </w:p>
    <w:p w14:paraId="362AEC6D" w14:textId="524B797B" w:rsidR="00F03523" w:rsidRPr="009458E2" w:rsidRDefault="00C76812" w:rsidP="00020748">
      <w:pPr>
        <w:pStyle w:val="Listaszerbekezds"/>
      </w:pPr>
      <w:proofErr w:type="spellStart"/>
      <w:r w:rsidRPr="005060AE">
        <w:rPr>
          <w:rFonts w:ascii="Times New Roman" w:hAnsi="Times New Roman" w:cs="Times New Roman"/>
          <w:i/>
        </w:rPr>
        <w:t>Gemfibrozil</w:t>
      </w:r>
      <w:proofErr w:type="spellEnd"/>
      <w:r w:rsidRPr="005060AE">
        <w:rPr>
          <w:rFonts w:ascii="Times New Roman" w:hAnsi="Times New Roman" w:cs="Times New Roman"/>
        </w:rPr>
        <w:t xml:space="preserve"> – Humán </w:t>
      </w:r>
      <w:proofErr w:type="spellStart"/>
      <w:r w:rsidRPr="005060AE">
        <w:rPr>
          <w:rFonts w:ascii="Times New Roman" w:hAnsi="Times New Roman" w:cs="Times New Roman"/>
        </w:rPr>
        <w:t>farmakokinetikai</w:t>
      </w:r>
      <w:proofErr w:type="spellEnd"/>
      <w:r w:rsidRPr="005060AE">
        <w:rPr>
          <w:rFonts w:ascii="Times New Roman" w:hAnsi="Times New Roman" w:cs="Times New Roman"/>
        </w:rPr>
        <w:t xml:space="preserve"> vizsgálatok kimutatták, hogy a </w:t>
      </w:r>
      <w:r w:rsidRPr="005060AE">
        <w:rPr>
          <w:rFonts w:ascii="Times New Roman" w:hAnsi="Times New Roman" w:cs="Times New Roman"/>
          <w:i/>
          <w:iCs/>
        </w:rPr>
        <w:t xml:space="preserve">per </w:t>
      </w:r>
      <w:proofErr w:type="spellStart"/>
      <w:r w:rsidRPr="005060AE">
        <w:rPr>
          <w:rFonts w:ascii="Times New Roman" w:hAnsi="Times New Roman" w:cs="Times New Roman"/>
          <w:i/>
          <w:iCs/>
        </w:rPr>
        <w:t>os</w:t>
      </w:r>
      <w:proofErr w:type="spellEnd"/>
      <w:r w:rsidRPr="005060AE">
        <w:rPr>
          <w:rFonts w:ascii="Times New Roman" w:hAnsi="Times New Roman" w:cs="Times New Roman"/>
        </w:rPr>
        <w:t xml:space="preserve"> szedett </w:t>
      </w:r>
      <w:proofErr w:type="spellStart"/>
      <w:r w:rsidRPr="005060AE">
        <w:rPr>
          <w:rFonts w:ascii="Times New Roman" w:hAnsi="Times New Roman" w:cs="Times New Roman"/>
        </w:rPr>
        <w:t>treprosztinil-diolamin</w:t>
      </w:r>
      <w:proofErr w:type="spellEnd"/>
      <w:r w:rsidRPr="005060AE">
        <w:rPr>
          <w:rFonts w:ascii="Times New Roman" w:hAnsi="Times New Roman" w:cs="Times New Roman"/>
        </w:rPr>
        <w:t xml:space="preserve"> együttes alkalmazása a </w:t>
      </w:r>
      <w:proofErr w:type="spellStart"/>
      <w:r w:rsidRPr="005060AE">
        <w:rPr>
          <w:rFonts w:ascii="Times New Roman" w:hAnsi="Times New Roman" w:cs="Times New Roman"/>
        </w:rPr>
        <w:t>citokróm</w:t>
      </w:r>
      <w:proofErr w:type="spellEnd"/>
      <w:r w:rsidRPr="005060AE">
        <w:rPr>
          <w:rFonts w:ascii="Times New Roman" w:hAnsi="Times New Roman" w:cs="Times New Roman"/>
        </w:rPr>
        <w:t xml:space="preserve"> P450 (CYP) 2C8 enzimgátló </w:t>
      </w:r>
      <w:proofErr w:type="spellStart"/>
      <w:r w:rsidRPr="005060AE">
        <w:rPr>
          <w:rFonts w:ascii="Times New Roman" w:hAnsi="Times New Roman" w:cs="Times New Roman"/>
        </w:rPr>
        <w:t>gemfibrozillal</w:t>
      </w:r>
      <w:proofErr w:type="spellEnd"/>
      <w:r w:rsidRPr="005060AE">
        <w:rPr>
          <w:rFonts w:ascii="Times New Roman" w:hAnsi="Times New Roman" w:cs="Times New Roman"/>
        </w:rPr>
        <w:t xml:space="preserve"> megkétszerezi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-expozíciót (a </w:t>
      </w:r>
      <w:proofErr w:type="spellStart"/>
      <w:r w:rsidRPr="005060AE">
        <w:rPr>
          <w:rFonts w:ascii="Times New Roman" w:hAnsi="Times New Roman" w:cs="Times New Roman"/>
        </w:rPr>
        <w:t>C</w:t>
      </w:r>
      <w:r w:rsidRPr="005060AE">
        <w:rPr>
          <w:rFonts w:ascii="Times New Roman" w:hAnsi="Times New Roman" w:cs="Times New Roman"/>
          <w:vertAlign w:val="subscript"/>
        </w:rPr>
        <w:t>max</w:t>
      </w:r>
      <w:proofErr w:type="spellEnd"/>
      <w:r w:rsidRPr="005060AE">
        <w:rPr>
          <w:rFonts w:ascii="Times New Roman" w:hAnsi="Times New Roman" w:cs="Times New Roman"/>
        </w:rPr>
        <w:t xml:space="preserve">- és AUC-értéket is). Nem határozták meg, hogy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 </w:t>
      </w:r>
      <w:proofErr w:type="spellStart"/>
      <w:r w:rsidRPr="005060AE">
        <w:rPr>
          <w:rFonts w:ascii="Times New Roman" w:hAnsi="Times New Roman" w:cs="Times New Roman"/>
        </w:rPr>
        <w:t>parenterális</w:t>
      </w:r>
      <w:proofErr w:type="spellEnd"/>
      <w:r w:rsidRPr="005060AE">
        <w:rPr>
          <w:rFonts w:ascii="Times New Roman" w:hAnsi="Times New Roman" w:cs="Times New Roman"/>
        </w:rPr>
        <w:t xml:space="preserve"> (</w:t>
      </w:r>
      <w:proofErr w:type="spellStart"/>
      <w:r w:rsidRPr="005060AE">
        <w:rPr>
          <w:rFonts w:ascii="Times New Roman" w:hAnsi="Times New Roman" w:cs="Times New Roman"/>
        </w:rPr>
        <w:t>subcutan</w:t>
      </w:r>
      <w:proofErr w:type="spellEnd"/>
      <w:r w:rsidRPr="005060AE">
        <w:rPr>
          <w:rFonts w:ascii="Times New Roman" w:hAnsi="Times New Roman" w:cs="Times New Roman"/>
        </w:rPr>
        <w:t xml:space="preserve"> vagy intravénás) alkalmazásának biztonságosságát és hatásosságát megváltoztatják-e a CYP2C8-gátlók. Ha a titrálási időszak után egy CYP2C8-gátlót (pl. </w:t>
      </w:r>
      <w:proofErr w:type="spellStart"/>
      <w:r w:rsidRPr="005060AE">
        <w:rPr>
          <w:rFonts w:ascii="Times New Roman" w:hAnsi="Times New Roman" w:cs="Times New Roman"/>
        </w:rPr>
        <w:t>gemfibrozil</w:t>
      </w:r>
      <w:proofErr w:type="spellEnd"/>
      <w:r w:rsidRPr="005060AE">
        <w:rPr>
          <w:rFonts w:ascii="Times New Roman" w:hAnsi="Times New Roman" w:cs="Times New Roman"/>
        </w:rPr>
        <w:t xml:space="preserve">, </w:t>
      </w:r>
      <w:proofErr w:type="spellStart"/>
      <w:r w:rsidRPr="005060AE">
        <w:rPr>
          <w:rFonts w:ascii="Times New Roman" w:hAnsi="Times New Roman" w:cs="Times New Roman"/>
        </w:rPr>
        <w:t>trimetoprim</w:t>
      </w:r>
      <w:proofErr w:type="spellEnd"/>
      <w:r w:rsidRPr="005060AE">
        <w:rPr>
          <w:rFonts w:ascii="Times New Roman" w:hAnsi="Times New Roman" w:cs="Times New Roman"/>
        </w:rPr>
        <w:t xml:space="preserve"> vagy </w:t>
      </w:r>
      <w:proofErr w:type="spellStart"/>
      <w:r w:rsidRPr="005060AE">
        <w:rPr>
          <w:rFonts w:ascii="Times New Roman" w:hAnsi="Times New Roman" w:cs="Times New Roman"/>
        </w:rPr>
        <w:t>deferazirox</w:t>
      </w:r>
      <w:proofErr w:type="spellEnd"/>
      <w:r w:rsidRPr="005060AE">
        <w:rPr>
          <w:rFonts w:ascii="Times New Roman" w:hAnsi="Times New Roman" w:cs="Times New Roman"/>
        </w:rPr>
        <w:t xml:space="preserve">) adnak a beteg gyógyszereihez, vagy távolítanak el közülük, meg kell fontolni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 dózisának m</w:t>
      </w:r>
      <w:r w:rsidR="009458E2">
        <w:rPr>
          <w:rFonts w:ascii="Times New Roman" w:hAnsi="Times New Roman" w:cs="Times New Roman"/>
        </w:rPr>
        <w:t>ó</w:t>
      </w:r>
      <w:r w:rsidRPr="005060AE">
        <w:rPr>
          <w:rFonts w:ascii="Times New Roman" w:hAnsi="Times New Roman" w:cs="Times New Roman"/>
        </w:rPr>
        <w:t>dosítását.</w:t>
      </w:r>
    </w:p>
    <w:p w14:paraId="27BCDF9A" w14:textId="77777777" w:rsidR="00F03523" w:rsidRPr="00067E49" w:rsidRDefault="00F03523" w:rsidP="00020748">
      <w:pPr>
        <w:rPr>
          <w:szCs w:val="22"/>
          <w:lang w:eastAsia="en-US"/>
        </w:rPr>
      </w:pPr>
    </w:p>
    <w:p w14:paraId="13DACDCC" w14:textId="3AE4C4A5" w:rsidR="001A77E6" w:rsidRPr="009458E2" w:rsidRDefault="00F03523" w:rsidP="00020748">
      <w:pPr>
        <w:pStyle w:val="Listaszerbekezds"/>
      </w:pPr>
      <w:proofErr w:type="spellStart"/>
      <w:r w:rsidRPr="005060AE">
        <w:rPr>
          <w:rFonts w:ascii="Times New Roman" w:hAnsi="Times New Roman" w:cs="Times New Roman"/>
          <w:i/>
        </w:rPr>
        <w:t>Rifampicin</w:t>
      </w:r>
      <w:proofErr w:type="spellEnd"/>
      <w:r w:rsidRPr="005060AE">
        <w:rPr>
          <w:rFonts w:ascii="Times New Roman" w:hAnsi="Times New Roman" w:cs="Times New Roman"/>
        </w:rPr>
        <w:t xml:space="preserve"> – Humán </w:t>
      </w:r>
      <w:proofErr w:type="spellStart"/>
      <w:r w:rsidRPr="005060AE">
        <w:rPr>
          <w:rFonts w:ascii="Times New Roman" w:hAnsi="Times New Roman" w:cs="Times New Roman"/>
        </w:rPr>
        <w:t>farmakokinetikai</w:t>
      </w:r>
      <w:proofErr w:type="spellEnd"/>
      <w:r w:rsidRPr="005060AE">
        <w:rPr>
          <w:rFonts w:ascii="Times New Roman" w:hAnsi="Times New Roman" w:cs="Times New Roman"/>
        </w:rPr>
        <w:t xml:space="preserve"> vizsgálatok kimutatták, hogy a </w:t>
      </w:r>
      <w:r w:rsidRPr="005060AE">
        <w:rPr>
          <w:rFonts w:ascii="Times New Roman" w:hAnsi="Times New Roman" w:cs="Times New Roman"/>
          <w:i/>
          <w:iCs/>
        </w:rPr>
        <w:t xml:space="preserve">per </w:t>
      </w:r>
      <w:proofErr w:type="spellStart"/>
      <w:r w:rsidRPr="005060AE">
        <w:rPr>
          <w:rFonts w:ascii="Times New Roman" w:hAnsi="Times New Roman" w:cs="Times New Roman"/>
          <w:i/>
          <w:iCs/>
        </w:rPr>
        <w:t>os</w:t>
      </w:r>
      <w:proofErr w:type="spellEnd"/>
      <w:r w:rsidRPr="005060AE">
        <w:rPr>
          <w:rFonts w:ascii="Times New Roman" w:hAnsi="Times New Roman" w:cs="Times New Roman"/>
        </w:rPr>
        <w:t xml:space="preserve"> szedett </w:t>
      </w:r>
      <w:proofErr w:type="spellStart"/>
      <w:r w:rsidRPr="005060AE">
        <w:rPr>
          <w:rFonts w:ascii="Times New Roman" w:hAnsi="Times New Roman" w:cs="Times New Roman"/>
        </w:rPr>
        <w:t>treprosztinil-diolamin</w:t>
      </w:r>
      <w:proofErr w:type="spellEnd"/>
      <w:r w:rsidRPr="005060AE">
        <w:rPr>
          <w:rFonts w:ascii="Times New Roman" w:hAnsi="Times New Roman" w:cs="Times New Roman"/>
        </w:rPr>
        <w:t xml:space="preserve"> együttes alkalmazása a CYPC8 enziminduktor </w:t>
      </w:r>
      <w:proofErr w:type="spellStart"/>
      <w:r w:rsidRPr="005060AE">
        <w:rPr>
          <w:rFonts w:ascii="Times New Roman" w:hAnsi="Times New Roman" w:cs="Times New Roman"/>
        </w:rPr>
        <w:t>rifampicinnel</w:t>
      </w:r>
      <w:proofErr w:type="spellEnd"/>
      <w:r w:rsidRPr="005060AE">
        <w:rPr>
          <w:rFonts w:ascii="Times New Roman" w:hAnsi="Times New Roman" w:cs="Times New Roman"/>
        </w:rPr>
        <w:t xml:space="preserve"> csökkenti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-expozíciót (körülbelül 20%-kal). Nem határozták meg, hogy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 </w:t>
      </w:r>
      <w:proofErr w:type="spellStart"/>
      <w:r w:rsidRPr="005060AE">
        <w:rPr>
          <w:rFonts w:ascii="Times New Roman" w:hAnsi="Times New Roman" w:cs="Times New Roman"/>
        </w:rPr>
        <w:t>parenterális</w:t>
      </w:r>
      <w:proofErr w:type="spellEnd"/>
      <w:r w:rsidRPr="005060AE">
        <w:rPr>
          <w:rFonts w:ascii="Times New Roman" w:hAnsi="Times New Roman" w:cs="Times New Roman"/>
        </w:rPr>
        <w:t xml:space="preserve"> (</w:t>
      </w:r>
      <w:proofErr w:type="spellStart"/>
      <w:r w:rsidRPr="005060AE">
        <w:rPr>
          <w:rFonts w:ascii="Times New Roman" w:hAnsi="Times New Roman" w:cs="Times New Roman"/>
        </w:rPr>
        <w:t>subcutan</w:t>
      </w:r>
      <w:proofErr w:type="spellEnd"/>
      <w:r w:rsidRPr="005060AE">
        <w:rPr>
          <w:rFonts w:ascii="Times New Roman" w:hAnsi="Times New Roman" w:cs="Times New Roman"/>
        </w:rPr>
        <w:t xml:space="preserve"> vagy intravénás) alkalmazásának biztonságosságát és hatásosságát megváltoztatja-e a </w:t>
      </w:r>
      <w:proofErr w:type="spellStart"/>
      <w:r w:rsidRPr="005060AE">
        <w:rPr>
          <w:rFonts w:ascii="Times New Roman" w:hAnsi="Times New Roman" w:cs="Times New Roman"/>
        </w:rPr>
        <w:t>rifampicin</w:t>
      </w:r>
      <w:proofErr w:type="spellEnd"/>
      <w:r w:rsidRPr="005060AE">
        <w:rPr>
          <w:rFonts w:ascii="Times New Roman" w:hAnsi="Times New Roman" w:cs="Times New Roman"/>
        </w:rPr>
        <w:t xml:space="preserve">. Ha a titrálási időszak után </w:t>
      </w:r>
      <w:proofErr w:type="spellStart"/>
      <w:r w:rsidRPr="005060AE">
        <w:rPr>
          <w:rFonts w:ascii="Times New Roman" w:hAnsi="Times New Roman" w:cs="Times New Roman"/>
        </w:rPr>
        <w:t>rifampicint</w:t>
      </w:r>
      <w:proofErr w:type="spellEnd"/>
      <w:r w:rsidRPr="005060AE">
        <w:rPr>
          <w:rFonts w:ascii="Times New Roman" w:hAnsi="Times New Roman" w:cs="Times New Roman"/>
        </w:rPr>
        <w:t xml:space="preserve"> adnak a beteg gyógyszereihez, vagy távolítanak el közülük, meg kell fontolni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 dózisának módosítását.</w:t>
      </w:r>
    </w:p>
    <w:p w14:paraId="4C15BD16" w14:textId="77777777" w:rsidR="001A77E6" w:rsidRPr="00067E49" w:rsidRDefault="001A77E6" w:rsidP="00020748">
      <w:pPr>
        <w:rPr>
          <w:szCs w:val="22"/>
          <w:lang w:eastAsia="en-US"/>
        </w:rPr>
      </w:pPr>
    </w:p>
    <w:p w14:paraId="7903D4BF" w14:textId="36C8647B" w:rsidR="0034051C" w:rsidRPr="009458E2" w:rsidRDefault="00C76812" w:rsidP="00020748">
      <w:pPr>
        <w:pStyle w:val="Listaszerbekezds"/>
      </w:pPr>
      <w:r w:rsidRPr="005060AE">
        <w:rPr>
          <w:rFonts w:ascii="Times New Roman" w:hAnsi="Times New Roman" w:cs="Times New Roman"/>
        </w:rPr>
        <w:t xml:space="preserve">A CYP2C8-serkentők (pl. </w:t>
      </w:r>
      <w:proofErr w:type="spellStart"/>
      <w:r w:rsidRPr="005060AE">
        <w:rPr>
          <w:rFonts w:ascii="Times New Roman" w:hAnsi="Times New Roman" w:cs="Times New Roman"/>
        </w:rPr>
        <w:t>fenitoin</w:t>
      </w:r>
      <w:proofErr w:type="spellEnd"/>
      <w:r w:rsidRPr="005060AE">
        <w:rPr>
          <w:rFonts w:ascii="Times New Roman" w:hAnsi="Times New Roman" w:cs="Times New Roman"/>
        </w:rPr>
        <w:t xml:space="preserve">, </w:t>
      </w:r>
      <w:proofErr w:type="spellStart"/>
      <w:r w:rsidRPr="005060AE">
        <w:rPr>
          <w:rFonts w:ascii="Times New Roman" w:hAnsi="Times New Roman" w:cs="Times New Roman"/>
        </w:rPr>
        <w:t>karbamazepin</w:t>
      </w:r>
      <w:proofErr w:type="spellEnd"/>
      <w:r w:rsidRPr="005060AE">
        <w:rPr>
          <w:rFonts w:ascii="Times New Roman" w:hAnsi="Times New Roman" w:cs="Times New Roman"/>
        </w:rPr>
        <w:t xml:space="preserve">, </w:t>
      </w:r>
      <w:proofErr w:type="spellStart"/>
      <w:r w:rsidRPr="005060AE">
        <w:rPr>
          <w:rFonts w:ascii="Times New Roman" w:hAnsi="Times New Roman" w:cs="Times New Roman"/>
        </w:rPr>
        <w:t>fenobarbitál</w:t>
      </w:r>
      <w:proofErr w:type="spellEnd"/>
      <w:r w:rsidRPr="005060AE">
        <w:rPr>
          <w:rFonts w:ascii="Times New Roman" w:hAnsi="Times New Roman" w:cs="Times New Roman"/>
        </w:rPr>
        <w:t xml:space="preserve"> és orbáncfű) csökkenthetik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-expozíciót. Ha a titrálási időszak után egy CYP2C8-induktort adnak a beteg gyógyszereihez, vagy távolítanak el közülük, meg kell fontolni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 dózisának módosítását.</w:t>
      </w:r>
    </w:p>
    <w:p w14:paraId="3A5DA001" w14:textId="77777777" w:rsidR="00ED4E41" w:rsidRPr="00067E49" w:rsidRDefault="00ED4E41" w:rsidP="00020748">
      <w:pPr>
        <w:rPr>
          <w:b/>
          <w:szCs w:val="22"/>
          <w:lang w:eastAsia="en-US"/>
        </w:rPr>
      </w:pPr>
    </w:p>
    <w:p w14:paraId="2B2AE08D" w14:textId="5FE72647" w:rsidR="008D2112" w:rsidRPr="005060AE" w:rsidRDefault="008D2112" w:rsidP="00404671">
      <w:pPr>
        <w:pStyle w:val="Listaszerbekezds"/>
        <w:numPr>
          <w:ilvl w:val="0"/>
          <w:numId w:val="21"/>
        </w:numPr>
        <w:rPr>
          <w:b/>
        </w:rPr>
      </w:pPr>
      <w:proofErr w:type="spellStart"/>
      <w:r w:rsidRPr="005060AE">
        <w:rPr>
          <w:rFonts w:ascii="Times New Roman" w:hAnsi="Times New Roman" w:cs="Times New Roman"/>
          <w:b/>
        </w:rPr>
        <w:t>boszentán</w:t>
      </w:r>
      <w:proofErr w:type="spellEnd"/>
    </w:p>
    <w:p w14:paraId="26F54DA7" w14:textId="402556D9" w:rsidR="008D2112" w:rsidRPr="009458E2" w:rsidRDefault="008D2112" w:rsidP="00020748">
      <w:pPr>
        <w:pStyle w:val="Listaszerbekezds"/>
      </w:pPr>
      <w:r w:rsidRPr="005060AE">
        <w:rPr>
          <w:rFonts w:ascii="Times New Roman" w:hAnsi="Times New Roman" w:cs="Times New Roman"/>
        </w:rPr>
        <w:t xml:space="preserve">A </w:t>
      </w:r>
      <w:proofErr w:type="spellStart"/>
      <w:r w:rsidRPr="005060AE">
        <w:rPr>
          <w:rFonts w:ascii="Times New Roman" w:hAnsi="Times New Roman" w:cs="Times New Roman"/>
        </w:rPr>
        <w:t>boszentánnal</w:t>
      </w:r>
      <w:proofErr w:type="spellEnd"/>
      <w:r w:rsidRPr="005060AE">
        <w:rPr>
          <w:rFonts w:ascii="Times New Roman" w:hAnsi="Times New Roman" w:cs="Times New Roman"/>
        </w:rPr>
        <w:t xml:space="preserve"> (250 mg/nap) és </w:t>
      </w:r>
      <w:proofErr w:type="spellStart"/>
      <w:r w:rsidRPr="005060AE">
        <w:rPr>
          <w:rFonts w:ascii="Times New Roman" w:hAnsi="Times New Roman" w:cs="Times New Roman"/>
        </w:rPr>
        <w:t>treprosztinil-diolaminnal</w:t>
      </w:r>
      <w:proofErr w:type="spellEnd"/>
      <w:r w:rsidRPr="005060AE">
        <w:rPr>
          <w:rFonts w:ascii="Times New Roman" w:hAnsi="Times New Roman" w:cs="Times New Roman"/>
        </w:rPr>
        <w:t xml:space="preserve"> (</w:t>
      </w:r>
      <w:r w:rsidRPr="005060AE">
        <w:rPr>
          <w:rFonts w:ascii="Times New Roman" w:hAnsi="Times New Roman" w:cs="Times New Roman"/>
          <w:i/>
          <w:iCs/>
        </w:rPr>
        <w:t xml:space="preserve">per </w:t>
      </w:r>
      <w:proofErr w:type="spellStart"/>
      <w:r w:rsidRPr="005060AE">
        <w:rPr>
          <w:rFonts w:ascii="Times New Roman" w:hAnsi="Times New Roman" w:cs="Times New Roman"/>
          <w:i/>
          <w:iCs/>
        </w:rPr>
        <w:t>os</w:t>
      </w:r>
      <w:proofErr w:type="spellEnd"/>
      <w:r w:rsidRPr="005060AE">
        <w:rPr>
          <w:rFonts w:ascii="Times New Roman" w:hAnsi="Times New Roman" w:cs="Times New Roman"/>
        </w:rPr>
        <w:t xml:space="preserve"> 2 mg/nap) végzett humán </w:t>
      </w:r>
      <w:proofErr w:type="spellStart"/>
      <w:r w:rsidRPr="005060AE">
        <w:rPr>
          <w:rFonts w:ascii="Times New Roman" w:hAnsi="Times New Roman" w:cs="Times New Roman"/>
        </w:rPr>
        <w:t>farmakokinetikai</w:t>
      </w:r>
      <w:proofErr w:type="spellEnd"/>
      <w:r w:rsidRPr="005060AE">
        <w:rPr>
          <w:rFonts w:ascii="Times New Roman" w:hAnsi="Times New Roman" w:cs="Times New Roman"/>
        </w:rPr>
        <w:t xml:space="preserve"> vizsgálatban nem figyeltek meg </w:t>
      </w:r>
      <w:proofErr w:type="spellStart"/>
      <w:r w:rsidRPr="005060AE">
        <w:rPr>
          <w:rFonts w:ascii="Times New Roman" w:hAnsi="Times New Roman" w:cs="Times New Roman"/>
        </w:rPr>
        <w:t>farmakokinetikai</w:t>
      </w:r>
      <w:proofErr w:type="spellEnd"/>
      <w:r w:rsidRPr="005060AE">
        <w:rPr>
          <w:rFonts w:ascii="Times New Roman" w:hAnsi="Times New Roman" w:cs="Times New Roman"/>
        </w:rPr>
        <w:t xml:space="preserve"> interakciót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 és a </w:t>
      </w:r>
      <w:proofErr w:type="spellStart"/>
      <w:r w:rsidRPr="005060AE">
        <w:rPr>
          <w:rFonts w:ascii="Times New Roman" w:hAnsi="Times New Roman" w:cs="Times New Roman"/>
        </w:rPr>
        <w:t>boszentán</w:t>
      </w:r>
      <w:proofErr w:type="spellEnd"/>
      <w:r w:rsidRPr="005060AE">
        <w:rPr>
          <w:rFonts w:ascii="Times New Roman" w:hAnsi="Times New Roman" w:cs="Times New Roman"/>
        </w:rPr>
        <w:t xml:space="preserve"> között.</w:t>
      </w:r>
    </w:p>
    <w:p w14:paraId="2BB0BDA3" w14:textId="77777777" w:rsidR="008D2112" w:rsidRPr="00067E49" w:rsidRDefault="008D2112" w:rsidP="00020748">
      <w:pPr>
        <w:rPr>
          <w:szCs w:val="22"/>
          <w:lang w:eastAsia="en-US"/>
        </w:rPr>
      </w:pPr>
    </w:p>
    <w:p w14:paraId="3667D202" w14:textId="41B461A9" w:rsidR="00BA364F" w:rsidRPr="005060AE" w:rsidRDefault="00BA364F" w:rsidP="00404671">
      <w:pPr>
        <w:pStyle w:val="Listaszerbekezds"/>
        <w:numPr>
          <w:ilvl w:val="0"/>
          <w:numId w:val="21"/>
        </w:numPr>
        <w:rPr>
          <w:b/>
        </w:rPr>
      </w:pPr>
      <w:proofErr w:type="spellStart"/>
      <w:r w:rsidRPr="005060AE">
        <w:rPr>
          <w:rFonts w:ascii="Times New Roman" w:hAnsi="Times New Roman" w:cs="Times New Roman"/>
          <w:b/>
        </w:rPr>
        <w:t>szildenafil</w:t>
      </w:r>
      <w:proofErr w:type="spellEnd"/>
      <w:r w:rsidRPr="005060AE">
        <w:rPr>
          <w:rFonts w:ascii="Times New Roman" w:hAnsi="Times New Roman" w:cs="Times New Roman"/>
          <w:b/>
        </w:rPr>
        <w:t xml:space="preserve"> </w:t>
      </w:r>
    </w:p>
    <w:p w14:paraId="47F06E9E" w14:textId="2AB47EBE" w:rsidR="008D2112" w:rsidRPr="009458E2" w:rsidRDefault="008D2112" w:rsidP="00020748">
      <w:pPr>
        <w:pStyle w:val="Listaszerbekezds"/>
      </w:pPr>
      <w:r w:rsidRPr="005060AE">
        <w:rPr>
          <w:rFonts w:ascii="Times New Roman" w:hAnsi="Times New Roman" w:cs="Times New Roman"/>
        </w:rPr>
        <w:t xml:space="preserve">A </w:t>
      </w:r>
      <w:proofErr w:type="spellStart"/>
      <w:r w:rsidRPr="005060AE">
        <w:rPr>
          <w:rFonts w:ascii="Times New Roman" w:hAnsi="Times New Roman" w:cs="Times New Roman"/>
        </w:rPr>
        <w:t>szildenafillel</w:t>
      </w:r>
      <w:proofErr w:type="spellEnd"/>
      <w:r w:rsidRPr="005060AE">
        <w:rPr>
          <w:rFonts w:ascii="Times New Roman" w:hAnsi="Times New Roman" w:cs="Times New Roman"/>
        </w:rPr>
        <w:t xml:space="preserve"> (60 mg/nap) és </w:t>
      </w:r>
      <w:proofErr w:type="spellStart"/>
      <w:r w:rsidRPr="005060AE">
        <w:rPr>
          <w:rFonts w:ascii="Times New Roman" w:hAnsi="Times New Roman" w:cs="Times New Roman"/>
        </w:rPr>
        <w:t>treprosztinil-diolaminnal</w:t>
      </w:r>
      <w:proofErr w:type="spellEnd"/>
      <w:r w:rsidRPr="005060AE">
        <w:rPr>
          <w:rFonts w:ascii="Times New Roman" w:hAnsi="Times New Roman" w:cs="Times New Roman"/>
        </w:rPr>
        <w:t xml:space="preserve"> (</w:t>
      </w:r>
      <w:r w:rsidRPr="005060AE">
        <w:rPr>
          <w:rFonts w:ascii="Times New Roman" w:hAnsi="Times New Roman" w:cs="Times New Roman"/>
          <w:i/>
          <w:iCs/>
        </w:rPr>
        <w:t xml:space="preserve">per </w:t>
      </w:r>
      <w:proofErr w:type="spellStart"/>
      <w:r w:rsidRPr="005060AE">
        <w:rPr>
          <w:rFonts w:ascii="Times New Roman" w:hAnsi="Times New Roman" w:cs="Times New Roman"/>
          <w:i/>
          <w:iCs/>
        </w:rPr>
        <w:t>os</w:t>
      </w:r>
      <w:proofErr w:type="spellEnd"/>
      <w:r w:rsidRPr="005060AE">
        <w:rPr>
          <w:rFonts w:ascii="Times New Roman" w:hAnsi="Times New Roman" w:cs="Times New Roman"/>
        </w:rPr>
        <w:t xml:space="preserve"> 2 mg/nap) végzett humán </w:t>
      </w:r>
      <w:proofErr w:type="spellStart"/>
      <w:r w:rsidRPr="005060AE">
        <w:rPr>
          <w:rFonts w:ascii="Times New Roman" w:hAnsi="Times New Roman" w:cs="Times New Roman"/>
        </w:rPr>
        <w:t>farmakokinetikai</w:t>
      </w:r>
      <w:proofErr w:type="spellEnd"/>
      <w:r w:rsidRPr="005060AE">
        <w:rPr>
          <w:rFonts w:ascii="Times New Roman" w:hAnsi="Times New Roman" w:cs="Times New Roman"/>
        </w:rPr>
        <w:t xml:space="preserve"> vizsgálatban nem figyeltek meg </w:t>
      </w:r>
      <w:proofErr w:type="spellStart"/>
      <w:r w:rsidRPr="005060AE">
        <w:rPr>
          <w:rFonts w:ascii="Times New Roman" w:hAnsi="Times New Roman" w:cs="Times New Roman"/>
        </w:rPr>
        <w:t>farmakokinetikai</w:t>
      </w:r>
      <w:proofErr w:type="spellEnd"/>
      <w:r w:rsidRPr="005060AE">
        <w:rPr>
          <w:rFonts w:ascii="Times New Roman" w:hAnsi="Times New Roman" w:cs="Times New Roman"/>
        </w:rPr>
        <w:t xml:space="preserve"> interakciót a </w:t>
      </w:r>
      <w:proofErr w:type="spellStart"/>
      <w:r w:rsidRPr="005060AE">
        <w:rPr>
          <w:rFonts w:ascii="Times New Roman" w:hAnsi="Times New Roman" w:cs="Times New Roman"/>
        </w:rPr>
        <w:t>treprosztinil</w:t>
      </w:r>
      <w:proofErr w:type="spellEnd"/>
      <w:r w:rsidRPr="005060AE">
        <w:rPr>
          <w:rFonts w:ascii="Times New Roman" w:hAnsi="Times New Roman" w:cs="Times New Roman"/>
        </w:rPr>
        <w:t xml:space="preserve"> és a </w:t>
      </w:r>
      <w:proofErr w:type="spellStart"/>
      <w:r w:rsidRPr="005060AE">
        <w:rPr>
          <w:rFonts w:ascii="Times New Roman" w:hAnsi="Times New Roman" w:cs="Times New Roman"/>
        </w:rPr>
        <w:t>szildenafil</w:t>
      </w:r>
      <w:proofErr w:type="spellEnd"/>
      <w:r w:rsidRPr="005060AE">
        <w:rPr>
          <w:rFonts w:ascii="Times New Roman" w:hAnsi="Times New Roman" w:cs="Times New Roman"/>
        </w:rPr>
        <w:t xml:space="preserve"> között. </w:t>
      </w:r>
    </w:p>
    <w:p w14:paraId="7113256F" w14:textId="77777777" w:rsidR="00C76812" w:rsidRPr="00067E49" w:rsidRDefault="00C76812" w:rsidP="006F6755">
      <w:bookmarkStart w:id="81" w:name="_Toc399649946"/>
      <w:bookmarkStart w:id="82" w:name="_Toc399654878"/>
      <w:bookmarkStart w:id="83" w:name="_Toc399655184"/>
      <w:bookmarkStart w:id="84" w:name="_Toc399729049"/>
      <w:bookmarkStart w:id="85" w:name="_Toc401626171"/>
      <w:bookmarkStart w:id="86" w:name="_Toc401626209"/>
      <w:bookmarkStart w:id="87" w:name="_Toc401626244"/>
      <w:bookmarkStart w:id="88" w:name="_Toc402239807"/>
      <w:bookmarkStart w:id="89" w:name="_Toc417272474"/>
    </w:p>
    <w:p w14:paraId="3E363BD9" w14:textId="77777777" w:rsidR="00435BCF" w:rsidRPr="00067E49" w:rsidRDefault="00435BCF" w:rsidP="00375B36">
      <w:pPr>
        <w:rPr>
          <w:lang w:eastAsia="en-US"/>
        </w:rPr>
      </w:pPr>
    </w:p>
    <w:p w14:paraId="06900C7D" w14:textId="2B90D8C3" w:rsidR="00B00CBD" w:rsidRPr="007D3B01" w:rsidRDefault="00B00CBD" w:rsidP="00375B36">
      <w:pPr>
        <w:rPr>
          <w:b/>
        </w:rPr>
      </w:pPr>
      <w:r>
        <w:rPr>
          <w:b/>
        </w:rPr>
        <w:t>4.6</w:t>
      </w:r>
      <w:r>
        <w:rPr>
          <w:b/>
        </w:rPr>
        <w:tab/>
        <w:t>Termékenység, terhesség és szoptatás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14:paraId="5F3BBFF2" w14:textId="77777777" w:rsidR="00B00CBD" w:rsidRPr="00B00CBD" w:rsidRDefault="00B00CBD" w:rsidP="00BF7E15">
      <w:pPr>
        <w:rPr>
          <w:lang w:eastAsia="en-US"/>
        </w:rPr>
      </w:pPr>
    </w:p>
    <w:p w14:paraId="123F8B05" w14:textId="77777777" w:rsidR="00B00CBD" w:rsidRPr="001D38B4" w:rsidRDefault="00B00CBD" w:rsidP="00020748">
      <w:pPr>
        <w:rPr>
          <w:szCs w:val="22"/>
          <w:u w:val="single"/>
        </w:rPr>
      </w:pPr>
      <w:r>
        <w:rPr>
          <w:szCs w:val="22"/>
          <w:u w:val="single"/>
        </w:rPr>
        <w:t>Terhesség</w:t>
      </w:r>
    </w:p>
    <w:p w14:paraId="2AC50C12" w14:textId="65E5EA48" w:rsidR="00B00CBD" w:rsidRPr="00B00CBD" w:rsidRDefault="00B00CBD" w:rsidP="00020748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terhes nőknél történő alkalmazása tekintetében nem áll rendelkezésre megfelelő információ. Az állatkísérletek során nyert eredmények elégtelenek a terhességre kifejtett hatás megítélésének tekintetében (lásd 5.3 pont). Emberek esetében a potenciális veszély nem ismert. A </w:t>
      </w:r>
      <w:proofErr w:type="spellStart"/>
      <w:r>
        <w:t>treprosztinil</w:t>
      </w:r>
      <w:proofErr w:type="spellEnd"/>
      <w:r>
        <w:t xml:space="preserve"> terhesség alatt kizárólag akkor alkalmazható, ha az anyát érintő lehetséges előnyök meghaladják a magzatra gyakorolt potenciális veszélyek nagyságát.</w:t>
      </w:r>
    </w:p>
    <w:p w14:paraId="646CCC6E" w14:textId="77777777" w:rsidR="00B00CBD" w:rsidRPr="005D5674" w:rsidRDefault="00B00CBD" w:rsidP="00375B36">
      <w:pPr>
        <w:rPr>
          <w:lang w:eastAsia="fr-FR"/>
        </w:rPr>
      </w:pPr>
    </w:p>
    <w:p w14:paraId="3CEB7326" w14:textId="77777777" w:rsidR="00B00CBD" w:rsidRPr="007D3B01" w:rsidRDefault="00B00CBD" w:rsidP="00020748">
      <w:pPr>
        <w:rPr>
          <w:szCs w:val="22"/>
          <w:u w:val="single"/>
        </w:rPr>
      </w:pPr>
      <w:r>
        <w:rPr>
          <w:szCs w:val="22"/>
          <w:u w:val="single"/>
        </w:rPr>
        <w:t>Fogamzóképes nők</w:t>
      </w:r>
    </w:p>
    <w:p w14:paraId="2FAD54D1" w14:textId="4059C95D" w:rsidR="00B00CBD" w:rsidRPr="00286DBD" w:rsidRDefault="00B00CBD" w:rsidP="00375B36">
      <w:r>
        <w:t xml:space="preserve">A </w:t>
      </w:r>
      <w:proofErr w:type="spellStart"/>
      <w:r>
        <w:t>treprosztinil</w:t>
      </w:r>
      <w:proofErr w:type="spellEnd"/>
      <w:r>
        <w:t>-kezelés során fogamzásgátlás ajánlott.</w:t>
      </w:r>
    </w:p>
    <w:p w14:paraId="279BB1DD" w14:textId="77777777" w:rsidR="00B00CBD" w:rsidRPr="005D5674" w:rsidRDefault="00B00CBD" w:rsidP="00020748">
      <w:pPr>
        <w:rPr>
          <w:b/>
          <w:u w:val="single"/>
        </w:rPr>
      </w:pPr>
    </w:p>
    <w:p w14:paraId="1B034042" w14:textId="6307C46E" w:rsidR="00B00CBD" w:rsidRPr="001D38B4" w:rsidRDefault="00B3684E" w:rsidP="00020748">
      <w:pPr>
        <w:rPr>
          <w:szCs w:val="22"/>
          <w:u w:val="single"/>
        </w:rPr>
      </w:pPr>
      <w:r>
        <w:rPr>
          <w:szCs w:val="22"/>
          <w:u w:val="single"/>
        </w:rPr>
        <w:t>Szoptatás</w:t>
      </w:r>
    </w:p>
    <w:p w14:paraId="66C4D6B3" w14:textId="31D9617C" w:rsidR="00B00CBD" w:rsidRPr="00B00CBD" w:rsidRDefault="00B00CBD" w:rsidP="00020748">
      <w:pPr>
        <w:rPr>
          <w:szCs w:val="22"/>
        </w:rPr>
      </w:pPr>
      <w:r>
        <w:t xml:space="preserve">Nem ismert, hogy 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kiválasztódik</w:t>
      </w:r>
      <w:proofErr w:type="spellEnd"/>
      <w:r>
        <w:t xml:space="preserve">-e a humán anyatejbe. A </w:t>
      </w:r>
      <w:proofErr w:type="spellStart"/>
      <w:r>
        <w:t>treprosztinilt</w:t>
      </w:r>
      <w:proofErr w:type="spellEnd"/>
      <w:r>
        <w:t xml:space="preserve"> szedő szoptató anyáknak javasolt a szoptatás felfüggesztése.</w:t>
      </w:r>
    </w:p>
    <w:p w14:paraId="286D901C" w14:textId="77777777" w:rsidR="00B00CBD" w:rsidRDefault="00B00CBD" w:rsidP="00375B36">
      <w:bookmarkStart w:id="90" w:name="_Toc399649947"/>
      <w:bookmarkStart w:id="91" w:name="_Toc399654879"/>
      <w:bookmarkStart w:id="92" w:name="_Toc399655185"/>
      <w:bookmarkStart w:id="93" w:name="_Toc399729050"/>
      <w:bookmarkStart w:id="94" w:name="_Toc401626172"/>
      <w:bookmarkStart w:id="95" w:name="_Toc401626210"/>
      <w:bookmarkStart w:id="96" w:name="_Toc401626245"/>
      <w:bookmarkStart w:id="97" w:name="_Toc402239808"/>
      <w:bookmarkStart w:id="98" w:name="_Toc417272475"/>
    </w:p>
    <w:p w14:paraId="0E3E380C" w14:textId="77777777" w:rsidR="00B00CBD" w:rsidRPr="007D3B01" w:rsidRDefault="00B00CBD" w:rsidP="00BF7E15">
      <w:pPr>
        <w:rPr>
          <w:b/>
        </w:rPr>
      </w:pPr>
      <w:r>
        <w:rPr>
          <w:b/>
        </w:rPr>
        <w:t>4.7</w:t>
      </w:r>
      <w:r>
        <w:rPr>
          <w:b/>
        </w:rPr>
        <w:tab/>
        <w:t xml:space="preserve">A készítmény hatásai a gépjárművezetéshez és a gépek kezeléséhez szükséges 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r>
        <w:rPr>
          <w:b/>
        </w:rPr>
        <w:t>képességekre</w:t>
      </w:r>
    </w:p>
    <w:p w14:paraId="03F8EED8" w14:textId="77777777" w:rsidR="00B00CBD" w:rsidRPr="00B00CBD" w:rsidRDefault="00B00CBD" w:rsidP="00020748">
      <w:pPr>
        <w:rPr>
          <w:szCs w:val="22"/>
          <w:lang w:eastAsia="en-US"/>
        </w:rPr>
      </w:pPr>
    </w:p>
    <w:p w14:paraId="7FEF76B5" w14:textId="77777777" w:rsidR="00B00CBD" w:rsidRPr="00B00CBD" w:rsidRDefault="00B00CBD" w:rsidP="00020748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-kezelés elkezdése, illetve az adag beállítása nemkívánatos hatásokkal, mint például tüneti szisztémás </w:t>
      </w:r>
      <w:proofErr w:type="spellStart"/>
      <w:r>
        <w:t>hypotensióval</w:t>
      </w:r>
      <w:proofErr w:type="spellEnd"/>
      <w:r>
        <w:t xml:space="preserve"> vagy szédüléssel járhat, ami kedvezőtlenül befolyásolhatja a gépjárművezetéshez és a gépek kezeléséhez szükséges képességeket.</w:t>
      </w:r>
    </w:p>
    <w:p w14:paraId="20A9FE55" w14:textId="77777777" w:rsidR="00B00CBD" w:rsidRDefault="00B00CBD" w:rsidP="00375B36">
      <w:bookmarkStart w:id="99" w:name="_Toc399649948"/>
      <w:bookmarkStart w:id="100" w:name="_Toc399654880"/>
      <w:bookmarkStart w:id="101" w:name="_Toc399655186"/>
      <w:bookmarkStart w:id="102" w:name="_Toc399729051"/>
      <w:bookmarkStart w:id="103" w:name="_Toc401626173"/>
      <w:bookmarkStart w:id="104" w:name="_Toc401626211"/>
      <w:bookmarkStart w:id="105" w:name="_Toc401626246"/>
      <w:bookmarkStart w:id="106" w:name="_Toc402239809"/>
      <w:bookmarkStart w:id="107" w:name="_Toc417272476"/>
    </w:p>
    <w:p w14:paraId="348ED108" w14:textId="77777777" w:rsidR="00B00CBD" w:rsidRPr="007D3B01" w:rsidRDefault="00B00CBD" w:rsidP="00BF7E15">
      <w:pPr>
        <w:rPr>
          <w:b/>
        </w:rPr>
      </w:pPr>
      <w:r>
        <w:rPr>
          <w:b/>
        </w:rPr>
        <w:t>4.8</w:t>
      </w:r>
      <w:r>
        <w:rPr>
          <w:b/>
        </w:rPr>
        <w:tab/>
        <w:t>Nemkívánatos hatások, mellékhatások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p w14:paraId="65F5E4B0" w14:textId="77777777" w:rsidR="00B00CBD" w:rsidRPr="005D5674" w:rsidRDefault="00B00CBD">
      <w:pPr>
        <w:rPr>
          <w:b/>
          <w:i/>
          <w:szCs w:val="22"/>
          <w:lang w:eastAsia="fr-FR"/>
        </w:rPr>
      </w:pPr>
    </w:p>
    <w:p w14:paraId="368AFE74" w14:textId="20B2A162" w:rsidR="00FA06E6" w:rsidRDefault="00FA06E6" w:rsidP="00020748">
      <w:pPr>
        <w:rPr>
          <w:bCs/>
          <w:iCs/>
          <w:szCs w:val="22"/>
        </w:rPr>
      </w:pPr>
      <w:proofErr w:type="gramStart"/>
      <w:r>
        <w:t xml:space="preserve">A </w:t>
      </w:r>
      <w:proofErr w:type="spellStart"/>
      <w:r>
        <w:t>treprosztinillel</w:t>
      </w:r>
      <w:proofErr w:type="spellEnd"/>
      <w:r>
        <w:t xml:space="preserve"> kapcsolatban a placebokontrollos vizsgálatokban és a forgalomba hozatalt követően észlelt, kezeléssel összefüggő mellékhatások a következő gyakorisági kategóriák szerint vannak feltüntetve: nagyon gyakori (≥ 1/10), gyakori (≥ 1/100 – &lt; 1/10), nem gyakori (≥ 1/1000 – &lt; 1/100), ritka (≥ 1/10 000 – &lt; 1/1000), nagyon ritka (&lt; 1/10 000), nem ismert (a</w:t>
      </w:r>
      <w:r w:rsidR="00375B36">
        <w:t xml:space="preserve"> gyakoriság a</w:t>
      </w:r>
      <w:r>
        <w:t xml:space="preserve"> rendelkezésre álló adatokból nem állapítható meg).</w:t>
      </w:r>
      <w:proofErr w:type="gramEnd"/>
    </w:p>
    <w:p w14:paraId="0D506656" w14:textId="77777777" w:rsidR="00FA06E6" w:rsidRDefault="00FA06E6" w:rsidP="00020748">
      <w:pPr>
        <w:rPr>
          <w:bCs/>
          <w:iCs/>
          <w:szCs w:val="22"/>
          <w:lang w:eastAsia="fr-FR"/>
        </w:rPr>
      </w:pPr>
    </w:p>
    <w:p w14:paraId="570E9085" w14:textId="77777777" w:rsidR="00FA06E6" w:rsidRPr="00FA06E6" w:rsidRDefault="00FA06E6" w:rsidP="00020748">
      <w:pPr>
        <w:rPr>
          <w:bCs/>
          <w:iCs/>
          <w:szCs w:val="22"/>
          <w:u w:val="single"/>
        </w:rPr>
      </w:pPr>
      <w:r>
        <w:rPr>
          <w:bCs/>
          <w:iCs/>
          <w:szCs w:val="22"/>
          <w:u w:val="single"/>
        </w:rPr>
        <w:t>A mellékhatások táblázatos felsorolása</w:t>
      </w:r>
    </w:p>
    <w:p w14:paraId="60729B93" w14:textId="77777777" w:rsidR="00FA06E6" w:rsidRPr="00FA06E6" w:rsidRDefault="00FA06E6" w:rsidP="00FA06E6">
      <w:pPr>
        <w:jc w:val="both"/>
        <w:rPr>
          <w:bCs/>
          <w:iCs/>
          <w:szCs w:val="22"/>
          <w:lang w:eastAsia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0"/>
        <w:gridCol w:w="4051"/>
        <w:gridCol w:w="1970"/>
      </w:tblGrid>
      <w:tr w:rsidR="00FA06E6" w:rsidRPr="00FA06E6" w14:paraId="59C4FA50" w14:textId="77777777" w:rsidTr="00774645">
        <w:tc>
          <w:tcPr>
            <w:tcW w:w="3132" w:type="dxa"/>
            <w:shd w:val="clear" w:color="auto" w:fill="auto"/>
          </w:tcPr>
          <w:p w14:paraId="2C09F356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Szervrendszer-kategória</w:t>
            </w:r>
          </w:p>
        </w:tc>
        <w:tc>
          <w:tcPr>
            <w:tcW w:w="4234" w:type="dxa"/>
            <w:shd w:val="clear" w:color="auto" w:fill="auto"/>
          </w:tcPr>
          <w:p w14:paraId="14C8E5F7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 xml:space="preserve">Mellékhatás </w:t>
            </w:r>
          </w:p>
        </w:tc>
        <w:tc>
          <w:tcPr>
            <w:tcW w:w="2030" w:type="dxa"/>
            <w:shd w:val="clear" w:color="auto" w:fill="auto"/>
          </w:tcPr>
          <w:p w14:paraId="7A2ADF49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Frekvencia</w:t>
            </w:r>
          </w:p>
        </w:tc>
      </w:tr>
      <w:tr w:rsidR="00FA06E6" w:rsidRPr="00FA06E6" w14:paraId="1E651069" w14:textId="77777777" w:rsidTr="00774645">
        <w:trPr>
          <w:trHeight w:val="470"/>
        </w:trPr>
        <w:tc>
          <w:tcPr>
            <w:tcW w:w="3132" w:type="dxa"/>
            <w:vMerge w:val="restart"/>
            <w:shd w:val="clear" w:color="auto" w:fill="auto"/>
          </w:tcPr>
          <w:p w14:paraId="74C3C692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Idegrendszeri betegségek és tünetek</w:t>
            </w:r>
          </w:p>
        </w:tc>
        <w:tc>
          <w:tcPr>
            <w:tcW w:w="4234" w:type="dxa"/>
            <w:shd w:val="clear" w:color="auto" w:fill="auto"/>
          </w:tcPr>
          <w:p w14:paraId="15A5C461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Fejfájás</w:t>
            </w:r>
          </w:p>
        </w:tc>
        <w:tc>
          <w:tcPr>
            <w:tcW w:w="2030" w:type="dxa"/>
            <w:shd w:val="clear" w:color="auto" w:fill="auto"/>
          </w:tcPr>
          <w:p w14:paraId="136B81F3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Nagyon gyakori</w:t>
            </w:r>
          </w:p>
        </w:tc>
      </w:tr>
      <w:tr w:rsidR="00FA06E6" w:rsidRPr="00FA06E6" w14:paraId="5DDBCEE7" w14:textId="77777777" w:rsidTr="00774645">
        <w:trPr>
          <w:trHeight w:val="517"/>
        </w:trPr>
        <w:tc>
          <w:tcPr>
            <w:tcW w:w="3132" w:type="dxa"/>
            <w:vMerge/>
            <w:shd w:val="clear" w:color="auto" w:fill="auto"/>
          </w:tcPr>
          <w:p w14:paraId="26334A69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18BA75D0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Szédülés</w:t>
            </w:r>
          </w:p>
        </w:tc>
        <w:tc>
          <w:tcPr>
            <w:tcW w:w="2030" w:type="dxa"/>
            <w:shd w:val="clear" w:color="auto" w:fill="auto"/>
          </w:tcPr>
          <w:p w14:paraId="444673F8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Gyakori</w:t>
            </w:r>
          </w:p>
        </w:tc>
      </w:tr>
      <w:tr w:rsidR="00FA06E6" w:rsidRPr="00FA06E6" w14:paraId="4C17BB60" w14:textId="77777777" w:rsidTr="00774645">
        <w:trPr>
          <w:trHeight w:val="112"/>
        </w:trPr>
        <w:tc>
          <w:tcPr>
            <w:tcW w:w="3132" w:type="dxa"/>
            <w:vMerge w:val="restart"/>
            <w:shd w:val="clear" w:color="auto" w:fill="auto"/>
          </w:tcPr>
          <w:p w14:paraId="549D5DA4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Érbetegségek és tünetek</w:t>
            </w:r>
          </w:p>
        </w:tc>
        <w:tc>
          <w:tcPr>
            <w:tcW w:w="4234" w:type="dxa"/>
            <w:shd w:val="clear" w:color="auto" w:fill="auto"/>
          </w:tcPr>
          <w:p w14:paraId="341E41BB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Értágulat, kipirulás</w:t>
            </w:r>
          </w:p>
        </w:tc>
        <w:tc>
          <w:tcPr>
            <w:tcW w:w="2030" w:type="dxa"/>
            <w:shd w:val="clear" w:color="auto" w:fill="auto"/>
          </w:tcPr>
          <w:p w14:paraId="07CC8505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Nagyon gyakori</w:t>
            </w:r>
          </w:p>
        </w:tc>
      </w:tr>
      <w:tr w:rsidR="00FA06E6" w:rsidRPr="00FA06E6" w14:paraId="71D1A004" w14:textId="77777777" w:rsidTr="00774645">
        <w:trPr>
          <w:trHeight w:val="248"/>
        </w:trPr>
        <w:tc>
          <w:tcPr>
            <w:tcW w:w="3132" w:type="dxa"/>
            <w:vMerge/>
            <w:shd w:val="clear" w:color="auto" w:fill="auto"/>
          </w:tcPr>
          <w:p w14:paraId="457C324F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48A2D1C5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proofErr w:type="spellStart"/>
            <w:r>
              <w:t>Hypotonia</w:t>
            </w:r>
            <w:proofErr w:type="spellEnd"/>
          </w:p>
        </w:tc>
        <w:tc>
          <w:tcPr>
            <w:tcW w:w="2030" w:type="dxa"/>
            <w:shd w:val="clear" w:color="auto" w:fill="auto"/>
          </w:tcPr>
          <w:p w14:paraId="295660F0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Gyakori</w:t>
            </w:r>
          </w:p>
        </w:tc>
      </w:tr>
      <w:tr w:rsidR="00FA06E6" w:rsidRPr="00FA06E6" w14:paraId="44C7178B" w14:textId="77777777" w:rsidTr="00774645">
        <w:trPr>
          <w:trHeight w:val="247"/>
        </w:trPr>
        <w:tc>
          <w:tcPr>
            <w:tcW w:w="3132" w:type="dxa"/>
            <w:vMerge/>
            <w:shd w:val="clear" w:color="auto" w:fill="auto"/>
          </w:tcPr>
          <w:p w14:paraId="11F4A893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71F3D143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Vérzéssel járó esemény</w:t>
            </w:r>
            <w:r>
              <w:rPr>
                <w:bCs/>
                <w:iCs/>
                <w:szCs w:val="22"/>
                <w:vertAlign w:val="superscript"/>
              </w:rPr>
              <w:t>§</w:t>
            </w:r>
          </w:p>
        </w:tc>
        <w:tc>
          <w:tcPr>
            <w:tcW w:w="2030" w:type="dxa"/>
            <w:shd w:val="clear" w:color="auto" w:fill="auto"/>
          </w:tcPr>
          <w:p w14:paraId="31AFEA95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Gyakori</w:t>
            </w:r>
          </w:p>
        </w:tc>
      </w:tr>
      <w:tr w:rsidR="00FA06E6" w:rsidRPr="00FA06E6" w14:paraId="356CFDE0" w14:textId="77777777" w:rsidTr="00774645">
        <w:trPr>
          <w:trHeight w:val="247"/>
        </w:trPr>
        <w:tc>
          <w:tcPr>
            <w:tcW w:w="3132" w:type="dxa"/>
            <w:vMerge/>
            <w:shd w:val="clear" w:color="auto" w:fill="auto"/>
          </w:tcPr>
          <w:p w14:paraId="24DEF8EE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1900763D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proofErr w:type="spellStart"/>
            <w:r>
              <w:t>Thrombophlebitis</w:t>
            </w:r>
            <w:proofErr w:type="spellEnd"/>
            <w:r>
              <w:t>*</w:t>
            </w:r>
          </w:p>
        </w:tc>
        <w:tc>
          <w:tcPr>
            <w:tcW w:w="2030" w:type="dxa"/>
            <w:shd w:val="clear" w:color="auto" w:fill="auto"/>
          </w:tcPr>
          <w:p w14:paraId="41C4C958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Nem ismert</w:t>
            </w:r>
          </w:p>
        </w:tc>
      </w:tr>
      <w:tr w:rsidR="00FA06E6" w:rsidRPr="00FA06E6" w14:paraId="6EB48D4C" w14:textId="77777777" w:rsidTr="00774645">
        <w:trPr>
          <w:trHeight w:val="344"/>
        </w:trPr>
        <w:tc>
          <w:tcPr>
            <w:tcW w:w="3132" w:type="dxa"/>
            <w:vMerge w:val="restart"/>
            <w:shd w:val="clear" w:color="auto" w:fill="auto"/>
          </w:tcPr>
          <w:p w14:paraId="31544A1A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Emésztőrendszeri betegségek és tünetek</w:t>
            </w:r>
          </w:p>
        </w:tc>
        <w:tc>
          <w:tcPr>
            <w:tcW w:w="4234" w:type="dxa"/>
            <w:shd w:val="clear" w:color="auto" w:fill="auto"/>
          </w:tcPr>
          <w:p w14:paraId="09AB851D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Hasmenés, hányinger</w:t>
            </w:r>
          </w:p>
        </w:tc>
        <w:tc>
          <w:tcPr>
            <w:tcW w:w="2030" w:type="dxa"/>
            <w:shd w:val="clear" w:color="auto" w:fill="auto"/>
          </w:tcPr>
          <w:p w14:paraId="141E6FD2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Nagyon gyakori</w:t>
            </w:r>
          </w:p>
        </w:tc>
      </w:tr>
      <w:tr w:rsidR="00FA06E6" w:rsidRPr="00FA06E6" w14:paraId="4113DE4D" w14:textId="77777777" w:rsidTr="00774645">
        <w:trPr>
          <w:trHeight w:val="343"/>
        </w:trPr>
        <w:tc>
          <w:tcPr>
            <w:tcW w:w="3132" w:type="dxa"/>
            <w:vMerge/>
            <w:shd w:val="clear" w:color="auto" w:fill="auto"/>
          </w:tcPr>
          <w:p w14:paraId="1F9D9DCA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7CBB078D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Hányás</w:t>
            </w:r>
          </w:p>
        </w:tc>
        <w:tc>
          <w:tcPr>
            <w:tcW w:w="2030" w:type="dxa"/>
            <w:shd w:val="clear" w:color="auto" w:fill="auto"/>
          </w:tcPr>
          <w:p w14:paraId="2E1D9CC4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Gyakori</w:t>
            </w:r>
          </w:p>
        </w:tc>
      </w:tr>
      <w:tr w:rsidR="00FA06E6" w:rsidRPr="00FA06E6" w14:paraId="1D0E0279" w14:textId="77777777" w:rsidTr="00774645">
        <w:tc>
          <w:tcPr>
            <w:tcW w:w="3132" w:type="dxa"/>
            <w:vMerge w:val="restart"/>
            <w:shd w:val="clear" w:color="auto" w:fill="auto"/>
          </w:tcPr>
          <w:p w14:paraId="3243F44F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A bőr és a bőr alatti szövet betegségei és tünetei</w:t>
            </w:r>
          </w:p>
        </w:tc>
        <w:tc>
          <w:tcPr>
            <w:tcW w:w="4234" w:type="dxa"/>
            <w:shd w:val="clear" w:color="auto" w:fill="auto"/>
          </w:tcPr>
          <w:p w14:paraId="74004759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Bőrkiütés</w:t>
            </w:r>
          </w:p>
        </w:tc>
        <w:tc>
          <w:tcPr>
            <w:tcW w:w="2030" w:type="dxa"/>
            <w:shd w:val="clear" w:color="auto" w:fill="auto"/>
          </w:tcPr>
          <w:p w14:paraId="49BE1A91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Nagyon gyakori</w:t>
            </w:r>
          </w:p>
        </w:tc>
      </w:tr>
      <w:tr w:rsidR="00FA06E6" w:rsidRPr="00FA06E6" w14:paraId="09F94E8B" w14:textId="77777777" w:rsidTr="00774645">
        <w:tc>
          <w:tcPr>
            <w:tcW w:w="3132" w:type="dxa"/>
            <w:vMerge/>
            <w:shd w:val="clear" w:color="auto" w:fill="auto"/>
          </w:tcPr>
          <w:p w14:paraId="3D818E9C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2E48C86C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Viszketés</w:t>
            </w:r>
          </w:p>
        </w:tc>
        <w:tc>
          <w:tcPr>
            <w:tcW w:w="2030" w:type="dxa"/>
            <w:shd w:val="clear" w:color="auto" w:fill="auto"/>
          </w:tcPr>
          <w:p w14:paraId="393D913B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Gyakori</w:t>
            </w:r>
          </w:p>
        </w:tc>
      </w:tr>
      <w:tr w:rsidR="00FA06E6" w:rsidRPr="00FA06E6" w14:paraId="25A7C45C" w14:textId="77777777" w:rsidTr="00774645">
        <w:tc>
          <w:tcPr>
            <w:tcW w:w="3132" w:type="dxa"/>
            <w:vMerge/>
            <w:shd w:val="clear" w:color="auto" w:fill="auto"/>
          </w:tcPr>
          <w:p w14:paraId="3C46D043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03B062CD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Generalizált kiütés (</w:t>
            </w:r>
            <w:proofErr w:type="spellStart"/>
            <w:r>
              <w:t>macularis</w:t>
            </w:r>
            <w:proofErr w:type="spellEnd"/>
            <w:r>
              <w:t xml:space="preserve"> vagy </w:t>
            </w:r>
            <w:proofErr w:type="spellStart"/>
            <w:r>
              <w:t>papularis</w:t>
            </w:r>
            <w:proofErr w:type="spellEnd"/>
            <w:r>
              <w:t xml:space="preserve"> jellegű)</w:t>
            </w:r>
          </w:p>
        </w:tc>
        <w:tc>
          <w:tcPr>
            <w:tcW w:w="2030" w:type="dxa"/>
            <w:shd w:val="clear" w:color="auto" w:fill="auto"/>
          </w:tcPr>
          <w:p w14:paraId="20CAF863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Nem ismert</w:t>
            </w:r>
          </w:p>
        </w:tc>
      </w:tr>
      <w:tr w:rsidR="00FA06E6" w:rsidRPr="00FA06E6" w14:paraId="5F8B9CE7" w14:textId="77777777" w:rsidTr="00774645">
        <w:trPr>
          <w:trHeight w:val="233"/>
        </w:trPr>
        <w:tc>
          <w:tcPr>
            <w:tcW w:w="3132" w:type="dxa"/>
            <w:vMerge w:val="restart"/>
            <w:shd w:val="clear" w:color="auto" w:fill="auto"/>
          </w:tcPr>
          <w:p w14:paraId="3024C175" w14:textId="0F2C892E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A váz és izomrendszer, kötőszövet és csont betegségei és tünetei</w:t>
            </w:r>
          </w:p>
        </w:tc>
        <w:tc>
          <w:tcPr>
            <w:tcW w:w="4234" w:type="dxa"/>
            <w:shd w:val="clear" w:color="auto" w:fill="auto"/>
          </w:tcPr>
          <w:p w14:paraId="0D1E7CA6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Állkapocsfájdalom</w:t>
            </w:r>
          </w:p>
        </w:tc>
        <w:tc>
          <w:tcPr>
            <w:tcW w:w="2030" w:type="dxa"/>
            <w:shd w:val="clear" w:color="auto" w:fill="auto"/>
          </w:tcPr>
          <w:p w14:paraId="65A0A94B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Nagyon gyakori</w:t>
            </w:r>
          </w:p>
        </w:tc>
      </w:tr>
      <w:tr w:rsidR="00FA06E6" w:rsidRPr="00FA06E6" w14:paraId="3511F248" w14:textId="77777777" w:rsidTr="00774645">
        <w:trPr>
          <w:trHeight w:val="233"/>
        </w:trPr>
        <w:tc>
          <w:tcPr>
            <w:tcW w:w="3132" w:type="dxa"/>
            <w:vMerge/>
            <w:shd w:val="clear" w:color="auto" w:fill="auto"/>
          </w:tcPr>
          <w:p w14:paraId="0A0F3106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  <w:lang w:val="en-US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03D86443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proofErr w:type="spellStart"/>
            <w:r>
              <w:t>Myalgia</w:t>
            </w:r>
            <w:proofErr w:type="spellEnd"/>
            <w:r>
              <w:t xml:space="preserve">, </w:t>
            </w:r>
            <w:proofErr w:type="spellStart"/>
            <w:r>
              <w:t>arthralgia</w:t>
            </w:r>
            <w:proofErr w:type="spellEnd"/>
          </w:p>
        </w:tc>
        <w:tc>
          <w:tcPr>
            <w:tcW w:w="2030" w:type="dxa"/>
            <w:shd w:val="clear" w:color="auto" w:fill="auto"/>
          </w:tcPr>
          <w:p w14:paraId="1F8B10D8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Gyakori</w:t>
            </w:r>
          </w:p>
        </w:tc>
      </w:tr>
      <w:tr w:rsidR="001F5A9C" w:rsidRPr="00FA06E6" w14:paraId="7BB1919D" w14:textId="77777777" w:rsidTr="00774645">
        <w:trPr>
          <w:trHeight w:val="233"/>
        </w:trPr>
        <w:tc>
          <w:tcPr>
            <w:tcW w:w="3132" w:type="dxa"/>
            <w:vMerge/>
            <w:shd w:val="clear" w:color="auto" w:fill="auto"/>
          </w:tcPr>
          <w:p w14:paraId="217208EC" w14:textId="77777777" w:rsidR="001F5A9C" w:rsidRPr="00FA06E6" w:rsidRDefault="001F5A9C" w:rsidP="00FA06E6">
            <w:pPr>
              <w:jc w:val="both"/>
              <w:rPr>
                <w:b/>
                <w:bCs/>
                <w:iCs/>
                <w:szCs w:val="22"/>
                <w:lang w:val="en-US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2ECCF9A9" w14:textId="3A975731" w:rsidR="001F5A9C" w:rsidRPr="00FA06E6" w:rsidRDefault="001F5A9C" w:rsidP="00FA06E6">
            <w:pPr>
              <w:jc w:val="both"/>
              <w:rPr>
                <w:bCs/>
                <w:iCs/>
                <w:szCs w:val="22"/>
              </w:rPr>
            </w:pPr>
            <w:r>
              <w:t>Végtagfájdalom</w:t>
            </w:r>
          </w:p>
        </w:tc>
        <w:tc>
          <w:tcPr>
            <w:tcW w:w="2030" w:type="dxa"/>
            <w:shd w:val="clear" w:color="auto" w:fill="auto"/>
          </w:tcPr>
          <w:p w14:paraId="08929D84" w14:textId="5AF8D674" w:rsidR="001F5A9C" w:rsidRPr="00FA06E6" w:rsidRDefault="001F5A9C" w:rsidP="00FA06E6">
            <w:pPr>
              <w:jc w:val="both"/>
              <w:rPr>
                <w:bCs/>
                <w:iCs/>
                <w:szCs w:val="22"/>
              </w:rPr>
            </w:pPr>
            <w:r>
              <w:t>Gyakori</w:t>
            </w:r>
          </w:p>
        </w:tc>
      </w:tr>
      <w:tr w:rsidR="00FA06E6" w:rsidRPr="00FA06E6" w14:paraId="320D89B6" w14:textId="77777777" w:rsidTr="00774645">
        <w:trPr>
          <w:trHeight w:val="232"/>
        </w:trPr>
        <w:tc>
          <w:tcPr>
            <w:tcW w:w="3132" w:type="dxa"/>
            <w:vMerge/>
            <w:shd w:val="clear" w:color="auto" w:fill="auto"/>
          </w:tcPr>
          <w:p w14:paraId="0C887665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6A32CA0B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Csontfájdalom</w:t>
            </w:r>
          </w:p>
        </w:tc>
        <w:tc>
          <w:tcPr>
            <w:tcW w:w="2030" w:type="dxa"/>
            <w:shd w:val="clear" w:color="auto" w:fill="auto"/>
          </w:tcPr>
          <w:p w14:paraId="397E0188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Nem ismert</w:t>
            </w:r>
          </w:p>
        </w:tc>
      </w:tr>
      <w:tr w:rsidR="00FA06E6" w:rsidRPr="00FA06E6" w14:paraId="7F2BBD8B" w14:textId="77777777" w:rsidTr="00774645">
        <w:tc>
          <w:tcPr>
            <w:tcW w:w="3132" w:type="dxa"/>
            <w:vMerge w:val="restart"/>
            <w:shd w:val="clear" w:color="auto" w:fill="auto"/>
          </w:tcPr>
          <w:p w14:paraId="4C68D3A6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Általános tünetek, az alkalmazás helyén fellépő reakciók</w:t>
            </w:r>
          </w:p>
        </w:tc>
        <w:tc>
          <w:tcPr>
            <w:tcW w:w="4234" w:type="dxa"/>
            <w:shd w:val="clear" w:color="auto" w:fill="auto"/>
          </w:tcPr>
          <w:p w14:paraId="6C8C5A8C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 xml:space="preserve">Infúzió beadásának helye körüli fájdalom, infúzió helye körüli reakció, vérzés vagy </w:t>
            </w:r>
            <w:proofErr w:type="spellStart"/>
            <w:r>
              <w:t>haematoma</w:t>
            </w:r>
            <w:proofErr w:type="spellEnd"/>
            <w:r>
              <w:t>.</w:t>
            </w:r>
          </w:p>
        </w:tc>
        <w:tc>
          <w:tcPr>
            <w:tcW w:w="2030" w:type="dxa"/>
            <w:shd w:val="clear" w:color="auto" w:fill="auto"/>
          </w:tcPr>
          <w:p w14:paraId="5F7AA57E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Nagyon gyakori</w:t>
            </w:r>
          </w:p>
        </w:tc>
      </w:tr>
      <w:tr w:rsidR="00FA06E6" w:rsidRPr="00FA06E6" w14:paraId="798D8743" w14:textId="77777777" w:rsidTr="00774645">
        <w:tc>
          <w:tcPr>
            <w:tcW w:w="3132" w:type="dxa"/>
            <w:vMerge/>
            <w:shd w:val="clear" w:color="auto" w:fill="auto"/>
          </w:tcPr>
          <w:p w14:paraId="4C13777B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21DB786F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proofErr w:type="spellStart"/>
            <w:r>
              <w:t>Oedema</w:t>
            </w:r>
            <w:proofErr w:type="spellEnd"/>
          </w:p>
        </w:tc>
        <w:tc>
          <w:tcPr>
            <w:tcW w:w="2030" w:type="dxa"/>
            <w:shd w:val="clear" w:color="auto" w:fill="auto"/>
          </w:tcPr>
          <w:p w14:paraId="7BA8107D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Gyakori</w:t>
            </w:r>
          </w:p>
        </w:tc>
      </w:tr>
      <w:tr w:rsidR="00FA06E6" w:rsidRPr="00FA06E6" w14:paraId="3B516391" w14:textId="77777777" w:rsidTr="00774645">
        <w:tc>
          <w:tcPr>
            <w:tcW w:w="3132" w:type="dxa"/>
            <w:shd w:val="clear" w:color="auto" w:fill="auto"/>
          </w:tcPr>
          <w:p w14:paraId="458B1F48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Vérképzőszervi és nyirokrendszeri betegségek és tünetek</w:t>
            </w:r>
          </w:p>
        </w:tc>
        <w:tc>
          <w:tcPr>
            <w:tcW w:w="4234" w:type="dxa"/>
            <w:shd w:val="clear" w:color="auto" w:fill="auto"/>
          </w:tcPr>
          <w:p w14:paraId="053BF66F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proofErr w:type="spellStart"/>
            <w:r>
              <w:t>Thrombocytopenia</w:t>
            </w:r>
            <w:proofErr w:type="spellEnd"/>
          </w:p>
        </w:tc>
        <w:tc>
          <w:tcPr>
            <w:tcW w:w="2030" w:type="dxa"/>
            <w:shd w:val="clear" w:color="auto" w:fill="auto"/>
          </w:tcPr>
          <w:p w14:paraId="6869BBAA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Nem ismert</w:t>
            </w:r>
          </w:p>
        </w:tc>
      </w:tr>
      <w:tr w:rsidR="00FA06E6" w:rsidRPr="00FA06E6" w14:paraId="1B8966F8" w14:textId="77777777" w:rsidTr="00774645">
        <w:tc>
          <w:tcPr>
            <w:tcW w:w="3132" w:type="dxa"/>
            <w:vMerge w:val="restart"/>
            <w:shd w:val="clear" w:color="auto" w:fill="auto"/>
          </w:tcPr>
          <w:p w14:paraId="3C65805A" w14:textId="77777777" w:rsidR="00FA06E6" w:rsidRPr="00FA06E6" w:rsidRDefault="00FA06E6" w:rsidP="00FA06E6">
            <w:pPr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Fertőző betegségek és parazitafertőzések</w:t>
            </w:r>
          </w:p>
        </w:tc>
        <w:tc>
          <w:tcPr>
            <w:tcW w:w="4234" w:type="dxa"/>
            <w:shd w:val="clear" w:color="auto" w:fill="auto"/>
          </w:tcPr>
          <w:p w14:paraId="1CF9CBE6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 xml:space="preserve">A vér centrális vénás katéterrel kapcsolatos megfertőződése, </w:t>
            </w:r>
            <w:proofErr w:type="spellStart"/>
            <w:r>
              <w:t>sepsis</w:t>
            </w:r>
            <w:proofErr w:type="spellEnd"/>
            <w:r>
              <w:t xml:space="preserve">, </w:t>
            </w:r>
            <w:proofErr w:type="spellStart"/>
            <w:r>
              <w:t>bacteriaemia</w:t>
            </w:r>
            <w:proofErr w:type="spellEnd"/>
            <w:r>
              <w:rPr>
                <w:b/>
                <w:bCs/>
                <w:iCs/>
                <w:szCs w:val="22"/>
              </w:rPr>
              <w:t>**</w:t>
            </w:r>
          </w:p>
        </w:tc>
        <w:tc>
          <w:tcPr>
            <w:tcW w:w="2030" w:type="dxa"/>
            <w:shd w:val="clear" w:color="auto" w:fill="auto"/>
          </w:tcPr>
          <w:p w14:paraId="360FE9CE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Nem ismert</w:t>
            </w:r>
          </w:p>
        </w:tc>
      </w:tr>
      <w:tr w:rsidR="00FA06E6" w:rsidRPr="00FA06E6" w14:paraId="5A32C131" w14:textId="77777777" w:rsidTr="00774645">
        <w:tc>
          <w:tcPr>
            <w:tcW w:w="3132" w:type="dxa"/>
            <w:vMerge/>
            <w:shd w:val="clear" w:color="auto" w:fill="auto"/>
          </w:tcPr>
          <w:p w14:paraId="013FF77D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0E061D27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 xml:space="preserve">Fertőzés az infúzió beadásának helyén, </w:t>
            </w:r>
            <w:proofErr w:type="spellStart"/>
            <w:r>
              <w:t>subcutan</w:t>
            </w:r>
            <w:proofErr w:type="spellEnd"/>
            <w:r>
              <w:t xml:space="preserve"> tályog kialakulása az infúzió beadásának helyén</w:t>
            </w:r>
          </w:p>
        </w:tc>
        <w:tc>
          <w:tcPr>
            <w:tcW w:w="2030" w:type="dxa"/>
            <w:shd w:val="clear" w:color="auto" w:fill="auto"/>
          </w:tcPr>
          <w:p w14:paraId="1B991120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Nem ismert</w:t>
            </w:r>
          </w:p>
        </w:tc>
      </w:tr>
      <w:tr w:rsidR="00FA06E6" w:rsidRPr="00FA06E6" w14:paraId="28314D3E" w14:textId="77777777" w:rsidTr="00774645">
        <w:tc>
          <w:tcPr>
            <w:tcW w:w="3132" w:type="dxa"/>
            <w:vMerge/>
            <w:shd w:val="clear" w:color="auto" w:fill="auto"/>
          </w:tcPr>
          <w:p w14:paraId="682A5EB6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  <w:lang w:val="fr-FR" w:eastAsia="fr-FR"/>
              </w:rPr>
            </w:pPr>
          </w:p>
        </w:tc>
        <w:tc>
          <w:tcPr>
            <w:tcW w:w="4234" w:type="dxa"/>
            <w:shd w:val="clear" w:color="auto" w:fill="auto"/>
          </w:tcPr>
          <w:p w14:paraId="3C804F8C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proofErr w:type="spellStart"/>
            <w:r>
              <w:t>Cellulitis</w:t>
            </w:r>
            <w:proofErr w:type="spellEnd"/>
          </w:p>
        </w:tc>
        <w:tc>
          <w:tcPr>
            <w:tcW w:w="2030" w:type="dxa"/>
            <w:shd w:val="clear" w:color="auto" w:fill="auto"/>
          </w:tcPr>
          <w:p w14:paraId="21788920" w14:textId="77777777" w:rsidR="00FA06E6" w:rsidRPr="00FA06E6" w:rsidRDefault="00FA06E6" w:rsidP="00FA06E6">
            <w:pPr>
              <w:jc w:val="both"/>
              <w:rPr>
                <w:bCs/>
                <w:iCs/>
                <w:szCs w:val="22"/>
              </w:rPr>
            </w:pPr>
            <w:r>
              <w:t>Nem ismert</w:t>
            </w:r>
          </w:p>
        </w:tc>
      </w:tr>
      <w:tr w:rsidR="001F5A9C" w:rsidRPr="00FA06E6" w14:paraId="16850FCA" w14:textId="77777777" w:rsidTr="00774645">
        <w:tc>
          <w:tcPr>
            <w:tcW w:w="3132" w:type="dxa"/>
            <w:shd w:val="clear" w:color="auto" w:fill="auto"/>
          </w:tcPr>
          <w:p w14:paraId="2A9791EE" w14:textId="09BB6F16" w:rsidR="001F5A9C" w:rsidRPr="001D38B4" w:rsidRDefault="001F5A9C" w:rsidP="00FA06E6">
            <w:pPr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Szívbetegségek és a szívvel kapcsolatos tünetek</w:t>
            </w:r>
          </w:p>
        </w:tc>
        <w:tc>
          <w:tcPr>
            <w:tcW w:w="4234" w:type="dxa"/>
            <w:shd w:val="clear" w:color="auto" w:fill="auto"/>
          </w:tcPr>
          <w:p w14:paraId="13C61594" w14:textId="373FAF9E" w:rsidR="001F5A9C" w:rsidRPr="00FA06E6" w:rsidRDefault="001F5A9C" w:rsidP="00FA06E6">
            <w:pPr>
              <w:jc w:val="both"/>
              <w:rPr>
                <w:bCs/>
                <w:iCs/>
                <w:szCs w:val="22"/>
              </w:rPr>
            </w:pPr>
            <w:r>
              <w:t>Nagy perctérfogattal járó szívelégtelenség</w:t>
            </w:r>
          </w:p>
        </w:tc>
        <w:tc>
          <w:tcPr>
            <w:tcW w:w="2030" w:type="dxa"/>
            <w:shd w:val="clear" w:color="auto" w:fill="auto"/>
          </w:tcPr>
          <w:p w14:paraId="3136987F" w14:textId="21410E2D" w:rsidR="001F5A9C" w:rsidRPr="00FA06E6" w:rsidRDefault="001F5A9C" w:rsidP="00FA06E6">
            <w:pPr>
              <w:jc w:val="both"/>
              <w:rPr>
                <w:bCs/>
                <w:iCs/>
                <w:szCs w:val="22"/>
              </w:rPr>
            </w:pPr>
            <w:r>
              <w:t>Nem ismert</w:t>
            </w:r>
          </w:p>
        </w:tc>
      </w:tr>
    </w:tbl>
    <w:p w14:paraId="066D1B58" w14:textId="77777777" w:rsidR="00FA06E6" w:rsidRDefault="00FA06E6" w:rsidP="00B00CBD">
      <w:pPr>
        <w:jc w:val="both"/>
        <w:rPr>
          <w:bCs/>
          <w:iCs/>
          <w:szCs w:val="22"/>
          <w:lang w:val="en-US" w:eastAsia="fr-FR"/>
        </w:rPr>
      </w:pPr>
    </w:p>
    <w:p w14:paraId="58F6E5F2" w14:textId="77777777" w:rsidR="00FA06E6" w:rsidRPr="00FA06E6" w:rsidRDefault="00FA06E6" w:rsidP="00020748">
      <w:pPr>
        <w:rPr>
          <w:bCs/>
          <w:iCs/>
          <w:szCs w:val="22"/>
        </w:rPr>
      </w:pPr>
      <w:r>
        <w:t xml:space="preserve">* Jelentettek perifériás intravénás infúzióval kapcsolatos </w:t>
      </w:r>
      <w:proofErr w:type="spellStart"/>
      <w:r>
        <w:t>thrombophlebitis</w:t>
      </w:r>
      <w:proofErr w:type="spellEnd"/>
      <w:r>
        <w:t xml:space="preserve"> eseteket.</w:t>
      </w:r>
    </w:p>
    <w:p w14:paraId="12E04CCF" w14:textId="77777777" w:rsidR="00FA06E6" w:rsidRPr="00FA06E6" w:rsidRDefault="00FA06E6" w:rsidP="00020748">
      <w:pPr>
        <w:rPr>
          <w:b/>
          <w:bCs/>
          <w:iCs/>
          <w:szCs w:val="22"/>
        </w:rPr>
      </w:pPr>
      <w:r>
        <w:rPr>
          <w:b/>
          <w:bCs/>
          <w:iCs/>
          <w:szCs w:val="22"/>
        </w:rPr>
        <w:t>**</w:t>
      </w:r>
      <w:r>
        <w:rPr>
          <w:b/>
          <w:bCs/>
          <w:iCs/>
          <w:szCs w:val="22"/>
        </w:rPr>
        <w:tab/>
        <w:t>Életveszélyes és halálos eseteket jelentettek.</w:t>
      </w:r>
    </w:p>
    <w:p w14:paraId="41EF5726" w14:textId="77777777" w:rsidR="00FA06E6" w:rsidRPr="00FA06E6" w:rsidRDefault="00FA06E6" w:rsidP="00020748">
      <w:pPr>
        <w:rPr>
          <w:bCs/>
          <w:iCs/>
          <w:szCs w:val="22"/>
        </w:rPr>
      </w:pPr>
      <w:r>
        <w:t xml:space="preserve">§ Lásd az «Egyes mellékhatások leírása» című részt. </w:t>
      </w:r>
    </w:p>
    <w:p w14:paraId="160328FB" w14:textId="3FF49E93" w:rsidR="00B00CBD" w:rsidRPr="005D5674" w:rsidRDefault="00B00CBD" w:rsidP="00375B36">
      <w:pPr>
        <w:rPr>
          <w:bCs/>
          <w:i/>
          <w:szCs w:val="22"/>
          <w:lang w:eastAsia="fr-FR"/>
        </w:rPr>
      </w:pPr>
    </w:p>
    <w:p w14:paraId="6D6E61AB" w14:textId="77777777" w:rsidR="00FA06E6" w:rsidRPr="007C71CF" w:rsidRDefault="00FA06E6" w:rsidP="00020748">
      <w:pPr>
        <w:rPr>
          <w:bCs/>
          <w:iCs/>
          <w:szCs w:val="22"/>
          <w:u w:val="single"/>
        </w:rPr>
      </w:pPr>
      <w:r>
        <w:rPr>
          <w:bCs/>
          <w:iCs/>
          <w:szCs w:val="22"/>
          <w:u w:val="single"/>
        </w:rPr>
        <w:t>Egyes mellékhatások leírása</w:t>
      </w:r>
    </w:p>
    <w:p w14:paraId="3EA5CE1D" w14:textId="77777777" w:rsidR="00FA06E6" w:rsidRPr="007C71CF" w:rsidRDefault="00FA06E6" w:rsidP="00020748">
      <w:pPr>
        <w:spacing w:before="120"/>
        <w:rPr>
          <w:bCs/>
          <w:i/>
          <w:iCs/>
          <w:szCs w:val="22"/>
        </w:rPr>
      </w:pPr>
      <w:r>
        <w:rPr>
          <w:bCs/>
          <w:i/>
          <w:iCs/>
          <w:szCs w:val="22"/>
        </w:rPr>
        <w:t>Vérzéssel járó események</w:t>
      </w:r>
    </w:p>
    <w:p w14:paraId="1247EC5E" w14:textId="6E9BA064" w:rsidR="00B00CBD" w:rsidRPr="00EA7E06" w:rsidRDefault="00B00CBD" w:rsidP="00020748">
      <w:pPr>
        <w:rPr>
          <w:iCs/>
          <w:szCs w:val="22"/>
        </w:rPr>
      </w:pPr>
      <w:r>
        <w:t xml:space="preserve">Ahogyan az várható volt, gyakran előfordultak különböző vérzések ebben a betegcsoportban, ahol magas volt a véralvadásgátlóval kezelt betegek aránya. A </w:t>
      </w:r>
      <w:proofErr w:type="spellStart"/>
      <w:r>
        <w:t>thrombocytaaggregációra</w:t>
      </w:r>
      <w:proofErr w:type="spellEnd"/>
      <w:r>
        <w:t xml:space="preserve"> gyakorolt hatása következtében, a </w:t>
      </w:r>
      <w:proofErr w:type="spellStart"/>
      <w:r>
        <w:t>treprosztinil</w:t>
      </w:r>
      <w:proofErr w:type="spellEnd"/>
      <w:r>
        <w:t xml:space="preserve"> növelheti a vérzés kockázatát, ahogyan azt a kontrollos klinikai vizsgálatok során megfigyelt orrvérzések, emésztőrendszeri (GI) vérzések (többek között </w:t>
      </w:r>
      <w:proofErr w:type="spellStart"/>
      <w:r>
        <w:t>gastrointestinalis</w:t>
      </w:r>
      <w:proofErr w:type="spellEnd"/>
      <w:r>
        <w:t xml:space="preserve"> vérzés, végbélvérzés, fogínyvérzés és </w:t>
      </w:r>
      <w:proofErr w:type="spellStart"/>
      <w:r>
        <w:t>melaena</w:t>
      </w:r>
      <w:proofErr w:type="spellEnd"/>
      <w:r>
        <w:t xml:space="preserve">) megnövekedett előfordulása is mutatja. </w:t>
      </w:r>
      <w:proofErr w:type="spellStart"/>
      <w:r>
        <w:t>Haemoptysis</w:t>
      </w:r>
      <w:proofErr w:type="spellEnd"/>
      <w:r>
        <w:t xml:space="preserve">, </w:t>
      </w:r>
      <w:proofErr w:type="spellStart"/>
      <w:r>
        <w:t>haematemesis</w:t>
      </w:r>
      <w:proofErr w:type="spellEnd"/>
      <w:r>
        <w:t xml:space="preserve"> és </w:t>
      </w:r>
      <w:proofErr w:type="spellStart"/>
      <w:r>
        <w:t>haematuria</w:t>
      </w:r>
      <w:proofErr w:type="spellEnd"/>
      <w:r>
        <w:t xml:space="preserve"> is előfordult, de ezek aránya nem volt magasabb, mint a placebocsoportnál.</w:t>
      </w:r>
    </w:p>
    <w:p w14:paraId="0B981140" w14:textId="77777777" w:rsidR="00CC1A3C" w:rsidRDefault="00CC1A3C" w:rsidP="00020748">
      <w:pPr>
        <w:rPr>
          <w:szCs w:val="22"/>
          <w:lang w:val="en-US" w:eastAsia="fr-FR"/>
        </w:rPr>
      </w:pPr>
    </w:p>
    <w:p w14:paraId="63DA8AE8" w14:textId="77777777" w:rsidR="00CC1A3C" w:rsidRPr="00CC1A3C" w:rsidRDefault="00CC1A3C" w:rsidP="00020748">
      <w:pPr>
        <w:rPr>
          <w:szCs w:val="22"/>
          <w:u w:val="single"/>
        </w:rPr>
      </w:pPr>
      <w:r>
        <w:rPr>
          <w:szCs w:val="22"/>
          <w:u w:val="single"/>
        </w:rPr>
        <w:t>Feltételezett mellékhatások bejelentése</w:t>
      </w:r>
    </w:p>
    <w:p w14:paraId="520FCB22" w14:textId="77777777" w:rsidR="006F6755" w:rsidRPr="006F6755" w:rsidRDefault="00CC1A3C" w:rsidP="00020748">
      <w: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>
          <w:rPr>
            <w:rStyle w:val="Hiperhivatkozs"/>
          </w:rPr>
          <w:t>V. függelékben</w:t>
        </w:r>
      </w:hyperlink>
      <w:r>
        <w:t xml:space="preserve"> található elérhetőségek valamelyikén keresztül.</w:t>
      </w:r>
    </w:p>
    <w:p w14:paraId="6DD20119" w14:textId="77777777" w:rsidR="00C94716" w:rsidRPr="005D5674" w:rsidRDefault="00C94716" w:rsidP="00B00CBD">
      <w:pPr>
        <w:jc w:val="both"/>
        <w:rPr>
          <w:szCs w:val="22"/>
          <w:lang w:eastAsia="fr-FR"/>
        </w:rPr>
      </w:pPr>
    </w:p>
    <w:p w14:paraId="63CA1459" w14:textId="77777777" w:rsidR="00B00CBD" w:rsidRPr="007D3B01" w:rsidRDefault="00B00CBD" w:rsidP="00375B36">
      <w:pPr>
        <w:rPr>
          <w:b/>
        </w:rPr>
      </w:pPr>
      <w:r>
        <w:rPr>
          <w:b/>
        </w:rPr>
        <w:t>4.9</w:t>
      </w:r>
      <w:r>
        <w:rPr>
          <w:b/>
        </w:rPr>
        <w:tab/>
        <w:t>Túladagolás</w:t>
      </w:r>
    </w:p>
    <w:p w14:paraId="5A7B785E" w14:textId="77777777" w:rsidR="00B00CBD" w:rsidRPr="00B00CBD" w:rsidRDefault="00B00CBD" w:rsidP="00020748">
      <w:pPr>
        <w:rPr>
          <w:szCs w:val="22"/>
          <w:lang w:eastAsia="en-US"/>
        </w:rPr>
      </w:pPr>
    </w:p>
    <w:p w14:paraId="4DC5866A" w14:textId="1144CBBC" w:rsidR="00B00CBD" w:rsidRPr="00B00CBD" w:rsidRDefault="00B00CBD" w:rsidP="00020748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túladagolása során jelentkező tünetek hasonlóak a dózisnövelést korlátozó tünetekhez: ezek közé tartozik a bőrpír, a fejfájás, az alacsony vérnyomás, a hányinger, a hányás és a hasmenés. Azoknál a betegeknél, akiknél a túladagolás tünetei jelentkeznek, a </w:t>
      </w:r>
      <w:proofErr w:type="spellStart"/>
      <w:r>
        <w:t>treprosztinil</w:t>
      </w:r>
      <w:proofErr w:type="spellEnd"/>
      <w:r>
        <w:t xml:space="preserve"> adagolását a tünetek súlyosságától függően csökkenteni, illetve szüneteltetni kell, amíg a túladagolási tünetek meg nem szűnnek. A dózis megállapításánál különösen körültekintően kell eljárni olyan betegek esetében, akik orvosi felügyelet alatt állnak, illetve, akiket nemkívánatos tünetek elkerülése érdekében figyelnek meg.</w:t>
      </w:r>
    </w:p>
    <w:p w14:paraId="2DC2694D" w14:textId="77777777" w:rsidR="00B00CBD" w:rsidRPr="00B00CBD" w:rsidRDefault="00B00CBD" w:rsidP="00020748">
      <w:pPr>
        <w:rPr>
          <w:szCs w:val="22"/>
          <w:lang w:eastAsia="en-US"/>
        </w:rPr>
      </w:pPr>
    </w:p>
    <w:p w14:paraId="164E6BD1" w14:textId="77777777" w:rsidR="00B00CBD" w:rsidRPr="00B00CBD" w:rsidRDefault="00B00CBD" w:rsidP="00020748">
      <w:pPr>
        <w:rPr>
          <w:szCs w:val="22"/>
        </w:rPr>
      </w:pPr>
      <w:proofErr w:type="spellStart"/>
      <w:r>
        <w:t>Antidotum</w:t>
      </w:r>
      <w:proofErr w:type="spellEnd"/>
      <w:r>
        <w:t xml:space="preserve"> nem ismert.</w:t>
      </w:r>
    </w:p>
    <w:p w14:paraId="598AF748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433D7480" w14:textId="77777777" w:rsidR="00B00CBD" w:rsidRPr="00B00CBD" w:rsidRDefault="00B00CBD" w:rsidP="00020748">
      <w:pPr>
        <w:rPr>
          <w:szCs w:val="22"/>
          <w:lang w:eastAsia="en-US"/>
        </w:rPr>
      </w:pPr>
    </w:p>
    <w:p w14:paraId="27AB2932" w14:textId="77777777" w:rsidR="00B00CBD" w:rsidRPr="007D3B01" w:rsidRDefault="00B00CBD" w:rsidP="00375B36">
      <w:pPr>
        <w:rPr>
          <w:b/>
        </w:rPr>
      </w:pPr>
      <w:bookmarkStart w:id="108" w:name="_Toc399649950"/>
      <w:bookmarkStart w:id="109" w:name="_Toc399654882"/>
      <w:bookmarkStart w:id="110" w:name="_Toc399655188"/>
      <w:bookmarkStart w:id="111" w:name="_Toc399729053"/>
      <w:bookmarkStart w:id="112" w:name="_Toc401626175"/>
      <w:bookmarkStart w:id="113" w:name="_Toc401626213"/>
      <w:bookmarkStart w:id="114" w:name="_Toc401626248"/>
      <w:bookmarkStart w:id="115" w:name="_Toc402239811"/>
      <w:bookmarkStart w:id="116" w:name="_Toc417272478"/>
      <w:r>
        <w:rPr>
          <w:b/>
        </w:rPr>
        <w:t>5.</w:t>
      </w:r>
      <w:r>
        <w:rPr>
          <w:b/>
        </w:rPr>
        <w:tab/>
        <w:t>FARMAKOLÓGIAI TULAJDONSÁGOK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14:paraId="6C581CB5" w14:textId="77777777" w:rsidR="00B00CBD" w:rsidRPr="00B00CBD" w:rsidRDefault="00B00CBD" w:rsidP="00BF7E15">
      <w:bookmarkStart w:id="117" w:name="_Toc399649951"/>
      <w:bookmarkStart w:id="118" w:name="_Toc399654883"/>
      <w:bookmarkStart w:id="119" w:name="_Toc399655189"/>
      <w:bookmarkStart w:id="120" w:name="_Toc399729054"/>
      <w:bookmarkStart w:id="121" w:name="_Toc401626176"/>
      <w:bookmarkStart w:id="122" w:name="_Toc401626214"/>
      <w:bookmarkStart w:id="123" w:name="_Toc401626249"/>
      <w:bookmarkStart w:id="124" w:name="_Toc402239812"/>
      <w:bookmarkStart w:id="125" w:name="_Toc417272479"/>
    </w:p>
    <w:p w14:paraId="0B5238C7" w14:textId="1B7C68FC" w:rsidR="00B00CBD" w:rsidRPr="007D3B01" w:rsidRDefault="00B00CBD">
      <w:pPr>
        <w:rPr>
          <w:b/>
        </w:rPr>
      </w:pPr>
      <w:r>
        <w:rPr>
          <w:b/>
        </w:rPr>
        <w:t>5.1</w:t>
      </w:r>
      <w:r>
        <w:rPr>
          <w:b/>
        </w:rPr>
        <w:tab/>
      </w:r>
      <w:proofErr w:type="spellStart"/>
      <w:r>
        <w:rPr>
          <w:b/>
        </w:rPr>
        <w:t>Farmakodinámiás</w:t>
      </w:r>
      <w:proofErr w:type="spellEnd"/>
      <w:r>
        <w:rPr>
          <w:b/>
        </w:rPr>
        <w:t xml:space="preserve"> tulajdonságok</w:t>
      </w:r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</w:p>
    <w:p w14:paraId="6C58E8DB" w14:textId="77777777" w:rsidR="00B00CBD" w:rsidRPr="00B00CBD" w:rsidRDefault="00B00CBD" w:rsidP="00020748">
      <w:pPr>
        <w:rPr>
          <w:szCs w:val="22"/>
          <w:lang w:eastAsia="en-US"/>
        </w:rPr>
      </w:pPr>
    </w:p>
    <w:p w14:paraId="2239F5A0" w14:textId="77777777" w:rsidR="006F1944" w:rsidRPr="00671C4A" w:rsidRDefault="006F1944" w:rsidP="00020748">
      <w:pPr>
        <w:pStyle w:val="Comment"/>
        <w:contextualSpacing/>
        <w:jc w:val="left"/>
        <w:rPr>
          <w:i w:val="0"/>
          <w:iCs/>
          <w:color w:val="auto"/>
          <w:sz w:val="22"/>
          <w:szCs w:val="22"/>
        </w:rPr>
      </w:pPr>
      <w:proofErr w:type="spellStart"/>
      <w:r w:rsidRPr="00671C4A">
        <w:rPr>
          <w:i w:val="0"/>
          <w:color w:val="auto"/>
          <w:sz w:val="22"/>
          <w:szCs w:val="22"/>
        </w:rPr>
        <w:t>Farmakoterápiás</w:t>
      </w:r>
      <w:proofErr w:type="spellEnd"/>
      <w:r w:rsidRPr="00671C4A">
        <w:rPr>
          <w:i w:val="0"/>
          <w:color w:val="auto"/>
          <w:sz w:val="22"/>
          <w:szCs w:val="22"/>
        </w:rPr>
        <w:t xml:space="preserve"> csoport: </w:t>
      </w:r>
    </w:p>
    <w:p w14:paraId="2490AD41" w14:textId="77777777" w:rsidR="006F1944" w:rsidRPr="00671C4A" w:rsidRDefault="006F1944" w:rsidP="00020748">
      <w:pPr>
        <w:pStyle w:val="Comment"/>
        <w:contextualSpacing/>
        <w:jc w:val="left"/>
        <w:rPr>
          <w:color w:val="auto"/>
          <w:szCs w:val="22"/>
        </w:rPr>
      </w:pPr>
      <w:r w:rsidRPr="00671C4A">
        <w:rPr>
          <w:i w:val="0"/>
          <w:iCs/>
          <w:color w:val="auto"/>
          <w:sz w:val="22"/>
          <w:szCs w:val="22"/>
        </w:rPr>
        <w:t>Vérlemezke-</w:t>
      </w:r>
      <w:proofErr w:type="spellStart"/>
      <w:r w:rsidRPr="00671C4A">
        <w:rPr>
          <w:i w:val="0"/>
          <w:iCs/>
          <w:color w:val="auto"/>
          <w:sz w:val="22"/>
          <w:szCs w:val="22"/>
        </w:rPr>
        <w:t>aggregáció</w:t>
      </w:r>
      <w:proofErr w:type="spellEnd"/>
      <w:r w:rsidRPr="00671C4A">
        <w:rPr>
          <w:i w:val="0"/>
          <w:iCs/>
          <w:color w:val="auto"/>
          <w:sz w:val="22"/>
          <w:szCs w:val="22"/>
        </w:rPr>
        <w:t xml:space="preserve">-gátlók, kivéve </w:t>
      </w:r>
      <w:proofErr w:type="spellStart"/>
      <w:r w:rsidRPr="00671C4A">
        <w:rPr>
          <w:i w:val="0"/>
          <w:iCs/>
          <w:color w:val="auto"/>
          <w:sz w:val="22"/>
          <w:szCs w:val="22"/>
        </w:rPr>
        <w:t>heparin</w:t>
      </w:r>
      <w:proofErr w:type="spellEnd"/>
      <w:r w:rsidRPr="00671C4A">
        <w:rPr>
          <w:i w:val="0"/>
          <w:iCs/>
          <w:color w:val="auto"/>
          <w:sz w:val="22"/>
          <w:szCs w:val="22"/>
        </w:rPr>
        <w:t xml:space="preserve"> </w:t>
      </w:r>
      <w:r w:rsidRPr="00671C4A">
        <w:rPr>
          <w:i w:val="0"/>
          <w:color w:val="auto"/>
          <w:sz w:val="22"/>
          <w:szCs w:val="22"/>
        </w:rPr>
        <w:t>ATC kód: B01AC21</w:t>
      </w:r>
    </w:p>
    <w:p w14:paraId="4EAE9633" w14:textId="77777777" w:rsidR="00B00CBD" w:rsidRPr="00671C4A" w:rsidRDefault="00B00CBD" w:rsidP="00020748">
      <w:pPr>
        <w:rPr>
          <w:b/>
          <w:szCs w:val="22"/>
          <w:u w:val="single"/>
          <w:lang w:eastAsia="en-US"/>
        </w:rPr>
      </w:pPr>
    </w:p>
    <w:p w14:paraId="1AC4F5ED" w14:textId="346687CB" w:rsidR="00B00CBD" w:rsidRPr="00B00CBD" w:rsidRDefault="00B00CBD" w:rsidP="00020748">
      <w:pPr>
        <w:rPr>
          <w:szCs w:val="22"/>
        </w:rPr>
      </w:pPr>
      <w:r>
        <w:rPr>
          <w:szCs w:val="22"/>
          <w:u w:val="single"/>
        </w:rPr>
        <w:t>Hatásmechanizmus</w:t>
      </w:r>
      <w:r>
        <w:t xml:space="preserve">: A </w:t>
      </w:r>
      <w:proofErr w:type="spellStart"/>
      <w:r>
        <w:t>treprosztinil</w:t>
      </w:r>
      <w:proofErr w:type="spellEnd"/>
      <w:r>
        <w:t xml:space="preserve"> egy </w:t>
      </w:r>
      <w:proofErr w:type="spellStart"/>
      <w:r>
        <w:t>prosztaciklinanalóg</w:t>
      </w:r>
      <w:proofErr w:type="spellEnd"/>
      <w:r>
        <w:t>.</w:t>
      </w:r>
    </w:p>
    <w:p w14:paraId="111B3EF2" w14:textId="77777777" w:rsidR="00B00CBD" w:rsidRPr="00B00CBD" w:rsidRDefault="00B00CBD" w:rsidP="00020748">
      <w:pPr>
        <w:rPr>
          <w:szCs w:val="22"/>
        </w:rPr>
      </w:pPr>
      <w:r>
        <w:t xml:space="preserve">Közvetlen értágító hatást fejt ki a </w:t>
      </w:r>
      <w:proofErr w:type="spellStart"/>
      <w:r>
        <w:t>pulmonalis</w:t>
      </w:r>
      <w:proofErr w:type="spellEnd"/>
      <w:r>
        <w:t xml:space="preserve"> és a szisztémás artériás keringésben, valamint gátolja a </w:t>
      </w:r>
      <w:proofErr w:type="spellStart"/>
      <w:r>
        <w:t>thrombocytaaggregációt</w:t>
      </w:r>
      <w:proofErr w:type="spellEnd"/>
      <w:r>
        <w:t xml:space="preserve">.  </w:t>
      </w:r>
    </w:p>
    <w:p w14:paraId="5D4A8614" w14:textId="77777777" w:rsidR="00B00CBD" w:rsidRPr="00B00CBD" w:rsidRDefault="00B00CBD" w:rsidP="00020748">
      <w:pPr>
        <w:rPr>
          <w:i/>
          <w:szCs w:val="22"/>
          <w:lang w:eastAsia="en-US"/>
        </w:rPr>
      </w:pPr>
    </w:p>
    <w:p w14:paraId="0F06A800" w14:textId="7B7F62D7" w:rsidR="00B00CBD" w:rsidRPr="00B00CBD" w:rsidRDefault="00B00CBD" w:rsidP="00020748">
      <w:pPr>
        <w:rPr>
          <w:szCs w:val="22"/>
        </w:rPr>
      </w:pPr>
      <w:r>
        <w:t>Állatoknál az értágító hatás csökkenti a jobb és a bal kamrai utóterhelést (</w:t>
      </w:r>
      <w:proofErr w:type="spellStart"/>
      <w:r>
        <w:t>afterload</w:t>
      </w:r>
      <w:proofErr w:type="spellEnd"/>
      <w:r>
        <w:t xml:space="preserve">), továbbá fokozza a perc- és a pulzustérfogatot. A </w:t>
      </w:r>
      <w:proofErr w:type="spellStart"/>
      <w:r>
        <w:t>treprosztinil</w:t>
      </w:r>
      <w:proofErr w:type="spellEnd"/>
      <w:r>
        <w:t xml:space="preserve"> pulzusra gyakorolt hatása állatokban a dózistól függően változik. Nem figyeltek meg a szív ingerületvezetésére gyakorolt jelentősebb hatást.</w:t>
      </w:r>
    </w:p>
    <w:p w14:paraId="0D67CFB6" w14:textId="77777777" w:rsidR="00B00CBD" w:rsidRPr="00B00CBD" w:rsidRDefault="00B00CBD" w:rsidP="00020748">
      <w:pPr>
        <w:rPr>
          <w:b/>
          <w:szCs w:val="22"/>
          <w:u w:val="single"/>
          <w:lang w:eastAsia="en-US"/>
        </w:rPr>
      </w:pPr>
    </w:p>
    <w:p w14:paraId="62982613" w14:textId="1F2620BC" w:rsidR="00B00CBD" w:rsidRPr="001D38B4" w:rsidRDefault="00B00CBD" w:rsidP="00020748">
      <w:pPr>
        <w:rPr>
          <w:i/>
          <w:szCs w:val="22"/>
          <w:u w:val="single"/>
        </w:rPr>
      </w:pPr>
      <w:r>
        <w:rPr>
          <w:i/>
          <w:szCs w:val="22"/>
          <w:u w:val="single"/>
        </w:rPr>
        <w:t xml:space="preserve">Hatásossági adatok </w:t>
      </w:r>
      <w:proofErr w:type="spellStart"/>
      <w:r>
        <w:rPr>
          <w:i/>
          <w:szCs w:val="22"/>
          <w:u w:val="single"/>
        </w:rPr>
        <w:t>pulmonalis</w:t>
      </w:r>
      <w:proofErr w:type="spellEnd"/>
      <w:r>
        <w:rPr>
          <w:i/>
          <w:szCs w:val="22"/>
          <w:u w:val="single"/>
        </w:rPr>
        <w:t xml:space="preserve"> artériás </w:t>
      </w:r>
      <w:proofErr w:type="spellStart"/>
      <w:r>
        <w:rPr>
          <w:i/>
          <w:szCs w:val="22"/>
          <w:u w:val="single"/>
        </w:rPr>
        <w:t>hypertoniában</w:t>
      </w:r>
      <w:proofErr w:type="spellEnd"/>
      <w:r>
        <w:rPr>
          <w:i/>
          <w:szCs w:val="22"/>
          <w:u w:val="single"/>
        </w:rPr>
        <w:t xml:space="preserve"> szenvedő felnőttek esetén:</w:t>
      </w:r>
    </w:p>
    <w:p w14:paraId="01F98025" w14:textId="77777777" w:rsidR="00B00CBD" w:rsidRPr="005D5674" w:rsidRDefault="00B00CBD" w:rsidP="00020748">
      <w:pPr>
        <w:rPr>
          <w:i/>
          <w:u w:val="single"/>
        </w:rPr>
      </w:pPr>
    </w:p>
    <w:p w14:paraId="5BB5CBBB" w14:textId="46F9F9D5" w:rsidR="00B00CBD" w:rsidRPr="00635792" w:rsidRDefault="00B00CBD" w:rsidP="00020748">
      <w:pPr>
        <w:rPr>
          <w:szCs w:val="22"/>
          <w:u w:val="single"/>
        </w:rPr>
      </w:pPr>
      <w:r>
        <w:rPr>
          <w:szCs w:val="22"/>
          <w:u w:val="single"/>
        </w:rPr>
        <w:t xml:space="preserve">Vizsgálatok </w:t>
      </w:r>
      <w:proofErr w:type="spellStart"/>
      <w:r>
        <w:rPr>
          <w:szCs w:val="22"/>
          <w:u w:val="single"/>
        </w:rPr>
        <w:t>subcutan</w:t>
      </w:r>
      <w:proofErr w:type="spellEnd"/>
      <w:r>
        <w:rPr>
          <w:szCs w:val="22"/>
          <w:u w:val="single"/>
        </w:rPr>
        <w:t xml:space="preserve"> infúzióban adagolt </w:t>
      </w:r>
      <w:proofErr w:type="spellStart"/>
      <w:r>
        <w:rPr>
          <w:szCs w:val="22"/>
          <w:u w:val="single"/>
        </w:rPr>
        <w:t>treprosztinillel</w:t>
      </w:r>
      <w:proofErr w:type="spellEnd"/>
      <w:r>
        <w:rPr>
          <w:szCs w:val="22"/>
          <w:u w:val="single"/>
        </w:rPr>
        <w:t xml:space="preserve"> </w:t>
      </w:r>
    </w:p>
    <w:p w14:paraId="685598EE" w14:textId="77777777" w:rsidR="00B00CBD" w:rsidRPr="00B00CBD" w:rsidRDefault="00B00CBD" w:rsidP="00020748">
      <w:pPr>
        <w:rPr>
          <w:szCs w:val="22"/>
          <w:u w:val="single"/>
          <w:lang w:eastAsia="en-US"/>
        </w:rPr>
      </w:pPr>
    </w:p>
    <w:p w14:paraId="36D8C4B1" w14:textId="1D5DA51C" w:rsidR="00B00CBD" w:rsidRPr="00B00CBD" w:rsidRDefault="00B00CBD" w:rsidP="00020748">
      <w:pPr>
        <w:rPr>
          <w:szCs w:val="22"/>
        </w:rPr>
      </w:pPr>
      <w:r>
        <w:t xml:space="preserve">Két, III. fázisú randomizált, kettős vak, placebokontrollos klinikai vizsgálatot végeztek a folyamatosan </w:t>
      </w:r>
      <w:proofErr w:type="spellStart"/>
      <w:r>
        <w:t>subcutan</w:t>
      </w:r>
      <w:proofErr w:type="spellEnd"/>
      <w:r>
        <w:t xml:space="preserve"> infúzió formájában alkalmazott </w:t>
      </w:r>
      <w:proofErr w:type="spellStart"/>
      <w:r>
        <w:t>treprosztinillel</w:t>
      </w:r>
      <w:proofErr w:type="spellEnd"/>
      <w:r>
        <w:t xml:space="preserve"> kapcsolatban, stabil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hypertoniában</w:t>
      </w:r>
      <w:proofErr w:type="spellEnd"/>
      <w:r>
        <w:t xml:space="preserve"> szenvedő betegek esetén. A két vizsgálatba összesen 469 felnőttet vontak be: 270, </w:t>
      </w:r>
      <w:proofErr w:type="spellStart"/>
      <w:r>
        <w:t>idiopathiás</w:t>
      </w:r>
      <w:proofErr w:type="spellEnd"/>
      <w:r>
        <w:t xml:space="preserve"> vagy örökletes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hypertoniás</w:t>
      </w:r>
      <w:proofErr w:type="spellEnd"/>
      <w:r>
        <w:t xml:space="preserve"> beteget (</w:t>
      </w:r>
      <w:proofErr w:type="spellStart"/>
      <w:r>
        <w:t>treprosztinilcsoport</w:t>
      </w:r>
      <w:proofErr w:type="spellEnd"/>
      <w:r>
        <w:t xml:space="preserve">: 134 beteg, placebocsoport: 136 beteg), 90 olyan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hypertoniás</w:t>
      </w:r>
      <w:proofErr w:type="spellEnd"/>
      <w:r>
        <w:t xml:space="preserve"> beteget, akik ezenkívül kötőszöveti betegségben (főleg </w:t>
      </w:r>
      <w:proofErr w:type="spellStart"/>
      <w:r>
        <w:t>sclerodermában</w:t>
      </w:r>
      <w:proofErr w:type="spellEnd"/>
      <w:r>
        <w:t>) is szenvedtek (</w:t>
      </w:r>
      <w:proofErr w:type="spellStart"/>
      <w:r>
        <w:t>treprosztinilcsoport</w:t>
      </w:r>
      <w:proofErr w:type="spellEnd"/>
      <w:r>
        <w:t xml:space="preserve">: 41 beteg, placebocsoport: 49 beteg), valamint 109 olyan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hypertoniás</w:t>
      </w:r>
      <w:proofErr w:type="spellEnd"/>
      <w:r>
        <w:t xml:space="preserve"> beteget, akik ezenkívül veleszületett (bal-jobb </w:t>
      </w:r>
      <w:proofErr w:type="spellStart"/>
      <w:r>
        <w:t>shunttel</w:t>
      </w:r>
      <w:proofErr w:type="spellEnd"/>
      <w:r>
        <w:t xml:space="preserve"> járó) </w:t>
      </w:r>
      <w:proofErr w:type="spellStart"/>
      <w:r>
        <w:t>cardiopathiában</w:t>
      </w:r>
      <w:proofErr w:type="spellEnd"/>
      <w:r>
        <w:t xml:space="preserve"> is szenvedtek (</w:t>
      </w:r>
      <w:proofErr w:type="spellStart"/>
      <w:r>
        <w:t>treprosztinilcsoport</w:t>
      </w:r>
      <w:proofErr w:type="spellEnd"/>
      <w:r>
        <w:t xml:space="preserve">: 58 beteg, placebocsoport: 51 beteg). Kiinduláskor a 6 perces gyaloglási teszten teljesített átlagos távolság a </w:t>
      </w:r>
      <w:proofErr w:type="spellStart"/>
      <w:r>
        <w:t>treprosztinilt</w:t>
      </w:r>
      <w:proofErr w:type="spellEnd"/>
      <w:r>
        <w:t xml:space="preserve"> </w:t>
      </w:r>
      <w:proofErr w:type="spellStart"/>
      <w:r>
        <w:t>subcutan</w:t>
      </w:r>
      <w:proofErr w:type="spellEnd"/>
      <w:r>
        <w:t xml:space="preserve"> in</w:t>
      </w:r>
      <w:r w:rsidR="00475025">
        <w:t>fúzióban kapók csoportjában 326 ±</w:t>
      </w:r>
      <w:r>
        <w:t xml:space="preserve"> 5 m, a </w:t>
      </w:r>
      <w:proofErr w:type="spellStart"/>
      <w:r>
        <w:t>placeb</w:t>
      </w:r>
      <w:r w:rsidR="00475025">
        <w:t>ót</w:t>
      </w:r>
      <w:proofErr w:type="spellEnd"/>
      <w:r w:rsidR="00475025">
        <w:t xml:space="preserve"> kapók csoportjában pedig 327 ±</w:t>
      </w:r>
      <w:r>
        <w:t xml:space="preserve"> 6 m volt. A vizsgálat során mindkét, egymással összevetett kezelés esetén fokozatosan emelték a dózist, a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tüneteinek és a klinikai toleranciának megfelelően. A 12 hét után elért átlagos dózis a </w:t>
      </w:r>
      <w:proofErr w:type="spellStart"/>
      <w:r>
        <w:t>treprosztinilcsoportban</w:t>
      </w:r>
      <w:proofErr w:type="spellEnd"/>
      <w:r>
        <w:t xml:space="preserve"> 9,3 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/perc, a placebocsoportban pedig 19,1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volt. 12 hetes kezelés után a 6 perces gyaloglási tesztben az átlagos eltérés a kiindulási értékhez képest, amelyet a mind a két vizsgálatból származó </w:t>
      </w:r>
      <w:proofErr w:type="spellStart"/>
      <w:r>
        <w:t>összpopulációt</w:t>
      </w:r>
      <w:proofErr w:type="spellEnd"/>
      <w:r>
        <w:t xml:space="preserve"> figyelembe véve számítottak ki a </w:t>
      </w:r>
      <w:proofErr w:type="spellStart"/>
      <w:r>
        <w:t>treprosztinillel</w:t>
      </w:r>
      <w:proofErr w:type="spellEnd"/>
      <w:r>
        <w:t xml:space="preserve"> kezelt betegek csoportjában –2 ± 6,61 m, a placebocsoportban pedig –21,8 ± 6,18 m volt. Ezek az eredmények azt mutatják, hogy a kezelés hatásossága, amelyet a 6 perces gyaloglási teszttel állapítottak meg, átlagban 19,7 m (</w:t>
      </w:r>
      <w:r>
        <w:rPr>
          <w:i/>
          <w:iCs/>
        </w:rPr>
        <w:t>p</w:t>
      </w:r>
      <w:r>
        <w:t xml:space="preserve">= 0,0064) volt, a </w:t>
      </w:r>
      <w:proofErr w:type="spellStart"/>
      <w:r>
        <w:t>placebóval</w:t>
      </w:r>
      <w:proofErr w:type="spellEnd"/>
      <w:r>
        <w:t xml:space="preserve"> összehasonlítva, a mindkét vizsgálatból származó </w:t>
      </w:r>
      <w:proofErr w:type="spellStart"/>
      <w:r>
        <w:t>összpopulációt</w:t>
      </w:r>
      <w:proofErr w:type="spellEnd"/>
      <w:r>
        <w:t xml:space="preserve"> figyelembe véve. A </w:t>
      </w:r>
      <w:proofErr w:type="spellStart"/>
      <w:r>
        <w:t>hemodinamikai</w:t>
      </w:r>
      <w:proofErr w:type="spellEnd"/>
      <w:r>
        <w:t xml:space="preserve"> paraméterek (átlagos </w:t>
      </w:r>
      <w:proofErr w:type="spellStart"/>
      <w:r>
        <w:t>pulmonalis</w:t>
      </w:r>
      <w:proofErr w:type="spellEnd"/>
      <w:r>
        <w:t xml:space="preserve"> artériás nyomás [</w:t>
      </w:r>
      <w:proofErr w:type="spellStart"/>
      <w:r>
        <w:t>PAPm</w:t>
      </w:r>
      <w:proofErr w:type="spellEnd"/>
      <w:r>
        <w:t xml:space="preserve">]), a jobb pitvari nyomás [RAP], a </w:t>
      </w:r>
      <w:proofErr w:type="spellStart"/>
      <w:r>
        <w:t>pulmonalis</w:t>
      </w:r>
      <w:proofErr w:type="spellEnd"/>
      <w:r>
        <w:t xml:space="preserve"> </w:t>
      </w:r>
      <w:proofErr w:type="spellStart"/>
      <w:r>
        <w:t>vascularis</w:t>
      </w:r>
      <w:proofErr w:type="spellEnd"/>
      <w:r>
        <w:t xml:space="preserve"> </w:t>
      </w:r>
      <w:proofErr w:type="spellStart"/>
      <w:r>
        <w:t>resistentia</w:t>
      </w:r>
      <w:proofErr w:type="spellEnd"/>
      <w:r>
        <w:t xml:space="preserve"> [PVR], a </w:t>
      </w:r>
      <w:proofErr w:type="spellStart"/>
      <w:r>
        <w:t>cardialis</w:t>
      </w:r>
      <w:proofErr w:type="spellEnd"/>
      <w:r>
        <w:t xml:space="preserve"> index [CI], valamint a vénás oxigéntelítettség [SvO</w:t>
      </w:r>
      <w:r>
        <w:rPr>
          <w:szCs w:val="22"/>
          <w:vertAlign w:val="subscript"/>
        </w:rPr>
        <w:t>2</w:t>
      </w:r>
      <w:r>
        <w:t xml:space="preserve">] átlagos változásai – a kiindulási értékekhez képest – azt mutatták, hogy a </w:t>
      </w:r>
      <w:proofErr w:type="spellStart"/>
      <w:r>
        <w:t>treprosztinil</w:t>
      </w:r>
      <w:proofErr w:type="spellEnd"/>
      <w:r>
        <w:t xml:space="preserve"> hatásosabb, mint a placebo. A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tüneteiben (</w:t>
      </w:r>
      <w:proofErr w:type="spellStart"/>
      <w:r>
        <w:t>syncope</w:t>
      </w:r>
      <w:proofErr w:type="spellEnd"/>
      <w:r>
        <w:t xml:space="preserve">, szédülés, mellkasi fájdalom, fáradtság és </w:t>
      </w:r>
      <w:proofErr w:type="spellStart"/>
      <w:r>
        <w:t>dyspnoe</w:t>
      </w:r>
      <w:proofErr w:type="spellEnd"/>
      <w:r>
        <w:t>) statisztikailag szignifikáns javulás (</w:t>
      </w:r>
      <w:proofErr w:type="gramStart"/>
      <w:r>
        <w:rPr>
          <w:i/>
          <w:iCs/>
        </w:rPr>
        <w:t>p</w:t>
      </w:r>
      <w:r>
        <w:t>&lt;</w:t>
      </w:r>
      <w:proofErr w:type="gramEnd"/>
      <w:r>
        <w:t xml:space="preserve"> 0,0001) mutatkozott. </w:t>
      </w:r>
      <w:proofErr w:type="gramStart"/>
      <w:r>
        <w:t>Ezenkívül</w:t>
      </w:r>
      <w:proofErr w:type="gramEnd"/>
      <w:r>
        <w:t xml:space="preserve"> a </w:t>
      </w:r>
      <w:proofErr w:type="spellStart"/>
      <w:r>
        <w:t>Dyspnoe-Fatigue</w:t>
      </w:r>
      <w:proofErr w:type="spellEnd"/>
      <w:r>
        <w:t xml:space="preserve"> pontérték és a </w:t>
      </w:r>
      <w:proofErr w:type="spellStart"/>
      <w:r>
        <w:t>Borg</w:t>
      </w:r>
      <w:proofErr w:type="spellEnd"/>
      <w:r>
        <w:t xml:space="preserve">-féle </w:t>
      </w:r>
      <w:proofErr w:type="spellStart"/>
      <w:r>
        <w:t>dyspnoeérték</w:t>
      </w:r>
      <w:proofErr w:type="spellEnd"/>
      <w:r>
        <w:t xml:space="preserve"> is javult 12 hét után a </w:t>
      </w:r>
      <w:proofErr w:type="spellStart"/>
      <w:r>
        <w:t>treprosztinillel</w:t>
      </w:r>
      <w:proofErr w:type="spellEnd"/>
      <w:r>
        <w:t xml:space="preserve"> kezelt betegek esetében (</w:t>
      </w:r>
      <w:r>
        <w:rPr>
          <w:i/>
          <w:iCs/>
        </w:rPr>
        <w:t>p</w:t>
      </w:r>
      <w:r>
        <w:t xml:space="preserve">&lt; 0,0001). Bizonyos kombinált kritériumok (12 hét után a fizikai teljesítőképesség [6 perces gyaloglási teszttel mérve] legalább 10%-kal javul a kiindulási értékhez képest, 12 hét után a betegek állapota legalább egy NYHA osztályt javul a kiindulási értékhez képest, a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nem rosszabbodik, valamint a 12. hét előtt nincs haláleset) alapján, mindkét vizsgálatból származó </w:t>
      </w:r>
      <w:proofErr w:type="spellStart"/>
      <w:r>
        <w:t>összpopulációban</w:t>
      </w:r>
      <w:proofErr w:type="spellEnd"/>
      <w:r>
        <w:t xml:space="preserve"> történő elemzéskor azt találták, hogy a </w:t>
      </w:r>
      <w:proofErr w:type="spellStart"/>
      <w:r>
        <w:t>treprosztinilre</w:t>
      </w:r>
      <w:proofErr w:type="spellEnd"/>
      <w:r>
        <w:t xml:space="preserve"> a betegek 15,9%-a (37/233), míg a </w:t>
      </w:r>
      <w:proofErr w:type="spellStart"/>
      <w:r>
        <w:t>placebóra</w:t>
      </w:r>
      <w:proofErr w:type="spellEnd"/>
      <w:r>
        <w:t xml:space="preserve"> a betegek 3,4%-a (8/236) reagált. Az </w:t>
      </w:r>
      <w:proofErr w:type="spellStart"/>
      <w:r>
        <w:t>összpopuláció</w:t>
      </w:r>
      <w:proofErr w:type="spellEnd"/>
      <w:r>
        <w:t xml:space="preserve"> alcsoportanalízise azt mutatta, hogy a </w:t>
      </w:r>
      <w:proofErr w:type="spellStart"/>
      <w:r>
        <w:t>treposztinilnek</w:t>
      </w:r>
      <w:proofErr w:type="spellEnd"/>
      <w:r>
        <w:t xml:space="preserve"> a </w:t>
      </w:r>
      <w:proofErr w:type="spellStart"/>
      <w:r>
        <w:t>placebóhoz</w:t>
      </w:r>
      <w:proofErr w:type="spellEnd"/>
      <w:r>
        <w:t xml:space="preserve"> képest statisztikailag szignifikáns terápiás hatása volt a 6 perces gyaloglási tesztben, a betegek azon </w:t>
      </w:r>
      <w:proofErr w:type="spellStart"/>
      <w:r>
        <w:t>szubpopulációjánál</w:t>
      </w:r>
      <w:proofErr w:type="spellEnd"/>
      <w:r>
        <w:t xml:space="preserve">, amelynek tagjai </w:t>
      </w:r>
      <w:proofErr w:type="spellStart"/>
      <w:r>
        <w:t>idiopathiás</w:t>
      </w:r>
      <w:proofErr w:type="spellEnd"/>
      <w:r>
        <w:t xml:space="preserve"> vagy örökletes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hypertoniában</w:t>
      </w:r>
      <w:proofErr w:type="spellEnd"/>
      <w:r>
        <w:t xml:space="preserve"> szenvedtek (</w:t>
      </w:r>
      <w:r>
        <w:rPr>
          <w:i/>
          <w:iCs/>
        </w:rPr>
        <w:t>p</w:t>
      </w:r>
      <w:r>
        <w:t xml:space="preserve">= 0,043), szemben a betegek azon </w:t>
      </w:r>
      <w:proofErr w:type="spellStart"/>
      <w:r>
        <w:t>szubpopulációjával</w:t>
      </w:r>
      <w:proofErr w:type="spellEnd"/>
      <w:r>
        <w:t xml:space="preserve">, amelynek tagjai </w:t>
      </w:r>
      <w:proofErr w:type="spellStart"/>
      <w:r>
        <w:t>sclerodermával</w:t>
      </w:r>
      <w:proofErr w:type="spellEnd"/>
      <w:r>
        <w:t xml:space="preserve"> vagy veleszületett </w:t>
      </w:r>
      <w:proofErr w:type="spellStart"/>
      <w:r>
        <w:t>cardiopathiával</w:t>
      </w:r>
      <w:proofErr w:type="spellEnd"/>
      <w:r>
        <w:t xml:space="preserve"> társult </w:t>
      </w:r>
      <w:proofErr w:type="spellStart"/>
      <w:r>
        <w:t>pulmonalis</w:t>
      </w:r>
      <w:proofErr w:type="spellEnd"/>
      <w:r>
        <w:t xml:space="preserve"> artériás </w:t>
      </w:r>
      <w:proofErr w:type="spellStart"/>
      <w:r>
        <w:t>hypertoniában</w:t>
      </w:r>
      <w:proofErr w:type="spellEnd"/>
      <w:r>
        <w:t xml:space="preserve"> szenvedtek.</w:t>
      </w:r>
    </w:p>
    <w:p w14:paraId="34FE9929" w14:textId="77777777" w:rsidR="00B00CBD" w:rsidRPr="00B00CBD" w:rsidRDefault="00B00CBD" w:rsidP="00020748">
      <w:pPr>
        <w:rPr>
          <w:szCs w:val="22"/>
          <w:lang w:eastAsia="en-US"/>
        </w:rPr>
      </w:pPr>
    </w:p>
    <w:p w14:paraId="26469216" w14:textId="77777777" w:rsidR="00B00CBD" w:rsidRPr="00B00CBD" w:rsidRDefault="00B00CBD" w:rsidP="00020748">
      <w:pPr>
        <w:rPr>
          <w:szCs w:val="22"/>
        </w:rPr>
      </w:pPr>
      <w:r>
        <w:t xml:space="preserve">Az elsődleges végpontnál megmutatkozó hatás (pl. hat perc sétával megtett távolság változása 12 hetes kezelés után) kisebb volt, mint a </w:t>
      </w:r>
      <w:proofErr w:type="spellStart"/>
      <w:r>
        <w:t>boszentánnal</w:t>
      </w:r>
      <w:proofErr w:type="spellEnd"/>
      <w:r>
        <w:t xml:space="preserve">, </w:t>
      </w:r>
      <w:proofErr w:type="spellStart"/>
      <w:r>
        <w:t>iloproszttal</w:t>
      </w:r>
      <w:proofErr w:type="spellEnd"/>
      <w:r>
        <w:t xml:space="preserve"> és </w:t>
      </w:r>
      <w:proofErr w:type="spellStart"/>
      <w:r>
        <w:t>epoprosztenollal</w:t>
      </w:r>
      <w:proofErr w:type="spellEnd"/>
      <w:r>
        <w:t xml:space="preserve"> korábban végzett vizsgálatoknál.</w:t>
      </w:r>
    </w:p>
    <w:p w14:paraId="7C5F27CF" w14:textId="77777777" w:rsidR="00B00CBD" w:rsidRPr="005D5674" w:rsidRDefault="00B00CBD" w:rsidP="00B00CBD">
      <w:pPr>
        <w:jc w:val="both"/>
        <w:rPr>
          <w:iCs/>
          <w:szCs w:val="22"/>
          <w:lang w:eastAsia="en-US"/>
        </w:rPr>
      </w:pPr>
    </w:p>
    <w:p w14:paraId="69873DE3" w14:textId="77777777" w:rsidR="0032684B" w:rsidRDefault="0032684B" w:rsidP="0032684B">
      <w:pPr>
        <w:jc w:val="both"/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és az </w:t>
      </w:r>
      <w:proofErr w:type="spellStart"/>
      <w:r>
        <w:t>epoprosztenol</w:t>
      </w:r>
      <w:proofErr w:type="spellEnd"/>
      <w:r>
        <w:t xml:space="preserve"> intravénás infúziót közvetlenül összehasonlító vizsgálatot nem végeztek.</w:t>
      </w:r>
    </w:p>
    <w:p w14:paraId="0A264BAB" w14:textId="77777777" w:rsidR="0032684B" w:rsidRDefault="0032684B" w:rsidP="0032684B">
      <w:pPr>
        <w:jc w:val="both"/>
        <w:rPr>
          <w:szCs w:val="22"/>
          <w:lang w:eastAsia="en-US"/>
        </w:rPr>
      </w:pPr>
    </w:p>
    <w:p w14:paraId="7A318D59" w14:textId="0519FDE5" w:rsidR="00B00CBD" w:rsidRPr="00B00CBD" w:rsidRDefault="00B00CBD" w:rsidP="00B00CBD">
      <w:pPr>
        <w:jc w:val="both"/>
        <w:rPr>
          <w:szCs w:val="22"/>
        </w:rPr>
      </w:pPr>
      <w:r>
        <w:t>PAH-ban szenvedő gyermekek esetén nem végeztek külön vizsgálatot.</w:t>
      </w:r>
    </w:p>
    <w:p w14:paraId="5A08924E" w14:textId="77777777" w:rsidR="00B00CBD" w:rsidRPr="005D5674" w:rsidRDefault="00B00CBD" w:rsidP="00B00CBD">
      <w:pPr>
        <w:jc w:val="both"/>
        <w:rPr>
          <w:iCs/>
          <w:szCs w:val="22"/>
          <w:lang w:eastAsia="en-US"/>
        </w:rPr>
      </w:pPr>
    </w:p>
    <w:p w14:paraId="15E1A7A9" w14:textId="67F58275" w:rsidR="00B00CBD" w:rsidRPr="00B00CBD" w:rsidRDefault="00B00CBD" w:rsidP="00B00CBD">
      <w:pPr>
        <w:jc w:val="both"/>
        <w:rPr>
          <w:iCs/>
          <w:szCs w:val="22"/>
        </w:rPr>
      </w:pPr>
      <w:r>
        <w:t>PAH-ban szenvedő betegekkel végzett, aktív hatóanyaggal kontrollált klinikai vizsgálatokból származó adatok nem állnak rendelkezésre.</w:t>
      </w:r>
    </w:p>
    <w:p w14:paraId="140C456A" w14:textId="77777777" w:rsidR="00ED4E41" w:rsidRDefault="00ED4E41" w:rsidP="00B00CBD">
      <w:pPr>
        <w:jc w:val="both"/>
        <w:rPr>
          <w:szCs w:val="22"/>
          <w:u w:val="single"/>
          <w:lang w:eastAsia="en-US"/>
        </w:rPr>
      </w:pPr>
    </w:p>
    <w:p w14:paraId="7C6DA8C6" w14:textId="68148D9F" w:rsidR="00B00CBD" w:rsidRPr="007D3B01" w:rsidRDefault="00B00CBD" w:rsidP="00020748">
      <w:pPr>
        <w:keepNext/>
        <w:rPr>
          <w:b/>
        </w:rPr>
      </w:pPr>
      <w:bookmarkStart w:id="126" w:name="_Toc399649952"/>
      <w:bookmarkStart w:id="127" w:name="_Toc399654884"/>
      <w:bookmarkStart w:id="128" w:name="_Toc399655190"/>
      <w:bookmarkStart w:id="129" w:name="_Toc399729055"/>
      <w:bookmarkStart w:id="130" w:name="_Toc401626177"/>
      <w:bookmarkStart w:id="131" w:name="_Toc401626215"/>
      <w:bookmarkStart w:id="132" w:name="_Toc401626250"/>
      <w:bookmarkStart w:id="133" w:name="_Toc402239813"/>
      <w:bookmarkStart w:id="134" w:name="_Toc417272480"/>
      <w:r>
        <w:rPr>
          <w:b/>
        </w:rPr>
        <w:t>5.2</w:t>
      </w:r>
      <w:r>
        <w:rPr>
          <w:b/>
        </w:rPr>
        <w:tab/>
      </w:r>
      <w:proofErr w:type="spellStart"/>
      <w:r>
        <w:rPr>
          <w:b/>
        </w:rPr>
        <w:t>Farmakokinetikai</w:t>
      </w:r>
      <w:proofErr w:type="spellEnd"/>
      <w:r>
        <w:rPr>
          <w:b/>
        </w:rPr>
        <w:t xml:space="preserve"> tulajdonságok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14:paraId="15F0BD34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4F971E60" w14:textId="5A2422D5" w:rsidR="00B00CBD" w:rsidRPr="00B00CBD" w:rsidRDefault="00B00CBD" w:rsidP="00020748">
      <w:pPr>
        <w:rPr>
          <w:szCs w:val="22"/>
        </w:rPr>
      </w:pPr>
      <w:r>
        <w:t xml:space="preserve">Embereknél a dinamikus egyensúlyi plazmakoncentráció 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subcutan</w:t>
      </w:r>
      <w:proofErr w:type="spellEnd"/>
      <w:r>
        <w:t xml:space="preserve"> vagy intravénás infúziójának elkezdése után általában 15</w:t>
      </w:r>
      <w:r>
        <w:noBreakHyphen/>
        <w:t xml:space="preserve">18 órán belül alakul ki. A </w:t>
      </w:r>
      <w:proofErr w:type="spellStart"/>
      <w:r>
        <w:t>treprosztinil</w:t>
      </w:r>
      <w:proofErr w:type="spellEnd"/>
      <w:r>
        <w:t xml:space="preserve"> dinamikus egyensúlyi plazmakoncentrációja dózisarányos a 2,5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 és legfeljebb 125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közötti infúziós sebességnél. </w:t>
      </w:r>
    </w:p>
    <w:p w14:paraId="73752256" w14:textId="77777777" w:rsidR="00B00CBD" w:rsidRPr="005D5674" w:rsidRDefault="00B00CBD" w:rsidP="00020748">
      <w:pPr>
        <w:rPr>
          <w:szCs w:val="22"/>
          <w:lang w:eastAsia="fr-FR"/>
        </w:rPr>
      </w:pPr>
    </w:p>
    <w:p w14:paraId="6FB338CC" w14:textId="77777777" w:rsidR="00B00CBD" w:rsidRPr="00B00CBD" w:rsidRDefault="00B00CBD" w:rsidP="00020748">
      <w:pPr>
        <w:rPr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subcutan</w:t>
      </w:r>
      <w:proofErr w:type="spellEnd"/>
      <w:r>
        <w:t xml:space="preserve"> és intravénás adagolása dinamikus egyensúlyi állapotban </w:t>
      </w:r>
      <w:proofErr w:type="spellStart"/>
      <w:r>
        <w:t>bioekvivalensnek</w:t>
      </w:r>
      <w:proofErr w:type="spellEnd"/>
      <w:r>
        <w:t xml:space="preserve"> bizonyult a 10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 dózis esetében.</w:t>
      </w:r>
    </w:p>
    <w:p w14:paraId="4996D82E" w14:textId="77777777" w:rsidR="00B00CBD" w:rsidRPr="00B00CBD" w:rsidRDefault="00B00CBD" w:rsidP="00020748">
      <w:pPr>
        <w:rPr>
          <w:szCs w:val="22"/>
          <w:lang w:eastAsia="en-US"/>
        </w:rPr>
      </w:pPr>
    </w:p>
    <w:p w14:paraId="3AF0301B" w14:textId="40137180" w:rsidR="00B00CBD" w:rsidRPr="00B00CBD" w:rsidRDefault="00B00CBD" w:rsidP="00020748">
      <w:pPr>
        <w:rPr>
          <w:szCs w:val="22"/>
        </w:rPr>
      </w:pPr>
      <w:r>
        <w:t xml:space="preserve">A </w:t>
      </w:r>
      <w:proofErr w:type="spellStart"/>
      <w:r>
        <w:t>subcutan</w:t>
      </w:r>
      <w:proofErr w:type="spellEnd"/>
      <w:r>
        <w:t xml:space="preserve"> alkalmazást követő átlagos látszólagos eliminációs felezési idő 6 órás infúzió után 1,32 és 1,42 óra közé esik, legalább 72 órás infúzió után 4,61 óra, legalább három hétig tartó infúzió után pedig 2,93 óra. A </w:t>
      </w:r>
      <w:proofErr w:type="spellStart"/>
      <w:r>
        <w:t>treprosztinil</w:t>
      </w:r>
      <w:proofErr w:type="spellEnd"/>
      <w:r>
        <w:t xml:space="preserve"> átlagos eloszlási térfogata 1,11 l/kg és 1,22 l/kg, a </w:t>
      </w:r>
      <w:proofErr w:type="spellStart"/>
      <w:r>
        <w:t>plazmaclearance</w:t>
      </w:r>
      <w:proofErr w:type="spellEnd"/>
      <w:r>
        <w:t xml:space="preserve"> értéke pedig 586,2 ml/kg/óra és 646,9 ml/kg/óra közé esett. </w:t>
      </w:r>
      <w:r w:rsidR="00F27C61">
        <w:t xml:space="preserve">Elhízott </w:t>
      </w:r>
      <w:r>
        <w:t>betegeknél (a testtömegindex 30 </w:t>
      </w:r>
      <w:proofErr w:type="spellStart"/>
      <w:r>
        <w:t>ttkg</w:t>
      </w:r>
      <w:proofErr w:type="spellEnd"/>
      <w:r>
        <w:t>/m</w:t>
      </w:r>
      <w:r>
        <w:rPr>
          <w:szCs w:val="22"/>
          <w:vertAlign w:val="superscript"/>
        </w:rPr>
        <w:t>2</w:t>
      </w:r>
      <w:r>
        <w:t xml:space="preserve">-nél nagyobb) alacsonyabb a </w:t>
      </w:r>
      <w:proofErr w:type="spellStart"/>
      <w:r>
        <w:t>clearance</w:t>
      </w:r>
      <w:proofErr w:type="spellEnd"/>
      <w:r>
        <w:t>.</w:t>
      </w:r>
    </w:p>
    <w:p w14:paraId="2B725C05" w14:textId="77777777" w:rsidR="00B00CBD" w:rsidRPr="00B00CBD" w:rsidRDefault="00B00CBD" w:rsidP="00020748">
      <w:pPr>
        <w:rPr>
          <w:szCs w:val="22"/>
          <w:lang w:eastAsia="en-US"/>
        </w:rPr>
      </w:pPr>
    </w:p>
    <w:p w14:paraId="5D40E7FB" w14:textId="15E676DA" w:rsidR="00B00CBD" w:rsidRPr="00B00CBD" w:rsidRDefault="00B00CBD" w:rsidP="00020748">
      <w:pPr>
        <w:rPr>
          <w:szCs w:val="22"/>
        </w:rPr>
      </w:pPr>
      <w:r>
        <w:t>Egészséges önkéntesekkel végzett vizsgálatokban [</w:t>
      </w:r>
      <w:r>
        <w:rPr>
          <w:szCs w:val="22"/>
          <w:vertAlign w:val="superscript"/>
        </w:rPr>
        <w:t>14</w:t>
      </w:r>
      <w:r>
        <w:t xml:space="preserve">C] radioaktív </w:t>
      </w:r>
      <w:proofErr w:type="spellStart"/>
      <w:r>
        <w:t>treprosztinilt</w:t>
      </w:r>
      <w:proofErr w:type="spellEnd"/>
      <w:r>
        <w:t xml:space="preserve"> használva a </w:t>
      </w:r>
      <w:proofErr w:type="spellStart"/>
      <w:r>
        <w:t>subcutan</w:t>
      </w:r>
      <w:proofErr w:type="spellEnd"/>
      <w:r>
        <w:t xml:space="preserve"> beadott radioaktív dózis 78,6%-át, illetve 13,4%-át mutatták ki a vizeletben, illetve a székletben, 224 órás időtartam alatt. Fő </w:t>
      </w:r>
      <w:proofErr w:type="spellStart"/>
      <w:r>
        <w:t>metabolit</w:t>
      </w:r>
      <w:proofErr w:type="spellEnd"/>
      <w:r>
        <w:t xml:space="preserve"> nem volt kimutatható. A vizeletben öt </w:t>
      </w:r>
      <w:proofErr w:type="spellStart"/>
      <w:r>
        <w:t>metabolit</w:t>
      </w:r>
      <w:proofErr w:type="spellEnd"/>
      <w:r>
        <w:t xml:space="preserve"> volt kimutatható, a beadott dózis 10,2%-a és 15,5%-a közötti mennyiségben. Ez az öt </w:t>
      </w:r>
      <w:proofErr w:type="spellStart"/>
      <w:r>
        <w:t>metabolit</w:t>
      </w:r>
      <w:proofErr w:type="spellEnd"/>
      <w:r>
        <w:t xml:space="preserve"> összesen 64,4%-</w:t>
      </w:r>
      <w:proofErr w:type="spellStart"/>
      <w:r>
        <w:t>ot</w:t>
      </w:r>
      <w:proofErr w:type="spellEnd"/>
      <w:r>
        <w:t xml:space="preserve"> tett ki. Ezek közül három a 3-hidroxi-oktil oldallánc oxidációs terméke, egy </w:t>
      </w:r>
      <w:proofErr w:type="spellStart"/>
      <w:r>
        <w:t>glükurokonjugált</w:t>
      </w:r>
      <w:proofErr w:type="spellEnd"/>
      <w:r>
        <w:t xml:space="preserve"> származék (</w:t>
      </w:r>
      <w:proofErr w:type="spellStart"/>
      <w:r>
        <w:t>treprosztinil-glükuronid</w:t>
      </w:r>
      <w:proofErr w:type="spellEnd"/>
      <w:r>
        <w:t>), egy pedig azonosítatlan. A gyógyszer változatlan formája a vizeletben csak a dózis 3,7%-</w:t>
      </w:r>
      <w:proofErr w:type="spellStart"/>
      <w:r>
        <w:t>ának</w:t>
      </w:r>
      <w:proofErr w:type="spellEnd"/>
      <w:r>
        <w:t xml:space="preserve"> megfelelő mennyiségben volt kimutatható.</w:t>
      </w:r>
    </w:p>
    <w:p w14:paraId="1E1082EB" w14:textId="77777777" w:rsidR="00B00CBD" w:rsidRPr="00B00CBD" w:rsidRDefault="00B00CBD" w:rsidP="00020748">
      <w:pPr>
        <w:rPr>
          <w:szCs w:val="22"/>
          <w:lang w:eastAsia="en-US"/>
        </w:rPr>
      </w:pPr>
    </w:p>
    <w:p w14:paraId="7A7B3913" w14:textId="456A4D01" w:rsidR="00B00CBD" w:rsidRPr="00B00CBD" w:rsidRDefault="00B00CBD" w:rsidP="00020748">
      <w:pPr>
        <w:rPr>
          <w:szCs w:val="22"/>
        </w:rPr>
      </w:pPr>
      <w:r>
        <w:t xml:space="preserve">Egy hétnapos, tartós </w:t>
      </w:r>
      <w:proofErr w:type="spellStart"/>
      <w:r>
        <w:t>farmakokinetikai</w:t>
      </w:r>
      <w:proofErr w:type="spellEnd"/>
      <w:r>
        <w:t xml:space="preserve"> vizsgálat során – amelyet 14 egészséges önkéntessel végeztek, akik </w:t>
      </w:r>
      <w:proofErr w:type="spellStart"/>
      <w:r>
        <w:t>subcutan</w:t>
      </w:r>
      <w:proofErr w:type="spellEnd"/>
      <w:r>
        <w:t xml:space="preserve"> infúzió formájában 2,5–15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közötti </w:t>
      </w:r>
      <w:proofErr w:type="spellStart"/>
      <w:r>
        <w:t>treprosztinil</w:t>
      </w:r>
      <w:proofErr w:type="spellEnd"/>
      <w:r>
        <w:t xml:space="preserve">-dózist kaptak – a </w:t>
      </w:r>
      <w:proofErr w:type="spellStart"/>
      <w:r>
        <w:t>treprosztinil</w:t>
      </w:r>
      <w:proofErr w:type="spellEnd"/>
      <w:r>
        <w:t xml:space="preserve"> dinamikus egyensúlyi plazmakoncentrációja kétszer érte el a maximumot (éjjel 1 és délelőtt 10 órakor), és kétszer a minimumot (reggel 7 és délután 4 órakor). A maximális koncentrációk körülbelül 20</w:t>
      </w:r>
      <w:r>
        <w:noBreakHyphen/>
        <w:t>30%-kal voltak magasabbak, mint a minimális koncentrációk.</w:t>
      </w:r>
    </w:p>
    <w:p w14:paraId="64498796" w14:textId="77777777" w:rsidR="00B00CBD" w:rsidRPr="00B00CBD" w:rsidRDefault="00B00CBD" w:rsidP="00020748">
      <w:pPr>
        <w:rPr>
          <w:bCs/>
          <w:iCs/>
          <w:color w:val="000000"/>
          <w:szCs w:val="22"/>
          <w:lang w:eastAsia="en-US"/>
        </w:rPr>
      </w:pPr>
    </w:p>
    <w:p w14:paraId="73E35EBB" w14:textId="77777777" w:rsidR="00B00CBD" w:rsidRPr="00B00CBD" w:rsidRDefault="00B00CBD" w:rsidP="00020748">
      <w:pPr>
        <w:rPr>
          <w:color w:val="000000"/>
          <w:szCs w:val="22"/>
        </w:rPr>
      </w:pPr>
      <w:r>
        <w:rPr>
          <w:color w:val="000000"/>
          <w:szCs w:val="22"/>
        </w:rPr>
        <w:t xml:space="preserve">Egy </w:t>
      </w:r>
      <w:r>
        <w:rPr>
          <w:i/>
          <w:color w:val="000000"/>
          <w:szCs w:val="22"/>
        </w:rPr>
        <w:t>in vitro</w:t>
      </w:r>
      <w:r>
        <w:rPr>
          <w:color w:val="000000"/>
          <w:szCs w:val="22"/>
        </w:rPr>
        <w:t xml:space="preserve"> vizsgálat szerint a </w:t>
      </w:r>
      <w:proofErr w:type="spellStart"/>
      <w:r>
        <w:rPr>
          <w:color w:val="000000"/>
          <w:szCs w:val="22"/>
        </w:rPr>
        <w:t>treprosztinil</w:t>
      </w:r>
      <w:proofErr w:type="spellEnd"/>
      <w:r>
        <w:rPr>
          <w:color w:val="000000"/>
          <w:szCs w:val="22"/>
        </w:rPr>
        <w:t xml:space="preserve"> nincs gátló hatással az emberi máj </w:t>
      </w:r>
      <w:proofErr w:type="spellStart"/>
      <w:r>
        <w:rPr>
          <w:color w:val="000000"/>
          <w:szCs w:val="22"/>
        </w:rPr>
        <w:t>microsomalis</w:t>
      </w:r>
      <w:proofErr w:type="spellEnd"/>
      <w:r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citokróm</w:t>
      </w:r>
      <w:proofErr w:type="spellEnd"/>
      <w:r>
        <w:rPr>
          <w:color w:val="000000"/>
          <w:szCs w:val="22"/>
        </w:rPr>
        <w:t xml:space="preserve"> P450 </w:t>
      </w:r>
      <w:proofErr w:type="spellStart"/>
      <w:r>
        <w:rPr>
          <w:color w:val="000000"/>
          <w:szCs w:val="22"/>
        </w:rPr>
        <w:t>izoenzimjeire</w:t>
      </w:r>
      <w:proofErr w:type="spellEnd"/>
      <w:r>
        <w:rPr>
          <w:color w:val="000000"/>
          <w:szCs w:val="22"/>
        </w:rPr>
        <w:t xml:space="preserve"> (CYP1A2, CYP2C9, CYP2C19, CYP2D6, CYP2E1 és CYP3A).</w:t>
      </w:r>
    </w:p>
    <w:p w14:paraId="74B61295" w14:textId="77777777" w:rsidR="00B00CBD" w:rsidRPr="00B00CBD" w:rsidRDefault="00B00CBD" w:rsidP="00020748">
      <w:pPr>
        <w:rPr>
          <w:color w:val="000000"/>
          <w:szCs w:val="22"/>
          <w:lang w:eastAsia="en-US"/>
        </w:rPr>
      </w:pPr>
    </w:p>
    <w:p w14:paraId="07F3D8A4" w14:textId="77777777" w:rsidR="00B00CBD" w:rsidRPr="00B00CBD" w:rsidRDefault="00B00CBD" w:rsidP="00020748">
      <w:pPr>
        <w:rPr>
          <w:b/>
          <w:i/>
          <w:szCs w:val="22"/>
        </w:rPr>
      </w:pPr>
      <w:r>
        <w:rPr>
          <w:color w:val="000000"/>
          <w:szCs w:val="22"/>
        </w:rPr>
        <w:t xml:space="preserve">Továbbá a </w:t>
      </w:r>
      <w:proofErr w:type="spellStart"/>
      <w:r>
        <w:rPr>
          <w:color w:val="000000"/>
          <w:szCs w:val="22"/>
        </w:rPr>
        <w:t>treprosztinil</w:t>
      </w:r>
      <w:proofErr w:type="spellEnd"/>
      <w:r>
        <w:rPr>
          <w:color w:val="000000"/>
          <w:szCs w:val="22"/>
        </w:rPr>
        <w:t xml:space="preserve"> szedése nincs indukáló hatással a máj </w:t>
      </w:r>
      <w:proofErr w:type="spellStart"/>
      <w:r>
        <w:rPr>
          <w:color w:val="000000"/>
          <w:szCs w:val="22"/>
        </w:rPr>
        <w:t>microsomalis</w:t>
      </w:r>
      <w:proofErr w:type="spellEnd"/>
      <w:r>
        <w:rPr>
          <w:color w:val="000000"/>
          <w:szCs w:val="22"/>
        </w:rPr>
        <w:t xml:space="preserve"> fehérjéire, a teljes </w:t>
      </w:r>
      <w:proofErr w:type="spellStart"/>
      <w:r>
        <w:rPr>
          <w:color w:val="000000"/>
          <w:szCs w:val="22"/>
        </w:rPr>
        <w:t>citokróm</w:t>
      </w:r>
      <w:proofErr w:type="spellEnd"/>
      <w:r>
        <w:rPr>
          <w:color w:val="000000"/>
          <w:szCs w:val="22"/>
        </w:rPr>
        <w:t xml:space="preserve"> (CYP) P450 összetételre, illetve a CYP1A, CYP2B és CYP3A </w:t>
      </w:r>
      <w:proofErr w:type="spellStart"/>
      <w:r>
        <w:rPr>
          <w:color w:val="000000"/>
          <w:szCs w:val="22"/>
        </w:rPr>
        <w:t>izoenzimek</w:t>
      </w:r>
      <w:proofErr w:type="spellEnd"/>
      <w:r>
        <w:rPr>
          <w:color w:val="000000"/>
          <w:szCs w:val="22"/>
        </w:rPr>
        <w:t xml:space="preserve"> működésére.</w:t>
      </w:r>
    </w:p>
    <w:p w14:paraId="30CABE75" w14:textId="1A1907F7" w:rsidR="00B00CBD" w:rsidRPr="00B00CBD" w:rsidRDefault="00B00CBD" w:rsidP="00020748">
      <w:pPr>
        <w:rPr>
          <w:szCs w:val="22"/>
        </w:rPr>
      </w:pPr>
      <w:r>
        <w:t xml:space="preserve">Egészséges önkénteseknél </w:t>
      </w:r>
      <w:proofErr w:type="spellStart"/>
      <w:r>
        <w:t>paracetamollal</w:t>
      </w:r>
      <w:proofErr w:type="spellEnd"/>
      <w:r>
        <w:t xml:space="preserve"> (4 g/nap) és </w:t>
      </w:r>
      <w:proofErr w:type="spellStart"/>
      <w:r>
        <w:t>warfarinnal</w:t>
      </w:r>
      <w:proofErr w:type="spellEnd"/>
      <w:r>
        <w:t xml:space="preserve"> (25 mg/nap) végeztek gyógyszerkölcsönhatás-vizsgálatokat. Ezek a vizsgálatok nem mutattak klinikailag szignifikáns hatást a </w:t>
      </w:r>
      <w:proofErr w:type="spellStart"/>
      <w:r>
        <w:t>treprosztinil</w:t>
      </w:r>
      <w:proofErr w:type="spellEnd"/>
      <w:r>
        <w:t xml:space="preserve"> </w:t>
      </w:r>
      <w:proofErr w:type="spellStart"/>
      <w:r>
        <w:t>farmakokinetikájára</w:t>
      </w:r>
      <w:proofErr w:type="spellEnd"/>
      <w:r>
        <w:t xml:space="preserve"> vonatkozóan. </w:t>
      </w:r>
      <w:proofErr w:type="spellStart"/>
      <w:r>
        <w:t>Warfarinnal</w:t>
      </w:r>
      <w:proofErr w:type="spellEnd"/>
      <w:r>
        <w:t xml:space="preserve"> végzett vizsgálat során nem találtak egyértelmű </w:t>
      </w:r>
      <w:proofErr w:type="spellStart"/>
      <w:r>
        <w:t>farmakodinámiás</w:t>
      </w:r>
      <w:proofErr w:type="spellEnd"/>
      <w:r>
        <w:t xml:space="preserve"> vagy </w:t>
      </w:r>
      <w:proofErr w:type="spellStart"/>
      <w:r>
        <w:t>farmakokinetikai</w:t>
      </w:r>
      <w:proofErr w:type="spellEnd"/>
      <w:r>
        <w:t xml:space="preserve"> kölcsönhatást a </w:t>
      </w:r>
      <w:proofErr w:type="spellStart"/>
      <w:r>
        <w:t>treprosztinil</w:t>
      </w:r>
      <w:proofErr w:type="spellEnd"/>
      <w:r>
        <w:t xml:space="preserve"> és a </w:t>
      </w:r>
      <w:proofErr w:type="spellStart"/>
      <w:r>
        <w:t>warfarin</w:t>
      </w:r>
      <w:proofErr w:type="spellEnd"/>
      <w:r>
        <w:t xml:space="preserve"> között.</w:t>
      </w:r>
    </w:p>
    <w:p w14:paraId="6CF94ECA" w14:textId="77777777" w:rsidR="00B00CBD" w:rsidRDefault="00B00CBD" w:rsidP="00375B36">
      <w:pPr>
        <w:autoSpaceDE w:val="0"/>
        <w:autoSpaceDN w:val="0"/>
        <w:adjustRightInd w:val="0"/>
        <w:rPr>
          <w:b/>
          <w:szCs w:val="22"/>
          <w:lang w:val="fr-FR" w:eastAsia="fr-FR"/>
        </w:rPr>
      </w:pPr>
    </w:p>
    <w:p w14:paraId="647CF2E8" w14:textId="77777777" w:rsidR="00114B0B" w:rsidRPr="007C71CF" w:rsidRDefault="00114B0B" w:rsidP="00020748">
      <w:pPr>
        <w:pStyle w:val="Text"/>
        <w:spacing w:befor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treprosztinil</w:t>
      </w:r>
      <w:proofErr w:type="spellEnd"/>
      <w:r>
        <w:rPr>
          <w:sz w:val="22"/>
          <w:szCs w:val="22"/>
        </w:rPr>
        <w:t xml:space="preserve"> metabolizmusában nagyrészt a CYP2C8 vesz részt.</w:t>
      </w:r>
    </w:p>
    <w:p w14:paraId="44C776E1" w14:textId="77777777" w:rsidR="00EA7E06" w:rsidRPr="00114B0B" w:rsidRDefault="00EA7E06" w:rsidP="00375B36">
      <w:pPr>
        <w:autoSpaceDE w:val="0"/>
        <w:autoSpaceDN w:val="0"/>
        <w:adjustRightInd w:val="0"/>
        <w:rPr>
          <w:b/>
          <w:szCs w:val="22"/>
          <w:lang w:val="fr-FR" w:eastAsia="fr-FR"/>
        </w:rPr>
      </w:pPr>
    </w:p>
    <w:p w14:paraId="335095BE" w14:textId="7EF23B43" w:rsidR="00B00CBD" w:rsidRPr="007D3B01" w:rsidRDefault="00B00CBD" w:rsidP="00BF7E15">
      <w:pPr>
        <w:rPr>
          <w:i/>
          <w:u w:val="single"/>
        </w:rPr>
      </w:pPr>
      <w:r>
        <w:rPr>
          <w:i/>
          <w:u w:val="single"/>
        </w:rPr>
        <w:t xml:space="preserve">Különleges betegcsoportok </w:t>
      </w:r>
    </w:p>
    <w:p w14:paraId="358D6554" w14:textId="77777777" w:rsidR="00B00CBD" w:rsidRPr="00B00CBD" w:rsidRDefault="00B00CBD">
      <w:pPr>
        <w:rPr>
          <w:lang w:val="fr-FR" w:eastAsia="fr-FR"/>
        </w:rPr>
      </w:pPr>
    </w:p>
    <w:p w14:paraId="0C75100D" w14:textId="1748A9DD" w:rsidR="00B00CBD" w:rsidRPr="00B00CBD" w:rsidRDefault="00B00CBD">
      <w:pPr>
        <w:autoSpaceDE w:val="0"/>
        <w:autoSpaceDN w:val="0"/>
        <w:adjustRightInd w:val="0"/>
        <w:rPr>
          <w:szCs w:val="22"/>
          <w:u w:val="single"/>
        </w:rPr>
      </w:pPr>
      <w:r>
        <w:rPr>
          <w:szCs w:val="22"/>
          <w:u w:val="single"/>
        </w:rPr>
        <w:t xml:space="preserve">Károsodott májfunkció: </w:t>
      </w:r>
    </w:p>
    <w:p w14:paraId="3FC75F95" w14:textId="44F624ED" w:rsidR="00B00CBD" w:rsidRDefault="00B00CBD" w:rsidP="00375B36">
      <w:pPr>
        <w:rPr>
          <w:szCs w:val="22"/>
        </w:rPr>
      </w:pPr>
      <w:proofErr w:type="spellStart"/>
      <w:r>
        <w:t>Portopulmonalis</w:t>
      </w:r>
      <w:proofErr w:type="spellEnd"/>
      <w:r>
        <w:t xml:space="preserve"> artériás </w:t>
      </w:r>
      <w:proofErr w:type="spellStart"/>
      <w:r>
        <w:t>hypertonia</w:t>
      </w:r>
      <w:proofErr w:type="spellEnd"/>
      <w:r>
        <w:t xml:space="preserve"> és enyhe (n= 4) vagy közepesen súlyos (n= 5) májelégtelenségben szenvedő betegeknél a 150 percen keresztül 10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 dózisban, </w:t>
      </w:r>
      <w:proofErr w:type="spellStart"/>
      <w:r>
        <w:t>subcutan</w:t>
      </w:r>
      <w:proofErr w:type="spellEnd"/>
      <w:r>
        <w:t xml:space="preserve"> módon adagolt </w:t>
      </w:r>
      <w:proofErr w:type="spellStart"/>
      <w:r>
        <w:t>treprosztinil</w:t>
      </w:r>
      <w:proofErr w:type="spellEnd"/>
      <w:r>
        <w:t xml:space="preserve"> hatására az AUC</w:t>
      </w:r>
      <w:r>
        <w:rPr>
          <w:szCs w:val="22"/>
          <w:vertAlign w:val="subscript"/>
        </w:rPr>
        <w:t>0-</w:t>
      </w:r>
      <w:r>
        <w:rPr>
          <w:bCs/>
          <w:iCs/>
          <w:szCs w:val="22"/>
          <w:vertAlign w:val="subscript"/>
        </w:rPr>
        <w:t>2</w:t>
      </w:r>
      <w:r>
        <w:rPr>
          <w:szCs w:val="22"/>
          <w:vertAlign w:val="subscript"/>
        </w:rPr>
        <w:t>4 </w:t>
      </w:r>
      <w:proofErr w:type="spellStart"/>
      <w:r>
        <w:rPr>
          <w:szCs w:val="22"/>
          <w:vertAlign w:val="subscript"/>
        </w:rPr>
        <w:t>h</w:t>
      </w:r>
      <w:r>
        <w:t>érték</w:t>
      </w:r>
      <w:proofErr w:type="spellEnd"/>
      <w:r>
        <w:t xml:space="preserve"> 260%-os, illetve 510%-os emelkedést mutatott az egészséges alanyokhoz képest. A májelégtelenségben szenvedő betegek esetében a </w:t>
      </w:r>
      <w:proofErr w:type="spellStart"/>
      <w:r>
        <w:t>clearance</w:t>
      </w:r>
      <w:proofErr w:type="spellEnd"/>
      <w:r>
        <w:t xml:space="preserve"> értékének maximális csökkenése 80% volt az egészséges felnőttekhez viszonyítva (lásd 4.2 pont).</w:t>
      </w:r>
      <w:bookmarkStart w:id="135" w:name="_Toc399649953"/>
      <w:bookmarkStart w:id="136" w:name="_Toc399654885"/>
      <w:bookmarkStart w:id="137" w:name="_Toc399655191"/>
      <w:bookmarkStart w:id="138" w:name="_Toc399729056"/>
      <w:bookmarkStart w:id="139" w:name="_Toc401626178"/>
      <w:bookmarkStart w:id="140" w:name="_Toc401626216"/>
      <w:bookmarkStart w:id="141" w:name="_Toc401626251"/>
      <w:bookmarkStart w:id="142" w:name="_Toc402239814"/>
      <w:bookmarkStart w:id="143" w:name="_Toc417272481"/>
    </w:p>
    <w:p w14:paraId="2BAEA15B" w14:textId="7AD7E8C4" w:rsidR="000F26B4" w:rsidRDefault="000F26B4" w:rsidP="00375B36">
      <w:pPr>
        <w:rPr>
          <w:szCs w:val="22"/>
        </w:rPr>
      </w:pPr>
    </w:p>
    <w:p w14:paraId="3F2945E8" w14:textId="77777777" w:rsidR="000F26B4" w:rsidRDefault="000F26B4" w:rsidP="000F26B4">
      <w:pPr>
        <w:rPr>
          <w:szCs w:val="22"/>
        </w:rPr>
      </w:pPr>
      <w:bookmarkStart w:id="144" w:name="_Hlk93328198"/>
      <w:r w:rsidRPr="00730516">
        <w:rPr>
          <w:szCs w:val="22"/>
          <w:u w:val="single"/>
        </w:rPr>
        <w:t>Vesekárosodás:</w:t>
      </w:r>
      <w:r w:rsidRPr="00730516">
        <w:rPr>
          <w:szCs w:val="22"/>
        </w:rPr>
        <w:br/>
        <w:t xml:space="preserve">Dialízist igénylő súlyos vesekárosodásban szenvedő betegeknél (n =8), a pre- és post-dialízis során, szájon át alkalmazott </w:t>
      </w:r>
      <w:proofErr w:type="spellStart"/>
      <w:r w:rsidRPr="00730516">
        <w:rPr>
          <w:szCs w:val="22"/>
        </w:rPr>
        <w:t>treprosztinil</w:t>
      </w:r>
      <w:proofErr w:type="spellEnd"/>
      <w:r w:rsidRPr="00730516">
        <w:rPr>
          <w:szCs w:val="22"/>
        </w:rPr>
        <w:t xml:space="preserve"> egyszeri, 1 mg-</w:t>
      </w:r>
      <w:proofErr w:type="spellStart"/>
      <w:r w:rsidRPr="00730516">
        <w:rPr>
          <w:szCs w:val="22"/>
        </w:rPr>
        <w:t>os</w:t>
      </w:r>
      <w:proofErr w:type="spellEnd"/>
      <w:r w:rsidRPr="00730516">
        <w:rPr>
          <w:szCs w:val="22"/>
        </w:rPr>
        <w:t xml:space="preserve"> adagja nem változtatta meg szignifikánsan az AUC</w:t>
      </w:r>
      <w:r w:rsidRPr="00730516">
        <w:rPr>
          <w:szCs w:val="22"/>
          <w:vertAlign w:val="subscript"/>
        </w:rPr>
        <w:t>0</w:t>
      </w:r>
      <w:r w:rsidRPr="00730516">
        <w:rPr>
          <w:szCs w:val="22"/>
          <w:vertAlign w:val="subscript"/>
        </w:rPr>
        <w:noBreakHyphen/>
        <w:t>inf</w:t>
      </w:r>
      <w:r w:rsidRPr="00730516">
        <w:rPr>
          <w:szCs w:val="22"/>
        </w:rPr>
        <w:noBreakHyphen/>
        <w:t>értéket az egészséges alanyokhoz képest.</w:t>
      </w:r>
    </w:p>
    <w:bookmarkEnd w:id="144"/>
    <w:p w14:paraId="4809AAB4" w14:textId="77777777" w:rsidR="000F26B4" w:rsidRDefault="000F26B4" w:rsidP="00375B36"/>
    <w:p w14:paraId="5EAA9B8A" w14:textId="7789FBCD" w:rsidR="00B00CBD" w:rsidRPr="007D3B01" w:rsidRDefault="00B00CBD" w:rsidP="00375B36">
      <w:pPr>
        <w:rPr>
          <w:b/>
        </w:rPr>
      </w:pPr>
      <w:r>
        <w:rPr>
          <w:b/>
        </w:rPr>
        <w:t>5.3</w:t>
      </w:r>
      <w:r>
        <w:rPr>
          <w:b/>
        </w:rPr>
        <w:tab/>
        <w:t>Preklinikai biztonságossági adatok</w:t>
      </w:r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</w:p>
    <w:p w14:paraId="521DE7C1" w14:textId="77777777" w:rsidR="00B00CBD" w:rsidRPr="005D5674" w:rsidRDefault="00B00CBD" w:rsidP="00020748">
      <w:pPr>
        <w:rPr>
          <w:bCs/>
          <w:szCs w:val="22"/>
          <w:lang w:eastAsia="fr-FR"/>
        </w:rPr>
      </w:pPr>
    </w:p>
    <w:p w14:paraId="6050C329" w14:textId="7EC1013C" w:rsidR="00B00CBD" w:rsidRPr="00B00CBD" w:rsidRDefault="00B00CBD" w:rsidP="00020748">
      <w:pPr>
        <w:rPr>
          <w:szCs w:val="22"/>
        </w:rPr>
      </w:pPr>
      <w:r>
        <w:t xml:space="preserve">A 13 és 26 hetes vizsgálatok során folyamatos </w:t>
      </w:r>
      <w:proofErr w:type="spellStart"/>
      <w:r>
        <w:t>subcutan</w:t>
      </w:r>
      <w:proofErr w:type="spellEnd"/>
      <w:r>
        <w:t xml:space="preserve"> infúzió formájában beadott </w:t>
      </w:r>
      <w:proofErr w:type="spellStart"/>
      <w:r>
        <w:t>treprosztinil</w:t>
      </w:r>
      <w:proofErr w:type="spellEnd"/>
      <w:r>
        <w:t>-nátrium az infúzió beadásának helyén fellépő reakciókat váltott ki patkányoknál és kutyáknál (</w:t>
      </w:r>
      <w:proofErr w:type="spellStart"/>
      <w:r>
        <w:t>oedema</w:t>
      </w:r>
      <w:proofErr w:type="spellEnd"/>
      <w:r>
        <w:t xml:space="preserve">/bőrpír, </w:t>
      </w:r>
      <w:proofErr w:type="spellStart"/>
      <w:r>
        <w:t>terimék</w:t>
      </w:r>
      <w:proofErr w:type="spellEnd"/>
      <w:r>
        <w:t>/duzzanatok, fájdalom / érintésre való érzékenység). A kutyáknál ≥ 300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>/perc dózis esetében súlyos klinikai hatásokat (</w:t>
      </w:r>
      <w:proofErr w:type="spellStart"/>
      <w:r>
        <w:t>hipoaktivitás</w:t>
      </w:r>
      <w:proofErr w:type="spellEnd"/>
      <w:r>
        <w:t xml:space="preserve">, hányás, híg széklet, valamint </w:t>
      </w:r>
      <w:proofErr w:type="spellStart"/>
      <w:r>
        <w:t>oedema</w:t>
      </w:r>
      <w:proofErr w:type="spellEnd"/>
      <w:r>
        <w:t xml:space="preserve"> az infúzió beadásának helyén), illetve (</w:t>
      </w:r>
      <w:proofErr w:type="spellStart"/>
      <w:r>
        <w:t>intussusceptióval</w:t>
      </w:r>
      <w:proofErr w:type="spellEnd"/>
      <w:r>
        <w:t xml:space="preserve"> és </w:t>
      </w:r>
      <w:proofErr w:type="spellStart"/>
      <w:r>
        <w:t>rectalis</w:t>
      </w:r>
      <w:proofErr w:type="spellEnd"/>
      <w:r>
        <w:t xml:space="preserve"> </w:t>
      </w:r>
      <w:proofErr w:type="spellStart"/>
      <w:r>
        <w:t>prolapsussal</w:t>
      </w:r>
      <w:proofErr w:type="spellEnd"/>
      <w:r>
        <w:t xml:space="preserve"> összefüggésben álló) halál bekövetkezését figyelték meg. Ezeknél az állatoknál a </w:t>
      </w:r>
      <w:proofErr w:type="spellStart"/>
      <w:r>
        <w:t>treprosztinil</w:t>
      </w:r>
      <w:proofErr w:type="spellEnd"/>
      <w:r>
        <w:t xml:space="preserve"> átlagos dinamikus egyensúlyi plazmakoncentráció szintjét 7,85 </w:t>
      </w:r>
      <w:proofErr w:type="spellStart"/>
      <w:r>
        <w:t>ng</w:t>
      </w:r>
      <w:proofErr w:type="spellEnd"/>
      <w:r>
        <w:t>/ml-</w:t>
      </w:r>
      <w:proofErr w:type="spellStart"/>
      <w:r>
        <w:t>nek</w:t>
      </w:r>
      <w:proofErr w:type="spellEnd"/>
      <w:r>
        <w:t xml:space="preserve"> mérték. Embereknél is ugyanilyen nagyságrendű plazmakoncentráció mérhető az 50 </w:t>
      </w:r>
      <w:proofErr w:type="spellStart"/>
      <w:r>
        <w:t>ng</w:t>
      </w:r>
      <w:proofErr w:type="spellEnd"/>
      <w:r>
        <w:t>/</w:t>
      </w:r>
      <w:proofErr w:type="spellStart"/>
      <w:r>
        <w:t>ttkg</w:t>
      </w:r>
      <w:proofErr w:type="spellEnd"/>
      <w:r>
        <w:t xml:space="preserve">/percnél nagyobb dózisú </w:t>
      </w:r>
      <w:proofErr w:type="spellStart"/>
      <w:r>
        <w:t>treprosztinil</w:t>
      </w:r>
      <w:proofErr w:type="spellEnd"/>
      <w:r>
        <w:t xml:space="preserve"> infúzióval történő kezelése után.</w:t>
      </w:r>
    </w:p>
    <w:p w14:paraId="155BD2E4" w14:textId="77777777" w:rsidR="00B00CBD" w:rsidRPr="005D5674" w:rsidRDefault="00B00CBD" w:rsidP="00020748">
      <w:pPr>
        <w:rPr>
          <w:bCs/>
          <w:szCs w:val="22"/>
          <w:lang w:eastAsia="fr-FR"/>
        </w:rPr>
      </w:pPr>
    </w:p>
    <w:p w14:paraId="7EB623E1" w14:textId="77777777" w:rsidR="00B00CBD" w:rsidRPr="00B00CBD" w:rsidRDefault="00B00CBD" w:rsidP="00020748">
      <w:pPr>
        <w:rPr>
          <w:szCs w:val="22"/>
        </w:rPr>
      </w:pPr>
      <w:r>
        <w:t xml:space="preserve">Mivel a különböző dózisokkal, patkányokon végzett reprodukciós vizsgálatok egyikében sem voltak az alanyok bizonyíthatóan folyamatosan, megfelelő mértékben kitéve a </w:t>
      </w:r>
      <w:proofErr w:type="spellStart"/>
      <w:r>
        <w:t>treprosztinil</w:t>
      </w:r>
      <w:proofErr w:type="spellEnd"/>
      <w:r>
        <w:t xml:space="preserve"> hatásának, ezért ezek a vizsgálatok nem szolgáltatnak elegendő mennyiségű információt a szer termékenységre és a születés előtti, illetve utáni fejlődésre gyakorolt hatásáról.</w:t>
      </w:r>
    </w:p>
    <w:p w14:paraId="2C8B71A4" w14:textId="77777777" w:rsidR="00B00CBD" w:rsidRPr="005D5674" w:rsidRDefault="00B00CBD" w:rsidP="00020748">
      <w:pPr>
        <w:rPr>
          <w:bCs/>
          <w:szCs w:val="22"/>
          <w:lang w:eastAsia="fr-FR"/>
        </w:rPr>
      </w:pPr>
    </w:p>
    <w:p w14:paraId="7C9360A3" w14:textId="4D535816" w:rsidR="00B00CBD" w:rsidRPr="00B00CBD" w:rsidRDefault="00B00CBD" w:rsidP="00020748">
      <w:pPr>
        <w:rPr>
          <w:bCs/>
          <w:szCs w:val="22"/>
        </w:rPr>
      </w:pPr>
      <w:r>
        <w:t xml:space="preserve">A </w:t>
      </w:r>
      <w:proofErr w:type="spellStart"/>
      <w:r>
        <w:t>treprosztinil</w:t>
      </w:r>
      <w:proofErr w:type="spellEnd"/>
      <w:r>
        <w:t xml:space="preserve"> lehetséges </w:t>
      </w:r>
      <w:proofErr w:type="spellStart"/>
      <w:r>
        <w:t>karcinogenitásának</w:t>
      </w:r>
      <w:proofErr w:type="spellEnd"/>
      <w:r>
        <w:t xml:space="preserve"> vizsgálatára nem végeztek hosszú távú állatkísérleteket. Az </w:t>
      </w:r>
      <w:r>
        <w:rPr>
          <w:bCs/>
          <w:i/>
          <w:szCs w:val="22"/>
        </w:rPr>
        <w:t>in vitro</w:t>
      </w:r>
      <w:r>
        <w:t xml:space="preserve"> és </w:t>
      </w:r>
      <w:r>
        <w:rPr>
          <w:bCs/>
          <w:i/>
          <w:szCs w:val="22"/>
        </w:rPr>
        <w:t>in vivo</w:t>
      </w:r>
      <w:r>
        <w:t xml:space="preserve"> </w:t>
      </w:r>
      <w:proofErr w:type="spellStart"/>
      <w:r>
        <w:t>genotoxicitási</w:t>
      </w:r>
      <w:proofErr w:type="spellEnd"/>
      <w:r>
        <w:t xml:space="preserve"> vizsgálatok alapján a </w:t>
      </w:r>
      <w:proofErr w:type="spellStart"/>
      <w:r>
        <w:t>treprosztinilnek</w:t>
      </w:r>
      <w:proofErr w:type="spellEnd"/>
      <w:r>
        <w:t xml:space="preserve"> semmilyen mutagén vagy </w:t>
      </w:r>
      <w:proofErr w:type="spellStart"/>
      <w:r>
        <w:t>klasztogén</w:t>
      </w:r>
      <w:proofErr w:type="spellEnd"/>
      <w:r>
        <w:t xml:space="preserve"> hatása nincs.</w:t>
      </w:r>
    </w:p>
    <w:p w14:paraId="3CEF5908" w14:textId="77777777" w:rsidR="00B00CBD" w:rsidRPr="00B00CBD" w:rsidRDefault="00B00CBD" w:rsidP="00020748">
      <w:pPr>
        <w:rPr>
          <w:bCs/>
          <w:szCs w:val="22"/>
          <w:lang w:eastAsia="en-US"/>
        </w:rPr>
      </w:pPr>
    </w:p>
    <w:p w14:paraId="45375FA6" w14:textId="77777777" w:rsidR="00B00CBD" w:rsidRPr="00B00CBD" w:rsidRDefault="00B00CBD" w:rsidP="00020748">
      <w:pPr>
        <w:rPr>
          <w:strike/>
          <w:szCs w:val="22"/>
        </w:rPr>
      </w:pPr>
      <w:r>
        <w:t xml:space="preserve">Összefoglalva, a hagyományos – farmakológiai biztonságossági, ismételt </w:t>
      </w:r>
      <w:proofErr w:type="spellStart"/>
      <w:r>
        <w:t>adagolású</w:t>
      </w:r>
      <w:proofErr w:type="spellEnd"/>
      <w:r>
        <w:t xml:space="preserve"> dózistoxicitási, </w:t>
      </w:r>
      <w:proofErr w:type="spellStart"/>
      <w:r>
        <w:t>genotoxicitási</w:t>
      </w:r>
      <w:proofErr w:type="spellEnd"/>
      <w:r>
        <w:t xml:space="preserve"> és reprodukcióra kifejtett toxicitási – vizsgálatokból származó nem-klinikai jellegű adatok azt igazolták, hogy a készítmény alkalmazásakor humán vonatkozásban különleges kockázat nem várható.</w:t>
      </w:r>
      <w:r>
        <w:rPr>
          <w:b/>
          <w:i/>
          <w:szCs w:val="22"/>
        </w:rPr>
        <w:t xml:space="preserve"> </w:t>
      </w:r>
    </w:p>
    <w:p w14:paraId="786A9A37" w14:textId="77777777" w:rsidR="00B05960" w:rsidRDefault="00B05960" w:rsidP="00EA7E06">
      <w:bookmarkStart w:id="145" w:name="_Toc399649954"/>
      <w:bookmarkStart w:id="146" w:name="_Toc399654886"/>
      <w:bookmarkStart w:id="147" w:name="_Toc399655192"/>
      <w:bookmarkStart w:id="148" w:name="_Toc399729057"/>
      <w:bookmarkStart w:id="149" w:name="_Toc401626179"/>
      <w:bookmarkStart w:id="150" w:name="_Toc401626217"/>
      <w:bookmarkStart w:id="151" w:name="_Toc401626252"/>
      <w:bookmarkStart w:id="152" w:name="_Toc402239815"/>
      <w:bookmarkStart w:id="153" w:name="_Toc417272482"/>
    </w:p>
    <w:p w14:paraId="2D302A47" w14:textId="77777777" w:rsidR="00ED4E41" w:rsidRPr="00B00CBD" w:rsidRDefault="00ED4E41" w:rsidP="00EA7E06">
      <w:pPr>
        <w:rPr>
          <w:lang w:eastAsia="en-US"/>
        </w:rPr>
      </w:pPr>
    </w:p>
    <w:p w14:paraId="1CB396BB" w14:textId="77777777" w:rsidR="00B00CBD" w:rsidRPr="007D3B01" w:rsidRDefault="00B00CBD" w:rsidP="007D3B01">
      <w:pPr>
        <w:rPr>
          <w:b/>
        </w:rPr>
      </w:pPr>
      <w:r>
        <w:rPr>
          <w:b/>
        </w:rPr>
        <w:t>6.</w:t>
      </w:r>
      <w:r>
        <w:rPr>
          <w:b/>
        </w:rPr>
        <w:tab/>
        <w:t>GYÓGYSZERÉSZETI JELLEMZŐK</w:t>
      </w:r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</w:p>
    <w:p w14:paraId="30AA462C" w14:textId="77777777" w:rsidR="00B00CBD" w:rsidRPr="00B00CBD" w:rsidRDefault="00B00CBD" w:rsidP="00EA7E06">
      <w:bookmarkStart w:id="154" w:name="_Toc399649955"/>
      <w:bookmarkStart w:id="155" w:name="_Toc399654887"/>
      <w:bookmarkStart w:id="156" w:name="_Toc399655193"/>
      <w:bookmarkStart w:id="157" w:name="_Toc399729058"/>
      <w:bookmarkStart w:id="158" w:name="_Toc401626180"/>
      <w:bookmarkStart w:id="159" w:name="_Toc401626218"/>
      <w:bookmarkStart w:id="160" w:name="_Toc401626253"/>
      <w:bookmarkStart w:id="161" w:name="_Toc402239816"/>
      <w:bookmarkStart w:id="162" w:name="_Toc417272483"/>
    </w:p>
    <w:p w14:paraId="0F52CF58" w14:textId="028823CD" w:rsidR="00B00CBD" w:rsidRPr="007D3B01" w:rsidRDefault="00B00CBD" w:rsidP="007D3B01">
      <w:pPr>
        <w:rPr>
          <w:b/>
        </w:rPr>
      </w:pPr>
      <w:r>
        <w:rPr>
          <w:b/>
        </w:rPr>
        <w:t>6.1</w:t>
      </w:r>
      <w:r>
        <w:rPr>
          <w:b/>
        </w:rPr>
        <w:tab/>
        <w:t>Segédanyagok felsorolása</w:t>
      </w:r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</w:p>
    <w:p w14:paraId="76E90FC6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660F1098" w14:textId="77777777" w:rsidR="00B00CBD" w:rsidRPr="00B00CBD" w:rsidRDefault="00B00CBD" w:rsidP="00B00CBD">
      <w:pPr>
        <w:jc w:val="both"/>
        <w:rPr>
          <w:szCs w:val="22"/>
        </w:rPr>
      </w:pPr>
      <w:r>
        <w:t>Nátrium-</w:t>
      </w:r>
      <w:proofErr w:type="spellStart"/>
      <w:r>
        <w:t>citrát</w:t>
      </w:r>
      <w:proofErr w:type="spellEnd"/>
    </w:p>
    <w:p w14:paraId="6AFC862F" w14:textId="77777777" w:rsidR="00B00CBD" w:rsidRPr="00B00CBD" w:rsidRDefault="00B00CBD" w:rsidP="00B00CBD">
      <w:pPr>
        <w:jc w:val="both"/>
        <w:rPr>
          <w:szCs w:val="22"/>
        </w:rPr>
      </w:pPr>
      <w:r>
        <w:t>Koncentrált sósav (a pH beállításához)</w:t>
      </w:r>
    </w:p>
    <w:p w14:paraId="74B4B9A6" w14:textId="77777777" w:rsidR="00B00CBD" w:rsidRPr="00B00CBD" w:rsidRDefault="00B00CBD" w:rsidP="00B00CBD">
      <w:pPr>
        <w:jc w:val="both"/>
        <w:rPr>
          <w:szCs w:val="22"/>
        </w:rPr>
      </w:pPr>
      <w:proofErr w:type="spellStart"/>
      <w:r>
        <w:t>Metakrezol</w:t>
      </w:r>
      <w:proofErr w:type="spellEnd"/>
    </w:p>
    <w:p w14:paraId="544309D1" w14:textId="77777777" w:rsidR="00B00CBD" w:rsidRPr="00B00CBD" w:rsidRDefault="00B00CBD" w:rsidP="00B00CBD">
      <w:pPr>
        <w:jc w:val="both"/>
        <w:rPr>
          <w:szCs w:val="22"/>
        </w:rPr>
      </w:pPr>
      <w:r>
        <w:t>Nátrium-hidroxid</w:t>
      </w:r>
    </w:p>
    <w:p w14:paraId="2ADC8226" w14:textId="77777777" w:rsidR="00B00CBD" w:rsidRPr="00B00CBD" w:rsidRDefault="00B00CBD" w:rsidP="00B00CBD">
      <w:pPr>
        <w:jc w:val="both"/>
        <w:rPr>
          <w:szCs w:val="22"/>
        </w:rPr>
      </w:pPr>
      <w:r>
        <w:t>Nátrium-klorid</w:t>
      </w:r>
    </w:p>
    <w:p w14:paraId="6879C2DF" w14:textId="77777777" w:rsidR="00B00CBD" w:rsidRPr="00B00CBD" w:rsidRDefault="00B00CBD" w:rsidP="00B00CBD">
      <w:pPr>
        <w:jc w:val="both"/>
        <w:rPr>
          <w:szCs w:val="22"/>
        </w:rPr>
      </w:pPr>
      <w:r>
        <w:t>Injekcióhoz való víz</w:t>
      </w:r>
    </w:p>
    <w:p w14:paraId="2235C167" w14:textId="77777777" w:rsidR="00B00CBD" w:rsidRDefault="00B00CBD" w:rsidP="00FE13EB">
      <w:bookmarkStart w:id="163" w:name="_Toc399649956"/>
      <w:bookmarkStart w:id="164" w:name="_Toc399654888"/>
      <w:bookmarkStart w:id="165" w:name="_Toc399655194"/>
      <w:bookmarkStart w:id="166" w:name="_Toc399729059"/>
      <w:bookmarkStart w:id="167" w:name="_Toc401626181"/>
      <w:bookmarkStart w:id="168" w:name="_Toc401626219"/>
      <w:bookmarkStart w:id="169" w:name="_Toc401626254"/>
      <w:bookmarkStart w:id="170" w:name="_Toc402239817"/>
      <w:bookmarkStart w:id="171" w:name="_Toc417272484"/>
    </w:p>
    <w:p w14:paraId="5EFBD8E1" w14:textId="36FDBCEA" w:rsidR="00B00CBD" w:rsidRPr="007D3B01" w:rsidRDefault="00B00CBD" w:rsidP="007D3B01">
      <w:pPr>
        <w:rPr>
          <w:b/>
        </w:rPr>
      </w:pPr>
      <w:r>
        <w:rPr>
          <w:b/>
        </w:rPr>
        <w:t>6.2</w:t>
      </w:r>
      <w:r>
        <w:rPr>
          <w:b/>
        </w:rPr>
        <w:tab/>
        <w:t>Inkompatibilitások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</w:p>
    <w:p w14:paraId="7EBC1B55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7B73EE71" w14:textId="631407CD" w:rsidR="000F26B4" w:rsidRPr="00730516" w:rsidRDefault="000F26B4" w:rsidP="000F26B4">
      <w:pPr>
        <w:pStyle w:val="Text"/>
        <w:spacing w:before="0"/>
        <w:contextualSpacing/>
        <w:jc w:val="left"/>
        <w:rPr>
          <w:sz w:val="22"/>
          <w:szCs w:val="22"/>
        </w:rPr>
      </w:pPr>
      <w:bookmarkStart w:id="172" w:name="_Hlk93328221"/>
      <w:bookmarkStart w:id="173" w:name="_Hlk93331989"/>
      <w:r w:rsidRPr="00730516">
        <w:rPr>
          <w:sz w:val="22"/>
          <w:szCs w:val="22"/>
        </w:rPr>
        <w:t>Kompatibilitási vizsgálatok hiányában ez a gyógyszer nem keverhető más gyógyszerekkel, kivéve steril, injekcióhoz való vízzel vagy 0,9%-os (</w:t>
      </w:r>
      <w:r w:rsidR="000D29B5">
        <w:rPr>
          <w:sz w:val="22"/>
          <w:szCs w:val="22"/>
        </w:rPr>
        <w:t>tömeg</w:t>
      </w:r>
      <w:r w:rsidRPr="00730516">
        <w:rPr>
          <w:sz w:val="22"/>
          <w:szCs w:val="22"/>
        </w:rPr>
        <w:t>/térfogat) nátrium</w:t>
      </w:r>
      <w:r w:rsidRPr="00730516">
        <w:rPr>
          <w:sz w:val="22"/>
          <w:szCs w:val="22"/>
        </w:rPr>
        <w:noBreakHyphen/>
        <w:t>klorid injekcióval (lásd 6.6 pont).</w:t>
      </w:r>
    </w:p>
    <w:p w14:paraId="14C28D0A" w14:textId="77777777" w:rsidR="00435BCF" w:rsidRPr="00B00CBD" w:rsidRDefault="00435BCF" w:rsidP="00FE13EB">
      <w:bookmarkStart w:id="174" w:name="_Toc399649957"/>
      <w:bookmarkStart w:id="175" w:name="_Toc399654889"/>
      <w:bookmarkStart w:id="176" w:name="_Toc399655195"/>
      <w:bookmarkStart w:id="177" w:name="_Toc399729060"/>
      <w:bookmarkStart w:id="178" w:name="_Toc401626182"/>
      <w:bookmarkStart w:id="179" w:name="_Toc401626220"/>
      <w:bookmarkStart w:id="180" w:name="_Toc401626255"/>
      <w:bookmarkStart w:id="181" w:name="_Toc402239818"/>
      <w:bookmarkStart w:id="182" w:name="_Toc417272485"/>
      <w:bookmarkEnd w:id="172"/>
    </w:p>
    <w:p w14:paraId="20BD39C3" w14:textId="30541B54" w:rsidR="00B00CBD" w:rsidRPr="007D3B01" w:rsidRDefault="00B00CBD" w:rsidP="007D3B01">
      <w:pPr>
        <w:rPr>
          <w:b/>
        </w:rPr>
      </w:pPr>
      <w:r>
        <w:rPr>
          <w:b/>
        </w:rPr>
        <w:t>6.3</w:t>
      </w:r>
      <w:r>
        <w:rPr>
          <w:b/>
        </w:rPr>
        <w:tab/>
        <w:t>Felhasználhatósági időtartam</w:t>
      </w:r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</w:p>
    <w:bookmarkEnd w:id="173"/>
    <w:p w14:paraId="165DB94C" w14:textId="77777777" w:rsidR="00B00CBD" w:rsidRPr="00B00CBD" w:rsidRDefault="00B00CBD" w:rsidP="00EA7E06">
      <w:pPr>
        <w:rPr>
          <w:lang w:eastAsia="en-US"/>
        </w:rPr>
      </w:pPr>
    </w:p>
    <w:p w14:paraId="249A48B7" w14:textId="1DF5BDF2" w:rsidR="00B00CBD" w:rsidRPr="00EA7E06" w:rsidRDefault="00B00CBD" w:rsidP="00EA7E06">
      <w:pPr>
        <w:jc w:val="both"/>
        <w:rPr>
          <w:szCs w:val="22"/>
        </w:rPr>
      </w:pPr>
      <w:r>
        <w:t>A gyógyszer felhasználhatósági időtartama eredeti csomagolásban: 3 év</w:t>
      </w:r>
    </w:p>
    <w:p w14:paraId="18719A07" w14:textId="57C99CA7" w:rsidR="00B00CBD" w:rsidRPr="000A3F33" w:rsidRDefault="00B00CBD" w:rsidP="005D5674">
      <w:r>
        <w:t>Az injekciós üveg első felbontástól számított felhasználhatósági időtartama: 30 nap 30 °C-</w:t>
      </w:r>
      <w:proofErr w:type="spellStart"/>
      <w:r>
        <w:t>on</w:t>
      </w:r>
      <w:proofErr w:type="spellEnd"/>
      <w:r>
        <w:t>.</w:t>
      </w:r>
    </w:p>
    <w:p w14:paraId="592EBCA8" w14:textId="77777777" w:rsidR="00B00CBD" w:rsidRPr="005D5674" w:rsidRDefault="00B00CBD" w:rsidP="005D5674"/>
    <w:p w14:paraId="7108691F" w14:textId="77777777" w:rsidR="00B00CBD" w:rsidRPr="000D41EB" w:rsidRDefault="00B00CBD" w:rsidP="000A3F33">
      <w:pPr>
        <w:jc w:val="both"/>
        <w:rPr>
          <w:i/>
          <w:szCs w:val="22"/>
        </w:rPr>
      </w:pPr>
      <w:r>
        <w:rPr>
          <w:i/>
          <w:szCs w:val="22"/>
        </w:rPr>
        <w:t xml:space="preserve">Felhasználhatósági időtartam a folyamatos </w:t>
      </w:r>
      <w:proofErr w:type="spellStart"/>
      <w:r>
        <w:rPr>
          <w:i/>
          <w:szCs w:val="22"/>
        </w:rPr>
        <w:t>subcutan</w:t>
      </w:r>
      <w:proofErr w:type="spellEnd"/>
      <w:r>
        <w:rPr>
          <w:i/>
          <w:szCs w:val="22"/>
        </w:rPr>
        <w:t xml:space="preserve"> alkalmazás során</w:t>
      </w:r>
    </w:p>
    <w:p w14:paraId="6AB5C046" w14:textId="2E894E17" w:rsidR="00B00CBD" w:rsidRPr="000D41EB" w:rsidRDefault="00B00CBD" w:rsidP="005D5674">
      <w:pPr>
        <w:spacing w:before="120"/>
        <w:jc w:val="both"/>
        <w:rPr>
          <w:szCs w:val="22"/>
        </w:rPr>
      </w:pPr>
      <w:r>
        <w:t xml:space="preserve">Egy tartálynyi (fecskendőnyi) hígítatlan, </w:t>
      </w:r>
      <w:proofErr w:type="spellStart"/>
      <w:r>
        <w:t>szubkután</w:t>
      </w:r>
      <w:proofErr w:type="spellEnd"/>
      <w:r>
        <w:t xml:space="preserve"> alkalmazott </w:t>
      </w:r>
      <w:proofErr w:type="spellStart"/>
      <w:r>
        <w:t>treprosztinil</w:t>
      </w:r>
      <w:proofErr w:type="spellEnd"/>
      <w:r>
        <w:t xml:space="preserve"> kémiai, fizikai és mikrobiológiai stabilitása a felhasználás során 37 °C-</w:t>
      </w:r>
      <w:proofErr w:type="spellStart"/>
      <w:r>
        <w:t>on</w:t>
      </w:r>
      <w:proofErr w:type="spellEnd"/>
      <w:r>
        <w:t xml:space="preserve"> legfeljebb </w:t>
      </w:r>
      <w:r w:rsidR="00126A53">
        <w:t>14 napig</w:t>
      </w:r>
      <w:r>
        <w:t xml:space="preserve"> bizonyított</w:t>
      </w:r>
      <w:r w:rsidR="00F27C61">
        <w:t xml:space="preserve"> polipropilénben vagy üvegben</w:t>
      </w:r>
      <w:r>
        <w:t>. Más felhasználás közbeni tárolási idők és körülmények a felhasználó felelősségi körébe tartoznak.</w:t>
      </w:r>
    </w:p>
    <w:p w14:paraId="285F7297" w14:textId="77777777" w:rsidR="0046011D" w:rsidRDefault="0046011D" w:rsidP="000A3F33">
      <w:pPr>
        <w:jc w:val="both"/>
        <w:rPr>
          <w:i/>
          <w:szCs w:val="22"/>
          <w:lang w:eastAsia="en-US"/>
        </w:rPr>
      </w:pPr>
    </w:p>
    <w:p w14:paraId="216DFE0D" w14:textId="6828B7C0" w:rsidR="00B00CBD" w:rsidRPr="000D41EB" w:rsidRDefault="00B00CBD" w:rsidP="000A3F33">
      <w:pPr>
        <w:jc w:val="both"/>
        <w:rPr>
          <w:i/>
          <w:szCs w:val="22"/>
        </w:rPr>
      </w:pPr>
      <w:r>
        <w:rPr>
          <w:i/>
          <w:szCs w:val="22"/>
        </w:rPr>
        <w:t>Felhasználhatósági időtartam folyamatos intravénás alkalmazás során</w:t>
      </w:r>
      <w:r w:rsidR="000F26B4">
        <w:rPr>
          <w:i/>
          <w:szCs w:val="22"/>
        </w:rPr>
        <w:t xml:space="preserve"> </w:t>
      </w:r>
      <w:bookmarkStart w:id="183" w:name="_Hlk93328238"/>
      <w:r w:rsidR="000F26B4" w:rsidRPr="00730516">
        <w:rPr>
          <w:i/>
          <w:szCs w:val="22"/>
        </w:rPr>
        <w:t>külső, hordozható pumpával</w:t>
      </w:r>
      <w:bookmarkEnd w:id="183"/>
    </w:p>
    <w:p w14:paraId="13B7F63E" w14:textId="1C968F67" w:rsidR="00B00CBD" w:rsidRPr="00B00CBD" w:rsidRDefault="00B00CBD" w:rsidP="005D5674">
      <w:pPr>
        <w:spacing w:before="120"/>
        <w:jc w:val="both"/>
        <w:rPr>
          <w:szCs w:val="22"/>
        </w:rPr>
      </w:pPr>
      <w:r>
        <w:t xml:space="preserve">Egy tartálynyi (fecskendőnyi) hígított, intravénás infúzióban alkalmazott </w:t>
      </w:r>
      <w:proofErr w:type="spellStart"/>
      <w:r>
        <w:t>treprosztinil</w:t>
      </w:r>
      <w:proofErr w:type="spellEnd"/>
      <w:r>
        <w:t xml:space="preserve"> kémiai, fizikai és mikrobiológiai </w:t>
      </w:r>
      <w:proofErr w:type="gramStart"/>
      <w:r>
        <w:t>stabilitása</w:t>
      </w:r>
      <w:proofErr w:type="gramEnd"/>
      <w:r>
        <w:t xml:space="preserve"> a felhasználás során 37 °C-</w:t>
      </w:r>
      <w:proofErr w:type="spellStart"/>
      <w:r>
        <w:t>on</w:t>
      </w:r>
      <w:proofErr w:type="spellEnd"/>
      <w:r>
        <w:t xml:space="preserve"> legfeljebb </w:t>
      </w:r>
      <w:r w:rsidR="000C6A51">
        <w:t>24</w:t>
      </w:r>
      <w:r>
        <w:t xml:space="preserve"> óráig bizonyított (még 0,004 mg/ml-es alacsony koncentrációban is), </w:t>
      </w:r>
      <w:proofErr w:type="spellStart"/>
      <w:r>
        <w:t>poli</w:t>
      </w:r>
      <w:proofErr w:type="spellEnd"/>
      <w:r w:rsidR="00A24189">
        <w:t>(</w:t>
      </w:r>
      <w:proofErr w:type="spellStart"/>
      <w:r>
        <w:t>vinil</w:t>
      </w:r>
      <w:proofErr w:type="spellEnd"/>
      <w:r>
        <w:t>-klorid</w:t>
      </w:r>
      <w:r w:rsidR="00A24189">
        <w:t>)</w:t>
      </w:r>
      <w:proofErr w:type="spellStart"/>
      <w:r>
        <w:t>ban</w:t>
      </w:r>
      <w:proofErr w:type="spellEnd"/>
      <w:r>
        <w:t xml:space="preserve">, polipropilénben vagy üvegben. Mindazonáltal, a szisztémás fertőzés kockázatának lehető legkisebbre csökkentése érdekében, a hígított </w:t>
      </w:r>
      <w:proofErr w:type="spellStart"/>
      <w:r>
        <w:t>treprosztinil</w:t>
      </w:r>
      <w:proofErr w:type="spellEnd"/>
      <w:r>
        <w:t xml:space="preserve"> felhasználásának maximális időtartama nem haladhatja meg a 24 órát.</w:t>
      </w:r>
      <w:r w:rsidR="00CE092B">
        <w:t xml:space="preserve"> Az ettől eltérő felbontás utáni </w:t>
      </w:r>
      <w:r w:rsidR="00CE092B" w:rsidRPr="000813F5">
        <w:t>tárolási idők és körülmények</w:t>
      </w:r>
      <w:r w:rsidR="00CE092B">
        <w:t xml:space="preserve"> felhasználhatóságra gyakorolt hatásának ellenőrzése</w:t>
      </w:r>
      <w:r w:rsidR="00CE092B" w:rsidRPr="000813F5">
        <w:t xml:space="preserve"> a felhasználó felelősség</w:t>
      </w:r>
      <w:r w:rsidR="00CE092B">
        <w:t>e.</w:t>
      </w:r>
    </w:p>
    <w:p w14:paraId="24F293C2" w14:textId="1C3F160F" w:rsidR="00ED4E41" w:rsidRDefault="00ED4E41" w:rsidP="00ED4E41">
      <w:bookmarkStart w:id="184" w:name="_Toc399649958"/>
      <w:bookmarkStart w:id="185" w:name="_Toc399654890"/>
      <w:bookmarkStart w:id="186" w:name="_Toc399655196"/>
      <w:bookmarkStart w:id="187" w:name="_Toc399729061"/>
      <w:bookmarkStart w:id="188" w:name="_Toc401626183"/>
      <w:bookmarkStart w:id="189" w:name="_Toc401626221"/>
      <w:bookmarkStart w:id="190" w:name="_Toc401626256"/>
      <w:bookmarkStart w:id="191" w:name="_Toc402239819"/>
      <w:bookmarkStart w:id="192" w:name="_Toc417272486"/>
    </w:p>
    <w:p w14:paraId="47E842E8" w14:textId="77777777" w:rsidR="000F26B4" w:rsidRPr="00B7488D" w:rsidRDefault="000F26B4" w:rsidP="000F26B4">
      <w:pPr>
        <w:pStyle w:val="Text"/>
        <w:spacing w:before="0"/>
        <w:jc w:val="left"/>
        <w:rPr>
          <w:i/>
          <w:sz w:val="22"/>
          <w:szCs w:val="22"/>
        </w:rPr>
      </w:pPr>
      <w:bookmarkStart w:id="193" w:name="_Hlk93328264"/>
      <w:r w:rsidRPr="00730516">
        <w:rPr>
          <w:i/>
          <w:sz w:val="22"/>
          <w:szCs w:val="22"/>
        </w:rPr>
        <w:t xml:space="preserve">Felhasználhatósági időtartam a folyamatos, intravénás alkalmazás során, beültethető pumpa használatával, az intravénás </w:t>
      </w:r>
      <w:proofErr w:type="spellStart"/>
      <w:r>
        <w:rPr>
          <w:i/>
          <w:sz w:val="22"/>
          <w:szCs w:val="22"/>
        </w:rPr>
        <w:t>Tresuvi</w:t>
      </w:r>
      <w:proofErr w:type="spellEnd"/>
      <w:r w:rsidRPr="00B7488D">
        <w:rPr>
          <w:i/>
          <w:sz w:val="22"/>
          <w:szCs w:val="22"/>
        </w:rPr>
        <w:t>-adagolás rendeltetésszerű alkalmazása mellett.</w:t>
      </w:r>
    </w:p>
    <w:p w14:paraId="345B87A3" w14:textId="77777777" w:rsidR="000F26B4" w:rsidRPr="00730516" w:rsidRDefault="000F26B4" w:rsidP="000F26B4">
      <w:pPr>
        <w:autoSpaceDE w:val="0"/>
        <w:autoSpaceDN w:val="0"/>
        <w:adjustRightInd w:val="0"/>
        <w:rPr>
          <w:szCs w:val="22"/>
        </w:rPr>
      </w:pPr>
    </w:p>
    <w:p w14:paraId="366F4B63" w14:textId="2B1DD886" w:rsidR="000F26B4" w:rsidRPr="00730516" w:rsidRDefault="000F26B4" w:rsidP="000F26B4">
      <w:pPr>
        <w:pStyle w:val="Text"/>
        <w:spacing w:before="0"/>
        <w:jc w:val="left"/>
        <w:rPr>
          <w:sz w:val="22"/>
          <w:szCs w:val="22"/>
        </w:rPr>
      </w:pPr>
      <w:r w:rsidRPr="00730516">
        <w:rPr>
          <w:sz w:val="22"/>
          <w:szCs w:val="22"/>
        </w:rPr>
        <w:t>Az intravénás infúzióval beadott hígított</w:t>
      </w:r>
      <w:r>
        <w:rPr>
          <w:sz w:val="22"/>
          <w:szCs w:val="22"/>
        </w:rPr>
        <w:t xml:space="preserve"> és hígítatlan </w:t>
      </w:r>
      <w:proofErr w:type="spellStart"/>
      <w:r>
        <w:rPr>
          <w:sz w:val="22"/>
          <w:szCs w:val="22"/>
        </w:rPr>
        <w:t>Tresuvi</w:t>
      </w:r>
      <w:proofErr w:type="spellEnd"/>
      <w:r w:rsidRPr="00730516">
        <w:rPr>
          <w:sz w:val="22"/>
          <w:szCs w:val="22"/>
        </w:rPr>
        <w:t>-oldat kémi</w:t>
      </w:r>
      <w:r w:rsidRPr="008C6063">
        <w:rPr>
          <w:sz w:val="22"/>
          <w:szCs w:val="22"/>
        </w:rPr>
        <w:t>ai, fizikai és mikrobiológiai stabilitása a felhasználás során 37</w:t>
      </w:r>
      <w:r w:rsidRPr="00730516">
        <w:rPr>
          <w:sz w:val="22"/>
          <w:szCs w:val="22"/>
        </w:rPr>
        <w:t> °C-</w:t>
      </w:r>
      <w:proofErr w:type="spellStart"/>
      <w:r w:rsidRPr="00730516">
        <w:rPr>
          <w:sz w:val="22"/>
          <w:szCs w:val="22"/>
        </w:rPr>
        <w:t>on</w:t>
      </w:r>
      <w:proofErr w:type="spellEnd"/>
      <w:r w:rsidRPr="00730516">
        <w:rPr>
          <w:sz w:val="22"/>
          <w:szCs w:val="22"/>
        </w:rPr>
        <w:t xml:space="preserve"> legfeljebb 3</w:t>
      </w:r>
      <w:r>
        <w:rPr>
          <w:sz w:val="22"/>
          <w:szCs w:val="22"/>
        </w:rPr>
        <w:t>0</w:t>
      </w:r>
      <w:r w:rsidRPr="00730516">
        <w:rPr>
          <w:sz w:val="22"/>
          <w:szCs w:val="22"/>
        </w:rPr>
        <w:t xml:space="preserve"> nap időtartamra igazolt, már 0,5 mg/ml koncentrációtól a beültethető pumpában. A beépített eszköz ettől eltérő használati idővel és körülmények között történő alkalmazása – a felhasználó saját felelőssége</w:t>
      </w:r>
      <w:r w:rsidRPr="00730516">
        <w:rPr>
          <w:color w:val="5B9BD5"/>
          <w:sz w:val="22"/>
          <w:szCs w:val="22"/>
        </w:rPr>
        <w:t>.</w:t>
      </w:r>
    </w:p>
    <w:bookmarkEnd w:id="193"/>
    <w:p w14:paraId="3B3E0528" w14:textId="77777777" w:rsidR="000F26B4" w:rsidRDefault="000F26B4" w:rsidP="00ED4E41"/>
    <w:p w14:paraId="5A460CC2" w14:textId="1C8DE192" w:rsidR="00B00CBD" w:rsidRPr="007D3B01" w:rsidRDefault="00B00CBD" w:rsidP="00020748">
      <w:pPr>
        <w:keepNext/>
        <w:rPr>
          <w:b/>
        </w:rPr>
      </w:pPr>
      <w:r>
        <w:rPr>
          <w:b/>
        </w:rPr>
        <w:t>6.4</w:t>
      </w:r>
      <w:r>
        <w:rPr>
          <w:b/>
        </w:rPr>
        <w:tab/>
        <w:t>Különleges tárolási előírások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r>
        <w:rPr>
          <w:b/>
        </w:rPr>
        <w:t xml:space="preserve"> </w:t>
      </w:r>
    </w:p>
    <w:p w14:paraId="4C644398" w14:textId="77777777" w:rsidR="00B00CBD" w:rsidRPr="004E4813" w:rsidRDefault="00B00CBD" w:rsidP="00020748">
      <w:pPr>
        <w:keepNext/>
        <w:jc w:val="both"/>
        <w:rPr>
          <w:szCs w:val="22"/>
          <w:lang w:eastAsia="en-US"/>
        </w:rPr>
      </w:pPr>
    </w:p>
    <w:p w14:paraId="3D82053F" w14:textId="77777777" w:rsidR="00B00CBD" w:rsidRPr="001D38B4" w:rsidRDefault="00B00CBD" w:rsidP="00B00CBD">
      <w:pPr>
        <w:spacing w:line="241" w:lineRule="auto"/>
        <w:ind w:right="91"/>
        <w:rPr>
          <w:szCs w:val="22"/>
        </w:rPr>
      </w:pPr>
      <w:bookmarkStart w:id="194" w:name="_Toc399649959"/>
      <w:bookmarkStart w:id="195" w:name="_Toc399654891"/>
      <w:bookmarkStart w:id="196" w:name="_Toc399655197"/>
      <w:bookmarkStart w:id="197" w:name="_Toc399729062"/>
      <w:bookmarkStart w:id="198" w:name="_Toc401626184"/>
      <w:bookmarkStart w:id="199" w:name="_Toc401626222"/>
      <w:bookmarkStart w:id="200" w:name="_Toc401626257"/>
      <w:bookmarkStart w:id="201" w:name="_Toc402239820"/>
      <w:bookmarkStart w:id="202" w:name="_Toc417272487"/>
      <w:r>
        <w:t>Ez a gyógyszer nem igényel különleges tárolást (a felhasználás közbeni tárolási időket és körülményeket lásd a 6.3 pontban).</w:t>
      </w:r>
    </w:p>
    <w:p w14:paraId="06A969B7" w14:textId="77777777" w:rsidR="00435BCF" w:rsidRPr="00B00CBD" w:rsidRDefault="00435BCF" w:rsidP="00EA7E06">
      <w:pPr>
        <w:rPr>
          <w:lang w:val="fr-FR" w:eastAsia="en-US"/>
        </w:rPr>
      </w:pPr>
    </w:p>
    <w:p w14:paraId="439D3068" w14:textId="2353194E" w:rsidR="00B00CBD" w:rsidRPr="007D3B01" w:rsidRDefault="00B00CBD" w:rsidP="007D3B01">
      <w:pPr>
        <w:rPr>
          <w:b/>
        </w:rPr>
      </w:pPr>
      <w:r>
        <w:rPr>
          <w:b/>
        </w:rPr>
        <w:t>6</w:t>
      </w:r>
      <w:r w:rsidR="00375B36">
        <w:rPr>
          <w:b/>
        </w:rPr>
        <w:t>.</w:t>
      </w:r>
      <w:r>
        <w:rPr>
          <w:b/>
        </w:rPr>
        <w:t>5</w:t>
      </w:r>
      <w:r>
        <w:rPr>
          <w:b/>
        </w:rPr>
        <w:tab/>
        <w:t>Csomagolás típusa és kiszerelése</w:t>
      </w:r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</w:p>
    <w:p w14:paraId="0056EF96" w14:textId="77777777" w:rsidR="00B00CBD" w:rsidRPr="00B00CBD" w:rsidRDefault="00B00CBD" w:rsidP="00EA7E06">
      <w:pPr>
        <w:rPr>
          <w:lang w:eastAsia="en-US"/>
        </w:rPr>
      </w:pPr>
    </w:p>
    <w:p w14:paraId="48FBB527" w14:textId="417B6F00" w:rsidR="00B15980" w:rsidRPr="005D5674" w:rsidRDefault="009D3C26" w:rsidP="005D5674">
      <w:pPr>
        <w:rPr>
          <w:shd w:val="clear" w:color="auto" w:fill="A6A6A6" w:themeFill="background1" w:themeFillShade="A6"/>
        </w:rPr>
      </w:pPr>
      <w:r>
        <w:t>10 ml, teflonbevonatos gumidugóval lezárt, és zöld színű</w:t>
      </w:r>
      <w:r w:rsidR="00475025">
        <w:t xml:space="preserve"> kupakkal ellátott, 10 ml-es, I-</w:t>
      </w:r>
      <w:r>
        <w:t>es típusú, átlátszó injekciós üvegben; dobozonként egy injekciós üveget tartalmaz.</w:t>
      </w:r>
    </w:p>
    <w:p w14:paraId="7B61807E" w14:textId="77777777" w:rsidR="009D3C26" w:rsidRPr="004E4813" w:rsidRDefault="009D3C26" w:rsidP="00B15980">
      <w:pPr>
        <w:rPr>
          <w:szCs w:val="22"/>
          <w:lang w:eastAsia="en-US"/>
        </w:rPr>
      </w:pPr>
    </w:p>
    <w:p w14:paraId="4FCF3EB3" w14:textId="3CFC2C50" w:rsidR="00792F0F" w:rsidRPr="007D3B01" w:rsidRDefault="00B00CBD" w:rsidP="007D3B01">
      <w:pPr>
        <w:rPr>
          <w:b/>
        </w:rPr>
      </w:pPr>
      <w:bookmarkStart w:id="203" w:name="_Toc399649960"/>
      <w:bookmarkStart w:id="204" w:name="_Toc399654892"/>
      <w:bookmarkStart w:id="205" w:name="_Toc399655198"/>
      <w:bookmarkStart w:id="206" w:name="_Toc399729063"/>
      <w:bookmarkStart w:id="207" w:name="_Toc401626185"/>
      <w:bookmarkStart w:id="208" w:name="_Toc401626223"/>
      <w:bookmarkStart w:id="209" w:name="_Toc401626258"/>
      <w:bookmarkStart w:id="210" w:name="_Toc402239821"/>
      <w:bookmarkStart w:id="211" w:name="_Toc417272488"/>
      <w:r>
        <w:rPr>
          <w:b/>
        </w:rPr>
        <w:t>6</w:t>
      </w:r>
      <w:r w:rsidR="00375B36">
        <w:rPr>
          <w:b/>
        </w:rPr>
        <w:t>.</w:t>
      </w:r>
      <w:r>
        <w:rPr>
          <w:b/>
        </w:rPr>
        <w:t>6</w:t>
      </w:r>
      <w:r>
        <w:rPr>
          <w:b/>
        </w:rPr>
        <w:tab/>
        <w:t>A megsemmisítésre vonatkozó különleges óvintézkedések és egyéb, a készítmény kezelésével kapcsolatos információk</w:t>
      </w:r>
    </w:p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p w14:paraId="481EC603" w14:textId="77777777" w:rsidR="00B00CBD" w:rsidRPr="00B00CBD" w:rsidRDefault="00B00CBD" w:rsidP="00EA7E06">
      <w:pPr>
        <w:rPr>
          <w:lang w:eastAsia="en-US"/>
        </w:rPr>
      </w:pPr>
    </w:p>
    <w:p w14:paraId="5F9F2FFD" w14:textId="2F9418C6" w:rsidR="00B00CBD" w:rsidRPr="00B00CBD" w:rsidRDefault="00D56E66" w:rsidP="00B00CBD">
      <w:pPr>
        <w:jc w:val="both"/>
        <w:rPr>
          <w:szCs w:val="22"/>
        </w:rPr>
      </w:pPr>
      <w:r>
        <w:t xml:space="preserve">A </w:t>
      </w:r>
      <w:proofErr w:type="spellStart"/>
      <w:r>
        <w:t>Tresuvi</w:t>
      </w:r>
      <w:proofErr w:type="spellEnd"/>
      <w:r>
        <w:t xml:space="preserve">-t </w:t>
      </w:r>
      <w:proofErr w:type="spellStart"/>
      <w:r>
        <w:rPr>
          <w:b/>
          <w:szCs w:val="22"/>
        </w:rPr>
        <w:t>hígítatlanul</w:t>
      </w:r>
      <w:proofErr w:type="spellEnd"/>
      <w:r>
        <w:t xml:space="preserve"> kell felhasználni, ha folyamatos </w:t>
      </w:r>
      <w:proofErr w:type="spellStart"/>
      <w:r>
        <w:t>subcutan</w:t>
      </w:r>
      <w:proofErr w:type="spellEnd"/>
      <w:r>
        <w:t xml:space="preserve"> infúzióban alkalmazzák (lásd 4.2 pont).</w:t>
      </w:r>
    </w:p>
    <w:p w14:paraId="7900E103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31C523B5" w14:textId="5CF8D59C" w:rsidR="00B00CBD" w:rsidRPr="00B00CBD" w:rsidRDefault="00D56E66" w:rsidP="00B00CBD">
      <w:pPr>
        <w:jc w:val="both"/>
        <w:rPr>
          <w:szCs w:val="22"/>
        </w:rPr>
      </w:pPr>
      <w:r>
        <w:t xml:space="preserve">A </w:t>
      </w:r>
      <w:proofErr w:type="spellStart"/>
      <w:r>
        <w:t>Tresuvi</w:t>
      </w:r>
      <w:proofErr w:type="spellEnd"/>
      <w:r>
        <w:t xml:space="preserve"> -t hígítani </w:t>
      </w:r>
      <w:r>
        <w:rPr>
          <w:b/>
          <w:szCs w:val="22"/>
        </w:rPr>
        <w:t xml:space="preserve">kell </w:t>
      </w:r>
      <w:r>
        <w:t>steril, injekcióhoz való vízzel vagy 0,9%</w:t>
      </w:r>
      <w:r>
        <w:noBreakHyphen/>
        <w:t>os (</w:t>
      </w:r>
      <w:r w:rsidR="00A525B0">
        <w:t>tömeg</w:t>
      </w:r>
      <w:r>
        <w:t>/térfogat) nátrium-klorid injekcióval, ha folyamatos intravénás infúzióban alkalmazzák (lásd 4.2 pont).</w:t>
      </w:r>
    </w:p>
    <w:p w14:paraId="72F794B8" w14:textId="77777777" w:rsidR="00B00CBD" w:rsidRPr="00B00CBD" w:rsidRDefault="00B00CBD" w:rsidP="00B00CBD">
      <w:pPr>
        <w:jc w:val="both"/>
        <w:rPr>
          <w:szCs w:val="22"/>
          <w:lang w:eastAsia="en-US"/>
        </w:rPr>
      </w:pPr>
    </w:p>
    <w:p w14:paraId="6938A1C9" w14:textId="2D6FAFCC" w:rsidR="00D81A20" w:rsidRPr="00730516" w:rsidRDefault="00D81A20" w:rsidP="00D81A20">
      <w:pPr>
        <w:pStyle w:val="Text"/>
        <w:spacing w:before="0"/>
        <w:jc w:val="left"/>
        <w:rPr>
          <w:sz w:val="22"/>
          <w:szCs w:val="22"/>
        </w:rPr>
      </w:pPr>
      <w:bookmarkStart w:id="212" w:name="_Hlk93328293"/>
      <w:r w:rsidRPr="00730516"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Tresuvi</w:t>
      </w:r>
      <w:proofErr w:type="spellEnd"/>
      <w:r w:rsidRPr="00730516">
        <w:rPr>
          <w:sz w:val="22"/>
          <w:szCs w:val="22"/>
        </w:rPr>
        <w:t xml:space="preserve"> oldatot 0,9%-</w:t>
      </w:r>
      <w:proofErr w:type="spellStart"/>
      <w:r w:rsidRPr="00730516">
        <w:rPr>
          <w:sz w:val="22"/>
          <w:szCs w:val="22"/>
        </w:rPr>
        <w:t>os</w:t>
      </w:r>
      <w:proofErr w:type="spellEnd"/>
      <w:r w:rsidRPr="00730516">
        <w:rPr>
          <w:sz w:val="22"/>
          <w:szCs w:val="22"/>
        </w:rPr>
        <w:t xml:space="preserve"> (</w:t>
      </w:r>
      <w:r w:rsidR="000D29B5">
        <w:rPr>
          <w:sz w:val="22"/>
          <w:szCs w:val="22"/>
        </w:rPr>
        <w:t>tömeg</w:t>
      </w:r>
      <w:r w:rsidRPr="00730516">
        <w:rPr>
          <w:sz w:val="22"/>
          <w:szCs w:val="22"/>
        </w:rPr>
        <w:t>/térfogat) nátrium-klorid injekcióval kell hígítani, ha műtétileg behelyezett, beültethető pumpán keresztül, folyamatos intravénás infúzióban alkalmazzák. (lásd 4.2. pont).</w:t>
      </w:r>
    </w:p>
    <w:bookmarkEnd w:id="212"/>
    <w:p w14:paraId="15895C8D" w14:textId="77777777" w:rsidR="000F26B4" w:rsidRDefault="000F26B4" w:rsidP="00B00CBD">
      <w:pPr>
        <w:jc w:val="both"/>
      </w:pPr>
    </w:p>
    <w:p w14:paraId="0F5FEA80" w14:textId="77777777" w:rsidR="000F26B4" w:rsidRDefault="000F26B4" w:rsidP="00B00CBD">
      <w:pPr>
        <w:jc w:val="both"/>
      </w:pPr>
    </w:p>
    <w:p w14:paraId="1F113901" w14:textId="52FEADD7" w:rsidR="00B00CBD" w:rsidRDefault="00792F0F" w:rsidP="00B00CBD">
      <w:pPr>
        <w:jc w:val="both"/>
      </w:pPr>
      <w:r>
        <w:t>Bármilyen fel nem használt gyógyszer, illetve hulladékanyag megsemmisítését a gyógyszerekre vonatkozó előírások szerint kell végrehajtani.</w:t>
      </w:r>
    </w:p>
    <w:p w14:paraId="09487410" w14:textId="77777777" w:rsidR="00B34CE1" w:rsidRPr="00B00CBD" w:rsidRDefault="00B34CE1" w:rsidP="00B00CBD">
      <w:pPr>
        <w:jc w:val="both"/>
        <w:rPr>
          <w:szCs w:val="22"/>
        </w:rPr>
      </w:pPr>
    </w:p>
    <w:p w14:paraId="2F0FEB93" w14:textId="77777777" w:rsidR="00B34CE1" w:rsidRPr="00DE1806" w:rsidRDefault="00B34CE1" w:rsidP="00B34CE1">
      <w:pPr>
        <w:pStyle w:val="Text"/>
        <w:spacing w:before="0"/>
        <w:contextualSpacing/>
        <w:jc w:val="left"/>
        <w:rPr>
          <w:sz w:val="22"/>
          <w:szCs w:val="22"/>
        </w:rPr>
      </w:pPr>
      <w:bookmarkStart w:id="213" w:name="_Toc399649961"/>
      <w:bookmarkStart w:id="214" w:name="_Toc399654893"/>
      <w:bookmarkStart w:id="215" w:name="_Toc399655199"/>
      <w:bookmarkStart w:id="216" w:name="_Toc399729064"/>
      <w:bookmarkStart w:id="217" w:name="_Toc401626186"/>
      <w:bookmarkStart w:id="218" w:name="_Toc401626224"/>
      <w:bookmarkStart w:id="219" w:name="_Toc401626259"/>
      <w:bookmarkStart w:id="220" w:name="_Toc402239822"/>
      <w:bookmarkStart w:id="221" w:name="_Toc417272489"/>
      <w:r w:rsidRPr="00DE1806">
        <w:rPr>
          <w:b/>
          <w:sz w:val="22"/>
          <w:szCs w:val="22"/>
        </w:rPr>
        <w:t xml:space="preserve">Megjegyzés: </w:t>
      </w:r>
      <w:r w:rsidRPr="00DE1806">
        <w:rPr>
          <w:rFonts w:ascii="Wingdings" w:eastAsia="Wingdings" w:hAnsi="Wingdings" w:cs="Wingdings"/>
          <w:b/>
          <w:sz w:val="22"/>
          <w:szCs w:val="22"/>
        </w:rPr>
        <w:t></w:t>
      </w:r>
      <w:r w:rsidRPr="00DE1806">
        <w:rPr>
          <w:sz w:val="22"/>
          <w:szCs w:val="22"/>
        </w:rPr>
        <w:t xml:space="preserve"> (egy kereszt)</w:t>
      </w:r>
    </w:p>
    <w:p w14:paraId="10CD208D" w14:textId="77777777" w:rsidR="00B34CE1" w:rsidRPr="00DE1806" w:rsidRDefault="00B34CE1" w:rsidP="00B34CE1">
      <w:pPr>
        <w:pStyle w:val="Text"/>
        <w:spacing w:before="0"/>
        <w:contextualSpacing/>
        <w:jc w:val="left"/>
        <w:rPr>
          <w:sz w:val="22"/>
          <w:szCs w:val="22"/>
        </w:rPr>
      </w:pPr>
      <w:r w:rsidRPr="00DE1806">
        <w:rPr>
          <w:sz w:val="22"/>
          <w:szCs w:val="22"/>
        </w:rPr>
        <w:t xml:space="preserve">Osztályozás: </w:t>
      </w:r>
      <w:r w:rsidRPr="00DE1806">
        <w:rPr>
          <w:b/>
          <w:sz w:val="22"/>
          <w:szCs w:val="22"/>
        </w:rPr>
        <w:t>II/1 csoport</w:t>
      </w:r>
    </w:p>
    <w:p w14:paraId="286672E7" w14:textId="77777777" w:rsidR="00B34CE1" w:rsidRPr="00DE1806" w:rsidRDefault="00B34CE1" w:rsidP="00B34CE1">
      <w:pPr>
        <w:pStyle w:val="Text"/>
        <w:spacing w:before="0"/>
        <w:contextualSpacing/>
        <w:jc w:val="left"/>
        <w:rPr>
          <w:sz w:val="22"/>
          <w:szCs w:val="22"/>
        </w:rPr>
      </w:pPr>
      <w:r w:rsidRPr="00DE1806">
        <w:rPr>
          <w:sz w:val="22"/>
          <w:szCs w:val="22"/>
        </w:rPr>
        <w:t>Korlátozott érvényű orvosi rendelvényhez kötött, szakorvosi/kórházi diagnózist követő járóbeteg</w:t>
      </w:r>
      <w:r>
        <w:rPr>
          <w:sz w:val="22"/>
          <w:szCs w:val="22"/>
        </w:rPr>
        <w:noBreakHyphen/>
      </w:r>
      <w:r w:rsidRPr="00DE1806">
        <w:rPr>
          <w:sz w:val="22"/>
          <w:szCs w:val="22"/>
        </w:rPr>
        <w:t>ellátásban alkalmazható gyógyszer.(J)</w:t>
      </w:r>
    </w:p>
    <w:p w14:paraId="72C48D0A" w14:textId="77777777" w:rsidR="00B00CBD" w:rsidRDefault="00B00CBD" w:rsidP="00EA7E06"/>
    <w:p w14:paraId="11C1DE5C" w14:textId="77777777" w:rsidR="00435BCF" w:rsidRPr="00B00CBD" w:rsidRDefault="00435BCF" w:rsidP="00EA7E06">
      <w:pPr>
        <w:rPr>
          <w:lang w:eastAsia="en-US"/>
        </w:rPr>
      </w:pPr>
    </w:p>
    <w:p w14:paraId="7963A2E1" w14:textId="77777777" w:rsidR="00B00CBD" w:rsidRPr="007D3B01" w:rsidRDefault="00B00CBD" w:rsidP="007D3B01">
      <w:pPr>
        <w:rPr>
          <w:b/>
        </w:rPr>
      </w:pPr>
      <w:r>
        <w:rPr>
          <w:b/>
        </w:rPr>
        <w:t>7.</w:t>
      </w:r>
      <w:r>
        <w:rPr>
          <w:b/>
        </w:rPr>
        <w:tab/>
        <w:t>A FORGALOMBA HOZATALI ENGEDÉLY JOGOSULTJA</w:t>
      </w:r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14:paraId="7E6C8174" w14:textId="77777777" w:rsidR="00B00CBD" w:rsidRPr="00B00CBD" w:rsidRDefault="00B00CBD" w:rsidP="00B00CBD">
      <w:pPr>
        <w:rPr>
          <w:b/>
          <w:szCs w:val="22"/>
          <w:lang w:eastAsia="en-US"/>
        </w:rPr>
      </w:pPr>
    </w:p>
    <w:p w14:paraId="42F05FCA" w14:textId="77777777" w:rsidR="00BC71B9" w:rsidRPr="00BC71B9" w:rsidRDefault="00BC71B9" w:rsidP="00BC71B9">
      <w:proofErr w:type="spellStart"/>
      <w:r w:rsidRPr="00BC71B9">
        <w:t>Amomed</w:t>
      </w:r>
      <w:proofErr w:type="spellEnd"/>
      <w:r w:rsidRPr="00BC71B9">
        <w:t xml:space="preserve"> Pharma GmbH</w:t>
      </w:r>
    </w:p>
    <w:p w14:paraId="73614ECB" w14:textId="77777777" w:rsidR="001C623C" w:rsidRDefault="001C623C" w:rsidP="001C623C">
      <w:r>
        <w:t>Leopold-</w:t>
      </w:r>
      <w:proofErr w:type="spellStart"/>
      <w:r>
        <w:t>Ungar</w:t>
      </w:r>
      <w:proofErr w:type="spellEnd"/>
      <w:r>
        <w:t>-</w:t>
      </w:r>
      <w:proofErr w:type="spellStart"/>
      <w:r>
        <w:t>Platz</w:t>
      </w:r>
      <w:proofErr w:type="spellEnd"/>
      <w:r>
        <w:t xml:space="preserve"> 2</w:t>
      </w:r>
    </w:p>
    <w:p w14:paraId="78DFF475" w14:textId="6295580E" w:rsidR="00ED4E41" w:rsidRPr="005D5674" w:rsidRDefault="001C623C" w:rsidP="00B00CBD">
      <w:r>
        <w:t xml:space="preserve">1190 </w:t>
      </w:r>
      <w:r w:rsidR="00BC71B9" w:rsidRPr="00BC71B9">
        <w:t xml:space="preserve"> Bécs, Ausztria</w:t>
      </w:r>
    </w:p>
    <w:p w14:paraId="7BBCFF7F" w14:textId="77777777" w:rsidR="000A3F33" w:rsidRPr="005D5674" w:rsidRDefault="000A3F33" w:rsidP="00B00CBD">
      <w:pPr>
        <w:rPr>
          <w:szCs w:val="22"/>
          <w:lang w:eastAsia="en-US"/>
        </w:rPr>
      </w:pPr>
    </w:p>
    <w:p w14:paraId="13A9105E" w14:textId="77777777" w:rsidR="00B00CBD" w:rsidRPr="007D3B01" w:rsidRDefault="00B00CBD" w:rsidP="007D3B01">
      <w:pPr>
        <w:rPr>
          <w:b/>
        </w:rPr>
      </w:pPr>
      <w:bookmarkStart w:id="222" w:name="_Toc399649962"/>
      <w:bookmarkStart w:id="223" w:name="_Toc399654894"/>
      <w:bookmarkStart w:id="224" w:name="_Toc399655200"/>
      <w:bookmarkStart w:id="225" w:name="_Toc399729065"/>
      <w:bookmarkStart w:id="226" w:name="_Toc401626187"/>
      <w:bookmarkStart w:id="227" w:name="_Toc401626225"/>
      <w:bookmarkStart w:id="228" w:name="_Toc401626260"/>
      <w:bookmarkStart w:id="229" w:name="_Toc402239823"/>
      <w:bookmarkStart w:id="230" w:name="_Toc417272490"/>
      <w:r>
        <w:rPr>
          <w:b/>
        </w:rPr>
        <w:t>8.</w:t>
      </w:r>
      <w:r>
        <w:rPr>
          <w:b/>
        </w:rPr>
        <w:tab/>
      </w:r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r>
        <w:rPr>
          <w:b/>
        </w:rPr>
        <w:t>A FORGALOMBA HOZATALI ENGEDÉLY SZÁMA</w:t>
      </w:r>
    </w:p>
    <w:p w14:paraId="57E5B546" w14:textId="77777777" w:rsidR="00B00CBD" w:rsidRPr="00B00CBD" w:rsidRDefault="00B00CBD" w:rsidP="00B00CBD">
      <w:pPr>
        <w:jc w:val="both"/>
        <w:rPr>
          <w:strike/>
          <w:szCs w:val="22"/>
          <w:lang w:eastAsia="en-US"/>
        </w:rPr>
      </w:pPr>
    </w:p>
    <w:p w14:paraId="1E59A9E8" w14:textId="17878FA0" w:rsidR="00671C4A" w:rsidRPr="00B671A5" w:rsidRDefault="00671C4A" w:rsidP="00671C4A">
      <w:pPr>
        <w:pStyle w:val="NormlWeb"/>
        <w:rPr>
          <w:sz w:val="22"/>
          <w:szCs w:val="22"/>
        </w:rPr>
      </w:pPr>
      <w:r w:rsidRPr="00B671A5">
        <w:rPr>
          <w:sz w:val="22"/>
          <w:szCs w:val="22"/>
        </w:rPr>
        <w:t>OGYI-T-23594/03     1</w:t>
      </w:r>
      <w:r w:rsidR="004D044C">
        <w:rPr>
          <w:sz w:val="22"/>
          <w:szCs w:val="22"/>
        </w:rPr>
        <w:t>×</w:t>
      </w:r>
      <w:r w:rsidRPr="00B671A5">
        <w:rPr>
          <w:sz w:val="22"/>
          <w:szCs w:val="22"/>
        </w:rPr>
        <w:t>10 ml</w:t>
      </w:r>
    </w:p>
    <w:p w14:paraId="0D63ED28" w14:textId="77777777" w:rsidR="00B00CBD" w:rsidRDefault="00B00CBD" w:rsidP="00B00CBD">
      <w:pPr>
        <w:jc w:val="both"/>
        <w:rPr>
          <w:strike/>
          <w:szCs w:val="22"/>
          <w:lang w:eastAsia="en-US"/>
        </w:rPr>
      </w:pPr>
    </w:p>
    <w:p w14:paraId="42B2134E" w14:textId="77777777" w:rsidR="00ED4E41" w:rsidRPr="00B00CBD" w:rsidRDefault="00ED4E41" w:rsidP="00B00CBD">
      <w:pPr>
        <w:jc w:val="both"/>
        <w:rPr>
          <w:strike/>
          <w:szCs w:val="22"/>
          <w:lang w:eastAsia="en-US"/>
        </w:rPr>
      </w:pPr>
    </w:p>
    <w:p w14:paraId="4D8DD68C" w14:textId="77777777" w:rsidR="00B00CBD" w:rsidRPr="007D3B01" w:rsidRDefault="00B00CBD" w:rsidP="007D3B01">
      <w:pPr>
        <w:rPr>
          <w:b/>
        </w:rPr>
      </w:pPr>
      <w:bookmarkStart w:id="231" w:name="_Toc399649963"/>
      <w:bookmarkStart w:id="232" w:name="_Toc399654895"/>
      <w:bookmarkStart w:id="233" w:name="_Toc399655201"/>
      <w:bookmarkStart w:id="234" w:name="_Toc399729066"/>
      <w:bookmarkStart w:id="235" w:name="_Toc401626188"/>
      <w:bookmarkStart w:id="236" w:name="_Toc401626226"/>
      <w:bookmarkStart w:id="237" w:name="_Toc401626261"/>
      <w:bookmarkStart w:id="238" w:name="_Toc402239824"/>
      <w:bookmarkStart w:id="239" w:name="_Toc417272491"/>
      <w:r>
        <w:rPr>
          <w:b/>
        </w:rPr>
        <w:t>9.</w:t>
      </w:r>
      <w:r>
        <w:rPr>
          <w:b/>
        </w:rPr>
        <w:tab/>
        <w:t>A FORGALOMBA HOZATALI ENGEDÉLY ELSŐ KIADÁSÁNAK / MEGÚJÍTÁSÁNAK DÁTUMA</w:t>
      </w:r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</w:p>
    <w:p w14:paraId="556C897B" w14:textId="77777777" w:rsidR="00B00CBD" w:rsidRPr="00B00CBD" w:rsidRDefault="00B00CBD" w:rsidP="00EA7E06">
      <w:bookmarkStart w:id="240" w:name="_Toc399649964"/>
      <w:bookmarkStart w:id="241" w:name="_Toc399654896"/>
      <w:bookmarkStart w:id="242" w:name="_Toc399655202"/>
      <w:bookmarkStart w:id="243" w:name="_Toc399729067"/>
      <w:bookmarkStart w:id="244" w:name="_Toc401626189"/>
      <w:bookmarkStart w:id="245" w:name="_Toc401626227"/>
      <w:bookmarkStart w:id="246" w:name="_Toc401626262"/>
      <w:bookmarkStart w:id="247" w:name="_Toc402239825"/>
      <w:bookmarkStart w:id="248" w:name="_Toc417272492"/>
    </w:p>
    <w:p w14:paraId="327A0A44" w14:textId="6274A3BF" w:rsidR="00671C4A" w:rsidRDefault="004D044C" w:rsidP="00EA7E06">
      <w:r>
        <w:t xml:space="preserve">A forgalomba hozatali engedély első kiadásának dátuma: </w:t>
      </w:r>
      <w:r w:rsidR="00671C4A">
        <w:t>2019. szeptember 30.</w:t>
      </w:r>
    </w:p>
    <w:p w14:paraId="0CF41BE8" w14:textId="77777777" w:rsidR="00671C4A" w:rsidRDefault="00671C4A" w:rsidP="00EA7E06"/>
    <w:p w14:paraId="449B7944" w14:textId="77777777" w:rsidR="00ED4E41" w:rsidRPr="00B00CBD" w:rsidRDefault="00ED4E41" w:rsidP="00EA7E06">
      <w:pPr>
        <w:rPr>
          <w:lang w:eastAsia="en-US"/>
        </w:rPr>
      </w:pPr>
    </w:p>
    <w:p w14:paraId="0BC66829" w14:textId="77777777" w:rsidR="00B00CBD" w:rsidRPr="007D3B01" w:rsidRDefault="00B00CBD" w:rsidP="007D3B01">
      <w:pPr>
        <w:rPr>
          <w:b/>
        </w:rPr>
      </w:pPr>
      <w:r>
        <w:rPr>
          <w:b/>
        </w:rPr>
        <w:t>10.</w:t>
      </w:r>
      <w:r>
        <w:rPr>
          <w:b/>
        </w:rPr>
        <w:tab/>
        <w:t>A SZÖVEG ELLENŐRZÉSÉNEK DÁTUMA</w:t>
      </w:r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</w:p>
    <w:p w14:paraId="2BB7037B" w14:textId="7CE3B5B1" w:rsidR="00B6360F" w:rsidRPr="00B00CBD" w:rsidRDefault="00B6360F" w:rsidP="00EA7E06">
      <w:pPr>
        <w:rPr>
          <w:lang w:eastAsia="en-US"/>
        </w:rPr>
      </w:pPr>
    </w:p>
    <w:p w14:paraId="29AB1125" w14:textId="42A0F3B4" w:rsidR="000D29B5" w:rsidRPr="00B00CBD" w:rsidRDefault="000D29B5" w:rsidP="000D29B5">
      <w:pPr>
        <w:rPr>
          <w:lang w:eastAsia="en-US"/>
        </w:rPr>
      </w:pPr>
      <w:r>
        <w:rPr>
          <w:lang w:eastAsia="en-US"/>
        </w:rPr>
        <w:t>202</w:t>
      </w:r>
      <w:r w:rsidR="00F27C61">
        <w:rPr>
          <w:lang w:eastAsia="en-US"/>
        </w:rPr>
        <w:t>3</w:t>
      </w:r>
      <w:r>
        <w:rPr>
          <w:lang w:eastAsia="en-US"/>
        </w:rPr>
        <w:t xml:space="preserve">. </w:t>
      </w:r>
      <w:r w:rsidR="00F27C61">
        <w:rPr>
          <w:lang w:eastAsia="en-US"/>
        </w:rPr>
        <w:t>szeptember 1.</w:t>
      </w:r>
    </w:p>
    <w:p w14:paraId="0E23133B" w14:textId="54FDE013" w:rsidR="00B00CBD" w:rsidRDefault="00B00CBD" w:rsidP="00671C4A">
      <w:pPr>
        <w:numPr>
          <w:ilvl w:val="12"/>
          <w:numId w:val="0"/>
        </w:numPr>
        <w:ind w:right="-2"/>
        <w:rPr>
          <w:szCs w:val="22"/>
        </w:rPr>
      </w:pPr>
    </w:p>
    <w:sectPr w:rsidR="00B00CBD" w:rsidSect="005060AE">
      <w:headerReference w:type="default" r:id="rId12"/>
      <w:footerReference w:type="even" r:id="rId13"/>
      <w:footerReference w:type="default" r:id="rId14"/>
      <w:footerReference w:type="first" r:id="rId15"/>
      <w:pgSz w:w="11907" w:h="16834" w:code="9"/>
      <w:pgMar w:top="1134" w:right="1418" w:bottom="1134" w:left="1418" w:header="73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EAE34" w14:textId="77777777" w:rsidR="002B5392" w:rsidRDefault="002B5392">
      <w:r>
        <w:separator/>
      </w:r>
    </w:p>
  </w:endnote>
  <w:endnote w:type="continuationSeparator" w:id="0">
    <w:p w14:paraId="3570A62C" w14:textId="77777777" w:rsidR="002B5392" w:rsidRDefault="002B5392">
      <w:r>
        <w:continuationSeparator/>
      </w:r>
    </w:p>
  </w:endnote>
  <w:endnote w:type="continuationNotice" w:id="1">
    <w:p w14:paraId="4B7370CF" w14:textId="77777777" w:rsidR="002B5392" w:rsidRDefault="002B53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F2820" w14:textId="77777777" w:rsidR="00CB7333" w:rsidRDefault="00CB7333" w:rsidP="009B7AD9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143090E" w14:textId="77777777" w:rsidR="00CB7333" w:rsidRDefault="00CB7333" w:rsidP="009B7AD9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01372" w14:textId="7A81D580" w:rsidR="00CB7333" w:rsidRDefault="00CB7333" w:rsidP="005E760E">
    <w:pPr>
      <w:pStyle w:val="llb"/>
      <w:tabs>
        <w:tab w:val="left" w:pos="6432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88A0C" w14:textId="6B449FD3" w:rsidR="00CB7333" w:rsidRDefault="00F27C61">
    <w:pPr>
      <w:pStyle w:val="llb"/>
    </w:pPr>
    <w:r w:rsidRPr="00F27C61">
      <w:rPr>
        <w:sz w:val="18"/>
        <w:szCs w:val="18"/>
      </w:rPr>
      <w:t>OGYÉI/35055/2022</w:t>
    </w:r>
    <w:r w:rsidRPr="00F27C61" w:rsidDel="00F27C61">
      <w:rPr>
        <w:sz w:val="18"/>
        <w:szCs w:val="18"/>
      </w:rPr>
      <w:t xml:space="preserve"> </w:t>
    </w:r>
    <w:r w:rsidR="000764A1">
      <w:rPr>
        <w:sz w:val="18"/>
        <w:szCs w:val="18"/>
      </w:rPr>
      <w:tab/>
    </w:r>
    <w:r w:rsidR="000764A1">
      <w:rPr>
        <w:sz w:val="18"/>
        <w:szCs w:val="18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AD0AE" w14:textId="77777777" w:rsidR="002B5392" w:rsidRDefault="002B5392">
      <w:r>
        <w:separator/>
      </w:r>
    </w:p>
  </w:footnote>
  <w:footnote w:type="continuationSeparator" w:id="0">
    <w:p w14:paraId="602F91FA" w14:textId="77777777" w:rsidR="002B5392" w:rsidRDefault="002B5392">
      <w:r>
        <w:continuationSeparator/>
      </w:r>
    </w:p>
  </w:footnote>
  <w:footnote w:type="continuationNotice" w:id="1">
    <w:p w14:paraId="47EF3FD7" w14:textId="77777777" w:rsidR="002B5392" w:rsidRDefault="002B53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1051297581"/>
      <w:docPartObj>
        <w:docPartGallery w:val="Page Numbers (Top of Page)"/>
        <w:docPartUnique/>
      </w:docPartObj>
    </w:sdtPr>
    <w:sdtEndPr/>
    <w:sdtContent>
      <w:p w14:paraId="1921F552" w14:textId="38F2204D" w:rsidR="00CB7333" w:rsidRPr="00020748" w:rsidRDefault="00CB7333">
        <w:pPr>
          <w:pStyle w:val="lfej"/>
          <w:jc w:val="center"/>
          <w:rPr>
            <w:sz w:val="18"/>
            <w:szCs w:val="18"/>
          </w:rPr>
        </w:pPr>
        <w:r w:rsidRPr="00020748">
          <w:rPr>
            <w:sz w:val="18"/>
            <w:szCs w:val="18"/>
          </w:rPr>
          <w:fldChar w:fldCharType="begin"/>
        </w:r>
        <w:r w:rsidRPr="00020748">
          <w:rPr>
            <w:sz w:val="18"/>
            <w:szCs w:val="18"/>
          </w:rPr>
          <w:instrText>PAGE   \* MERGEFORMAT</w:instrText>
        </w:r>
        <w:r w:rsidRPr="00020748">
          <w:rPr>
            <w:sz w:val="18"/>
            <w:szCs w:val="18"/>
          </w:rPr>
          <w:fldChar w:fldCharType="separate"/>
        </w:r>
        <w:r w:rsidR="000764A1">
          <w:rPr>
            <w:noProof/>
            <w:sz w:val="18"/>
            <w:szCs w:val="18"/>
          </w:rPr>
          <w:t>6</w:t>
        </w:r>
        <w:r w:rsidRPr="00020748">
          <w:rPr>
            <w:sz w:val="18"/>
            <w:szCs w:val="18"/>
          </w:rPr>
          <w:fldChar w:fldCharType="end"/>
        </w:r>
      </w:p>
    </w:sdtContent>
  </w:sdt>
  <w:p w14:paraId="2F7DC8D1" w14:textId="77777777" w:rsidR="00CB7333" w:rsidRDefault="00CB733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FFFFFFFF"/>
    <w:lvl w:ilvl="0">
      <w:start w:val="1"/>
      <w:numFmt w:val="decimal"/>
      <w:lvlText w:val="%1."/>
      <w:legacy w:legacy="1" w:legacySpace="142" w:legacyIndent="0"/>
      <w:lvlJc w:val="left"/>
    </w:lvl>
    <w:lvl w:ilvl="1">
      <w:start w:val="1"/>
      <w:numFmt w:val="decimal"/>
      <w:lvlText w:val="%1.%2"/>
      <w:legacy w:legacy="1" w:legacySpace="144" w:legacyIndent="0"/>
      <w:lvlJc w:val="left"/>
    </w:lvl>
    <w:lvl w:ilvl="2">
      <w:start w:val="1"/>
      <w:numFmt w:val="decimal"/>
      <w:lvlText w:val="%1.%2.%3"/>
      <w:legacy w:legacy="1" w:legacySpace="144" w:legacyIndent="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BB66DA5"/>
    <w:multiLevelType w:val="hybridMultilevel"/>
    <w:tmpl w:val="693EE8D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0C68FB"/>
    <w:multiLevelType w:val="hybridMultilevel"/>
    <w:tmpl w:val="83E44736"/>
    <w:lvl w:ilvl="0" w:tplc="4CB66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4ABA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E2AD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D23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1CDF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B6D4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5481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0C4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D7340D"/>
    <w:multiLevelType w:val="multilevel"/>
    <w:tmpl w:val="3B3273E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" w15:restartNumberingAfterBreak="0">
    <w:nsid w:val="1270196C"/>
    <w:multiLevelType w:val="multilevel"/>
    <w:tmpl w:val="E30258C2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5464AAB"/>
    <w:multiLevelType w:val="hybridMultilevel"/>
    <w:tmpl w:val="8B7A431A"/>
    <w:lvl w:ilvl="0" w:tplc="DED2A33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6A3A96"/>
    <w:multiLevelType w:val="multilevel"/>
    <w:tmpl w:val="CECE66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 w15:restartNumberingAfterBreak="0">
    <w:nsid w:val="33087E02"/>
    <w:multiLevelType w:val="hybridMultilevel"/>
    <w:tmpl w:val="7F8CA3D8"/>
    <w:lvl w:ilvl="0" w:tplc="9358FF1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7F0FD5"/>
    <w:multiLevelType w:val="multilevel"/>
    <w:tmpl w:val="E30258C2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2B30D55"/>
    <w:multiLevelType w:val="hybridMultilevel"/>
    <w:tmpl w:val="3102A0BE"/>
    <w:lvl w:ilvl="0" w:tplc="DED2A33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46487"/>
    <w:multiLevelType w:val="hybridMultilevel"/>
    <w:tmpl w:val="BF8E310A"/>
    <w:lvl w:ilvl="0" w:tplc="D2F81C9E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576C48A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6004D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088A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9A34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5ADE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D4F7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A6A21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2C66D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3E7A78"/>
    <w:multiLevelType w:val="hybridMultilevel"/>
    <w:tmpl w:val="2160B086"/>
    <w:lvl w:ilvl="0" w:tplc="04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51D05F68"/>
    <w:multiLevelType w:val="multilevel"/>
    <w:tmpl w:val="C11A84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E330B8"/>
    <w:multiLevelType w:val="hybridMultilevel"/>
    <w:tmpl w:val="966E93BA"/>
    <w:lvl w:ilvl="0" w:tplc="DED2A33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6E59B5"/>
    <w:multiLevelType w:val="hybridMultilevel"/>
    <w:tmpl w:val="73B45618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66A5B61"/>
    <w:multiLevelType w:val="hybridMultilevel"/>
    <w:tmpl w:val="BACA5B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4F71B1"/>
    <w:multiLevelType w:val="hybridMultilevel"/>
    <w:tmpl w:val="C11A8452"/>
    <w:lvl w:ilvl="0" w:tplc="6D92F7F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E376A3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C9488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B468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301E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2AEEE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860E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2EC5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5146D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D464ED"/>
    <w:multiLevelType w:val="hybridMultilevel"/>
    <w:tmpl w:val="399C961C"/>
    <w:lvl w:ilvl="0" w:tplc="DED2A33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A91118"/>
    <w:multiLevelType w:val="multilevel"/>
    <w:tmpl w:val="E0388A24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7B5AA3"/>
    <w:multiLevelType w:val="multilevel"/>
    <w:tmpl w:val="D2F827CE"/>
    <w:lvl w:ilvl="0">
      <w:start w:val="4"/>
      <w:numFmt w:val="decimal"/>
      <w:lvlText w:val="%1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72C11D37"/>
    <w:multiLevelType w:val="hybridMultilevel"/>
    <w:tmpl w:val="E48A0B58"/>
    <w:lvl w:ilvl="0" w:tplc="DC9E32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9F267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A2063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5CE0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B8B5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CC88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E627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9620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C2282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20"/>
  </w:num>
  <w:num w:numId="3">
    <w:abstractNumId w:val="0"/>
  </w:num>
  <w:num w:numId="4">
    <w:abstractNumId w:val="19"/>
  </w:num>
  <w:num w:numId="5">
    <w:abstractNumId w:val="17"/>
  </w:num>
  <w:num w:numId="6">
    <w:abstractNumId w:val="13"/>
  </w:num>
  <w:num w:numId="7">
    <w:abstractNumId w:val="21"/>
  </w:num>
  <w:num w:numId="8">
    <w:abstractNumId w:val="11"/>
  </w:num>
  <w:num w:numId="9">
    <w:abstractNumId w:val="3"/>
  </w:num>
  <w:num w:numId="10">
    <w:abstractNumId w:val="2"/>
  </w:num>
  <w:num w:numId="11">
    <w:abstractNumId w:val="15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4"/>
  </w:num>
  <w:num w:numId="17">
    <w:abstractNumId w:val="12"/>
  </w:num>
  <w:num w:numId="18">
    <w:abstractNumId w:val="10"/>
  </w:num>
  <w:num w:numId="19">
    <w:abstractNumId w:val="14"/>
  </w:num>
  <w:num w:numId="20">
    <w:abstractNumId w:val="6"/>
  </w:num>
  <w:num w:numId="21">
    <w:abstractNumId w:val="1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81B"/>
    <w:rsid w:val="000004B6"/>
    <w:rsid w:val="00005C92"/>
    <w:rsid w:val="0001781B"/>
    <w:rsid w:val="00020748"/>
    <w:rsid w:val="00023DE8"/>
    <w:rsid w:val="00025C98"/>
    <w:rsid w:val="00027E82"/>
    <w:rsid w:val="0003321A"/>
    <w:rsid w:val="000332C1"/>
    <w:rsid w:val="0003544C"/>
    <w:rsid w:val="00043311"/>
    <w:rsid w:val="000473BA"/>
    <w:rsid w:val="00053C54"/>
    <w:rsid w:val="0005405D"/>
    <w:rsid w:val="00057761"/>
    <w:rsid w:val="00067E49"/>
    <w:rsid w:val="000764A1"/>
    <w:rsid w:val="000A28CE"/>
    <w:rsid w:val="000A3581"/>
    <w:rsid w:val="000A3F33"/>
    <w:rsid w:val="000A7A75"/>
    <w:rsid w:val="000A7BB4"/>
    <w:rsid w:val="000B22C4"/>
    <w:rsid w:val="000B67D6"/>
    <w:rsid w:val="000C6A51"/>
    <w:rsid w:val="000D1AF6"/>
    <w:rsid w:val="000D29B5"/>
    <w:rsid w:val="000D41EB"/>
    <w:rsid w:val="000E0F31"/>
    <w:rsid w:val="000F15B3"/>
    <w:rsid w:val="000F26B4"/>
    <w:rsid w:val="00114B0B"/>
    <w:rsid w:val="00122D88"/>
    <w:rsid w:val="00126A53"/>
    <w:rsid w:val="00167E0B"/>
    <w:rsid w:val="00187B83"/>
    <w:rsid w:val="001968DF"/>
    <w:rsid w:val="001A0986"/>
    <w:rsid w:val="001A77E6"/>
    <w:rsid w:val="001C3DC7"/>
    <w:rsid w:val="001C623C"/>
    <w:rsid w:val="001C6446"/>
    <w:rsid w:val="001D38B4"/>
    <w:rsid w:val="001D583F"/>
    <w:rsid w:val="001D5FE6"/>
    <w:rsid w:val="001E0BDC"/>
    <w:rsid w:val="001E406E"/>
    <w:rsid w:val="001F5A9C"/>
    <w:rsid w:val="00201BAE"/>
    <w:rsid w:val="002046D2"/>
    <w:rsid w:val="00205D61"/>
    <w:rsid w:val="00207D8A"/>
    <w:rsid w:val="00210B57"/>
    <w:rsid w:val="00222033"/>
    <w:rsid w:val="002316C3"/>
    <w:rsid w:val="00234CF4"/>
    <w:rsid w:val="00235350"/>
    <w:rsid w:val="002353B8"/>
    <w:rsid w:val="00240C74"/>
    <w:rsid w:val="00252E07"/>
    <w:rsid w:val="002679FE"/>
    <w:rsid w:val="00270D59"/>
    <w:rsid w:val="00273A31"/>
    <w:rsid w:val="00281B48"/>
    <w:rsid w:val="00282AC0"/>
    <w:rsid w:val="00284380"/>
    <w:rsid w:val="00286DBD"/>
    <w:rsid w:val="002B5392"/>
    <w:rsid w:val="002B5673"/>
    <w:rsid w:val="002C3A74"/>
    <w:rsid w:val="002D1574"/>
    <w:rsid w:val="002D2CEA"/>
    <w:rsid w:val="002D33B8"/>
    <w:rsid w:val="002D36FA"/>
    <w:rsid w:val="002D61EB"/>
    <w:rsid w:val="002D6B9F"/>
    <w:rsid w:val="002E0F70"/>
    <w:rsid w:val="002E75EF"/>
    <w:rsid w:val="003023FF"/>
    <w:rsid w:val="003175ED"/>
    <w:rsid w:val="00322991"/>
    <w:rsid w:val="0032684B"/>
    <w:rsid w:val="00330EEA"/>
    <w:rsid w:val="00333BAB"/>
    <w:rsid w:val="003374DC"/>
    <w:rsid w:val="0034051C"/>
    <w:rsid w:val="00365838"/>
    <w:rsid w:val="00375B36"/>
    <w:rsid w:val="00387BAA"/>
    <w:rsid w:val="00393621"/>
    <w:rsid w:val="003B0DAF"/>
    <w:rsid w:val="003B7D69"/>
    <w:rsid w:val="003E3B8B"/>
    <w:rsid w:val="003E6C31"/>
    <w:rsid w:val="00400D3C"/>
    <w:rsid w:val="00401F52"/>
    <w:rsid w:val="00404671"/>
    <w:rsid w:val="00410F2B"/>
    <w:rsid w:val="00415544"/>
    <w:rsid w:val="0042121E"/>
    <w:rsid w:val="00421E03"/>
    <w:rsid w:val="00426735"/>
    <w:rsid w:val="00427BC6"/>
    <w:rsid w:val="00435BCF"/>
    <w:rsid w:val="004553FE"/>
    <w:rsid w:val="00457B18"/>
    <w:rsid w:val="0046011D"/>
    <w:rsid w:val="00461AE4"/>
    <w:rsid w:val="00474D74"/>
    <w:rsid w:val="00475025"/>
    <w:rsid w:val="004760E7"/>
    <w:rsid w:val="004803C5"/>
    <w:rsid w:val="004921A8"/>
    <w:rsid w:val="00493931"/>
    <w:rsid w:val="00493F0B"/>
    <w:rsid w:val="00495382"/>
    <w:rsid w:val="00496C5A"/>
    <w:rsid w:val="004A64A1"/>
    <w:rsid w:val="004D044C"/>
    <w:rsid w:val="004D2D5E"/>
    <w:rsid w:val="004D497E"/>
    <w:rsid w:val="004E1027"/>
    <w:rsid w:val="004E4813"/>
    <w:rsid w:val="004F62F6"/>
    <w:rsid w:val="004F6661"/>
    <w:rsid w:val="005034D1"/>
    <w:rsid w:val="005060AE"/>
    <w:rsid w:val="0050676B"/>
    <w:rsid w:val="005106B7"/>
    <w:rsid w:val="005119E1"/>
    <w:rsid w:val="00520813"/>
    <w:rsid w:val="00533365"/>
    <w:rsid w:val="00544B22"/>
    <w:rsid w:val="0056792E"/>
    <w:rsid w:val="00570423"/>
    <w:rsid w:val="00583326"/>
    <w:rsid w:val="00590CCD"/>
    <w:rsid w:val="00591410"/>
    <w:rsid w:val="005C3B58"/>
    <w:rsid w:val="005D0D95"/>
    <w:rsid w:val="005D5674"/>
    <w:rsid w:val="005D7C32"/>
    <w:rsid w:val="005E760E"/>
    <w:rsid w:val="00601229"/>
    <w:rsid w:val="0061407C"/>
    <w:rsid w:val="006215F9"/>
    <w:rsid w:val="006227F1"/>
    <w:rsid w:val="00635792"/>
    <w:rsid w:val="006542A1"/>
    <w:rsid w:val="00654564"/>
    <w:rsid w:val="00655DAD"/>
    <w:rsid w:val="00671C4A"/>
    <w:rsid w:val="00674D11"/>
    <w:rsid w:val="00676ED5"/>
    <w:rsid w:val="00677B10"/>
    <w:rsid w:val="00681866"/>
    <w:rsid w:val="0069255E"/>
    <w:rsid w:val="006A21E0"/>
    <w:rsid w:val="006B7DAC"/>
    <w:rsid w:val="006C45F9"/>
    <w:rsid w:val="006C6050"/>
    <w:rsid w:val="006C7AB5"/>
    <w:rsid w:val="006D1740"/>
    <w:rsid w:val="006D7B76"/>
    <w:rsid w:val="006F1944"/>
    <w:rsid w:val="006F2253"/>
    <w:rsid w:val="006F309E"/>
    <w:rsid w:val="006F6755"/>
    <w:rsid w:val="00700DCB"/>
    <w:rsid w:val="00716BB7"/>
    <w:rsid w:val="007449BF"/>
    <w:rsid w:val="00752062"/>
    <w:rsid w:val="00756123"/>
    <w:rsid w:val="007626BD"/>
    <w:rsid w:val="00765F30"/>
    <w:rsid w:val="0077191C"/>
    <w:rsid w:val="00773985"/>
    <w:rsid w:val="00774645"/>
    <w:rsid w:val="00785D6F"/>
    <w:rsid w:val="00792F0F"/>
    <w:rsid w:val="007967B9"/>
    <w:rsid w:val="007B14DE"/>
    <w:rsid w:val="007C6602"/>
    <w:rsid w:val="007C7B95"/>
    <w:rsid w:val="007D3B01"/>
    <w:rsid w:val="007D6E3D"/>
    <w:rsid w:val="007E0698"/>
    <w:rsid w:val="007E5A34"/>
    <w:rsid w:val="00801C71"/>
    <w:rsid w:val="008115BC"/>
    <w:rsid w:val="00831BE9"/>
    <w:rsid w:val="00832CB5"/>
    <w:rsid w:val="0084031C"/>
    <w:rsid w:val="00847534"/>
    <w:rsid w:val="00847AFE"/>
    <w:rsid w:val="0085308D"/>
    <w:rsid w:val="008554F7"/>
    <w:rsid w:val="00862826"/>
    <w:rsid w:val="00864C4B"/>
    <w:rsid w:val="00865472"/>
    <w:rsid w:val="00866E93"/>
    <w:rsid w:val="0087361D"/>
    <w:rsid w:val="008749F8"/>
    <w:rsid w:val="00880F5E"/>
    <w:rsid w:val="008835B8"/>
    <w:rsid w:val="00885C59"/>
    <w:rsid w:val="00887248"/>
    <w:rsid w:val="008B22A9"/>
    <w:rsid w:val="008C67F9"/>
    <w:rsid w:val="008D2112"/>
    <w:rsid w:val="008E0F88"/>
    <w:rsid w:val="008E722F"/>
    <w:rsid w:val="008F3DE6"/>
    <w:rsid w:val="00931752"/>
    <w:rsid w:val="00936257"/>
    <w:rsid w:val="00936EB7"/>
    <w:rsid w:val="009400C2"/>
    <w:rsid w:val="009458E2"/>
    <w:rsid w:val="00947E12"/>
    <w:rsid w:val="0096046F"/>
    <w:rsid w:val="00961A17"/>
    <w:rsid w:val="009752A6"/>
    <w:rsid w:val="00985634"/>
    <w:rsid w:val="0099703B"/>
    <w:rsid w:val="009A08F7"/>
    <w:rsid w:val="009A51F2"/>
    <w:rsid w:val="009B0BDD"/>
    <w:rsid w:val="009B7AD9"/>
    <w:rsid w:val="009D0C78"/>
    <w:rsid w:val="009D3C26"/>
    <w:rsid w:val="009F1A54"/>
    <w:rsid w:val="00A034C9"/>
    <w:rsid w:val="00A13305"/>
    <w:rsid w:val="00A24189"/>
    <w:rsid w:val="00A273E9"/>
    <w:rsid w:val="00A36A71"/>
    <w:rsid w:val="00A41259"/>
    <w:rsid w:val="00A466AB"/>
    <w:rsid w:val="00A525B0"/>
    <w:rsid w:val="00A6089F"/>
    <w:rsid w:val="00A608BB"/>
    <w:rsid w:val="00A6286E"/>
    <w:rsid w:val="00A73DF9"/>
    <w:rsid w:val="00A76A22"/>
    <w:rsid w:val="00A821D7"/>
    <w:rsid w:val="00A92107"/>
    <w:rsid w:val="00A94046"/>
    <w:rsid w:val="00A96C9C"/>
    <w:rsid w:val="00AA59D2"/>
    <w:rsid w:val="00AB0744"/>
    <w:rsid w:val="00AB4C0A"/>
    <w:rsid w:val="00AD09BD"/>
    <w:rsid w:val="00AD187C"/>
    <w:rsid w:val="00AD7916"/>
    <w:rsid w:val="00B00CBD"/>
    <w:rsid w:val="00B03871"/>
    <w:rsid w:val="00B05960"/>
    <w:rsid w:val="00B0666D"/>
    <w:rsid w:val="00B12CEA"/>
    <w:rsid w:val="00B15980"/>
    <w:rsid w:val="00B34CE1"/>
    <w:rsid w:val="00B35240"/>
    <w:rsid w:val="00B3684E"/>
    <w:rsid w:val="00B36CF0"/>
    <w:rsid w:val="00B617D9"/>
    <w:rsid w:val="00B6360F"/>
    <w:rsid w:val="00B80EEA"/>
    <w:rsid w:val="00B81D12"/>
    <w:rsid w:val="00B850A6"/>
    <w:rsid w:val="00B9509F"/>
    <w:rsid w:val="00BA364F"/>
    <w:rsid w:val="00BB4B15"/>
    <w:rsid w:val="00BC71B9"/>
    <w:rsid w:val="00BE3D07"/>
    <w:rsid w:val="00BE6AE2"/>
    <w:rsid w:val="00BE6D59"/>
    <w:rsid w:val="00BE79A3"/>
    <w:rsid w:val="00BF7E15"/>
    <w:rsid w:val="00C0364D"/>
    <w:rsid w:val="00C0764D"/>
    <w:rsid w:val="00C077F9"/>
    <w:rsid w:val="00C14900"/>
    <w:rsid w:val="00C26C66"/>
    <w:rsid w:val="00C434B6"/>
    <w:rsid w:val="00C6135B"/>
    <w:rsid w:val="00C72049"/>
    <w:rsid w:val="00C73761"/>
    <w:rsid w:val="00C76812"/>
    <w:rsid w:val="00C8695A"/>
    <w:rsid w:val="00C94716"/>
    <w:rsid w:val="00CA11E1"/>
    <w:rsid w:val="00CB02B8"/>
    <w:rsid w:val="00CB7333"/>
    <w:rsid w:val="00CC1A3C"/>
    <w:rsid w:val="00CC36FD"/>
    <w:rsid w:val="00CD3C74"/>
    <w:rsid w:val="00CE073B"/>
    <w:rsid w:val="00CE092B"/>
    <w:rsid w:val="00CE17F7"/>
    <w:rsid w:val="00CE1CF7"/>
    <w:rsid w:val="00CE1D24"/>
    <w:rsid w:val="00CF3341"/>
    <w:rsid w:val="00CF51BC"/>
    <w:rsid w:val="00CF7080"/>
    <w:rsid w:val="00D111CC"/>
    <w:rsid w:val="00D21F6B"/>
    <w:rsid w:val="00D41C14"/>
    <w:rsid w:val="00D56E66"/>
    <w:rsid w:val="00D667C3"/>
    <w:rsid w:val="00D72911"/>
    <w:rsid w:val="00D73710"/>
    <w:rsid w:val="00D80184"/>
    <w:rsid w:val="00D81A20"/>
    <w:rsid w:val="00DA3075"/>
    <w:rsid w:val="00DB351A"/>
    <w:rsid w:val="00DB579F"/>
    <w:rsid w:val="00DC0C66"/>
    <w:rsid w:val="00DD1C56"/>
    <w:rsid w:val="00DE3869"/>
    <w:rsid w:val="00DF08D2"/>
    <w:rsid w:val="00DF45CA"/>
    <w:rsid w:val="00DF482C"/>
    <w:rsid w:val="00DF5D35"/>
    <w:rsid w:val="00E003F9"/>
    <w:rsid w:val="00E06A0B"/>
    <w:rsid w:val="00E1132B"/>
    <w:rsid w:val="00E12BCF"/>
    <w:rsid w:val="00E2435C"/>
    <w:rsid w:val="00E26987"/>
    <w:rsid w:val="00E26A99"/>
    <w:rsid w:val="00E329E4"/>
    <w:rsid w:val="00E33E1B"/>
    <w:rsid w:val="00E501FE"/>
    <w:rsid w:val="00E5052E"/>
    <w:rsid w:val="00E64781"/>
    <w:rsid w:val="00E97DB3"/>
    <w:rsid w:val="00EA7E06"/>
    <w:rsid w:val="00EB13CA"/>
    <w:rsid w:val="00EC33BB"/>
    <w:rsid w:val="00EC69AF"/>
    <w:rsid w:val="00ED4E41"/>
    <w:rsid w:val="00ED60A4"/>
    <w:rsid w:val="00EE274A"/>
    <w:rsid w:val="00EE2A36"/>
    <w:rsid w:val="00EE7401"/>
    <w:rsid w:val="00EE7864"/>
    <w:rsid w:val="00EF7BC0"/>
    <w:rsid w:val="00F029BC"/>
    <w:rsid w:val="00F03523"/>
    <w:rsid w:val="00F11EFC"/>
    <w:rsid w:val="00F239C1"/>
    <w:rsid w:val="00F27C61"/>
    <w:rsid w:val="00F45541"/>
    <w:rsid w:val="00F5490E"/>
    <w:rsid w:val="00F56237"/>
    <w:rsid w:val="00F615E5"/>
    <w:rsid w:val="00F67F68"/>
    <w:rsid w:val="00F70327"/>
    <w:rsid w:val="00F7575F"/>
    <w:rsid w:val="00F76630"/>
    <w:rsid w:val="00F914DB"/>
    <w:rsid w:val="00F96EF4"/>
    <w:rsid w:val="00FA06E6"/>
    <w:rsid w:val="00FA2F8D"/>
    <w:rsid w:val="00FA546E"/>
    <w:rsid w:val="00FC5B9E"/>
    <w:rsid w:val="00FE13EB"/>
    <w:rsid w:val="00FF0347"/>
    <w:rsid w:val="00FF3774"/>
    <w:rsid w:val="00FF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474748"/>
  <w15:docId w15:val="{47CB036A-242F-4F5D-8354-30CAD11C0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D3B01"/>
    <w:rPr>
      <w:sz w:val="22"/>
    </w:rPr>
  </w:style>
  <w:style w:type="paragraph" w:styleId="Cmsor1">
    <w:name w:val="heading 1"/>
    <w:basedOn w:val="Norml"/>
    <w:next w:val="Norml"/>
    <w:link w:val="Cmsor1Char"/>
    <w:uiPriority w:val="99"/>
    <w:qFormat/>
    <w:rsid w:val="0001781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Cmsor2">
    <w:name w:val="heading 2"/>
    <w:basedOn w:val="Norml"/>
    <w:next w:val="Norml"/>
    <w:link w:val="Cmsor2Char"/>
    <w:uiPriority w:val="99"/>
    <w:qFormat/>
    <w:rsid w:val="0001781B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Cmsor3">
    <w:name w:val="heading 3"/>
    <w:basedOn w:val="Norml"/>
    <w:next w:val="Norml"/>
    <w:link w:val="Cmsor3Char"/>
    <w:uiPriority w:val="99"/>
    <w:qFormat/>
    <w:rsid w:val="0001781B"/>
    <w:pPr>
      <w:keepNext/>
      <w:ind w:left="708"/>
      <w:jc w:val="both"/>
      <w:outlineLvl w:val="2"/>
    </w:pPr>
    <w:rPr>
      <w:sz w:val="24"/>
    </w:rPr>
  </w:style>
  <w:style w:type="paragraph" w:styleId="Cmsor4">
    <w:name w:val="heading 4"/>
    <w:basedOn w:val="Norml"/>
    <w:next w:val="Norml"/>
    <w:link w:val="Cmsor4Char"/>
    <w:autoRedefine/>
    <w:uiPriority w:val="99"/>
    <w:qFormat/>
    <w:rsid w:val="00F70327"/>
    <w:pPr>
      <w:keepNext/>
      <w:ind w:left="2126" w:hanging="2126"/>
      <w:outlineLvl w:val="3"/>
    </w:pPr>
    <w:rPr>
      <w:b/>
      <w:bCs/>
      <w:sz w:val="26"/>
    </w:rPr>
  </w:style>
  <w:style w:type="paragraph" w:styleId="Cmsor5">
    <w:name w:val="heading 5"/>
    <w:basedOn w:val="Norml"/>
    <w:next w:val="Norml"/>
    <w:link w:val="Cmsor5Char"/>
    <w:uiPriority w:val="99"/>
    <w:qFormat/>
    <w:rsid w:val="0001781B"/>
    <w:pPr>
      <w:keepNext/>
      <w:outlineLvl w:val="4"/>
    </w:pPr>
    <w:rPr>
      <w:b/>
      <w:sz w:val="24"/>
      <w:u w:val="single"/>
    </w:rPr>
  </w:style>
  <w:style w:type="paragraph" w:styleId="Cmsor6">
    <w:name w:val="heading 6"/>
    <w:basedOn w:val="Norml"/>
    <w:next w:val="Norml"/>
    <w:link w:val="Cmsor6Char"/>
    <w:uiPriority w:val="99"/>
    <w:qFormat/>
    <w:rsid w:val="0001781B"/>
    <w:pPr>
      <w:keepNext/>
      <w:tabs>
        <w:tab w:val="left" w:pos="1276"/>
      </w:tabs>
      <w:ind w:left="709" w:right="-20"/>
      <w:outlineLvl w:val="5"/>
    </w:pPr>
    <w:rPr>
      <w:bCs/>
      <w:sz w:val="24"/>
    </w:rPr>
  </w:style>
  <w:style w:type="paragraph" w:styleId="Cmsor7">
    <w:name w:val="heading 7"/>
    <w:basedOn w:val="Norml"/>
    <w:next w:val="Norml"/>
    <w:link w:val="Cmsor7Char"/>
    <w:uiPriority w:val="99"/>
    <w:qFormat/>
    <w:rsid w:val="0001781B"/>
    <w:pPr>
      <w:keepNext/>
      <w:jc w:val="center"/>
      <w:outlineLvl w:val="6"/>
    </w:pPr>
    <w:rPr>
      <w:b/>
      <w:sz w:val="24"/>
      <w:u w:val="single"/>
    </w:rPr>
  </w:style>
  <w:style w:type="paragraph" w:styleId="Cmsor8">
    <w:name w:val="heading 8"/>
    <w:basedOn w:val="Norml"/>
    <w:next w:val="Norml"/>
    <w:link w:val="Cmsor8Char"/>
    <w:uiPriority w:val="99"/>
    <w:qFormat/>
    <w:rsid w:val="0001781B"/>
    <w:pPr>
      <w:keepNext/>
      <w:numPr>
        <w:ilvl w:val="12"/>
      </w:numPr>
      <w:jc w:val="both"/>
      <w:outlineLvl w:val="7"/>
    </w:pPr>
    <w:rPr>
      <w:b/>
      <w:bCs/>
    </w:rPr>
  </w:style>
  <w:style w:type="paragraph" w:styleId="Cmsor9">
    <w:name w:val="heading 9"/>
    <w:basedOn w:val="Norml"/>
    <w:next w:val="Norml"/>
    <w:link w:val="Cmsor9Char"/>
    <w:uiPriority w:val="99"/>
    <w:qFormat/>
    <w:rsid w:val="00B00CBD"/>
    <w:pPr>
      <w:spacing w:before="240" w:after="60"/>
      <w:outlineLvl w:val="8"/>
    </w:pPr>
    <w:rPr>
      <w:rFonts w:ascii="Arial" w:hAnsi="Arial"/>
      <w:i/>
      <w:sz w:val="18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TJ8">
    <w:name w:val="toc 8"/>
    <w:basedOn w:val="Norml"/>
    <w:next w:val="Norml"/>
    <w:autoRedefine/>
    <w:semiHidden/>
    <w:rsid w:val="0001781B"/>
    <w:pPr>
      <w:tabs>
        <w:tab w:val="righ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9">
    <w:name w:val="toc 9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7">
    <w:name w:val="toc 7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6">
    <w:name w:val="toc 6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5">
    <w:name w:val="toc 5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4">
    <w:name w:val="toc 4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3">
    <w:name w:val="toc 3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2">
    <w:name w:val="toc 2"/>
    <w:basedOn w:val="Norml"/>
    <w:next w:val="Norml"/>
    <w:autoRedefine/>
    <w:semiHidden/>
    <w:rsid w:val="0001781B"/>
    <w:pPr>
      <w:tabs>
        <w:tab w:val="left" w:pos="1843"/>
        <w:tab w:val="right" w:leader="dot" w:pos="9072"/>
      </w:tabs>
      <w:spacing w:line="280" w:lineRule="exact"/>
    </w:pPr>
    <w:rPr>
      <w:rFonts w:ascii="Arial Narrow" w:hAnsi="Arial Narrow"/>
    </w:rPr>
  </w:style>
  <w:style w:type="paragraph" w:styleId="TJ1">
    <w:name w:val="toc 1"/>
    <w:basedOn w:val="Norml"/>
    <w:next w:val="Norml"/>
    <w:autoRedefine/>
    <w:semiHidden/>
    <w:rsid w:val="0001781B"/>
    <w:rPr>
      <w:b/>
    </w:rPr>
  </w:style>
  <w:style w:type="paragraph" w:customStyle="1" w:styleId="Prunk">
    <w:name w:val="Prunk"/>
    <w:basedOn w:val="Norml"/>
    <w:rsid w:val="0001781B"/>
    <w:pPr>
      <w:spacing w:before="20" w:after="20" w:line="260" w:lineRule="exact"/>
      <w:jc w:val="center"/>
    </w:pPr>
    <w:rPr>
      <w:rFonts w:ascii="Helvetica" w:hAnsi="Helvetica"/>
      <w:b/>
      <w:sz w:val="24"/>
    </w:rPr>
  </w:style>
  <w:style w:type="paragraph" w:styleId="lfej">
    <w:name w:val="header"/>
    <w:basedOn w:val="Norml"/>
    <w:link w:val="lfejChar"/>
    <w:uiPriority w:val="99"/>
    <w:rsid w:val="0001781B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01781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uiPriority w:val="99"/>
    <w:rsid w:val="0001781B"/>
  </w:style>
  <w:style w:type="paragraph" w:customStyle="1" w:styleId="MoniAntrag">
    <w:name w:val="MoniAntrag"/>
    <w:basedOn w:val="Norml"/>
    <w:rsid w:val="0001781B"/>
    <w:pPr>
      <w:ind w:left="618"/>
    </w:pPr>
  </w:style>
  <w:style w:type="paragraph" w:customStyle="1" w:styleId="Text2">
    <w:name w:val="Text 2"/>
    <w:rsid w:val="0001781B"/>
    <w:pPr>
      <w:spacing w:line="200" w:lineRule="exact"/>
      <w:ind w:left="623" w:right="56"/>
      <w:jc w:val="both"/>
    </w:pPr>
    <w:rPr>
      <w:rFonts w:ascii="Helvetica" w:hAnsi="Helvetica"/>
      <w:noProof/>
      <w:sz w:val="16"/>
    </w:rPr>
  </w:style>
  <w:style w:type="paragraph" w:customStyle="1" w:styleId="knZulassung02">
    <w:name w:val="knZulassung02"/>
    <w:basedOn w:val="Norml"/>
    <w:rsid w:val="0001781B"/>
    <w:pPr>
      <w:ind w:left="1843" w:right="284"/>
    </w:pPr>
    <w:rPr>
      <w:rFonts w:ascii="Courier" w:hAnsi="Courier"/>
      <w:sz w:val="24"/>
    </w:rPr>
  </w:style>
  <w:style w:type="paragraph" w:styleId="Szvegtrzsbehzssal">
    <w:name w:val="Body Text Indent"/>
    <w:basedOn w:val="Norml"/>
    <w:link w:val="SzvegtrzsbehzssalChar"/>
    <w:uiPriority w:val="99"/>
    <w:rsid w:val="0001781B"/>
    <w:pPr>
      <w:ind w:left="708"/>
    </w:pPr>
    <w:rPr>
      <w:sz w:val="24"/>
    </w:rPr>
  </w:style>
  <w:style w:type="paragraph" w:styleId="Szvegtrzsbehzssal2">
    <w:name w:val="Body Text Indent 2"/>
    <w:basedOn w:val="Norml"/>
    <w:link w:val="Szvegtrzsbehzssal2Char"/>
    <w:rsid w:val="0001781B"/>
    <w:pPr>
      <w:ind w:left="708"/>
      <w:jc w:val="both"/>
    </w:pPr>
    <w:rPr>
      <w:sz w:val="24"/>
    </w:rPr>
  </w:style>
  <w:style w:type="paragraph" w:styleId="Szvegblokk">
    <w:name w:val="Block Text"/>
    <w:aliases w:val="Tableau données"/>
    <w:basedOn w:val="Norml"/>
    <w:uiPriority w:val="99"/>
    <w:rsid w:val="0001781B"/>
    <w:pPr>
      <w:tabs>
        <w:tab w:val="left" w:pos="1276"/>
      </w:tabs>
      <w:ind w:left="709" w:right="-20"/>
      <w:jc w:val="both"/>
    </w:pPr>
    <w:rPr>
      <w:sz w:val="24"/>
    </w:rPr>
  </w:style>
  <w:style w:type="paragraph" w:customStyle="1" w:styleId="text1">
    <w:name w:val="text1"/>
    <w:basedOn w:val="Normlbehzs"/>
    <w:rsid w:val="0001781B"/>
    <w:pPr>
      <w:spacing w:before="120"/>
      <w:ind w:left="284" w:right="284"/>
      <w:jc w:val="both"/>
    </w:pPr>
    <w:rPr>
      <w:rFonts w:ascii="Arial" w:hAnsi="Arial"/>
    </w:rPr>
  </w:style>
  <w:style w:type="paragraph" w:styleId="Normlbehzs">
    <w:name w:val="Normal Indent"/>
    <w:basedOn w:val="Norml"/>
    <w:rsid w:val="0001781B"/>
    <w:pPr>
      <w:ind w:left="708"/>
    </w:pPr>
  </w:style>
  <w:style w:type="paragraph" w:styleId="Szvegtrzs">
    <w:name w:val="Body Text"/>
    <w:basedOn w:val="Norml"/>
    <w:link w:val="SzvegtrzsChar"/>
    <w:uiPriority w:val="99"/>
    <w:rsid w:val="0001781B"/>
    <w:pPr>
      <w:jc w:val="both"/>
    </w:pPr>
  </w:style>
  <w:style w:type="paragraph" w:styleId="Szvegtrzs2">
    <w:name w:val="Body Text 2"/>
    <w:basedOn w:val="Norml"/>
    <w:link w:val="Szvegtrzs2Char"/>
    <w:rsid w:val="0001781B"/>
    <w:pPr>
      <w:ind w:right="227"/>
      <w:jc w:val="both"/>
    </w:pPr>
  </w:style>
  <w:style w:type="character" w:styleId="Jegyzethivatkozs">
    <w:name w:val="annotation reference"/>
    <w:basedOn w:val="Bekezdsalapbettpusa"/>
    <w:uiPriority w:val="99"/>
    <w:semiHidden/>
    <w:rsid w:val="0001781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1781B"/>
  </w:style>
  <w:style w:type="paragraph" w:styleId="Szvegtrzs3">
    <w:name w:val="Body Text 3"/>
    <w:basedOn w:val="Norml"/>
    <w:link w:val="Szvegtrzs3Char"/>
    <w:rsid w:val="0001781B"/>
    <w:pPr>
      <w:jc w:val="both"/>
    </w:pPr>
  </w:style>
  <w:style w:type="paragraph" w:customStyle="1" w:styleId="KNBrief">
    <w:name w:val="KNBrief"/>
    <w:basedOn w:val="Norml"/>
    <w:rsid w:val="0001781B"/>
    <w:pPr>
      <w:ind w:left="567" w:right="284"/>
    </w:pPr>
    <w:rPr>
      <w:rFonts w:ascii="Courier" w:hAnsi="Courier"/>
      <w:sz w:val="24"/>
    </w:rPr>
  </w:style>
  <w:style w:type="paragraph" w:customStyle="1" w:styleId="KNTabellenFormat">
    <w:name w:val="KNTabellenFormat"/>
    <w:basedOn w:val="KNBrief"/>
    <w:rsid w:val="0001781B"/>
    <w:pPr>
      <w:ind w:left="0" w:right="0"/>
    </w:pPr>
  </w:style>
  <w:style w:type="character" w:customStyle="1" w:styleId="Cmsor9Char">
    <w:name w:val="Címsor 9 Char"/>
    <w:basedOn w:val="Bekezdsalapbettpusa"/>
    <w:link w:val="Cmsor9"/>
    <w:uiPriority w:val="99"/>
    <w:rsid w:val="00B00CBD"/>
    <w:rPr>
      <w:rFonts w:ascii="Arial" w:hAnsi="Arial"/>
      <w:i/>
      <w:sz w:val="18"/>
      <w:lang w:val="hu-HU" w:eastAsia="en-US"/>
    </w:rPr>
  </w:style>
  <w:style w:type="numbering" w:customStyle="1" w:styleId="KeineListe1">
    <w:name w:val="Keine Liste1"/>
    <w:next w:val="Nemlista"/>
    <w:uiPriority w:val="99"/>
    <w:semiHidden/>
    <w:unhideWhenUsed/>
    <w:rsid w:val="00B00CBD"/>
  </w:style>
  <w:style w:type="paragraph" w:customStyle="1" w:styleId="Text">
    <w:name w:val="Text"/>
    <w:basedOn w:val="Norml"/>
    <w:link w:val="TextChar"/>
    <w:rsid w:val="00B00CBD"/>
    <w:pPr>
      <w:spacing w:before="120"/>
      <w:jc w:val="both"/>
    </w:pPr>
    <w:rPr>
      <w:sz w:val="24"/>
      <w:szCs w:val="24"/>
      <w:lang w:eastAsia="en-US"/>
    </w:rPr>
  </w:style>
  <w:style w:type="paragraph" w:customStyle="1" w:styleId="Heading4Paratext">
    <w:name w:val="Heading 4 Paratext"/>
    <w:basedOn w:val="Norml"/>
    <w:uiPriority w:val="99"/>
    <w:rsid w:val="00B00CBD"/>
    <w:pPr>
      <w:ind w:left="1134"/>
    </w:pPr>
    <w:rPr>
      <w:sz w:val="24"/>
      <w:lang w:eastAsia="en-US"/>
    </w:rPr>
  </w:style>
  <w:style w:type="paragraph" w:customStyle="1" w:styleId="Figuredansuntableau">
    <w:name w:val="Figure dans un tableau"/>
    <w:basedOn w:val="Norml"/>
    <w:next w:val="Norml"/>
    <w:uiPriority w:val="99"/>
    <w:rsid w:val="00B00CBD"/>
    <w:pPr>
      <w:spacing w:before="120" w:after="120"/>
      <w:jc w:val="center"/>
    </w:pPr>
    <w:rPr>
      <w:sz w:val="24"/>
      <w:lang w:eastAsia="fr-FR"/>
    </w:rPr>
  </w:style>
  <w:style w:type="paragraph" w:customStyle="1" w:styleId="Comment">
    <w:name w:val="Comment"/>
    <w:basedOn w:val="Norml"/>
    <w:uiPriority w:val="99"/>
    <w:rsid w:val="00B00CBD"/>
    <w:pPr>
      <w:keepLines/>
      <w:spacing w:before="120"/>
      <w:jc w:val="both"/>
    </w:pPr>
    <w:rPr>
      <w:i/>
      <w:color w:val="0000FF"/>
      <w:sz w:val="24"/>
      <w:szCs w:val="24"/>
      <w:lang w:eastAsia="en-US"/>
    </w:rPr>
  </w:style>
  <w:style w:type="paragraph" w:customStyle="1" w:styleId="Propertystatement">
    <w:name w:val="Propertystatement"/>
    <w:basedOn w:val="Norml"/>
    <w:uiPriority w:val="99"/>
    <w:rsid w:val="00B00CBD"/>
    <w:pPr>
      <w:tabs>
        <w:tab w:val="left" w:pos="2268"/>
      </w:tabs>
      <w:spacing w:before="1200"/>
      <w:jc w:val="center"/>
    </w:pPr>
    <w:rPr>
      <w:rFonts w:ascii="Arial" w:hAnsi="Arial"/>
      <w:lang w:eastAsia="en-US"/>
    </w:rPr>
  </w:style>
  <w:style w:type="paragraph" w:customStyle="1" w:styleId="Table10pLColContents">
    <w:name w:val="Table 10p LCol Contents"/>
    <w:basedOn w:val="Norml"/>
    <w:uiPriority w:val="99"/>
    <w:rsid w:val="00B00CBD"/>
    <w:pPr>
      <w:tabs>
        <w:tab w:val="left" w:pos="142"/>
        <w:tab w:val="left" w:pos="284"/>
      </w:tabs>
    </w:pPr>
    <w:rPr>
      <w:rFonts w:ascii="Arial" w:hAnsi="Arial"/>
      <w:lang w:eastAsia="en-US"/>
    </w:rPr>
  </w:style>
  <w:style w:type="paragraph" w:customStyle="1" w:styleId="Heading3Paratext">
    <w:name w:val="Heading 3 Paratext"/>
    <w:basedOn w:val="Norml"/>
    <w:uiPriority w:val="99"/>
    <w:rsid w:val="00B00CBD"/>
    <w:pPr>
      <w:ind w:left="851"/>
    </w:pPr>
    <w:rPr>
      <w:sz w:val="24"/>
      <w:lang w:eastAsia="en-US"/>
    </w:rPr>
  </w:style>
  <w:style w:type="paragraph" w:customStyle="1" w:styleId="Table10pTopRow">
    <w:name w:val="Table 10p Top Row"/>
    <w:basedOn w:val="Norml"/>
    <w:next w:val="Table10pContents"/>
    <w:uiPriority w:val="99"/>
    <w:rsid w:val="00B00CBD"/>
    <w:rPr>
      <w:rFonts w:ascii="Arial" w:hAnsi="Arial"/>
      <w:b/>
      <w:caps/>
      <w:lang w:eastAsia="en-US"/>
    </w:rPr>
  </w:style>
  <w:style w:type="paragraph" w:customStyle="1" w:styleId="Table10pContents">
    <w:name w:val="Table 10p Contents"/>
    <w:basedOn w:val="Norml"/>
    <w:uiPriority w:val="99"/>
    <w:rsid w:val="00B00CBD"/>
    <w:rPr>
      <w:rFonts w:ascii="Arial" w:hAnsi="Arial"/>
      <w:lang w:eastAsia="en-US"/>
    </w:rPr>
  </w:style>
  <w:style w:type="paragraph" w:customStyle="1" w:styleId="Heading2Paratext">
    <w:name w:val="Heading 2 Paratext"/>
    <w:basedOn w:val="Norml"/>
    <w:uiPriority w:val="99"/>
    <w:rsid w:val="00B00CBD"/>
    <w:pPr>
      <w:ind w:left="567"/>
    </w:pPr>
    <w:rPr>
      <w:sz w:val="24"/>
      <w:lang w:eastAsia="en-US"/>
    </w:rPr>
  </w:style>
  <w:style w:type="paragraph" w:styleId="Buborkszveg">
    <w:name w:val="Balloon Text"/>
    <w:basedOn w:val="Norml"/>
    <w:link w:val="BuborkszvegChar"/>
    <w:uiPriority w:val="99"/>
    <w:rsid w:val="00B00CBD"/>
    <w:rPr>
      <w:rFonts w:ascii="Tahoma" w:hAnsi="Tahoma" w:cs="Tahoma"/>
      <w:sz w:val="16"/>
      <w:szCs w:val="16"/>
      <w:lang w:eastAsia="fr-FR"/>
    </w:rPr>
  </w:style>
  <w:style w:type="character" w:customStyle="1" w:styleId="BuborkszvegChar">
    <w:name w:val="Buborékszöveg Char"/>
    <w:basedOn w:val="Bekezdsalapbettpusa"/>
    <w:link w:val="Buborkszveg"/>
    <w:uiPriority w:val="99"/>
    <w:rsid w:val="00B00CBD"/>
    <w:rPr>
      <w:rFonts w:ascii="Tahoma" w:hAnsi="Tahoma" w:cs="Tahoma"/>
      <w:sz w:val="16"/>
      <w:szCs w:val="16"/>
      <w:lang w:val="hu-HU" w:eastAsia="fr-FR"/>
    </w:rPr>
  </w:style>
  <w:style w:type="paragraph" w:styleId="Cm">
    <w:name w:val="Title"/>
    <w:basedOn w:val="Norml"/>
    <w:link w:val="CmChar"/>
    <w:qFormat/>
    <w:rsid w:val="00B00CBD"/>
    <w:pPr>
      <w:spacing w:after="120"/>
      <w:jc w:val="center"/>
    </w:pPr>
    <w:rPr>
      <w:rFonts w:ascii="Arial" w:hAnsi="Arial"/>
      <w:b/>
      <w:bCs/>
      <w:sz w:val="24"/>
      <w:szCs w:val="24"/>
      <w:lang w:eastAsia="en-US"/>
    </w:rPr>
  </w:style>
  <w:style w:type="character" w:customStyle="1" w:styleId="CmChar">
    <w:name w:val="Cím Char"/>
    <w:basedOn w:val="Bekezdsalapbettpusa"/>
    <w:link w:val="Cm"/>
    <w:rsid w:val="00B00CBD"/>
    <w:rPr>
      <w:rFonts w:ascii="Arial" w:hAnsi="Arial"/>
      <w:b/>
      <w:bCs/>
      <w:sz w:val="24"/>
      <w:szCs w:val="24"/>
      <w:lang w:val="hu-HU" w:eastAsia="en-US"/>
    </w:rPr>
  </w:style>
  <w:style w:type="paragraph" w:styleId="NormlWeb">
    <w:name w:val="Normal (Web)"/>
    <w:basedOn w:val="Norml"/>
    <w:uiPriority w:val="99"/>
    <w:rsid w:val="00B00CBD"/>
    <w:pPr>
      <w:spacing w:before="100" w:after="100"/>
    </w:pPr>
    <w:rPr>
      <w:sz w:val="24"/>
      <w:lang w:eastAsia="en-US"/>
    </w:rPr>
  </w:style>
  <w:style w:type="paragraph" w:customStyle="1" w:styleId="Indent1">
    <w:name w:val="Indent1"/>
    <w:basedOn w:val="Norml"/>
    <w:autoRedefine/>
    <w:semiHidden/>
    <w:rsid w:val="00B00CBD"/>
    <w:pPr>
      <w:spacing w:line="360" w:lineRule="auto"/>
      <w:jc w:val="center"/>
    </w:pPr>
    <w:rPr>
      <w:rFonts w:ascii="Arial" w:hAnsi="Arial" w:cs="Arial"/>
      <w:lang w:eastAsia="en-US"/>
    </w:rPr>
  </w:style>
  <w:style w:type="table" w:styleId="Rcsostblzat">
    <w:name w:val="Table Grid"/>
    <w:basedOn w:val="Normltblzat"/>
    <w:rsid w:val="00B00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B00CBD"/>
    <w:rPr>
      <w:b/>
      <w:bCs/>
      <w:lang w:eastAsia="fr-FR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00CBD"/>
    <w:rPr>
      <w:lang w:val="hu-HU"/>
    </w:rPr>
  </w:style>
  <w:style w:type="character" w:customStyle="1" w:styleId="MegjegyzstrgyaChar">
    <w:name w:val="Megjegyzés tárgya Char"/>
    <w:basedOn w:val="JegyzetszvegChar"/>
    <w:link w:val="Megjegyzstrgya"/>
    <w:uiPriority w:val="99"/>
    <w:rsid w:val="00B00CBD"/>
    <w:rPr>
      <w:b/>
      <w:bCs/>
      <w:lang w:val="hu-HU" w:eastAsia="fr-FR"/>
    </w:rPr>
  </w:style>
  <w:style w:type="paragraph" w:styleId="Dokumentumtrkp">
    <w:name w:val="Document Map"/>
    <w:basedOn w:val="Norml"/>
    <w:link w:val="DokumentumtrkpChar"/>
    <w:uiPriority w:val="99"/>
    <w:rsid w:val="00B00CBD"/>
    <w:pPr>
      <w:shd w:val="clear" w:color="auto" w:fill="000080"/>
    </w:pPr>
    <w:rPr>
      <w:rFonts w:ascii="Tahoma" w:hAnsi="Tahoma" w:cs="Tahoma"/>
      <w:lang w:eastAsia="fr-FR"/>
    </w:rPr>
  </w:style>
  <w:style w:type="character" w:customStyle="1" w:styleId="DokumentumtrkpChar">
    <w:name w:val="Dokumentumtérkép Char"/>
    <w:basedOn w:val="Bekezdsalapbettpusa"/>
    <w:link w:val="Dokumentumtrkp"/>
    <w:uiPriority w:val="99"/>
    <w:rsid w:val="00B00CBD"/>
    <w:rPr>
      <w:rFonts w:ascii="Tahoma" w:hAnsi="Tahoma" w:cs="Tahoma"/>
      <w:shd w:val="clear" w:color="auto" w:fill="000080"/>
      <w:lang w:val="hu-HU" w:eastAsia="fr-FR"/>
    </w:rPr>
  </w:style>
  <w:style w:type="character" w:customStyle="1" w:styleId="lfejChar">
    <w:name w:val="Élőfej Char"/>
    <w:basedOn w:val="Bekezdsalapbettpusa"/>
    <w:link w:val="lfej"/>
    <w:uiPriority w:val="99"/>
    <w:rsid w:val="00B00CBD"/>
    <w:rPr>
      <w:lang w:val="hu-HU"/>
    </w:rPr>
  </w:style>
  <w:style w:type="character" w:customStyle="1" w:styleId="llbChar">
    <w:name w:val="Élőláb Char"/>
    <w:basedOn w:val="Bekezdsalapbettpusa"/>
    <w:link w:val="llb"/>
    <w:uiPriority w:val="99"/>
    <w:rsid w:val="00B00CBD"/>
    <w:rPr>
      <w:lang w:val="hu-HU"/>
    </w:rPr>
  </w:style>
  <w:style w:type="character" w:customStyle="1" w:styleId="TextChar">
    <w:name w:val="Text Char"/>
    <w:basedOn w:val="Bekezdsalapbettpusa"/>
    <w:link w:val="Text"/>
    <w:uiPriority w:val="99"/>
    <w:locked/>
    <w:rsid w:val="00B00CBD"/>
    <w:rPr>
      <w:sz w:val="24"/>
      <w:szCs w:val="24"/>
      <w:lang w:val="hu-HU" w:eastAsia="en-US"/>
    </w:rPr>
  </w:style>
  <w:style w:type="character" w:customStyle="1" w:styleId="Cmsor1Char">
    <w:name w:val="Címsor 1 Char"/>
    <w:basedOn w:val="Bekezdsalapbettpusa"/>
    <w:link w:val="Cmsor1"/>
    <w:uiPriority w:val="99"/>
    <w:rsid w:val="00B00CBD"/>
    <w:rPr>
      <w:rFonts w:ascii="Arial" w:hAnsi="Arial"/>
      <w:b/>
      <w:kern w:val="28"/>
      <w:sz w:val="28"/>
    </w:rPr>
  </w:style>
  <w:style w:type="character" w:customStyle="1" w:styleId="Cmsor2Char">
    <w:name w:val="Címsor 2 Char"/>
    <w:basedOn w:val="Bekezdsalapbettpusa"/>
    <w:link w:val="Cmsor2"/>
    <w:uiPriority w:val="99"/>
    <w:rsid w:val="00B00CBD"/>
    <w:rPr>
      <w:rFonts w:ascii="Arial" w:hAnsi="Arial"/>
      <w:b/>
      <w:i/>
      <w:sz w:val="24"/>
    </w:rPr>
  </w:style>
  <w:style w:type="character" w:customStyle="1" w:styleId="Cmsor3Char">
    <w:name w:val="Címsor 3 Char"/>
    <w:basedOn w:val="Bekezdsalapbettpusa"/>
    <w:link w:val="Cmsor3"/>
    <w:uiPriority w:val="99"/>
    <w:rsid w:val="00B00CBD"/>
    <w:rPr>
      <w:sz w:val="24"/>
    </w:rPr>
  </w:style>
  <w:style w:type="character" w:customStyle="1" w:styleId="Cmsor4Char">
    <w:name w:val="Címsor 4 Char"/>
    <w:basedOn w:val="Bekezdsalapbettpusa"/>
    <w:link w:val="Cmsor4"/>
    <w:uiPriority w:val="99"/>
    <w:rsid w:val="00B00CBD"/>
    <w:rPr>
      <w:b/>
      <w:bCs/>
      <w:sz w:val="26"/>
      <w:lang w:val="hu-HU"/>
    </w:rPr>
  </w:style>
  <w:style w:type="character" w:customStyle="1" w:styleId="Cmsor5Char">
    <w:name w:val="Címsor 5 Char"/>
    <w:basedOn w:val="Bekezdsalapbettpusa"/>
    <w:link w:val="Cmsor5"/>
    <w:uiPriority w:val="99"/>
    <w:rsid w:val="00B00CBD"/>
    <w:rPr>
      <w:b/>
      <w:sz w:val="24"/>
      <w:u w:val="single"/>
    </w:rPr>
  </w:style>
  <w:style w:type="character" w:customStyle="1" w:styleId="Cmsor6Char">
    <w:name w:val="Címsor 6 Char"/>
    <w:basedOn w:val="Bekezdsalapbettpusa"/>
    <w:link w:val="Cmsor6"/>
    <w:uiPriority w:val="99"/>
    <w:rsid w:val="00B00CBD"/>
    <w:rPr>
      <w:bCs/>
      <w:sz w:val="24"/>
    </w:rPr>
  </w:style>
  <w:style w:type="character" w:customStyle="1" w:styleId="Cmsor7Char">
    <w:name w:val="Címsor 7 Char"/>
    <w:basedOn w:val="Bekezdsalapbettpusa"/>
    <w:link w:val="Cmsor7"/>
    <w:uiPriority w:val="99"/>
    <w:rsid w:val="00B00CBD"/>
    <w:rPr>
      <w:b/>
      <w:sz w:val="24"/>
      <w:u w:val="single"/>
    </w:rPr>
  </w:style>
  <w:style w:type="character" w:customStyle="1" w:styleId="Cmsor8Char">
    <w:name w:val="Címsor 8 Char"/>
    <w:basedOn w:val="Bekezdsalapbettpusa"/>
    <w:link w:val="Cmsor8"/>
    <w:uiPriority w:val="99"/>
    <w:rsid w:val="00B00CBD"/>
    <w:rPr>
      <w:b/>
      <w:bCs/>
      <w:sz w:val="22"/>
    </w:rPr>
  </w:style>
  <w:style w:type="character" w:customStyle="1" w:styleId="SzvegtrzsChar">
    <w:name w:val="Szövegtörzs Char"/>
    <w:basedOn w:val="Bekezdsalapbettpusa"/>
    <w:link w:val="Szvegtrzs"/>
    <w:uiPriority w:val="99"/>
    <w:rsid w:val="00B00CBD"/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B00CBD"/>
    <w:rPr>
      <w:sz w:val="24"/>
    </w:rPr>
  </w:style>
  <w:style w:type="paragraph" w:styleId="Listaszerbekezds">
    <w:name w:val="List Paragraph"/>
    <w:basedOn w:val="Norml"/>
    <w:uiPriority w:val="34"/>
    <w:qFormat/>
    <w:rsid w:val="00B00CB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hivatkozs">
    <w:name w:val="Hyperlink"/>
    <w:rsid w:val="00CC1A3C"/>
    <w:rPr>
      <w:color w:val="0000FF"/>
      <w:u w:val="single"/>
    </w:rPr>
  </w:style>
  <w:style w:type="character" w:customStyle="1" w:styleId="Szvegtrzsbehzssal2Char">
    <w:name w:val="Szövegtörzs behúzással 2 Char"/>
    <w:basedOn w:val="Bekezdsalapbettpusa"/>
    <w:link w:val="Szvegtrzsbehzssal2"/>
    <w:rsid w:val="00AD187C"/>
    <w:rPr>
      <w:sz w:val="24"/>
    </w:rPr>
  </w:style>
  <w:style w:type="character" w:customStyle="1" w:styleId="Szvegtrzs2Char">
    <w:name w:val="Szövegtörzs 2 Char"/>
    <w:basedOn w:val="Bekezdsalapbettpusa"/>
    <w:link w:val="Szvegtrzs2"/>
    <w:rsid w:val="00AD187C"/>
    <w:rPr>
      <w:sz w:val="22"/>
    </w:rPr>
  </w:style>
  <w:style w:type="character" w:customStyle="1" w:styleId="Szvegtrzs3Char">
    <w:name w:val="Szövegtörzs 3 Char"/>
    <w:basedOn w:val="Bekezdsalapbettpusa"/>
    <w:link w:val="Szvegtrzs3"/>
    <w:rsid w:val="00AD187C"/>
    <w:rPr>
      <w:sz w:val="22"/>
    </w:rPr>
  </w:style>
  <w:style w:type="character" w:styleId="Mrltotthiperhivatkozs">
    <w:name w:val="FollowedHyperlink"/>
    <w:basedOn w:val="Bekezdsalapbettpusa"/>
    <w:rsid w:val="00BA364F"/>
    <w:rPr>
      <w:color w:val="800080" w:themeColor="followedHyperlink"/>
      <w:u w:val="single"/>
    </w:rPr>
  </w:style>
  <w:style w:type="paragraph" w:customStyle="1" w:styleId="Default">
    <w:name w:val="Default"/>
    <w:rsid w:val="00C1490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F67F68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5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6D0826FB4BF746B7901D35ECB29A25" ma:contentTypeVersion="4" ma:contentTypeDescription="Create a new document." ma:contentTypeScope="" ma:versionID="df666ae0c91dad2e3a48a923d69654b8">
  <xsd:schema xmlns:xsd="http://www.w3.org/2001/XMLSchema" xmlns:xs="http://www.w3.org/2001/XMLSchema" xmlns:p="http://schemas.microsoft.com/office/2006/metadata/properties" xmlns:ns2="91f2d4e6-f5a0-45c6-b9d1-6af5782c61cb" targetNamespace="http://schemas.microsoft.com/office/2006/metadata/properties" ma:root="true" ma:fieldsID="5cc0574b81b06f6c9521b6014996b7de" ns2:_="">
    <xsd:import namespace="91f2d4e6-f5a0-45c6-b9d1-6af5782c61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2d4e6-f5a0-45c6-b9d1-6af5782c6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CE451-01B6-4CEF-9D00-250ED95A15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F2E8F7-F220-46E6-8F81-523A3FC15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f2d4e6-f5a0-45c6-b9d1-6af5782c61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1B53AC-2D06-41CA-8D43-47108CE403D8}">
  <ds:schemaRefs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91f2d4e6-f5a0-45c6-b9d1-6af5782c61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3020C8B-F6E3-402D-AF6A-4B1D3DBE5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6858</Words>
  <Characters>48254</Characters>
  <Application>Microsoft Office Word</Application>
  <DocSecurity>0</DocSecurity>
  <Lines>402</Lines>
  <Paragraphs>110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Z42231</vt:lpstr>
      <vt:lpstr>Z42231</vt:lpstr>
      <vt:lpstr>MODULE 1</vt:lpstr>
    </vt:vector>
  </TitlesOfParts>
  <Manager>M049</Manager>
  <Company>Zebra Translations Limited</Company>
  <LinksUpToDate>false</LinksUpToDate>
  <CharactersWithSpaces>55002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Z42231</dc:title>
  <dc:subject>SPC Tresuvi 003 HU</dc:subject>
  <dc:creator>O009</dc:creator>
  <cp:lastModifiedBy>OGYI_33.1</cp:lastModifiedBy>
  <cp:revision>3</cp:revision>
  <cp:lastPrinted>2003-01-14T15:27:00Z</cp:lastPrinted>
  <dcterms:created xsi:type="dcterms:W3CDTF">2023-11-10T09:57:00Z</dcterms:created>
  <dcterms:modified xsi:type="dcterms:W3CDTF">2023-11-10T09:58:00Z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0x010100616D0826FB4BF746B7901D35ECB29A25</vt:lpwstr>
  </property>
  <property fmtid="{D5CDD505-2E9C-101B-9397-08002B2CF9AE}" pid="3" name="MediaServiceImageTags">
    <vt:lpwstr/>
  </property>
</Properties>
</file>