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03E88" w14:textId="77777777" w:rsidR="00F251D5" w:rsidRPr="006C7C21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1.</w:t>
      </w:r>
      <w:r w:rsidRPr="006C7C21">
        <w:rPr>
          <w:b/>
          <w:sz w:val="22"/>
          <w:szCs w:val="22"/>
        </w:rPr>
        <w:tab/>
        <w:t>A GYÓGYSZER NEVE</w:t>
      </w:r>
    </w:p>
    <w:p w14:paraId="307BBDF3" w14:textId="77777777" w:rsidR="00F251D5" w:rsidRPr="00DD0BA2" w:rsidRDefault="00F251D5" w:rsidP="00F251D5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1632E540" w14:textId="77777777" w:rsidR="00F251D5" w:rsidRPr="00E257DB" w:rsidRDefault="00F251D5" w:rsidP="00F87371">
      <w:pPr>
        <w:pStyle w:val="Trgymutat1"/>
        <w:rPr>
          <w:sz w:val="22"/>
          <w:szCs w:val="22"/>
        </w:rPr>
      </w:pPr>
      <w:r w:rsidRPr="00E257DB">
        <w:rPr>
          <w:sz w:val="22"/>
          <w:szCs w:val="22"/>
        </w:rPr>
        <w:t>Fluorouracil Accord 50 mg/ml oldatos injekció vagy infúzió</w:t>
      </w:r>
    </w:p>
    <w:p w14:paraId="39919726" w14:textId="77777777" w:rsidR="00F251D5" w:rsidRPr="00C4008E" w:rsidRDefault="00F251D5" w:rsidP="00F251D5">
      <w:pPr>
        <w:rPr>
          <w:sz w:val="22"/>
          <w:szCs w:val="22"/>
        </w:rPr>
      </w:pPr>
    </w:p>
    <w:p w14:paraId="216070E9" w14:textId="77777777" w:rsidR="00F251D5" w:rsidRPr="00B13E04" w:rsidRDefault="00F251D5" w:rsidP="00F251D5">
      <w:pPr>
        <w:rPr>
          <w:sz w:val="22"/>
          <w:szCs w:val="22"/>
        </w:rPr>
      </w:pPr>
    </w:p>
    <w:p w14:paraId="0BD867E6" w14:textId="77777777" w:rsidR="00F251D5" w:rsidRPr="00C4008E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C4008E">
        <w:rPr>
          <w:b/>
          <w:sz w:val="22"/>
          <w:szCs w:val="22"/>
        </w:rPr>
        <w:t>2.</w:t>
      </w:r>
      <w:r w:rsidRPr="00C4008E">
        <w:rPr>
          <w:b/>
          <w:sz w:val="22"/>
          <w:szCs w:val="22"/>
        </w:rPr>
        <w:tab/>
        <w:t>MINŐSÉGI ÉS MENNYISÉGI ÖSSZETÉTEL</w:t>
      </w:r>
    </w:p>
    <w:p w14:paraId="0816A073" w14:textId="77777777" w:rsidR="00F251D5" w:rsidRPr="00C4008E" w:rsidRDefault="00F251D5" w:rsidP="00F251D5">
      <w:pPr>
        <w:rPr>
          <w:bCs/>
          <w:sz w:val="22"/>
          <w:szCs w:val="22"/>
        </w:rPr>
      </w:pPr>
    </w:p>
    <w:p w14:paraId="6716109A" w14:textId="77777777" w:rsidR="00F251D5" w:rsidRPr="00C4008E" w:rsidRDefault="00F251D5" w:rsidP="00F251D5">
      <w:pPr>
        <w:rPr>
          <w:sz w:val="22"/>
          <w:szCs w:val="22"/>
        </w:rPr>
      </w:pPr>
      <w:r w:rsidRPr="00C4008E">
        <w:rPr>
          <w:sz w:val="22"/>
          <w:szCs w:val="22"/>
        </w:rPr>
        <w:t>1 ml oldat 50 mg fluorouracilt tartalmaz (</w:t>
      </w:r>
      <w:r w:rsidRPr="00C4008E">
        <w:rPr>
          <w:i/>
          <w:sz w:val="22"/>
          <w:szCs w:val="22"/>
        </w:rPr>
        <w:t>in situ</w:t>
      </w:r>
      <w:r w:rsidRPr="00C4008E">
        <w:rPr>
          <w:sz w:val="22"/>
          <w:szCs w:val="22"/>
        </w:rPr>
        <w:t xml:space="preserve"> kialakuló nátriumsó formájában).</w:t>
      </w:r>
    </w:p>
    <w:p w14:paraId="5487BFF5" w14:textId="77777777" w:rsidR="00F251D5" w:rsidRPr="00C4008E" w:rsidRDefault="00F251D5" w:rsidP="00F251D5">
      <w:pPr>
        <w:pStyle w:val="Szvegtrzs2"/>
        <w:spacing w:after="0" w:line="240" w:lineRule="auto"/>
        <w:rPr>
          <w:sz w:val="22"/>
          <w:szCs w:val="22"/>
        </w:rPr>
      </w:pPr>
      <w:r w:rsidRPr="00C4008E">
        <w:rPr>
          <w:sz w:val="22"/>
          <w:szCs w:val="22"/>
        </w:rPr>
        <w:t>Minden 5 ml-es injekciós üveg 250 mg fluorouracilt tartalmaz.</w:t>
      </w:r>
    </w:p>
    <w:p w14:paraId="76DBF5F0" w14:textId="77777777" w:rsidR="00F251D5" w:rsidRPr="00C4008E" w:rsidRDefault="00F251D5" w:rsidP="00F251D5">
      <w:pPr>
        <w:pStyle w:val="Szvegtrzs2"/>
        <w:spacing w:after="0" w:line="240" w:lineRule="auto"/>
        <w:rPr>
          <w:sz w:val="22"/>
          <w:szCs w:val="22"/>
        </w:rPr>
      </w:pPr>
      <w:r w:rsidRPr="00C4008E">
        <w:rPr>
          <w:sz w:val="22"/>
          <w:szCs w:val="22"/>
        </w:rPr>
        <w:t>Minden 10 ml-es injekciós üveg 500 mg fluorouracilt tartalmaz.</w:t>
      </w:r>
    </w:p>
    <w:p w14:paraId="6F76F384" w14:textId="77777777" w:rsidR="00F251D5" w:rsidRPr="00C4008E" w:rsidRDefault="00F251D5" w:rsidP="00F251D5">
      <w:pPr>
        <w:pStyle w:val="Szvegtrzs2"/>
        <w:spacing w:after="0" w:line="240" w:lineRule="auto"/>
        <w:rPr>
          <w:sz w:val="22"/>
          <w:szCs w:val="22"/>
        </w:rPr>
      </w:pPr>
      <w:r w:rsidRPr="00C4008E">
        <w:rPr>
          <w:sz w:val="22"/>
          <w:szCs w:val="22"/>
        </w:rPr>
        <w:t>Minden 20 ml-es injekciós üveg 1000 mg fluorouracilt tartalmaz.</w:t>
      </w:r>
    </w:p>
    <w:p w14:paraId="41690E8E" w14:textId="77777777" w:rsidR="00F251D5" w:rsidRPr="00C4008E" w:rsidRDefault="00F251D5" w:rsidP="00F251D5">
      <w:pPr>
        <w:pStyle w:val="Szvegtrzs2"/>
        <w:spacing w:after="0" w:line="240" w:lineRule="auto"/>
        <w:rPr>
          <w:sz w:val="22"/>
          <w:szCs w:val="22"/>
        </w:rPr>
      </w:pPr>
      <w:r w:rsidRPr="00C4008E">
        <w:rPr>
          <w:sz w:val="22"/>
          <w:szCs w:val="22"/>
        </w:rPr>
        <w:t>Minden 50 ml-es injekciós üveg 2500 mg fluorouracilt tartalmaz.</w:t>
      </w:r>
    </w:p>
    <w:p w14:paraId="7660444F" w14:textId="77777777" w:rsidR="00F251D5" w:rsidRPr="00C4008E" w:rsidRDefault="00F251D5" w:rsidP="00F251D5">
      <w:pPr>
        <w:pStyle w:val="Szvegtrzs2"/>
        <w:spacing w:after="0" w:line="240" w:lineRule="auto"/>
        <w:rPr>
          <w:b/>
          <w:bCs/>
          <w:sz w:val="22"/>
          <w:szCs w:val="22"/>
        </w:rPr>
      </w:pPr>
      <w:r w:rsidRPr="00C4008E">
        <w:rPr>
          <w:sz w:val="22"/>
          <w:szCs w:val="22"/>
        </w:rPr>
        <w:t>Minden 100 ml-es injekciós üveg 5000 mg fluorouracilt tartalmaz.</w:t>
      </w:r>
    </w:p>
    <w:p w14:paraId="66298C06" w14:textId="77777777" w:rsidR="00F251D5" w:rsidRPr="00DD0BA2" w:rsidRDefault="00F251D5" w:rsidP="00F251D5">
      <w:pPr>
        <w:pStyle w:val="Szvegtrzs2"/>
        <w:spacing w:after="0" w:line="240" w:lineRule="auto"/>
        <w:rPr>
          <w:bCs/>
          <w:sz w:val="22"/>
          <w:szCs w:val="22"/>
        </w:rPr>
      </w:pPr>
    </w:p>
    <w:p w14:paraId="62EDAFCC" w14:textId="77777777" w:rsidR="00F251D5" w:rsidRPr="006C7C21" w:rsidRDefault="00F251D5" w:rsidP="00F251D5">
      <w:pPr>
        <w:pStyle w:val="Szvegtrzs2"/>
        <w:spacing w:after="0" w:line="240" w:lineRule="auto"/>
        <w:rPr>
          <w:bCs/>
          <w:sz w:val="22"/>
          <w:szCs w:val="22"/>
          <w:u w:val="single"/>
        </w:rPr>
      </w:pPr>
      <w:r w:rsidRPr="006C7C21">
        <w:rPr>
          <w:bCs/>
          <w:sz w:val="22"/>
          <w:szCs w:val="22"/>
          <w:u w:val="single"/>
        </w:rPr>
        <w:t>Ismert hatású segédanyag(ok):</w:t>
      </w:r>
    </w:p>
    <w:p w14:paraId="537E1B58" w14:textId="77777777" w:rsidR="00F251D5" w:rsidRPr="006C7C21" w:rsidRDefault="00F251D5" w:rsidP="00F251D5">
      <w:pPr>
        <w:pStyle w:val="Szvegtrzs2"/>
        <w:spacing w:after="0" w:line="240" w:lineRule="auto"/>
        <w:rPr>
          <w:bCs/>
          <w:sz w:val="22"/>
          <w:szCs w:val="22"/>
        </w:rPr>
      </w:pPr>
      <w:r w:rsidRPr="006C7C21">
        <w:rPr>
          <w:bCs/>
          <w:sz w:val="22"/>
          <w:szCs w:val="22"/>
        </w:rPr>
        <w:t>8,25 mg/ml (0,360 mmol/ml) nátrium.</w:t>
      </w:r>
    </w:p>
    <w:p w14:paraId="27EBF0F0" w14:textId="77777777" w:rsidR="00F251D5" w:rsidRPr="00DD0BA2" w:rsidRDefault="00F251D5" w:rsidP="00F251D5">
      <w:pPr>
        <w:pStyle w:val="Szvegtrzs2"/>
        <w:spacing w:after="0" w:line="240" w:lineRule="auto"/>
        <w:rPr>
          <w:bCs/>
          <w:sz w:val="22"/>
          <w:szCs w:val="22"/>
        </w:rPr>
      </w:pPr>
    </w:p>
    <w:p w14:paraId="2186E53B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</w:rPr>
        <w:t>A segédanyagok teljes listáját lásd a 6.1 pontban.</w:t>
      </w:r>
    </w:p>
    <w:p w14:paraId="4F14CB32" w14:textId="77777777" w:rsidR="00F251D5" w:rsidRPr="006C7C21" w:rsidRDefault="00F251D5" w:rsidP="00F251D5">
      <w:pPr>
        <w:rPr>
          <w:sz w:val="22"/>
          <w:szCs w:val="22"/>
        </w:rPr>
      </w:pPr>
    </w:p>
    <w:p w14:paraId="6BC410EE" w14:textId="77777777" w:rsidR="00F251D5" w:rsidRPr="006C7C21" w:rsidRDefault="00F251D5" w:rsidP="00F251D5">
      <w:pPr>
        <w:rPr>
          <w:sz w:val="22"/>
          <w:szCs w:val="22"/>
        </w:rPr>
      </w:pPr>
    </w:p>
    <w:p w14:paraId="5BCA7D82" w14:textId="77777777" w:rsidR="00F251D5" w:rsidRPr="006C7C21" w:rsidRDefault="00F251D5" w:rsidP="00F251D5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3.</w:t>
      </w:r>
      <w:r w:rsidRPr="006C7C21">
        <w:rPr>
          <w:b/>
          <w:sz w:val="22"/>
          <w:szCs w:val="22"/>
        </w:rPr>
        <w:tab/>
        <w:t>GYÓGYSZERFORMA</w:t>
      </w:r>
    </w:p>
    <w:p w14:paraId="023DD898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sz w:val="22"/>
          <w:szCs w:val="22"/>
        </w:rPr>
      </w:pPr>
    </w:p>
    <w:p w14:paraId="19AAF612" w14:textId="77777777" w:rsidR="00F251D5" w:rsidRPr="006C7C21" w:rsidRDefault="00F251D5" w:rsidP="00F251D5">
      <w:pPr>
        <w:pStyle w:val="Trgymutatcm"/>
        <w:tabs>
          <w:tab w:val="clear" w:pos="720"/>
          <w:tab w:val="clear" w:pos="864"/>
          <w:tab w:val="clear" w:pos="5760"/>
          <w:tab w:val="clear" w:pos="9180"/>
          <w:tab w:val="clear" w:pos="9990"/>
        </w:tabs>
        <w:jc w:val="left"/>
        <w:rPr>
          <w:sz w:val="22"/>
          <w:szCs w:val="22"/>
        </w:rPr>
      </w:pPr>
      <w:r w:rsidRPr="006C7C21">
        <w:rPr>
          <w:sz w:val="22"/>
          <w:szCs w:val="22"/>
        </w:rPr>
        <w:t xml:space="preserve">Oldatos injekció vagy infúzió. </w:t>
      </w:r>
    </w:p>
    <w:p w14:paraId="4EAEC285" w14:textId="77777777" w:rsidR="00F251D5" w:rsidRPr="006C7C21" w:rsidRDefault="00F251D5" w:rsidP="00F87371">
      <w:pPr>
        <w:pStyle w:val="Trgymutat1"/>
      </w:pPr>
    </w:p>
    <w:p w14:paraId="216938B7" w14:textId="0955869F" w:rsidR="00F251D5" w:rsidRPr="006C7C21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bookmarkStart w:id="0" w:name="OLE_LINK22"/>
      <w:r w:rsidRPr="006C7C21">
        <w:rPr>
          <w:sz w:val="22"/>
          <w:szCs w:val="22"/>
        </w:rPr>
        <w:t xml:space="preserve">Tiszta, színtelen vagy </w:t>
      </w:r>
      <w:r w:rsidR="006A6AA7">
        <w:rPr>
          <w:sz w:val="22"/>
          <w:szCs w:val="22"/>
        </w:rPr>
        <w:t>halványsárga</w:t>
      </w:r>
      <w:r w:rsidRPr="006C7C21">
        <w:rPr>
          <w:sz w:val="22"/>
          <w:szCs w:val="22"/>
        </w:rPr>
        <w:t xml:space="preserve"> oldat.</w:t>
      </w:r>
    </w:p>
    <w:p w14:paraId="5CB19A7F" w14:textId="77777777" w:rsidR="00F251D5" w:rsidRPr="006C7C21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pH-értéke 8,6–9,4.</w:t>
      </w:r>
      <w:bookmarkEnd w:id="0"/>
    </w:p>
    <w:p w14:paraId="2480E80F" w14:textId="77777777" w:rsidR="00F251D5" w:rsidRPr="006C7C21" w:rsidRDefault="00F251D5" w:rsidP="00F87371">
      <w:pPr>
        <w:pStyle w:val="Trgymutat1"/>
      </w:pPr>
    </w:p>
    <w:p w14:paraId="00534CD6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16B768DD" w14:textId="77777777" w:rsidR="00F251D5" w:rsidRPr="006C7C21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4.</w:t>
      </w:r>
      <w:r w:rsidRPr="006C7C21">
        <w:rPr>
          <w:sz w:val="22"/>
          <w:szCs w:val="22"/>
        </w:rPr>
        <w:tab/>
      </w:r>
      <w:r w:rsidRPr="006C7C21">
        <w:rPr>
          <w:b/>
          <w:sz w:val="22"/>
          <w:szCs w:val="22"/>
        </w:rPr>
        <w:t>KLINIKAI JELLEMZŐK</w:t>
      </w:r>
    </w:p>
    <w:p w14:paraId="153EA5D4" w14:textId="77777777" w:rsidR="00F251D5" w:rsidRPr="006C7C21" w:rsidRDefault="00F251D5" w:rsidP="00F87371">
      <w:pPr>
        <w:pStyle w:val="Trgymutat1"/>
      </w:pPr>
    </w:p>
    <w:p w14:paraId="1F6C790F" w14:textId="77777777" w:rsidR="00F251D5" w:rsidRPr="0009618E" w:rsidRDefault="00F251D5" w:rsidP="00F251D5">
      <w:pPr>
        <w:tabs>
          <w:tab w:val="left" w:pos="567"/>
        </w:tabs>
        <w:rPr>
          <w:sz w:val="22"/>
          <w:szCs w:val="22"/>
        </w:rPr>
      </w:pPr>
      <w:r w:rsidRPr="0009618E">
        <w:rPr>
          <w:b/>
          <w:sz w:val="22"/>
          <w:szCs w:val="22"/>
        </w:rPr>
        <w:t>4.1</w:t>
      </w:r>
      <w:r w:rsidRPr="0009618E">
        <w:rPr>
          <w:b/>
          <w:sz w:val="22"/>
          <w:szCs w:val="22"/>
        </w:rPr>
        <w:tab/>
        <w:t>Terápiás javallatok</w:t>
      </w:r>
    </w:p>
    <w:p w14:paraId="1F6D0595" w14:textId="77777777" w:rsidR="00F251D5" w:rsidRPr="0009618E" w:rsidRDefault="00F251D5" w:rsidP="00F251D5">
      <w:pPr>
        <w:rPr>
          <w:sz w:val="22"/>
          <w:szCs w:val="22"/>
        </w:rPr>
      </w:pPr>
    </w:p>
    <w:p w14:paraId="347BD59C" w14:textId="77777777" w:rsidR="00F251D5" w:rsidRPr="00467E49" w:rsidRDefault="00F251D5" w:rsidP="00F87371">
      <w:pPr>
        <w:pStyle w:val="Trgymutat1"/>
        <w:rPr>
          <w:sz w:val="22"/>
          <w:szCs w:val="22"/>
        </w:rPr>
      </w:pPr>
      <w:r w:rsidRPr="00467E49">
        <w:rPr>
          <w:sz w:val="22"/>
          <w:szCs w:val="22"/>
        </w:rPr>
        <w:t>A fluorouracil felnőttek számára javallt.</w:t>
      </w:r>
    </w:p>
    <w:p w14:paraId="0DBE8928" w14:textId="77777777" w:rsidR="00F251D5" w:rsidRPr="00467E49" w:rsidRDefault="00F251D5" w:rsidP="00F87371">
      <w:pPr>
        <w:pStyle w:val="Trgymutat1"/>
        <w:rPr>
          <w:sz w:val="22"/>
          <w:szCs w:val="22"/>
        </w:rPr>
      </w:pPr>
    </w:p>
    <w:p w14:paraId="61A081F2" w14:textId="77777777" w:rsidR="00F251D5" w:rsidRPr="00467E49" w:rsidRDefault="00F251D5" w:rsidP="00F87371">
      <w:pPr>
        <w:pStyle w:val="Trgymutat1"/>
        <w:rPr>
          <w:sz w:val="22"/>
          <w:szCs w:val="22"/>
        </w:rPr>
      </w:pPr>
      <w:r w:rsidRPr="00467E49">
        <w:rPr>
          <w:sz w:val="22"/>
          <w:szCs w:val="22"/>
        </w:rPr>
        <w:t>A fluorouracil a következő malignus folyamatok és betegségek kezelésére javallott:</w:t>
      </w:r>
    </w:p>
    <w:p w14:paraId="65A60684" w14:textId="77777777" w:rsidR="00F251D5" w:rsidRPr="0009618E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09618E">
        <w:rPr>
          <w:sz w:val="22"/>
          <w:szCs w:val="22"/>
        </w:rPr>
        <w:t>áttéteket adó colorectalis daganat kezelésére</w:t>
      </w:r>
    </w:p>
    <w:p w14:paraId="2D54DB7C" w14:textId="77777777" w:rsidR="00F251D5" w:rsidRPr="0009618E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09618E">
        <w:rPr>
          <w:sz w:val="22"/>
          <w:szCs w:val="22"/>
        </w:rPr>
        <w:t>vastagbél- és végbélrák adjuváns kezelésére</w:t>
      </w:r>
    </w:p>
    <w:p w14:paraId="2B74DC3F" w14:textId="7777777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>előrehaladott gyomorrák kezelésére</w:t>
      </w:r>
    </w:p>
    <w:p w14:paraId="3D321934" w14:textId="7777777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>előrehaladott hasnyálmirigyrák kezelésére</w:t>
      </w:r>
    </w:p>
    <w:p w14:paraId="45FDC232" w14:textId="7777777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>előrehaladott nyelőcsőrák kezelésére</w:t>
      </w:r>
    </w:p>
    <w:p w14:paraId="330FDDFE" w14:textId="7777777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>előrehaladott vagy áttéteket adó emlőrák kezelésére</w:t>
      </w:r>
    </w:p>
    <w:p w14:paraId="02C42D59" w14:textId="7777777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>adjuváns kezelésként olyan betegeknek, akik operálható, elsődleges invazív emlőrákban szenvednek</w:t>
      </w:r>
    </w:p>
    <w:p w14:paraId="3B0C5B2A" w14:textId="7777777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 xml:space="preserve">a fejet és a nyakat érintő, nem operálható, </w:t>
      </w:r>
      <w:r w:rsidRPr="00F87371">
        <w:rPr>
          <w:sz w:val="22"/>
          <w:szCs w:val="22"/>
        </w:rPr>
        <w:t>helyben</w:t>
      </w:r>
      <w:r w:rsidRPr="006C7C21">
        <w:rPr>
          <w:sz w:val="22"/>
          <w:szCs w:val="22"/>
        </w:rPr>
        <w:t xml:space="preserve"> előrehaladott squamosus sejtes carcinoma kezelésére olyan betegeknél, akiket korábban nem kezeltek</w:t>
      </w:r>
    </w:p>
    <w:p w14:paraId="64123E10" w14:textId="506598E7" w:rsidR="00F251D5" w:rsidRPr="006C7C21" w:rsidRDefault="00F251D5" w:rsidP="00F251D5">
      <w:pPr>
        <w:numPr>
          <w:ilvl w:val="0"/>
          <w:numId w:val="39"/>
        </w:numPr>
        <w:ind w:left="567" w:hanging="501"/>
        <w:rPr>
          <w:sz w:val="22"/>
          <w:szCs w:val="22"/>
        </w:rPr>
      </w:pPr>
      <w:r w:rsidRPr="006C7C21">
        <w:rPr>
          <w:sz w:val="22"/>
          <w:szCs w:val="22"/>
        </w:rPr>
        <w:t>a fejet és a nyakat érintő</w:t>
      </w:r>
      <w:r w:rsidR="006A6AA7">
        <w:rPr>
          <w:sz w:val="22"/>
          <w:szCs w:val="22"/>
        </w:rPr>
        <w:t>,</w:t>
      </w:r>
      <w:r w:rsidRPr="006C7C21">
        <w:rPr>
          <w:sz w:val="22"/>
          <w:szCs w:val="22"/>
        </w:rPr>
        <w:t xml:space="preserve"> helyben kiújuló vagy áttétes squamosus sejtes carcinoma kezelésére</w:t>
      </w:r>
    </w:p>
    <w:p w14:paraId="2AE3DA8F" w14:textId="77777777" w:rsidR="00F251D5" w:rsidRPr="006C7C21" w:rsidRDefault="00F251D5" w:rsidP="00F87371">
      <w:pPr>
        <w:pStyle w:val="Trgymutat1"/>
      </w:pPr>
    </w:p>
    <w:p w14:paraId="02446543" w14:textId="77777777" w:rsidR="00F251D5" w:rsidRPr="006C7C21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4.2</w:t>
      </w:r>
      <w:r w:rsidRPr="006C7C21">
        <w:rPr>
          <w:b/>
          <w:sz w:val="22"/>
          <w:szCs w:val="22"/>
        </w:rPr>
        <w:tab/>
        <w:t>Adagolás és alkalmazás</w:t>
      </w:r>
    </w:p>
    <w:p w14:paraId="14ED6F7E" w14:textId="77777777" w:rsidR="00F251D5" w:rsidRPr="006C7C21" w:rsidRDefault="00F251D5" w:rsidP="00F251D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73DAF86F" w14:textId="77777777" w:rsidR="00F251D5" w:rsidRPr="006C7C21" w:rsidRDefault="00F251D5" w:rsidP="00F251D5">
      <w:pPr>
        <w:widowControl w:val="0"/>
        <w:autoSpaceDE w:val="0"/>
        <w:autoSpaceDN w:val="0"/>
        <w:adjustRightInd w:val="0"/>
        <w:rPr>
          <w:sz w:val="22"/>
          <w:szCs w:val="22"/>
          <w:u w:val="single"/>
        </w:rPr>
      </w:pPr>
      <w:r w:rsidRPr="006C7C21">
        <w:rPr>
          <w:sz w:val="22"/>
          <w:szCs w:val="22"/>
          <w:u w:val="single"/>
        </w:rPr>
        <w:t>Adagolás</w:t>
      </w:r>
    </w:p>
    <w:p w14:paraId="3279ABFE" w14:textId="77777777" w:rsidR="00F251D5" w:rsidRPr="006C7C21" w:rsidRDefault="00F251D5" w:rsidP="00F251D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00C7F7E2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5-fluorouracilt csak olyan szakorvos felügyelete alatt alkalmazzanak, aki jelentős tapasztalattal rendelkezik a citotoxikus kezelés terén. </w:t>
      </w:r>
    </w:p>
    <w:p w14:paraId="127D4CF4" w14:textId="77777777" w:rsidR="00F251D5" w:rsidRPr="006C7C21" w:rsidRDefault="00F251D5" w:rsidP="00F251D5">
      <w:pPr>
        <w:rPr>
          <w:sz w:val="22"/>
          <w:szCs w:val="22"/>
        </w:rPr>
      </w:pPr>
    </w:p>
    <w:p w14:paraId="6BFDFACA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 kezelés során gondos és gyakori megfigyelés alatt kell tartani a betegeket. Az egyes betegeket érintő kockázatokat és várható előnyöket minden kezelés előtt alaposan meg kell fontolni. </w:t>
      </w:r>
    </w:p>
    <w:p w14:paraId="098B0E09" w14:textId="77777777" w:rsidR="00F251D5" w:rsidRPr="006C7C21" w:rsidRDefault="00F251D5" w:rsidP="00F251D5">
      <w:pPr>
        <w:rPr>
          <w:sz w:val="22"/>
          <w:szCs w:val="22"/>
        </w:rPr>
      </w:pPr>
    </w:p>
    <w:p w14:paraId="36A627B1" w14:textId="77777777" w:rsidR="00F251D5" w:rsidRPr="006C7C21" w:rsidRDefault="00F251D5" w:rsidP="00F251D5">
      <w:pPr>
        <w:keepNext/>
        <w:rPr>
          <w:sz w:val="22"/>
          <w:szCs w:val="22"/>
          <w:u w:val="single"/>
        </w:rPr>
      </w:pPr>
      <w:r w:rsidRPr="006C7C21">
        <w:rPr>
          <w:sz w:val="22"/>
          <w:szCs w:val="22"/>
          <w:u w:val="single"/>
        </w:rPr>
        <w:lastRenderedPageBreak/>
        <w:t>Az alkalmazás módja</w:t>
      </w:r>
    </w:p>
    <w:p w14:paraId="1F4D8286" w14:textId="77777777" w:rsidR="00F251D5" w:rsidRPr="006C7C21" w:rsidRDefault="00F251D5" w:rsidP="00F251D5">
      <w:pPr>
        <w:keepNext/>
        <w:rPr>
          <w:sz w:val="22"/>
          <w:szCs w:val="22"/>
        </w:rPr>
      </w:pPr>
    </w:p>
    <w:p w14:paraId="7B95249E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 adható intravénás injekcióként bólusban, infúzióként vagy akár több napig tartó folyamatos infúzió formájában.</w:t>
      </w:r>
    </w:p>
    <w:p w14:paraId="23AACEB7" w14:textId="77777777" w:rsidR="00F251D5" w:rsidRPr="006C7C21" w:rsidRDefault="00F251D5" w:rsidP="00F251D5">
      <w:pPr>
        <w:rPr>
          <w:sz w:val="22"/>
          <w:szCs w:val="22"/>
        </w:rPr>
      </w:pPr>
    </w:p>
    <w:p w14:paraId="6AC90C22" w14:textId="62522365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Ezek általános javaslatok. Kérjük, több (és aktuálisabb) ajánlásért olvassa el a helyi vagy nemzetközi irányelveket.</w:t>
      </w:r>
    </w:p>
    <w:p w14:paraId="3DE36365" w14:textId="77777777" w:rsidR="00F251D5" w:rsidRPr="006C7C21" w:rsidRDefault="00F251D5" w:rsidP="00F251D5">
      <w:pPr>
        <w:rPr>
          <w:sz w:val="22"/>
          <w:szCs w:val="22"/>
          <w:lang w:val="hu"/>
        </w:rPr>
      </w:pPr>
    </w:p>
    <w:p w14:paraId="5768FB06" w14:textId="77777777" w:rsidR="00F251D5" w:rsidRPr="006C7C21" w:rsidRDefault="00F251D5" w:rsidP="00F251D5">
      <w:pPr>
        <w:rPr>
          <w:i/>
          <w:sz w:val="22"/>
          <w:szCs w:val="22"/>
          <w:lang w:val="hu"/>
        </w:rPr>
      </w:pPr>
      <w:r w:rsidRPr="006C7C21">
        <w:rPr>
          <w:i/>
          <w:sz w:val="22"/>
          <w:szCs w:val="22"/>
          <w:lang w:val="hu"/>
        </w:rPr>
        <w:t>A készítmény előkészítése és alkalmazása előtti óvintézkedések</w:t>
      </w:r>
    </w:p>
    <w:p w14:paraId="7172ED25" w14:textId="77777777" w:rsidR="00F251D5" w:rsidRPr="006C7C21" w:rsidRDefault="00F251D5" w:rsidP="00F251D5">
      <w:pPr>
        <w:rPr>
          <w:sz w:val="22"/>
          <w:szCs w:val="22"/>
          <w:lang w:val="hu"/>
        </w:rPr>
      </w:pPr>
      <w:r w:rsidRPr="006C7C21">
        <w:rPr>
          <w:sz w:val="22"/>
          <w:szCs w:val="22"/>
          <w:lang w:val="hu"/>
        </w:rPr>
        <w:t>A készítmény alkalmazás előtti hígítására vonatkozó utasításokat lásd a 6.6 pontban.</w:t>
      </w:r>
    </w:p>
    <w:p w14:paraId="610087B8" w14:textId="77777777" w:rsidR="00F251D5" w:rsidRPr="006C7C21" w:rsidRDefault="00F251D5" w:rsidP="00F251D5">
      <w:pPr>
        <w:rPr>
          <w:sz w:val="22"/>
          <w:szCs w:val="22"/>
          <w:lang w:val="hu"/>
        </w:rPr>
      </w:pPr>
    </w:p>
    <w:p w14:paraId="6C63919B" w14:textId="77777777" w:rsidR="00F251D5" w:rsidRPr="006C7C21" w:rsidRDefault="00F251D5" w:rsidP="00F251D5">
      <w:pPr>
        <w:rPr>
          <w:sz w:val="22"/>
          <w:szCs w:val="22"/>
          <w:u w:val="single"/>
        </w:rPr>
      </w:pPr>
      <w:r w:rsidRPr="006C7C21">
        <w:rPr>
          <w:sz w:val="22"/>
          <w:szCs w:val="22"/>
          <w:u w:val="single"/>
          <w:lang w:val="hu"/>
        </w:rPr>
        <w:t>Intravénás alkalmazás:</w:t>
      </w:r>
    </w:p>
    <w:p w14:paraId="42D5D980" w14:textId="77777777" w:rsidR="00F251D5" w:rsidRPr="006C7C21" w:rsidRDefault="00F251D5" w:rsidP="00F251D5">
      <w:pPr>
        <w:rPr>
          <w:sz w:val="22"/>
          <w:szCs w:val="22"/>
        </w:rPr>
      </w:pPr>
    </w:p>
    <w:p w14:paraId="2105D673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Az 5-fluorouracil adagja és a kezelési rend a kiválasztott kezelési sémától, a javallattól, valamint a beteg általános állapotától és korábbi kezelésétől függ. A kezelési sémák az 5-fluorouracillal kombinált egyéb citotoxikus szerekben, vagy a párhuzamosan alkalmazott folinsav adagjában térnek el egymástól. </w:t>
      </w:r>
    </w:p>
    <w:p w14:paraId="7800B02C" w14:textId="77777777" w:rsidR="00F251D5" w:rsidRPr="006C7C21" w:rsidRDefault="00F251D5" w:rsidP="00F251D5">
      <w:pPr>
        <w:rPr>
          <w:sz w:val="22"/>
          <w:szCs w:val="22"/>
        </w:rPr>
      </w:pPr>
    </w:p>
    <w:p w14:paraId="4D73833E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 kezelési ciklusok számát a kezelést végző klinikai szakembernek kell meghatároznia a helyi kezelési protokollok és irányelvek szerint; figyelembe kell vennie a kezelés sikerét és tolerálhatóságát az egyes betegeknél. </w:t>
      </w:r>
    </w:p>
    <w:p w14:paraId="637EB3B8" w14:textId="77777777" w:rsidR="00F251D5" w:rsidRPr="006C7C21" w:rsidRDefault="00F251D5" w:rsidP="00F251D5">
      <w:pPr>
        <w:rPr>
          <w:sz w:val="22"/>
          <w:szCs w:val="22"/>
        </w:rPr>
      </w:pPr>
    </w:p>
    <w:p w14:paraId="0EC17DA7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 bevezető kezelést kórházban kell beadni. </w:t>
      </w:r>
    </w:p>
    <w:p w14:paraId="2FFE210C" w14:textId="77777777" w:rsidR="00F251D5" w:rsidRPr="006C7C21" w:rsidRDefault="00F251D5" w:rsidP="00F251D5">
      <w:pPr>
        <w:rPr>
          <w:sz w:val="22"/>
          <w:szCs w:val="22"/>
        </w:rPr>
      </w:pPr>
    </w:p>
    <w:p w14:paraId="434697BC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Adagcsökkentés javasolt azoknál a betegeknél, akik a következő állapotok bármelyikében szenvednek:</w:t>
      </w:r>
    </w:p>
    <w:p w14:paraId="0637E0FD" w14:textId="77777777" w:rsidR="00F251D5" w:rsidRPr="006C7C21" w:rsidRDefault="00F251D5" w:rsidP="00F251D5">
      <w:pPr>
        <w:numPr>
          <w:ilvl w:val="0"/>
          <w:numId w:val="40"/>
        </w:numPr>
        <w:ind w:left="567" w:hanging="567"/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Cachexia</w:t>
      </w:r>
    </w:p>
    <w:p w14:paraId="28BF0DA6" w14:textId="77777777" w:rsidR="00F251D5" w:rsidRPr="006C7C21" w:rsidRDefault="00F251D5" w:rsidP="00F251D5">
      <w:pPr>
        <w:numPr>
          <w:ilvl w:val="0"/>
          <w:numId w:val="40"/>
        </w:numPr>
        <w:ind w:left="567" w:hanging="567"/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Nagy műtét az előző 30 napban</w:t>
      </w:r>
    </w:p>
    <w:p w14:paraId="447B5493" w14:textId="77777777" w:rsidR="00F251D5" w:rsidRPr="006C7C21" w:rsidRDefault="00F251D5" w:rsidP="00F251D5">
      <w:pPr>
        <w:numPr>
          <w:ilvl w:val="0"/>
          <w:numId w:val="40"/>
        </w:numPr>
        <w:ind w:left="567" w:hanging="567"/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Csökkent csontvelőműködés</w:t>
      </w:r>
    </w:p>
    <w:p w14:paraId="4A6858E1" w14:textId="77777777" w:rsidR="00F251D5" w:rsidRPr="006C7C21" w:rsidRDefault="00F251D5" w:rsidP="00F251D5">
      <w:pPr>
        <w:numPr>
          <w:ilvl w:val="0"/>
          <w:numId w:val="40"/>
        </w:numPr>
        <w:ind w:left="567" w:hanging="567"/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Károsodott máj- vagy vesefunkció</w:t>
      </w:r>
    </w:p>
    <w:p w14:paraId="20268289" w14:textId="77777777" w:rsidR="00F251D5" w:rsidRPr="006C7C21" w:rsidRDefault="00F251D5" w:rsidP="00F251D5">
      <w:pPr>
        <w:rPr>
          <w:sz w:val="22"/>
          <w:szCs w:val="22"/>
        </w:rPr>
      </w:pPr>
    </w:p>
    <w:p w14:paraId="006A9099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Az 5-fluorouracilt kapó felnőtt vagy idős betegeknél minden adag előtt ellenőrizni kell, hogy nem alakult-e ki hematológiai (vérlemezke-, leukocita- és granulocitaszám), gastrointestinalis (stomatitis, hasmenés, gastrointestinalis eredetű vérzés) vagy neurológiai toxicitás, az 5-fluorouracil adagját pedig szükség esetén csökkenteni kell, vagy nem szabad beadni. </w:t>
      </w:r>
    </w:p>
    <w:p w14:paraId="1339F45C" w14:textId="77777777" w:rsidR="00F251D5" w:rsidRPr="006C7C21" w:rsidRDefault="00F251D5" w:rsidP="00F251D5">
      <w:pPr>
        <w:rPr>
          <w:sz w:val="22"/>
          <w:szCs w:val="22"/>
        </w:rPr>
      </w:pPr>
    </w:p>
    <w:p w14:paraId="3160186F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adagolás módosítása vagy a gyógyszerkészítmény alkalmazásának megszüntetése a nemkívánatos hatások előfordulásától függ. A hematológiai toxicitások, mint a leukociták számának csökkenése (≤ 3500/mm</w:t>
      </w:r>
      <w:r w:rsidRPr="006C7C21">
        <w:rPr>
          <w:sz w:val="22"/>
          <w:szCs w:val="22"/>
          <w:vertAlign w:val="superscript"/>
          <w:lang w:val="hu"/>
        </w:rPr>
        <w:t>3</w:t>
      </w:r>
      <w:r w:rsidRPr="006C7C21">
        <w:rPr>
          <w:sz w:val="22"/>
          <w:szCs w:val="22"/>
          <w:lang w:val="hu"/>
        </w:rPr>
        <w:t>) és/vagy a vérlemezkeszám csökkenése (≤ 100 000/mm</w:t>
      </w:r>
      <w:r w:rsidRPr="006C7C21">
        <w:rPr>
          <w:sz w:val="22"/>
          <w:szCs w:val="22"/>
          <w:vertAlign w:val="superscript"/>
          <w:lang w:val="hu"/>
        </w:rPr>
        <w:t>3</w:t>
      </w:r>
      <w:r w:rsidRPr="006C7C21">
        <w:rPr>
          <w:sz w:val="22"/>
          <w:szCs w:val="22"/>
          <w:lang w:val="hu"/>
        </w:rPr>
        <w:t>) a kezelés megszakítását teheti szükségessé. A kezelés újrakezdéséről az azt végző klinikai szakorvos dönt az adott klinikai helyzet függvényében.</w:t>
      </w:r>
    </w:p>
    <w:p w14:paraId="4E962357" w14:textId="77777777" w:rsidR="00F251D5" w:rsidRPr="006C7C21" w:rsidRDefault="00F251D5" w:rsidP="00F251D5">
      <w:pPr>
        <w:rPr>
          <w:sz w:val="22"/>
          <w:szCs w:val="22"/>
        </w:rPr>
      </w:pPr>
    </w:p>
    <w:p w14:paraId="70D6ADF6" w14:textId="77777777" w:rsidR="00F251D5" w:rsidRPr="006C7C21" w:rsidRDefault="00F251D5" w:rsidP="00F251D5">
      <w:pPr>
        <w:rPr>
          <w:b/>
          <w:sz w:val="22"/>
          <w:szCs w:val="22"/>
        </w:rPr>
      </w:pPr>
      <w:r w:rsidRPr="006C7C21">
        <w:rPr>
          <w:b/>
          <w:sz w:val="22"/>
          <w:szCs w:val="22"/>
          <w:lang w:val="hu"/>
        </w:rPr>
        <w:t>Colorectalis daganat:</w:t>
      </w:r>
    </w:p>
    <w:p w14:paraId="76DCA75B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5-fluorouracilt számos kezelési séma részeként használják a vastagbél- és a végbélrák kezelésére. Az 5-fluorouracilt folinsavval javasolt alkalmazni. A gyakran alkalmazott kezelési sémákban az 5</w:t>
      </w:r>
      <w:r w:rsidRPr="006C7C21">
        <w:rPr>
          <w:sz w:val="22"/>
          <w:szCs w:val="22"/>
          <w:lang w:val="hu"/>
        </w:rPr>
        <w:noBreakHyphen/>
        <w:t xml:space="preserve">fluorouracilt és folinsavat más kemoterápiás szerekkel, például irinotekánnal (FOLFIRI vagy FLIRI), oxaliplatinnal (FOLFOX), vagy irinotekánnal és oxaliplatinnal (FOLFIRINOX) is kombinálják. </w:t>
      </w:r>
    </w:p>
    <w:p w14:paraId="0A0D4AF8" w14:textId="77777777" w:rsidR="00F251D5" w:rsidRPr="006C7C21" w:rsidRDefault="00F251D5" w:rsidP="00F251D5">
      <w:pPr>
        <w:rPr>
          <w:sz w:val="22"/>
          <w:szCs w:val="22"/>
        </w:rPr>
      </w:pPr>
    </w:p>
    <w:p w14:paraId="3B01B7C7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5-fluorouracilt rendszerint 200</w:t>
      </w:r>
      <w:r w:rsidRPr="006C7C21">
        <w:rPr>
          <w:sz w:val="22"/>
          <w:szCs w:val="22"/>
          <w:lang w:val="hu"/>
        </w:rPr>
        <w:noBreakHyphen/>
        <w:t>600 mg/test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 xml:space="preserve"> közötti dózistartományban alkalmazzák. Az adag aszerint is változik, hogy a készítményt intravénás bólus vagy folyamatos intravénás infúzió formájában alkalmazzák. </w:t>
      </w:r>
    </w:p>
    <w:p w14:paraId="4BF42329" w14:textId="77777777" w:rsidR="00F251D5" w:rsidRPr="006C7C21" w:rsidRDefault="00F251D5" w:rsidP="00F251D5">
      <w:pPr>
        <w:rPr>
          <w:sz w:val="22"/>
          <w:szCs w:val="22"/>
        </w:rPr>
      </w:pPr>
    </w:p>
    <w:p w14:paraId="6FF5BBE0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Az adagolási időpontok szintén változnak a kemoterápiás sémától függően; az 5-fluorouracil alkalmazható hetenként, kéthavonta vagy havonta. </w:t>
      </w:r>
    </w:p>
    <w:p w14:paraId="4135745D" w14:textId="77777777" w:rsidR="00F251D5" w:rsidRPr="006C7C21" w:rsidRDefault="00F251D5" w:rsidP="00F251D5">
      <w:pPr>
        <w:rPr>
          <w:sz w:val="22"/>
          <w:szCs w:val="22"/>
        </w:rPr>
      </w:pPr>
    </w:p>
    <w:p w14:paraId="3ABDF485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 ciklusok száma a</w:t>
      </w:r>
      <w:r w:rsidR="00DC1FFF">
        <w:rPr>
          <w:sz w:val="22"/>
          <w:szCs w:val="22"/>
          <w:lang w:val="hu"/>
        </w:rPr>
        <w:t>z</w:t>
      </w:r>
      <w:r w:rsidRPr="006C7C21">
        <w:rPr>
          <w:sz w:val="22"/>
          <w:szCs w:val="22"/>
          <w:lang w:val="hu"/>
        </w:rPr>
        <w:t xml:space="preserve"> alkalmazott kezelési sémától, valamint a kezelés sikerén és tolerálhatóságán alapuló klinikai döntéstől függ. </w:t>
      </w:r>
    </w:p>
    <w:p w14:paraId="245A58E7" w14:textId="77777777" w:rsidR="00F251D5" w:rsidRPr="006C7C21" w:rsidRDefault="00F251D5" w:rsidP="00F251D5">
      <w:pPr>
        <w:rPr>
          <w:sz w:val="22"/>
          <w:szCs w:val="22"/>
        </w:rPr>
      </w:pPr>
    </w:p>
    <w:p w14:paraId="39114D71" w14:textId="77777777" w:rsidR="00F251D5" w:rsidRPr="006C7C21" w:rsidRDefault="00F251D5" w:rsidP="00F251D5">
      <w:pPr>
        <w:keepNext/>
        <w:rPr>
          <w:b/>
          <w:sz w:val="22"/>
          <w:szCs w:val="22"/>
        </w:rPr>
      </w:pPr>
      <w:r w:rsidRPr="006C7C21">
        <w:rPr>
          <w:b/>
          <w:sz w:val="22"/>
          <w:szCs w:val="22"/>
          <w:lang w:val="hu"/>
        </w:rPr>
        <w:t xml:space="preserve">Emlőrák: </w:t>
      </w:r>
    </w:p>
    <w:p w14:paraId="67D4B261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 kemoterápiás kezelési sémákban az 5-fluorouracilt gyakran alkalmazzák ciklofoszfamiddal és metotrexáttal (CFM), epirubicinnel és ciklofoszfamiddal (FEC) vagy metotrexáttal és leukovorinnal (MFL) kombinálva. A szokásos dózistartomány intravénás bólus alkalmazása esetén 500</w:t>
      </w:r>
      <w:r w:rsidRPr="006C7C21">
        <w:rPr>
          <w:sz w:val="22"/>
          <w:szCs w:val="22"/>
          <w:lang w:val="hu"/>
        </w:rPr>
        <w:noBreakHyphen/>
        <w:t>600 mg/test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>, szükség szerint 3</w:t>
      </w:r>
      <w:r w:rsidRPr="006C7C21">
        <w:rPr>
          <w:sz w:val="22"/>
          <w:szCs w:val="22"/>
          <w:lang w:val="hu"/>
        </w:rPr>
        <w:noBreakHyphen/>
        <w:t>4 hetenként ismételve. Elsődleges invazív emlőrák adjuváns kezelésében alkalmazva a kezelés rendszerint 6 cikluson keresztül tart.</w:t>
      </w:r>
    </w:p>
    <w:p w14:paraId="65CC1445" w14:textId="77777777" w:rsidR="00F251D5" w:rsidRPr="006C7C21" w:rsidRDefault="00F251D5" w:rsidP="00F251D5">
      <w:pPr>
        <w:rPr>
          <w:sz w:val="22"/>
          <w:szCs w:val="22"/>
        </w:rPr>
      </w:pPr>
    </w:p>
    <w:p w14:paraId="61327D85" w14:textId="77777777" w:rsidR="00F251D5" w:rsidRPr="006C7C21" w:rsidRDefault="00F251D5" w:rsidP="00F251D5">
      <w:pPr>
        <w:rPr>
          <w:b/>
          <w:sz w:val="22"/>
          <w:szCs w:val="22"/>
        </w:rPr>
      </w:pPr>
      <w:r w:rsidRPr="006C7C21">
        <w:rPr>
          <w:b/>
          <w:sz w:val="22"/>
          <w:szCs w:val="22"/>
          <w:lang w:val="hu"/>
        </w:rPr>
        <w:t xml:space="preserve">Gyomorrák és a gastroesophagealis junctio daganata: </w:t>
      </w:r>
    </w:p>
    <w:p w14:paraId="69064B14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Jelenleg az ECF</w:t>
      </w:r>
      <w:r w:rsidRPr="006C7C21">
        <w:rPr>
          <w:sz w:val="22"/>
          <w:szCs w:val="22"/>
          <w:lang w:val="hu"/>
        </w:rPr>
        <w:noBreakHyphen/>
        <w:t>kezeléssel (epirubicin, ciszplatin, 5-fluorouracil) végzett perioperatív kemoterápia javasolt. Az 5-fluorouracil javasolt adagja naponta 200 mg/</w:t>
      </w:r>
      <w:r w:rsidR="00DC1FFF" w:rsidRPr="006C7C21">
        <w:rPr>
          <w:sz w:val="22"/>
          <w:szCs w:val="22"/>
          <w:lang w:val="hu"/>
        </w:rPr>
        <w:t>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>, folyamatos intravénás infúzióként, 3 héten keresztül. 6 ciklus adása javasolt, ez azonban függ a kezelés sikerétől és attól, hogy a beteg hogyan tolerálja a gyógyszert.</w:t>
      </w:r>
    </w:p>
    <w:p w14:paraId="317B3075" w14:textId="77777777" w:rsidR="00F251D5" w:rsidRPr="006C7C21" w:rsidRDefault="00F251D5" w:rsidP="00F251D5">
      <w:pPr>
        <w:rPr>
          <w:sz w:val="22"/>
          <w:szCs w:val="22"/>
        </w:rPr>
      </w:pPr>
    </w:p>
    <w:p w14:paraId="5DFECB73" w14:textId="77777777" w:rsidR="00F251D5" w:rsidRPr="006C7C21" w:rsidRDefault="00F251D5" w:rsidP="00F251D5">
      <w:pPr>
        <w:rPr>
          <w:b/>
          <w:sz w:val="22"/>
          <w:szCs w:val="22"/>
        </w:rPr>
      </w:pPr>
      <w:r w:rsidRPr="006C7C21">
        <w:rPr>
          <w:b/>
          <w:sz w:val="22"/>
          <w:szCs w:val="22"/>
          <w:lang w:val="hu"/>
        </w:rPr>
        <w:t xml:space="preserve">Nyelőcsőrák: </w:t>
      </w:r>
    </w:p>
    <w:p w14:paraId="12CFD78B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5-fluorouracilt gyakran alkalmazzák ciszplatinnal, vagy ciszplatinnal és epirubicinnel vagy epirubicinnel és oxaliplatinnal kombinálva. Az adag napi 200</w:t>
      </w:r>
      <w:r w:rsidRPr="006C7C21">
        <w:rPr>
          <w:sz w:val="22"/>
          <w:szCs w:val="22"/>
          <w:lang w:val="hu"/>
        </w:rPr>
        <w:noBreakHyphen/>
        <w:t>1000 mg/</w:t>
      </w:r>
      <w:r w:rsidR="00DC1FFF" w:rsidRPr="006C7C21">
        <w:rPr>
          <w:sz w:val="22"/>
          <w:szCs w:val="22"/>
          <w:lang w:val="hu"/>
        </w:rPr>
        <w:t>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 xml:space="preserve"> között változik, amit több napon keresztül alkalmazott folyamatos intravénás infúzióként adnak, a kezelési sémától függően ciklusosan ismételve.</w:t>
      </w:r>
    </w:p>
    <w:p w14:paraId="4A8C9E07" w14:textId="77777777" w:rsidR="00F251D5" w:rsidRPr="006C7C21" w:rsidRDefault="00F251D5" w:rsidP="00F251D5">
      <w:pPr>
        <w:rPr>
          <w:sz w:val="22"/>
          <w:szCs w:val="22"/>
        </w:rPr>
      </w:pPr>
    </w:p>
    <w:p w14:paraId="0F9744AB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 nyelőcső alsó szakaszát érintő daganatok esetében rendszerint az ECF</w:t>
      </w:r>
      <w:r w:rsidRPr="006C7C21">
        <w:rPr>
          <w:sz w:val="22"/>
          <w:szCs w:val="22"/>
          <w:lang w:val="hu"/>
        </w:rPr>
        <w:noBreakHyphen/>
        <w:t>kezeléssel (epirubicin, ciszplatin, 5-fluorouracil) végzett perioperatív kemoterápia javasolt. Az 5-fluorouracil javasolt adagja naponta 200 mg/</w:t>
      </w:r>
      <w:r w:rsidR="00DC1FFF" w:rsidRPr="006C7C21">
        <w:rPr>
          <w:sz w:val="22"/>
          <w:szCs w:val="22"/>
          <w:lang w:val="hu"/>
        </w:rPr>
        <w:t>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 xml:space="preserve"> folyamatos intravénás infúzióként, 3 héten keresztül, ciklusosan ismételve.</w:t>
      </w:r>
    </w:p>
    <w:p w14:paraId="39320A98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 xml:space="preserve">Az 5-fluorouracil/ciszplatin sugárkezeléssel kombinált alkalmazásával kapcsolatban, kérjük, tanulmányozza a szakirodalmat. </w:t>
      </w:r>
    </w:p>
    <w:p w14:paraId="4FCD4515" w14:textId="77777777" w:rsidR="00F251D5" w:rsidRPr="006C7C21" w:rsidRDefault="00F251D5" w:rsidP="00F251D5">
      <w:pPr>
        <w:rPr>
          <w:sz w:val="22"/>
          <w:szCs w:val="22"/>
        </w:rPr>
      </w:pPr>
    </w:p>
    <w:p w14:paraId="10E004A2" w14:textId="77777777" w:rsidR="00F251D5" w:rsidRPr="006C7C21" w:rsidRDefault="00F251D5" w:rsidP="00F251D5">
      <w:pPr>
        <w:rPr>
          <w:b/>
          <w:sz w:val="22"/>
          <w:szCs w:val="22"/>
        </w:rPr>
      </w:pPr>
      <w:r w:rsidRPr="006C7C21">
        <w:rPr>
          <w:b/>
          <w:sz w:val="22"/>
          <w:szCs w:val="22"/>
          <w:lang w:val="hu"/>
        </w:rPr>
        <w:t xml:space="preserve">Hasnyálmirigyrák: </w:t>
      </w:r>
    </w:p>
    <w:p w14:paraId="7D1E71B2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5-fluorouracilt lehetőleg folinsavval vagy gemcitabinnal kombinálva ajánlott alkalmazni. Az adag a kezelési sémától függően napi 200</w:t>
      </w:r>
      <w:r w:rsidRPr="006C7C21">
        <w:rPr>
          <w:sz w:val="22"/>
          <w:szCs w:val="22"/>
          <w:lang w:val="hu"/>
        </w:rPr>
        <w:noBreakHyphen/>
        <w:t>500 mg/</w:t>
      </w:r>
      <w:r w:rsidR="00DC1FFF" w:rsidRPr="006C7C21">
        <w:rPr>
          <w:sz w:val="22"/>
          <w:szCs w:val="22"/>
          <w:lang w:val="hu"/>
        </w:rPr>
        <w:t>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 xml:space="preserve"> között változik, intravénás bólus injekcióként vagy intravénás infúzióként adva, ciklusosan ismételve. </w:t>
      </w:r>
    </w:p>
    <w:p w14:paraId="13FCB85F" w14:textId="77777777" w:rsidR="00F251D5" w:rsidRPr="006C7C21" w:rsidRDefault="00F251D5" w:rsidP="00F251D5">
      <w:pPr>
        <w:rPr>
          <w:sz w:val="22"/>
          <w:szCs w:val="22"/>
        </w:rPr>
      </w:pPr>
    </w:p>
    <w:p w14:paraId="6139CDFB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b/>
          <w:sz w:val="22"/>
          <w:szCs w:val="22"/>
          <w:lang w:val="hu"/>
        </w:rPr>
        <w:t>A fej és a nyak daganata</w:t>
      </w:r>
      <w:r w:rsidRPr="006C7C21">
        <w:rPr>
          <w:sz w:val="22"/>
          <w:szCs w:val="22"/>
          <w:lang w:val="hu"/>
        </w:rPr>
        <w:t>:</w:t>
      </w:r>
    </w:p>
    <w:p w14:paraId="019FFC3D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5-fluorouracilt ciszplatinnal vagy karboplatinnal kombinálva javasolt alkalmazni. Az adag a kezelési sémától függően napi 600</w:t>
      </w:r>
      <w:r w:rsidRPr="006C7C21">
        <w:rPr>
          <w:sz w:val="22"/>
          <w:szCs w:val="22"/>
          <w:lang w:val="hu"/>
        </w:rPr>
        <w:noBreakHyphen/>
        <w:t>1200 mg/</w:t>
      </w:r>
      <w:r w:rsidR="00DC1FFF" w:rsidRPr="006C7C21">
        <w:rPr>
          <w:sz w:val="22"/>
          <w:szCs w:val="22"/>
          <w:lang w:val="hu"/>
        </w:rPr>
        <w:t>test</w:t>
      </w:r>
      <w:r w:rsidR="00DC1FFF">
        <w:rPr>
          <w:sz w:val="22"/>
          <w:szCs w:val="22"/>
          <w:lang w:val="hu"/>
        </w:rPr>
        <w:t>felszín</w:t>
      </w:r>
      <w:r w:rsidRPr="006C7C21">
        <w:rPr>
          <w:sz w:val="22"/>
          <w:szCs w:val="22"/>
          <w:lang w:val="hu"/>
        </w:rPr>
        <w:noBreakHyphen/>
        <w:t>m</w:t>
      </w:r>
      <w:r w:rsidRPr="006C7C21">
        <w:rPr>
          <w:sz w:val="22"/>
          <w:szCs w:val="22"/>
          <w:vertAlign w:val="superscript"/>
          <w:lang w:val="hu"/>
        </w:rPr>
        <w:t>2</w:t>
      </w:r>
      <w:r w:rsidRPr="006C7C21">
        <w:rPr>
          <w:sz w:val="22"/>
          <w:szCs w:val="22"/>
          <w:lang w:val="hu"/>
        </w:rPr>
        <w:t xml:space="preserve"> között változik, több napig alkalmazott intravénás infúzióként adva, ciklusosan ismételve. </w:t>
      </w:r>
    </w:p>
    <w:p w14:paraId="719C72C5" w14:textId="77777777" w:rsidR="00F251D5" w:rsidRPr="006C7C21" w:rsidRDefault="00F251D5" w:rsidP="00F251D5">
      <w:pPr>
        <w:rPr>
          <w:sz w:val="22"/>
          <w:szCs w:val="22"/>
        </w:rPr>
      </w:pPr>
    </w:p>
    <w:p w14:paraId="19EBDBC4" w14:textId="77777777" w:rsidR="00F251D5" w:rsidRPr="006C7C21" w:rsidRDefault="00F251D5" w:rsidP="00F251D5">
      <w:pPr>
        <w:rPr>
          <w:sz w:val="22"/>
          <w:szCs w:val="22"/>
        </w:rPr>
      </w:pPr>
      <w:r w:rsidRPr="006C7C21">
        <w:rPr>
          <w:sz w:val="22"/>
          <w:szCs w:val="22"/>
          <w:lang w:val="hu"/>
        </w:rPr>
        <w:t>Az 5-fluorouracil/ciszplatin vagy karboplatin sugárkezeléssel kombinált alkalmazásával kapcsolatban, kérjük, tanulmányozza a szakirodalmat.</w:t>
      </w:r>
    </w:p>
    <w:p w14:paraId="085AB850" w14:textId="77777777" w:rsidR="00F251D5" w:rsidRPr="00DD0BA2" w:rsidRDefault="00F251D5" w:rsidP="00DD0BA2">
      <w:pPr>
        <w:widowControl w:val="0"/>
        <w:rPr>
          <w:sz w:val="22"/>
          <w:szCs w:val="22"/>
        </w:rPr>
      </w:pPr>
    </w:p>
    <w:p w14:paraId="1B5D7AD4" w14:textId="77777777" w:rsidR="00F251D5" w:rsidRPr="006C7C21" w:rsidRDefault="00F251D5" w:rsidP="00F251D5">
      <w:pPr>
        <w:rPr>
          <w:b/>
          <w:sz w:val="22"/>
          <w:szCs w:val="22"/>
          <w:u w:val="single"/>
        </w:rPr>
      </w:pPr>
      <w:r w:rsidRPr="006C7C21">
        <w:rPr>
          <w:b/>
          <w:sz w:val="22"/>
          <w:szCs w:val="22"/>
          <w:u w:val="single"/>
        </w:rPr>
        <w:t>Különleges betegcsoportok</w:t>
      </w:r>
    </w:p>
    <w:p w14:paraId="6C3DDF78" w14:textId="77777777" w:rsidR="00F251D5" w:rsidRPr="006C7C21" w:rsidRDefault="00F251D5" w:rsidP="00F251D5">
      <w:pPr>
        <w:rPr>
          <w:sz w:val="22"/>
          <w:szCs w:val="22"/>
        </w:rPr>
      </w:pPr>
    </w:p>
    <w:p w14:paraId="1CB2F13D" w14:textId="77777777" w:rsidR="00F251D5" w:rsidRPr="006C7C21" w:rsidRDefault="00F251D5" w:rsidP="00F251D5">
      <w:pPr>
        <w:outlineLvl w:val="0"/>
        <w:rPr>
          <w:b/>
          <w:sz w:val="22"/>
          <w:szCs w:val="22"/>
        </w:rPr>
      </w:pPr>
      <w:r w:rsidRPr="006C7C21">
        <w:rPr>
          <w:b/>
          <w:sz w:val="22"/>
          <w:szCs w:val="22"/>
        </w:rPr>
        <w:t>Máj- vagy vesekárosodás</w:t>
      </w:r>
    </w:p>
    <w:p w14:paraId="17DD6158" w14:textId="77777777" w:rsidR="00F251D5" w:rsidRPr="006C7C21" w:rsidRDefault="00F251D5" w:rsidP="00F251D5">
      <w:pPr>
        <w:outlineLvl w:val="0"/>
        <w:rPr>
          <w:sz w:val="22"/>
          <w:szCs w:val="22"/>
        </w:rPr>
      </w:pPr>
      <w:r w:rsidRPr="006C7C21">
        <w:rPr>
          <w:sz w:val="22"/>
          <w:szCs w:val="22"/>
        </w:rPr>
        <w:t xml:space="preserve">Vese- vagy májkárosodásban szenvedő betegeknél elővigyázatosság javasolt és az adag csökkentésére is szükség lehet. </w:t>
      </w:r>
    </w:p>
    <w:p w14:paraId="22EC1894" w14:textId="77777777" w:rsidR="00F251D5" w:rsidRPr="006C7C21" w:rsidRDefault="00F251D5" w:rsidP="00F251D5">
      <w:pPr>
        <w:outlineLvl w:val="0"/>
        <w:rPr>
          <w:sz w:val="22"/>
          <w:szCs w:val="22"/>
        </w:rPr>
      </w:pPr>
    </w:p>
    <w:p w14:paraId="5677B4AA" w14:textId="77777777" w:rsidR="00F251D5" w:rsidRPr="006C7C21" w:rsidRDefault="00F251D5" w:rsidP="00F251D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Gyermekek és serdülők</w:t>
      </w:r>
    </w:p>
    <w:p w14:paraId="495AC1DD" w14:textId="77777777" w:rsidR="00F251D5" w:rsidRPr="006C7C21" w:rsidRDefault="00F251D5" w:rsidP="00F251D5">
      <w:pPr>
        <w:pStyle w:val="Szvegtrzs3"/>
        <w:widowControl w:val="0"/>
        <w:jc w:val="left"/>
        <w:rPr>
          <w:sz w:val="22"/>
          <w:szCs w:val="22"/>
        </w:rPr>
      </w:pPr>
      <w:r w:rsidRPr="006C7C21">
        <w:rPr>
          <w:sz w:val="22"/>
          <w:szCs w:val="22"/>
        </w:rPr>
        <w:t>A fluorouracil alkalmazása gyermekeknél nem javasolt, mivel nem áll rendelkezésre elegendő adat a gyógyszer hatásosságára és biztonságosságára vonatkozóan.</w:t>
      </w:r>
    </w:p>
    <w:p w14:paraId="39CC0889" w14:textId="77777777" w:rsidR="00F251D5" w:rsidRPr="006C7C21" w:rsidRDefault="00F251D5" w:rsidP="00F251D5">
      <w:pPr>
        <w:pStyle w:val="Szvegtrzs3"/>
        <w:widowControl w:val="0"/>
        <w:jc w:val="left"/>
        <w:rPr>
          <w:sz w:val="22"/>
          <w:szCs w:val="22"/>
        </w:rPr>
      </w:pPr>
    </w:p>
    <w:p w14:paraId="63705406" w14:textId="77777777" w:rsidR="00F251D5" w:rsidRPr="006C7C21" w:rsidRDefault="00F251D5" w:rsidP="00F251D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Idősek</w:t>
      </w:r>
    </w:p>
    <w:p w14:paraId="6754455E" w14:textId="77777777" w:rsidR="00F251D5" w:rsidRPr="006C7C21" w:rsidRDefault="00F251D5" w:rsidP="00F251D5">
      <w:pPr>
        <w:outlineLvl w:val="0"/>
        <w:rPr>
          <w:sz w:val="22"/>
          <w:szCs w:val="22"/>
        </w:rPr>
      </w:pPr>
      <w:r w:rsidRPr="00DC1FFF">
        <w:rPr>
          <w:sz w:val="22"/>
          <w:szCs w:val="22"/>
        </w:rPr>
        <w:t>Nincs szükség az adagolás módosítására</w:t>
      </w:r>
      <w:r w:rsidR="00CB5F56" w:rsidRPr="00DC1FFF">
        <w:rPr>
          <w:sz w:val="22"/>
          <w:szCs w:val="22"/>
        </w:rPr>
        <w:t>, de figyelembe kell venni bármilyen, az idős korral járó állapotot az adag meghatározásakor</w:t>
      </w:r>
      <w:r w:rsidRPr="00DC1FFF">
        <w:rPr>
          <w:sz w:val="22"/>
          <w:szCs w:val="22"/>
        </w:rPr>
        <w:t>.</w:t>
      </w:r>
    </w:p>
    <w:p w14:paraId="26F6032A" w14:textId="77777777" w:rsidR="00F251D5" w:rsidRPr="006C7C21" w:rsidRDefault="00F251D5" w:rsidP="00F251D5">
      <w:pPr>
        <w:outlineLvl w:val="0"/>
        <w:rPr>
          <w:sz w:val="22"/>
          <w:szCs w:val="22"/>
        </w:rPr>
      </w:pPr>
    </w:p>
    <w:p w14:paraId="46E417D5" w14:textId="77777777" w:rsidR="00F251D5" w:rsidRPr="006C7C21" w:rsidRDefault="00F251D5" w:rsidP="00F251D5">
      <w:pPr>
        <w:pStyle w:val="NormlWeb"/>
        <w:keepNext/>
        <w:tabs>
          <w:tab w:val="left" w:pos="567"/>
        </w:tabs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6C7C21">
        <w:rPr>
          <w:b/>
          <w:color w:val="000000"/>
          <w:sz w:val="22"/>
          <w:szCs w:val="22"/>
        </w:rPr>
        <w:t>4.3</w:t>
      </w:r>
      <w:r w:rsidRPr="006C7C21">
        <w:rPr>
          <w:b/>
          <w:color w:val="000000"/>
          <w:sz w:val="22"/>
          <w:szCs w:val="22"/>
        </w:rPr>
        <w:tab/>
        <w:t>Ellenjavallatok</w:t>
      </w:r>
    </w:p>
    <w:p w14:paraId="37731B59" w14:textId="77777777" w:rsidR="00F251D5" w:rsidRPr="00DD0BA2" w:rsidRDefault="00F251D5" w:rsidP="00F251D5">
      <w:pPr>
        <w:pStyle w:val="NormlWeb"/>
        <w:keepNext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14:paraId="34603F84" w14:textId="19F29A4F" w:rsidR="00F251D5" w:rsidRPr="006C7C21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fluorouracil alkalmazása ellenjavallott</w:t>
      </w:r>
      <w:r w:rsidR="00540E42">
        <w:rPr>
          <w:sz w:val="22"/>
          <w:szCs w:val="22"/>
        </w:rPr>
        <w:t xml:space="preserve"> olyan betegeknél, akiknél fennállnak a következők</w:t>
      </w:r>
      <w:r w:rsidRPr="006C7C21">
        <w:rPr>
          <w:sz w:val="22"/>
          <w:szCs w:val="22"/>
        </w:rPr>
        <w:t xml:space="preserve">: </w:t>
      </w:r>
    </w:p>
    <w:p w14:paraId="78143A3A" w14:textId="0F87B9EB" w:rsidR="00540E42" w:rsidRDefault="00540E42" w:rsidP="00F251D5">
      <w:pPr>
        <w:pStyle w:val="Lista"/>
        <w:numPr>
          <w:ilvl w:val="0"/>
          <w:numId w:val="36"/>
        </w:numPr>
        <w:tabs>
          <w:tab w:val="clear" w:pos="708"/>
          <w:tab w:val="clear" w:pos="864"/>
          <w:tab w:val="clear" w:pos="5760"/>
          <w:tab w:val="clear" w:pos="9180"/>
          <w:tab w:val="clear" w:pos="9990"/>
        </w:tabs>
        <w:ind w:left="567" w:hanging="567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A készítmény hatóanyagával vagy a </w:t>
      </w:r>
      <w:r w:rsidRPr="00540E42">
        <w:rPr>
          <w:rFonts w:ascii="Times New Roman" w:hAnsi="Times New Roman" w:cs="Times New Roman"/>
          <w:sz w:val="22"/>
          <w:szCs w:val="22"/>
        </w:rPr>
        <w:t>6.1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540E42">
        <w:rPr>
          <w:rFonts w:ascii="Times New Roman" w:hAnsi="Times New Roman" w:cs="Times New Roman"/>
          <w:sz w:val="22"/>
          <w:szCs w:val="22"/>
        </w:rPr>
        <w:t>pontban felsorolt bármely segédanyagával szembeni túlérzékenység.</w:t>
      </w:r>
    </w:p>
    <w:p w14:paraId="6B717581" w14:textId="0B167E20" w:rsidR="00F251D5" w:rsidRPr="006C7C21" w:rsidRDefault="00914016" w:rsidP="00F251D5">
      <w:pPr>
        <w:pStyle w:val="Lista"/>
        <w:numPr>
          <w:ilvl w:val="0"/>
          <w:numId w:val="36"/>
        </w:numPr>
        <w:tabs>
          <w:tab w:val="clear" w:pos="708"/>
          <w:tab w:val="clear" w:pos="864"/>
          <w:tab w:val="clear" w:pos="5760"/>
          <w:tab w:val="clear" w:pos="9180"/>
          <w:tab w:val="clear" w:pos="9990"/>
        </w:tabs>
        <w:ind w:left="567" w:hanging="567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Potenciálisan s</w:t>
      </w:r>
      <w:r w:rsidR="00F251D5" w:rsidRPr="006C7C21">
        <w:rPr>
          <w:rFonts w:ascii="Times New Roman" w:hAnsi="Times New Roman" w:cs="Times New Roman"/>
          <w:sz w:val="22"/>
          <w:szCs w:val="22"/>
        </w:rPr>
        <w:t>úlyos fertőzések</w:t>
      </w:r>
      <w:r w:rsidR="00540E42">
        <w:rPr>
          <w:rFonts w:ascii="Times New Roman" w:hAnsi="Times New Roman" w:cs="Times New Roman"/>
          <w:sz w:val="22"/>
          <w:szCs w:val="22"/>
        </w:rPr>
        <w:t>ben szenvednek</w:t>
      </w:r>
      <w:r w:rsidR="00F251D5" w:rsidRPr="006C7C21">
        <w:rPr>
          <w:rFonts w:ascii="Times New Roman" w:hAnsi="Times New Roman" w:cs="Times New Roman"/>
          <w:sz w:val="22"/>
          <w:szCs w:val="22"/>
        </w:rPr>
        <w:t xml:space="preserve"> (pl. herpes zoster, bárányhimlő).</w:t>
      </w:r>
    </w:p>
    <w:p w14:paraId="7AB5CBCC" w14:textId="78F158A7" w:rsidR="00F251D5" w:rsidRPr="006C7C21" w:rsidRDefault="00F251D5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 w:rsidRPr="006C7C21">
        <w:rPr>
          <w:sz w:val="22"/>
          <w:szCs w:val="22"/>
        </w:rPr>
        <w:t xml:space="preserve">Súlyosan leromlott </w:t>
      </w:r>
      <w:r w:rsidR="00540E42">
        <w:rPr>
          <w:sz w:val="22"/>
          <w:szCs w:val="22"/>
        </w:rPr>
        <w:t xml:space="preserve">az </w:t>
      </w:r>
      <w:r w:rsidRPr="006C7C21">
        <w:rPr>
          <w:sz w:val="22"/>
          <w:szCs w:val="22"/>
        </w:rPr>
        <w:t>állapot</w:t>
      </w:r>
      <w:r w:rsidR="00540E42">
        <w:rPr>
          <w:sz w:val="22"/>
          <w:szCs w:val="22"/>
        </w:rPr>
        <w:t>uk</w:t>
      </w:r>
      <w:r w:rsidRPr="006C7C21">
        <w:rPr>
          <w:sz w:val="22"/>
          <w:szCs w:val="22"/>
        </w:rPr>
        <w:t>.</w:t>
      </w:r>
    </w:p>
    <w:p w14:paraId="2B584DB7" w14:textId="6E9B2766" w:rsidR="00F251D5" w:rsidRPr="006C7C21" w:rsidRDefault="00F251D5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 w:rsidRPr="006C7C21">
        <w:rPr>
          <w:sz w:val="22"/>
          <w:szCs w:val="22"/>
        </w:rPr>
        <w:t>Sugárkezelés vagy más antineoplasztikus készítmény alkalmazása után kialakult csontvelő</w:t>
      </w:r>
      <w:r w:rsidRPr="006C7C21">
        <w:rPr>
          <w:sz w:val="22"/>
          <w:szCs w:val="22"/>
        </w:rPr>
        <w:noBreakHyphen/>
        <w:t>depresszió</w:t>
      </w:r>
      <w:r w:rsidR="00540E42">
        <w:rPr>
          <w:sz w:val="22"/>
          <w:szCs w:val="22"/>
        </w:rPr>
        <w:t>ban szenvednek</w:t>
      </w:r>
      <w:r w:rsidRPr="006C7C21">
        <w:rPr>
          <w:sz w:val="22"/>
          <w:szCs w:val="22"/>
        </w:rPr>
        <w:t>.</w:t>
      </w:r>
    </w:p>
    <w:p w14:paraId="75AA4204" w14:textId="0CA65E6B" w:rsidR="00F251D5" w:rsidRPr="006C7C21" w:rsidRDefault="00F251D5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 w:rsidRPr="006C7C21">
        <w:rPr>
          <w:sz w:val="22"/>
          <w:szCs w:val="22"/>
        </w:rPr>
        <w:t>Nem</w:t>
      </w:r>
      <w:r w:rsidRPr="006C7C21">
        <w:rPr>
          <w:sz w:val="22"/>
          <w:szCs w:val="22"/>
        </w:rPr>
        <w:noBreakHyphen/>
        <w:t>malignus betegség kezelése</w:t>
      </w:r>
      <w:r w:rsidR="007F126A">
        <w:rPr>
          <w:sz w:val="22"/>
          <w:szCs w:val="22"/>
        </w:rPr>
        <w:t xml:space="preserve"> alatt állnak</w:t>
      </w:r>
      <w:r w:rsidRPr="006C7C21">
        <w:rPr>
          <w:sz w:val="22"/>
          <w:szCs w:val="22"/>
        </w:rPr>
        <w:t>.</w:t>
      </w:r>
    </w:p>
    <w:p w14:paraId="1FB379CF" w14:textId="67A0E912" w:rsidR="00F251D5" w:rsidRPr="006C7C21" w:rsidRDefault="00F251D5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 w:rsidRPr="006C7C21">
        <w:rPr>
          <w:sz w:val="22"/>
          <w:szCs w:val="22"/>
        </w:rPr>
        <w:t>Súlyos májkárosodás</w:t>
      </w:r>
      <w:r w:rsidR="00540E42">
        <w:rPr>
          <w:sz w:val="22"/>
          <w:szCs w:val="22"/>
        </w:rPr>
        <w:t>ban szenvednek</w:t>
      </w:r>
      <w:r w:rsidRPr="006C7C21">
        <w:rPr>
          <w:sz w:val="22"/>
          <w:szCs w:val="22"/>
        </w:rPr>
        <w:t>.</w:t>
      </w:r>
    </w:p>
    <w:p w14:paraId="4354B278" w14:textId="409D2C20" w:rsidR="00F251D5" w:rsidRPr="006C7C21" w:rsidRDefault="00540E42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Kezelést kaptak </w:t>
      </w:r>
      <w:r w:rsidR="00F251D5" w:rsidRPr="006C7C21">
        <w:rPr>
          <w:sz w:val="22"/>
          <w:szCs w:val="22"/>
        </w:rPr>
        <w:t xml:space="preserve">brivudinnal, szorivudinnal </w:t>
      </w:r>
      <w:r>
        <w:rPr>
          <w:sz w:val="22"/>
          <w:szCs w:val="22"/>
        </w:rPr>
        <w:t xml:space="preserve">vagy hasonló kémiai szerkezetű </w:t>
      </w:r>
      <w:r w:rsidR="00F251D5" w:rsidRPr="006C7C21">
        <w:rPr>
          <w:sz w:val="22"/>
          <w:szCs w:val="22"/>
        </w:rPr>
        <w:t>analógjaikkal kombinálva</w:t>
      </w:r>
      <w:r>
        <w:rPr>
          <w:sz w:val="22"/>
          <w:szCs w:val="22"/>
        </w:rPr>
        <w:t>, amelyek</w:t>
      </w:r>
      <w:r w:rsidR="00F251D5" w:rsidRPr="006C7C21">
        <w:rPr>
          <w:sz w:val="22"/>
          <w:szCs w:val="22"/>
        </w:rPr>
        <w:t xml:space="preserve"> az 5-FU metabolizmusát végző enzim, a dihidropirimidin-dehidrogenáz (DPD) erős gátlói (lásd 4.5 pont).</w:t>
      </w:r>
      <w:r>
        <w:rPr>
          <w:sz w:val="22"/>
          <w:szCs w:val="22"/>
        </w:rPr>
        <w:t xml:space="preserve"> </w:t>
      </w:r>
      <w:r w:rsidR="00610ABA" w:rsidRPr="00610ABA">
        <w:rPr>
          <w:sz w:val="22"/>
          <w:szCs w:val="22"/>
          <w:lang w:val="hu"/>
        </w:rPr>
        <w:t>Legalább 4 hétnek el kell telnie a fluorouracil alkalmazása és a brivudin, a szorivudin vagy azok hasonló kémiai szerkezetű analógjaival végzett kezelés között</w:t>
      </w:r>
      <w:r w:rsidRPr="00540E42">
        <w:rPr>
          <w:sz w:val="22"/>
          <w:szCs w:val="22"/>
          <w:lang w:val="hu"/>
        </w:rPr>
        <w:t>.</w:t>
      </w:r>
    </w:p>
    <w:p w14:paraId="234F8F3F" w14:textId="77777777" w:rsidR="00F251D5" w:rsidRPr="006C7C21" w:rsidRDefault="00F251D5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 w:rsidRPr="006C7C21">
        <w:rPr>
          <w:sz w:val="22"/>
          <w:szCs w:val="22"/>
        </w:rPr>
        <w:t>A fluorouracil (5-FU) nem alkalmazható olyan betegeknél, akik homozigóták a dihidropirimidin-dehidrogenáz (DPD) tekintetében.</w:t>
      </w:r>
    </w:p>
    <w:p w14:paraId="3E371BB5" w14:textId="68B28CDB" w:rsidR="00F251D5" w:rsidRPr="00800B35" w:rsidRDefault="00F251D5" w:rsidP="00AB6A62">
      <w:pPr>
        <w:numPr>
          <w:ilvl w:val="0"/>
          <w:numId w:val="36"/>
        </w:numPr>
        <w:tabs>
          <w:tab w:val="clear" w:pos="708"/>
          <w:tab w:val="num" w:pos="567"/>
        </w:tabs>
        <w:ind w:left="567" w:hanging="567"/>
        <w:rPr>
          <w:sz w:val="22"/>
          <w:szCs w:val="22"/>
        </w:rPr>
      </w:pPr>
      <w:r w:rsidRPr="006C7C21">
        <w:rPr>
          <w:sz w:val="22"/>
          <w:szCs w:val="22"/>
        </w:rPr>
        <w:t>Ismert, teljes dihidropirimidin-dehidrogenáz (DPD)-aktivitás h</w:t>
      </w:r>
      <w:r w:rsidRPr="00800B35">
        <w:rPr>
          <w:sz w:val="22"/>
          <w:szCs w:val="22"/>
        </w:rPr>
        <w:t>iány</w:t>
      </w:r>
      <w:r w:rsidR="00540E42">
        <w:rPr>
          <w:sz w:val="22"/>
          <w:szCs w:val="22"/>
        </w:rPr>
        <w:t>ban szenvednek</w:t>
      </w:r>
      <w:r w:rsidRPr="00800B35">
        <w:rPr>
          <w:sz w:val="22"/>
          <w:szCs w:val="22"/>
        </w:rPr>
        <w:t xml:space="preserve"> (lásd 4.4 pont).</w:t>
      </w:r>
    </w:p>
    <w:p w14:paraId="632ED4F4" w14:textId="6CB9A760" w:rsidR="00F251D5" w:rsidRPr="001B5D7D" w:rsidRDefault="007F126A" w:rsidP="00F251D5">
      <w:pPr>
        <w:numPr>
          <w:ilvl w:val="0"/>
          <w:numId w:val="36"/>
        </w:numPr>
        <w:tabs>
          <w:tab w:val="clear" w:pos="708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F251D5" w:rsidRPr="001B5D7D">
        <w:rPr>
          <w:sz w:val="22"/>
          <w:szCs w:val="22"/>
        </w:rPr>
        <w:t>zoptató nő</w:t>
      </w:r>
      <w:r>
        <w:rPr>
          <w:sz w:val="22"/>
          <w:szCs w:val="22"/>
        </w:rPr>
        <w:t>knél</w:t>
      </w:r>
      <w:r w:rsidR="00F251D5" w:rsidRPr="001B5D7D">
        <w:rPr>
          <w:sz w:val="22"/>
          <w:szCs w:val="22"/>
        </w:rPr>
        <w:t xml:space="preserve"> (lásd 4.6 pont).</w:t>
      </w:r>
    </w:p>
    <w:p w14:paraId="16AC8B8E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  <w:highlight w:val="lightGray"/>
        </w:rPr>
      </w:pPr>
    </w:p>
    <w:p w14:paraId="7472842D" w14:textId="77777777" w:rsidR="00F251D5" w:rsidRPr="001B5D7D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4.4</w:t>
      </w:r>
      <w:r w:rsidRPr="001B5D7D">
        <w:rPr>
          <w:b/>
          <w:sz w:val="22"/>
          <w:szCs w:val="22"/>
        </w:rPr>
        <w:tab/>
        <w:t xml:space="preserve">Különleges figyelmeztetések és az alkalmazással kapcsolatos óvintézkedések </w:t>
      </w:r>
    </w:p>
    <w:p w14:paraId="68459806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50E60AC0" w14:textId="63C27D3F" w:rsidR="00F251D5" w:rsidRPr="001B5D7D" w:rsidRDefault="006243D0" w:rsidP="00F251D5">
      <w:pPr>
        <w:pStyle w:val="Szvegtrzs3"/>
        <w:widowControl w:val="0"/>
        <w:tabs>
          <w:tab w:val="left" w:pos="0"/>
        </w:tabs>
        <w:jc w:val="left"/>
        <w:rPr>
          <w:sz w:val="22"/>
          <w:szCs w:val="22"/>
        </w:rPr>
      </w:pPr>
      <w:r>
        <w:rPr>
          <w:sz w:val="22"/>
          <w:szCs w:val="22"/>
        </w:rPr>
        <w:t xml:space="preserve">Javasolt, hogy a fluorouracil csak olyan gyakorlott szakorvos által kerüljön beadásra vagy legfeljebb az ő szoros felügyelete alatt, </w:t>
      </w:r>
      <w:r w:rsidR="00F251D5" w:rsidRPr="001B5D7D">
        <w:rPr>
          <w:sz w:val="22"/>
          <w:szCs w:val="22"/>
        </w:rPr>
        <w:t xml:space="preserve">aki ismeri az erős antimetabolitok alkalmazását és rendelkezésére állnak a megfelelő eszközök a klinikai, biokémiai és hematológiai hatások alkalmazás alatti és utáni rendszeres ellenőrzésére. </w:t>
      </w:r>
    </w:p>
    <w:p w14:paraId="24374929" w14:textId="77777777" w:rsidR="00F251D5" w:rsidRPr="001B5D7D" w:rsidRDefault="00F251D5" w:rsidP="00F251D5">
      <w:pPr>
        <w:tabs>
          <w:tab w:val="left" w:pos="0"/>
        </w:tabs>
        <w:rPr>
          <w:sz w:val="22"/>
          <w:szCs w:val="22"/>
        </w:rPr>
      </w:pPr>
    </w:p>
    <w:p w14:paraId="77FE6276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A bevezető kezeléshez minden beteget kórházba kell utalni.</w:t>
      </w:r>
    </w:p>
    <w:p w14:paraId="75144E63" w14:textId="77777777" w:rsidR="00F251D5" w:rsidRDefault="00F251D5" w:rsidP="00F251D5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</w:p>
    <w:p w14:paraId="2B1C8F65" w14:textId="374BB453" w:rsidR="00763926" w:rsidRPr="006243D0" w:rsidRDefault="00763926" w:rsidP="00F251D5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Hematológiai hatások</w:t>
      </w:r>
    </w:p>
    <w:p w14:paraId="47B4AB3F" w14:textId="6E51B734" w:rsidR="00763926" w:rsidRPr="00763926" w:rsidRDefault="00763926" w:rsidP="00763926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3926">
        <w:rPr>
          <w:sz w:val="22"/>
          <w:szCs w:val="22"/>
          <w:lang w:val="hu" w:eastAsia="en-US"/>
        </w:rPr>
        <w:t>A fluorouracil myelosuppressiót idézhet elő (beleértve a teljesség igénye nélkül a következőket: leukopenia, granulocytopenia, pancytopenia és thrombocytopenia).</w:t>
      </w:r>
    </w:p>
    <w:p w14:paraId="0D8DFCD5" w14:textId="77777777" w:rsidR="00763926" w:rsidRPr="00763926" w:rsidRDefault="00763926" w:rsidP="00F251D5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</w:p>
    <w:p w14:paraId="2710202E" w14:textId="77777777" w:rsidR="00F251D5" w:rsidRPr="001B5D7D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A megfelelő fluorouracil</w:t>
      </w:r>
      <w:r w:rsidRPr="001B5D7D">
        <w:rPr>
          <w:sz w:val="22"/>
          <w:szCs w:val="22"/>
        </w:rPr>
        <w:noBreakHyphen/>
        <w:t>kezelést rendszerint leukopenia követi. A legalacsonyabb fehérvérsejtszámot (FVS) rendszerint az első kezelés 7. és 14. napja között észlelik, azonban alkalomszerűen ez kitolódhat akár a 20. napig is. A fehérvérsejtszám rendszerint a 30. napon tér vissza a normális értékre. Javasolt a vérlemezke- és FVS-szám mindennapos ellenőrzése, és a kezelést meg kell szakítani, ha a vérlemezkeszám 100 000/mm</w:t>
      </w:r>
      <w:r w:rsidRPr="001B5D7D">
        <w:rPr>
          <w:sz w:val="22"/>
          <w:szCs w:val="22"/>
          <w:vertAlign w:val="superscript"/>
        </w:rPr>
        <w:t>3</w:t>
      </w:r>
      <w:r w:rsidRPr="001B5D7D">
        <w:rPr>
          <w:sz w:val="22"/>
          <w:szCs w:val="22"/>
        </w:rPr>
        <w:t xml:space="preserve"> alá, vagy a FVS-szám 3500/mm</w:t>
      </w:r>
      <w:r w:rsidRPr="001B5D7D">
        <w:rPr>
          <w:sz w:val="22"/>
          <w:szCs w:val="22"/>
          <w:vertAlign w:val="superscript"/>
        </w:rPr>
        <w:t>3</w:t>
      </w:r>
      <w:r w:rsidRPr="001B5D7D">
        <w:rPr>
          <w:sz w:val="22"/>
          <w:szCs w:val="22"/>
        </w:rPr>
        <w:t xml:space="preserve"> alá esik. Ha a teljes mennyiség kevesebb, mint 2000/mm</w:t>
      </w:r>
      <w:r w:rsidRPr="001B5D7D">
        <w:rPr>
          <w:sz w:val="22"/>
          <w:szCs w:val="22"/>
          <w:vertAlign w:val="superscript"/>
        </w:rPr>
        <w:t>3</w:t>
      </w:r>
      <w:r w:rsidRPr="001B5D7D">
        <w:rPr>
          <w:sz w:val="22"/>
          <w:szCs w:val="22"/>
        </w:rPr>
        <w:t>, és különösen granulocytopenia esetében javasolt, hogy a beteget helyezzék protektív, izolált környezetbe a kórházon belül, és a megfelelő kezelésekkel megóvják a szisztémás fertőzésektől.</w:t>
      </w:r>
    </w:p>
    <w:p w14:paraId="30AF5410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6D807E30" w14:textId="77777777" w:rsidR="00763926" w:rsidRPr="00763926" w:rsidRDefault="00763926" w:rsidP="00763926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3926">
        <w:rPr>
          <w:sz w:val="22"/>
          <w:szCs w:val="22"/>
          <w:lang w:val="hu" w:eastAsia="en-US"/>
        </w:rPr>
        <w:t>Fertőzések is lehetnek a súlyos fokú myelosuppressio klinikai következményei. Ezek a fertőzések lehetnek enyhék, ugyanakkor súlyos intenzitásúak és időnként akár halálos kimenetelűek is.</w:t>
      </w:r>
    </w:p>
    <w:p w14:paraId="7575E2A8" w14:textId="77777777" w:rsidR="00763926" w:rsidRPr="00763926" w:rsidRDefault="00763926" w:rsidP="00763926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46854489" w14:textId="77777777" w:rsidR="00763926" w:rsidRPr="00763926" w:rsidRDefault="00763926" w:rsidP="00763926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763926">
        <w:rPr>
          <w:sz w:val="22"/>
          <w:szCs w:val="22"/>
          <w:u w:val="single"/>
          <w:lang w:val="hu" w:eastAsia="en-US"/>
        </w:rPr>
        <w:t>Gastrointestinalis hatások</w:t>
      </w:r>
    </w:p>
    <w:p w14:paraId="5138AB00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kezelést le kell állítani a száj kifekélyesedésének első jelére, vagy ha gastrointestinalis mellékhatások, mint stomatitis, hasmenés, gastrointestinalis vérzés, vagy bármi mást érintő haemorrhagia alakulnak ki. A hatásos és a toxikus adag közötti arány kicsi és nem valószínű, hogy a terápiás válasz bizonyos mértékű toxicitás nélkül kialakulna. Ezért a betegek kiválasztásánál és az adag beállításakor elővigyázatossággal kell eljárni. Súlyos toxicitás esetén meg kell szakítani a kezelést.</w:t>
      </w:r>
    </w:p>
    <w:p w14:paraId="0604F9E4" w14:textId="77777777" w:rsidR="00CB5F56" w:rsidRDefault="00CB5F56" w:rsidP="00CB5F56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2110A99C" w14:textId="77777777" w:rsidR="00763926" w:rsidRPr="00AB6A62" w:rsidRDefault="00763926" w:rsidP="00AB6A62">
      <w:pPr>
        <w:keepNext/>
        <w:jc w:val="both"/>
        <w:rPr>
          <w:sz w:val="22"/>
          <w:szCs w:val="22"/>
          <w:u w:val="single"/>
          <w:lang w:eastAsia="en-GB"/>
        </w:rPr>
      </w:pPr>
      <w:r w:rsidRPr="00763926">
        <w:rPr>
          <w:sz w:val="22"/>
          <w:szCs w:val="22"/>
          <w:u w:val="single"/>
          <w:lang w:val="hu" w:eastAsia="en-GB"/>
        </w:rPr>
        <w:t>Különleges kockázatnak kitett betegek</w:t>
      </w:r>
    </w:p>
    <w:p w14:paraId="449336F4" w14:textId="03C18FEF" w:rsidR="00763926" w:rsidRDefault="00763926" w:rsidP="00AB6A62">
      <w:pPr>
        <w:pStyle w:val="NormlWeb"/>
        <w:keepNext/>
        <w:spacing w:before="0" w:beforeAutospacing="0" w:after="0" w:afterAutospacing="0"/>
        <w:rPr>
          <w:rFonts w:eastAsiaTheme="minorHAnsi"/>
          <w:sz w:val="22"/>
          <w:szCs w:val="22"/>
          <w:lang w:val="hu" w:eastAsia="en-US"/>
        </w:rPr>
      </w:pPr>
      <w:r w:rsidRPr="00763926">
        <w:rPr>
          <w:rFonts w:eastAsiaTheme="minorHAnsi"/>
          <w:sz w:val="22"/>
          <w:szCs w:val="22"/>
          <w:lang w:val="hu" w:eastAsia="en-US"/>
        </w:rPr>
        <w:t xml:space="preserve">A fluorouracilt rendkívüli elővigyázatossággal kell alkalmazni olyan betegeknél, akik korábban nagy dózisú kismedencei besugárzást vagy alkilálószereket kaptak, valamint akiknél metasztatizáló daganat </w:t>
      </w:r>
      <w:r w:rsidRPr="00763926">
        <w:rPr>
          <w:rFonts w:eastAsiaTheme="minorHAnsi"/>
          <w:sz w:val="22"/>
          <w:szCs w:val="22"/>
          <w:lang w:val="hu" w:eastAsia="en-US"/>
        </w:rPr>
        <w:lastRenderedPageBreak/>
        <w:t xml:space="preserve">miatt a csontvelő kiterjedt érintettsége áll fenn. A fluorouracil-kezelés súlyosbíthatja a sugárzás okozta necrosist. </w:t>
      </w:r>
    </w:p>
    <w:p w14:paraId="37EC1761" w14:textId="77777777" w:rsidR="00763926" w:rsidRDefault="00763926" w:rsidP="00763926">
      <w:pPr>
        <w:pStyle w:val="NormlWeb"/>
        <w:spacing w:before="0" w:beforeAutospacing="0" w:after="0" w:afterAutospacing="0"/>
        <w:rPr>
          <w:rFonts w:eastAsiaTheme="minorHAnsi"/>
          <w:sz w:val="22"/>
          <w:szCs w:val="22"/>
          <w:lang w:val="hu" w:eastAsia="en-US"/>
        </w:rPr>
      </w:pPr>
    </w:p>
    <w:p w14:paraId="07F35FF8" w14:textId="33BB7A60" w:rsidR="00CB5F56" w:rsidRDefault="00CB5F56" w:rsidP="00763926">
      <w:pPr>
        <w:pStyle w:val="NormlWeb"/>
        <w:spacing w:before="0" w:beforeAutospacing="0" w:after="0" w:afterAutospacing="0"/>
        <w:rPr>
          <w:bCs/>
          <w:sz w:val="22"/>
          <w:szCs w:val="22"/>
        </w:rPr>
      </w:pPr>
      <w:r w:rsidRPr="00DC4506">
        <w:rPr>
          <w:bCs/>
          <w:sz w:val="22"/>
          <w:szCs w:val="22"/>
        </w:rPr>
        <w:t>A fenitoint és a fluorouracilt egyidejűleg kapó betegeket rendszeres időközönként meg kell vizsgálni, hogy nem emelkedett-e meg a fenitoin</w:t>
      </w:r>
      <w:r w:rsidR="00650F18">
        <w:rPr>
          <w:bCs/>
          <w:sz w:val="22"/>
          <w:szCs w:val="22"/>
        </w:rPr>
        <w:t>-</w:t>
      </w:r>
      <w:r w:rsidRPr="00DC4506">
        <w:rPr>
          <w:bCs/>
          <w:sz w:val="22"/>
          <w:szCs w:val="22"/>
        </w:rPr>
        <w:t>plazmaszintjük</w:t>
      </w:r>
      <w:r w:rsidR="00763926">
        <w:rPr>
          <w:bCs/>
          <w:sz w:val="22"/>
          <w:szCs w:val="22"/>
        </w:rPr>
        <w:t xml:space="preserve"> (lásd 4.5 pont)</w:t>
      </w:r>
      <w:r>
        <w:rPr>
          <w:bCs/>
          <w:sz w:val="22"/>
          <w:szCs w:val="22"/>
        </w:rPr>
        <w:t>.</w:t>
      </w:r>
    </w:p>
    <w:p w14:paraId="1EB57327" w14:textId="77777777" w:rsidR="00CB5F56" w:rsidRDefault="00CB5F56" w:rsidP="00CB5F56">
      <w:pPr>
        <w:pStyle w:val="NormlWeb"/>
        <w:spacing w:before="0" w:beforeAutospacing="0" w:after="0" w:afterAutospacing="0"/>
        <w:rPr>
          <w:bCs/>
          <w:sz w:val="22"/>
          <w:szCs w:val="22"/>
        </w:rPr>
      </w:pPr>
    </w:p>
    <w:p w14:paraId="18843833" w14:textId="77777777" w:rsidR="008806E5" w:rsidRPr="00AB6A62" w:rsidRDefault="008806E5" w:rsidP="008806E5">
      <w:pPr>
        <w:spacing w:after="100" w:afterAutospacing="1"/>
        <w:jc w:val="both"/>
        <w:rPr>
          <w:sz w:val="22"/>
          <w:szCs w:val="22"/>
          <w:lang w:eastAsia="en-GB"/>
        </w:rPr>
      </w:pPr>
      <w:r w:rsidRPr="008806E5">
        <w:rPr>
          <w:sz w:val="22"/>
          <w:szCs w:val="22"/>
          <w:lang w:val="hu" w:eastAsia="en-GB"/>
        </w:rPr>
        <w:t>Különös elővigyázatosság szükséges idős vagy legyengült betegek kezelése során, ezeknél a betegeknél ugyanis fokozott lehet a súlyos toxicitás kockázata.</w:t>
      </w:r>
    </w:p>
    <w:p w14:paraId="236CCA88" w14:textId="77777777" w:rsidR="008806E5" w:rsidRPr="00AB6A62" w:rsidRDefault="008806E5" w:rsidP="008806E5">
      <w:pPr>
        <w:jc w:val="both"/>
        <w:rPr>
          <w:sz w:val="22"/>
          <w:szCs w:val="22"/>
          <w:u w:val="single"/>
          <w:lang w:eastAsia="en-GB"/>
        </w:rPr>
      </w:pPr>
      <w:r w:rsidRPr="008806E5">
        <w:rPr>
          <w:sz w:val="22"/>
          <w:szCs w:val="22"/>
          <w:u w:val="single"/>
          <w:lang w:val="hu" w:eastAsia="en-GB"/>
        </w:rPr>
        <w:t>Vese- és májkárosodás</w:t>
      </w:r>
    </w:p>
    <w:p w14:paraId="320F72A4" w14:textId="77777777" w:rsidR="00CB5F56" w:rsidRDefault="00CB5F56" w:rsidP="00CB5F56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fluorouracilt elővigyázatossággal kell alkalmazni a csökkent vese- vagy májfunkcióban, illetve sárgaságban szenvedő betegeknél.</w:t>
      </w:r>
    </w:p>
    <w:p w14:paraId="15ADBE65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56DE0BD" w14:textId="77777777" w:rsidR="00F251D5" w:rsidRPr="00AB6A62" w:rsidRDefault="00F251D5" w:rsidP="00017438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Kardiotoxicitás</w:t>
      </w:r>
    </w:p>
    <w:p w14:paraId="23538768" w14:textId="77777777" w:rsidR="00F251D5" w:rsidRPr="001B5D7D" w:rsidRDefault="00F251D5" w:rsidP="00702F7B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fluoropirimidin-kezelés kapcsán kardiotoxicitásról számoltak be, beleértve a myocardialis infarctust, anginát, arrhythmiákat, myocarditist, cardiogen shockot, hirtelen halált</w:t>
      </w:r>
      <w:r w:rsidR="00443AA8">
        <w:rPr>
          <w:sz w:val="22"/>
          <w:szCs w:val="22"/>
        </w:rPr>
        <w:t xml:space="preserve">, </w:t>
      </w:r>
      <w:r w:rsidR="00443AA8" w:rsidRPr="00443AA8">
        <w:rPr>
          <w:sz w:val="22"/>
          <w:szCs w:val="22"/>
        </w:rPr>
        <w:t>stressz okozta</w:t>
      </w:r>
      <w:r w:rsidR="00443AA8">
        <w:rPr>
          <w:sz w:val="22"/>
          <w:szCs w:val="22"/>
        </w:rPr>
        <w:t xml:space="preserve"> </w:t>
      </w:r>
      <w:r w:rsidR="00443AA8" w:rsidRPr="00443AA8">
        <w:rPr>
          <w:sz w:val="22"/>
          <w:szCs w:val="22"/>
        </w:rPr>
        <w:t>cardiomyopathiát (takotsubo-szindróma)</w:t>
      </w:r>
      <w:r w:rsidRPr="001B5D7D">
        <w:rPr>
          <w:sz w:val="22"/>
          <w:szCs w:val="22"/>
        </w:rPr>
        <w:t xml:space="preserve"> és EKG-eltéréseket (köztük a QT-megnyúlás nagyon ritka eseteit). Ezek a mellékhatások gyakrabban fordulnak elő azoknál a betegeknél, akik folyamatos 5-fluorouracil-infúziót kapnak a bólus injekció helyett. A kórelőzményben szereplő koszorúér-betegség kockázati tényező lehet </w:t>
      </w:r>
      <w:r w:rsidR="00232241">
        <w:rPr>
          <w:sz w:val="22"/>
          <w:szCs w:val="22"/>
        </w:rPr>
        <w:t xml:space="preserve">egyes, </w:t>
      </w:r>
      <w:r w:rsidRPr="001B5D7D">
        <w:rPr>
          <w:sz w:val="22"/>
          <w:szCs w:val="22"/>
        </w:rPr>
        <w:t>a szívvel kapcsolatos nemkívánatos hatások tekintetében. Ezért azoknál a betegeknél, akik mellkasi fájdalmat tapasztalnak a kezelések alatt, vagy kórelőzményükben szívbetegség szerepel, fokozott figyelemmel kell eljárni a kezelés során. A fluorouracil-kezelés alatt a szívfunkciót monitorozni kell. Súlyos kardiotoxicitás esetén azt le kell állítani.</w:t>
      </w:r>
    </w:p>
    <w:p w14:paraId="567E64F7" w14:textId="77777777" w:rsidR="00CB5F56" w:rsidRPr="001B5D7D" w:rsidRDefault="00CB5F56" w:rsidP="00CB5F56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5916E9B0" w14:textId="6FBC51C4" w:rsidR="008806E5" w:rsidRPr="008806E5" w:rsidRDefault="008806E5" w:rsidP="008806E5">
      <w:pPr>
        <w:jc w:val="both"/>
        <w:rPr>
          <w:sz w:val="22"/>
          <w:szCs w:val="22"/>
          <w:u w:val="single"/>
          <w:lang w:val="hu" w:eastAsia="en-GB"/>
        </w:rPr>
      </w:pPr>
      <w:r w:rsidRPr="008806E5">
        <w:rPr>
          <w:sz w:val="22"/>
          <w:szCs w:val="22"/>
          <w:u w:val="single"/>
          <w:lang w:val="hu" w:eastAsia="en-GB"/>
        </w:rPr>
        <w:t>Immunszuppresszáns hatás</w:t>
      </w:r>
      <w:r w:rsidR="00152D32">
        <w:rPr>
          <w:sz w:val="22"/>
          <w:szCs w:val="22"/>
          <w:u w:val="single"/>
          <w:lang w:val="hu" w:eastAsia="en-GB"/>
        </w:rPr>
        <w:t>ok</w:t>
      </w:r>
    </w:p>
    <w:p w14:paraId="5F0FD855" w14:textId="77777777" w:rsidR="008806E5" w:rsidRPr="008806E5" w:rsidRDefault="008806E5" w:rsidP="008806E5">
      <w:pPr>
        <w:jc w:val="both"/>
        <w:rPr>
          <w:sz w:val="22"/>
          <w:szCs w:val="22"/>
          <w:lang w:val="hu" w:eastAsia="en-GB"/>
        </w:rPr>
      </w:pPr>
      <w:r w:rsidRPr="008806E5">
        <w:rPr>
          <w:sz w:val="22"/>
          <w:szCs w:val="22"/>
          <w:lang w:val="hu" w:eastAsia="en-GB"/>
        </w:rPr>
        <w:t>Az 5</w:t>
      </w:r>
      <w:r w:rsidRPr="008806E5">
        <w:rPr>
          <w:sz w:val="22"/>
          <w:szCs w:val="22"/>
          <w:lang w:val="hu" w:eastAsia="en-GB"/>
        </w:rPr>
        <w:noBreakHyphen/>
        <w:t>fluorouracilt alkalmazó betegek nem kaphatnak élő vakcinát a súlyos vagy végzetes kimenetelű fertőzések kockázata miatt. Kerülni kell az érintkezést a közelmúltban poliovírus elleni vakcinával kezelt személyekkel. Elölt vagy inaktivált vakcinák beadhatóak; azonban az ilyen vakcinákra adott reakció kisebb mértékű lehet.</w:t>
      </w:r>
    </w:p>
    <w:p w14:paraId="7DEB208C" w14:textId="77777777" w:rsidR="008806E5" w:rsidRPr="008806E5" w:rsidRDefault="008806E5" w:rsidP="008806E5">
      <w:pPr>
        <w:jc w:val="both"/>
        <w:rPr>
          <w:sz w:val="22"/>
          <w:szCs w:val="22"/>
          <w:lang w:val="hu" w:eastAsia="en-GB"/>
        </w:rPr>
      </w:pPr>
    </w:p>
    <w:p w14:paraId="404C9BBD" w14:textId="77777777" w:rsidR="008806E5" w:rsidRPr="008806E5" w:rsidRDefault="008806E5" w:rsidP="008806E5">
      <w:pPr>
        <w:jc w:val="both"/>
        <w:rPr>
          <w:sz w:val="22"/>
          <w:szCs w:val="22"/>
          <w:u w:val="single"/>
          <w:lang w:val="hu" w:eastAsia="en-GB"/>
        </w:rPr>
      </w:pPr>
      <w:r w:rsidRPr="008806E5">
        <w:rPr>
          <w:sz w:val="22"/>
          <w:szCs w:val="22"/>
          <w:u w:val="single"/>
          <w:lang w:val="hu" w:eastAsia="en-GB"/>
        </w:rPr>
        <w:t>Kéz-láb szindróma</w:t>
      </w:r>
    </w:p>
    <w:p w14:paraId="55FF6552" w14:textId="77777777" w:rsidR="008806E5" w:rsidRPr="008806E5" w:rsidRDefault="008806E5" w:rsidP="008806E5">
      <w:pPr>
        <w:jc w:val="both"/>
        <w:rPr>
          <w:sz w:val="22"/>
          <w:szCs w:val="22"/>
          <w:lang w:val="hu" w:eastAsia="en-GB"/>
        </w:rPr>
      </w:pPr>
      <w:r w:rsidRPr="008806E5">
        <w:rPr>
          <w:sz w:val="22"/>
          <w:szCs w:val="22"/>
          <w:lang w:val="hu" w:eastAsia="en-GB"/>
        </w:rPr>
        <w:t xml:space="preserve">A fluorouracil alkalmazását összefüggésbe hozták palmoplantaris erythrodysesthesia szindróma, más néven kéz-láb szindróma kialakulásával. A folytonos infúzió formájában beadott fluorouracil növelheti a palmoplantaris erythrodysesthesia incidenciáját és súlyosságát. A kezelés megszakítása után fokozatosan, 5-7 nap leforgása alatt rendeződik a beteg állapota. </w:t>
      </w:r>
    </w:p>
    <w:p w14:paraId="49F43CCF" w14:textId="77777777" w:rsidR="00CB5F56" w:rsidRPr="00AB6A62" w:rsidRDefault="00CB5F56" w:rsidP="00CB5F56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lang w:val="hu"/>
        </w:rPr>
      </w:pPr>
    </w:p>
    <w:p w14:paraId="30B941DE" w14:textId="77777777" w:rsidR="00CB5F56" w:rsidRPr="00AB6A62" w:rsidRDefault="00CB5F56" w:rsidP="00CB5F56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Encephalopathia</w:t>
      </w:r>
    </w:p>
    <w:p w14:paraId="4E20B63E" w14:textId="78E501E9" w:rsidR="00F251D5" w:rsidRPr="006C7C21" w:rsidRDefault="00F251D5" w:rsidP="00CB5F56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Encephalopathia (beleértve a hyperammonaemiás encephalopathiát</w:t>
      </w:r>
      <w:r w:rsidR="00E44337">
        <w:rPr>
          <w:sz w:val="22"/>
          <w:szCs w:val="22"/>
        </w:rPr>
        <w:t>,</w:t>
      </w:r>
      <w:r w:rsidRPr="006C7C21">
        <w:rPr>
          <w:sz w:val="22"/>
          <w:szCs w:val="22"/>
        </w:rPr>
        <w:t xml:space="preserve"> leukoencephalopathiát</w:t>
      </w:r>
      <w:r w:rsidR="00E44337">
        <w:rPr>
          <w:sz w:val="22"/>
          <w:szCs w:val="22"/>
        </w:rPr>
        <w:t xml:space="preserve">, </w:t>
      </w:r>
      <w:r w:rsidR="00E44337" w:rsidRPr="00E44337">
        <w:rPr>
          <w:sz w:val="22"/>
          <w:szCs w:val="22"/>
        </w:rPr>
        <w:t>posterior reverzibilis</w:t>
      </w:r>
      <w:r w:rsidR="00E44337">
        <w:rPr>
          <w:sz w:val="22"/>
          <w:szCs w:val="22"/>
        </w:rPr>
        <w:t xml:space="preserve"> </w:t>
      </w:r>
      <w:r w:rsidR="00E44337" w:rsidRPr="00E44337">
        <w:rPr>
          <w:sz w:val="22"/>
          <w:szCs w:val="22"/>
        </w:rPr>
        <w:t>encephalopathia szindrómá</w:t>
      </w:r>
      <w:r w:rsidR="004F5738">
        <w:rPr>
          <w:sz w:val="22"/>
          <w:szCs w:val="22"/>
        </w:rPr>
        <w:t>t</w:t>
      </w:r>
      <w:r w:rsidR="00E44337" w:rsidRPr="00E44337">
        <w:rPr>
          <w:sz w:val="22"/>
          <w:szCs w:val="22"/>
        </w:rPr>
        <w:t xml:space="preserve"> [PRES</w:t>
      </w:r>
      <w:r w:rsidR="0021595C">
        <w:rPr>
          <w:sz w:val="22"/>
          <w:szCs w:val="22"/>
        </w:rPr>
        <w:t>]</w:t>
      </w:r>
      <w:r w:rsidR="00A135C2">
        <w:rPr>
          <w:sz w:val="22"/>
          <w:szCs w:val="22"/>
        </w:rPr>
        <w:t xml:space="preserve">, </w:t>
      </w:r>
      <w:r w:rsidR="00A135C2" w:rsidRPr="00A135C2">
        <w:rPr>
          <w:sz w:val="22"/>
          <w:szCs w:val="22"/>
        </w:rPr>
        <w:t>Wernicke-encephalopathi</w:t>
      </w:r>
      <w:r w:rsidR="00B43548">
        <w:rPr>
          <w:sz w:val="22"/>
          <w:szCs w:val="22"/>
        </w:rPr>
        <w:t>át</w:t>
      </w:r>
      <w:r w:rsidRPr="006C7C21">
        <w:rPr>
          <w:sz w:val="22"/>
          <w:szCs w:val="22"/>
        </w:rPr>
        <w:t>) eseteiről számoltak be az 5-fluorouracil-kezeléssel összefüggésben a forgalomba hozatalt követően. Az encephalopathia jelei vagy tünetei a megváltozott mentális állapot, a confusio, a dezorientáció, a coma vagy az ataxia. Ha egy betegnél bármelyik tünet jelentkezik, a kezelést fel kell függeszteni és azonnal ellenőrizni kell a szérum ammónia</w:t>
      </w:r>
      <w:r w:rsidR="00A135C2">
        <w:rPr>
          <w:sz w:val="22"/>
          <w:szCs w:val="22"/>
        </w:rPr>
        <w:t>- és B1‑vitamin‑</w:t>
      </w:r>
      <w:r w:rsidRPr="006C7C21">
        <w:rPr>
          <w:sz w:val="22"/>
          <w:szCs w:val="22"/>
        </w:rPr>
        <w:t xml:space="preserve">szintjét. Magas ammóniaszint </w:t>
      </w:r>
      <w:r w:rsidR="00A135C2">
        <w:rPr>
          <w:sz w:val="22"/>
          <w:szCs w:val="22"/>
        </w:rPr>
        <w:t xml:space="preserve">vagy B1‑vitamin-hiány </w:t>
      </w:r>
      <w:r w:rsidRPr="006C7C21">
        <w:rPr>
          <w:sz w:val="22"/>
          <w:szCs w:val="22"/>
        </w:rPr>
        <w:t xml:space="preserve">esetén </w:t>
      </w:r>
      <w:r w:rsidR="00A135C2">
        <w:rPr>
          <w:sz w:val="22"/>
          <w:szCs w:val="22"/>
        </w:rPr>
        <w:t xml:space="preserve">megfelelő </w:t>
      </w:r>
      <w:r w:rsidRPr="006C7C21">
        <w:rPr>
          <w:sz w:val="22"/>
          <w:szCs w:val="22"/>
        </w:rPr>
        <w:t xml:space="preserve">kezelést kell kezdeni. </w:t>
      </w:r>
      <w:r w:rsidR="00E44337" w:rsidRPr="00E44337">
        <w:rPr>
          <w:sz w:val="22"/>
          <w:szCs w:val="22"/>
        </w:rPr>
        <w:t>A</w:t>
      </w:r>
      <w:r w:rsidR="00E44337">
        <w:rPr>
          <w:sz w:val="22"/>
          <w:szCs w:val="22"/>
        </w:rPr>
        <w:t> </w:t>
      </w:r>
      <w:r w:rsidR="00E44337" w:rsidRPr="00E44337">
        <w:rPr>
          <w:sz w:val="22"/>
          <w:szCs w:val="22"/>
        </w:rPr>
        <w:t>hyperammonaemiás encephalopathia gyakran tejsavas acidózissal együtt fordul elő.</w:t>
      </w:r>
    </w:p>
    <w:p w14:paraId="57FC4522" w14:textId="77777777" w:rsidR="00CB5F56" w:rsidRDefault="00CB5F56" w:rsidP="00CB5F56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408C715A" w14:textId="45BA906B" w:rsidR="008806E5" w:rsidRDefault="008806E5" w:rsidP="008806E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Vese-</w:t>
      </w:r>
      <w:r w:rsidR="00671A21">
        <w:rPr>
          <w:sz w:val="22"/>
          <w:szCs w:val="22"/>
        </w:rPr>
        <w:t xml:space="preserve"> </w:t>
      </w:r>
      <w:r w:rsidRPr="006C7C21">
        <w:rPr>
          <w:sz w:val="22"/>
          <w:szCs w:val="22"/>
        </w:rPr>
        <w:t>és</w:t>
      </w:r>
      <w:r w:rsidR="00671A21">
        <w:rPr>
          <w:sz w:val="22"/>
          <w:szCs w:val="22"/>
        </w:rPr>
        <w:t>/vagy</w:t>
      </w:r>
      <w:r w:rsidRPr="006C7C21">
        <w:rPr>
          <w:sz w:val="22"/>
          <w:szCs w:val="22"/>
        </w:rPr>
        <w:t xml:space="preserve"> májkárosodásban szenvedő betegek fluorouracil-kezelése esetén fokozott figyelemmel kell eljárni. Vese- és</w:t>
      </w:r>
      <w:r w:rsidR="00671A21">
        <w:rPr>
          <w:sz w:val="22"/>
          <w:szCs w:val="22"/>
        </w:rPr>
        <w:t>/vagy</w:t>
      </w:r>
      <w:r w:rsidRPr="006C7C21">
        <w:rPr>
          <w:sz w:val="22"/>
          <w:szCs w:val="22"/>
        </w:rPr>
        <w:t xml:space="preserve"> májkárosodásban szenvedő betegek esetén megnőhet a hype</w:t>
      </w:r>
      <w:r w:rsidR="00671A21">
        <w:rPr>
          <w:sz w:val="22"/>
          <w:szCs w:val="22"/>
        </w:rPr>
        <w:t>r</w:t>
      </w:r>
      <w:r w:rsidRPr="006C7C21">
        <w:rPr>
          <w:sz w:val="22"/>
          <w:szCs w:val="22"/>
        </w:rPr>
        <w:t xml:space="preserve">ammonaemia és a hyperammonaemiás encephalopathia kialakulásának kockázata. </w:t>
      </w:r>
    </w:p>
    <w:p w14:paraId="66E54FAD" w14:textId="77777777" w:rsidR="008806E5" w:rsidRPr="006C7C21" w:rsidRDefault="008806E5" w:rsidP="008806E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03F516AD" w14:textId="77777777" w:rsidR="00CB5F56" w:rsidRPr="00AB6A62" w:rsidRDefault="00CB5F56" w:rsidP="00CB5F56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 xml:space="preserve">Tumorlízis-szindróma </w:t>
      </w:r>
    </w:p>
    <w:p w14:paraId="6C739ED8" w14:textId="77777777" w:rsidR="00CB5F56" w:rsidRPr="006C7C21" w:rsidRDefault="00CB5F56" w:rsidP="00CB5F56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122C82">
        <w:rPr>
          <w:sz w:val="22"/>
          <w:szCs w:val="22"/>
        </w:rPr>
        <w:t xml:space="preserve">Forgalomba hozatal utáni adatok a fluorouracil-kezeléssel összefüggő tumorlízis-szindróma eseteiről számoltak be. A tumorlízis-szindróma fokozott kockázatának kitett betegeket (pl. </w:t>
      </w:r>
      <w:r w:rsidR="00122C82">
        <w:rPr>
          <w:sz w:val="22"/>
          <w:szCs w:val="22"/>
        </w:rPr>
        <w:t xml:space="preserve">azokat, akiknél </w:t>
      </w:r>
      <w:r w:rsidRPr="00122C82">
        <w:rPr>
          <w:sz w:val="22"/>
          <w:szCs w:val="22"/>
        </w:rPr>
        <w:t>vesekárosodás, hyperurikaemia, nagy tumorterhelés, gyors progresszió</w:t>
      </w:r>
      <w:r w:rsidR="00122C82">
        <w:rPr>
          <w:sz w:val="22"/>
          <w:szCs w:val="22"/>
        </w:rPr>
        <w:t xml:space="preserve"> mutatható ki</w:t>
      </w:r>
      <w:r w:rsidRPr="00122C82">
        <w:rPr>
          <w:sz w:val="22"/>
          <w:szCs w:val="22"/>
        </w:rPr>
        <w:t>) szorosan monitorozni kell. Meg kell fontolni a megelőző intézkedések (pl. hidrálás, magas húgysavszint korrekciója) alkalmazását.</w:t>
      </w:r>
    </w:p>
    <w:p w14:paraId="2AA1C6EC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07F842F0" w14:textId="77777777" w:rsidR="00F251D5" w:rsidRPr="00AB6A62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lastRenderedPageBreak/>
        <w:t>Dihidropirimidin-dehidrogenáz</w:t>
      </w:r>
      <w:r w:rsidR="000C7401" w:rsidRPr="00AB6A62">
        <w:rPr>
          <w:sz w:val="22"/>
          <w:szCs w:val="22"/>
          <w:u w:val="single"/>
        </w:rPr>
        <w:t>-</w:t>
      </w:r>
      <w:r w:rsidRPr="00AB6A62">
        <w:rPr>
          <w:sz w:val="22"/>
          <w:szCs w:val="22"/>
          <w:u w:val="single"/>
        </w:rPr>
        <w:t xml:space="preserve"> (DPD) hiány</w:t>
      </w:r>
    </w:p>
    <w:p w14:paraId="5A2CA064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DPD aktivitása lassítja az 5 fluorouracil katabolizmusát (lásd 5.2 pont). A DPD-hiányban szenvedő betegek ezáltal fokozottan ki vannak téve a fluoropirimidinek okozta toxicitás kockázatának, amely például stomatitis, hasmenés, nyálkahártya-gyulladás, neutropenia és neurotoxicitás jelentkezésével jár.</w:t>
      </w:r>
    </w:p>
    <w:p w14:paraId="1EF2CAC5" w14:textId="77777777" w:rsidR="006813C8" w:rsidRDefault="006813C8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7D1206CC" w14:textId="66F6A3B2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DPD-hiányhoz köthető toxicitás általában az első kezelési ciklus alatt vagy dózisemelést követően jelentkezik.</w:t>
      </w:r>
    </w:p>
    <w:p w14:paraId="379BC495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6DD1675C" w14:textId="77777777" w:rsidR="00F251D5" w:rsidRPr="00AB6A62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Teljes DPD-hiány</w:t>
      </w:r>
    </w:p>
    <w:p w14:paraId="15772F75" w14:textId="21432DB1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teljes DPD-hiány előfordulása ritka (0,01</w:t>
      </w:r>
      <w:r w:rsidR="00017438">
        <w:rPr>
          <w:sz w:val="22"/>
          <w:szCs w:val="22"/>
        </w:rPr>
        <w:t>–</w:t>
      </w:r>
      <w:r w:rsidRPr="006C7C21">
        <w:rPr>
          <w:sz w:val="22"/>
          <w:szCs w:val="22"/>
        </w:rPr>
        <w:t xml:space="preserve">0,5% a kaukázusi rassz körében). A teljes DPD-hiányban szenvedő betegek esetében az életveszélyes vagy halálos kimenetelű toxicitás </w:t>
      </w:r>
      <w:r>
        <w:rPr>
          <w:sz w:val="22"/>
          <w:szCs w:val="22"/>
        </w:rPr>
        <w:t>magas kockázata áll fenn, így a</w:t>
      </w:r>
      <w:r w:rsidRPr="006C7C21">
        <w:rPr>
          <w:sz w:val="22"/>
          <w:szCs w:val="22"/>
        </w:rPr>
        <w:t xml:space="preserve"> </w:t>
      </w:r>
      <w:r w:rsidR="008806E5">
        <w:rPr>
          <w:sz w:val="22"/>
          <w:szCs w:val="22"/>
        </w:rPr>
        <w:t>fluorouracil injekció</w:t>
      </w:r>
      <w:r w:rsidRPr="006C7C21">
        <w:rPr>
          <w:sz w:val="22"/>
          <w:szCs w:val="22"/>
        </w:rPr>
        <w:t xml:space="preserve"> ilyen betegeknél nem alkalmazható (lásd 4.3 pont). </w:t>
      </w:r>
    </w:p>
    <w:p w14:paraId="186458DF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5CB233C8" w14:textId="77777777" w:rsidR="00F251D5" w:rsidRPr="00AB6A62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Részleges DPD-hiány</w:t>
      </w:r>
    </w:p>
    <w:p w14:paraId="3B797884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Becslések szerint a részleges DPD-hiány a kaukázusi rassz 3</w:t>
      </w:r>
      <w:r w:rsidR="00017438">
        <w:rPr>
          <w:sz w:val="22"/>
          <w:szCs w:val="22"/>
        </w:rPr>
        <w:t>–</w:t>
      </w:r>
      <w:r w:rsidRPr="006C7C21">
        <w:rPr>
          <w:sz w:val="22"/>
          <w:szCs w:val="22"/>
        </w:rPr>
        <w:t xml:space="preserve">9%-át érinti. A részleges DPD-hiányban szenvedő betegek esetén fokozott a súlyos és potenciálisan életveszélyes toxicitás kockázata. E toxicitás csökkentése érdekében fontolóra kell venni alacsonyabb kezdő dózis alkalmazását. A DPD-hiányt olyan paraméternek kell tekinteni, amelyet más rutin eljárásokkal együtt figyelembe kell venni a dóziscsökkentés szempontjából. A kezdeti dóziscsökkentés hatással lehet a kezelés hatásosságára. Amennyiben súlyos toxicitás nem lép fel a következő dózisok gondos megfigyelés mellett megemelhetők. </w:t>
      </w:r>
    </w:p>
    <w:p w14:paraId="3E113945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35CED353" w14:textId="77777777" w:rsidR="00F251D5" w:rsidRPr="00AB6A62" w:rsidRDefault="00F251D5" w:rsidP="00DD0BA2">
      <w:pPr>
        <w:keepNext/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A DPD-hiány szűrése</w:t>
      </w:r>
    </w:p>
    <w:p w14:paraId="5A8DE706" w14:textId="73246B91" w:rsidR="00F251D5" w:rsidRDefault="00F251D5" w:rsidP="00DD0BA2">
      <w:pPr>
        <w:keepNext/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kezelést megelőző optimális szűrési módszerek kör</w:t>
      </w:r>
      <w:r>
        <w:rPr>
          <w:sz w:val="22"/>
          <w:szCs w:val="22"/>
        </w:rPr>
        <w:t>üli bizonytalanságok ellenére a</w:t>
      </w:r>
      <w:r w:rsidRPr="006C7C21">
        <w:rPr>
          <w:sz w:val="22"/>
          <w:szCs w:val="22"/>
        </w:rPr>
        <w:t xml:space="preserve"> </w:t>
      </w:r>
      <w:r w:rsidR="005505A5">
        <w:rPr>
          <w:sz w:val="22"/>
          <w:szCs w:val="22"/>
        </w:rPr>
        <w:t xml:space="preserve">fluorouracil injekcióval </w:t>
      </w:r>
      <w:r w:rsidRPr="006C7C21">
        <w:rPr>
          <w:sz w:val="22"/>
          <w:szCs w:val="22"/>
        </w:rPr>
        <w:t xml:space="preserve">történő kezelés megkezdése előtt ajánlott a fenotípusos és/vagy genotípusos szűrés. Ennek során az alkalmazandó klinikai irányelveket figyelembe kell venni. </w:t>
      </w:r>
    </w:p>
    <w:p w14:paraId="10E4C326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1B70F321" w14:textId="5488C567" w:rsidR="00A135C2" w:rsidRDefault="00A135C2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A135C2">
        <w:rPr>
          <w:sz w:val="22"/>
          <w:szCs w:val="22"/>
        </w:rPr>
        <w:t xml:space="preserve">A vesekárosodás a vér emelkedett uracilszintjéhez vezethet, ami miatt nagyobb </w:t>
      </w:r>
      <w:r w:rsidR="00C4008E">
        <w:rPr>
          <w:sz w:val="22"/>
          <w:szCs w:val="22"/>
        </w:rPr>
        <w:t xml:space="preserve">eséllyel </w:t>
      </w:r>
      <w:r w:rsidRPr="00A135C2">
        <w:rPr>
          <w:sz w:val="22"/>
          <w:szCs w:val="22"/>
        </w:rPr>
        <w:t>diagnosztizálnak tévesen DPD-hiányt a közepesen súlyos vagy súlyos vesekárosodásban szenvedő</w:t>
      </w:r>
      <w:r>
        <w:rPr>
          <w:sz w:val="22"/>
          <w:szCs w:val="22"/>
        </w:rPr>
        <w:t xml:space="preserve"> betegeknél.</w:t>
      </w:r>
    </w:p>
    <w:p w14:paraId="71478746" w14:textId="77777777" w:rsidR="00A135C2" w:rsidRPr="006C7C21" w:rsidRDefault="00A135C2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331F46D9" w14:textId="77777777" w:rsidR="00F251D5" w:rsidRPr="00AB6A62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 xml:space="preserve">A DPD-hiány genotípusos jellemzése </w:t>
      </w:r>
    </w:p>
    <w:p w14:paraId="51EDB598" w14:textId="573F918F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D</w:t>
      </w:r>
      <w:r w:rsidR="00571C92">
        <w:rPr>
          <w:sz w:val="22"/>
          <w:szCs w:val="22"/>
        </w:rPr>
        <w:t>PY</w:t>
      </w:r>
      <w:r w:rsidRPr="006C7C21">
        <w:rPr>
          <w:sz w:val="22"/>
          <w:szCs w:val="22"/>
        </w:rPr>
        <w:t>D gén ritka mutációinak vizsgálatával a kezelést megelőzően azonosíthatók a DPD-hiányban szenvedő betegek.</w:t>
      </w:r>
    </w:p>
    <w:p w14:paraId="275C5BFE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1D41D599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 xml:space="preserve">A négy fő variáns – a c.1905+1G&gt;A (DPYD*2A-ként is ismert), c.1679T&gt;G (DPYD*13), c.2846A&gt;T és c.1236G&gt;A/HapB3 – a DPD enzimatikus aktivitásának teljes hiányát vagy csökkenését okozhatja. Egyéb ritka variánsok szintén összefüggésben állhatnak a súlyos vagy életveszélyes toxicitás fokozott kockázatával. </w:t>
      </w:r>
    </w:p>
    <w:p w14:paraId="01AC1C83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42CE7D78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Ismert, hogy a DPYD gén lókuszán lévő egyes homozigóta és összetett heterozigóta mutációk (pl. a négy variáns kombinációja legalább egy c.1905+1G&gt;A vagy c.1679T&gt;G alléllel) a DPD enzimatikus aktivitásának teljes vagy majdnem teljes hiányát okozzák.</w:t>
      </w:r>
    </w:p>
    <w:p w14:paraId="06B04110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32BCAC79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 xml:space="preserve">Az egyes heterozigóta DPYD variánsokkal (többek között c.1905+1G&gt;A, c.1679T&gt;G, c.2846A&gt;T és c.1236G&gt;A/HapB3 variánsok) rendelkező betegek esetén a fluoropirimidinekkel történő kezelés során fennáll a súlyos toxicitás fokozott kockázata. </w:t>
      </w:r>
    </w:p>
    <w:p w14:paraId="0B317780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03C21F4D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heterozigóta c.1905+1G&gt;A genotípus gyakorisága a DPYD génben kaukázusi rasszhoz tartozó betegeknél körülbelül 1%, a c.2846A&gt;T variáns gyakorisága 1,1%, a c.1236G&gt;A/HapB3 variáns gyakorisága 2,6</w:t>
      </w:r>
      <w:r w:rsidR="00017438">
        <w:rPr>
          <w:sz w:val="22"/>
          <w:szCs w:val="22"/>
        </w:rPr>
        <w:t>–</w:t>
      </w:r>
      <w:r w:rsidRPr="006C7C21">
        <w:rPr>
          <w:sz w:val="22"/>
          <w:szCs w:val="22"/>
        </w:rPr>
        <w:t>6,3% és a c.1679T&gt;G variáns gyakorisága 0,07</w:t>
      </w:r>
      <w:r w:rsidR="000C7401">
        <w:rPr>
          <w:sz w:val="22"/>
          <w:szCs w:val="22"/>
        </w:rPr>
        <w:t>–</w:t>
      </w:r>
      <w:r w:rsidRPr="006C7C21">
        <w:rPr>
          <w:sz w:val="22"/>
          <w:szCs w:val="22"/>
        </w:rPr>
        <w:t xml:space="preserve">0,1%. </w:t>
      </w:r>
    </w:p>
    <w:p w14:paraId="4937907C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73AEB1C5" w14:textId="77777777" w:rsidR="00F251D5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 xml:space="preserve">A kaukázusi rasszon kívül más populációra vonatkozóan csak limitált adatok állnak rendelkezésre a négy DPYD variáns gyakoriságáról. Jelenleg úgy gondolják, a négy DPYD variáns (c.1905+1G&gt;A, c.1679T&gt;G, c.2846A&gt;T és c.1236G&gt;A/HapB3) gyakorlatilag nincs jelen az afrikai (afroamerikai) és ázsiai populációkban. </w:t>
      </w:r>
    </w:p>
    <w:p w14:paraId="0FE6D2C6" w14:textId="77777777" w:rsidR="00F251D5" w:rsidRPr="006C7C21" w:rsidRDefault="00F251D5" w:rsidP="00F251D5">
      <w:pPr>
        <w:widowControl w:val="0"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</w:p>
    <w:p w14:paraId="2530A151" w14:textId="77777777" w:rsidR="00F251D5" w:rsidRPr="00AB6A62" w:rsidRDefault="00F251D5" w:rsidP="00AB6A62">
      <w:pPr>
        <w:keepNext/>
        <w:tabs>
          <w:tab w:val="left" w:pos="0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>A DPD-hiány fenotípusos jellemzése</w:t>
      </w:r>
    </w:p>
    <w:p w14:paraId="55A95A6B" w14:textId="77777777" w:rsidR="00F251D5" w:rsidRPr="006C7C21" w:rsidRDefault="00F251D5" w:rsidP="00AB6A62">
      <w:pPr>
        <w:keepNext/>
        <w:tabs>
          <w:tab w:val="left" w:pos="0"/>
        </w:tabs>
        <w:autoSpaceDE w:val="0"/>
        <w:autoSpaceDN w:val="0"/>
        <w:adjustRightInd w:val="0"/>
        <w:rPr>
          <w:sz w:val="22"/>
          <w:szCs w:val="22"/>
        </w:rPr>
      </w:pPr>
      <w:r w:rsidRPr="006C7C21">
        <w:rPr>
          <w:sz w:val="22"/>
          <w:szCs w:val="22"/>
        </w:rPr>
        <w:t>A DPD-hiány fenotípusos jellemzése céljából javasolt az endogén DPD-szubsztrát, az uracil (U), kezelés előtti vérplazmaszintjének mérése.</w:t>
      </w:r>
    </w:p>
    <w:p w14:paraId="5CFEAB56" w14:textId="1E09EC2B" w:rsidR="00F251D5" w:rsidRPr="00571C92" w:rsidRDefault="00F251D5" w:rsidP="00F251D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B6A62">
        <w:rPr>
          <w:rFonts w:ascii="Times New Roman" w:hAnsi="Times New Roman" w:cs="Times New Roman"/>
          <w:sz w:val="22"/>
          <w:szCs w:val="22"/>
        </w:rPr>
        <w:t>A kezelést megelőzően mért magas uracilkoncentráció a toxicitás fokozott kockázatával jár. Az uracilszint teljes és részleges DPD-hiányt meghatározó küszöbértékeivel kapcsolatos bizonytalanságok ellenére a ≥ 16 ng/ml és &lt;150 ng/ml értékű uracilszintet a részleges DPD-hiányra utaló jelnek kell tekinteni, ami összefüggésben áll a fluoropirimidinek okozta toxicitás fokozott kockázatával. A vér ≥</w:t>
      </w:r>
      <w:r w:rsidR="00017438" w:rsidRPr="00AB6A62">
        <w:rPr>
          <w:rFonts w:ascii="Times New Roman" w:hAnsi="Times New Roman" w:cs="Times New Roman"/>
          <w:sz w:val="22"/>
          <w:szCs w:val="22"/>
        </w:rPr>
        <w:t> </w:t>
      </w:r>
      <w:r w:rsidRPr="00AB6A62">
        <w:rPr>
          <w:rFonts w:ascii="Times New Roman" w:hAnsi="Times New Roman" w:cs="Times New Roman"/>
          <w:sz w:val="22"/>
          <w:szCs w:val="22"/>
        </w:rPr>
        <w:t>150</w:t>
      </w:r>
      <w:r w:rsidR="00017438" w:rsidRPr="00AB6A62">
        <w:rPr>
          <w:rFonts w:ascii="Times New Roman" w:hAnsi="Times New Roman" w:cs="Times New Roman"/>
          <w:sz w:val="22"/>
          <w:szCs w:val="22"/>
        </w:rPr>
        <w:t> </w:t>
      </w:r>
      <w:r w:rsidRPr="00AB6A62">
        <w:rPr>
          <w:rFonts w:ascii="Times New Roman" w:hAnsi="Times New Roman" w:cs="Times New Roman"/>
          <w:sz w:val="22"/>
          <w:szCs w:val="22"/>
        </w:rPr>
        <w:t xml:space="preserve">ng/ml-nél magasabb uracilszintje a teljes DPD-hiányra utaló jelként kezelendő, ami összefüggésben áll az életveszélyes vagy halálos, fluoropirimidinek okozta toxicitás kockázatával. </w:t>
      </w:r>
      <w:r w:rsidR="000C19B5" w:rsidRPr="000C19B5">
        <w:rPr>
          <w:rFonts w:ascii="Times New Roman" w:hAnsi="Times New Roman" w:cs="Times New Roman"/>
          <w:sz w:val="22"/>
          <w:szCs w:val="22"/>
        </w:rPr>
        <w:t xml:space="preserve">A vér uracilszintjét vesekárosodásban szenvedő betegek esetén </w:t>
      </w:r>
      <w:r w:rsidR="00C4008E">
        <w:rPr>
          <w:rFonts w:ascii="Times New Roman" w:hAnsi="Times New Roman" w:cs="Times New Roman"/>
          <w:sz w:val="22"/>
          <w:szCs w:val="22"/>
        </w:rPr>
        <w:t>fokozott figyelemmel</w:t>
      </w:r>
      <w:r w:rsidR="000C19B5" w:rsidRPr="000C19B5">
        <w:rPr>
          <w:rFonts w:ascii="Times New Roman" w:hAnsi="Times New Roman" w:cs="Times New Roman"/>
          <w:sz w:val="22"/>
          <w:szCs w:val="22"/>
        </w:rPr>
        <w:t xml:space="preserve"> kell </w:t>
      </w:r>
      <w:r w:rsidR="00C4008E">
        <w:rPr>
          <w:rFonts w:ascii="Times New Roman" w:hAnsi="Times New Roman" w:cs="Times New Roman"/>
          <w:sz w:val="22"/>
          <w:szCs w:val="22"/>
        </w:rPr>
        <w:t>ki</w:t>
      </w:r>
      <w:r w:rsidR="000C19B5" w:rsidRPr="000C19B5">
        <w:rPr>
          <w:rFonts w:ascii="Times New Roman" w:hAnsi="Times New Roman" w:cs="Times New Roman"/>
          <w:sz w:val="22"/>
          <w:szCs w:val="22"/>
        </w:rPr>
        <w:t>értékelni (lásd</w:t>
      </w:r>
      <w:r w:rsidR="000C19B5">
        <w:rPr>
          <w:rFonts w:ascii="Times New Roman" w:hAnsi="Times New Roman" w:cs="Times New Roman"/>
          <w:sz w:val="22"/>
          <w:szCs w:val="22"/>
        </w:rPr>
        <w:t xml:space="preserve"> </w:t>
      </w:r>
      <w:r w:rsidR="000C19B5" w:rsidRPr="000C19B5">
        <w:rPr>
          <w:rFonts w:ascii="Times New Roman" w:hAnsi="Times New Roman" w:cs="Times New Roman"/>
          <w:sz w:val="22"/>
          <w:szCs w:val="22"/>
        </w:rPr>
        <w:t>fent „A DPD-hiány szűrése” című részt).</w:t>
      </w:r>
    </w:p>
    <w:p w14:paraId="168C1CAB" w14:textId="77777777" w:rsidR="00D755CD" w:rsidRDefault="00D755CD" w:rsidP="00D755CD">
      <w:pPr>
        <w:rPr>
          <w:sz w:val="22"/>
          <w:szCs w:val="22"/>
        </w:rPr>
      </w:pPr>
    </w:p>
    <w:p w14:paraId="1834891E" w14:textId="77777777" w:rsidR="00F251D5" w:rsidRPr="00AB6A62" w:rsidRDefault="00D755CD" w:rsidP="00D755CD">
      <w:pPr>
        <w:rPr>
          <w:sz w:val="22"/>
          <w:szCs w:val="22"/>
          <w:u w:val="single"/>
        </w:rPr>
      </w:pPr>
      <w:r w:rsidRPr="00AB6A62">
        <w:rPr>
          <w:sz w:val="22"/>
          <w:szCs w:val="22"/>
          <w:u w:val="single"/>
        </w:rPr>
        <w:t xml:space="preserve">5-fluorouracil </w:t>
      </w:r>
      <w:r w:rsidR="00122C82" w:rsidRPr="00AB6A62">
        <w:rPr>
          <w:sz w:val="22"/>
          <w:szCs w:val="22"/>
          <w:u w:val="single"/>
        </w:rPr>
        <w:t>terápiás gyógyszerszint-monitorozása</w:t>
      </w:r>
      <w:r w:rsidRPr="00AB6A62">
        <w:rPr>
          <w:sz w:val="22"/>
          <w:szCs w:val="22"/>
          <w:u w:val="single"/>
        </w:rPr>
        <w:t xml:space="preserve"> (</w:t>
      </w:r>
      <w:r w:rsidR="00122C82" w:rsidRPr="00AB6A62">
        <w:rPr>
          <w:sz w:val="22"/>
          <w:szCs w:val="22"/>
          <w:u w:val="single"/>
        </w:rPr>
        <w:t>t</w:t>
      </w:r>
      <w:r w:rsidRPr="00A54920">
        <w:rPr>
          <w:color w:val="000000"/>
          <w:sz w:val="22"/>
          <w:szCs w:val="22"/>
          <w:u w:val="single"/>
        </w:rPr>
        <w:t>herapeutic drug monitoring</w:t>
      </w:r>
      <w:r w:rsidR="00122C82" w:rsidRPr="00A54920">
        <w:rPr>
          <w:color w:val="000000"/>
          <w:sz w:val="22"/>
          <w:szCs w:val="22"/>
          <w:u w:val="single"/>
        </w:rPr>
        <w:t>, TDM</w:t>
      </w:r>
      <w:r w:rsidRPr="00A54920">
        <w:rPr>
          <w:color w:val="000000"/>
          <w:sz w:val="22"/>
          <w:szCs w:val="22"/>
          <w:u w:val="single"/>
        </w:rPr>
        <w:t>)</w:t>
      </w:r>
    </w:p>
    <w:p w14:paraId="327CF1D5" w14:textId="77777777" w:rsidR="00F251D5" w:rsidRPr="00D755CD" w:rsidRDefault="00F251D5" w:rsidP="00F251D5">
      <w:pPr>
        <w:rPr>
          <w:sz w:val="22"/>
          <w:szCs w:val="22"/>
        </w:rPr>
      </w:pPr>
      <w:r w:rsidRPr="00DD0BA2">
        <w:rPr>
          <w:color w:val="000000"/>
          <w:sz w:val="22"/>
          <w:szCs w:val="22"/>
        </w:rPr>
        <w:t xml:space="preserve">Az 5 fluorouracil TDM vizsgálata a toxicitás csökkentése és a </w:t>
      </w:r>
      <w:r w:rsidR="00122C82">
        <w:rPr>
          <w:color w:val="000000"/>
          <w:sz w:val="22"/>
          <w:szCs w:val="22"/>
        </w:rPr>
        <w:t>hatásosság</w:t>
      </w:r>
      <w:r w:rsidR="00122C82" w:rsidRPr="00DD0BA2">
        <w:rPr>
          <w:color w:val="000000"/>
          <w:sz w:val="22"/>
          <w:szCs w:val="22"/>
        </w:rPr>
        <w:t xml:space="preserve"> </w:t>
      </w:r>
      <w:r w:rsidRPr="00DD0BA2">
        <w:rPr>
          <w:color w:val="000000"/>
          <w:sz w:val="22"/>
          <w:szCs w:val="22"/>
        </w:rPr>
        <w:t xml:space="preserve">növelése által javíthatja a klinikai eredményeket azon betegek esetében, akik folyamatos 5 fluorouracil-infúzióban részesülnek. Az AUC feltételezhetően 20 és 30 mg </w:t>
      </w:r>
      <w:r w:rsidR="00017438" w:rsidRPr="00DD0BA2">
        <w:rPr>
          <w:color w:val="000000"/>
          <w:sz w:val="22"/>
          <w:szCs w:val="22"/>
        </w:rPr>
        <w:t>×</w:t>
      </w:r>
      <w:r w:rsidRPr="00DD0BA2">
        <w:rPr>
          <w:color w:val="000000"/>
          <w:sz w:val="22"/>
          <w:szCs w:val="22"/>
        </w:rPr>
        <w:t xml:space="preserve"> </w:t>
      </w:r>
      <w:r w:rsidR="00017438" w:rsidRPr="00DD0BA2">
        <w:rPr>
          <w:color w:val="000000"/>
          <w:sz w:val="22"/>
          <w:szCs w:val="22"/>
        </w:rPr>
        <w:t>óra</w:t>
      </w:r>
      <w:r w:rsidRPr="00DD0BA2">
        <w:rPr>
          <w:color w:val="000000"/>
          <w:sz w:val="22"/>
          <w:szCs w:val="22"/>
        </w:rPr>
        <w:t>/l között van.</w:t>
      </w:r>
    </w:p>
    <w:p w14:paraId="7E56391D" w14:textId="77777777" w:rsidR="00F251D5" w:rsidRDefault="00F251D5" w:rsidP="00F251D5">
      <w:pPr>
        <w:pStyle w:val="Buborkszveg"/>
        <w:rPr>
          <w:rFonts w:ascii="Times New Roman" w:hAnsi="Times New Roman"/>
          <w:sz w:val="22"/>
          <w:szCs w:val="22"/>
        </w:rPr>
      </w:pPr>
    </w:p>
    <w:p w14:paraId="1E312A7E" w14:textId="77777777" w:rsidR="00365429" w:rsidRPr="00365429" w:rsidRDefault="00365429" w:rsidP="00365429">
      <w:pPr>
        <w:autoSpaceDE w:val="0"/>
        <w:autoSpaceDN w:val="0"/>
        <w:adjustRightInd w:val="0"/>
        <w:rPr>
          <w:color w:val="000000"/>
          <w:sz w:val="22"/>
          <w:szCs w:val="22"/>
          <w:u w:val="single"/>
          <w:lang w:eastAsia="en-US"/>
        </w:rPr>
      </w:pPr>
      <w:r w:rsidRPr="00365429">
        <w:rPr>
          <w:color w:val="000000"/>
          <w:sz w:val="22"/>
          <w:szCs w:val="22"/>
          <w:u w:val="single"/>
          <w:lang w:val="hu" w:eastAsia="en-US"/>
        </w:rPr>
        <w:t>Fényérzékenységi reakciók</w:t>
      </w:r>
    </w:p>
    <w:p w14:paraId="5F37E6AF" w14:textId="77777777" w:rsidR="00365429" w:rsidRPr="00365429" w:rsidRDefault="00365429" w:rsidP="00365429">
      <w:pPr>
        <w:autoSpaceDE w:val="0"/>
        <w:autoSpaceDN w:val="0"/>
        <w:adjustRightInd w:val="0"/>
        <w:rPr>
          <w:color w:val="000000"/>
          <w:sz w:val="22"/>
          <w:szCs w:val="22"/>
          <w:u w:val="single"/>
          <w:lang w:eastAsia="en-US"/>
        </w:rPr>
      </w:pPr>
      <w:r w:rsidRPr="00365429">
        <w:rPr>
          <w:color w:val="000000"/>
          <w:sz w:val="22"/>
          <w:szCs w:val="22"/>
          <w:lang w:val="hu" w:eastAsia="en-US"/>
        </w:rPr>
        <w:t>Egyes betegeknél fényérzékenységi reakciók léphetnek fel fluorouracil alkalmazását követően. Javasolt figyelmeztetni a betegeket arra, hogy ne tartózkodjanak hosszú ideig a napon (lásd 4.8 pont).</w:t>
      </w:r>
    </w:p>
    <w:p w14:paraId="795D17BA" w14:textId="77777777" w:rsidR="00365429" w:rsidRPr="00C3624D" w:rsidRDefault="00365429" w:rsidP="00F251D5">
      <w:pPr>
        <w:pStyle w:val="Buborkszveg"/>
        <w:rPr>
          <w:rFonts w:ascii="Times New Roman" w:hAnsi="Times New Roman"/>
          <w:sz w:val="22"/>
          <w:szCs w:val="22"/>
        </w:rPr>
      </w:pPr>
    </w:p>
    <w:p w14:paraId="4CDA0B57" w14:textId="77777777" w:rsidR="00F251D5" w:rsidRPr="00C3624D" w:rsidRDefault="00F251D5" w:rsidP="00F251D5">
      <w:pPr>
        <w:rPr>
          <w:sz w:val="22"/>
          <w:szCs w:val="22"/>
          <w:u w:val="single"/>
        </w:rPr>
      </w:pPr>
      <w:r w:rsidRPr="00C3624D">
        <w:rPr>
          <w:sz w:val="22"/>
          <w:szCs w:val="22"/>
          <w:u w:val="single"/>
          <w:lang w:val="hu"/>
        </w:rPr>
        <w:t>Az 5-fluorouracil és folinsav kombinálása</w:t>
      </w:r>
    </w:p>
    <w:p w14:paraId="63F1E18B" w14:textId="77777777" w:rsidR="00F251D5" w:rsidRPr="001B5D7D" w:rsidRDefault="00F251D5" w:rsidP="00F251D5">
      <w:pPr>
        <w:rPr>
          <w:sz w:val="22"/>
          <w:szCs w:val="22"/>
        </w:rPr>
      </w:pPr>
      <w:r w:rsidRPr="00C0663D">
        <w:rPr>
          <w:sz w:val="22"/>
          <w:szCs w:val="22"/>
          <w:lang w:val="hu"/>
        </w:rPr>
        <w:t>A folinsav fokozhatja vagy módosíthatja az 5-fluorouracil toxicitási profilját. A toxicitás</w:t>
      </w:r>
      <w:r w:rsidRPr="001B5D7D">
        <w:rPr>
          <w:sz w:val="22"/>
          <w:szCs w:val="22"/>
          <w:lang w:val="hu"/>
        </w:rPr>
        <w:t xml:space="preserve"> leggyakrabban leukopenia, mucositis, stomatitis és/vagy hasmenés formájában manifesztálódik, ami dóziskorlátozó lehet. Amikor kombinációban alkalmaznak 5-fluorouracilt és folinsavat, toxicitás kialakulásakor a fluorouracil adagját nagyobb mértékben kell csökkenteni, mint amikor önmagában adnak fluorouracilt. A kombinációval kezelt betegeknél a toxicitások minőségileg hasonlóak azokhoz, amelyeket a csak 5-fluorouracillal kezelt betegeknél észlelnek. </w:t>
      </w:r>
    </w:p>
    <w:p w14:paraId="516682A3" w14:textId="77777777" w:rsidR="00F251D5" w:rsidRPr="001B5D7D" w:rsidRDefault="00F251D5" w:rsidP="00F251D5">
      <w:pPr>
        <w:rPr>
          <w:sz w:val="22"/>
          <w:szCs w:val="22"/>
        </w:rPr>
      </w:pPr>
    </w:p>
    <w:p w14:paraId="64AE8BB1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>Gyakrabban tapasztalhatók gastrointestinalis toxicitások, amelyek súlyosabbak vagy akár életet veszélyeztetők lehetnek (különösen a stomatitis és a hasmenés). Súlyos esetekben le kell állítani az 5</w:t>
      </w:r>
      <w:r w:rsidRPr="001B5D7D">
        <w:rPr>
          <w:sz w:val="22"/>
          <w:szCs w:val="22"/>
          <w:lang w:val="hu"/>
        </w:rPr>
        <w:noBreakHyphen/>
        <w:t xml:space="preserve">fluorouracilt és a folinsavat, és intravénás támogató kezelést kell kezdeni. Fel kell hívni a betegek figyelmét arra, hogy azonnal beszéljék meg kezelőorvosukkal, ha stomatitis (enyhe vagy középsúlyos fekélyek) és/vagy naponta kétszeri hasmenés (vizes széklet vagy székelés) jelentkezik. </w:t>
      </w:r>
    </w:p>
    <w:p w14:paraId="1731F565" w14:textId="77777777" w:rsidR="00F251D5" w:rsidRPr="001B5D7D" w:rsidRDefault="00F251D5" w:rsidP="00F251D5">
      <w:pPr>
        <w:rPr>
          <w:sz w:val="22"/>
          <w:szCs w:val="22"/>
        </w:rPr>
      </w:pPr>
    </w:p>
    <w:p w14:paraId="20114C33" w14:textId="77777777" w:rsidR="00D755CD" w:rsidRPr="001B5D7D" w:rsidRDefault="00D755CD" w:rsidP="00D755CD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Nátrium:</w:t>
      </w:r>
    </w:p>
    <w:p w14:paraId="52A50AEE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 xml:space="preserve">A </w:t>
      </w:r>
      <w:r w:rsidR="00837803" w:rsidRPr="006C7C21">
        <w:rPr>
          <w:sz w:val="22"/>
          <w:szCs w:val="22"/>
        </w:rPr>
        <w:t xml:space="preserve">Fluorouracil Accord </w:t>
      </w:r>
      <w:r w:rsidRPr="001B5D7D">
        <w:rPr>
          <w:sz w:val="22"/>
          <w:szCs w:val="22"/>
        </w:rPr>
        <w:t>injekció 7,78 mmol (178,2 mg) nátriumot tartalmaz a maximális napi adagban (600 mg/m</w:t>
      </w:r>
      <w:r w:rsidRPr="001B5D7D">
        <w:rPr>
          <w:sz w:val="22"/>
          <w:szCs w:val="22"/>
          <w:vertAlign w:val="superscript"/>
        </w:rPr>
        <w:t>2</w:t>
      </w:r>
      <w:r w:rsidRPr="001B5D7D">
        <w:rPr>
          <w:sz w:val="22"/>
          <w:szCs w:val="22"/>
        </w:rPr>
        <w:t>). Ezt figyelembe kell venni olyan betegek esetében, akik ellenőrzött nátriumtartalmú diétán vannak.</w:t>
      </w:r>
    </w:p>
    <w:p w14:paraId="20A13477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14:paraId="63667133" w14:textId="77777777" w:rsidR="00F251D5" w:rsidRPr="001B5D7D" w:rsidRDefault="00F251D5" w:rsidP="00F251D5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1B5D7D">
        <w:rPr>
          <w:b/>
          <w:color w:val="000000"/>
          <w:sz w:val="22"/>
          <w:szCs w:val="22"/>
        </w:rPr>
        <w:t>4.5</w:t>
      </w:r>
      <w:r w:rsidRPr="001B5D7D">
        <w:rPr>
          <w:b/>
          <w:color w:val="000000"/>
          <w:sz w:val="22"/>
          <w:szCs w:val="22"/>
        </w:rPr>
        <w:tab/>
        <w:t>Gyógyszerkölcsönhatások és egyéb interakciók</w:t>
      </w:r>
    </w:p>
    <w:p w14:paraId="6C11A5AA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14:paraId="248DCF9E" w14:textId="77777777" w:rsidR="00365429" w:rsidRPr="00365429" w:rsidRDefault="00365429" w:rsidP="00365429">
      <w:pPr>
        <w:jc w:val="both"/>
        <w:rPr>
          <w:rFonts w:cs="Arial"/>
          <w:sz w:val="22"/>
          <w:szCs w:val="22"/>
          <w:u w:val="single"/>
          <w:lang w:eastAsia="en-US"/>
        </w:rPr>
      </w:pPr>
      <w:r w:rsidRPr="00365429">
        <w:rPr>
          <w:rFonts w:cs="Arial"/>
          <w:sz w:val="22"/>
          <w:szCs w:val="22"/>
          <w:u w:val="single"/>
          <w:lang w:val="hu" w:eastAsia="en-US"/>
        </w:rPr>
        <w:t>Brivudin és szorivudin</w:t>
      </w:r>
    </w:p>
    <w:p w14:paraId="37FA3A11" w14:textId="24D1BF5F" w:rsidR="00365429" w:rsidRPr="00365429" w:rsidRDefault="00365429" w:rsidP="00365429">
      <w:pPr>
        <w:jc w:val="both"/>
        <w:rPr>
          <w:rFonts w:cs="Arial"/>
          <w:sz w:val="22"/>
          <w:szCs w:val="22"/>
          <w:lang w:eastAsia="en-US"/>
        </w:rPr>
      </w:pPr>
      <w:r w:rsidRPr="00365429">
        <w:rPr>
          <w:rFonts w:cs="Arial"/>
          <w:sz w:val="22"/>
          <w:szCs w:val="22"/>
          <w:lang w:val="hu" w:eastAsia="en-US"/>
        </w:rPr>
        <w:t xml:space="preserve">A brivudin, a szorivudin vagy azok hasonló kémiai szerkezetű analógjai a DPD </w:t>
      </w:r>
      <w:r w:rsidR="00D0059D">
        <w:rPr>
          <w:rFonts w:cs="Arial"/>
          <w:sz w:val="22"/>
          <w:szCs w:val="22"/>
          <w:lang w:val="hu" w:eastAsia="en-US"/>
        </w:rPr>
        <w:t xml:space="preserve">irreverzibilis </w:t>
      </w:r>
      <w:r w:rsidRPr="00365429">
        <w:rPr>
          <w:rFonts w:cs="Arial"/>
          <w:sz w:val="22"/>
          <w:szCs w:val="22"/>
          <w:lang w:val="hu" w:eastAsia="en-US"/>
        </w:rPr>
        <w:t>gátlását okozzák, aminek eredményeként szignifikánsan megnő a fluorouracil expozíciója. Ennek következtében fokozódnak a fluoropirimidinnel kapcsolatos, potenciálisan végzetes kimenetellel járó toxikus hatások. Emiatt vagy másik antivirális terápia használandó, vagy várni kell legalább 4 hetet a brivudin, a szorivudin és analógjaik alkalmazása, illetve a fluorouracil-kezelés megkezdése között (lásd 4.3 pont). Amennyiben fluorouracillal kezelt betegnél véletlenül a DPD aktivitását gátló nukleozid-analógok alkalmazására kerül sor, megfelelő intézkedéseket kell tenni a fluorouracil toxicitásának mérséklésére.</w:t>
      </w:r>
      <w:r>
        <w:rPr>
          <w:rFonts w:cs="Arial"/>
          <w:sz w:val="22"/>
          <w:szCs w:val="22"/>
          <w:lang w:val="hu" w:eastAsia="en-US"/>
        </w:rPr>
        <w:t xml:space="preserve"> </w:t>
      </w:r>
      <w:r w:rsidRPr="00365429">
        <w:rPr>
          <w:rFonts w:cs="Arial"/>
          <w:sz w:val="22"/>
          <w:szCs w:val="22"/>
          <w:lang w:val="hu" w:eastAsia="en-US"/>
        </w:rPr>
        <w:t>Azonnali kórházi felvétel javasolt.</w:t>
      </w:r>
    </w:p>
    <w:p w14:paraId="15927D43" w14:textId="77777777" w:rsidR="00365429" w:rsidRPr="00365429" w:rsidRDefault="00365429" w:rsidP="00365429">
      <w:pPr>
        <w:jc w:val="both"/>
        <w:rPr>
          <w:rFonts w:cs="Arial"/>
          <w:sz w:val="22"/>
          <w:szCs w:val="22"/>
          <w:lang w:eastAsia="en-US"/>
        </w:rPr>
      </w:pPr>
    </w:p>
    <w:p w14:paraId="2FDC3A13" w14:textId="77777777" w:rsidR="00365429" w:rsidRPr="00365429" w:rsidRDefault="00365429" w:rsidP="00365429">
      <w:pPr>
        <w:jc w:val="both"/>
        <w:rPr>
          <w:rFonts w:cs="Arial"/>
          <w:sz w:val="22"/>
          <w:szCs w:val="22"/>
          <w:lang w:eastAsia="en-US"/>
        </w:rPr>
      </w:pPr>
      <w:r w:rsidRPr="00365429">
        <w:rPr>
          <w:rFonts w:cs="Arial"/>
          <w:sz w:val="22"/>
          <w:szCs w:val="22"/>
          <w:u w:val="single"/>
          <w:lang w:val="hu" w:eastAsia="en-US"/>
        </w:rPr>
        <w:t>Citotoxikus szerek</w:t>
      </w:r>
      <w:r w:rsidRPr="00365429">
        <w:rPr>
          <w:rFonts w:cs="Arial"/>
          <w:sz w:val="22"/>
          <w:szCs w:val="22"/>
          <w:lang w:val="hu" w:eastAsia="en-US"/>
        </w:rPr>
        <w:t xml:space="preserve"> </w:t>
      </w:r>
    </w:p>
    <w:p w14:paraId="7C0D596C" w14:textId="1DA766C5" w:rsidR="00F251D5" w:rsidRPr="001B5D7D" w:rsidRDefault="00F251D5" w:rsidP="00F251D5">
      <w:pPr>
        <w:pStyle w:val="Szvegtrzs3"/>
        <w:jc w:val="left"/>
        <w:rPr>
          <w:strike/>
          <w:sz w:val="22"/>
          <w:szCs w:val="22"/>
        </w:rPr>
      </w:pPr>
      <w:r w:rsidRPr="001B5D7D">
        <w:rPr>
          <w:sz w:val="22"/>
          <w:szCs w:val="22"/>
        </w:rPr>
        <w:t xml:space="preserve">Számos hatóanyag esetében számoltak be arról, hogy biokémiailag módosítja a fluorouracil tumorellenes hatásosságát vagy toxicitását. Ezen gyakori gyógyszerek közé tartozik a metotrexát, a metronidazol, a </w:t>
      </w:r>
      <w:r w:rsidR="00365429">
        <w:rPr>
          <w:sz w:val="22"/>
          <w:szCs w:val="22"/>
        </w:rPr>
        <w:t>folinsav</w:t>
      </w:r>
      <w:r w:rsidRPr="001B5D7D">
        <w:rPr>
          <w:sz w:val="22"/>
          <w:szCs w:val="22"/>
        </w:rPr>
        <w:t>, az alfa-interferon és az allopurinol.</w:t>
      </w:r>
    </w:p>
    <w:p w14:paraId="272C8F61" w14:textId="77777777" w:rsidR="00F251D5" w:rsidRPr="001B5D7D" w:rsidRDefault="00F251D5" w:rsidP="00F251D5">
      <w:pPr>
        <w:rPr>
          <w:sz w:val="22"/>
          <w:szCs w:val="22"/>
        </w:rPr>
      </w:pPr>
    </w:p>
    <w:p w14:paraId="37D16FEF" w14:textId="77777777" w:rsidR="00365429" w:rsidRPr="00365429" w:rsidRDefault="00365429" w:rsidP="00AB6A62">
      <w:pPr>
        <w:keepNext/>
        <w:jc w:val="both"/>
        <w:rPr>
          <w:sz w:val="22"/>
          <w:szCs w:val="22"/>
          <w:u w:val="single"/>
          <w:lang w:eastAsia="en-US"/>
        </w:rPr>
      </w:pPr>
      <w:r w:rsidRPr="00365429">
        <w:rPr>
          <w:sz w:val="22"/>
          <w:szCs w:val="22"/>
          <w:u w:val="single"/>
          <w:lang w:val="hu" w:eastAsia="en-US"/>
        </w:rPr>
        <w:t>Kalcium-folinát (folinsav)</w:t>
      </w:r>
    </w:p>
    <w:p w14:paraId="73853B8D" w14:textId="735166D7" w:rsidR="00F251D5" w:rsidRPr="001B5D7D" w:rsidRDefault="00365429" w:rsidP="00AB6A62">
      <w:pPr>
        <w:keepNext/>
        <w:rPr>
          <w:sz w:val="22"/>
          <w:szCs w:val="22"/>
        </w:rPr>
      </w:pPr>
      <w:r w:rsidRPr="00365429">
        <w:rPr>
          <w:sz w:val="22"/>
          <w:szCs w:val="22"/>
          <w:lang w:val="hu" w:eastAsia="en-US"/>
        </w:rPr>
        <w:t>A folinsav fokozza a fluorouracil kötődését a timidilát-szintázhoz.</w:t>
      </w:r>
      <w:r>
        <w:rPr>
          <w:sz w:val="22"/>
          <w:szCs w:val="22"/>
          <w:lang w:val="hu" w:eastAsia="en-US"/>
        </w:rPr>
        <w:t xml:space="preserve"> </w:t>
      </w:r>
      <w:r w:rsidR="00F251D5" w:rsidRPr="001B5D7D">
        <w:rPr>
          <w:sz w:val="22"/>
          <w:szCs w:val="22"/>
          <w:lang w:val="hu"/>
        </w:rPr>
        <w:t>Az 5-fluorouracil hatásossága és toxikussága is növekedhet, ha folinsavval együtt alkalmazzák. Kifejezettebben jelentkezhetnek a mellékhatások, és súlyos hasmenés fordulhat elő. Életet veszélyeztető hasmenéses eseteket figyeltek meg, ha 600 mg/m² fluorouracilt (heti egy iv. bólus) adtak folinsavval együtt.</w:t>
      </w:r>
    </w:p>
    <w:p w14:paraId="594A7CB8" w14:textId="77777777" w:rsidR="00F251D5" w:rsidRPr="001B5D7D" w:rsidRDefault="00F251D5" w:rsidP="00F251D5">
      <w:pPr>
        <w:rPr>
          <w:sz w:val="22"/>
          <w:szCs w:val="22"/>
        </w:rPr>
      </w:pPr>
    </w:p>
    <w:p w14:paraId="199F7949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>Más mieloszuppresszív szerekkel kombinálva szükséges az adagolás megváltoztatása. Az egyidejűleg vagy korábban alkalmazott sugárkezelés miatt szükség lehet a dózis csökkentésére. Fokozódhat az antraciklinek kardiotoxicitása.</w:t>
      </w:r>
    </w:p>
    <w:p w14:paraId="15FCA237" w14:textId="77777777" w:rsidR="00F251D5" w:rsidRPr="001B5D7D" w:rsidRDefault="00F251D5" w:rsidP="00F251D5">
      <w:pPr>
        <w:rPr>
          <w:sz w:val="22"/>
          <w:szCs w:val="22"/>
        </w:rPr>
      </w:pPr>
    </w:p>
    <w:p w14:paraId="17E7D067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A fluorouracil nem alkalmazható klozapinnal kombinálva, mert fokozott az agranulocytosis kockázata. </w:t>
      </w:r>
    </w:p>
    <w:p w14:paraId="3332D0A4" w14:textId="77777777" w:rsidR="00F251D5" w:rsidRPr="001B5D7D" w:rsidRDefault="00F251D5" w:rsidP="00F251D5">
      <w:pPr>
        <w:rPr>
          <w:sz w:val="22"/>
          <w:szCs w:val="22"/>
        </w:rPr>
      </w:pPr>
    </w:p>
    <w:p w14:paraId="3F7AF985" w14:textId="77777777" w:rsidR="00F251D5" w:rsidRPr="001B5D7D" w:rsidRDefault="00F251D5" w:rsidP="00F251D5">
      <w:pPr>
        <w:pStyle w:val="lfej"/>
        <w:tabs>
          <w:tab w:val="clear" w:pos="4320"/>
          <w:tab w:val="clear" w:pos="8640"/>
        </w:tabs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Az agyi infarktus fokozott előfordulásáról számoltak be olyan oropharyngealis daganatos megbetegedésben szenvedő páciensek esetében, akiket fluorouracillal és ciszplatinnal kezeltek.</w:t>
      </w:r>
    </w:p>
    <w:p w14:paraId="6BC34A44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22D7188F" w14:textId="77777777" w:rsidR="00365429" w:rsidRPr="00365429" w:rsidRDefault="00365429" w:rsidP="00365429">
      <w:pPr>
        <w:jc w:val="both"/>
        <w:rPr>
          <w:sz w:val="22"/>
          <w:szCs w:val="22"/>
          <w:u w:val="single"/>
          <w:lang w:eastAsia="en-GB"/>
        </w:rPr>
      </w:pPr>
      <w:r w:rsidRPr="00365429">
        <w:rPr>
          <w:sz w:val="22"/>
          <w:szCs w:val="22"/>
          <w:u w:val="single"/>
          <w:lang w:val="hu" w:eastAsia="en-GB"/>
        </w:rPr>
        <w:t>Fenitoin</w:t>
      </w:r>
    </w:p>
    <w:p w14:paraId="30D5F8D2" w14:textId="4C813812" w:rsidR="00365429" w:rsidRPr="00365429" w:rsidRDefault="00365429" w:rsidP="00365429">
      <w:pPr>
        <w:jc w:val="both"/>
        <w:rPr>
          <w:sz w:val="22"/>
          <w:szCs w:val="22"/>
          <w:lang w:val="hu" w:eastAsia="en-GB"/>
        </w:rPr>
      </w:pPr>
      <w:r w:rsidRPr="00365429">
        <w:rPr>
          <w:sz w:val="22"/>
          <w:szCs w:val="22"/>
          <w:lang w:val="hu" w:eastAsia="en-GB"/>
        </w:rPr>
        <w:t xml:space="preserve">A fenitoin szintjét rendszeresen monitorozni kell a fluorouracilt kapó betegeknél, továbbá szükség lehet a fenitoin </w:t>
      </w:r>
      <w:r w:rsidR="00D0059D">
        <w:rPr>
          <w:sz w:val="22"/>
          <w:szCs w:val="22"/>
          <w:lang w:val="hu" w:eastAsia="en-GB"/>
        </w:rPr>
        <w:t>dózisának</w:t>
      </w:r>
      <w:r w:rsidRPr="00365429">
        <w:rPr>
          <w:sz w:val="22"/>
          <w:szCs w:val="22"/>
          <w:lang w:val="hu" w:eastAsia="en-GB"/>
        </w:rPr>
        <w:t xml:space="preserve"> </w:t>
      </w:r>
      <w:r w:rsidR="00D0059D">
        <w:rPr>
          <w:sz w:val="22"/>
          <w:szCs w:val="22"/>
          <w:lang w:val="hu" w:eastAsia="en-GB"/>
        </w:rPr>
        <w:t>csökkentésére</w:t>
      </w:r>
      <w:r w:rsidRPr="00365429">
        <w:rPr>
          <w:sz w:val="22"/>
          <w:szCs w:val="22"/>
          <w:lang w:val="hu" w:eastAsia="en-GB"/>
        </w:rPr>
        <w:t>. Fenitoin és fluorouracil, illetve analógjai egyidejű alkalmazása esetén beszámoltak a fenitoin megemelkedett plazmakoncentrációjával összefüggő toxicitásról. Nem végeztek formális vizsgálatokat a gyógyszerek közti kölcsönhatás tanulmányozására fenitoinnal, azonban a kölcsönhatás feltételezett mechanizmusa a CYP2C9 vagy a CYP2C19 izoenzim fluorouracil általi gátlása (lásd 4.4 pont).</w:t>
      </w:r>
    </w:p>
    <w:p w14:paraId="7E290682" w14:textId="77777777" w:rsidR="00365429" w:rsidRDefault="00365429" w:rsidP="00365429">
      <w:pPr>
        <w:pStyle w:val="NormlWeb"/>
        <w:spacing w:before="0" w:beforeAutospacing="0" w:after="0" w:afterAutospacing="0"/>
        <w:rPr>
          <w:rFonts w:eastAsiaTheme="minorHAnsi"/>
          <w:sz w:val="22"/>
          <w:szCs w:val="22"/>
          <w:u w:val="single"/>
          <w:lang w:val="hu" w:eastAsia="en-US"/>
        </w:rPr>
      </w:pPr>
    </w:p>
    <w:p w14:paraId="505823D6" w14:textId="2B6288DB" w:rsidR="00365429" w:rsidRDefault="00365429" w:rsidP="00365429">
      <w:pPr>
        <w:pStyle w:val="NormlWeb"/>
        <w:spacing w:before="0" w:beforeAutospacing="0" w:after="0" w:afterAutospacing="0"/>
        <w:rPr>
          <w:rFonts w:eastAsiaTheme="minorHAnsi"/>
          <w:sz w:val="22"/>
          <w:szCs w:val="22"/>
          <w:u w:val="single"/>
          <w:lang w:val="hu" w:eastAsia="en-US"/>
        </w:rPr>
      </w:pPr>
      <w:r w:rsidRPr="006020BB">
        <w:rPr>
          <w:rFonts w:eastAsiaTheme="minorHAnsi"/>
          <w:sz w:val="22"/>
          <w:szCs w:val="22"/>
          <w:u w:val="single"/>
          <w:lang w:val="hu" w:eastAsia="en-US"/>
        </w:rPr>
        <w:t>Warfarin</w:t>
      </w:r>
    </w:p>
    <w:p w14:paraId="3E050292" w14:textId="27647941" w:rsidR="00F251D5" w:rsidRPr="001B5D7D" w:rsidRDefault="00F251D5" w:rsidP="00365429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protrombinidő és az INR jelentős emelkedéséről számoltak be néhány olyan betegnél, akiknél a fluorouracil adagolásának megkezdése után warfarin-terápiát állítottak be.</w:t>
      </w:r>
      <w:r w:rsidR="00365429">
        <w:rPr>
          <w:sz w:val="22"/>
          <w:szCs w:val="22"/>
        </w:rPr>
        <w:t xml:space="preserve"> </w:t>
      </w:r>
      <w:r w:rsidR="00365429">
        <w:rPr>
          <w:sz w:val="22"/>
          <w:szCs w:val="22"/>
          <w:lang w:val="hu"/>
        </w:rPr>
        <w:t>A fluorouracilt alkalmazó betegeknél rendszeresen monitorozni kell a warfarinnal vagy egyéb kumarinszármazékkal végzett kezelésre adott megfelelő véralvadás</w:t>
      </w:r>
      <w:r w:rsidR="00D0059D">
        <w:rPr>
          <w:sz w:val="22"/>
          <w:szCs w:val="22"/>
          <w:lang w:val="hu"/>
        </w:rPr>
        <w:t>-</w:t>
      </w:r>
      <w:r w:rsidR="00365429">
        <w:rPr>
          <w:sz w:val="22"/>
          <w:szCs w:val="22"/>
          <w:lang w:val="hu"/>
        </w:rPr>
        <w:t>gátlási választ.</w:t>
      </w:r>
    </w:p>
    <w:p w14:paraId="61407C38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8637A70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>Cimetidin, metronidazol és interferon hatására nőhet az 5-fluorouracil plazmaszintje, és ezért fokozódhat az 5-fluorouracil toxicitása.</w:t>
      </w:r>
    </w:p>
    <w:p w14:paraId="6B5CCDC9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</w:p>
    <w:p w14:paraId="44316147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fluorouracil fokozza az egyéb citosztatikus gyógyszerek és a sugárkezelés hatását (lásd 4.2 pont).</w:t>
      </w:r>
    </w:p>
    <w:p w14:paraId="356DBA09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D86AB8F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 xml:space="preserve">Ciklofoszfamidot, metotrexátot és 5-fluorouracilt kapó betegeknél a tiazid diuretikumok alkalmazása a granulociták számának kifejezettebb csökkenését eredményezte azokhoz a betegekhez viszonyítva, akik nem kaptak tiazidokat. </w:t>
      </w:r>
    </w:p>
    <w:p w14:paraId="427060F2" w14:textId="77777777" w:rsidR="00F251D5" w:rsidRPr="001B5D7D" w:rsidRDefault="00F251D5" w:rsidP="00F251D5">
      <w:pPr>
        <w:rPr>
          <w:sz w:val="22"/>
          <w:szCs w:val="22"/>
        </w:rPr>
      </w:pPr>
    </w:p>
    <w:p w14:paraId="6C43EF24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>Gyakran figyeltek meg hepatotoxicitást (az alkalikus foszfatázok, transzaminázok vagy a bilirubin szintjének emelkedése) azoknál a betegeknél, akik levamizollal kombinált 5-fluorouracilt kaptak.</w:t>
      </w:r>
    </w:p>
    <w:p w14:paraId="053A2002" w14:textId="77777777" w:rsidR="00F251D5" w:rsidRPr="001B5D7D" w:rsidRDefault="00F251D5" w:rsidP="00F251D5">
      <w:pPr>
        <w:rPr>
          <w:sz w:val="22"/>
          <w:szCs w:val="22"/>
        </w:rPr>
      </w:pPr>
    </w:p>
    <w:p w14:paraId="21EA9DCF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>Emlőrákos betegeknél arról számoltak be, hogy ciklofoszfamidot, metotrexátot, 5-fluorouracilt és tamoxifént tartalmazó kombinált kezelés fokozza a thromboemboliás események kockázatát.</w:t>
      </w:r>
    </w:p>
    <w:p w14:paraId="40B4C0B4" w14:textId="77777777" w:rsidR="00F251D5" w:rsidRPr="001B5D7D" w:rsidRDefault="00F251D5" w:rsidP="00F251D5">
      <w:pPr>
        <w:rPr>
          <w:sz w:val="22"/>
          <w:szCs w:val="22"/>
        </w:rPr>
      </w:pPr>
    </w:p>
    <w:p w14:paraId="71517D33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  <w:lang w:val="hu"/>
        </w:rPr>
        <w:t>Súlyos, potenciálisan életet veszélyeztető mucositis fordulhat elő vinorelbin és 5-fluorouracil/folinsav együttes alkalmazása után.</w:t>
      </w:r>
    </w:p>
    <w:p w14:paraId="5E3CF620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3BB1957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Az immunológiailag legyengült betegek nem olthatók be élő vakcinával.</w:t>
      </w:r>
    </w:p>
    <w:p w14:paraId="1BC81824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14:paraId="6652E861" w14:textId="77777777" w:rsidR="00F251D5" w:rsidRPr="001B5D7D" w:rsidRDefault="00F251D5" w:rsidP="00F251D5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1B5D7D">
        <w:rPr>
          <w:b/>
          <w:color w:val="000000"/>
          <w:sz w:val="22"/>
          <w:szCs w:val="22"/>
        </w:rPr>
        <w:t>4.6</w:t>
      </w:r>
      <w:r w:rsidRPr="001B5D7D">
        <w:rPr>
          <w:b/>
          <w:color w:val="000000"/>
          <w:sz w:val="22"/>
          <w:szCs w:val="22"/>
        </w:rPr>
        <w:tab/>
        <w:t>Termékenység, terhesség és szoptatás</w:t>
      </w:r>
    </w:p>
    <w:p w14:paraId="15A9C023" w14:textId="77777777" w:rsidR="00F251D5" w:rsidRPr="001B5D7D" w:rsidRDefault="00F251D5" w:rsidP="00F251D5">
      <w:pPr>
        <w:rPr>
          <w:strike/>
          <w:color w:val="000000"/>
          <w:sz w:val="22"/>
          <w:szCs w:val="22"/>
        </w:rPr>
      </w:pPr>
      <w:bookmarkStart w:id="1" w:name="OLE_LINK133"/>
    </w:p>
    <w:p w14:paraId="482BFE7E" w14:textId="77777777" w:rsidR="00365429" w:rsidRPr="00365429" w:rsidRDefault="00365429" w:rsidP="00365429">
      <w:pPr>
        <w:autoSpaceDE w:val="0"/>
        <w:autoSpaceDN w:val="0"/>
        <w:adjustRightInd w:val="0"/>
        <w:jc w:val="both"/>
        <w:rPr>
          <w:color w:val="000000"/>
          <w:sz w:val="22"/>
          <w:szCs w:val="22"/>
          <w:u w:val="single"/>
          <w:lang w:eastAsia="en-US"/>
        </w:rPr>
      </w:pPr>
      <w:r w:rsidRPr="00365429">
        <w:rPr>
          <w:color w:val="000000"/>
          <w:sz w:val="22"/>
          <w:szCs w:val="22"/>
          <w:u w:val="single"/>
          <w:lang w:val="hu" w:eastAsia="en-US"/>
        </w:rPr>
        <w:t xml:space="preserve">Fogamzóképes nők </w:t>
      </w:r>
    </w:p>
    <w:p w14:paraId="54633301" w14:textId="5F0D73AA" w:rsidR="00365429" w:rsidRDefault="00365429" w:rsidP="00365429">
      <w:pPr>
        <w:autoSpaceDE w:val="0"/>
        <w:autoSpaceDN w:val="0"/>
        <w:adjustRightInd w:val="0"/>
        <w:rPr>
          <w:color w:val="000000"/>
          <w:sz w:val="22"/>
          <w:szCs w:val="22"/>
          <w:lang w:val="hu" w:eastAsia="en-US"/>
        </w:rPr>
      </w:pPr>
      <w:r w:rsidRPr="00365429">
        <w:rPr>
          <w:color w:val="000000"/>
          <w:sz w:val="22"/>
          <w:szCs w:val="22"/>
          <w:lang w:val="hu" w:eastAsia="en-US"/>
        </w:rPr>
        <w:t xml:space="preserve">A fogamzóképes nők figyelmét fel kell hívni arra, hogy ne essenek teherbe a fluorouracil-kezelés során, továbbá alkalmazzanak nagy hatásosságú fogamzásgátlási módszert a fluorouracil-kezelés ideje alatt és utána még legalább 6 hónapig. Ha a gyógyszert terhesség alatt alkalmazzák, vagy ha a beteg a </w:t>
      </w:r>
      <w:r w:rsidRPr="00365429">
        <w:rPr>
          <w:color w:val="000000"/>
          <w:sz w:val="22"/>
          <w:szCs w:val="22"/>
          <w:lang w:val="hu" w:eastAsia="en-US"/>
        </w:rPr>
        <w:lastRenderedPageBreak/>
        <w:t>gyógyszer alkalmazásának ideje alatt teherbe esik, a beteget teljeskörűen tájékoztatni kell a magzatot érintő lehetséges veszélyről, továbbá genetikai tanácsadás ajánlott, amennyiben indokolt és elérhető.</w:t>
      </w:r>
    </w:p>
    <w:p w14:paraId="1C623181" w14:textId="77777777" w:rsidR="00365429" w:rsidRDefault="00365429" w:rsidP="00365429">
      <w:pPr>
        <w:autoSpaceDE w:val="0"/>
        <w:autoSpaceDN w:val="0"/>
        <w:adjustRightInd w:val="0"/>
        <w:rPr>
          <w:color w:val="000000"/>
          <w:sz w:val="22"/>
          <w:szCs w:val="22"/>
          <w:lang w:val="hu" w:eastAsia="en-US"/>
        </w:rPr>
      </w:pPr>
    </w:p>
    <w:p w14:paraId="2C3CAB99" w14:textId="221B2BE8" w:rsidR="00F251D5" w:rsidRPr="00AB6A62" w:rsidRDefault="00F251D5" w:rsidP="00AB6A62">
      <w:pPr>
        <w:keepNext/>
        <w:autoSpaceDE w:val="0"/>
        <w:autoSpaceDN w:val="0"/>
        <w:adjustRightInd w:val="0"/>
        <w:rPr>
          <w:color w:val="000000"/>
          <w:sz w:val="22"/>
          <w:szCs w:val="22"/>
          <w:u w:val="single"/>
        </w:rPr>
      </w:pPr>
      <w:r w:rsidRPr="00AB6A62">
        <w:rPr>
          <w:color w:val="000000"/>
          <w:sz w:val="22"/>
          <w:szCs w:val="22"/>
          <w:u w:val="single"/>
        </w:rPr>
        <w:t>Terhesség</w:t>
      </w:r>
    </w:p>
    <w:p w14:paraId="1986FECE" w14:textId="07703362" w:rsidR="00365429" w:rsidRPr="00365429" w:rsidRDefault="00365429" w:rsidP="00AB6A62">
      <w:pPr>
        <w:keepNext/>
        <w:rPr>
          <w:sz w:val="22"/>
          <w:szCs w:val="22"/>
          <w:lang w:eastAsia="en-US"/>
        </w:rPr>
      </w:pPr>
      <w:r w:rsidRPr="00365429">
        <w:rPr>
          <w:sz w:val="22"/>
          <w:szCs w:val="22"/>
          <w:lang w:val="hu" w:eastAsia="en-US"/>
        </w:rPr>
        <w:t>A fluorouracil terhes nőknél alkalmazva magzati károsodást okozhat. Terhes nőknél nem végeztek megfelelő és jól szabályozott vizsgálatokat, mindazonáltal beszámoltak magzati defektusokról és vetélésekről. Az állat</w:t>
      </w:r>
      <w:r w:rsidR="00804090">
        <w:rPr>
          <w:sz w:val="22"/>
          <w:szCs w:val="22"/>
          <w:lang w:val="hu" w:eastAsia="en-US"/>
        </w:rPr>
        <w:t>okkal végzett vizsgálatokban</w:t>
      </w:r>
      <w:r w:rsidRPr="00365429">
        <w:rPr>
          <w:sz w:val="22"/>
          <w:szCs w:val="22"/>
          <w:lang w:val="hu" w:eastAsia="en-US"/>
        </w:rPr>
        <w:t xml:space="preserve"> megfigyelt teratogén hatások alapján a fluorouracilt olyan szernek kell tekinteni, amely magzati malformációkat okozhat (lásd 5.3 pont). A fluorouracil terhesség alatt csak akkor alkalmazható, ha az alkalmazás várható előnyei nagyobbak a magzatot fenyegető potenciális kockázatoknál. Beszámoltak sikeres terhességről olyan betegeknél, akik a második és a harmadik trimeszter során részesültek kemoterápiában.</w:t>
      </w:r>
    </w:p>
    <w:p w14:paraId="6AE9F17C" w14:textId="77777777" w:rsidR="00365429" w:rsidRPr="00365429" w:rsidRDefault="00365429" w:rsidP="00365429">
      <w:pPr>
        <w:rPr>
          <w:sz w:val="22"/>
          <w:szCs w:val="22"/>
          <w:lang w:eastAsia="en-US"/>
        </w:rPr>
      </w:pPr>
    </w:p>
    <w:p w14:paraId="2BE21B48" w14:textId="77777777" w:rsidR="00365429" w:rsidRPr="00365429" w:rsidRDefault="00365429" w:rsidP="00365429">
      <w:pPr>
        <w:jc w:val="both"/>
        <w:rPr>
          <w:rFonts w:cs="Arial"/>
          <w:sz w:val="22"/>
          <w:szCs w:val="22"/>
          <w:u w:val="single"/>
          <w:lang w:eastAsia="en-US"/>
        </w:rPr>
      </w:pPr>
      <w:r w:rsidRPr="00365429">
        <w:rPr>
          <w:rFonts w:cs="Arial"/>
          <w:sz w:val="22"/>
          <w:szCs w:val="22"/>
          <w:u w:val="single"/>
          <w:lang w:val="hu" w:eastAsia="en-US"/>
        </w:rPr>
        <w:t xml:space="preserve">Szoptatás </w:t>
      </w:r>
    </w:p>
    <w:p w14:paraId="0F8FE89B" w14:textId="3933EE1C" w:rsidR="00F251D5" w:rsidRPr="001B5D7D" w:rsidRDefault="00365429" w:rsidP="00443D36">
      <w:pPr>
        <w:autoSpaceDE w:val="0"/>
        <w:autoSpaceDN w:val="0"/>
        <w:adjustRightInd w:val="0"/>
        <w:rPr>
          <w:b/>
          <w:bCs/>
          <w:strike/>
          <w:sz w:val="22"/>
          <w:szCs w:val="22"/>
          <w:u w:val="single"/>
        </w:rPr>
      </w:pPr>
      <w:r w:rsidRPr="00365429">
        <w:rPr>
          <w:sz w:val="22"/>
          <w:szCs w:val="22"/>
          <w:lang w:val="hu" w:eastAsia="en-US"/>
        </w:rPr>
        <w:t>Nem ismert, hogy a fluorouracil átjut-e az anyatejbe, ezért abba kell hagyni a szoptatást, ha az anya fluorouracil-kezelésben részesül (lásd 4.3 pont).</w:t>
      </w:r>
    </w:p>
    <w:p w14:paraId="1EDB3171" w14:textId="77777777" w:rsidR="00F251D5" w:rsidRPr="001B5D7D" w:rsidRDefault="00F251D5" w:rsidP="00F251D5">
      <w:pPr>
        <w:pStyle w:val="Vgjegyzetszvege"/>
        <w:rPr>
          <w:sz w:val="22"/>
          <w:szCs w:val="22"/>
        </w:rPr>
      </w:pPr>
      <w:bookmarkStart w:id="2" w:name="OLE_LINK126"/>
    </w:p>
    <w:p w14:paraId="5A047931" w14:textId="18427F2B" w:rsidR="00F251D5" w:rsidRPr="00AB6A62" w:rsidRDefault="00F251D5" w:rsidP="00F251D5">
      <w:pPr>
        <w:pStyle w:val="Szvegtrzs3"/>
        <w:jc w:val="left"/>
        <w:rPr>
          <w:sz w:val="22"/>
          <w:szCs w:val="22"/>
          <w:u w:val="single"/>
        </w:rPr>
      </w:pPr>
      <w:bookmarkStart w:id="3" w:name="OLE_LINK127"/>
      <w:bookmarkEnd w:id="1"/>
      <w:bookmarkEnd w:id="2"/>
      <w:r w:rsidRPr="00AB6A62">
        <w:rPr>
          <w:sz w:val="22"/>
          <w:szCs w:val="22"/>
          <w:u w:val="single"/>
        </w:rPr>
        <w:t>Termékenység</w:t>
      </w:r>
    </w:p>
    <w:p w14:paraId="52C8DB8C" w14:textId="2CD22063" w:rsidR="00443D36" w:rsidRDefault="00443D36" w:rsidP="00F251D5">
      <w:pPr>
        <w:pStyle w:val="Szvegtrzs3"/>
        <w:jc w:val="left"/>
        <w:rPr>
          <w:sz w:val="22"/>
          <w:szCs w:val="22"/>
          <w:lang w:val="hu"/>
        </w:rPr>
      </w:pPr>
      <w:r w:rsidRPr="00443D36">
        <w:rPr>
          <w:sz w:val="22"/>
          <w:szCs w:val="22"/>
          <w:lang w:val="hu"/>
        </w:rPr>
        <w:t>A fluorouracil gonádokra és reprodukciós képességekre embernél kifejtett hatása</w:t>
      </w:r>
      <w:r w:rsidR="00F410A7">
        <w:rPr>
          <w:sz w:val="22"/>
          <w:szCs w:val="22"/>
          <w:lang w:val="hu"/>
        </w:rPr>
        <w:t>i</w:t>
      </w:r>
      <w:r w:rsidRPr="00443D36">
        <w:rPr>
          <w:sz w:val="22"/>
          <w:szCs w:val="22"/>
          <w:lang w:val="hu"/>
        </w:rPr>
        <w:t xml:space="preserve"> nem teljesen ismertek. Állat</w:t>
      </w:r>
      <w:r w:rsidR="00804090">
        <w:rPr>
          <w:sz w:val="22"/>
          <w:szCs w:val="22"/>
          <w:lang w:val="hu"/>
        </w:rPr>
        <w:t>okkal végzett vizsgálatok</w:t>
      </w:r>
      <w:r w:rsidRPr="00443D36">
        <w:rPr>
          <w:sz w:val="22"/>
          <w:szCs w:val="22"/>
          <w:lang w:val="hu"/>
        </w:rPr>
        <w:t xml:space="preserve"> alapján azonban a termékenység károsodására lehet számítani férfiaknál és nőknél egyaránt (lásd 5.3</w:t>
      </w:r>
      <w:r>
        <w:rPr>
          <w:sz w:val="22"/>
          <w:szCs w:val="22"/>
          <w:lang w:val="hu"/>
        </w:rPr>
        <w:t> </w:t>
      </w:r>
      <w:r w:rsidRPr="00443D36">
        <w:rPr>
          <w:sz w:val="22"/>
          <w:szCs w:val="22"/>
          <w:lang w:val="hu"/>
        </w:rPr>
        <w:t xml:space="preserve">pont). Emellett a DNS-, az RNS- és a fehérjeszintézist gátló szerek (mint amilyen a fluorouracil is) feltehetőleg </w:t>
      </w:r>
      <w:r w:rsidR="009F4101">
        <w:rPr>
          <w:sz w:val="22"/>
          <w:szCs w:val="22"/>
          <w:lang w:val="hu"/>
        </w:rPr>
        <w:t>befolyásolják</w:t>
      </w:r>
      <w:r w:rsidRPr="00443D36">
        <w:rPr>
          <w:sz w:val="22"/>
          <w:szCs w:val="22"/>
          <w:lang w:val="hu"/>
        </w:rPr>
        <w:t xml:space="preserve"> a gametogenezist.</w:t>
      </w:r>
    </w:p>
    <w:p w14:paraId="2D69B250" w14:textId="77777777" w:rsidR="00443D36" w:rsidRDefault="00443D36" w:rsidP="00F251D5">
      <w:pPr>
        <w:pStyle w:val="Szvegtrzs3"/>
        <w:jc w:val="left"/>
        <w:rPr>
          <w:sz w:val="22"/>
          <w:szCs w:val="22"/>
          <w:lang w:val="hu"/>
        </w:rPr>
      </w:pPr>
    </w:p>
    <w:p w14:paraId="78AA2F07" w14:textId="0C44975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  <w:r w:rsidRPr="001B5D7D">
        <w:rPr>
          <w:sz w:val="22"/>
          <w:szCs w:val="22"/>
        </w:rPr>
        <w:t xml:space="preserve">A fluorouracillal kezelt férfiaknak tartózkodniuk kell a gyermeknemzéstől a kezelés alatt és a befejezése után még </w:t>
      </w:r>
      <w:r w:rsidR="00443D36">
        <w:rPr>
          <w:sz w:val="22"/>
          <w:szCs w:val="22"/>
        </w:rPr>
        <w:t>3</w:t>
      </w:r>
      <w:r w:rsidRPr="001B5D7D">
        <w:rPr>
          <w:sz w:val="22"/>
          <w:szCs w:val="22"/>
        </w:rPr>
        <w:t xml:space="preserve"> hónapig. A kezelés megkezdése előtt </w:t>
      </w:r>
      <w:r w:rsidR="00443D36">
        <w:rPr>
          <w:sz w:val="22"/>
          <w:szCs w:val="22"/>
        </w:rPr>
        <w:t xml:space="preserve">férfiaknak és nőknek is </w:t>
      </w:r>
      <w:r w:rsidRPr="001B5D7D">
        <w:rPr>
          <w:sz w:val="22"/>
          <w:szCs w:val="22"/>
        </w:rPr>
        <w:t>javasolt a</w:t>
      </w:r>
      <w:r w:rsidR="00443D36" w:rsidRPr="00443D36">
        <w:rPr>
          <w:sz w:val="22"/>
          <w:szCs w:val="22"/>
        </w:rPr>
        <w:t xml:space="preserve"> </w:t>
      </w:r>
      <w:r w:rsidR="00443D36">
        <w:rPr>
          <w:sz w:val="22"/>
          <w:szCs w:val="22"/>
        </w:rPr>
        <w:t>termékenység megőrzését célzó módszerek alkalmazása</w:t>
      </w:r>
      <w:r w:rsidRPr="001B5D7D">
        <w:rPr>
          <w:sz w:val="22"/>
          <w:szCs w:val="22"/>
        </w:rPr>
        <w:t>, mert a fluorouracil</w:t>
      </w:r>
      <w:r w:rsidRPr="001B5D7D">
        <w:rPr>
          <w:sz w:val="22"/>
          <w:szCs w:val="22"/>
        </w:rPr>
        <w:noBreakHyphen/>
        <w:t>kezelés visszafordíthatatlan terméketlenséget okozhat.</w:t>
      </w:r>
    </w:p>
    <w:bookmarkEnd w:id="3"/>
    <w:p w14:paraId="33DB24C4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14:paraId="2215D081" w14:textId="77777777" w:rsidR="00F251D5" w:rsidRPr="001B5D7D" w:rsidRDefault="00F251D5" w:rsidP="00F251D5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1B5D7D">
        <w:rPr>
          <w:b/>
          <w:color w:val="000000"/>
          <w:sz w:val="22"/>
          <w:szCs w:val="22"/>
        </w:rPr>
        <w:t>4.7</w:t>
      </w:r>
      <w:r w:rsidRPr="001B5D7D">
        <w:rPr>
          <w:b/>
          <w:color w:val="000000"/>
          <w:sz w:val="22"/>
          <w:szCs w:val="22"/>
        </w:rPr>
        <w:tab/>
        <w:t>A készítmény hatásai a gépjárművezetéshez és a gépek kezeléséhez szükséges képességekre</w:t>
      </w:r>
    </w:p>
    <w:p w14:paraId="39ECA215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  <w:highlight w:val="lightGray"/>
        </w:rPr>
      </w:pPr>
    </w:p>
    <w:p w14:paraId="4612C277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Nem végeztek vizsgálatokat arra vonatkozóan, hogy a készítmény hatásai hogyan befolyásolják a gépjárművezetéshez és a gépek kezeléséhez szükséges képességeket. </w:t>
      </w:r>
    </w:p>
    <w:p w14:paraId="58BB29F8" w14:textId="77777777" w:rsidR="00F251D5" w:rsidRPr="001B5D7D" w:rsidRDefault="00F251D5" w:rsidP="00F251D5">
      <w:pPr>
        <w:rPr>
          <w:sz w:val="22"/>
          <w:szCs w:val="22"/>
        </w:rPr>
      </w:pPr>
    </w:p>
    <w:p w14:paraId="1F45E7A9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  <w:r w:rsidRPr="001B5D7D">
        <w:rPr>
          <w:sz w:val="22"/>
          <w:szCs w:val="22"/>
        </w:rPr>
        <w:t>A fluorouracil mellékhatása hányinger és hányás is lehet. A készítmény idegrendszeri nemkívánatos hatásokat és látásbeli változásokat válthat ki, amelyek akadályozhatják a gépjárművezetést vagy a gépek kezelését.</w:t>
      </w:r>
    </w:p>
    <w:p w14:paraId="57D50CB2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2354DB63" w14:textId="77777777" w:rsidR="00F251D5" w:rsidRPr="001B5D7D" w:rsidRDefault="00F251D5" w:rsidP="00DD0BA2">
      <w:pPr>
        <w:pStyle w:val="NormlWeb"/>
        <w:keepNext/>
        <w:tabs>
          <w:tab w:val="left" w:pos="567"/>
        </w:tabs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1B5D7D">
        <w:rPr>
          <w:b/>
          <w:color w:val="000000"/>
          <w:sz w:val="22"/>
          <w:szCs w:val="22"/>
        </w:rPr>
        <w:t>4.8</w:t>
      </w:r>
      <w:r w:rsidRPr="001B5D7D">
        <w:rPr>
          <w:b/>
          <w:color w:val="000000"/>
          <w:sz w:val="22"/>
          <w:szCs w:val="22"/>
        </w:rPr>
        <w:tab/>
        <w:t>Nemkívánatos hatások, mellékhatások</w:t>
      </w:r>
    </w:p>
    <w:p w14:paraId="09712CD3" w14:textId="77777777" w:rsidR="00F251D5" w:rsidRPr="00DD0BA2" w:rsidRDefault="00F251D5" w:rsidP="00DD0BA2">
      <w:pPr>
        <w:keepNext/>
        <w:rPr>
          <w:bCs/>
          <w:sz w:val="22"/>
          <w:szCs w:val="22"/>
        </w:rPr>
      </w:pPr>
    </w:p>
    <w:p w14:paraId="55D1558C" w14:textId="3FD1F3FE" w:rsidR="00F251D5" w:rsidRPr="001B5D7D" w:rsidRDefault="004366C4" w:rsidP="00DD0BA2">
      <w:pPr>
        <w:keepNext/>
        <w:rPr>
          <w:sz w:val="22"/>
          <w:szCs w:val="22"/>
        </w:rPr>
      </w:pPr>
      <w:r>
        <w:rPr>
          <w:sz w:val="22"/>
          <w:szCs w:val="22"/>
        </w:rPr>
        <w:t>A következő mellékhatásokat észlelték és jelentették a fluorouracil injekcióval végzett kezelés során, az alábbi gyakorisággal</w:t>
      </w:r>
      <w:r w:rsidR="00F251D5" w:rsidRPr="001B5D7D">
        <w:rPr>
          <w:sz w:val="22"/>
          <w:szCs w:val="22"/>
        </w:rPr>
        <w:t>:</w:t>
      </w:r>
    </w:p>
    <w:p w14:paraId="5ACBACDB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Nagyon gyakori (≥ 1/10), </w:t>
      </w:r>
    </w:p>
    <w:p w14:paraId="52B334F5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Gyakori (≥ 1/100 – </w:t>
      </w:r>
      <w:proofErr w:type="gramStart"/>
      <w:r w:rsidRPr="001B5D7D">
        <w:rPr>
          <w:sz w:val="22"/>
          <w:szCs w:val="22"/>
        </w:rPr>
        <w:t>&lt; 1</w:t>
      </w:r>
      <w:proofErr w:type="gramEnd"/>
      <w:r w:rsidRPr="001B5D7D">
        <w:rPr>
          <w:sz w:val="22"/>
          <w:szCs w:val="22"/>
        </w:rPr>
        <w:t xml:space="preserve">/10), </w:t>
      </w:r>
    </w:p>
    <w:p w14:paraId="40038E52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Nem gyakori (≥ 1/1000 – </w:t>
      </w:r>
      <w:proofErr w:type="gramStart"/>
      <w:r w:rsidRPr="001B5D7D">
        <w:rPr>
          <w:sz w:val="22"/>
          <w:szCs w:val="22"/>
        </w:rPr>
        <w:t>&lt; 1</w:t>
      </w:r>
      <w:proofErr w:type="gramEnd"/>
      <w:r w:rsidRPr="001B5D7D">
        <w:rPr>
          <w:sz w:val="22"/>
          <w:szCs w:val="22"/>
        </w:rPr>
        <w:t>/100),</w:t>
      </w:r>
    </w:p>
    <w:p w14:paraId="6377A82B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Ritka (≥ 1/10 000 – </w:t>
      </w:r>
      <w:proofErr w:type="gramStart"/>
      <w:r w:rsidRPr="001B5D7D">
        <w:rPr>
          <w:sz w:val="22"/>
          <w:szCs w:val="22"/>
        </w:rPr>
        <w:t>&lt; 1</w:t>
      </w:r>
      <w:proofErr w:type="gramEnd"/>
      <w:r w:rsidRPr="001B5D7D">
        <w:rPr>
          <w:sz w:val="22"/>
          <w:szCs w:val="22"/>
        </w:rPr>
        <w:t xml:space="preserve">/1000), </w:t>
      </w:r>
    </w:p>
    <w:p w14:paraId="007B654C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Nagyon ritka </w:t>
      </w:r>
      <w:proofErr w:type="gramStart"/>
      <w:r w:rsidRPr="001B5D7D">
        <w:rPr>
          <w:sz w:val="22"/>
          <w:szCs w:val="22"/>
        </w:rPr>
        <w:t>(&lt; 1</w:t>
      </w:r>
      <w:proofErr w:type="gramEnd"/>
      <w:r w:rsidRPr="001B5D7D">
        <w:rPr>
          <w:sz w:val="22"/>
          <w:szCs w:val="22"/>
        </w:rPr>
        <w:t xml:space="preserve">/10 000), </w:t>
      </w:r>
    </w:p>
    <w:p w14:paraId="18E9C8C3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 xml:space="preserve">Nem ismert (a </w:t>
      </w:r>
      <w:r w:rsidR="000C7401">
        <w:rPr>
          <w:sz w:val="22"/>
          <w:szCs w:val="22"/>
        </w:rPr>
        <w:t xml:space="preserve">gyakoriság a </w:t>
      </w:r>
      <w:r w:rsidRPr="001B5D7D">
        <w:rPr>
          <w:sz w:val="22"/>
          <w:szCs w:val="22"/>
        </w:rPr>
        <w:t>rendelkezésre álló adatokból nem állapítható meg).</w:t>
      </w:r>
    </w:p>
    <w:p w14:paraId="5BC7A480" w14:textId="77777777" w:rsidR="00D755CD" w:rsidRPr="00DD0BA2" w:rsidRDefault="00D755CD" w:rsidP="00DD0BA2">
      <w:pPr>
        <w:pStyle w:val="Cmsor3"/>
        <w:keepNext w:val="0"/>
        <w:widowControl w:val="0"/>
        <w:jc w:val="left"/>
        <w:rPr>
          <w:rFonts w:ascii="Times New Roman" w:hAnsi="Times New Roman"/>
          <w:b w:val="0"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668"/>
        <w:gridCol w:w="7938"/>
      </w:tblGrid>
      <w:tr w:rsidR="00D755CD" w:rsidRPr="00DD0BA2" w14:paraId="089961F8" w14:textId="77777777" w:rsidTr="00DD0BA2">
        <w:tc>
          <w:tcPr>
            <w:tcW w:w="9606" w:type="dxa"/>
            <w:gridSpan w:val="2"/>
          </w:tcPr>
          <w:p w14:paraId="14FEA8AB" w14:textId="77777777" w:rsidR="00D755CD" w:rsidRPr="00D755CD" w:rsidRDefault="00D755CD" w:rsidP="00460089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sz w:val="22"/>
                <w:szCs w:val="22"/>
              </w:rPr>
              <w:t>Vérképzőszervi és nyirokrendszeri betegségek és tünetek</w:t>
            </w:r>
          </w:p>
        </w:tc>
      </w:tr>
      <w:tr w:rsidR="00D755CD" w:rsidRPr="00DD0BA2" w14:paraId="00DA4B1B" w14:textId="77777777" w:rsidTr="00DD0BA2">
        <w:tc>
          <w:tcPr>
            <w:tcW w:w="1668" w:type="dxa"/>
          </w:tcPr>
          <w:p w14:paraId="7F502342" w14:textId="77777777" w:rsidR="00D755CD" w:rsidRPr="00D755CD" w:rsidRDefault="00D755CD" w:rsidP="00460089">
            <w:pPr>
              <w:rPr>
                <w:sz w:val="22"/>
                <w:szCs w:val="22"/>
              </w:rPr>
            </w:pPr>
            <w:r w:rsidRPr="00DD0BA2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406595B6" w14:textId="77777777" w:rsidR="00D755CD" w:rsidRPr="00DE6677" w:rsidRDefault="00D755CD" w:rsidP="00460089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Myelosuppressio</w:t>
            </w:r>
          </w:p>
          <w:p w14:paraId="142D2EFA" w14:textId="77777777" w:rsidR="00D755CD" w:rsidRPr="00DE6677" w:rsidRDefault="00D755CD" w:rsidP="00460089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Neutropenia</w:t>
            </w:r>
          </w:p>
          <w:p w14:paraId="246FE7B7" w14:textId="77777777" w:rsidR="00D755CD" w:rsidRPr="00DC1FFF" w:rsidRDefault="00D755CD" w:rsidP="00460089">
            <w:pPr>
              <w:rPr>
                <w:sz w:val="22"/>
                <w:szCs w:val="22"/>
              </w:rPr>
            </w:pPr>
            <w:r w:rsidRPr="00DC1FFF">
              <w:rPr>
                <w:sz w:val="22"/>
                <w:szCs w:val="22"/>
              </w:rPr>
              <w:t>Thrombocytopenia</w:t>
            </w:r>
          </w:p>
          <w:p w14:paraId="7419287A" w14:textId="77777777" w:rsidR="00D755CD" w:rsidRPr="00327DCC" w:rsidRDefault="00D755CD" w:rsidP="00460089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Leukopenia</w:t>
            </w:r>
          </w:p>
          <w:p w14:paraId="0432B7BA" w14:textId="77777777" w:rsidR="00D755CD" w:rsidRPr="000921B3" w:rsidRDefault="00D755CD" w:rsidP="00460089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Agranulocytosis</w:t>
            </w:r>
          </w:p>
          <w:p w14:paraId="28BF0129" w14:textId="77777777" w:rsidR="00D755CD" w:rsidRPr="005D465A" w:rsidRDefault="00D755CD" w:rsidP="00460089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Anaemia</w:t>
            </w:r>
          </w:p>
          <w:p w14:paraId="429C4A47" w14:textId="77777777" w:rsidR="00D755CD" w:rsidRPr="005D465A" w:rsidRDefault="00D755CD" w:rsidP="00460089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Pancytopenia</w:t>
            </w:r>
          </w:p>
        </w:tc>
      </w:tr>
      <w:tr w:rsidR="00D755CD" w:rsidRPr="00110688" w14:paraId="57FFDDAB" w14:textId="77777777" w:rsidTr="00DD0BA2">
        <w:tc>
          <w:tcPr>
            <w:tcW w:w="1668" w:type="dxa"/>
          </w:tcPr>
          <w:p w14:paraId="517FFEF5" w14:textId="77777777" w:rsidR="00D755CD" w:rsidRPr="00110688" w:rsidRDefault="00D755CD" w:rsidP="00460089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Gyakori</w:t>
            </w:r>
          </w:p>
        </w:tc>
        <w:tc>
          <w:tcPr>
            <w:tcW w:w="7938" w:type="dxa"/>
          </w:tcPr>
          <w:p w14:paraId="3664E708" w14:textId="77777777" w:rsidR="00D755CD" w:rsidRPr="00110688" w:rsidRDefault="00D755CD" w:rsidP="00460089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Lázas neutropenia</w:t>
            </w:r>
          </w:p>
        </w:tc>
      </w:tr>
      <w:tr w:rsidR="004366C4" w:rsidRPr="00110688" w14:paraId="68CF9CD3" w14:textId="77777777" w:rsidTr="00DD0BA2">
        <w:tc>
          <w:tcPr>
            <w:tcW w:w="1668" w:type="dxa"/>
          </w:tcPr>
          <w:p w14:paraId="1C447C94" w14:textId="1FF29875" w:rsidR="004366C4" w:rsidRPr="00110688" w:rsidRDefault="004366C4" w:rsidP="004366C4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 xml:space="preserve">Nem ismert </w:t>
            </w:r>
          </w:p>
        </w:tc>
        <w:tc>
          <w:tcPr>
            <w:tcW w:w="7938" w:type="dxa"/>
          </w:tcPr>
          <w:p w14:paraId="0A6BE8D3" w14:textId="38CF92C7" w:rsidR="004366C4" w:rsidRPr="00110688" w:rsidRDefault="004366C4" w:rsidP="004366C4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Granulocytopenia</w:t>
            </w:r>
          </w:p>
        </w:tc>
      </w:tr>
      <w:tr w:rsidR="004366C4" w:rsidRPr="00110688" w14:paraId="127F22E4" w14:textId="77777777" w:rsidTr="00DD0BA2">
        <w:tc>
          <w:tcPr>
            <w:tcW w:w="9606" w:type="dxa"/>
            <w:gridSpan w:val="2"/>
          </w:tcPr>
          <w:p w14:paraId="0DE7D911" w14:textId="77777777" w:rsidR="004366C4" w:rsidRPr="00110688" w:rsidRDefault="004366C4" w:rsidP="004366C4">
            <w:pPr>
              <w:rPr>
                <w:b/>
                <w:bCs/>
                <w:sz w:val="22"/>
                <w:szCs w:val="22"/>
              </w:rPr>
            </w:pPr>
            <w:r w:rsidRPr="00110688">
              <w:rPr>
                <w:b/>
                <w:bCs/>
                <w:sz w:val="22"/>
                <w:szCs w:val="22"/>
              </w:rPr>
              <w:lastRenderedPageBreak/>
              <w:t>Immunrendszeri betegségek és tünetek</w:t>
            </w:r>
          </w:p>
        </w:tc>
      </w:tr>
      <w:tr w:rsidR="004366C4" w:rsidRPr="00110688" w14:paraId="57233425" w14:textId="77777777" w:rsidTr="00DD0BA2">
        <w:tc>
          <w:tcPr>
            <w:tcW w:w="1668" w:type="dxa"/>
          </w:tcPr>
          <w:p w14:paraId="326A43C5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31B6A639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Bronchospasmus</w:t>
            </w:r>
          </w:p>
          <w:p w14:paraId="4713A163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 xml:space="preserve">Immunosuppressio </w:t>
            </w:r>
          </w:p>
        </w:tc>
      </w:tr>
      <w:tr w:rsidR="004366C4" w:rsidRPr="00110688" w14:paraId="4543BE70" w14:textId="77777777" w:rsidTr="00DD0BA2">
        <w:tc>
          <w:tcPr>
            <w:tcW w:w="1668" w:type="dxa"/>
          </w:tcPr>
          <w:p w14:paraId="7C945FD5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Ritka</w:t>
            </w:r>
          </w:p>
        </w:tc>
        <w:tc>
          <w:tcPr>
            <w:tcW w:w="7938" w:type="dxa"/>
          </w:tcPr>
          <w:p w14:paraId="632D59E6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Túlérzékenység</w:t>
            </w:r>
          </w:p>
          <w:p w14:paraId="5DDEBF91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Anaphylaxia</w:t>
            </w:r>
          </w:p>
          <w:p w14:paraId="456816E9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Anaphylaxiás shock</w:t>
            </w:r>
          </w:p>
        </w:tc>
      </w:tr>
      <w:tr w:rsidR="004366C4" w:rsidRPr="00110688" w14:paraId="02477624" w14:textId="77777777" w:rsidTr="00DD0BA2">
        <w:tc>
          <w:tcPr>
            <w:tcW w:w="9606" w:type="dxa"/>
            <w:gridSpan w:val="2"/>
          </w:tcPr>
          <w:p w14:paraId="52EDA7B4" w14:textId="77777777" w:rsidR="004366C4" w:rsidRPr="00110688" w:rsidRDefault="004366C4" w:rsidP="004366C4">
            <w:pPr>
              <w:rPr>
                <w:b/>
                <w:bCs/>
                <w:sz w:val="22"/>
                <w:szCs w:val="22"/>
              </w:rPr>
            </w:pPr>
            <w:r w:rsidRPr="00110688">
              <w:rPr>
                <w:b/>
                <w:bCs/>
                <w:sz w:val="22"/>
                <w:szCs w:val="22"/>
              </w:rPr>
              <w:t>Fertőző betegségek és parazitafertőzések</w:t>
            </w:r>
          </w:p>
        </w:tc>
      </w:tr>
      <w:tr w:rsidR="004366C4" w:rsidRPr="00110688" w14:paraId="26A00BD9" w14:textId="77777777" w:rsidTr="00DD0BA2">
        <w:tc>
          <w:tcPr>
            <w:tcW w:w="1668" w:type="dxa"/>
          </w:tcPr>
          <w:p w14:paraId="0A8BFD14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37788C02" w14:textId="0EA3E904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Fertőzések, pharyngitis</w:t>
            </w:r>
          </w:p>
        </w:tc>
      </w:tr>
      <w:tr w:rsidR="004366C4" w:rsidRPr="00110688" w14:paraId="220477D8" w14:textId="77777777" w:rsidTr="00DD0BA2">
        <w:tc>
          <w:tcPr>
            <w:tcW w:w="1668" w:type="dxa"/>
          </w:tcPr>
          <w:p w14:paraId="64F35A4C" w14:textId="748A3E12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Gyakori</w:t>
            </w:r>
          </w:p>
        </w:tc>
        <w:tc>
          <w:tcPr>
            <w:tcW w:w="7938" w:type="dxa"/>
          </w:tcPr>
          <w:p w14:paraId="66DC06F9" w14:textId="77777777" w:rsidR="004366C4" w:rsidRPr="00110688" w:rsidRDefault="004366C4" w:rsidP="004366C4">
            <w:pPr>
              <w:rPr>
                <w:sz w:val="22"/>
                <w:szCs w:val="22"/>
              </w:rPr>
            </w:pPr>
            <w:r w:rsidRPr="00110688">
              <w:rPr>
                <w:sz w:val="22"/>
                <w:szCs w:val="22"/>
              </w:rPr>
              <w:t>Sepsis</w:t>
            </w:r>
          </w:p>
        </w:tc>
      </w:tr>
      <w:tr w:rsidR="004366C4" w:rsidRPr="00110688" w14:paraId="7263870A" w14:textId="77777777" w:rsidTr="00DD0BA2">
        <w:tc>
          <w:tcPr>
            <w:tcW w:w="1668" w:type="dxa"/>
          </w:tcPr>
          <w:p w14:paraId="624A1C51" w14:textId="2C5EEE23" w:rsidR="004366C4" w:rsidRPr="00110688" w:rsidDel="004366C4" w:rsidRDefault="004366C4" w:rsidP="004366C4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Nem ismert</w:t>
            </w:r>
          </w:p>
        </w:tc>
        <w:tc>
          <w:tcPr>
            <w:tcW w:w="7938" w:type="dxa"/>
          </w:tcPr>
          <w:p w14:paraId="502D3BFF" w14:textId="50E288EF" w:rsidR="004366C4" w:rsidRPr="00110688" w:rsidRDefault="004366C4" w:rsidP="004366C4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Septicus shock, neutropeniás sepsis, pneumonia, húgyúti fertőzés, cellulitis</w:t>
            </w:r>
          </w:p>
        </w:tc>
      </w:tr>
      <w:tr w:rsidR="004366C4" w:rsidRPr="00110688" w14:paraId="76EE2083" w14:textId="77777777" w:rsidTr="00DD0BA2">
        <w:tc>
          <w:tcPr>
            <w:tcW w:w="9606" w:type="dxa"/>
            <w:gridSpan w:val="2"/>
          </w:tcPr>
          <w:p w14:paraId="207656D6" w14:textId="77777777" w:rsidR="004366C4" w:rsidRPr="00110688" w:rsidRDefault="004366C4" w:rsidP="004366C4">
            <w:pPr>
              <w:rPr>
                <w:b/>
                <w:bCs/>
                <w:sz w:val="22"/>
                <w:szCs w:val="22"/>
              </w:rPr>
            </w:pPr>
            <w:r w:rsidRPr="00110688">
              <w:rPr>
                <w:b/>
                <w:bCs/>
                <w:sz w:val="22"/>
                <w:szCs w:val="22"/>
              </w:rPr>
              <w:t>Laboratóriumi és egyéb vizsgálatok eredményei</w:t>
            </w:r>
          </w:p>
        </w:tc>
      </w:tr>
      <w:tr w:rsidR="00110688" w:rsidRPr="00DD0BA2" w14:paraId="1C572535" w14:textId="77777777" w:rsidTr="007F126A">
        <w:tc>
          <w:tcPr>
            <w:tcW w:w="1668" w:type="dxa"/>
          </w:tcPr>
          <w:p w14:paraId="3BE779CC" w14:textId="64BD1438" w:rsidR="00110688" w:rsidRPr="00110688" w:rsidDel="004366C4" w:rsidRDefault="00110688" w:rsidP="007F126A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Gyakori</w:t>
            </w:r>
          </w:p>
        </w:tc>
        <w:tc>
          <w:tcPr>
            <w:tcW w:w="7938" w:type="dxa"/>
          </w:tcPr>
          <w:p w14:paraId="3A38490C" w14:textId="171A7F31" w:rsidR="00110688" w:rsidRPr="00110688" w:rsidRDefault="00110688" w:rsidP="007F126A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Elektrokardiogramon észlelhető elváltozások</w:t>
            </w:r>
          </w:p>
        </w:tc>
      </w:tr>
      <w:tr w:rsidR="00110688" w:rsidRPr="003676E5" w14:paraId="0F32841D" w14:textId="77777777" w:rsidTr="007F126A">
        <w:tc>
          <w:tcPr>
            <w:tcW w:w="9606" w:type="dxa"/>
            <w:gridSpan w:val="2"/>
          </w:tcPr>
          <w:p w14:paraId="0B8883BC" w14:textId="4497AE94" w:rsidR="00110688" w:rsidRPr="00110688" w:rsidRDefault="00110688" w:rsidP="007F126A">
            <w:pPr>
              <w:rPr>
                <w:b/>
                <w:bCs/>
                <w:sz w:val="22"/>
                <w:szCs w:val="22"/>
              </w:rPr>
            </w:pPr>
            <w:r w:rsidRPr="00110688">
              <w:rPr>
                <w:b/>
                <w:bCs/>
                <w:sz w:val="22"/>
                <w:szCs w:val="22"/>
              </w:rPr>
              <w:t>Endokrin betegségek és tünetek</w:t>
            </w:r>
          </w:p>
        </w:tc>
      </w:tr>
      <w:tr w:rsidR="004366C4" w:rsidRPr="00DD0BA2" w14:paraId="4CDFD296" w14:textId="77777777" w:rsidTr="00DD0BA2">
        <w:tc>
          <w:tcPr>
            <w:tcW w:w="1668" w:type="dxa"/>
          </w:tcPr>
          <w:p w14:paraId="28623A73" w14:textId="77777777" w:rsidR="004366C4" w:rsidRPr="00D755CD" w:rsidRDefault="004366C4" w:rsidP="004366C4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Ritka</w:t>
            </w:r>
          </w:p>
        </w:tc>
        <w:tc>
          <w:tcPr>
            <w:tcW w:w="7938" w:type="dxa"/>
          </w:tcPr>
          <w:p w14:paraId="5B69272A" w14:textId="6DBD897C" w:rsidR="004366C4" w:rsidRPr="00037F3E" w:rsidRDefault="004366C4" w:rsidP="004366C4">
            <w:pPr>
              <w:rPr>
                <w:sz w:val="22"/>
                <w:szCs w:val="22"/>
              </w:rPr>
            </w:pPr>
            <w:r w:rsidRPr="00037F3E">
              <w:rPr>
                <w:sz w:val="22"/>
                <w:szCs w:val="22"/>
              </w:rPr>
              <w:t>Tiroxinszint emelkedése</w:t>
            </w:r>
          </w:p>
          <w:p w14:paraId="6C106AD8" w14:textId="77777777" w:rsidR="004366C4" w:rsidRPr="00037F3E" w:rsidRDefault="004366C4" w:rsidP="004366C4">
            <w:pPr>
              <w:rPr>
                <w:sz w:val="22"/>
                <w:szCs w:val="22"/>
              </w:rPr>
            </w:pPr>
            <w:r w:rsidRPr="00037F3E">
              <w:rPr>
                <w:sz w:val="22"/>
                <w:szCs w:val="22"/>
              </w:rPr>
              <w:t>Trijódtironinszint emelkedése</w:t>
            </w:r>
          </w:p>
        </w:tc>
      </w:tr>
      <w:tr w:rsidR="004366C4" w:rsidRPr="00DD0BA2" w14:paraId="7B1C0C58" w14:textId="77777777" w:rsidTr="00DD0BA2">
        <w:tc>
          <w:tcPr>
            <w:tcW w:w="9606" w:type="dxa"/>
            <w:gridSpan w:val="2"/>
          </w:tcPr>
          <w:p w14:paraId="419E908B" w14:textId="77777777" w:rsidR="004366C4" w:rsidRPr="00D755CD" w:rsidRDefault="004366C4" w:rsidP="004366C4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</w:tr>
      <w:tr w:rsidR="004366C4" w:rsidRPr="00DD0BA2" w14:paraId="2E0FD925" w14:textId="77777777" w:rsidTr="00DD0BA2">
        <w:tc>
          <w:tcPr>
            <w:tcW w:w="1668" w:type="dxa"/>
          </w:tcPr>
          <w:p w14:paraId="7E1282BA" w14:textId="77777777" w:rsidR="004366C4" w:rsidRPr="00D755CD" w:rsidRDefault="004366C4" w:rsidP="004366C4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272E1607" w14:textId="77777777" w:rsidR="004366C4" w:rsidRPr="00DE6677" w:rsidRDefault="004366C4" w:rsidP="004366C4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Hyperuricemia</w:t>
            </w:r>
          </w:p>
        </w:tc>
      </w:tr>
      <w:tr w:rsidR="00110688" w:rsidRPr="00DD0BA2" w14:paraId="60DCFDF8" w14:textId="77777777" w:rsidTr="00DD0BA2">
        <w:tc>
          <w:tcPr>
            <w:tcW w:w="1668" w:type="dxa"/>
          </w:tcPr>
          <w:p w14:paraId="50127D91" w14:textId="1E6B86BC" w:rsidR="00110688" w:rsidRPr="00110688" w:rsidRDefault="00110688" w:rsidP="00110688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 xml:space="preserve">Nem gyakori </w:t>
            </w:r>
          </w:p>
        </w:tc>
        <w:tc>
          <w:tcPr>
            <w:tcW w:w="7938" w:type="dxa"/>
          </w:tcPr>
          <w:p w14:paraId="70680036" w14:textId="1E1C9F62" w:rsidR="00110688" w:rsidRPr="00110688" w:rsidRDefault="00110688" w:rsidP="00110688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Kiszáradás</w:t>
            </w:r>
          </w:p>
        </w:tc>
      </w:tr>
      <w:tr w:rsidR="00110688" w:rsidRPr="00DD0BA2" w14:paraId="2B32FF82" w14:textId="77777777" w:rsidTr="00DD0BA2">
        <w:tc>
          <w:tcPr>
            <w:tcW w:w="1668" w:type="dxa"/>
          </w:tcPr>
          <w:p w14:paraId="310A28AC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ismert</w:t>
            </w:r>
          </w:p>
        </w:tc>
        <w:tc>
          <w:tcPr>
            <w:tcW w:w="7938" w:type="dxa"/>
          </w:tcPr>
          <w:p w14:paraId="2EDF2B6A" w14:textId="77777777" w:rsidR="003E4B0F" w:rsidRDefault="003E4B0F" w:rsidP="001106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Étvágycsökkenés</w:t>
            </w:r>
          </w:p>
          <w:p w14:paraId="6DC72C38" w14:textId="77E1DCC3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 xml:space="preserve">Tejsavas acidózis </w:t>
            </w:r>
          </w:p>
          <w:p w14:paraId="1F807EA6" w14:textId="77777777" w:rsidR="00110688" w:rsidRDefault="00110688" w:rsidP="00110688">
            <w:pPr>
              <w:rPr>
                <w:sz w:val="22"/>
                <w:szCs w:val="22"/>
              </w:rPr>
            </w:pPr>
            <w:r w:rsidRPr="00DC1FFF">
              <w:rPr>
                <w:sz w:val="22"/>
                <w:szCs w:val="22"/>
              </w:rPr>
              <w:t>Tumorlízis-szindróma</w:t>
            </w:r>
          </w:p>
          <w:p w14:paraId="74D4538B" w14:textId="77777777" w:rsidR="00730F35" w:rsidRDefault="00730F35" w:rsidP="00110688">
            <w:pPr>
              <w:rPr>
                <w:sz w:val="22"/>
                <w:szCs w:val="22"/>
              </w:rPr>
            </w:pPr>
            <w:r w:rsidRPr="00730F35">
              <w:rPr>
                <w:sz w:val="22"/>
                <w:szCs w:val="22"/>
              </w:rPr>
              <w:t>Hypertrigliceridaemia</w:t>
            </w:r>
          </w:p>
          <w:p w14:paraId="0CF8431A" w14:textId="607F08E6" w:rsidR="00730F35" w:rsidRPr="00DC1FFF" w:rsidRDefault="00730F35" w:rsidP="00110688">
            <w:pPr>
              <w:rPr>
                <w:sz w:val="22"/>
                <w:szCs w:val="22"/>
              </w:rPr>
            </w:pPr>
            <w:r w:rsidRPr="00730F35">
              <w:rPr>
                <w:sz w:val="22"/>
                <w:szCs w:val="22"/>
              </w:rPr>
              <w:t>B</w:t>
            </w:r>
            <w:r w:rsidRPr="00E257DB">
              <w:rPr>
                <w:sz w:val="22"/>
                <w:szCs w:val="22"/>
                <w:vertAlign w:val="subscript"/>
              </w:rPr>
              <w:t>1</w:t>
            </w:r>
            <w:r w:rsidRPr="00730F35">
              <w:rPr>
                <w:sz w:val="22"/>
                <w:szCs w:val="22"/>
              </w:rPr>
              <w:t>-vitamin-hiány</w:t>
            </w:r>
          </w:p>
        </w:tc>
      </w:tr>
      <w:tr w:rsidR="00110688" w:rsidRPr="00DD0BA2" w14:paraId="123E326F" w14:textId="77777777" w:rsidTr="00DD0BA2">
        <w:tc>
          <w:tcPr>
            <w:tcW w:w="9606" w:type="dxa"/>
            <w:gridSpan w:val="2"/>
          </w:tcPr>
          <w:p w14:paraId="5E80E781" w14:textId="77777777" w:rsidR="00110688" w:rsidRPr="00D755CD" w:rsidRDefault="00110688" w:rsidP="00110688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Pszichiátriai kórképek</w:t>
            </w:r>
          </w:p>
        </w:tc>
      </w:tr>
      <w:tr w:rsidR="003E4B0F" w:rsidRPr="00DD0BA2" w14:paraId="36469753" w14:textId="77777777" w:rsidTr="007F126A">
        <w:tc>
          <w:tcPr>
            <w:tcW w:w="1668" w:type="dxa"/>
          </w:tcPr>
          <w:p w14:paraId="09C0D609" w14:textId="77777777" w:rsidR="003E4B0F" w:rsidRPr="00110688" w:rsidRDefault="003E4B0F" w:rsidP="007F126A">
            <w:pPr>
              <w:rPr>
                <w:sz w:val="22"/>
                <w:szCs w:val="22"/>
              </w:rPr>
            </w:pPr>
            <w:r w:rsidRPr="003676E5">
              <w:rPr>
                <w:sz w:val="22"/>
                <w:szCs w:val="22"/>
                <w:lang w:val="hu"/>
              </w:rPr>
              <w:t xml:space="preserve">Nem gyakori </w:t>
            </w:r>
          </w:p>
        </w:tc>
        <w:tc>
          <w:tcPr>
            <w:tcW w:w="7938" w:type="dxa"/>
          </w:tcPr>
          <w:p w14:paraId="45DFD04B" w14:textId="0F5E9BCF" w:rsidR="003E4B0F" w:rsidRPr="00110688" w:rsidRDefault="003E4B0F" w:rsidP="007F126A">
            <w:pPr>
              <w:rPr>
                <w:sz w:val="22"/>
                <w:szCs w:val="22"/>
              </w:rPr>
            </w:pPr>
            <w:r w:rsidRPr="003E4B0F">
              <w:rPr>
                <w:sz w:val="22"/>
                <w:szCs w:val="22"/>
                <w:lang w:val="hu"/>
              </w:rPr>
              <w:t>Eufóriás hangulat</w:t>
            </w:r>
          </w:p>
        </w:tc>
      </w:tr>
      <w:tr w:rsidR="00110688" w:rsidRPr="00DD0BA2" w14:paraId="1533BF1B" w14:textId="77777777" w:rsidTr="00DD0BA2">
        <w:tc>
          <w:tcPr>
            <w:tcW w:w="1668" w:type="dxa"/>
          </w:tcPr>
          <w:p w14:paraId="77217562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Ritka</w:t>
            </w:r>
          </w:p>
        </w:tc>
        <w:tc>
          <w:tcPr>
            <w:tcW w:w="7938" w:type="dxa"/>
          </w:tcPr>
          <w:p w14:paraId="59A11F1F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Zavart állapot</w:t>
            </w:r>
          </w:p>
        </w:tc>
      </w:tr>
      <w:tr w:rsidR="00110688" w:rsidRPr="00DD0BA2" w14:paraId="5F55CE12" w14:textId="77777777" w:rsidTr="00DD0BA2">
        <w:tc>
          <w:tcPr>
            <w:tcW w:w="1668" w:type="dxa"/>
          </w:tcPr>
          <w:p w14:paraId="7D373649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ritka</w:t>
            </w:r>
          </w:p>
        </w:tc>
        <w:tc>
          <w:tcPr>
            <w:tcW w:w="7938" w:type="dxa"/>
          </w:tcPr>
          <w:p w14:paraId="4A2A99A9" w14:textId="77777777" w:rsidR="00110688" w:rsidRPr="00DC1FFF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Dezorient</w:t>
            </w:r>
            <w:r w:rsidRPr="00DC1FFF">
              <w:rPr>
                <w:sz w:val="22"/>
                <w:szCs w:val="22"/>
              </w:rPr>
              <w:t>áció</w:t>
            </w:r>
          </w:p>
        </w:tc>
      </w:tr>
      <w:tr w:rsidR="00110688" w:rsidRPr="00DD0BA2" w14:paraId="26C9B4B6" w14:textId="77777777" w:rsidTr="00DD0BA2">
        <w:tc>
          <w:tcPr>
            <w:tcW w:w="9606" w:type="dxa"/>
            <w:gridSpan w:val="2"/>
          </w:tcPr>
          <w:p w14:paraId="79CF7508" w14:textId="77777777" w:rsidR="00110688" w:rsidRPr="00D755CD" w:rsidRDefault="00110688" w:rsidP="00110688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sz w:val="22"/>
                <w:szCs w:val="22"/>
              </w:rPr>
              <w:t>Idegrendszeri betegségek és tünetek</w:t>
            </w:r>
          </w:p>
        </w:tc>
      </w:tr>
      <w:tr w:rsidR="00110688" w:rsidRPr="00DD0BA2" w14:paraId="26FB2FF3" w14:textId="77777777" w:rsidTr="00DD0BA2">
        <w:tc>
          <w:tcPr>
            <w:tcW w:w="1668" w:type="dxa"/>
          </w:tcPr>
          <w:p w14:paraId="232666E3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1345D1DB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Nystagmus</w:t>
            </w:r>
          </w:p>
          <w:p w14:paraId="78908BA8" w14:textId="77777777" w:rsidR="00110688" w:rsidRPr="00DC1FFF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Fejfájás</w:t>
            </w:r>
          </w:p>
          <w:p w14:paraId="5C4AA8B6" w14:textId="77777777" w:rsidR="00110688" w:rsidRPr="00327DCC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Szédülés</w:t>
            </w:r>
          </w:p>
          <w:p w14:paraId="3737318C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Parkinson</w:t>
            </w:r>
            <w:r w:rsidRPr="005D465A">
              <w:rPr>
                <w:sz w:val="22"/>
                <w:szCs w:val="22"/>
              </w:rPr>
              <w:t>-kór tünetei</w:t>
            </w:r>
          </w:p>
          <w:p w14:paraId="5B74A31F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Pyramidalis jelek</w:t>
            </w:r>
          </w:p>
          <w:p w14:paraId="128F8558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Aluszékonyság</w:t>
            </w:r>
          </w:p>
        </w:tc>
      </w:tr>
      <w:tr w:rsidR="00110688" w:rsidRPr="00DD0BA2" w14:paraId="7565544B" w14:textId="77777777" w:rsidTr="00DD0BA2">
        <w:tc>
          <w:tcPr>
            <w:tcW w:w="1668" w:type="dxa"/>
          </w:tcPr>
          <w:p w14:paraId="0D6B52D9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ritka</w:t>
            </w:r>
          </w:p>
        </w:tc>
        <w:tc>
          <w:tcPr>
            <w:tcW w:w="7938" w:type="dxa"/>
          </w:tcPr>
          <w:p w14:paraId="695612F1" w14:textId="5AC0A9C2" w:rsidR="00110688" w:rsidRPr="00037F3E" w:rsidRDefault="00110688" w:rsidP="00110688">
            <w:pPr>
              <w:rPr>
                <w:sz w:val="22"/>
                <w:szCs w:val="22"/>
              </w:rPr>
            </w:pPr>
            <w:r w:rsidRPr="00037F3E">
              <w:rPr>
                <w:sz w:val="22"/>
                <w:szCs w:val="22"/>
              </w:rPr>
              <w:t>Leukoencephalopathia</w:t>
            </w:r>
          </w:p>
          <w:p w14:paraId="262185AA" w14:textId="2C3D665F" w:rsidR="00110688" w:rsidRPr="00DC1FFF" w:rsidRDefault="00A443BA" w:rsidP="001106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110688" w:rsidRPr="00DE6677">
              <w:rPr>
                <w:sz w:val="22"/>
                <w:szCs w:val="22"/>
              </w:rPr>
              <w:t>erebellar</w:t>
            </w:r>
            <w:r w:rsidR="00110688" w:rsidRPr="00DC1FFF">
              <w:rPr>
                <w:sz w:val="22"/>
                <w:szCs w:val="22"/>
              </w:rPr>
              <w:t>is szindróma</w:t>
            </w:r>
          </w:p>
          <w:p w14:paraId="6F1183A0" w14:textId="77777777" w:rsidR="00110688" w:rsidRPr="00327DCC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Dysarthria</w:t>
            </w:r>
          </w:p>
          <w:p w14:paraId="0DF38C29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Izomgyengeség</w:t>
            </w:r>
          </w:p>
          <w:p w14:paraId="5354BE43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Aphasia</w:t>
            </w:r>
          </w:p>
          <w:p w14:paraId="7513E11C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Convulsio</w:t>
            </w:r>
          </w:p>
          <w:p w14:paraId="16AFE809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Coma</w:t>
            </w:r>
          </w:p>
        </w:tc>
      </w:tr>
      <w:tr w:rsidR="00110688" w:rsidRPr="00DD0BA2" w14:paraId="5CD41C64" w14:textId="77777777" w:rsidTr="00DD0BA2">
        <w:tc>
          <w:tcPr>
            <w:tcW w:w="1668" w:type="dxa"/>
          </w:tcPr>
          <w:p w14:paraId="4B5FB5D6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ismert</w:t>
            </w:r>
          </w:p>
        </w:tc>
        <w:tc>
          <w:tcPr>
            <w:tcW w:w="7938" w:type="dxa"/>
          </w:tcPr>
          <w:p w14:paraId="31CF9E7F" w14:textId="77777777" w:rsidR="00110688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Perifériás</w:t>
            </w:r>
            <w:r w:rsidRPr="00DC1FFF">
              <w:rPr>
                <w:sz w:val="22"/>
                <w:szCs w:val="22"/>
              </w:rPr>
              <w:t xml:space="preserve"> neuropathia </w:t>
            </w:r>
          </w:p>
          <w:p w14:paraId="1601DDC1" w14:textId="62C67B81" w:rsidR="00A443BA" w:rsidRPr="00DC1FFF" w:rsidRDefault="00A443BA" w:rsidP="001106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Epilepszia</w:t>
            </w:r>
          </w:p>
          <w:p w14:paraId="05003A1E" w14:textId="77777777" w:rsidR="00110688" w:rsidRPr="00122C82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Hyperammonaemiás</w:t>
            </w:r>
            <w:r w:rsidRPr="00122C82">
              <w:rPr>
                <w:sz w:val="22"/>
                <w:szCs w:val="22"/>
              </w:rPr>
              <w:t xml:space="preserve"> encephalopathia</w:t>
            </w:r>
          </w:p>
          <w:p w14:paraId="5F851D06" w14:textId="77777777" w:rsidR="00110688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Posterior rever</w:t>
            </w:r>
            <w:r w:rsidRPr="005D465A">
              <w:rPr>
                <w:sz w:val="22"/>
                <w:szCs w:val="22"/>
              </w:rPr>
              <w:t>zibilis encephalopathia szindróma (PRES)</w:t>
            </w:r>
          </w:p>
          <w:p w14:paraId="74C24B6A" w14:textId="0EAFB28A" w:rsidR="00730F35" w:rsidRPr="005D465A" w:rsidRDefault="00730F35" w:rsidP="00110688">
            <w:pPr>
              <w:rPr>
                <w:sz w:val="22"/>
                <w:szCs w:val="22"/>
              </w:rPr>
            </w:pPr>
            <w:r w:rsidRPr="00730F35">
              <w:rPr>
                <w:sz w:val="22"/>
                <w:szCs w:val="22"/>
              </w:rPr>
              <w:t>Wernicke-encephalopathia</w:t>
            </w:r>
          </w:p>
        </w:tc>
      </w:tr>
      <w:tr w:rsidR="00110688" w:rsidRPr="00DD0BA2" w14:paraId="74890488" w14:textId="77777777" w:rsidTr="00DD0BA2">
        <w:tc>
          <w:tcPr>
            <w:tcW w:w="9606" w:type="dxa"/>
            <w:gridSpan w:val="2"/>
          </w:tcPr>
          <w:p w14:paraId="5051FDF8" w14:textId="77777777" w:rsidR="00110688" w:rsidRPr="00D755CD" w:rsidRDefault="00110688" w:rsidP="00110688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</w:tr>
      <w:tr w:rsidR="00110688" w:rsidRPr="00DD0BA2" w14:paraId="21DB2403" w14:textId="77777777" w:rsidTr="00DD0BA2">
        <w:tc>
          <w:tcPr>
            <w:tcW w:w="1668" w:type="dxa"/>
          </w:tcPr>
          <w:p w14:paraId="477FD5C2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Ritka</w:t>
            </w:r>
          </w:p>
        </w:tc>
        <w:tc>
          <w:tcPr>
            <w:tcW w:w="7938" w:type="dxa"/>
          </w:tcPr>
          <w:p w14:paraId="0E38532A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Veseelégtelenség</w:t>
            </w:r>
          </w:p>
        </w:tc>
      </w:tr>
      <w:tr w:rsidR="00110688" w:rsidRPr="00DD0BA2" w14:paraId="20B17600" w14:textId="77777777" w:rsidTr="00DD0BA2">
        <w:tc>
          <w:tcPr>
            <w:tcW w:w="9606" w:type="dxa"/>
            <w:gridSpan w:val="2"/>
          </w:tcPr>
          <w:p w14:paraId="6F0151F1" w14:textId="77777777" w:rsidR="00110688" w:rsidRPr="00D755CD" w:rsidRDefault="00110688" w:rsidP="00110688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Szembetegségek és szemészeti tünetek</w:t>
            </w:r>
          </w:p>
        </w:tc>
      </w:tr>
      <w:tr w:rsidR="00110688" w:rsidRPr="00DD0BA2" w14:paraId="71692982" w14:textId="77777777" w:rsidTr="00DD0BA2">
        <w:tc>
          <w:tcPr>
            <w:tcW w:w="1668" w:type="dxa"/>
          </w:tcPr>
          <w:p w14:paraId="6218C4FC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6B49D475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Nagymértékű könnyezés</w:t>
            </w:r>
          </w:p>
          <w:p w14:paraId="0A686F57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Homályos látás</w:t>
            </w:r>
          </w:p>
          <w:p w14:paraId="63840032" w14:textId="77777777" w:rsidR="00110688" w:rsidRPr="00DC1FFF" w:rsidRDefault="00110688" w:rsidP="00110688">
            <w:pPr>
              <w:rPr>
                <w:sz w:val="22"/>
                <w:szCs w:val="22"/>
              </w:rPr>
            </w:pPr>
            <w:r w:rsidRPr="00DC1FFF">
              <w:rPr>
                <w:sz w:val="22"/>
                <w:szCs w:val="22"/>
              </w:rPr>
              <w:t>Szemmozgás zavara</w:t>
            </w:r>
          </w:p>
          <w:p w14:paraId="5A0862B7" w14:textId="77777777" w:rsidR="00110688" w:rsidRPr="00327DCC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Látóideg-gyulladás</w:t>
            </w:r>
          </w:p>
          <w:p w14:paraId="0EBFFD8B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D</w:t>
            </w:r>
            <w:r w:rsidRPr="005D465A">
              <w:rPr>
                <w:sz w:val="22"/>
                <w:szCs w:val="22"/>
              </w:rPr>
              <w:t>iplopia</w:t>
            </w:r>
          </w:p>
          <w:p w14:paraId="766E8905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Csökkent látásélesség</w:t>
            </w:r>
          </w:p>
          <w:p w14:paraId="098B889E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Photophobia</w:t>
            </w:r>
          </w:p>
          <w:p w14:paraId="4904DC5B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lastRenderedPageBreak/>
              <w:t>Conjunctivitis</w:t>
            </w:r>
          </w:p>
          <w:p w14:paraId="5A86696C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Blepharitis</w:t>
            </w:r>
          </w:p>
          <w:p w14:paraId="71873052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Ectropium</w:t>
            </w:r>
          </w:p>
          <w:p w14:paraId="6A559CB1" w14:textId="77777777" w:rsidR="00110688" w:rsidRPr="00DD0BA2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Dacryostenosis</w:t>
            </w:r>
          </w:p>
        </w:tc>
      </w:tr>
      <w:tr w:rsidR="00110688" w:rsidRPr="00DD0BA2" w14:paraId="0DF3CE6F" w14:textId="77777777" w:rsidTr="00DD0BA2">
        <w:tc>
          <w:tcPr>
            <w:tcW w:w="9606" w:type="dxa"/>
            <w:gridSpan w:val="2"/>
          </w:tcPr>
          <w:p w14:paraId="6A6A600D" w14:textId="77777777" w:rsidR="00110688" w:rsidRPr="00D755CD" w:rsidRDefault="00110688" w:rsidP="00110688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lastRenderedPageBreak/>
              <w:t>Szívbetegségek és a szívvel kapcsolatos tünetek</w:t>
            </w:r>
          </w:p>
        </w:tc>
      </w:tr>
      <w:tr w:rsidR="00110688" w:rsidRPr="00DD0BA2" w14:paraId="482DB610" w14:textId="77777777" w:rsidTr="00DD0BA2">
        <w:tc>
          <w:tcPr>
            <w:tcW w:w="1668" w:type="dxa"/>
          </w:tcPr>
          <w:p w14:paraId="5D432787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74505083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Ischaemiás EKG-rendellenességek</w:t>
            </w:r>
          </w:p>
        </w:tc>
      </w:tr>
      <w:tr w:rsidR="00110688" w:rsidRPr="00DD0BA2" w14:paraId="3C472820" w14:textId="77777777" w:rsidTr="00DD0BA2">
        <w:tc>
          <w:tcPr>
            <w:tcW w:w="1668" w:type="dxa"/>
          </w:tcPr>
          <w:p w14:paraId="1CAE630D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Gyakori</w:t>
            </w:r>
          </w:p>
        </w:tc>
        <w:tc>
          <w:tcPr>
            <w:tcW w:w="7938" w:type="dxa"/>
          </w:tcPr>
          <w:p w14:paraId="5A998238" w14:textId="77777777" w:rsidR="00A443BA" w:rsidRDefault="00A443BA" w:rsidP="001106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Myocardialis infarctus</w:t>
            </w:r>
          </w:p>
          <w:p w14:paraId="691A9807" w14:textId="1B1047A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Angina pectoris</w:t>
            </w:r>
          </w:p>
        </w:tc>
      </w:tr>
      <w:tr w:rsidR="00110688" w:rsidRPr="00DD0BA2" w14:paraId="76363054" w14:textId="77777777" w:rsidTr="00DD0BA2">
        <w:tc>
          <w:tcPr>
            <w:tcW w:w="1668" w:type="dxa"/>
          </w:tcPr>
          <w:p w14:paraId="10DB1677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3FF9879B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Arrhythmia</w:t>
            </w:r>
          </w:p>
          <w:p w14:paraId="7E8AE8AC" w14:textId="77777777" w:rsidR="00110688" w:rsidRPr="00122C82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Myocardialis</w:t>
            </w:r>
            <w:r w:rsidRPr="00122C82">
              <w:rPr>
                <w:sz w:val="22"/>
                <w:szCs w:val="22"/>
              </w:rPr>
              <w:t xml:space="preserve"> ischaemia</w:t>
            </w:r>
          </w:p>
          <w:p w14:paraId="320D0792" w14:textId="77777777" w:rsidR="00110688" w:rsidRPr="000921B3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Myocarditis</w:t>
            </w:r>
          </w:p>
          <w:p w14:paraId="38E833E5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Szívelégtelenség</w:t>
            </w:r>
          </w:p>
          <w:p w14:paraId="3F1BB973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Pangásos cardiomyopathia</w:t>
            </w:r>
          </w:p>
          <w:p w14:paraId="25A641C7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Cardialis shock</w:t>
            </w:r>
          </w:p>
        </w:tc>
      </w:tr>
      <w:tr w:rsidR="00110688" w:rsidRPr="00DD0BA2" w14:paraId="3BA2A436" w14:textId="77777777" w:rsidTr="00DD0BA2">
        <w:tc>
          <w:tcPr>
            <w:tcW w:w="1668" w:type="dxa"/>
          </w:tcPr>
          <w:p w14:paraId="17E8F9D5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ritka</w:t>
            </w:r>
          </w:p>
        </w:tc>
        <w:tc>
          <w:tcPr>
            <w:tcW w:w="7938" w:type="dxa"/>
          </w:tcPr>
          <w:p w14:paraId="5FC528D5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Szívmegállás</w:t>
            </w:r>
          </w:p>
          <w:p w14:paraId="29BC6605" w14:textId="77777777" w:rsidR="00110688" w:rsidRPr="00DC1FFF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Hirtelen szívhalál</w:t>
            </w:r>
          </w:p>
        </w:tc>
      </w:tr>
      <w:tr w:rsidR="00110688" w:rsidRPr="00DD0BA2" w14:paraId="1FE085D8" w14:textId="77777777" w:rsidTr="00DD0BA2">
        <w:tc>
          <w:tcPr>
            <w:tcW w:w="1668" w:type="dxa"/>
          </w:tcPr>
          <w:p w14:paraId="69826FA6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ismert</w:t>
            </w:r>
          </w:p>
        </w:tc>
        <w:tc>
          <w:tcPr>
            <w:tcW w:w="7938" w:type="dxa"/>
          </w:tcPr>
          <w:p w14:paraId="4C0230CF" w14:textId="77777777" w:rsidR="00110688" w:rsidRPr="00DC1FFF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Intracardiális vérrög</w:t>
            </w:r>
          </w:p>
          <w:p w14:paraId="0B17588F" w14:textId="77777777" w:rsidR="00110688" w:rsidRPr="00327DCC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Pericarditis</w:t>
            </w:r>
          </w:p>
          <w:p w14:paraId="19AD13E2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Stress</w:t>
            </w:r>
            <w:r w:rsidRPr="005D465A">
              <w:rPr>
                <w:sz w:val="22"/>
                <w:szCs w:val="22"/>
              </w:rPr>
              <w:t>z okozta cardiomyopathia (takotsubo-szindróma)</w:t>
            </w:r>
          </w:p>
        </w:tc>
      </w:tr>
      <w:tr w:rsidR="00110688" w:rsidRPr="00DD0BA2" w14:paraId="2F33B3BA" w14:textId="77777777" w:rsidTr="00DD0BA2">
        <w:tc>
          <w:tcPr>
            <w:tcW w:w="9606" w:type="dxa"/>
            <w:gridSpan w:val="2"/>
          </w:tcPr>
          <w:p w14:paraId="037B608D" w14:textId="77777777" w:rsidR="00110688" w:rsidRPr="00D755CD" w:rsidRDefault="00110688" w:rsidP="00110688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Érbetegségek és tünetek</w:t>
            </w:r>
          </w:p>
        </w:tc>
      </w:tr>
      <w:tr w:rsidR="00110688" w:rsidRPr="00DD0BA2" w14:paraId="50048876" w14:textId="77777777" w:rsidTr="00DD0BA2">
        <w:tc>
          <w:tcPr>
            <w:tcW w:w="1668" w:type="dxa"/>
          </w:tcPr>
          <w:p w14:paraId="6D82AA61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48CF33D7" w14:textId="77777777" w:rsidR="00110688" w:rsidRPr="00037F3E" w:rsidRDefault="00110688" w:rsidP="00110688">
            <w:pPr>
              <w:rPr>
                <w:sz w:val="22"/>
                <w:szCs w:val="22"/>
              </w:rPr>
            </w:pPr>
            <w:r w:rsidRPr="00037F3E">
              <w:rPr>
                <w:sz w:val="22"/>
                <w:szCs w:val="22"/>
              </w:rPr>
              <w:t>Hypotensio</w:t>
            </w:r>
          </w:p>
        </w:tc>
      </w:tr>
      <w:tr w:rsidR="00110688" w:rsidRPr="00DD0BA2" w14:paraId="2C47B490" w14:textId="77777777" w:rsidTr="00DD0BA2">
        <w:tc>
          <w:tcPr>
            <w:tcW w:w="1668" w:type="dxa"/>
          </w:tcPr>
          <w:p w14:paraId="58F3EA09" w14:textId="77777777" w:rsidR="00110688" w:rsidRPr="00D755CD" w:rsidRDefault="00110688" w:rsidP="00110688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Ritka</w:t>
            </w:r>
          </w:p>
        </w:tc>
        <w:tc>
          <w:tcPr>
            <w:tcW w:w="7938" w:type="dxa"/>
          </w:tcPr>
          <w:p w14:paraId="20664CF0" w14:textId="77777777" w:rsidR="00110688" w:rsidRPr="00DE6677" w:rsidRDefault="00110688" w:rsidP="00110688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 xml:space="preserve">Cerebralis ischaemia </w:t>
            </w:r>
          </w:p>
          <w:p w14:paraId="0FA25BB9" w14:textId="77777777" w:rsidR="00110688" w:rsidRPr="00DC1FFF" w:rsidRDefault="00110688" w:rsidP="00110688">
            <w:pPr>
              <w:rPr>
                <w:sz w:val="22"/>
                <w:szCs w:val="22"/>
              </w:rPr>
            </w:pPr>
            <w:r w:rsidRPr="00DC1FFF">
              <w:rPr>
                <w:sz w:val="22"/>
                <w:szCs w:val="22"/>
              </w:rPr>
              <w:t xml:space="preserve">Intestinalis ischaemia </w:t>
            </w:r>
          </w:p>
          <w:p w14:paraId="62A57516" w14:textId="77777777" w:rsidR="00110688" w:rsidRPr="00122C82" w:rsidRDefault="00110688" w:rsidP="00110688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Peripheriás</w:t>
            </w:r>
            <w:r w:rsidRPr="00122C82">
              <w:rPr>
                <w:sz w:val="22"/>
                <w:szCs w:val="22"/>
              </w:rPr>
              <w:t xml:space="preserve"> ischaemia</w:t>
            </w:r>
          </w:p>
          <w:p w14:paraId="0089C5A2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Raynaud</w:t>
            </w:r>
            <w:r w:rsidRPr="005D465A">
              <w:rPr>
                <w:sz w:val="22"/>
                <w:szCs w:val="22"/>
              </w:rPr>
              <w:t>-szindróma</w:t>
            </w:r>
          </w:p>
          <w:p w14:paraId="406F75E6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Thromboembolia</w:t>
            </w:r>
          </w:p>
          <w:p w14:paraId="0F0ACC2E" w14:textId="77777777" w:rsidR="00110688" w:rsidRPr="005D465A" w:rsidRDefault="00110688" w:rsidP="00110688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Thrombophlebitis</w:t>
            </w:r>
          </w:p>
        </w:tc>
      </w:tr>
      <w:tr w:rsidR="00A443BA" w:rsidRPr="00DD0BA2" w14:paraId="3FF6DF43" w14:textId="77777777" w:rsidTr="00DD0BA2">
        <w:tc>
          <w:tcPr>
            <w:tcW w:w="1668" w:type="dxa"/>
          </w:tcPr>
          <w:p w14:paraId="7F8E73D4" w14:textId="789F5084" w:rsidR="00A443BA" w:rsidRPr="00A443BA" w:rsidRDefault="00A443BA" w:rsidP="00A443BA">
            <w:pPr>
              <w:rPr>
                <w:sz w:val="22"/>
                <w:szCs w:val="22"/>
              </w:rPr>
            </w:pPr>
            <w:r w:rsidRPr="00AB6A62">
              <w:rPr>
                <w:sz w:val="22"/>
                <w:szCs w:val="22"/>
                <w:lang w:val="hu"/>
              </w:rPr>
              <w:t>Nem ismert</w:t>
            </w:r>
          </w:p>
        </w:tc>
        <w:tc>
          <w:tcPr>
            <w:tcW w:w="7938" w:type="dxa"/>
          </w:tcPr>
          <w:p w14:paraId="16FE9716" w14:textId="6A0D911B" w:rsidR="00A443BA" w:rsidRPr="00DE6677" w:rsidRDefault="00A443BA" w:rsidP="00A443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Vérzés</w:t>
            </w:r>
          </w:p>
        </w:tc>
      </w:tr>
      <w:tr w:rsidR="00A443BA" w:rsidRPr="00DD0BA2" w14:paraId="11588805" w14:textId="77777777" w:rsidTr="00DD0BA2">
        <w:tc>
          <w:tcPr>
            <w:tcW w:w="9606" w:type="dxa"/>
            <w:gridSpan w:val="2"/>
          </w:tcPr>
          <w:p w14:paraId="55E6C676" w14:textId="77777777" w:rsidR="00A443BA" w:rsidRPr="00D755CD" w:rsidRDefault="00A443BA" w:rsidP="00A443BA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sz w:val="22"/>
                <w:szCs w:val="22"/>
              </w:rPr>
              <w:t>Emésztőrendszeri betegségek és tünetek</w:t>
            </w:r>
          </w:p>
        </w:tc>
      </w:tr>
      <w:tr w:rsidR="00A443BA" w:rsidRPr="00DD0BA2" w14:paraId="2578CE7E" w14:textId="77777777" w:rsidTr="00DD0BA2">
        <w:tc>
          <w:tcPr>
            <w:tcW w:w="1668" w:type="dxa"/>
          </w:tcPr>
          <w:p w14:paraId="0C66D18E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5F81EEBB" w14:textId="10D592D2" w:rsidR="00A443BA" w:rsidRPr="00DE6677" w:rsidRDefault="00EC09EA" w:rsidP="00A443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Nyálkahártya-gyulladás, </w:t>
            </w:r>
            <w:r w:rsidR="009F4101">
              <w:rPr>
                <w:sz w:val="22"/>
                <w:szCs w:val="22"/>
              </w:rPr>
              <w:t>S</w:t>
            </w:r>
            <w:r w:rsidR="00A443BA" w:rsidRPr="00DE6677">
              <w:rPr>
                <w:sz w:val="22"/>
                <w:szCs w:val="22"/>
              </w:rPr>
              <w:t xml:space="preserve">tomatitis, </w:t>
            </w:r>
            <w:r w:rsidR="009F4101">
              <w:rPr>
                <w:sz w:val="22"/>
                <w:szCs w:val="22"/>
              </w:rPr>
              <w:t>E</w:t>
            </w:r>
            <w:r w:rsidR="00A443BA" w:rsidRPr="00DE6677">
              <w:rPr>
                <w:sz w:val="22"/>
                <w:szCs w:val="22"/>
              </w:rPr>
              <w:t xml:space="preserve">osophagitis, </w:t>
            </w:r>
            <w:r w:rsidR="009F4101">
              <w:rPr>
                <w:sz w:val="22"/>
                <w:szCs w:val="22"/>
              </w:rPr>
              <w:t>P</w:t>
            </w:r>
            <w:r w:rsidR="00A443BA" w:rsidRPr="00DE6677">
              <w:rPr>
                <w:sz w:val="22"/>
                <w:szCs w:val="22"/>
              </w:rPr>
              <w:t>roctitis</w:t>
            </w:r>
          </w:p>
          <w:p w14:paraId="16B053FA" w14:textId="77777777" w:rsidR="00A443BA" w:rsidRPr="00DE6677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Anorexia</w:t>
            </w:r>
          </w:p>
          <w:p w14:paraId="059261B6" w14:textId="77777777" w:rsidR="00A443BA" w:rsidRPr="00DC1FFF" w:rsidRDefault="00A443BA" w:rsidP="00A443BA">
            <w:pPr>
              <w:rPr>
                <w:sz w:val="22"/>
                <w:szCs w:val="22"/>
              </w:rPr>
            </w:pPr>
            <w:r w:rsidRPr="00DC1FFF">
              <w:rPr>
                <w:sz w:val="22"/>
                <w:szCs w:val="22"/>
              </w:rPr>
              <w:t>Hasmenés</w:t>
            </w:r>
          </w:p>
          <w:p w14:paraId="5BBB25F5" w14:textId="77777777" w:rsidR="00A443BA" w:rsidRPr="00327DCC" w:rsidRDefault="00A443BA" w:rsidP="00A443BA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Hányinger</w:t>
            </w:r>
          </w:p>
          <w:p w14:paraId="35AC139A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Hányás</w:t>
            </w:r>
          </w:p>
        </w:tc>
      </w:tr>
      <w:tr w:rsidR="00A443BA" w:rsidRPr="00DD0BA2" w14:paraId="5721130D" w14:textId="77777777" w:rsidTr="00DD0BA2">
        <w:tc>
          <w:tcPr>
            <w:tcW w:w="1668" w:type="dxa"/>
          </w:tcPr>
          <w:p w14:paraId="26967F8E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30671A7F" w14:textId="77777777" w:rsidR="00A443BA" w:rsidRPr="00DC1FFF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Gastrointestinal</w:t>
            </w:r>
            <w:r w:rsidRPr="00DC1FFF">
              <w:rPr>
                <w:sz w:val="22"/>
                <w:szCs w:val="22"/>
              </w:rPr>
              <w:t>is fekélyesedés</w:t>
            </w:r>
          </w:p>
          <w:p w14:paraId="7E703ACC" w14:textId="77777777" w:rsidR="00A443BA" w:rsidRPr="00122C82" w:rsidRDefault="00A443BA" w:rsidP="00A443BA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Gastrointestinalis</w:t>
            </w:r>
            <w:r w:rsidRPr="00122C82">
              <w:rPr>
                <w:sz w:val="22"/>
                <w:szCs w:val="22"/>
              </w:rPr>
              <w:t xml:space="preserve"> vérzés</w:t>
            </w:r>
          </w:p>
          <w:p w14:paraId="328C9AF2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Gastrointestinal</w:t>
            </w:r>
            <w:r w:rsidRPr="005D465A">
              <w:rPr>
                <w:sz w:val="22"/>
                <w:szCs w:val="22"/>
              </w:rPr>
              <w:t>is hámleválás</w:t>
            </w:r>
          </w:p>
        </w:tc>
      </w:tr>
      <w:tr w:rsidR="00A443BA" w:rsidRPr="00DD0BA2" w14:paraId="77521B4A" w14:textId="77777777" w:rsidTr="00DD0BA2">
        <w:tc>
          <w:tcPr>
            <w:tcW w:w="1668" w:type="dxa"/>
          </w:tcPr>
          <w:p w14:paraId="2AE4AB19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ismert</w:t>
            </w:r>
          </w:p>
        </w:tc>
        <w:tc>
          <w:tcPr>
            <w:tcW w:w="7938" w:type="dxa"/>
          </w:tcPr>
          <w:p w14:paraId="6BCA72A9" w14:textId="77777777" w:rsidR="00EC09EA" w:rsidRDefault="00EC09EA" w:rsidP="00A443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Melaena</w:t>
            </w:r>
          </w:p>
          <w:p w14:paraId="6D4F5134" w14:textId="77777777" w:rsidR="00A443BA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Pneumatosis intestinalis</w:t>
            </w:r>
          </w:p>
          <w:p w14:paraId="3C95DC6E" w14:textId="77777777" w:rsidR="00730F35" w:rsidRDefault="00730F35" w:rsidP="00A443BA">
            <w:pPr>
              <w:rPr>
                <w:sz w:val="22"/>
                <w:szCs w:val="22"/>
              </w:rPr>
            </w:pPr>
            <w:r w:rsidRPr="00730F35">
              <w:rPr>
                <w:sz w:val="22"/>
                <w:szCs w:val="22"/>
              </w:rPr>
              <w:t>Enterocolitis</w:t>
            </w:r>
          </w:p>
          <w:p w14:paraId="21849B9A" w14:textId="7CECFF97" w:rsidR="00730F35" w:rsidRPr="00DE6677" w:rsidRDefault="00730F35" w:rsidP="00A443BA">
            <w:pPr>
              <w:rPr>
                <w:sz w:val="22"/>
                <w:szCs w:val="22"/>
              </w:rPr>
            </w:pPr>
            <w:r w:rsidRPr="00730F35">
              <w:rPr>
                <w:sz w:val="22"/>
                <w:szCs w:val="22"/>
              </w:rPr>
              <w:t>Colitis (beleértve a nekrotizáló colitist is)</w:t>
            </w:r>
          </w:p>
        </w:tc>
      </w:tr>
      <w:tr w:rsidR="00A443BA" w:rsidRPr="00DD0BA2" w14:paraId="764AC6A3" w14:textId="77777777" w:rsidTr="00DD0BA2">
        <w:tc>
          <w:tcPr>
            <w:tcW w:w="9606" w:type="dxa"/>
            <w:gridSpan w:val="2"/>
          </w:tcPr>
          <w:p w14:paraId="23EDD681" w14:textId="77777777" w:rsidR="00A443BA" w:rsidRPr="00D755CD" w:rsidRDefault="00A443BA" w:rsidP="00A443BA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Máj- és epebetegségek, illetve tünetek</w:t>
            </w:r>
          </w:p>
        </w:tc>
      </w:tr>
      <w:tr w:rsidR="00A443BA" w:rsidRPr="00DD0BA2" w14:paraId="2B8313DA" w14:textId="77777777" w:rsidTr="00DD0BA2">
        <w:tc>
          <w:tcPr>
            <w:tcW w:w="1668" w:type="dxa"/>
          </w:tcPr>
          <w:p w14:paraId="2DB348C3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51FB29E5" w14:textId="77777777" w:rsidR="00A443BA" w:rsidRPr="00DE6677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Májsejtkárosodás</w:t>
            </w:r>
          </w:p>
        </w:tc>
      </w:tr>
      <w:tr w:rsidR="00A443BA" w:rsidRPr="00DD0BA2" w14:paraId="3F4700A4" w14:textId="77777777" w:rsidTr="00DD0BA2">
        <w:tc>
          <w:tcPr>
            <w:tcW w:w="1668" w:type="dxa"/>
          </w:tcPr>
          <w:p w14:paraId="5E9D6DFB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ritka</w:t>
            </w:r>
          </w:p>
        </w:tc>
        <w:tc>
          <w:tcPr>
            <w:tcW w:w="7938" w:type="dxa"/>
          </w:tcPr>
          <w:p w14:paraId="58912394" w14:textId="77777777" w:rsidR="00A443BA" w:rsidRPr="00DC1FFF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Májnekr</w:t>
            </w:r>
            <w:r w:rsidRPr="00DC1FFF">
              <w:rPr>
                <w:sz w:val="22"/>
                <w:szCs w:val="22"/>
              </w:rPr>
              <w:t xml:space="preserve">ózis </w:t>
            </w:r>
          </w:p>
          <w:p w14:paraId="530EC619" w14:textId="77777777" w:rsidR="00A443BA" w:rsidRPr="00327DCC" w:rsidRDefault="00A443BA" w:rsidP="00A443BA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Epeúti sclerosis</w:t>
            </w:r>
          </w:p>
          <w:p w14:paraId="78D2850B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Epehólyag-gyulladás</w:t>
            </w:r>
          </w:p>
        </w:tc>
      </w:tr>
      <w:tr w:rsidR="00A443BA" w:rsidRPr="00DD0BA2" w14:paraId="1DC54903" w14:textId="77777777" w:rsidTr="00DD0BA2">
        <w:tc>
          <w:tcPr>
            <w:tcW w:w="9606" w:type="dxa"/>
            <w:gridSpan w:val="2"/>
          </w:tcPr>
          <w:p w14:paraId="21F060FB" w14:textId="77777777" w:rsidR="00A443BA" w:rsidRPr="00D755CD" w:rsidRDefault="00A443BA" w:rsidP="00A443BA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bCs/>
                <w:sz w:val="22"/>
                <w:szCs w:val="22"/>
              </w:rPr>
              <w:t>A bőr és a bőr alatti szövet betegségei és tünetei</w:t>
            </w:r>
          </w:p>
        </w:tc>
      </w:tr>
      <w:tr w:rsidR="00A443BA" w:rsidRPr="00DD0BA2" w14:paraId="70B67297" w14:textId="77777777" w:rsidTr="00DD0BA2">
        <w:tc>
          <w:tcPr>
            <w:tcW w:w="1668" w:type="dxa"/>
          </w:tcPr>
          <w:p w14:paraId="348ECB09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650FF507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Alopecia</w:t>
            </w:r>
          </w:p>
          <w:p w14:paraId="303808CD" w14:textId="77777777" w:rsidR="00A443BA" w:rsidRPr="00DE6677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Palm</w:t>
            </w:r>
            <w:r>
              <w:rPr>
                <w:sz w:val="22"/>
                <w:szCs w:val="22"/>
              </w:rPr>
              <w:t>o</w:t>
            </w:r>
            <w:r w:rsidRPr="00D755CD">
              <w:rPr>
                <w:sz w:val="22"/>
                <w:szCs w:val="22"/>
              </w:rPr>
              <w:t>-plantaris erythrodysaesthesia szindró</w:t>
            </w:r>
            <w:r w:rsidRPr="00DE6677">
              <w:rPr>
                <w:sz w:val="22"/>
                <w:szCs w:val="22"/>
              </w:rPr>
              <w:t>ma (kéz-láb szindróma)</w:t>
            </w:r>
          </w:p>
        </w:tc>
      </w:tr>
      <w:tr w:rsidR="00A443BA" w:rsidRPr="00DD0BA2" w14:paraId="0BB45A91" w14:textId="77777777" w:rsidTr="00DD0BA2">
        <w:tc>
          <w:tcPr>
            <w:tcW w:w="1668" w:type="dxa"/>
          </w:tcPr>
          <w:p w14:paraId="22570E0F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00C30B07" w14:textId="77777777" w:rsidR="00A443BA" w:rsidRPr="00DE6677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Dermatitis</w:t>
            </w:r>
          </w:p>
          <w:p w14:paraId="558ABA26" w14:textId="77777777" w:rsidR="00A443BA" w:rsidRPr="00DC1FFF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Száraz bőr</w:t>
            </w:r>
          </w:p>
          <w:p w14:paraId="46141CE5" w14:textId="77777777" w:rsidR="00A443BA" w:rsidRPr="00122C82" w:rsidRDefault="00A443BA" w:rsidP="00A443BA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Fissura</w:t>
            </w:r>
            <w:r w:rsidRPr="00122C82">
              <w:rPr>
                <w:sz w:val="22"/>
                <w:szCs w:val="22"/>
              </w:rPr>
              <w:t xml:space="preserve"> erosio</w:t>
            </w:r>
          </w:p>
          <w:p w14:paraId="0CA56160" w14:textId="77777777" w:rsidR="00A443BA" w:rsidRPr="000921B3" w:rsidRDefault="00A443BA" w:rsidP="00A443BA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 xml:space="preserve">Erythema </w:t>
            </w:r>
          </w:p>
          <w:p w14:paraId="3F954DBB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 xml:space="preserve">Viszkető maculopapulosus kiütések </w:t>
            </w:r>
          </w:p>
          <w:p w14:paraId="5DD3DF11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Exanthema</w:t>
            </w:r>
          </w:p>
          <w:p w14:paraId="24216ABD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Urticaria</w:t>
            </w:r>
          </w:p>
          <w:p w14:paraId="3108AD27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lastRenderedPageBreak/>
              <w:t>Fényérzékenység</w:t>
            </w:r>
          </w:p>
          <w:p w14:paraId="34E77880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A bőr hiperpigmentációja</w:t>
            </w:r>
          </w:p>
          <w:p w14:paraId="2F069D58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 xml:space="preserve">Csíkos hiperpigmentáció vagy depigmentáció a vénák mellett </w:t>
            </w:r>
          </w:p>
          <w:p w14:paraId="2BCF0074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Köröm pigmentációja</w:t>
            </w:r>
          </w:p>
          <w:p w14:paraId="3F51208E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Köröm-dystrophia</w:t>
            </w:r>
          </w:p>
          <w:p w14:paraId="265ACD31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Körömágy elváltozások</w:t>
            </w:r>
          </w:p>
          <w:p w14:paraId="047E8FF8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Paronychia</w:t>
            </w:r>
          </w:p>
          <w:p w14:paraId="0665D54B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Onycholysis</w:t>
            </w:r>
          </w:p>
        </w:tc>
      </w:tr>
      <w:tr w:rsidR="00A443BA" w:rsidRPr="00DD0BA2" w14:paraId="7D335423" w14:textId="77777777" w:rsidTr="00DD0BA2">
        <w:tc>
          <w:tcPr>
            <w:tcW w:w="1668" w:type="dxa"/>
          </w:tcPr>
          <w:p w14:paraId="2103289F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lastRenderedPageBreak/>
              <w:t>Nem ismert</w:t>
            </w:r>
          </w:p>
        </w:tc>
        <w:tc>
          <w:tcPr>
            <w:tcW w:w="7938" w:type="dxa"/>
          </w:tcPr>
          <w:p w14:paraId="113A1B3B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Cutan lupus erythematosus</w:t>
            </w:r>
          </w:p>
        </w:tc>
      </w:tr>
      <w:tr w:rsidR="00A443BA" w:rsidRPr="00DD0BA2" w14:paraId="03305050" w14:textId="77777777" w:rsidTr="00DD0BA2">
        <w:tc>
          <w:tcPr>
            <w:tcW w:w="9606" w:type="dxa"/>
            <w:gridSpan w:val="2"/>
          </w:tcPr>
          <w:p w14:paraId="352FBB47" w14:textId="77777777" w:rsidR="00A443BA" w:rsidRPr="00D755CD" w:rsidRDefault="00A443BA" w:rsidP="00A443BA">
            <w:pPr>
              <w:rPr>
                <w:b/>
                <w:bCs/>
                <w:sz w:val="22"/>
                <w:szCs w:val="22"/>
              </w:rPr>
            </w:pPr>
            <w:r w:rsidRPr="00D755CD">
              <w:rPr>
                <w:b/>
                <w:sz w:val="22"/>
                <w:szCs w:val="22"/>
              </w:rPr>
              <w:t>A nemi szervekkel és az emlőkkel kapcsolatos betegségek és tünetek</w:t>
            </w:r>
          </w:p>
        </w:tc>
      </w:tr>
      <w:tr w:rsidR="00A443BA" w:rsidRPr="00DD0BA2" w14:paraId="05C6A3DA" w14:textId="77777777" w:rsidTr="00DD0BA2">
        <w:tc>
          <w:tcPr>
            <w:tcW w:w="1668" w:type="dxa"/>
          </w:tcPr>
          <w:p w14:paraId="6F85C568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gyakori</w:t>
            </w:r>
          </w:p>
        </w:tc>
        <w:tc>
          <w:tcPr>
            <w:tcW w:w="7938" w:type="dxa"/>
          </w:tcPr>
          <w:p w14:paraId="79F31766" w14:textId="77777777" w:rsidR="00A443BA" w:rsidRPr="00DE6677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Azoospermia</w:t>
            </w:r>
          </w:p>
          <w:p w14:paraId="7DD5951E" w14:textId="77777777" w:rsidR="00A443BA" w:rsidRPr="00DC1FFF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Ovul</w:t>
            </w:r>
            <w:r w:rsidRPr="00DC1FFF">
              <w:rPr>
                <w:sz w:val="22"/>
                <w:szCs w:val="22"/>
              </w:rPr>
              <w:t>áció zavara</w:t>
            </w:r>
          </w:p>
        </w:tc>
      </w:tr>
      <w:tr w:rsidR="00A443BA" w:rsidRPr="00DD0BA2" w14:paraId="022501B2" w14:textId="77777777" w:rsidTr="00DD0BA2">
        <w:tc>
          <w:tcPr>
            <w:tcW w:w="9606" w:type="dxa"/>
            <w:gridSpan w:val="2"/>
          </w:tcPr>
          <w:p w14:paraId="308890BA" w14:textId="77777777" w:rsidR="00A443BA" w:rsidRPr="0009618E" w:rsidRDefault="00A443BA" w:rsidP="00A443BA">
            <w:pPr>
              <w:rPr>
                <w:b/>
                <w:bCs/>
                <w:sz w:val="22"/>
                <w:szCs w:val="22"/>
              </w:rPr>
            </w:pPr>
            <w:r w:rsidRPr="00467E49">
              <w:rPr>
                <w:b/>
                <w:bCs/>
                <w:sz w:val="22"/>
                <w:szCs w:val="22"/>
              </w:rPr>
              <w:t>Általános tünetek, az alkalmazás helyén fellépő reakciók</w:t>
            </w:r>
          </w:p>
        </w:tc>
      </w:tr>
      <w:tr w:rsidR="00A443BA" w:rsidRPr="00DD0BA2" w14:paraId="39F50D39" w14:textId="77777777" w:rsidTr="00DD0BA2">
        <w:tc>
          <w:tcPr>
            <w:tcW w:w="1668" w:type="dxa"/>
          </w:tcPr>
          <w:p w14:paraId="60BEC023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Nagyon gyakori</w:t>
            </w:r>
          </w:p>
        </w:tc>
        <w:tc>
          <w:tcPr>
            <w:tcW w:w="7938" w:type="dxa"/>
          </w:tcPr>
          <w:p w14:paraId="10DDDA95" w14:textId="77777777" w:rsidR="00A443BA" w:rsidRPr="00DE6677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Késleltetett sebgyógyulás</w:t>
            </w:r>
          </w:p>
          <w:p w14:paraId="2A1744C5" w14:textId="77777777" w:rsidR="00A443BA" w:rsidRPr="00DC1FFF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Orrvérzés</w:t>
            </w:r>
          </w:p>
          <w:p w14:paraId="59B60DB6" w14:textId="77777777" w:rsidR="00A443BA" w:rsidRPr="00327DCC" w:rsidRDefault="00A443BA" w:rsidP="00A443BA">
            <w:pPr>
              <w:rPr>
                <w:sz w:val="22"/>
                <w:szCs w:val="22"/>
              </w:rPr>
            </w:pPr>
            <w:r w:rsidRPr="00327DCC">
              <w:rPr>
                <w:sz w:val="22"/>
                <w:szCs w:val="22"/>
              </w:rPr>
              <w:t>Rossz közérzet</w:t>
            </w:r>
          </w:p>
          <w:p w14:paraId="3838D848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0921B3">
              <w:rPr>
                <w:sz w:val="22"/>
                <w:szCs w:val="22"/>
              </w:rPr>
              <w:t>Gyengeség</w:t>
            </w:r>
          </w:p>
          <w:p w14:paraId="77CE21D6" w14:textId="77777777" w:rsidR="00A443BA" w:rsidRPr="005D465A" w:rsidRDefault="00A443BA" w:rsidP="00A443BA">
            <w:pPr>
              <w:rPr>
                <w:sz w:val="22"/>
                <w:szCs w:val="22"/>
              </w:rPr>
            </w:pPr>
            <w:r w:rsidRPr="005D465A">
              <w:rPr>
                <w:sz w:val="22"/>
                <w:szCs w:val="22"/>
              </w:rPr>
              <w:t>Kimerültség</w:t>
            </w:r>
          </w:p>
        </w:tc>
      </w:tr>
      <w:tr w:rsidR="00A443BA" w:rsidRPr="00DD0BA2" w14:paraId="793586C7" w14:textId="77777777" w:rsidTr="00DD0BA2">
        <w:tc>
          <w:tcPr>
            <w:tcW w:w="1668" w:type="dxa"/>
          </w:tcPr>
          <w:p w14:paraId="09090E90" w14:textId="77777777" w:rsidR="00A443BA" w:rsidRPr="00D755CD" w:rsidRDefault="00A443BA" w:rsidP="00A443BA">
            <w:pPr>
              <w:rPr>
                <w:sz w:val="22"/>
                <w:szCs w:val="22"/>
              </w:rPr>
            </w:pPr>
            <w:r w:rsidRPr="00D755CD">
              <w:rPr>
                <w:sz w:val="22"/>
                <w:szCs w:val="22"/>
              </w:rPr>
              <w:t>Nem ismert</w:t>
            </w:r>
          </w:p>
        </w:tc>
        <w:tc>
          <w:tcPr>
            <w:tcW w:w="7938" w:type="dxa"/>
          </w:tcPr>
          <w:p w14:paraId="3B806F66" w14:textId="77777777" w:rsidR="00A443BA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Láz</w:t>
            </w:r>
          </w:p>
          <w:p w14:paraId="460015D9" w14:textId="0AE47E13" w:rsidR="00EC09EA" w:rsidRPr="00DE6677" w:rsidRDefault="00EC09EA" w:rsidP="00A443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Mellkasi fájdalom</w:t>
            </w:r>
          </w:p>
          <w:p w14:paraId="59BCC97B" w14:textId="77777777" w:rsidR="00A443BA" w:rsidRDefault="00A443BA" w:rsidP="00A443BA">
            <w:pPr>
              <w:rPr>
                <w:sz w:val="22"/>
                <w:szCs w:val="22"/>
              </w:rPr>
            </w:pPr>
            <w:r w:rsidRPr="00DE6677">
              <w:rPr>
                <w:sz w:val="22"/>
                <w:szCs w:val="22"/>
              </w:rPr>
              <w:t>Inje</w:t>
            </w:r>
            <w:r w:rsidRPr="00DC1FFF">
              <w:rPr>
                <w:sz w:val="22"/>
                <w:szCs w:val="22"/>
              </w:rPr>
              <w:t>kció beadási helyének elszíneződése</w:t>
            </w:r>
          </w:p>
          <w:p w14:paraId="493E61AA" w14:textId="22426E8C" w:rsidR="00730F35" w:rsidRPr="00DC1FFF" w:rsidRDefault="00730F35" w:rsidP="00A443BA">
            <w:pPr>
              <w:rPr>
                <w:sz w:val="22"/>
                <w:szCs w:val="22"/>
              </w:rPr>
            </w:pPr>
            <w:r w:rsidRPr="00730F35">
              <w:rPr>
                <w:sz w:val="22"/>
                <w:szCs w:val="22"/>
              </w:rPr>
              <w:t>Extravasatio okozta helyi reakció (fájdalom, duzzanat, erythema)</w:t>
            </w:r>
          </w:p>
        </w:tc>
      </w:tr>
    </w:tbl>
    <w:p w14:paraId="15808033" w14:textId="77777777" w:rsidR="00D755CD" w:rsidRPr="00DD0BA2" w:rsidRDefault="00D755CD" w:rsidP="00D755CD">
      <w:pPr>
        <w:rPr>
          <w:sz w:val="22"/>
          <w:szCs w:val="22"/>
        </w:rPr>
      </w:pPr>
    </w:p>
    <w:p w14:paraId="7DC2DA66" w14:textId="1F5DD36A" w:rsidR="00D755CD" w:rsidRPr="00DD0BA2" w:rsidRDefault="00B46CC4" w:rsidP="00D755C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c. </w:t>
      </w:r>
      <w:r w:rsidR="00D755CD" w:rsidRPr="00DD0BA2">
        <w:rPr>
          <w:b/>
          <w:bCs/>
          <w:sz w:val="22"/>
          <w:szCs w:val="22"/>
        </w:rPr>
        <w:t>Kiválasztott mellékhatások leírása</w:t>
      </w:r>
    </w:p>
    <w:p w14:paraId="37416BE6" w14:textId="77777777" w:rsidR="00D755CD" w:rsidRPr="00DD0BA2" w:rsidRDefault="00D755CD" w:rsidP="00D755CD">
      <w:pPr>
        <w:rPr>
          <w:bCs/>
          <w:sz w:val="22"/>
          <w:szCs w:val="22"/>
        </w:rPr>
      </w:pPr>
    </w:p>
    <w:p w14:paraId="63D51F4F" w14:textId="77777777" w:rsidR="00D755CD" w:rsidRPr="00DD0BA2" w:rsidRDefault="00D755CD" w:rsidP="00D755CD">
      <w:pPr>
        <w:rPr>
          <w:b/>
          <w:bCs/>
          <w:sz w:val="22"/>
          <w:szCs w:val="22"/>
        </w:rPr>
      </w:pPr>
      <w:r w:rsidRPr="00DD0BA2">
        <w:rPr>
          <w:b/>
          <w:bCs/>
          <w:sz w:val="22"/>
          <w:szCs w:val="22"/>
        </w:rPr>
        <w:t>Myelosuppressio</w:t>
      </w:r>
    </w:p>
    <w:p w14:paraId="021F01DB" w14:textId="51D9E0B3" w:rsidR="00D755CD" w:rsidRPr="00DD0BA2" w:rsidRDefault="00D755CD" w:rsidP="00D755CD">
      <w:pPr>
        <w:rPr>
          <w:sz w:val="22"/>
          <w:szCs w:val="22"/>
        </w:rPr>
      </w:pPr>
      <w:r w:rsidRPr="00DD0BA2">
        <w:rPr>
          <w:sz w:val="22"/>
          <w:szCs w:val="22"/>
        </w:rPr>
        <w:t>Az előforduló myelosuppressi</w:t>
      </w:r>
      <w:r w:rsidR="00DE6677">
        <w:rPr>
          <w:sz w:val="22"/>
          <w:szCs w:val="22"/>
        </w:rPr>
        <w:t>ó</w:t>
      </w:r>
      <w:r w:rsidRPr="00DD0BA2">
        <w:rPr>
          <w:sz w:val="22"/>
          <w:szCs w:val="22"/>
        </w:rPr>
        <w:t xml:space="preserve">k kialakulásának ideje 7-10 nap között változott, nadír 9-14 </w:t>
      </w:r>
      <w:r w:rsidR="00B72BE1">
        <w:rPr>
          <w:sz w:val="22"/>
          <w:szCs w:val="22"/>
        </w:rPr>
        <w:t xml:space="preserve">nap </w:t>
      </w:r>
      <w:r w:rsidRPr="00DD0BA2">
        <w:rPr>
          <w:sz w:val="22"/>
          <w:szCs w:val="22"/>
        </w:rPr>
        <w:t xml:space="preserve">között és a gyógyulás 21-28 </w:t>
      </w:r>
      <w:r w:rsidR="00B72BE1">
        <w:rPr>
          <w:sz w:val="22"/>
          <w:szCs w:val="22"/>
        </w:rPr>
        <w:t xml:space="preserve">nap </w:t>
      </w:r>
      <w:r w:rsidRPr="00DD0BA2">
        <w:rPr>
          <w:sz w:val="22"/>
          <w:szCs w:val="22"/>
        </w:rPr>
        <w:t>alatt következett be.</w:t>
      </w:r>
    </w:p>
    <w:p w14:paraId="7A96CE1A" w14:textId="77777777" w:rsidR="00DE6677" w:rsidRPr="00DD0BA2" w:rsidRDefault="00DE6677" w:rsidP="00D755CD">
      <w:pPr>
        <w:rPr>
          <w:sz w:val="22"/>
          <w:szCs w:val="22"/>
        </w:rPr>
      </w:pPr>
    </w:p>
    <w:p w14:paraId="066DA759" w14:textId="77777777" w:rsidR="00D755CD" w:rsidRPr="00D755CD" w:rsidRDefault="00D755CD" w:rsidP="00D755CD">
      <w:pPr>
        <w:rPr>
          <w:b/>
          <w:bCs/>
          <w:sz w:val="22"/>
          <w:szCs w:val="22"/>
        </w:rPr>
      </w:pPr>
      <w:r w:rsidRPr="00D755CD">
        <w:rPr>
          <w:b/>
          <w:bCs/>
          <w:sz w:val="22"/>
          <w:szCs w:val="22"/>
        </w:rPr>
        <w:t>Szívbetegségek és a szívvel kapcsolatos tünetek</w:t>
      </w:r>
    </w:p>
    <w:p w14:paraId="37B9BB1A" w14:textId="77777777" w:rsidR="00D755CD" w:rsidRPr="00122C82" w:rsidRDefault="00D755CD" w:rsidP="00D755CD">
      <w:pPr>
        <w:rPr>
          <w:sz w:val="22"/>
          <w:szCs w:val="22"/>
        </w:rPr>
      </w:pPr>
      <w:r w:rsidRPr="00DE6677">
        <w:rPr>
          <w:sz w:val="22"/>
          <w:szCs w:val="22"/>
        </w:rPr>
        <w:t>A kardiotoxikus nemkívánatos események többnyire</w:t>
      </w:r>
      <w:r w:rsidRPr="00DC1FFF">
        <w:rPr>
          <w:sz w:val="22"/>
          <w:szCs w:val="22"/>
        </w:rPr>
        <w:t xml:space="preserve"> az első kezelési ciklus alatt vagy az azt követő órákban alakulnak ki. Fokozott a kardiotoxicitás kockázata azoknál a betegeknél, akiknek korábban szívkoszorúér-betegsége vagy cardiomyopathiája volt</w:t>
      </w:r>
      <w:r w:rsidRPr="00327DCC">
        <w:rPr>
          <w:sz w:val="22"/>
          <w:szCs w:val="22"/>
        </w:rPr>
        <w:t xml:space="preserve"> (lásd 4.4 pont).</w:t>
      </w:r>
    </w:p>
    <w:p w14:paraId="6B4BB001" w14:textId="77777777" w:rsidR="00D755CD" w:rsidRPr="000921B3" w:rsidRDefault="00D755CD" w:rsidP="00D755CD">
      <w:pPr>
        <w:rPr>
          <w:sz w:val="22"/>
          <w:szCs w:val="22"/>
        </w:rPr>
      </w:pPr>
    </w:p>
    <w:p w14:paraId="7896BAAB" w14:textId="77777777" w:rsidR="00D755CD" w:rsidRPr="00DE6677" w:rsidRDefault="00D755CD" w:rsidP="00D755CD">
      <w:pPr>
        <w:rPr>
          <w:b/>
          <w:bCs/>
          <w:sz w:val="22"/>
          <w:szCs w:val="22"/>
        </w:rPr>
      </w:pPr>
      <w:r w:rsidRPr="00DE6677">
        <w:rPr>
          <w:b/>
          <w:bCs/>
          <w:sz w:val="22"/>
          <w:szCs w:val="22"/>
        </w:rPr>
        <w:t>Máj- és epebetegségek, illetve tünetek</w:t>
      </w:r>
    </w:p>
    <w:p w14:paraId="49843DB6" w14:textId="77777777" w:rsidR="00D755CD" w:rsidRPr="00DD0BA2" w:rsidRDefault="00D755CD" w:rsidP="00D755CD">
      <w:pPr>
        <w:rPr>
          <w:bCs/>
          <w:sz w:val="22"/>
          <w:szCs w:val="22"/>
        </w:rPr>
      </w:pPr>
      <w:r w:rsidRPr="00DD0BA2">
        <w:rPr>
          <w:bCs/>
          <w:sz w:val="22"/>
          <w:szCs w:val="22"/>
        </w:rPr>
        <w:t>Májnekrózis halálos kimenetelű eseteit is jelentették.</w:t>
      </w:r>
    </w:p>
    <w:p w14:paraId="7140583D" w14:textId="77777777" w:rsidR="00D755CD" w:rsidRPr="00DD0BA2" w:rsidRDefault="00D755CD" w:rsidP="00D755CD">
      <w:pPr>
        <w:rPr>
          <w:bCs/>
          <w:sz w:val="22"/>
          <w:szCs w:val="22"/>
        </w:rPr>
      </w:pPr>
    </w:p>
    <w:p w14:paraId="4D67DD71" w14:textId="77777777" w:rsidR="00F251D5" w:rsidRPr="001B5D7D" w:rsidRDefault="00F251D5" w:rsidP="00DD0BA2">
      <w:pPr>
        <w:keepNext/>
        <w:rPr>
          <w:sz w:val="22"/>
          <w:szCs w:val="22"/>
          <w:u w:val="single"/>
        </w:rPr>
      </w:pPr>
      <w:r w:rsidRPr="001B5D7D">
        <w:rPr>
          <w:sz w:val="22"/>
          <w:szCs w:val="22"/>
          <w:u w:val="single"/>
        </w:rPr>
        <w:t>Feltételezett mellékhatások bejelentése</w:t>
      </w:r>
    </w:p>
    <w:p w14:paraId="24A72107" w14:textId="77777777" w:rsidR="00F251D5" w:rsidRPr="001B5D7D" w:rsidRDefault="00F251D5" w:rsidP="00DD0BA2">
      <w:pPr>
        <w:keepNext/>
        <w:rPr>
          <w:sz w:val="22"/>
          <w:szCs w:val="22"/>
        </w:rPr>
      </w:pPr>
      <w:r w:rsidRPr="001B5D7D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AAACF60" w14:textId="46AE8090" w:rsidR="00F251D5" w:rsidRPr="006C7C21" w:rsidRDefault="00F251D5" w:rsidP="00F251D5">
      <w:pPr>
        <w:rPr>
          <w:color w:val="000000"/>
          <w:sz w:val="22"/>
          <w:szCs w:val="22"/>
        </w:rPr>
      </w:pPr>
      <w:r w:rsidRPr="001B5D7D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C55C5C">
        <w:rPr>
          <w:sz w:val="22"/>
          <w:szCs w:val="22"/>
        </w:rPr>
        <w:t xml:space="preserve">az </w:t>
      </w:r>
      <w:hyperlink r:id="rId7" w:history="1">
        <w:r w:rsidR="00C55C5C" w:rsidRPr="00E257DB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</w:rPr>
          <w:t>V. függelékben</w:t>
        </w:r>
      </w:hyperlink>
      <w:r w:rsidR="00C55C5C" w:rsidRPr="006644CC">
        <w:rPr>
          <w:position w:val="-1"/>
          <w:sz w:val="22"/>
          <w:szCs w:val="22"/>
        </w:rPr>
        <w:t xml:space="preserve"> </w:t>
      </w:r>
      <w:r w:rsidRPr="00C55C5C">
        <w:rPr>
          <w:sz w:val="22"/>
          <w:szCs w:val="22"/>
          <w:highlight w:val="lightGray"/>
        </w:rPr>
        <w:t>található</w:t>
      </w:r>
      <w:r w:rsidRPr="006C7C21">
        <w:rPr>
          <w:sz w:val="22"/>
          <w:szCs w:val="22"/>
          <w:highlight w:val="lightGray"/>
        </w:rPr>
        <w:t xml:space="preserve"> elérhetőségek valamelyikén keresztül</w:t>
      </w:r>
      <w:r w:rsidRPr="006C7C21">
        <w:rPr>
          <w:color w:val="000000"/>
          <w:sz w:val="22"/>
          <w:szCs w:val="22"/>
        </w:rPr>
        <w:t>.</w:t>
      </w:r>
    </w:p>
    <w:p w14:paraId="45E27ACE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</w:p>
    <w:p w14:paraId="1C8DFE04" w14:textId="77777777" w:rsidR="00F251D5" w:rsidRPr="001B5D7D" w:rsidRDefault="00F251D5" w:rsidP="00F251D5">
      <w:pPr>
        <w:pStyle w:val="NormlWeb"/>
        <w:keepNext/>
        <w:spacing w:before="0" w:beforeAutospacing="0" w:after="0" w:afterAutospacing="0"/>
        <w:ind w:left="567" w:hanging="567"/>
        <w:rPr>
          <w:b/>
          <w:bCs/>
          <w:color w:val="000000"/>
          <w:sz w:val="22"/>
          <w:szCs w:val="22"/>
        </w:rPr>
      </w:pPr>
      <w:r w:rsidRPr="001B5D7D">
        <w:rPr>
          <w:b/>
          <w:color w:val="000000"/>
          <w:sz w:val="22"/>
          <w:szCs w:val="22"/>
        </w:rPr>
        <w:t xml:space="preserve">4.9 </w:t>
      </w:r>
      <w:r w:rsidRPr="001B5D7D">
        <w:rPr>
          <w:b/>
          <w:color w:val="000000"/>
          <w:sz w:val="22"/>
          <w:szCs w:val="22"/>
        </w:rPr>
        <w:tab/>
        <w:t>Túladagolás</w:t>
      </w:r>
    </w:p>
    <w:p w14:paraId="0E569661" w14:textId="77777777" w:rsidR="00F251D5" w:rsidRPr="001B5D7D" w:rsidRDefault="00F251D5" w:rsidP="00F251D5">
      <w:pPr>
        <w:pStyle w:val="Szvegtrzs3"/>
        <w:keepNext/>
        <w:jc w:val="left"/>
        <w:rPr>
          <w:sz w:val="22"/>
          <w:szCs w:val="22"/>
        </w:rPr>
      </w:pPr>
    </w:p>
    <w:p w14:paraId="1A887394" w14:textId="6B144689" w:rsidR="00F251D5" w:rsidRPr="001B5D7D" w:rsidRDefault="00B46CC4" w:rsidP="00F251D5">
      <w:pPr>
        <w:pStyle w:val="Szvegtrzs3"/>
        <w:jc w:val="left"/>
        <w:rPr>
          <w:sz w:val="22"/>
          <w:szCs w:val="22"/>
        </w:rPr>
      </w:pPr>
      <w:r w:rsidRPr="00B46CC4">
        <w:rPr>
          <w:sz w:val="22"/>
          <w:szCs w:val="22"/>
          <w:lang w:val="hu"/>
        </w:rPr>
        <w:t>A nagy dózisú, illetve hosszan tartó fluorouracil-kezelés életet veszélyeztető mérgezéses tüneteket eredményezhet, mint például:</w:t>
      </w:r>
      <w:r>
        <w:rPr>
          <w:sz w:val="22"/>
          <w:szCs w:val="22"/>
          <w:lang w:val="hu"/>
        </w:rPr>
        <w:t xml:space="preserve"> h</w:t>
      </w:r>
      <w:r w:rsidR="00F251D5" w:rsidRPr="001B5D7D">
        <w:rPr>
          <w:sz w:val="22"/>
          <w:szCs w:val="22"/>
        </w:rPr>
        <w:t>ányás, hányinger, hasmenés, gastrointestinalis fekélyesedés és vérzés, csontvelő-depresszió (beleértve: thrombocytopenia, leukopenia, agranulocytosis).</w:t>
      </w:r>
    </w:p>
    <w:p w14:paraId="7D351E08" w14:textId="77777777" w:rsidR="00FE02BC" w:rsidRDefault="00FE02BC" w:rsidP="00F251D5">
      <w:pPr>
        <w:pStyle w:val="Szvegtrzs3"/>
        <w:jc w:val="left"/>
        <w:rPr>
          <w:sz w:val="22"/>
          <w:szCs w:val="22"/>
        </w:rPr>
      </w:pPr>
    </w:p>
    <w:p w14:paraId="7FC6B7F9" w14:textId="2120AA61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A kezelés a készítmény alkalmazásának megszakításából és a szupportív kezelés megkezdéséből áll (lásd 4.4 pont).</w:t>
      </w:r>
    </w:p>
    <w:p w14:paraId="058CC90A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</w:p>
    <w:p w14:paraId="05094899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A fluorouracil-túladagolásnak kitett betegeket legalább 4 hétig hematológiai megfigyelés alatt kell tartani. Rendellenességek kialakulása esetén meg kell tenni a megfelelő terápiás lépéseket.</w:t>
      </w:r>
    </w:p>
    <w:p w14:paraId="5032BF64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</w:p>
    <w:p w14:paraId="45E546CE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</w:p>
    <w:p w14:paraId="07DA20C2" w14:textId="77777777" w:rsidR="00F251D5" w:rsidRPr="001B5D7D" w:rsidRDefault="00F251D5" w:rsidP="00F251D5">
      <w:pPr>
        <w:keepNext/>
        <w:tabs>
          <w:tab w:val="left" w:pos="567"/>
        </w:tabs>
        <w:rPr>
          <w:sz w:val="22"/>
          <w:szCs w:val="22"/>
        </w:rPr>
      </w:pPr>
      <w:r w:rsidRPr="001B5D7D">
        <w:rPr>
          <w:b/>
          <w:sz w:val="22"/>
          <w:szCs w:val="22"/>
        </w:rPr>
        <w:lastRenderedPageBreak/>
        <w:t>5.</w:t>
      </w:r>
      <w:r w:rsidRPr="001B5D7D">
        <w:rPr>
          <w:b/>
          <w:sz w:val="22"/>
          <w:szCs w:val="22"/>
        </w:rPr>
        <w:tab/>
        <w:t>FARMAKOLÓGIAI TULAJDONSÁGOK</w:t>
      </w:r>
    </w:p>
    <w:p w14:paraId="562776BC" w14:textId="77777777" w:rsidR="00F251D5" w:rsidRPr="00DD0BA2" w:rsidRDefault="00F251D5" w:rsidP="00F251D5">
      <w:pPr>
        <w:keepNext/>
        <w:rPr>
          <w:bCs/>
          <w:sz w:val="22"/>
          <w:szCs w:val="22"/>
        </w:rPr>
      </w:pPr>
    </w:p>
    <w:p w14:paraId="4302F658" w14:textId="77777777" w:rsidR="00F251D5" w:rsidRPr="001B5D7D" w:rsidRDefault="00F251D5" w:rsidP="00F251D5">
      <w:pPr>
        <w:pStyle w:val="NormlWeb"/>
        <w:keepNext/>
        <w:tabs>
          <w:tab w:val="left" w:pos="567"/>
        </w:tabs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1B5D7D">
        <w:rPr>
          <w:b/>
          <w:color w:val="000000"/>
          <w:sz w:val="22"/>
          <w:szCs w:val="22"/>
        </w:rPr>
        <w:t>5.1</w:t>
      </w:r>
      <w:r w:rsidRPr="001B5D7D">
        <w:rPr>
          <w:b/>
          <w:color w:val="000000"/>
          <w:sz w:val="22"/>
          <w:szCs w:val="22"/>
        </w:rPr>
        <w:tab/>
        <w:t>Farmakodinámiás tulajdonságok</w:t>
      </w:r>
    </w:p>
    <w:p w14:paraId="63B164F5" w14:textId="77777777" w:rsidR="00F251D5" w:rsidRPr="00DD0BA2" w:rsidRDefault="00F251D5" w:rsidP="00F251D5">
      <w:pPr>
        <w:pStyle w:val="NormlWeb"/>
        <w:keepNext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14:paraId="277B06CA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Farmakoterápiás csoport: Daganatellenes szerek, antimetabolitok; pirimidin</w:t>
      </w:r>
      <w:r w:rsidRPr="001B5D7D">
        <w:rPr>
          <w:sz w:val="22"/>
          <w:szCs w:val="22"/>
        </w:rPr>
        <w:noBreakHyphen/>
        <w:t>analógok,</w:t>
      </w:r>
    </w:p>
    <w:p w14:paraId="35C0298F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ATC kód: L01B C02</w:t>
      </w:r>
    </w:p>
    <w:p w14:paraId="280712F1" w14:textId="77777777" w:rsidR="00F251D5" w:rsidRPr="00DD0BA2" w:rsidRDefault="00F251D5" w:rsidP="00F251D5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326E5FAC" w14:textId="77777777" w:rsidR="00F251D5" w:rsidRPr="001B5D7D" w:rsidRDefault="00F251D5" w:rsidP="00F251D5">
      <w:pPr>
        <w:widowControl w:val="0"/>
        <w:autoSpaceDE w:val="0"/>
        <w:autoSpaceDN w:val="0"/>
        <w:adjustRightInd w:val="0"/>
        <w:rPr>
          <w:sz w:val="22"/>
          <w:szCs w:val="22"/>
          <w:u w:val="single"/>
        </w:rPr>
      </w:pPr>
      <w:r w:rsidRPr="001B5D7D">
        <w:rPr>
          <w:sz w:val="22"/>
          <w:szCs w:val="22"/>
          <w:u w:val="single"/>
        </w:rPr>
        <w:t>Hatásmechanizmus</w:t>
      </w:r>
    </w:p>
    <w:p w14:paraId="4F592532" w14:textId="59468390" w:rsidR="00F251D5" w:rsidRPr="001B5D7D" w:rsidRDefault="00F251D5" w:rsidP="00F251D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A fluorouracil az uracil nevű ribonukleinsav-komponens analógja. Ismereteink szerint a gyógyszer antimetabolitként fejti ki hatását. A sejten belül aktív dezoxinukleotiddá alakulva megakadályozza a DNS szintézisét úgy, hogy gátolja a dezoxiuridilsav timidilsavvá alakulását, amelyet a timidilát</w:t>
      </w:r>
      <w:r w:rsidRPr="001B5D7D">
        <w:rPr>
          <w:sz w:val="22"/>
          <w:szCs w:val="22"/>
        </w:rPr>
        <w:noBreakHyphen/>
        <w:t>szintáz sejtenzim végez el. A</w:t>
      </w:r>
      <w:r w:rsidR="00FA6A3D">
        <w:rPr>
          <w:sz w:val="22"/>
          <w:szCs w:val="22"/>
        </w:rPr>
        <w:t>z RNS-be beépülő</w:t>
      </w:r>
      <w:r w:rsidRPr="001B5D7D">
        <w:rPr>
          <w:sz w:val="22"/>
          <w:szCs w:val="22"/>
        </w:rPr>
        <w:t xml:space="preserve"> fluorouracil befolyásolhatja az RNS szintézisét is.</w:t>
      </w:r>
    </w:p>
    <w:p w14:paraId="29F4D598" w14:textId="77777777" w:rsidR="00F251D5" w:rsidRPr="001B5D7D" w:rsidRDefault="00F251D5" w:rsidP="00F251D5">
      <w:pPr>
        <w:rPr>
          <w:sz w:val="22"/>
          <w:szCs w:val="22"/>
        </w:rPr>
      </w:pPr>
    </w:p>
    <w:p w14:paraId="30B2E74F" w14:textId="77777777" w:rsidR="00F251D5" w:rsidRPr="001B5D7D" w:rsidRDefault="00F251D5" w:rsidP="00DD0BA2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5.2</w:t>
      </w:r>
      <w:r w:rsidRPr="001B5D7D">
        <w:rPr>
          <w:b/>
          <w:sz w:val="22"/>
          <w:szCs w:val="22"/>
        </w:rPr>
        <w:tab/>
        <w:t xml:space="preserve">Farmakokinetikai tulajdonságok </w:t>
      </w:r>
    </w:p>
    <w:p w14:paraId="5A60994A" w14:textId="77777777" w:rsidR="00F251D5" w:rsidRPr="001B5D7D" w:rsidRDefault="00F251D5" w:rsidP="00AB6A62">
      <w:pPr>
        <w:pStyle w:val="Trgymutat1"/>
      </w:pPr>
    </w:p>
    <w:p w14:paraId="02CE6BFB" w14:textId="77777777" w:rsidR="00FA6A3D" w:rsidRPr="00FA6A3D" w:rsidRDefault="00FA6A3D" w:rsidP="00FA6A3D">
      <w:pPr>
        <w:widowControl w:val="0"/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FA6A3D">
        <w:rPr>
          <w:sz w:val="22"/>
          <w:szCs w:val="22"/>
          <w:u w:val="single"/>
          <w:lang w:val="hu" w:eastAsia="en-US"/>
        </w:rPr>
        <w:t>Felszívódás</w:t>
      </w:r>
    </w:p>
    <w:p w14:paraId="44111EE0" w14:textId="03E2F095" w:rsidR="00FA6A3D" w:rsidRPr="00FA6A3D" w:rsidRDefault="00FA6A3D" w:rsidP="00FA6A3D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FA6A3D">
        <w:rPr>
          <w:sz w:val="22"/>
          <w:szCs w:val="22"/>
          <w:lang w:val="hu" w:eastAsia="en-US"/>
        </w:rPr>
        <w:t xml:space="preserve">Gyors intravénás </w:t>
      </w:r>
      <w:r w:rsidR="00807D6D">
        <w:rPr>
          <w:sz w:val="22"/>
          <w:szCs w:val="22"/>
          <w:lang w:val="hu" w:eastAsia="en-US"/>
        </w:rPr>
        <w:t>beadás</w:t>
      </w:r>
      <w:r w:rsidRPr="00FA6A3D">
        <w:rPr>
          <w:sz w:val="22"/>
          <w:szCs w:val="22"/>
          <w:lang w:val="hu" w:eastAsia="en-US"/>
        </w:rPr>
        <w:t>t (10-15 mg/ttkg) követően néhány percen belül kialakul a plazmakoncentráció csúcsértéke (24-125 mikrogramm/ml).</w:t>
      </w:r>
    </w:p>
    <w:p w14:paraId="5FDA5509" w14:textId="77777777" w:rsidR="00FA6A3D" w:rsidRPr="00FA6A3D" w:rsidRDefault="00FA6A3D" w:rsidP="00FA6A3D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366DD957" w14:textId="77777777" w:rsidR="00FA6A3D" w:rsidRDefault="00FA6A3D" w:rsidP="00FA6A3D">
      <w:pPr>
        <w:keepNext/>
        <w:widowControl w:val="0"/>
        <w:autoSpaceDE w:val="0"/>
        <w:autoSpaceDN w:val="0"/>
        <w:adjustRightInd w:val="0"/>
        <w:rPr>
          <w:sz w:val="22"/>
          <w:szCs w:val="22"/>
        </w:rPr>
      </w:pPr>
      <w:r w:rsidRPr="00FA6A3D">
        <w:rPr>
          <w:sz w:val="22"/>
          <w:szCs w:val="22"/>
          <w:u w:val="single"/>
          <w:lang w:val="hu" w:eastAsia="en-US"/>
        </w:rPr>
        <w:t>Eloszlás</w:t>
      </w:r>
      <w:r w:rsidRPr="001B5D7D">
        <w:rPr>
          <w:sz w:val="22"/>
          <w:szCs w:val="22"/>
        </w:rPr>
        <w:t xml:space="preserve"> </w:t>
      </w:r>
    </w:p>
    <w:p w14:paraId="46E592AF" w14:textId="4A799C4C" w:rsidR="00F251D5" w:rsidRPr="001B5D7D" w:rsidRDefault="00F251D5" w:rsidP="00FA6A3D">
      <w:pPr>
        <w:keepNext/>
        <w:widowControl w:val="0"/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Intravénás alkalmazás után a fluorouracil eloszlik a test vízterében és 3 órán belül eltűnik a vérből. Miután nukleotiddá alakul, elsősorban az aktívan osztódó szövetek és daganatok veszik fel. A fluorouracil gyorsan bejut a cerebrospinalis folyadékba és az agyszövetbe.</w:t>
      </w:r>
    </w:p>
    <w:p w14:paraId="70392581" w14:textId="77777777" w:rsidR="00DE6677" w:rsidRPr="001B5D7D" w:rsidRDefault="00DE6677" w:rsidP="00DE6677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1BBBDF4A" w14:textId="77777777" w:rsidR="00E8762F" w:rsidRPr="00AB6A62" w:rsidRDefault="00E8762F" w:rsidP="00DE6677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AB6A62">
        <w:rPr>
          <w:sz w:val="22"/>
          <w:szCs w:val="22"/>
          <w:u w:val="single"/>
          <w:lang w:val="hu"/>
        </w:rPr>
        <w:t>Biotranszformáció</w:t>
      </w:r>
      <w:r w:rsidRPr="00AB6A62">
        <w:rPr>
          <w:sz w:val="20"/>
          <w:szCs w:val="20"/>
        </w:rPr>
        <w:t xml:space="preserve"> </w:t>
      </w:r>
    </w:p>
    <w:p w14:paraId="469C32DF" w14:textId="6B5353D4" w:rsidR="00E8762F" w:rsidRPr="00E8762F" w:rsidRDefault="00DE6677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1B5D7D">
        <w:rPr>
          <w:sz w:val="22"/>
          <w:szCs w:val="22"/>
        </w:rPr>
        <w:t>Az</w:t>
      </w:r>
      <w:r w:rsidR="00F251D5" w:rsidRPr="001B5D7D">
        <w:rPr>
          <w:sz w:val="22"/>
          <w:szCs w:val="22"/>
        </w:rPr>
        <w:t xml:space="preserve"> 5-fluorouracilt a dihidropirimidin-dehidrogenáz enzim (DPD) a kevésbé toxikus dihidro</w:t>
      </w:r>
      <w:r w:rsidR="00F251D5" w:rsidRPr="001B5D7D">
        <w:rPr>
          <w:sz w:val="22"/>
          <w:szCs w:val="22"/>
        </w:rPr>
        <w:noBreakHyphen/>
        <w:t>5</w:t>
      </w:r>
      <w:r w:rsidR="00F251D5" w:rsidRPr="001B5D7D">
        <w:rPr>
          <w:sz w:val="22"/>
          <w:szCs w:val="22"/>
        </w:rPr>
        <w:noBreakHyphen/>
        <w:t>fluorouracilra (FUH2) bontja le. A dihidropirimidináz által a pirimidingyűrű hasításával 5</w:t>
      </w:r>
      <w:r w:rsidR="00F251D5" w:rsidRPr="001B5D7D">
        <w:rPr>
          <w:sz w:val="22"/>
          <w:szCs w:val="22"/>
        </w:rPr>
        <w:noBreakHyphen/>
        <w:t>fluoro-ureido-propionsav (FUPA) keletkezik. Végül a béta-ureido-propionáz elbontja a FUPA-t és alfa-fluoro-béta-alanin (FBAL) keletkezik, mely a vizelettel távozik. A dihidropirimidin-dehidrogenáz (DPD) aktivitása határozza meg a folyamat sebességét. A DPD-hiány fokozhatja az 5-fluorouracil toxicitását (lásd 4.3 és 4.4 pont</w:t>
      </w:r>
      <w:r w:rsidRPr="001B5D7D">
        <w:rPr>
          <w:sz w:val="22"/>
          <w:szCs w:val="22"/>
        </w:rPr>
        <w:t>).</w:t>
      </w:r>
      <w:r w:rsidR="00E8762F" w:rsidRPr="00E8762F">
        <w:rPr>
          <w:sz w:val="22"/>
          <w:szCs w:val="22"/>
          <w:lang w:val="hu" w:eastAsia="en-US"/>
        </w:rPr>
        <w:t xml:space="preserve"> A fluorouracil fő részét gyorsan átalakítja a máj farmakológiailag inaktív metabolitokká.</w:t>
      </w:r>
    </w:p>
    <w:p w14:paraId="74A21716" w14:textId="77777777" w:rsidR="00E8762F" w:rsidRDefault="00E8762F" w:rsidP="00E8762F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" w:eastAsia="en-US"/>
        </w:rPr>
      </w:pPr>
    </w:p>
    <w:p w14:paraId="5B60AF36" w14:textId="5DBB4710" w:rsidR="00DE6677" w:rsidRDefault="00E8762F" w:rsidP="00E8762F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E8762F">
        <w:rPr>
          <w:sz w:val="22"/>
          <w:szCs w:val="22"/>
          <w:u w:val="single"/>
          <w:lang w:val="hu" w:eastAsia="en-US"/>
        </w:rPr>
        <w:t>Elimináció</w:t>
      </w:r>
    </w:p>
    <w:p w14:paraId="40DB3450" w14:textId="509C9A1F" w:rsidR="00DE6677" w:rsidRDefault="00DE6677" w:rsidP="00DE6677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 xml:space="preserve">Intravénás alkalmazás után a plazma eliminációs felezési idő átlagban 16 perc körüli és dózisfüggő. Fluorouracil egyszeri iv. adagjának alkalmazása után a dózis hozzávetőlegesen 15%-a változatlan formában ürül a vizelettel 6 órán belül; ennek a mennyiségnek a 90%-a az első órában ürül. A maradékot leginkább a máj metabolizálja inaktív metabolitokká azokkal a mechanizmusokkal, amelyekkel az uracilt is lebontja a szervezet. </w:t>
      </w:r>
    </w:p>
    <w:p w14:paraId="3F523D2C" w14:textId="77777777" w:rsidR="00DF24D0" w:rsidRPr="001B5D7D" w:rsidRDefault="00DF24D0" w:rsidP="00DE6677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3FA5013B" w14:textId="77777777" w:rsidR="00E8762F" w:rsidRPr="00E8762F" w:rsidRDefault="00E8762F" w:rsidP="00E8762F">
      <w:pPr>
        <w:jc w:val="both"/>
        <w:rPr>
          <w:sz w:val="22"/>
          <w:szCs w:val="22"/>
          <w:u w:val="single"/>
          <w:lang w:eastAsia="en-US"/>
        </w:rPr>
      </w:pPr>
      <w:r w:rsidRPr="00E8762F">
        <w:rPr>
          <w:sz w:val="22"/>
          <w:szCs w:val="22"/>
          <w:u w:val="single"/>
          <w:lang w:val="hu" w:eastAsia="en-US"/>
        </w:rPr>
        <w:t>Különleges betegcsoportok</w:t>
      </w:r>
    </w:p>
    <w:p w14:paraId="3472A7DF" w14:textId="382CFFE3" w:rsidR="00DE6677" w:rsidRDefault="00E8762F" w:rsidP="00E8762F">
      <w:pPr>
        <w:rPr>
          <w:sz w:val="22"/>
          <w:szCs w:val="22"/>
          <w:lang w:val="hu" w:eastAsia="en-US"/>
        </w:rPr>
      </w:pPr>
      <w:r w:rsidRPr="00E8762F">
        <w:rPr>
          <w:sz w:val="22"/>
          <w:szCs w:val="22"/>
          <w:lang w:val="hu" w:eastAsia="en-US"/>
        </w:rPr>
        <w:t>Máj- vagy veseelégtelenségben szenvedő betegeknél csökken a fluorouracil biotranszformációja és/vagy eliminációja, ami dóziscsökkentést tehet szükségessé (lásd 4.2 és 4.4 pont).</w:t>
      </w:r>
    </w:p>
    <w:p w14:paraId="1A1A8F29" w14:textId="77777777" w:rsidR="00E8762F" w:rsidRPr="001B5D7D" w:rsidRDefault="00E8762F" w:rsidP="00E8762F">
      <w:pPr>
        <w:rPr>
          <w:sz w:val="22"/>
          <w:szCs w:val="22"/>
        </w:rPr>
      </w:pPr>
    </w:p>
    <w:p w14:paraId="2D9EE271" w14:textId="77777777" w:rsidR="00F251D5" w:rsidRPr="001B5D7D" w:rsidRDefault="00F251D5" w:rsidP="00DD0BA2">
      <w:pPr>
        <w:keepNext/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5.3</w:t>
      </w:r>
      <w:r w:rsidRPr="001B5D7D">
        <w:rPr>
          <w:b/>
          <w:sz w:val="22"/>
          <w:szCs w:val="22"/>
        </w:rPr>
        <w:tab/>
        <w:t>A preklinikai biztonságossági vizsgálatok eredményei</w:t>
      </w:r>
    </w:p>
    <w:p w14:paraId="4361C704" w14:textId="77777777" w:rsidR="00DE6677" w:rsidRPr="001B5D7D" w:rsidRDefault="00DE6677" w:rsidP="00DD0BA2">
      <w:pPr>
        <w:pStyle w:val="Sarkain2"/>
        <w:keepNext/>
        <w:ind w:left="0"/>
        <w:rPr>
          <w:b w:val="0"/>
          <w:bCs w:val="0"/>
          <w:sz w:val="22"/>
          <w:szCs w:val="22"/>
        </w:rPr>
      </w:pPr>
    </w:p>
    <w:p w14:paraId="6DC839F1" w14:textId="77777777" w:rsidR="00E8762F" w:rsidRPr="00E8762F" w:rsidRDefault="00E8762F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E8762F">
        <w:rPr>
          <w:sz w:val="22"/>
          <w:szCs w:val="22"/>
          <w:lang w:val="hu" w:eastAsia="en-US"/>
        </w:rPr>
        <w:t>A fluorouracil nemkívánatos hatásairól beszámoltak patkánnyal, macskával és kutyával végzett, ismételt adagolású vizsgálatokban. Patkányoknál a toxicitással leginkább érintett szervek a gastrointestinalis traktus, a vér- és nyirokképző rendszer, a máj, a vese és a here voltak. Patkányoknál kardiotoxicitást, macskáknál és kutyáknál pedig neurotoxicitást figyeltek meg.</w:t>
      </w:r>
    </w:p>
    <w:p w14:paraId="3563BC33" w14:textId="77777777" w:rsidR="00E8762F" w:rsidRPr="00E8762F" w:rsidRDefault="00E8762F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4E37CEDD" w14:textId="77777777" w:rsidR="00E8762F" w:rsidRPr="00E8762F" w:rsidRDefault="00E8762F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E8762F">
        <w:rPr>
          <w:sz w:val="22"/>
          <w:szCs w:val="22"/>
          <w:lang w:val="hu" w:eastAsia="en-US"/>
        </w:rPr>
        <w:t xml:space="preserve">A fluorouracil genotoxikusnak bizonyult az </w:t>
      </w:r>
      <w:proofErr w:type="gramStart"/>
      <w:r w:rsidRPr="00E8762F">
        <w:rPr>
          <w:sz w:val="22"/>
          <w:szCs w:val="22"/>
          <w:lang w:val="hu" w:eastAsia="en-US"/>
        </w:rPr>
        <w:t xml:space="preserve">elvégzett </w:t>
      </w:r>
      <w:r w:rsidRPr="00AB6A62">
        <w:rPr>
          <w:i/>
          <w:iCs/>
          <w:sz w:val="22"/>
          <w:szCs w:val="22"/>
          <w:lang w:val="hu" w:eastAsia="en-US"/>
        </w:rPr>
        <w:t>in</w:t>
      </w:r>
      <w:proofErr w:type="gramEnd"/>
      <w:r w:rsidRPr="00AB6A62">
        <w:rPr>
          <w:i/>
          <w:iCs/>
          <w:sz w:val="22"/>
          <w:szCs w:val="22"/>
          <w:lang w:val="hu" w:eastAsia="en-US"/>
        </w:rPr>
        <w:t xml:space="preserve"> vitro</w:t>
      </w:r>
      <w:r w:rsidRPr="00E8762F">
        <w:rPr>
          <w:sz w:val="22"/>
          <w:szCs w:val="22"/>
          <w:lang w:val="hu" w:eastAsia="en-US"/>
        </w:rPr>
        <w:t xml:space="preserve"> és </w:t>
      </w:r>
      <w:r w:rsidRPr="00AB6A62">
        <w:rPr>
          <w:i/>
          <w:iCs/>
          <w:sz w:val="22"/>
          <w:szCs w:val="22"/>
          <w:lang w:val="hu" w:eastAsia="en-US"/>
        </w:rPr>
        <w:t>in vivo</w:t>
      </w:r>
      <w:r w:rsidRPr="00E8762F">
        <w:rPr>
          <w:sz w:val="22"/>
          <w:szCs w:val="22"/>
          <w:lang w:val="hu" w:eastAsia="en-US"/>
        </w:rPr>
        <w:t xml:space="preserve"> vizsgálatok többségében.</w:t>
      </w:r>
    </w:p>
    <w:p w14:paraId="4E07C20F" w14:textId="77777777" w:rsidR="00E8762F" w:rsidRPr="00E8762F" w:rsidRDefault="00E8762F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1AACA81F" w14:textId="77777777" w:rsidR="00E8762F" w:rsidRPr="00E8762F" w:rsidRDefault="00E8762F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E8762F">
        <w:rPr>
          <w:sz w:val="22"/>
          <w:szCs w:val="22"/>
          <w:lang w:val="hu" w:eastAsia="en-US"/>
        </w:rPr>
        <w:t>A nem klinikai adatok alapján nem lehet egyértelmű konklúziót levonni a karcinogenitásra vonatkozóan. Ugyanakkor nem lehet teljes mértékben kizárni a karcinogenitás kockázatát.</w:t>
      </w:r>
    </w:p>
    <w:p w14:paraId="6CBA6B9A" w14:textId="77777777" w:rsidR="00E8762F" w:rsidRPr="00E8762F" w:rsidRDefault="00E8762F" w:rsidP="00E8762F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14:paraId="6369B7BC" w14:textId="35388EA1" w:rsidR="00E8762F" w:rsidRDefault="00E8762F" w:rsidP="00E8762F">
      <w:pPr>
        <w:keepNext/>
        <w:rPr>
          <w:sz w:val="22"/>
          <w:szCs w:val="22"/>
          <w:lang w:val="hu" w:eastAsia="en-US"/>
        </w:rPr>
      </w:pPr>
      <w:r w:rsidRPr="00E8762F">
        <w:rPr>
          <w:sz w:val="22"/>
          <w:szCs w:val="22"/>
          <w:lang w:val="hu" w:eastAsia="en-US"/>
        </w:rPr>
        <w:lastRenderedPageBreak/>
        <w:t>Ismételt adagolású toxicitásvizsgálatok eredményei alapján a fluorouracil befolyásolhatja hím patkányok reproduktív funkcióját és termékenységét. A fluorouracil toxikusnak bizonyult a hím szaporítószervekre, aminek következtében megváltozott a spermatogoniumok kromoszómaelrendeződése, leállt a spermatogoni</w:t>
      </w:r>
      <w:r w:rsidR="002F52A0">
        <w:rPr>
          <w:sz w:val="22"/>
          <w:szCs w:val="22"/>
          <w:lang w:val="hu" w:eastAsia="en-US"/>
        </w:rPr>
        <w:t>ális</w:t>
      </w:r>
      <w:r w:rsidRPr="00E8762F">
        <w:rPr>
          <w:sz w:val="22"/>
          <w:szCs w:val="22"/>
          <w:lang w:val="hu" w:eastAsia="en-US"/>
        </w:rPr>
        <w:t xml:space="preserve"> </w:t>
      </w:r>
      <w:r w:rsidR="002F52A0">
        <w:rPr>
          <w:sz w:val="22"/>
          <w:szCs w:val="22"/>
          <w:lang w:val="hu" w:eastAsia="en-US"/>
        </w:rPr>
        <w:t xml:space="preserve">sejtek </w:t>
      </w:r>
      <w:r w:rsidRPr="00E8762F">
        <w:rPr>
          <w:sz w:val="22"/>
          <w:szCs w:val="22"/>
          <w:lang w:val="hu" w:eastAsia="en-US"/>
        </w:rPr>
        <w:t>differenciálódása és átmeneti infertilitás lépett fel hím patkányoknál. Nőstény patkányoknál ≥25 mg/ttkg (a 12 mg/ttkg</w:t>
      </w:r>
      <w:r w:rsidRPr="00E8762F">
        <w:rPr>
          <w:sz w:val="22"/>
          <w:szCs w:val="22"/>
          <w:lang w:val="hu" w:eastAsia="en-US"/>
        </w:rPr>
        <w:noBreakHyphen/>
        <w:t>os humán dózis 0,33</w:t>
      </w:r>
      <w:r w:rsidRPr="00E8762F">
        <w:rPr>
          <w:sz w:val="22"/>
          <w:szCs w:val="22"/>
          <w:lang w:val="hu" w:eastAsia="en-US"/>
        </w:rPr>
        <w:noBreakHyphen/>
        <w:t>szorosa testfelszín alapján) 3 héten keresztül, hetente alkalmazva csökkentette a nőstények termékenységét, preimplantációs veszteséget eredményezett és növelte a kromoszómaanomáliák számát az embrióknál.</w:t>
      </w:r>
    </w:p>
    <w:p w14:paraId="107D5BA1" w14:textId="77777777" w:rsidR="00E8762F" w:rsidRDefault="00E8762F" w:rsidP="00E8762F">
      <w:pPr>
        <w:keepNext/>
        <w:rPr>
          <w:sz w:val="22"/>
          <w:szCs w:val="22"/>
          <w:lang w:val="hu" w:eastAsia="en-US"/>
        </w:rPr>
      </w:pPr>
    </w:p>
    <w:p w14:paraId="07603EA1" w14:textId="2F6D4D74" w:rsidR="00DE6677" w:rsidRDefault="00E8762F" w:rsidP="00AB6A62">
      <w:pPr>
        <w:keepNext/>
        <w:rPr>
          <w:sz w:val="22"/>
          <w:szCs w:val="22"/>
        </w:rPr>
      </w:pPr>
      <w:r w:rsidRPr="00F73797">
        <w:rPr>
          <w:sz w:val="22"/>
          <w:szCs w:val="22"/>
          <w:lang w:val="hu"/>
        </w:rPr>
        <w:t>A fluorouracil fötotoxikusnak bizonyult egérnél, patkánynál és hörcsögnél. A javasolt maximális</w:t>
      </w:r>
      <w:r w:rsidRPr="00E8762F">
        <w:rPr>
          <w:sz w:val="22"/>
          <w:szCs w:val="22"/>
          <w:lang w:val="hu"/>
        </w:rPr>
        <w:t xml:space="preserve"> </w:t>
      </w:r>
      <w:r w:rsidR="00F73797">
        <w:rPr>
          <w:sz w:val="22"/>
          <w:szCs w:val="22"/>
          <w:lang w:val="hu"/>
        </w:rPr>
        <w:t>humán</w:t>
      </w:r>
      <w:r w:rsidRPr="00E8762F">
        <w:rPr>
          <w:sz w:val="22"/>
          <w:szCs w:val="22"/>
          <w:lang w:val="hu"/>
        </w:rPr>
        <w:t xml:space="preserve"> dózis 1-3-szorosával végzett állatkísérletekben megfigyelt teratogén hatások alapján a fluorouracilt olyan szernek kell tekinteni, amely magzati malformációkat okozhat. A magzati malformációk között előfordult szájpadhasadék, vázrendszeri </w:t>
      </w:r>
      <w:r w:rsidR="00F73797">
        <w:rPr>
          <w:sz w:val="22"/>
          <w:szCs w:val="22"/>
          <w:lang w:val="hu"/>
        </w:rPr>
        <w:t>rendellenességek</w:t>
      </w:r>
      <w:r w:rsidRPr="00E8762F">
        <w:rPr>
          <w:sz w:val="22"/>
          <w:szCs w:val="22"/>
          <w:lang w:val="hu"/>
        </w:rPr>
        <w:t>, valamint végtag- és farokdeformitás. A fluorouracil peri- és postnatalis fejlődésre kifejtett potenciális hatásait nem vizsgálták állatoknál. Patkánynál azonban igazolták, hogy a fluorouracil átjut a méhlepényen és magzati mortalitást okoz.</w:t>
      </w:r>
    </w:p>
    <w:p w14:paraId="124F5193" w14:textId="77777777" w:rsidR="00DE6677" w:rsidRPr="001B5D7D" w:rsidRDefault="00DE6677" w:rsidP="00DE6677">
      <w:pPr>
        <w:rPr>
          <w:sz w:val="22"/>
          <w:szCs w:val="22"/>
        </w:rPr>
      </w:pPr>
    </w:p>
    <w:p w14:paraId="07F938E4" w14:textId="77777777" w:rsidR="00F251D5" w:rsidRPr="001B5D7D" w:rsidRDefault="00F251D5" w:rsidP="00F251D5">
      <w:pPr>
        <w:rPr>
          <w:sz w:val="22"/>
          <w:szCs w:val="22"/>
        </w:rPr>
      </w:pPr>
    </w:p>
    <w:p w14:paraId="7F08370D" w14:textId="77777777" w:rsidR="00F251D5" w:rsidRPr="001B5D7D" w:rsidRDefault="00F251D5" w:rsidP="00F251D5">
      <w:pPr>
        <w:keepNext/>
        <w:tabs>
          <w:tab w:val="left" w:pos="567"/>
        </w:tabs>
        <w:rPr>
          <w:sz w:val="22"/>
          <w:szCs w:val="22"/>
        </w:rPr>
      </w:pPr>
      <w:r w:rsidRPr="001B5D7D">
        <w:rPr>
          <w:b/>
          <w:sz w:val="22"/>
          <w:szCs w:val="22"/>
        </w:rPr>
        <w:t>6.</w:t>
      </w:r>
      <w:r w:rsidRPr="001B5D7D">
        <w:rPr>
          <w:b/>
          <w:sz w:val="22"/>
          <w:szCs w:val="22"/>
        </w:rPr>
        <w:tab/>
        <w:t>GYÓGYSZERÉSZETI JELLEMZŐK</w:t>
      </w:r>
    </w:p>
    <w:p w14:paraId="7934DEB6" w14:textId="77777777" w:rsidR="00F251D5" w:rsidRPr="00DD0BA2" w:rsidRDefault="00F251D5" w:rsidP="00F251D5">
      <w:pPr>
        <w:keepNext/>
        <w:rPr>
          <w:bCs/>
          <w:sz w:val="22"/>
          <w:szCs w:val="22"/>
        </w:rPr>
      </w:pPr>
    </w:p>
    <w:p w14:paraId="7C50E905" w14:textId="77777777" w:rsidR="00F251D5" w:rsidRPr="001B5D7D" w:rsidRDefault="00F251D5" w:rsidP="00F251D5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6.1</w:t>
      </w:r>
      <w:r w:rsidRPr="001B5D7D">
        <w:rPr>
          <w:b/>
          <w:sz w:val="22"/>
          <w:szCs w:val="22"/>
        </w:rPr>
        <w:tab/>
        <w:t xml:space="preserve">Segédanyagok felsorolása </w:t>
      </w:r>
    </w:p>
    <w:p w14:paraId="47085D3A" w14:textId="77777777" w:rsidR="00F251D5" w:rsidRPr="00DD0BA2" w:rsidRDefault="00F251D5" w:rsidP="00F251D5">
      <w:pPr>
        <w:keepNext/>
        <w:autoSpaceDE w:val="0"/>
        <w:autoSpaceDN w:val="0"/>
        <w:adjustRightInd w:val="0"/>
        <w:rPr>
          <w:bCs/>
          <w:sz w:val="22"/>
          <w:szCs w:val="22"/>
        </w:rPr>
      </w:pPr>
    </w:p>
    <w:p w14:paraId="26ED5004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Nátrium-hidroxid (pH beállításához)</w:t>
      </w:r>
    </w:p>
    <w:p w14:paraId="79236A0A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 xml:space="preserve">Sósav (pH beállításához) </w:t>
      </w:r>
    </w:p>
    <w:p w14:paraId="5EA7F180" w14:textId="77777777" w:rsidR="00F251D5" w:rsidRPr="00DD0BA2" w:rsidRDefault="00F251D5" w:rsidP="00F251D5">
      <w:pPr>
        <w:tabs>
          <w:tab w:val="left" w:pos="709"/>
        </w:tabs>
        <w:rPr>
          <w:bCs/>
          <w:sz w:val="22"/>
          <w:szCs w:val="22"/>
        </w:rPr>
      </w:pPr>
      <w:r w:rsidRPr="001B5D7D">
        <w:rPr>
          <w:sz w:val="22"/>
          <w:szCs w:val="22"/>
        </w:rPr>
        <w:t>Injekcióhoz való víz</w:t>
      </w:r>
    </w:p>
    <w:p w14:paraId="6BE89CAE" w14:textId="77777777" w:rsidR="00F251D5" w:rsidRPr="00DD0BA2" w:rsidRDefault="00F251D5" w:rsidP="00F251D5">
      <w:pPr>
        <w:tabs>
          <w:tab w:val="left" w:pos="709"/>
        </w:tabs>
        <w:rPr>
          <w:bCs/>
          <w:sz w:val="22"/>
          <w:szCs w:val="22"/>
        </w:rPr>
      </w:pPr>
    </w:p>
    <w:p w14:paraId="55CFAF9A" w14:textId="77777777" w:rsidR="00F251D5" w:rsidRPr="001B5D7D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6.2</w:t>
      </w:r>
      <w:r w:rsidRPr="001B5D7D">
        <w:rPr>
          <w:b/>
          <w:sz w:val="22"/>
          <w:szCs w:val="22"/>
        </w:rPr>
        <w:tab/>
        <w:t>Inkompatibilitások</w:t>
      </w:r>
    </w:p>
    <w:p w14:paraId="1B909278" w14:textId="77777777" w:rsidR="00F251D5" w:rsidRPr="001B5D7D" w:rsidRDefault="00F251D5" w:rsidP="00F251D5">
      <w:pPr>
        <w:rPr>
          <w:sz w:val="22"/>
          <w:szCs w:val="22"/>
        </w:rPr>
      </w:pPr>
    </w:p>
    <w:p w14:paraId="144FD22C" w14:textId="77777777" w:rsidR="00F251D5" w:rsidRPr="001B5D7D" w:rsidRDefault="00F251D5" w:rsidP="00F251D5">
      <w:pPr>
        <w:rPr>
          <w:strike/>
          <w:sz w:val="22"/>
          <w:szCs w:val="22"/>
        </w:rPr>
      </w:pPr>
      <w:r w:rsidRPr="001B5D7D">
        <w:rPr>
          <w:sz w:val="22"/>
          <w:szCs w:val="22"/>
        </w:rPr>
        <w:t>A fluorouracil nem kompatibilis folinsavval, karboplatinnal, ciszplatinnal, citarabinnal, diazepámmal, doxorubicinnel, droperidollal, filgrasztimmel, gallium-nitráttal, metotrexáttal, metoklopramiddal, morfinnal, ondanszetronnal, parenterális tápszerekkel, vinorelbinnel, egyéb antraciklinekkel.</w:t>
      </w:r>
    </w:p>
    <w:p w14:paraId="553EADE3" w14:textId="77777777" w:rsidR="00F251D5" w:rsidRPr="001B5D7D" w:rsidRDefault="00F251D5" w:rsidP="00F251D5">
      <w:pPr>
        <w:rPr>
          <w:strike/>
          <w:sz w:val="22"/>
          <w:szCs w:val="22"/>
        </w:rPr>
      </w:pPr>
    </w:p>
    <w:p w14:paraId="60A1B761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A formulált oldat lúgos, ezért javasoljuk, hogy kerüljék az elegyítést savas kémhatású gyógyszerekkel vagy készítményekkel.</w:t>
      </w:r>
    </w:p>
    <w:p w14:paraId="3704DCE1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Kompatibilitási vizsgálatok hiányában ezt a gyógyszerkészítményt nem szabad összekeverni más gyógyszerkészítményekkel.</w:t>
      </w:r>
    </w:p>
    <w:p w14:paraId="509A7902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51211053" w14:textId="77777777" w:rsidR="00F251D5" w:rsidRPr="001B5D7D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6.3</w:t>
      </w:r>
      <w:r w:rsidRPr="001B5D7D">
        <w:rPr>
          <w:b/>
          <w:sz w:val="22"/>
          <w:szCs w:val="22"/>
        </w:rPr>
        <w:tab/>
        <w:t xml:space="preserve">Felhasználhatósági időtartam </w:t>
      </w:r>
    </w:p>
    <w:p w14:paraId="7C7C2EBE" w14:textId="77777777" w:rsidR="00F251D5" w:rsidRPr="00DD0BA2" w:rsidRDefault="00F251D5" w:rsidP="00F251D5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431A331F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1B5D7D">
        <w:rPr>
          <w:sz w:val="22"/>
          <w:szCs w:val="22"/>
          <w:u w:val="single"/>
        </w:rPr>
        <w:t>A fel nem nyitott injekciós üveg felhasználhatósága:</w:t>
      </w:r>
    </w:p>
    <w:p w14:paraId="5F280F17" w14:textId="0E9149C5" w:rsidR="00F251D5" w:rsidRPr="001B5D7D" w:rsidRDefault="00E257DB" w:rsidP="00F251D5">
      <w:pPr>
        <w:autoSpaceDE w:val="0"/>
        <w:autoSpaceDN w:val="0"/>
        <w:adjustRightInd w:val="0"/>
        <w:rPr>
          <w:sz w:val="22"/>
          <w:szCs w:val="22"/>
        </w:rPr>
      </w:pPr>
      <w:r w:rsidRPr="00E257DB">
        <w:rPr>
          <w:sz w:val="22"/>
          <w:szCs w:val="22"/>
        </w:rPr>
        <w:t>18 hónap</w:t>
      </w:r>
      <w:r w:rsidR="00F251D5" w:rsidRPr="001B5D7D">
        <w:rPr>
          <w:sz w:val="22"/>
          <w:szCs w:val="22"/>
        </w:rPr>
        <w:t>.</w:t>
      </w:r>
    </w:p>
    <w:p w14:paraId="1ED7D59A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592A2C2B" w14:textId="77777777" w:rsidR="00F251D5" w:rsidRPr="001B5D7D" w:rsidRDefault="00F251D5" w:rsidP="00F251D5">
      <w:pPr>
        <w:keepNext/>
        <w:autoSpaceDE w:val="0"/>
        <w:autoSpaceDN w:val="0"/>
        <w:adjustRightInd w:val="0"/>
        <w:rPr>
          <w:sz w:val="22"/>
          <w:szCs w:val="22"/>
          <w:u w:val="single"/>
        </w:rPr>
      </w:pPr>
      <w:r w:rsidRPr="001B5D7D">
        <w:rPr>
          <w:sz w:val="22"/>
          <w:szCs w:val="22"/>
          <w:u w:val="single"/>
        </w:rPr>
        <w:t>Az injekciós üveg felnyitása után:</w:t>
      </w:r>
    </w:p>
    <w:p w14:paraId="41ED4271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Felnyitás után azonnal felhasználandó.</w:t>
      </w:r>
    </w:p>
    <w:p w14:paraId="461AB434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09800FDA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  <w:u w:val="single"/>
        </w:rPr>
        <w:t>Felhasználhatóság a hígítás után</w:t>
      </w:r>
    </w:p>
    <w:p w14:paraId="10ECD353" w14:textId="77777777" w:rsidR="00F251D5" w:rsidRPr="001B5D7D" w:rsidRDefault="00F251D5" w:rsidP="00F251D5">
      <w:pPr>
        <w:widowControl w:val="0"/>
        <w:rPr>
          <w:sz w:val="22"/>
          <w:szCs w:val="22"/>
        </w:rPr>
      </w:pPr>
      <w:r w:rsidRPr="001B5D7D">
        <w:rPr>
          <w:i/>
          <w:sz w:val="22"/>
          <w:szCs w:val="22"/>
        </w:rPr>
        <w:t>Használatra kész oldat</w:t>
      </w:r>
      <w:r w:rsidRPr="00AB6A62">
        <w:rPr>
          <w:sz w:val="22"/>
          <w:szCs w:val="22"/>
        </w:rPr>
        <w:t>:</w:t>
      </w:r>
      <w:r w:rsidRPr="001B5D7D">
        <w:rPr>
          <w:sz w:val="22"/>
          <w:szCs w:val="22"/>
        </w:rPr>
        <w:t xml:space="preserve"> Az, 5%-os glükózoldattal vagy 0,9%-os nátrium-klorid-injekcióval vagy injekcióhoz való vízzel, 0,98 mg/ml-re hígított, felhasználásra kész fluorouracil oldat kémiai és fizikai stabilitása 25 °C</w:t>
      </w:r>
      <w:r w:rsidRPr="001B5D7D">
        <w:rPr>
          <w:sz w:val="22"/>
          <w:szCs w:val="22"/>
        </w:rPr>
        <w:noBreakHyphen/>
        <w:t>on 24 óráig bizonyított.</w:t>
      </w:r>
    </w:p>
    <w:p w14:paraId="6873C24F" w14:textId="77777777" w:rsidR="00F251D5" w:rsidRPr="001B5D7D" w:rsidRDefault="00F251D5" w:rsidP="00F251D5">
      <w:pPr>
        <w:widowControl w:val="0"/>
        <w:rPr>
          <w:sz w:val="22"/>
          <w:szCs w:val="22"/>
        </w:rPr>
      </w:pPr>
      <w:r w:rsidRPr="001B5D7D">
        <w:rPr>
          <w:sz w:val="22"/>
          <w:szCs w:val="22"/>
        </w:rPr>
        <w:t>Mikrobiológiai szempontból a készítményt azonnal fel kell használni. Amennyiben a készítményt nem használják fel azonnal, annak használatra kész állapotban a felhasználásig történő tárolási idejéért és tárolási körülményeiért a felhasználó felel.</w:t>
      </w:r>
    </w:p>
    <w:p w14:paraId="3BF24284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57EE986B" w14:textId="77777777" w:rsidR="00F251D5" w:rsidRPr="001B5D7D" w:rsidRDefault="00F251D5" w:rsidP="00DD0BA2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6.4</w:t>
      </w:r>
      <w:r w:rsidRPr="001B5D7D">
        <w:rPr>
          <w:b/>
          <w:sz w:val="22"/>
          <w:szCs w:val="22"/>
        </w:rPr>
        <w:tab/>
        <w:t xml:space="preserve">Különleges tárolási előírások </w:t>
      </w:r>
    </w:p>
    <w:p w14:paraId="775A323C" w14:textId="77777777" w:rsidR="00F251D5" w:rsidRPr="001B5D7D" w:rsidRDefault="00F251D5" w:rsidP="00DD0BA2">
      <w:pPr>
        <w:pStyle w:val="Trgymutatcm"/>
        <w:keepNext/>
        <w:jc w:val="left"/>
        <w:rPr>
          <w:sz w:val="22"/>
          <w:szCs w:val="22"/>
        </w:rPr>
      </w:pPr>
    </w:p>
    <w:p w14:paraId="5A46212E" w14:textId="77777777" w:rsidR="00F251D5" w:rsidRPr="001B5D7D" w:rsidRDefault="00F251D5" w:rsidP="00DD0BA2">
      <w:pPr>
        <w:keepNext/>
        <w:rPr>
          <w:sz w:val="22"/>
          <w:szCs w:val="22"/>
        </w:rPr>
      </w:pPr>
      <w:r w:rsidRPr="001B5D7D">
        <w:rPr>
          <w:sz w:val="22"/>
          <w:szCs w:val="22"/>
        </w:rPr>
        <w:t>Legfeljebb 25 °C-on tárolandó. Hűtőszekrényben nem tárolható! Nem fagyasztható!</w:t>
      </w:r>
    </w:p>
    <w:p w14:paraId="4F73C571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A fénytől való védelem érdekében az injekciós üveget tartsa a dobozában.</w:t>
      </w:r>
    </w:p>
    <w:p w14:paraId="276A50D3" w14:textId="77777777" w:rsidR="00F251D5" w:rsidRPr="001B5D7D" w:rsidRDefault="00F251D5" w:rsidP="00F251D5">
      <w:pPr>
        <w:rPr>
          <w:sz w:val="22"/>
          <w:szCs w:val="22"/>
        </w:rPr>
      </w:pPr>
    </w:p>
    <w:p w14:paraId="34AB8126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  <w:r w:rsidRPr="001B5D7D">
        <w:rPr>
          <w:sz w:val="22"/>
          <w:szCs w:val="22"/>
        </w:rPr>
        <w:t xml:space="preserve">A Fluorouracil </w:t>
      </w:r>
      <w:r w:rsidR="00D91707">
        <w:rPr>
          <w:sz w:val="22"/>
          <w:szCs w:val="22"/>
        </w:rPr>
        <w:t xml:space="preserve">Accord </w:t>
      </w:r>
      <w:r w:rsidRPr="001B5D7D">
        <w:rPr>
          <w:sz w:val="22"/>
          <w:szCs w:val="22"/>
        </w:rPr>
        <w:t>injekció pH értéke 8,9 és a gyógyszer maximális stabilitása a 8,6–9,4 pH-tartományban van.</w:t>
      </w:r>
    </w:p>
    <w:p w14:paraId="3286681F" w14:textId="77777777" w:rsidR="00F251D5" w:rsidRPr="001B5D7D" w:rsidRDefault="00F251D5" w:rsidP="00F251D5">
      <w:pPr>
        <w:rPr>
          <w:sz w:val="22"/>
          <w:szCs w:val="22"/>
        </w:rPr>
      </w:pPr>
    </w:p>
    <w:p w14:paraId="69553484" w14:textId="77777777" w:rsidR="00F251D5" w:rsidRPr="001B5D7D" w:rsidRDefault="00F251D5" w:rsidP="00F251D5">
      <w:pPr>
        <w:pStyle w:val="Szvegtrzs3"/>
        <w:autoSpaceDE w:val="0"/>
        <w:autoSpaceDN w:val="0"/>
        <w:adjustRightInd w:val="0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A hígított gyógyszerkészítmény tárolási körülményeit lásd a 6.3 pontban.</w:t>
      </w:r>
    </w:p>
    <w:p w14:paraId="04CCA232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3976FD67" w14:textId="77777777" w:rsidR="00F251D5" w:rsidRPr="00DD0BA2" w:rsidRDefault="00F251D5" w:rsidP="00F251D5">
      <w:pPr>
        <w:rPr>
          <w:sz w:val="22"/>
          <w:szCs w:val="22"/>
        </w:rPr>
      </w:pPr>
      <w:r w:rsidRPr="001B5D7D">
        <w:rPr>
          <w:noProof/>
          <w:sz w:val="22"/>
          <w:szCs w:val="22"/>
        </w:rPr>
        <w:t xml:space="preserve">Ha az alacsony hőmérsékleten való tárolás miatt csapadék képződött, az </w:t>
      </w:r>
      <w:r w:rsidRPr="001B5D7D">
        <w:rPr>
          <w:sz w:val="22"/>
          <w:szCs w:val="22"/>
        </w:rPr>
        <w:t xml:space="preserve">60 °C-ra melegítéssel </w:t>
      </w:r>
      <w:r w:rsidRPr="001B5D7D">
        <w:rPr>
          <w:rStyle w:val="hps"/>
          <w:sz w:val="22"/>
          <w:szCs w:val="22"/>
        </w:rPr>
        <w:t>erőteljes</w:t>
      </w:r>
      <w:r w:rsidRPr="001B5D7D">
        <w:rPr>
          <w:sz w:val="22"/>
          <w:szCs w:val="22"/>
        </w:rPr>
        <w:t xml:space="preserve"> </w:t>
      </w:r>
      <w:r w:rsidRPr="001B5D7D">
        <w:rPr>
          <w:rStyle w:val="hps"/>
          <w:sz w:val="22"/>
          <w:szCs w:val="22"/>
        </w:rPr>
        <w:t>rázás</w:t>
      </w:r>
      <w:r w:rsidRPr="001B5D7D">
        <w:rPr>
          <w:sz w:val="22"/>
          <w:szCs w:val="22"/>
        </w:rPr>
        <w:t xml:space="preserve"> </w:t>
      </w:r>
      <w:r w:rsidRPr="001B5D7D">
        <w:rPr>
          <w:rStyle w:val="hps"/>
          <w:sz w:val="22"/>
          <w:szCs w:val="22"/>
        </w:rPr>
        <w:t>kíséretében</w:t>
      </w:r>
      <w:r w:rsidRPr="001B5D7D">
        <w:rPr>
          <w:sz w:val="22"/>
          <w:szCs w:val="22"/>
        </w:rPr>
        <w:t xml:space="preserve"> feloldandó.</w:t>
      </w:r>
      <w:r w:rsidRPr="001B5D7D">
        <w:rPr>
          <w:color w:val="3366FF"/>
          <w:sz w:val="22"/>
          <w:szCs w:val="22"/>
        </w:rPr>
        <w:t xml:space="preserve"> </w:t>
      </w:r>
      <w:r w:rsidRPr="001B5D7D">
        <w:rPr>
          <w:rStyle w:val="hps"/>
          <w:sz w:val="22"/>
          <w:szCs w:val="22"/>
        </w:rPr>
        <w:t>Hagyjuk</w:t>
      </w:r>
      <w:r w:rsidRPr="001B5D7D">
        <w:rPr>
          <w:sz w:val="22"/>
          <w:szCs w:val="22"/>
        </w:rPr>
        <w:t xml:space="preserve"> </w:t>
      </w:r>
      <w:r w:rsidRPr="001B5D7D">
        <w:rPr>
          <w:rStyle w:val="hps"/>
          <w:sz w:val="22"/>
          <w:szCs w:val="22"/>
        </w:rPr>
        <w:t>testhőmérsékletre hűlni</w:t>
      </w:r>
      <w:r w:rsidRPr="001B5D7D">
        <w:rPr>
          <w:sz w:val="22"/>
          <w:szCs w:val="22"/>
        </w:rPr>
        <w:t xml:space="preserve"> </w:t>
      </w:r>
      <w:r w:rsidRPr="001B5D7D">
        <w:rPr>
          <w:rStyle w:val="hps"/>
          <w:sz w:val="22"/>
          <w:szCs w:val="22"/>
        </w:rPr>
        <w:t>a felhasználás előtt.</w:t>
      </w:r>
    </w:p>
    <w:p w14:paraId="24E43CD3" w14:textId="77777777" w:rsidR="00F251D5" w:rsidRPr="00017438" w:rsidRDefault="00F251D5" w:rsidP="00F251D5">
      <w:pPr>
        <w:tabs>
          <w:tab w:val="left" w:pos="4253"/>
          <w:tab w:val="decimal" w:pos="7938"/>
          <w:tab w:val="left" w:pos="8647"/>
        </w:tabs>
        <w:rPr>
          <w:rStyle w:val="hps"/>
          <w:sz w:val="22"/>
          <w:szCs w:val="22"/>
        </w:rPr>
      </w:pPr>
    </w:p>
    <w:p w14:paraId="62FE2D69" w14:textId="0F412566" w:rsidR="00F251D5" w:rsidRPr="00DD0BA2" w:rsidRDefault="00F251D5" w:rsidP="00F251D5">
      <w:pPr>
        <w:tabs>
          <w:tab w:val="left" w:pos="4253"/>
          <w:tab w:val="decimal" w:pos="7938"/>
          <w:tab w:val="left" w:pos="8647"/>
        </w:tabs>
        <w:rPr>
          <w:sz w:val="22"/>
          <w:szCs w:val="22"/>
        </w:rPr>
      </w:pPr>
      <w:r w:rsidRPr="00017438">
        <w:rPr>
          <w:rStyle w:val="hps"/>
          <w:sz w:val="22"/>
          <w:szCs w:val="22"/>
        </w:rPr>
        <w:t xml:space="preserve">A </w:t>
      </w:r>
      <w:r w:rsidR="00704E5E">
        <w:rPr>
          <w:rStyle w:val="hps"/>
          <w:sz w:val="22"/>
          <w:szCs w:val="22"/>
        </w:rPr>
        <w:t>gyógyszert</w:t>
      </w:r>
      <w:r w:rsidR="00704E5E" w:rsidRPr="00017438">
        <w:rPr>
          <w:rStyle w:val="hps"/>
          <w:sz w:val="22"/>
          <w:szCs w:val="22"/>
        </w:rPr>
        <w:t xml:space="preserve"> </w:t>
      </w:r>
      <w:r w:rsidRPr="00017438">
        <w:rPr>
          <w:rStyle w:val="hps"/>
          <w:sz w:val="22"/>
          <w:szCs w:val="22"/>
        </w:rPr>
        <w:t>meg kell</w:t>
      </w:r>
      <w:r w:rsidRPr="00017438">
        <w:rPr>
          <w:sz w:val="22"/>
          <w:szCs w:val="22"/>
        </w:rPr>
        <w:t xml:space="preserve"> </w:t>
      </w:r>
      <w:r w:rsidRPr="00017438">
        <w:rPr>
          <w:rStyle w:val="hps"/>
          <w:sz w:val="22"/>
          <w:szCs w:val="22"/>
        </w:rPr>
        <w:t>semmisíteni, ha</w:t>
      </w:r>
      <w:r w:rsidRPr="00017438">
        <w:rPr>
          <w:sz w:val="22"/>
          <w:szCs w:val="22"/>
        </w:rPr>
        <w:t xml:space="preserve"> az olda</w:t>
      </w:r>
      <w:r w:rsidRPr="00702F7B">
        <w:rPr>
          <w:sz w:val="22"/>
          <w:szCs w:val="22"/>
        </w:rPr>
        <w:t xml:space="preserve">t </w:t>
      </w:r>
      <w:r w:rsidRPr="000C7401">
        <w:rPr>
          <w:rStyle w:val="hps"/>
          <w:sz w:val="22"/>
          <w:szCs w:val="22"/>
        </w:rPr>
        <w:t>barna vagy</w:t>
      </w:r>
      <w:r w:rsidRPr="000C7401">
        <w:rPr>
          <w:sz w:val="22"/>
          <w:szCs w:val="22"/>
        </w:rPr>
        <w:t xml:space="preserve"> </w:t>
      </w:r>
      <w:r w:rsidRPr="00C754B5">
        <w:rPr>
          <w:rStyle w:val="hps"/>
          <w:sz w:val="22"/>
          <w:szCs w:val="22"/>
        </w:rPr>
        <w:t>sötétsárga</w:t>
      </w:r>
      <w:r w:rsidRPr="00C754B5">
        <w:rPr>
          <w:sz w:val="22"/>
          <w:szCs w:val="22"/>
        </w:rPr>
        <w:t>.</w:t>
      </w:r>
    </w:p>
    <w:p w14:paraId="4C210F47" w14:textId="77777777" w:rsidR="00F251D5" w:rsidRPr="001B5D7D" w:rsidRDefault="00F251D5" w:rsidP="00F251D5">
      <w:pPr>
        <w:rPr>
          <w:sz w:val="22"/>
          <w:szCs w:val="22"/>
        </w:rPr>
      </w:pPr>
    </w:p>
    <w:p w14:paraId="2B53F37B" w14:textId="77777777" w:rsidR="00F251D5" w:rsidRPr="001B5D7D" w:rsidRDefault="00F251D5" w:rsidP="00F251D5">
      <w:pPr>
        <w:tabs>
          <w:tab w:val="left" w:pos="567"/>
        </w:tabs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6.5</w:t>
      </w:r>
      <w:r w:rsidRPr="001B5D7D">
        <w:rPr>
          <w:b/>
          <w:sz w:val="22"/>
          <w:szCs w:val="22"/>
        </w:rPr>
        <w:tab/>
        <w:t xml:space="preserve">Csomagolás típusa és kiszerelése </w:t>
      </w:r>
    </w:p>
    <w:p w14:paraId="4EB0839C" w14:textId="77777777" w:rsidR="00F251D5" w:rsidRPr="001B5D7D" w:rsidRDefault="00F251D5" w:rsidP="00F251D5">
      <w:pPr>
        <w:rPr>
          <w:sz w:val="22"/>
          <w:szCs w:val="22"/>
        </w:rPr>
      </w:pPr>
    </w:p>
    <w:p w14:paraId="64B5CDEA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5 ml-es Fluorouracil Accord 50 mg/ml I. típusú 5 ml-es tiszta injekciós üvegben, gumidugóval lezárva. </w:t>
      </w:r>
    </w:p>
    <w:p w14:paraId="2DA96679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10 ml-es Fluorouracil Accord 50 mg/ml I. típusú 10 ml-es tiszta injekciós üvegben, gumidugóval lezárva. </w:t>
      </w:r>
    </w:p>
    <w:p w14:paraId="56CCE8FA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20 ml-es Fluorouracil Accord 50 mg/ml I. típusú 20 ml-es tiszta injekciós üvegben, gumidugóval lezárva. </w:t>
      </w:r>
    </w:p>
    <w:p w14:paraId="0E12A16E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50 ml-es Fluorouracil Accord 50 mg/ml I. típusú 50 ml-es tiszta injekciós üvegben, gumidugóval lezárva. </w:t>
      </w:r>
    </w:p>
    <w:p w14:paraId="7BC7ADEF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100 ml-es Fluorouracil Accord 50 mg/ml I. típusú 100 ml-es tiszta injekciós üvegben, gumidugóval lezárva.</w:t>
      </w:r>
    </w:p>
    <w:p w14:paraId="366893C6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</w:p>
    <w:p w14:paraId="64F9E6C6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Kiszerelési egységek:</w:t>
      </w:r>
    </w:p>
    <w:p w14:paraId="62171D95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1×5 ml injekciós üveg dobozban.</w:t>
      </w:r>
    </w:p>
    <w:p w14:paraId="2BD6CD4C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1×10 ml injekciós üveg dobozban.</w:t>
      </w:r>
    </w:p>
    <w:p w14:paraId="6A8EB339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1×20 ml injekciós üveg dobozban.</w:t>
      </w:r>
    </w:p>
    <w:p w14:paraId="7F7E9102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1×50 ml injekciós üveg dobozban.</w:t>
      </w:r>
    </w:p>
    <w:p w14:paraId="358DEADF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1×100 ml injekciós üveg dobozban.</w:t>
      </w:r>
    </w:p>
    <w:p w14:paraId="20782B48" w14:textId="77777777" w:rsidR="00F251D5" w:rsidRPr="001B5D7D" w:rsidRDefault="00F251D5" w:rsidP="00F251D5">
      <w:pPr>
        <w:rPr>
          <w:sz w:val="22"/>
          <w:szCs w:val="22"/>
        </w:rPr>
      </w:pPr>
    </w:p>
    <w:p w14:paraId="3D211A76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Nem feltétlenül mindegyik kiszerelés kerül kereskedelmi forgalomba.</w:t>
      </w:r>
    </w:p>
    <w:p w14:paraId="3A00E846" w14:textId="77777777" w:rsidR="00F251D5" w:rsidRPr="001B5D7D" w:rsidRDefault="00F251D5" w:rsidP="00F251D5">
      <w:pPr>
        <w:rPr>
          <w:sz w:val="22"/>
          <w:szCs w:val="22"/>
        </w:rPr>
      </w:pPr>
    </w:p>
    <w:p w14:paraId="4FDBA33D" w14:textId="77777777" w:rsidR="00F251D5" w:rsidRPr="001B5D7D" w:rsidRDefault="00F251D5" w:rsidP="00F251D5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6.6</w:t>
      </w:r>
      <w:r w:rsidRPr="001B5D7D">
        <w:rPr>
          <w:b/>
          <w:sz w:val="22"/>
          <w:szCs w:val="22"/>
        </w:rPr>
        <w:tab/>
        <w:t xml:space="preserve">A megsemmisítésre vonatkozó különleges óvintézkedések </w:t>
      </w:r>
    </w:p>
    <w:p w14:paraId="381244E3" w14:textId="77777777" w:rsidR="00F251D5" w:rsidRPr="00DD0BA2" w:rsidRDefault="00F251D5" w:rsidP="00F251D5">
      <w:pPr>
        <w:pStyle w:val="ReferenceLine"/>
        <w:autoSpaceDE w:val="0"/>
        <w:autoSpaceDN w:val="0"/>
        <w:adjustRightInd w:val="0"/>
        <w:jc w:val="left"/>
        <w:rPr>
          <w:b w:val="0"/>
          <w:sz w:val="22"/>
          <w:szCs w:val="22"/>
        </w:rPr>
      </w:pPr>
    </w:p>
    <w:p w14:paraId="2FE97742" w14:textId="77777777" w:rsidR="00F251D5" w:rsidRPr="001B5D7D" w:rsidRDefault="00F251D5" w:rsidP="00F251D5">
      <w:pPr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 xml:space="preserve">Irányelvek a citotoxicitás kezeléséhez </w:t>
      </w:r>
    </w:p>
    <w:p w14:paraId="2A90DAB2" w14:textId="77777777" w:rsidR="00F251D5" w:rsidRPr="001B5D7D" w:rsidRDefault="00F251D5" w:rsidP="00F251D5">
      <w:pPr>
        <w:rPr>
          <w:sz w:val="22"/>
          <w:szCs w:val="22"/>
        </w:rPr>
      </w:pPr>
    </w:p>
    <w:p w14:paraId="1222AF97" w14:textId="77777777" w:rsidR="00F251D5" w:rsidRPr="001B5D7D" w:rsidRDefault="00F251D5" w:rsidP="00F251D5">
      <w:pPr>
        <w:pStyle w:val="ReferenceLine"/>
        <w:jc w:val="left"/>
        <w:rPr>
          <w:b w:val="0"/>
          <w:sz w:val="22"/>
          <w:szCs w:val="22"/>
        </w:rPr>
      </w:pPr>
      <w:r w:rsidRPr="001B5D7D">
        <w:rPr>
          <w:b w:val="0"/>
          <w:sz w:val="22"/>
          <w:szCs w:val="22"/>
        </w:rPr>
        <w:t>Fluorouracil csak olyan szakorvos által személyesen vagy az ő szoros felügyelete alatt alkalmazható, aki ismeri a daganatellenes kemoterápiás gyógyszerek alkalmazását.</w:t>
      </w:r>
    </w:p>
    <w:p w14:paraId="57B6EDEC" w14:textId="77777777" w:rsidR="00F251D5" w:rsidRPr="001B5D7D" w:rsidRDefault="00F251D5" w:rsidP="00F251D5">
      <w:pPr>
        <w:rPr>
          <w:bCs/>
          <w:sz w:val="22"/>
          <w:szCs w:val="22"/>
        </w:rPr>
      </w:pPr>
    </w:p>
    <w:p w14:paraId="66D955FD" w14:textId="49336BB1" w:rsidR="00F251D5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A Fluorouracil </w:t>
      </w:r>
      <w:r w:rsidR="00D91707">
        <w:rPr>
          <w:sz w:val="22"/>
          <w:szCs w:val="22"/>
        </w:rPr>
        <w:t xml:space="preserve">Accord </w:t>
      </w:r>
      <w:r w:rsidRPr="001B5D7D">
        <w:rPr>
          <w:sz w:val="22"/>
          <w:szCs w:val="22"/>
        </w:rPr>
        <w:t>injekciót kizárólag olyan szakember készítheti elő felhasználáshoz és alkalmazhatja, aki megfelelő képzést kapott a készítmény biztonságos alkalmazására és előkészítésére vonatkozóan.</w:t>
      </w:r>
      <w:r w:rsidR="00D17C4F">
        <w:rPr>
          <w:sz w:val="22"/>
          <w:szCs w:val="22"/>
        </w:rPr>
        <w:t xml:space="preserve"> </w:t>
      </w:r>
      <w:r w:rsidRPr="001B5D7D">
        <w:rPr>
          <w:sz w:val="22"/>
          <w:szCs w:val="22"/>
        </w:rPr>
        <w:t>Az előkészítést kizárólag a citotoxikus szerek kezelésére kijelölt aszeptikus kabinban vagy helyen szabad végezni.</w:t>
      </w:r>
    </w:p>
    <w:p w14:paraId="5880E060" w14:textId="77777777" w:rsidR="00D17C4F" w:rsidRPr="001B5D7D" w:rsidRDefault="00D17C4F" w:rsidP="00F251D5">
      <w:pPr>
        <w:rPr>
          <w:sz w:val="22"/>
          <w:szCs w:val="22"/>
        </w:rPr>
      </w:pPr>
    </w:p>
    <w:p w14:paraId="3AC4BA1B" w14:textId="77777777" w:rsidR="00F251D5" w:rsidRPr="001B5D7D" w:rsidRDefault="00F251D5" w:rsidP="00F251D5">
      <w:pPr>
        <w:pStyle w:val="Szvegtrzs3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Ha kiömlik a készítmény, a személyzet vegyen fel kesztyűt, arcmaszkot, védőszemüveget és egyszer használatos kötényt, és egy erre a célra tartott abszorbens anyag alkalmazásával takarítsa fel a kiömlött készítményt. Ezután a helyszínt meg kell tisztítani és az összes szennyezett anyagot a kiömlött citotoxikus anyagoknak fenntartott zsákba vagy szeméttartóba kell dobni, és meg kell jelölni elégetendőként.</w:t>
      </w:r>
    </w:p>
    <w:p w14:paraId="28246691" w14:textId="77777777" w:rsidR="00F251D5" w:rsidRPr="002F2BAE" w:rsidRDefault="00F251D5" w:rsidP="00F251D5">
      <w:pPr>
        <w:rPr>
          <w:sz w:val="22"/>
          <w:szCs w:val="22"/>
        </w:rPr>
      </w:pPr>
    </w:p>
    <w:p w14:paraId="177F8A77" w14:textId="77777777" w:rsidR="00F251D5" w:rsidRPr="006C7C21" w:rsidRDefault="00F251D5" w:rsidP="00F251D5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  <w:r w:rsidRPr="006C7C21">
        <w:rPr>
          <w:b/>
          <w:sz w:val="22"/>
          <w:szCs w:val="22"/>
        </w:rPr>
        <w:t>Kontamináció</w:t>
      </w:r>
    </w:p>
    <w:p w14:paraId="12EFBD24" w14:textId="77777777" w:rsidR="00F251D5" w:rsidRPr="00800B35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800B35">
        <w:rPr>
          <w:sz w:val="22"/>
          <w:szCs w:val="22"/>
        </w:rPr>
        <w:t>A fluorouracil egy irritáló anyag, bőrrel és nyálkahártyával történő érintkezése kerülendő.</w:t>
      </w:r>
    </w:p>
    <w:p w14:paraId="1237D39D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2BDF718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Ha a készítmény bőrre vagy szembe kerül, az érintett területet le kell mosni nagy mennyiségű vízzel vagy normál sóoldattal. 1%-os hidrokortizon krémmel kezelhető a bőrben jelentkező átmeneti szúró érzés. Orvosi segítséget kell kérni, ha a szem is érintett, vagy ha a beteg belélegzi vagy elfogyasztja a készítményt.</w:t>
      </w:r>
    </w:p>
    <w:p w14:paraId="4CBD0B04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B5C743F" w14:textId="77777777" w:rsidR="00F251D5" w:rsidRPr="001B5D7D" w:rsidRDefault="00F251D5" w:rsidP="00F251D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Elsősegélynyújtás</w:t>
      </w:r>
    </w:p>
    <w:p w14:paraId="74E44C8E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Szem érintettsége esetén: Azonnal öblítse ki vízzel és kérjen orvosi segítséget.</w:t>
      </w:r>
    </w:p>
    <w:p w14:paraId="7559E236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Bőr érintettsége esetén: Mossa le szappanos vízzel és távolítsa el a szennyezett ruhát.</w:t>
      </w:r>
    </w:p>
    <w:p w14:paraId="144830EC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Belégzés, lenyelés esetén: Kérjen orvosi segítséget.</w:t>
      </w:r>
    </w:p>
    <w:p w14:paraId="30899897" w14:textId="77777777" w:rsidR="00F251D5" w:rsidRPr="001B5D7D" w:rsidRDefault="00F251D5" w:rsidP="00F251D5">
      <w:pPr>
        <w:pStyle w:val="ReferenceLine"/>
        <w:jc w:val="left"/>
        <w:rPr>
          <w:b w:val="0"/>
          <w:bCs w:val="0"/>
          <w:sz w:val="22"/>
          <w:szCs w:val="22"/>
        </w:rPr>
      </w:pPr>
    </w:p>
    <w:p w14:paraId="29AF9DF1" w14:textId="77777777" w:rsidR="00F251D5" w:rsidRPr="001B5D7D" w:rsidRDefault="00F251D5" w:rsidP="00F251D5">
      <w:pPr>
        <w:rPr>
          <w:b/>
          <w:sz w:val="22"/>
          <w:szCs w:val="22"/>
        </w:rPr>
      </w:pPr>
      <w:r w:rsidRPr="001B5D7D">
        <w:rPr>
          <w:b/>
          <w:sz w:val="22"/>
          <w:szCs w:val="22"/>
        </w:rPr>
        <w:t>Az előkészítési irányelvek</w:t>
      </w:r>
    </w:p>
    <w:p w14:paraId="514AEC29" w14:textId="77777777" w:rsidR="00F251D5" w:rsidRPr="001B5D7D" w:rsidRDefault="00F251D5" w:rsidP="00F251D5">
      <w:pPr>
        <w:rPr>
          <w:sz w:val="22"/>
          <w:szCs w:val="22"/>
        </w:rPr>
      </w:pPr>
    </w:p>
    <w:p w14:paraId="4252B0EB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a) A kemoterápiás készítményeket kizárólag olyan szakember készítheti elő felhasználáshoz, aki megfelelő képzést kapott a készítmény biztonságos alkalmazására és előkészítésére vonatkozóan.</w:t>
      </w:r>
      <w:r w:rsidRPr="001B5D7D">
        <w:rPr>
          <w:strike/>
          <w:sz w:val="22"/>
          <w:szCs w:val="22"/>
        </w:rPr>
        <w:t xml:space="preserve"> </w:t>
      </w:r>
    </w:p>
    <w:p w14:paraId="795A00E8" w14:textId="77777777" w:rsidR="00F251D5" w:rsidRPr="001B5D7D" w:rsidRDefault="00F251D5" w:rsidP="00F251D5">
      <w:pPr>
        <w:rPr>
          <w:strike/>
          <w:sz w:val="22"/>
          <w:szCs w:val="22"/>
        </w:rPr>
      </w:pPr>
    </w:p>
    <w:p w14:paraId="0CE1C6CF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b) Az olyan műveleteket, mint a por feloldása és fecskendőbe történő felszívása, kizárólag az erre a célra fenntartott helyen szabad elvégezni.</w:t>
      </w:r>
    </w:p>
    <w:p w14:paraId="4C94B6DC" w14:textId="77777777" w:rsidR="00F251D5" w:rsidRPr="001B5D7D" w:rsidRDefault="00F251D5" w:rsidP="00F251D5">
      <w:pPr>
        <w:rPr>
          <w:sz w:val="22"/>
          <w:szCs w:val="22"/>
        </w:rPr>
      </w:pPr>
    </w:p>
    <w:p w14:paraId="0037F097" w14:textId="77777777" w:rsidR="00F251D5" w:rsidRPr="001B5D7D" w:rsidRDefault="00F251D5" w:rsidP="00F251D5">
      <w:pPr>
        <w:pStyle w:val="Szvegtrzs3"/>
        <w:autoSpaceDE w:val="0"/>
        <w:autoSpaceDN w:val="0"/>
        <w:adjustRightInd w:val="0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c) Az ezeket a műveleteket elvégző személyzetnek megfelelő védelmet kell biztosítani különleges munkaruhával, két pár kesztyűvel (az egyik legyen latex, a másik PVC, és a latexet viselje a PVC fölött), amelyek a különböző antineoplasztikus szerek eltérő permeabilitása ellen is védelmet nyújtanak, valamint védőszemüveggel. A citotoxikus készítmények előkészítéséhez és alkalmazásukhoz mindig luer-lock fecskendőket és szerelékeket kell használni.</w:t>
      </w:r>
    </w:p>
    <w:p w14:paraId="7D157C16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3C4650C7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d) Terhes személyzet nem dolgozhat kemoterápiás szerrel.</w:t>
      </w:r>
    </w:p>
    <w:p w14:paraId="7095C306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3C67AA20" w14:textId="77777777" w:rsidR="00F251D5" w:rsidRPr="001B5D7D" w:rsidRDefault="00F251D5" w:rsidP="00F251D5">
      <w:pPr>
        <w:keepNext/>
        <w:keepLines/>
        <w:rPr>
          <w:sz w:val="22"/>
          <w:szCs w:val="22"/>
        </w:rPr>
      </w:pPr>
      <w:r w:rsidRPr="001B5D7D">
        <w:rPr>
          <w:sz w:val="22"/>
          <w:szCs w:val="22"/>
        </w:rPr>
        <w:t>e) A munka megkezdése előtt olvassa el a helyi irányelveket.</w:t>
      </w:r>
    </w:p>
    <w:p w14:paraId="6FF66BA8" w14:textId="77777777" w:rsidR="00F251D5" w:rsidRPr="001B5D7D" w:rsidRDefault="00F251D5" w:rsidP="00F251D5">
      <w:pPr>
        <w:pStyle w:val="ReferenceLine"/>
        <w:jc w:val="left"/>
        <w:rPr>
          <w:b w:val="0"/>
          <w:bCs w:val="0"/>
          <w:sz w:val="22"/>
          <w:szCs w:val="22"/>
        </w:rPr>
      </w:pPr>
    </w:p>
    <w:p w14:paraId="5B8D0AA9" w14:textId="77777777" w:rsidR="00F251D5" w:rsidRPr="001B5D7D" w:rsidRDefault="00F251D5" w:rsidP="00F251D5">
      <w:pPr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Megsemmisítés</w:t>
      </w:r>
    </w:p>
    <w:p w14:paraId="4CDECE55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fecskendőket, tartályokat, abszorbeáló anyagokat, oldatokat és az egyéb szennyezett anyagokat vastag műanyag zsákba vagy más, át nem lyukadó tartályba kell helyezni, és citotoxikus hulladékként el kell égetni legalább 700 °C hőmérsékleten.</w:t>
      </w:r>
    </w:p>
    <w:p w14:paraId="1A9E8406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E3B984B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A kémiai inaktiválást 24 óra alatt lehet elérni 5%-os nátrium-hipoklorittal.</w:t>
      </w:r>
    </w:p>
    <w:p w14:paraId="5F4E6556" w14:textId="77777777" w:rsidR="00F251D5" w:rsidRPr="001B5D7D" w:rsidRDefault="00F251D5" w:rsidP="00F251D5">
      <w:pPr>
        <w:rPr>
          <w:b/>
          <w:sz w:val="22"/>
          <w:szCs w:val="22"/>
        </w:rPr>
      </w:pPr>
    </w:p>
    <w:p w14:paraId="5D928A41" w14:textId="77777777" w:rsidR="00F251D5" w:rsidRPr="001B5D7D" w:rsidRDefault="00F251D5" w:rsidP="00F251D5">
      <w:pPr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Az alkalmazásra vonatkozó utasítás</w:t>
      </w:r>
    </w:p>
    <w:p w14:paraId="59CEBCAC" w14:textId="77777777" w:rsidR="00F251D5" w:rsidRPr="001B5D7D" w:rsidRDefault="00F251D5" w:rsidP="00F251D5">
      <w:pPr>
        <w:rPr>
          <w:b/>
          <w:bCs/>
          <w:sz w:val="22"/>
          <w:szCs w:val="22"/>
        </w:rPr>
      </w:pPr>
    </w:p>
    <w:p w14:paraId="6B290340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Diluensek</w:t>
      </w:r>
    </w:p>
    <w:p w14:paraId="1F6E9641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Az 5%-os glükóz-oldattal vagy 0,9%-os nátrium-klorid injekcióval vagy injekcióhoz való vízzel 0,98</w:t>
      </w:r>
      <w:r w:rsidR="00D91707">
        <w:rPr>
          <w:sz w:val="22"/>
          <w:szCs w:val="22"/>
        </w:rPr>
        <w:t> </w:t>
      </w:r>
      <w:r w:rsidRPr="001B5D7D">
        <w:rPr>
          <w:sz w:val="22"/>
          <w:szCs w:val="22"/>
        </w:rPr>
        <w:t>mg/ml-re higított felhasználásra kész fluorouracil oldat kémiai és fizikai stabilitása 25 °C-on 24</w:t>
      </w:r>
      <w:r w:rsidR="00D91707">
        <w:rPr>
          <w:sz w:val="22"/>
          <w:szCs w:val="22"/>
        </w:rPr>
        <w:t> </w:t>
      </w:r>
      <w:r w:rsidRPr="001B5D7D">
        <w:rPr>
          <w:sz w:val="22"/>
          <w:szCs w:val="22"/>
        </w:rPr>
        <w:t>óráig bizonyított</w:t>
      </w:r>
      <w:r w:rsidR="00D91707">
        <w:rPr>
          <w:sz w:val="22"/>
          <w:szCs w:val="22"/>
        </w:rPr>
        <w:t>.</w:t>
      </w:r>
    </w:p>
    <w:p w14:paraId="7086F395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43B8F46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  <w:r w:rsidRPr="001B5D7D">
        <w:rPr>
          <w:sz w:val="22"/>
          <w:szCs w:val="22"/>
        </w:rPr>
        <w:t>Mikrobiológiai szempontból a készítményt azonnal fel kell használni. Amennyiben a készítményt nem használják fel azonnal, annak használatra kész állapotban a felhasználásig történő tárolási idejéért és tárolási körülményeiért a felhasználó felel.</w:t>
      </w:r>
    </w:p>
    <w:p w14:paraId="7BF41285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5D776AF5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>Ha a készítmény feloldva barna vagy sötétsárga, ki kell dobni.</w:t>
      </w:r>
    </w:p>
    <w:p w14:paraId="494F0F8C" w14:textId="77777777" w:rsidR="00F251D5" w:rsidRPr="001B5D7D" w:rsidRDefault="00F251D5" w:rsidP="00F251D5">
      <w:pPr>
        <w:autoSpaceDE w:val="0"/>
        <w:autoSpaceDN w:val="0"/>
        <w:adjustRightInd w:val="0"/>
        <w:rPr>
          <w:sz w:val="22"/>
          <w:szCs w:val="22"/>
        </w:rPr>
      </w:pPr>
    </w:p>
    <w:p w14:paraId="79143FD4" w14:textId="77777777" w:rsidR="00F251D5" w:rsidRPr="001B5D7D" w:rsidRDefault="00F251D5" w:rsidP="00F251D5">
      <w:pPr>
        <w:pStyle w:val="NormlWeb"/>
        <w:spacing w:before="0" w:beforeAutospacing="0" w:after="0" w:afterAutospacing="0"/>
        <w:rPr>
          <w:sz w:val="22"/>
          <w:szCs w:val="22"/>
        </w:rPr>
      </w:pPr>
      <w:r w:rsidRPr="001B5D7D">
        <w:rPr>
          <w:sz w:val="22"/>
          <w:szCs w:val="22"/>
        </w:rPr>
        <w:t>A maradék oldatot meg kell semmisíteni az alkalmazás után; nem használható fel többadagos készítményekbe.</w:t>
      </w:r>
    </w:p>
    <w:p w14:paraId="18E19D48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sz w:val="22"/>
          <w:szCs w:val="22"/>
        </w:rPr>
      </w:pPr>
    </w:p>
    <w:p w14:paraId="225B90F9" w14:textId="77777777" w:rsidR="00F251D5" w:rsidRPr="006C7C21" w:rsidRDefault="00F251D5" w:rsidP="00F251D5">
      <w:pPr>
        <w:rPr>
          <w:sz w:val="22"/>
          <w:szCs w:val="22"/>
        </w:rPr>
      </w:pPr>
      <w:r w:rsidRPr="001B5D7D">
        <w:rPr>
          <w:b/>
          <w:bCs/>
          <w:sz w:val="22"/>
          <w:szCs w:val="22"/>
        </w:rPr>
        <w:t>Megjegyzés</w:t>
      </w:r>
      <w:r w:rsidRPr="001B5D7D">
        <w:rPr>
          <w:sz w:val="22"/>
          <w:szCs w:val="22"/>
        </w:rPr>
        <w:t xml:space="preserve">: </w:t>
      </w:r>
      <w:r w:rsidRPr="006C7C21">
        <w:rPr>
          <w:sz w:val="22"/>
          <w:szCs w:val="22"/>
        </w:rPr>
        <w:sym w:font="Wingdings" w:char="F058"/>
      </w:r>
      <w:r w:rsidRPr="006C7C21">
        <w:rPr>
          <w:sz w:val="22"/>
          <w:szCs w:val="22"/>
        </w:rPr>
        <w:sym w:font="Wingdings" w:char="F058"/>
      </w:r>
      <w:r w:rsidRPr="006C7C21">
        <w:rPr>
          <w:sz w:val="22"/>
          <w:szCs w:val="22"/>
        </w:rPr>
        <w:t xml:space="preserve"> (</w:t>
      </w:r>
      <w:proofErr w:type="gramStart"/>
      <w:r w:rsidRPr="006C7C21">
        <w:rPr>
          <w:sz w:val="22"/>
          <w:szCs w:val="22"/>
        </w:rPr>
        <w:t>két keresztes</w:t>
      </w:r>
      <w:proofErr w:type="gramEnd"/>
      <w:r w:rsidRPr="006C7C21">
        <w:rPr>
          <w:sz w:val="22"/>
          <w:szCs w:val="22"/>
        </w:rPr>
        <w:t xml:space="preserve">) </w:t>
      </w:r>
    </w:p>
    <w:p w14:paraId="2DD574AE" w14:textId="77777777" w:rsidR="00F251D5" w:rsidRPr="00800B35" w:rsidRDefault="00F251D5" w:rsidP="00F251D5">
      <w:pPr>
        <w:rPr>
          <w:b/>
          <w:sz w:val="22"/>
          <w:szCs w:val="22"/>
        </w:rPr>
      </w:pPr>
      <w:r w:rsidRPr="00800B35">
        <w:rPr>
          <w:sz w:val="22"/>
          <w:szCs w:val="22"/>
        </w:rPr>
        <w:t xml:space="preserve">Osztályozás: </w:t>
      </w:r>
      <w:proofErr w:type="gramStart"/>
      <w:r w:rsidRPr="00800B35">
        <w:rPr>
          <w:b/>
          <w:sz w:val="22"/>
          <w:szCs w:val="22"/>
        </w:rPr>
        <w:t>II./</w:t>
      </w:r>
      <w:proofErr w:type="gramEnd"/>
      <w:r w:rsidRPr="00800B35">
        <w:rPr>
          <w:b/>
          <w:sz w:val="22"/>
          <w:szCs w:val="22"/>
        </w:rPr>
        <w:t>3 csoport</w:t>
      </w:r>
    </w:p>
    <w:p w14:paraId="70E9F0FA" w14:textId="77777777" w:rsidR="00F251D5" w:rsidRPr="001B5D7D" w:rsidRDefault="00F251D5" w:rsidP="00F251D5">
      <w:pPr>
        <w:rPr>
          <w:sz w:val="22"/>
          <w:szCs w:val="22"/>
        </w:rPr>
      </w:pPr>
      <w:r w:rsidRPr="001B5D7D">
        <w:rPr>
          <w:sz w:val="22"/>
          <w:szCs w:val="22"/>
        </w:rPr>
        <w:t xml:space="preserve">Korlátozott érvényű orvosi rendelvényhez kötött, az egészségügyről szóló 1997. évi CLIV. </w:t>
      </w:r>
      <w:r w:rsidR="00017438">
        <w:rPr>
          <w:sz w:val="22"/>
          <w:szCs w:val="22"/>
        </w:rPr>
        <w:t>t</w:t>
      </w:r>
      <w:r w:rsidRPr="001B5D7D">
        <w:rPr>
          <w:sz w:val="22"/>
          <w:szCs w:val="22"/>
        </w:rPr>
        <w:t>örvény 3. §-ának ga) pontja szerinti rendelőintézeti járóbeteg-szakellátást vagy fekvőbeteg-szakellátást nyújtó szolgáltatók által biztosított körülmények között alkalmazható gyógyszer</w:t>
      </w:r>
      <w:r w:rsidRPr="001B5D7D">
        <w:rPr>
          <w:bCs/>
          <w:sz w:val="22"/>
          <w:szCs w:val="22"/>
        </w:rPr>
        <w:t xml:space="preserve"> (I).</w:t>
      </w:r>
    </w:p>
    <w:p w14:paraId="59CEA8BF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sz w:val="22"/>
          <w:szCs w:val="22"/>
        </w:rPr>
      </w:pPr>
    </w:p>
    <w:p w14:paraId="682C8006" w14:textId="77777777" w:rsidR="00F251D5" w:rsidRPr="00DD0BA2" w:rsidRDefault="00F251D5" w:rsidP="00F251D5">
      <w:pPr>
        <w:pStyle w:val="NormlWeb"/>
        <w:spacing w:before="0" w:beforeAutospacing="0" w:after="0" w:afterAutospacing="0"/>
        <w:rPr>
          <w:bCs/>
          <w:sz w:val="22"/>
          <w:szCs w:val="22"/>
        </w:rPr>
      </w:pPr>
    </w:p>
    <w:p w14:paraId="0E3861D1" w14:textId="77777777" w:rsidR="00F251D5" w:rsidRPr="001B5D7D" w:rsidRDefault="00F251D5" w:rsidP="00E257DB">
      <w:pPr>
        <w:pStyle w:val="NormlWeb"/>
        <w:keepNext/>
        <w:spacing w:before="0" w:beforeAutospacing="0" w:after="0" w:afterAutospacing="0"/>
        <w:ind w:left="567" w:hanging="567"/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lastRenderedPageBreak/>
        <w:t>7.</w:t>
      </w:r>
      <w:r w:rsidRPr="001B5D7D">
        <w:rPr>
          <w:b/>
          <w:sz w:val="22"/>
          <w:szCs w:val="22"/>
        </w:rPr>
        <w:tab/>
        <w:t>A FORGALOMBA HOZATALI ENGEDÉLY JOGOSULTJA</w:t>
      </w:r>
    </w:p>
    <w:p w14:paraId="240D372A" w14:textId="77777777" w:rsidR="00F251D5" w:rsidRPr="001B5D7D" w:rsidRDefault="00F251D5" w:rsidP="00E257DB">
      <w:pPr>
        <w:pStyle w:val="Trgymutat1"/>
        <w:keepNext/>
      </w:pPr>
    </w:p>
    <w:p w14:paraId="2A0A0E7E" w14:textId="77777777" w:rsidR="00F251D5" w:rsidRPr="001B5D7D" w:rsidRDefault="00F251D5" w:rsidP="00E257DB">
      <w:pPr>
        <w:pStyle w:val="Textbody"/>
        <w:keepNext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 w:rsidRPr="001B5D7D">
        <w:rPr>
          <w:rFonts w:ascii="Times New Roman" w:hAnsi="Times New Roman"/>
          <w:color w:val="212121"/>
          <w:sz w:val="22"/>
          <w:szCs w:val="22"/>
          <w:lang w:val="hu-HU"/>
        </w:rPr>
        <w:t>Accord Healthcare Polska Sp. z o.o.,</w:t>
      </w:r>
    </w:p>
    <w:p w14:paraId="5EDAAF25" w14:textId="77777777" w:rsidR="00F251D5" w:rsidRPr="001B5D7D" w:rsidRDefault="00F251D5" w:rsidP="00E257DB">
      <w:pPr>
        <w:pStyle w:val="Textbody"/>
        <w:keepNext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 w:rsidRPr="001B5D7D">
        <w:rPr>
          <w:rFonts w:ascii="Times New Roman" w:hAnsi="Times New Roman"/>
          <w:color w:val="212121"/>
          <w:sz w:val="22"/>
          <w:szCs w:val="22"/>
          <w:lang w:val="hu-HU"/>
        </w:rPr>
        <w:t>ul. Taśmowa 7,</w:t>
      </w:r>
    </w:p>
    <w:p w14:paraId="067E0133" w14:textId="77777777" w:rsidR="00F251D5" w:rsidRPr="001B5D7D" w:rsidRDefault="00F251D5" w:rsidP="00E257DB">
      <w:pPr>
        <w:pStyle w:val="Textbody"/>
        <w:keepNext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 w:rsidRPr="001B5D7D">
        <w:rPr>
          <w:rFonts w:ascii="Times New Roman" w:hAnsi="Times New Roman"/>
          <w:color w:val="212121"/>
          <w:sz w:val="22"/>
          <w:szCs w:val="22"/>
          <w:lang w:val="hu-HU"/>
        </w:rPr>
        <w:t>02-677 Varsó,</w:t>
      </w:r>
    </w:p>
    <w:p w14:paraId="2B00C471" w14:textId="77777777" w:rsidR="00F251D5" w:rsidRPr="001B5D7D" w:rsidRDefault="00F251D5" w:rsidP="00E257DB">
      <w:pPr>
        <w:pStyle w:val="Trgymutatcm"/>
        <w:keepNext/>
        <w:jc w:val="left"/>
        <w:rPr>
          <w:sz w:val="22"/>
          <w:szCs w:val="22"/>
        </w:rPr>
      </w:pPr>
      <w:r w:rsidRPr="001B5D7D">
        <w:rPr>
          <w:color w:val="212121"/>
          <w:sz w:val="22"/>
          <w:szCs w:val="22"/>
        </w:rPr>
        <w:t>Lengyelország</w:t>
      </w:r>
    </w:p>
    <w:p w14:paraId="577CDE65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6C6C9D22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1DD51664" w14:textId="77777777" w:rsidR="00F251D5" w:rsidRPr="001B5D7D" w:rsidRDefault="00F251D5" w:rsidP="00AB6A62">
      <w:pPr>
        <w:keepNext/>
        <w:tabs>
          <w:tab w:val="left" w:pos="567"/>
        </w:tabs>
        <w:rPr>
          <w:sz w:val="22"/>
          <w:szCs w:val="22"/>
        </w:rPr>
      </w:pPr>
      <w:r w:rsidRPr="001B5D7D">
        <w:rPr>
          <w:b/>
          <w:sz w:val="22"/>
          <w:szCs w:val="22"/>
        </w:rPr>
        <w:t xml:space="preserve">8. </w:t>
      </w:r>
      <w:r w:rsidRPr="001B5D7D">
        <w:rPr>
          <w:b/>
          <w:sz w:val="22"/>
          <w:szCs w:val="22"/>
        </w:rPr>
        <w:tab/>
        <w:t>A FORGALOMBA HOZATALI ENGEDÉLY SZÁMA</w:t>
      </w:r>
    </w:p>
    <w:p w14:paraId="12C8C9AE" w14:textId="77777777" w:rsidR="00F251D5" w:rsidRPr="00DD0BA2" w:rsidRDefault="00F251D5" w:rsidP="00AB6A62">
      <w:pPr>
        <w:keepNext/>
        <w:autoSpaceDE w:val="0"/>
        <w:autoSpaceDN w:val="0"/>
        <w:adjustRightInd w:val="0"/>
        <w:rPr>
          <w:bCs/>
          <w:sz w:val="22"/>
          <w:szCs w:val="22"/>
        </w:rPr>
      </w:pPr>
    </w:p>
    <w:p w14:paraId="3BEDD966" w14:textId="77777777" w:rsidR="00F251D5" w:rsidRPr="001B5D7D" w:rsidRDefault="00F251D5" w:rsidP="00AB6A62">
      <w:pPr>
        <w:pStyle w:val="Szvegtrzsbehzssal2"/>
        <w:keepNext/>
        <w:tabs>
          <w:tab w:val="left" w:pos="2268"/>
          <w:tab w:val="left" w:pos="3402"/>
        </w:tabs>
        <w:ind w:left="0" w:right="29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OGYI-T-22502/01</w:t>
      </w:r>
      <w:r w:rsidRPr="001B5D7D">
        <w:rPr>
          <w:sz w:val="22"/>
          <w:szCs w:val="22"/>
        </w:rPr>
        <w:tab/>
        <w:t>1×5 ml</w:t>
      </w:r>
      <w:r w:rsidR="000921B3">
        <w:rPr>
          <w:sz w:val="22"/>
          <w:szCs w:val="22"/>
        </w:rPr>
        <w:tab/>
      </w:r>
      <w:r w:rsidRPr="001B5D7D">
        <w:rPr>
          <w:sz w:val="22"/>
          <w:szCs w:val="22"/>
        </w:rPr>
        <w:t xml:space="preserve">injekciós üveg </w:t>
      </w:r>
    </w:p>
    <w:p w14:paraId="2EB9F8F2" w14:textId="77777777" w:rsidR="00F251D5" w:rsidRPr="001B5D7D" w:rsidRDefault="00F251D5" w:rsidP="000921B3">
      <w:pPr>
        <w:pStyle w:val="Szvegtrzsbehzssal2"/>
        <w:tabs>
          <w:tab w:val="left" w:pos="2268"/>
          <w:tab w:val="left" w:pos="3402"/>
        </w:tabs>
        <w:ind w:left="0" w:right="29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OGYI-T-22502/02</w:t>
      </w:r>
      <w:r w:rsidRPr="001B5D7D">
        <w:rPr>
          <w:sz w:val="22"/>
          <w:szCs w:val="22"/>
        </w:rPr>
        <w:tab/>
        <w:t>1×10 ml</w:t>
      </w:r>
      <w:r w:rsidR="000921B3">
        <w:rPr>
          <w:sz w:val="22"/>
          <w:szCs w:val="22"/>
        </w:rPr>
        <w:tab/>
      </w:r>
      <w:r w:rsidRPr="001B5D7D">
        <w:rPr>
          <w:sz w:val="22"/>
          <w:szCs w:val="22"/>
        </w:rPr>
        <w:t>injekciós üveg</w:t>
      </w:r>
    </w:p>
    <w:p w14:paraId="2F901C0E" w14:textId="77777777" w:rsidR="00F251D5" w:rsidRPr="001B5D7D" w:rsidRDefault="00F251D5" w:rsidP="000921B3">
      <w:pPr>
        <w:pStyle w:val="Szvegtrzsbehzssal2"/>
        <w:tabs>
          <w:tab w:val="left" w:pos="2268"/>
          <w:tab w:val="left" w:pos="3402"/>
        </w:tabs>
        <w:ind w:left="0" w:right="29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OGYI-T-22502/03</w:t>
      </w:r>
      <w:r w:rsidRPr="001B5D7D">
        <w:rPr>
          <w:sz w:val="22"/>
          <w:szCs w:val="22"/>
        </w:rPr>
        <w:tab/>
        <w:t>1×20 ml</w:t>
      </w:r>
      <w:r w:rsidR="000921B3">
        <w:rPr>
          <w:sz w:val="22"/>
          <w:szCs w:val="22"/>
        </w:rPr>
        <w:tab/>
      </w:r>
      <w:r w:rsidRPr="001B5D7D">
        <w:rPr>
          <w:sz w:val="22"/>
          <w:szCs w:val="22"/>
        </w:rPr>
        <w:t xml:space="preserve">injekciós üveg </w:t>
      </w:r>
    </w:p>
    <w:p w14:paraId="46910B25" w14:textId="77777777" w:rsidR="00F251D5" w:rsidRPr="001B5D7D" w:rsidRDefault="00F251D5" w:rsidP="000921B3">
      <w:pPr>
        <w:pStyle w:val="Szvegtrzsbehzssal2"/>
        <w:tabs>
          <w:tab w:val="left" w:pos="2268"/>
          <w:tab w:val="left" w:pos="3402"/>
        </w:tabs>
        <w:ind w:left="0" w:right="29"/>
        <w:jc w:val="left"/>
        <w:rPr>
          <w:sz w:val="22"/>
          <w:szCs w:val="22"/>
        </w:rPr>
      </w:pPr>
      <w:r w:rsidRPr="001B5D7D">
        <w:rPr>
          <w:sz w:val="22"/>
          <w:szCs w:val="22"/>
        </w:rPr>
        <w:t>OGYI-T-22502/04</w:t>
      </w:r>
      <w:r w:rsidRPr="001B5D7D">
        <w:rPr>
          <w:sz w:val="22"/>
          <w:szCs w:val="22"/>
        </w:rPr>
        <w:tab/>
        <w:t>1×50 ml</w:t>
      </w:r>
      <w:r w:rsidR="000921B3">
        <w:rPr>
          <w:sz w:val="22"/>
          <w:szCs w:val="22"/>
        </w:rPr>
        <w:tab/>
      </w:r>
      <w:r w:rsidRPr="001B5D7D">
        <w:rPr>
          <w:sz w:val="22"/>
          <w:szCs w:val="22"/>
        </w:rPr>
        <w:t xml:space="preserve">injekciós üveg </w:t>
      </w:r>
    </w:p>
    <w:p w14:paraId="45655DE9" w14:textId="77777777" w:rsidR="00F251D5" w:rsidRPr="001B5D7D" w:rsidRDefault="00F251D5" w:rsidP="000921B3">
      <w:pPr>
        <w:tabs>
          <w:tab w:val="left" w:pos="2268"/>
          <w:tab w:val="left" w:pos="3402"/>
        </w:tabs>
        <w:rPr>
          <w:sz w:val="22"/>
          <w:szCs w:val="22"/>
        </w:rPr>
      </w:pPr>
      <w:r w:rsidRPr="001B5D7D">
        <w:rPr>
          <w:sz w:val="22"/>
          <w:szCs w:val="22"/>
        </w:rPr>
        <w:t>OGYI-T-22502/05</w:t>
      </w:r>
      <w:r w:rsidRPr="001B5D7D">
        <w:rPr>
          <w:sz w:val="22"/>
          <w:szCs w:val="22"/>
        </w:rPr>
        <w:tab/>
        <w:t>1×100 ml</w:t>
      </w:r>
      <w:r w:rsidR="000921B3">
        <w:rPr>
          <w:sz w:val="22"/>
          <w:szCs w:val="22"/>
        </w:rPr>
        <w:tab/>
      </w:r>
      <w:r w:rsidRPr="001B5D7D">
        <w:rPr>
          <w:sz w:val="22"/>
          <w:szCs w:val="22"/>
        </w:rPr>
        <w:t xml:space="preserve">injekciós üveg </w:t>
      </w:r>
    </w:p>
    <w:p w14:paraId="5CD09AD2" w14:textId="77777777" w:rsidR="00F251D5" w:rsidRPr="001B5D7D" w:rsidRDefault="00F251D5" w:rsidP="00F251D5">
      <w:pPr>
        <w:rPr>
          <w:sz w:val="22"/>
          <w:szCs w:val="22"/>
        </w:rPr>
      </w:pPr>
    </w:p>
    <w:p w14:paraId="49D048B3" w14:textId="77777777" w:rsidR="00F251D5" w:rsidRPr="001B5D7D" w:rsidRDefault="00F251D5" w:rsidP="00F251D5">
      <w:pPr>
        <w:rPr>
          <w:sz w:val="22"/>
          <w:szCs w:val="22"/>
        </w:rPr>
      </w:pPr>
    </w:p>
    <w:p w14:paraId="5681CFC5" w14:textId="77777777" w:rsidR="00F251D5" w:rsidRPr="001B5D7D" w:rsidRDefault="00F251D5" w:rsidP="00F251D5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1B5D7D">
        <w:rPr>
          <w:b/>
          <w:sz w:val="22"/>
          <w:szCs w:val="22"/>
        </w:rPr>
        <w:t>9</w:t>
      </w:r>
      <w:r w:rsidRPr="001B5D7D">
        <w:rPr>
          <w:b/>
          <w:spacing w:val="2"/>
          <w:sz w:val="22"/>
          <w:szCs w:val="22"/>
        </w:rPr>
        <w:t xml:space="preserve">. </w:t>
      </w:r>
      <w:r w:rsidRPr="001B5D7D">
        <w:rPr>
          <w:b/>
          <w:spacing w:val="2"/>
          <w:sz w:val="22"/>
          <w:szCs w:val="22"/>
        </w:rPr>
        <w:tab/>
        <w:t>A</w:t>
      </w:r>
      <w:r w:rsidRPr="001B5D7D">
        <w:rPr>
          <w:b/>
          <w:sz w:val="22"/>
          <w:szCs w:val="22"/>
        </w:rPr>
        <w:t xml:space="preserve"> FORGALOMBA HOZATALI ENGEDÉLY ELSŐ KIADÁSÁNAK / MEGÚJÍTÁSÁNAK DÁTUMA</w:t>
      </w:r>
    </w:p>
    <w:p w14:paraId="4D0CA31D" w14:textId="77777777" w:rsidR="00F251D5" w:rsidRPr="001B5D7D" w:rsidRDefault="00F251D5" w:rsidP="00F251D5">
      <w:pPr>
        <w:keepNext/>
        <w:rPr>
          <w:sz w:val="22"/>
          <w:szCs w:val="22"/>
        </w:rPr>
      </w:pPr>
    </w:p>
    <w:p w14:paraId="78DA749C" w14:textId="77777777" w:rsidR="00F251D5" w:rsidRPr="001B5D7D" w:rsidRDefault="00F251D5" w:rsidP="00F251D5">
      <w:pPr>
        <w:rPr>
          <w:bCs/>
          <w:sz w:val="22"/>
          <w:szCs w:val="22"/>
        </w:rPr>
      </w:pPr>
      <w:r w:rsidRPr="001B5D7D">
        <w:rPr>
          <w:bCs/>
          <w:sz w:val="22"/>
          <w:szCs w:val="22"/>
        </w:rPr>
        <w:t>A forgalomba hozatali engedély első kiadásának dátuma: 2013. június 11.</w:t>
      </w:r>
    </w:p>
    <w:p w14:paraId="6FB88625" w14:textId="77777777" w:rsidR="00F251D5" w:rsidRPr="001B5D7D" w:rsidRDefault="00F251D5" w:rsidP="00F251D5">
      <w:pPr>
        <w:rPr>
          <w:bCs/>
          <w:sz w:val="22"/>
          <w:szCs w:val="22"/>
        </w:rPr>
      </w:pPr>
    </w:p>
    <w:p w14:paraId="14FF34DA" w14:textId="77777777" w:rsidR="00F251D5" w:rsidRPr="001B5D7D" w:rsidRDefault="00F251D5" w:rsidP="00F251D5">
      <w:pPr>
        <w:rPr>
          <w:bCs/>
          <w:sz w:val="22"/>
          <w:szCs w:val="22"/>
        </w:rPr>
      </w:pPr>
      <w:r w:rsidRPr="001B5D7D">
        <w:rPr>
          <w:bCs/>
          <w:sz w:val="22"/>
          <w:szCs w:val="22"/>
        </w:rPr>
        <w:t>A forgalomba hozatali engedély legutóbbi megújításának dátuma: 2019. május 6.</w:t>
      </w:r>
    </w:p>
    <w:p w14:paraId="1D9B48F8" w14:textId="77777777" w:rsidR="00F251D5" w:rsidRPr="001B5D7D" w:rsidRDefault="00F251D5" w:rsidP="00F251D5">
      <w:pPr>
        <w:rPr>
          <w:bCs/>
          <w:sz w:val="22"/>
          <w:szCs w:val="22"/>
        </w:rPr>
      </w:pPr>
    </w:p>
    <w:p w14:paraId="694B074A" w14:textId="77777777" w:rsidR="00F251D5" w:rsidRPr="00DD0BA2" w:rsidRDefault="00F251D5" w:rsidP="00F251D5">
      <w:pPr>
        <w:rPr>
          <w:bCs/>
          <w:sz w:val="22"/>
          <w:szCs w:val="22"/>
        </w:rPr>
      </w:pPr>
    </w:p>
    <w:p w14:paraId="7E63A0BC" w14:textId="77777777" w:rsidR="00F251D5" w:rsidRPr="001B5D7D" w:rsidRDefault="00F251D5" w:rsidP="00F251D5">
      <w:pPr>
        <w:tabs>
          <w:tab w:val="left" w:pos="567"/>
        </w:tabs>
        <w:rPr>
          <w:b/>
          <w:sz w:val="22"/>
          <w:szCs w:val="22"/>
        </w:rPr>
      </w:pPr>
      <w:r w:rsidRPr="001B5D7D">
        <w:rPr>
          <w:b/>
          <w:sz w:val="22"/>
          <w:szCs w:val="22"/>
        </w:rPr>
        <w:t xml:space="preserve">10. </w:t>
      </w:r>
      <w:r w:rsidRPr="001B5D7D">
        <w:rPr>
          <w:b/>
          <w:sz w:val="22"/>
          <w:szCs w:val="22"/>
        </w:rPr>
        <w:tab/>
        <w:t>A SZÖVEG ELLENŐRZÉSÉNEK DÁTUMA</w:t>
      </w:r>
    </w:p>
    <w:p w14:paraId="4F1A39FE" w14:textId="77777777" w:rsidR="00F251D5" w:rsidRPr="00DD0BA2" w:rsidRDefault="00F251D5" w:rsidP="00F251D5">
      <w:pPr>
        <w:rPr>
          <w:sz w:val="22"/>
          <w:szCs w:val="22"/>
        </w:rPr>
      </w:pPr>
    </w:p>
    <w:p w14:paraId="3C2F9C1E" w14:textId="76C7CD66" w:rsidR="00F251D5" w:rsidRPr="001B5D7D" w:rsidRDefault="00072CA1" w:rsidP="000921B3">
      <w:pPr>
        <w:rPr>
          <w:sz w:val="22"/>
          <w:szCs w:val="22"/>
        </w:rPr>
      </w:pPr>
      <w:r>
        <w:rPr>
          <w:bCs/>
          <w:sz w:val="22"/>
          <w:szCs w:val="22"/>
        </w:rPr>
        <w:t>2026. május 30.</w:t>
      </w:r>
    </w:p>
    <w:sectPr w:rsidR="00F251D5" w:rsidRPr="001B5D7D" w:rsidSect="00F251D5">
      <w:headerReference w:type="default" r:id="rId8"/>
      <w:footerReference w:type="first" r:id="rId9"/>
      <w:pgSz w:w="11909" w:h="16834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AAC3C" w14:textId="77777777" w:rsidR="00387CE8" w:rsidRDefault="00387CE8">
      <w:r>
        <w:separator/>
      </w:r>
    </w:p>
  </w:endnote>
  <w:endnote w:type="continuationSeparator" w:id="0">
    <w:p w14:paraId="2DE9A609" w14:textId="77777777" w:rsidR="00387CE8" w:rsidRDefault="0038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-Condensed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80FF8" w14:textId="6A1FC327" w:rsidR="00C4008E" w:rsidRPr="004F14E0" w:rsidRDefault="00176BB4" w:rsidP="00F251D5">
    <w:pPr>
      <w:pStyle w:val="llb"/>
      <w:rPr>
        <w:sz w:val="18"/>
        <w:szCs w:val="18"/>
      </w:rPr>
    </w:pPr>
    <w:r w:rsidRPr="00E33E56">
      <w:rPr>
        <w:sz w:val="18"/>
        <w:szCs w:val="18"/>
      </w:rPr>
      <w:t>NNGYK/ETGY/13340/2026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DBC68" w14:textId="77777777" w:rsidR="00387CE8" w:rsidRDefault="00387CE8">
      <w:r>
        <w:separator/>
      </w:r>
    </w:p>
  </w:footnote>
  <w:footnote w:type="continuationSeparator" w:id="0">
    <w:p w14:paraId="1B5A33FE" w14:textId="77777777" w:rsidR="00387CE8" w:rsidRDefault="00387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F4AE5" w14:textId="77777777" w:rsidR="00C4008E" w:rsidRPr="001F68AF" w:rsidRDefault="00C4008E" w:rsidP="00F251D5">
    <w:pPr>
      <w:pStyle w:val="lfej"/>
      <w:jc w:val="center"/>
      <w:rPr>
        <w:sz w:val="18"/>
        <w:szCs w:val="18"/>
      </w:rPr>
    </w:pPr>
    <w:r w:rsidRPr="004F14E0">
      <w:rPr>
        <w:sz w:val="18"/>
        <w:szCs w:val="18"/>
      </w:rPr>
      <w:fldChar w:fldCharType="begin"/>
    </w:r>
    <w:r w:rsidRPr="004F14E0">
      <w:rPr>
        <w:sz w:val="18"/>
        <w:szCs w:val="18"/>
      </w:rPr>
      <w:instrText>PAGE   \* MERGEFORMAT</w:instrText>
    </w:r>
    <w:r w:rsidRPr="004F14E0">
      <w:rPr>
        <w:sz w:val="18"/>
        <w:szCs w:val="18"/>
      </w:rPr>
      <w:fldChar w:fldCharType="separate"/>
    </w:r>
    <w:r>
      <w:rPr>
        <w:noProof/>
        <w:sz w:val="18"/>
        <w:szCs w:val="18"/>
      </w:rPr>
      <w:t>14</w:t>
    </w:r>
    <w:r w:rsidRPr="004F14E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6FE14C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7368F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4823C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9DE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82CBB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E4229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DD461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0C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1704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BD277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05AC5"/>
    <w:multiLevelType w:val="hybridMultilevel"/>
    <w:tmpl w:val="237463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924A9E"/>
    <w:multiLevelType w:val="hybridMultilevel"/>
    <w:tmpl w:val="978A0C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3B6D29"/>
    <w:multiLevelType w:val="hybridMultilevel"/>
    <w:tmpl w:val="1FD467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46557D8"/>
    <w:multiLevelType w:val="hybridMultilevel"/>
    <w:tmpl w:val="784EAC3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7B3701"/>
    <w:multiLevelType w:val="hybridMultilevel"/>
    <w:tmpl w:val="10EEB9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09CF0802"/>
    <w:multiLevelType w:val="hybridMultilevel"/>
    <w:tmpl w:val="EE68B960"/>
    <w:lvl w:ilvl="0" w:tplc="FFFFFFFF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6" w15:restartNumberingAfterBreak="0">
    <w:nsid w:val="0ED704AB"/>
    <w:multiLevelType w:val="hybridMultilevel"/>
    <w:tmpl w:val="67F0C55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D97CB0"/>
    <w:multiLevelType w:val="hybridMultilevel"/>
    <w:tmpl w:val="315E41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611522"/>
    <w:multiLevelType w:val="hybridMultilevel"/>
    <w:tmpl w:val="D6BC98F2"/>
    <w:lvl w:ilvl="0" w:tplc="FFFFFFFF">
      <w:start w:val="1"/>
      <w:numFmt w:val="bullet"/>
      <w:lvlText w:val=""/>
      <w:lvlJc w:val="left"/>
      <w:pPr>
        <w:tabs>
          <w:tab w:val="num" w:pos="721"/>
        </w:tabs>
        <w:ind w:left="72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19" w15:restartNumberingAfterBreak="0">
    <w:nsid w:val="1DA91EDC"/>
    <w:multiLevelType w:val="hybridMultilevel"/>
    <w:tmpl w:val="31062E68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6CF7F55"/>
    <w:multiLevelType w:val="hybridMultilevel"/>
    <w:tmpl w:val="82380ACA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654D02"/>
    <w:multiLevelType w:val="hybridMultilevel"/>
    <w:tmpl w:val="F0BA94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454054"/>
    <w:multiLevelType w:val="hybridMultilevel"/>
    <w:tmpl w:val="B354171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3EE71F0"/>
    <w:multiLevelType w:val="hybridMultilevel"/>
    <w:tmpl w:val="92B839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AE3AC5"/>
    <w:multiLevelType w:val="hybridMultilevel"/>
    <w:tmpl w:val="CD2A7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2D4EFD"/>
    <w:multiLevelType w:val="hybridMultilevel"/>
    <w:tmpl w:val="0486D3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A2A1482"/>
    <w:multiLevelType w:val="hybridMultilevel"/>
    <w:tmpl w:val="010EE0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57A00"/>
    <w:multiLevelType w:val="hybridMultilevel"/>
    <w:tmpl w:val="3D6836E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4CCD0AF4"/>
    <w:multiLevelType w:val="hybridMultilevel"/>
    <w:tmpl w:val="A70859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241DC1"/>
    <w:multiLevelType w:val="hybridMultilevel"/>
    <w:tmpl w:val="6B76E99A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28C1C99"/>
    <w:multiLevelType w:val="hybridMultilevel"/>
    <w:tmpl w:val="317001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97C3467"/>
    <w:multiLevelType w:val="hybridMultilevel"/>
    <w:tmpl w:val="065C7B2C"/>
    <w:lvl w:ilvl="0" w:tplc="FFFFFFFF">
      <w:start w:val="1"/>
      <w:numFmt w:val="bullet"/>
      <w:lvlText w:val=""/>
      <w:lvlJc w:val="left"/>
      <w:pPr>
        <w:tabs>
          <w:tab w:val="num" w:pos="395"/>
        </w:tabs>
        <w:ind w:left="395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abstractNum w:abstractNumId="32" w15:restartNumberingAfterBreak="0">
    <w:nsid w:val="5CE058B9"/>
    <w:multiLevelType w:val="hybridMultilevel"/>
    <w:tmpl w:val="53EE6530"/>
    <w:lvl w:ilvl="0" w:tplc="FFFFFFFF">
      <w:start w:val="1"/>
      <w:numFmt w:val="bullet"/>
      <w:lvlText w:val=""/>
      <w:lvlJc w:val="left"/>
      <w:pPr>
        <w:tabs>
          <w:tab w:val="num" w:pos="766"/>
        </w:tabs>
        <w:ind w:left="76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645"/>
        </w:tabs>
        <w:ind w:left="1645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365"/>
        </w:tabs>
        <w:ind w:left="236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085"/>
        </w:tabs>
        <w:ind w:left="308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805"/>
        </w:tabs>
        <w:ind w:left="3805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525"/>
        </w:tabs>
        <w:ind w:left="452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245"/>
        </w:tabs>
        <w:ind w:left="524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965"/>
        </w:tabs>
        <w:ind w:left="5965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685"/>
        </w:tabs>
        <w:ind w:left="6685" w:hanging="360"/>
      </w:pPr>
      <w:rPr>
        <w:rFonts w:ascii="Wingdings" w:hAnsi="Wingdings" w:hint="default"/>
      </w:rPr>
    </w:lvl>
  </w:abstractNum>
  <w:abstractNum w:abstractNumId="33" w15:restartNumberingAfterBreak="0">
    <w:nsid w:val="660E0280"/>
    <w:multiLevelType w:val="hybridMultilevel"/>
    <w:tmpl w:val="25AED34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7271E1"/>
    <w:multiLevelType w:val="hybridMultilevel"/>
    <w:tmpl w:val="461AD874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60F7D03"/>
    <w:multiLevelType w:val="hybridMultilevel"/>
    <w:tmpl w:val="529EE6F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9C3976"/>
    <w:multiLevelType w:val="hybridMultilevel"/>
    <w:tmpl w:val="5FEC7BE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BDF75EB"/>
    <w:multiLevelType w:val="hybridMultilevel"/>
    <w:tmpl w:val="7A2E976C"/>
    <w:lvl w:ilvl="0" w:tplc="FFFFFFFF">
      <w:start w:val="1"/>
      <w:numFmt w:val="bullet"/>
      <w:lvlText w:val=""/>
      <w:lvlJc w:val="left"/>
      <w:pPr>
        <w:tabs>
          <w:tab w:val="num" w:pos="766"/>
        </w:tabs>
        <w:ind w:left="766" w:hanging="360"/>
      </w:pPr>
      <w:rPr>
        <w:rFonts w:ascii="Symbol" w:hAnsi="Symbol" w:hint="default"/>
      </w:rPr>
    </w:lvl>
    <w:lvl w:ilvl="1" w:tplc="FFFFFFFF">
      <w:numFmt w:val="bullet"/>
      <w:lvlText w:val="–"/>
      <w:lvlJc w:val="left"/>
      <w:pPr>
        <w:tabs>
          <w:tab w:val="num" w:pos="1486"/>
        </w:tabs>
        <w:ind w:left="1486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num w:numId="1" w16cid:durableId="1810660417">
    <w:abstractNumId w:val="37"/>
  </w:num>
  <w:num w:numId="2" w16cid:durableId="2069374160">
    <w:abstractNumId w:val="32"/>
  </w:num>
  <w:num w:numId="3" w16cid:durableId="11622376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3339585">
    <w:abstractNumId w:val="31"/>
  </w:num>
  <w:num w:numId="5" w16cid:durableId="11688670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248448">
    <w:abstractNumId w:val="8"/>
  </w:num>
  <w:num w:numId="7" w16cid:durableId="1575242448">
    <w:abstractNumId w:val="31"/>
  </w:num>
  <w:num w:numId="8" w16cid:durableId="1716275635">
    <w:abstractNumId w:val="18"/>
  </w:num>
  <w:num w:numId="9" w16cid:durableId="313030136">
    <w:abstractNumId w:val="33"/>
  </w:num>
  <w:num w:numId="10" w16cid:durableId="2029670904">
    <w:abstractNumId w:val="13"/>
  </w:num>
  <w:num w:numId="11" w16cid:durableId="1367635524">
    <w:abstractNumId w:val="14"/>
  </w:num>
  <w:num w:numId="12" w16cid:durableId="755593514">
    <w:abstractNumId w:val="16"/>
  </w:num>
  <w:num w:numId="13" w16cid:durableId="602346209">
    <w:abstractNumId w:val="10"/>
  </w:num>
  <w:num w:numId="14" w16cid:durableId="16350311">
    <w:abstractNumId w:val="24"/>
  </w:num>
  <w:num w:numId="15" w16cid:durableId="176896549">
    <w:abstractNumId w:val="23"/>
  </w:num>
  <w:num w:numId="16" w16cid:durableId="1716348394">
    <w:abstractNumId w:val="35"/>
  </w:num>
  <w:num w:numId="17" w16cid:durableId="255987408">
    <w:abstractNumId w:val="9"/>
  </w:num>
  <w:num w:numId="18" w16cid:durableId="2083214227">
    <w:abstractNumId w:val="7"/>
  </w:num>
  <w:num w:numId="19" w16cid:durableId="1383943423">
    <w:abstractNumId w:val="6"/>
  </w:num>
  <w:num w:numId="20" w16cid:durableId="1817914595">
    <w:abstractNumId w:val="5"/>
  </w:num>
  <w:num w:numId="21" w16cid:durableId="1714308946">
    <w:abstractNumId w:val="4"/>
  </w:num>
  <w:num w:numId="22" w16cid:durableId="2071224902">
    <w:abstractNumId w:val="3"/>
  </w:num>
  <w:num w:numId="23" w16cid:durableId="460419258">
    <w:abstractNumId w:val="2"/>
  </w:num>
  <w:num w:numId="24" w16cid:durableId="775635733">
    <w:abstractNumId w:val="1"/>
  </w:num>
  <w:num w:numId="25" w16cid:durableId="1697656434">
    <w:abstractNumId w:val="0"/>
  </w:num>
  <w:num w:numId="26" w16cid:durableId="1688871393">
    <w:abstractNumId w:val="30"/>
  </w:num>
  <w:num w:numId="27" w16cid:durableId="1070344602">
    <w:abstractNumId w:val="12"/>
  </w:num>
  <w:num w:numId="28" w16cid:durableId="1752236220">
    <w:abstractNumId w:val="25"/>
  </w:num>
  <w:num w:numId="29" w16cid:durableId="1648317544">
    <w:abstractNumId w:val="27"/>
  </w:num>
  <w:num w:numId="30" w16cid:durableId="2016033366">
    <w:abstractNumId w:val="34"/>
  </w:num>
  <w:num w:numId="31" w16cid:durableId="1697270579">
    <w:abstractNumId w:val="29"/>
  </w:num>
  <w:num w:numId="32" w16cid:durableId="1699350902">
    <w:abstractNumId w:val="19"/>
  </w:num>
  <w:num w:numId="33" w16cid:durableId="606502331">
    <w:abstractNumId w:val="36"/>
  </w:num>
  <w:num w:numId="34" w16cid:durableId="715813823">
    <w:abstractNumId w:val="22"/>
  </w:num>
  <w:num w:numId="35" w16cid:durableId="2040010664">
    <w:abstractNumId w:val="21"/>
  </w:num>
  <w:num w:numId="36" w16cid:durableId="1564291760">
    <w:abstractNumId w:val="15"/>
  </w:num>
  <w:num w:numId="37" w16cid:durableId="1817722117">
    <w:abstractNumId w:val="28"/>
  </w:num>
  <w:num w:numId="38" w16cid:durableId="563758802">
    <w:abstractNumId w:val="11"/>
  </w:num>
  <w:num w:numId="39" w16cid:durableId="1804423396">
    <w:abstractNumId w:val="20"/>
  </w:num>
  <w:num w:numId="40" w16cid:durableId="960260444">
    <w:abstractNumId w:val="26"/>
  </w:num>
  <w:num w:numId="41" w16cid:durableId="15960130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FBD"/>
    <w:rsid w:val="00000B4B"/>
    <w:rsid w:val="0001521D"/>
    <w:rsid w:val="00015DE5"/>
    <w:rsid w:val="00017438"/>
    <w:rsid w:val="00037F3E"/>
    <w:rsid w:val="00047FBD"/>
    <w:rsid w:val="00072CA1"/>
    <w:rsid w:val="00076D93"/>
    <w:rsid w:val="000921B3"/>
    <w:rsid w:val="0009618E"/>
    <w:rsid w:val="000C19B5"/>
    <w:rsid w:val="000C4C4D"/>
    <w:rsid w:val="000C7401"/>
    <w:rsid w:val="000D58DC"/>
    <w:rsid w:val="000F532D"/>
    <w:rsid w:val="00110688"/>
    <w:rsid w:val="00122C82"/>
    <w:rsid w:val="001310BD"/>
    <w:rsid w:val="00133860"/>
    <w:rsid w:val="00152D32"/>
    <w:rsid w:val="00176BB4"/>
    <w:rsid w:val="001900D5"/>
    <w:rsid w:val="001A2588"/>
    <w:rsid w:val="001A77A7"/>
    <w:rsid w:val="001B2A18"/>
    <w:rsid w:val="001B4DEC"/>
    <w:rsid w:val="001B5B9F"/>
    <w:rsid w:val="001F479D"/>
    <w:rsid w:val="001F51F8"/>
    <w:rsid w:val="0021595C"/>
    <w:rsid w:val="002269DB"/>
    <w:rsid w:val="00232241"/>
    <w:rsid w:val="002567AD"/>
    <w:rsid w:val="00296B5F"/>
    <w:rsid w:val="002B3BC6"/>
    <w:rsid w:val="002C244C"/>
    <w:rsid w:val="002F52A0"/>
    <w:rsid w:val="00326F8F"/>
    <w:rsid w:val="00327DCC"/>
    <w:rsid w:val="00341A8D"/>
    <w:rsid w:val="00365429"/>
    <w:rsid w:val="00387CE8"/>
    <w:rsid w:val="00392ADC"/>
    <w:rsid w:val="003B5421"/>
    <w:rsid w:val="003E4B0F"/>
    <w:rsid w:val="004144F0"/>
    <w:rsid w:val="004366C4"/>
    <w:rsid w:val="00443AA8"/>
    <w:rsid w:val="00443D36"/>
    <w:rsid w:val="00444E3E"/>
    <w:rsid w:val="00460089"/>
    <w:rsid w:val="00467E49"/>
    <w:rsid w:val="0048255D"/>
    <w:rsid w:val="004D0C55"/>
    <w:rsid w:val="004F5738"/>
    <w:rsid w:val="00531D05"/>
    <w:rsid w:val="00540E42"/>
    <w:rsid w:val="005505A5"/>
    <w:rsid w:val="005624CF"/>
    <w:rsid w:val="00571C92"/>
    <w:rsid w:val="005B5F1E"/>
    <w:rsid w:val="005D465A"/>
    <w:rsid w:val="005E06BE"/>
    <w:rsid w:val="005E5C43"/>
    <w:rsid w:val="006020BB"/>
    <w:rsid w:val="00610ABA"/>
    <w:rsid w:val="006243D0"/>
    <w:rsid w:val="00650F18"/>
    <w:rsid w:val="00651DC7"/>
    <w:rsid w:val="00671A21"/>
    <w:rsid w:val="00677A8C"/>
    <w:rsid w:val="00680CA8"/>
    <w:rsid w:val="006813C8"/>
    <w:rsid w:val="006A6AA7"/>
    <w:rsid w:val="006C45E1"/>
    <w:rsid w:val="00702F7B"/>
    <w:rsid w:val="00704E5E"/>
    <w:rsid w:val="00713C35"/>
    <w:rsid w:val="00730F35"/>
    <w:rsid w:val="00763926"/>
    <w:rsid w:val="00764454"/>
    <w:rsid w:val="007735A0"/>
    <w:rsid w:val="00783D2B"/>
    <w:rsid w:val="007B5263"/>
    <w:rsid w:val="007F126A"/>
    <w:rsid w:val="007F7318"/>
    <w:rsid w:val="00804090"/>
    <w:rsid w:val="00807D6D"/>
    <w:rsid w:val="00837803"/>
    <w:rsid w:val="008653EF"/>
    <w:rsid w:val="008806E5"/>
    <w:rsid w:val="00887C4C"/>
    <w:rsid w:val="008952B0"/>
    <w:rsid w:val="008B717A"/>
    <w:rsid w:val="008D67D2"/>
    <w:rsid w:val="00914016"/>
    <w:rsid w:val="00963B28"/>
    <w:rsid w:val="00977B75"/>
    <w:rsid w:val="009D3B86"/>
    <w:rsid w:val="009F4101"/>
    <w:rsid w:val="009F5900"/>
    <w:rsid w:val="00A135C2"/>
    <w:rsid w:val="00A43C41"/>
    <w:rsid w:val="00A443BA"/>
    <w:rsid w:val="00A54920"/>
    <w:rsid w:val="00AB6A62"/>
    <w:rsid w:val="00AC1FB7"/>
    <w:rsid w:val="00B11FFE"/>
    <w:rsid w:val="00B13E04"/>
    <w:rsid w:val="00B43548"/>
    <w:rsid w:val="00B46CC4"/>
    <w:rsid w:val="00B72BE1"/>
    <w:rsid w:val="00B73BEE"/>
    <w:rsid w:val="00BF6260"/>
    <w:rsid w:val="00C3250A"/>
    <w:rsid w:val="00C4008E"/>
    <w:rsid w:val="00C55C5C"/>
    <w:rsid w:val="00C6317C"/>
    <w:rsid w:val="00C754B5"/>
    <w:rsid w:val="00CB5F56"/>
    <w:rsid w:val="00D0059D"/>
    <w:rsid w:val="00D17C4F"/>
    <w:rsid w:val="00D44F07"/>
    <w:rsid w:val="00D61331"/>
    <w:rsid w:val="00D755CD"/>
    <w:rsid w:val="00D91707"/>
    <w:rsid w:val="00D9570B"/>
    <w:rsid w:val="00DC1FFF"/>
    <w:rsid w:val="00DD0BA2"/>
    <w:rsid w:val="00DE367C"/>
    <w:rsid w:val="00DE6677"/>
    <w:rsid w:val="00DF24D0"/>
    <w:rsid w:val="00E257DB"/>
    <w:rsid w:val="00E44337"/>
    <w:rsid w:val="00E4776B"/>
    <w:rsid w:val="00E8762F"/>
    <w:rsid w:val="00E902E9"/>
    <w:rsid w:val="00EC09EA"/>
    <w:rsid w:val="00EE3DA0"/>
    <w:rsid w:val="00EE6CF3"/>
    <w:rsid w:val="00F11BFD"/>
    <w:rsid w:val="00F251D5"/>
    <w:rsid w:val="00F410A7"/>
    <w:rsid w:val="00F73797"/>
    <w:rsid w:val="00F87371"/>
    <w:rsid w:val="00F91F9D"/>
    <w:rsid w:val="00FA6A3D"/>
    <w:rsid w:val="00FB2E78"/>
    <w:rsid w:val="00FB336A"/>
    <w:rsid w:val="00FE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DCCF2"/>
  <w15:chartTrackingRefBased/>
  <w15:docId w15:val="{37A98BB2-C955-4D95-81BE-A87E396C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9"/>
    <w:qFormat/>
    <w:pPr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9"/>
    <w:qFormat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9"/>
    <w:qFormat/>
    <w:pPr>
      <w:keepNext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Cmsor7">
    <w:name w:val="heading 7"/>
    <w:basedOn w:val="Norml"/>
    <w:next w:val="Norml"/>
    <w:link w:val="Cmsor7Char"/>
    <w:uiPriority w:val="99"/>
    <w:qFormat/>
    <w:pPr>
      <w:keepNext/>
      <w:outlineLvl w:val="6"/>
    </w:pPr>
    <w:rPr>
      <w:rFonts w:ascii="Calibri" w:hAnsi="Calibri"/>
    </w:rPr>
  </w:style>
  <w:style w:type="paragraph" w:styleId="Cmsor8">
    <w:name w:val="heading 8"/>
    <w:basedOn w:val="Norml"/>
    <w:next w:val="Norml"/>
    <w:link w:val="Cmsor8Char"/>
    <w:uiPriority w:val="99"/>
    <w:qFormat/>
    <w:pPr>
      <w:keepNext/>
      <w:outlineLvl w:val="7"/>
    </w:pPr>
    <w:rPr>
      <w:rFonts w:ascii="Calibri" w:hAnsi="Calibri"/>
      <w:i/>
      <w:iCs/>
    </w:rPr>
  </w:style>
  <w:style w:type="paragraph" w:styleId="Cmsor9">
    <w:name w:val="heading 9"/>
    <w:basedOn w:val="Norml"/>
    <w:next w:val="Norml"/>
    <w:link w:val="Cmsor9Char"/>
    <w:uiPriority w:val="99"/>
    <w:qFormat/>
    <w:pPr>
      <w:keepNext/>
      <w:outlineLvl w:val="8"/>
    </w:pPr>
    <w:rPr>
      <w:rFonts w:ascii="Cambria" w:hAnsi="Cambria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hu-HU" w:eastAsia="hu-HU"/>
    </w:rPr>
  </w:style>
  <w:style w:type="character" w:customStyle="1" w:styleId="Cmsor3Char">
    <w:name w:val="Címsor 3 Char"/>
    <w:link w:val="Cmsor3"/>
    <w:uiPriority w:val="99"/>
    <w:semiHidden/>
    <w:locked/>
    <w:rPr>
      <w:rFonts w:ascii="Cambria" w:hAnsi="Cambria" w:cs="Cambria"/>
      <w:b/>
      <w:bCs/>
      <w:sz w:val="26"/>
      <w:szCs w:val="26"/>
      <w:lang w:val="hu-HU" w:eastAsia="hu-HU"/>
    </w:rPr>
  </w:style>
  <w:style w:type="character" w:customStyle="1" w:styleId="Cmsor4Char">
    <w:name w:val="Címsor 4 Char"/>
    <w:link w:val="Cmsor4"/>
    <w:uiPriority w:val="99"/>
    <w:semiHidden/>
    <w:locked/>
    <w:rPr>
      <w:rFonts w:ascii="Calibri" w:hAnsi="Calibri" w:cs="Calibri"/>
      <w:b/>
      <w:bCs/>
      <w:sz w:val="28"/>
      <w:szCs w:val="28"/>
      <w:lang w:val="hu-HU" w:eastAsia="hu-HU"/>
    </w:rPr>
  </w:style>
  <w:style w:type="character" w:customStyle="1" w:styleId="Cmsor5Char">
    <w:name w:val="Címsor 5 Char"/>
    <w:link w:val="Cmsor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hu-HU" w:eastAsia="hu-HU"/>
    </w:rPr>
  </w:style>
  <w:style w:type="character" w:customStyle="1" w:styleId="Cmsor6Char">
    <w:name w:val="Címsor 6 Char"/>
    <w:link w:val="Cmsor6"/>
    <w:uiPriority w:val="99"/>
    <w:semiHidden/>
    <w:locked/>
    <w:rPr>
      <w:rFonts w:ascii="Calibri" w:hAnsi="Calibri" w:cs="Calibri"/>
      <w:b/>
      <w:bCs/>
      <w:lang w:val="hu-HU" w:eastAsia="hu-HU"/>
    </w:rPr>
  </w:style>
  <w:style w:type="character" w:customStyle="1" w:styleId="Cmsor7Char">
    <w:name w:val="Címsor 7 Char"/>
    <w:link w:val="Cmsor7"/>
    <w:uiPriority w:val="99"/>
    <w:semiHidden/>
    <w:locked/>
    <w:rPr>
      <w:rFonts w:ascii="Calibri" w:hAnsi="Calibri" w:cs="Calibri"/>
      <w:sz w:val="24"/>
      <w:szCs w:val="24"/>
      <w:lang w:val="hu-HU" w:eastAsia="hu-HU"/>
    </w:rPr>
  </w:style>
  <w:style w:type="character" w:customStyle="1" w:styleId="Cmsor8Char">
    <w:name w:val="Címsor 8 Char"/>
    <w:link w:val="Cmsor8"/>
    <w:uiPriority w:val="99"/>
    <w:semiHidden/>
    <w:locked/>
    <w:rPr>
      <w:rFonts w:ascii="Calibri" w:hAnsi="Calibri" w:cs="Calibri"/>
      <w:i/>
      <w:iCs/>
      <w:sz w:val="24"/>
      <w:szCs w:val="24"/>
      <w:lang w:val="hu-HU" w:eastAsia="hu-HU"/>
    </w:rPr>
  </w:style>
  <w:style w:type="character" w:customStyle="1" w:styleId="Cmsor9Char">
    <w:name w:val="Címsor 9 Char"/>
    <w:link w:val="Cmsor9"/>
    <w:uiPriority w:val="99"/>
    <w:semiHidden/>
    <w:locked/>
    <w:rPr>
      <w:rFonts w:ascii="Cambria" w:hAnsi="Cambria" w:cs="Cambria"/>
      <w:lang w:val="hu-HU" w:eastAsia="hu-HU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character" w:customStyle="1" w:styleId="Cmsor1Char">
    <w:name w:val="Címsor 1 Char"/>
    <w:link w:val="Cmsor1"/>
    <w:uiPriority w:val="99"/>
    <w:locked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character" w:customStyle="1" w:styleId="lfejChar">
    <w:name w:val="Élőfej Char"/>
    <w:link w:val="lfej"/>
    <w:uiPriority w:val="99"/>
    <w:locked/>
    <w:rPr>
      <w:rFonts w:cs="Times New Roman"/>
      <w:sz w:val="24"/>
      <w:szCs w:val="24"/>
      <w:lang w:val="hu-HU" w:eastAsia="hu-HU"/>
    </w:rPr>
  </w:style>
  <w:style w:type="paragraph" w:customStyle="1" w:styleId="DefinitionTerm">
    <w:name w:val="Definition Term"/>
    <w:basedOn w:val="Norml"/>
    <w:next w:val="Norml"/>
    <w:uiPriority w:val="99"/>
    <w:pPr>
      <w:widowControl w:val="0"/>
    </w:pPr>
    <w:rPr>
      <w:rFonts w:ascii="Arial" w:hAnsi="Arial" w:cs="Arial"/>
    </w:rPr>
  </w:style>
  <w:style w:type="character" w:customStyle="1" w:styleId="llbChar">
    <w:name w:val="Élőláb Char"/>
    <w:link w:val="llb"/>
    <w:uiPriority w:val="99"/>
    <w:semiHidden/>
    <w:locked/>
    <w:rPr>
      <w:rFonts w:cs="Times New Roman"/>
      <w:sz w:val="24"/>
      <w:szCs w:val="24"/>
      <w:lang w:val="hu-HU" w:eastAsia="hu-HU"/>
    </w:rPr>
  </w:style>
  <w:style w:type="character" w:customStyle="1" w:styleId="goohl0">
    <w:name w:val="goohl0"/>
    <w:uiPriority w:val="99"/>
    <w:rPr>
      <w:rFonts w:cs="Times New Roman"/>
      <w:lang w:val="hu-HU" w:eastAsia="hu-HU"/>
    </w:rPr>
  </w:style>
  <w:style w:type="paragraph" w:styleId="Trgymutat1">
    <w:name w:val="index 1"/>
    <w:basedOn w:val="Norml"/>
    <w:next w:val="Norml"/>
    <w:autoRedefine/>
    <w:uiPriority w:val="99"/>
    <w:semiHidden/>
    <w:rsid w:val="00F87371"/>
  </w:style>
  <w:style w:type="paragraph" w:styleId="Szvegtrzs">
    <w:name w:val="Body Text"/>
    <w:basedOn w:val="Norml"/>
    <w:link w:val="SzvegtrzsChar"/>
    <w:uiPriority w:val="99"/>
  </w:style>
  <w:style w:type="paragraph" w:styleId="NormlWeb">
    <w:name w:val="Normal (Web)"/>
    <w:basedOn w:val="Norml"/>
    <w:uiPriority w:val="99"/>
    <w:pPr>
      <w:spacing w:before="100" w:beforeAutospacing="1" w:after="100" w:afterAutospacing="1"/>
    </w:pPr>
  </w:style>
  <w:style w:type="character" w:customStyle="1" w:styleId="SzvegtrzsChar">
    <w:name w:val="Szövegtörzs Char"/>
    <w:link w:val="Szvegtrzs"/>
    <w:uiPriority w:val="99"/>
    <w:semiHidden/>
    <w:locked/>
    <w:rPr>
      <w:rFonts w:cs="Times New Roman"/>
      <w:sz w:val="24"/>
      <w:szCs w:val="24"/>
      <w:lang w:val="hu-HU" w:eastAsia="hu-HU"/>
    </w:rPr>
  </w:style>
  <w:style w:type="paragraph" w:styleId="Szvegtrzs3">
    <w:name w:val="Body Text 3"/>
    <w:basedOn w:val="Norml"/>
    <w:link w:val="Szvegtrzs3Char"/>
    <w:uiPriority w:val="99"/>
    <w:pPr>
      <w:jc w:val="both"/>
    </w:pPr>
    <w:rPr>
      <w:sz w:val="16"/>
      <w:szCs w:val="16"/>
    </w:rPr>
  </w:style>
  <w:style w:type="paragraph" w:styleId="Szvegtrzsbehzssal2">
    <w:name w:val="Body Text Indent 2"/>
    <w:basedOn w:val="Norml"/>
    <w:link w:val="Szvegtrzsbehzssal2Char"/>
    <w:uiPriority w:val="99"/>
    <w:pPr>
      <w:ind w:left="1440"/>
      <w:jc w:val="both"/>
    </w:pPr>
  </w:style>
  <w:style w:type="character" w:customStyle="1" w:styleId="Szvegtrzs3Char">
    <w:name w:val="Szövegtörzs 3 Char"/>
    <w:link w:val="Szvegtrzs3"/>
    <w:uiPriority w:val="99"/>
    <w:semiHidden/>
    <w:locked/>
    <w:rPr>
      <w:rFonts w:cs="Times New Roman"/>
      <w:sz w:val="16"/>
      <w:szCs w:val="16"/>
      <w:lang w:val="hu-HU" w:eastAsia="hu-HU"/>
    </w:rPr>
  </w:style>
  <w:style w:type="paragraph" w:styleId="Szvegtrzsbehzssal3">
    <w:name w:val="Body Text Indent 3"/>
    <w:basedOn w:val="Norml"/>
    <w:link w:val="Szvegtrzsbehzssal3Char"/>
    <w:uiPriority w:val="99"/>
    <w:pPr>
      <w:ind w:left="1425"/>
      <w:jc w:val="both"/>
    </w:pPr>
    <w:rPr>
      <w:sz w:val="16"/>
      <w:szCs w:val="16"/>
    </w:rPr>
  </w:style>
  <w:style w:type="character" w:customStyle="1" w:styleId="Szvegtrzsbehzssal2Char">
    <w:name w:val="Szövegtörzs behúzással 2 Char"/>
    <w:link w:val="Szvegtrzsbehzssal2"/>
    <w:uiPriority w:val="99"/>
    <w:semiHidden/>
    <w:locked/>
    <w:rPr>
      <w:rFonts w:cs="Times New Roman"/>
      <w:sz w:val="24"/>
      <w:szCs w:val="24"/>
      <w:lang w:val="hu-HU" w:eastAsia="hu-HU"/>
    </w:rPr>
  </w:style>
  <w:style w:type="paragraph" w:styleId="Szvegtrzsbehzssal">
    <w:name w:val="Body Text Indent"/>
    <w:basedOn w:val="Norml"/>
    <w:link w:val="SzvegtrzsbehzssalChar"/>
    <w:uiPriority w:val="99"/>
  </w:style>
  <w:style w:type="character" w:customStyle="1" w:styleId="Szvegtrzsbehzssal3Char">
    <w:name w:val="Szövegtörzs behúzással 3 Char"/>
    <w:link w:val="Szvegtrzsbehzssal3"/>
    <w:uiPriority w:val="99"/>
    <w:semiHidden/>
    <w:locked/>
    <w:rPr>
      <w:rFonts w:cs="Times New Roman"/>
      <w:sz w:val="16"/>
      <w:szCs w:val="16"/>
      <w:lang w:val="hu-HU" w:eastAsia="hu-HU"/>
    </w:rPr>
  </w:style>
  <w:style w:type="character" w:customStyle="1" w:styleId="goohl1">
    <w:name w:val="goohl1"/>
    <w:uiPriority w:val="99"/>
    <w:rPr>
      <w:rFonts w:cs="Times New Roman"/>
      <w:lang w:val="hu-HU" w:eastAsia="hu-HU"/>
    </w:rPr>
  </w:style>
  <w:style w:type="character" w:customStyle="1" w:styleId="SzvegtrzsbehzssalChar">
    <w:name w:val="Szövegtörzs behúzással Char"/>
    <w:link w:val="Szvegtrzsbehzssal"/>
    <w:uiPriority w:val="99"/>
    <w:semiHidden/>
    <w:locked/>
    <w:rPr>
      <w:rFonts w:cs="Times New Roman"/>
      <w:sz w:val="24"/>
      <w:szCs w:val="24"/>
      <w:lang w:val="hu-HU" w:eastAsia="hu-HU"/>
    </w:rPr>
  </w:style>
  <w:style w:type="paragraph" w:customStyle="1" w:styleId="ReferenceLine">
    <w:name w:val="Reference Line"/>
    <w:basedOn w:val="Szvegtrzs"/>
    <w:uiPriority w:val="99"/>
    <w:pPr>
      <w:jc w:val="both"/>
    </w:pPr>
    <w:rPr>
      <w:b/>
      <w:bCs/>
    </w:rPr>
  </w:style>
  <w:style w:type="paragraph" w:styleId="Szvegblokk">
    <w:name w:val="Block Text"/>
    <w:basedOn w:val="Norml"/>
    <w:uiPriority w:val="99"/>
    <w:pPr>
      <w:widowControl w:val="0"/>
      <w:autoSpaceDE w:val="0"/>
      <w:autoSpaceDN w:val="0"/>
      <w:adjustRightInd w:val="0"/>
      <w:spacing w:line="235" w:lineRule="exact"/>
      <w:ind w:left="1425" w:right="332"/>
      <w:jc w:val="both"/>
    </w:pPr>
  </w:style>
  <w:style w:type="paragraph" w:styleId="Trgymutatcm">
    <w:name w:val="index heading"/>
    <w:basedOn w:val="Norml"/>
    <w:next w:val="Trgymutat1"/>
    <w:uiPriority w:val="99"/>
    <w:semiHidden/>
    <w:pPr>
      <w:tabs>
        <w:tab w:val="left" w:pos="720"/>
        <w:tab w:val="left" w:pos="864"/>
        <w:tab w:val="left" w:pos="5760"/>
        <w:tab w:val="left" w:pos="9180"/>
        <w:tab w:val="left" w:pos="9990"/>
      </w:tabs>
      <w:jc w:val="both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Helvetica-Condensed-Bold" w:hAnsi="Helvetica-Condensed-Bold" w:cs="Helvetica-Condensed-Bold"/>
    </w:rPr>
  </w:style>
  <w:style w:type="paragraph" w:customStyle="1" w:styleId="Pa2">
    <w:name w:val="Pa2"/>
    <w:basedOn w:val="Default"/>
    <w:next w:val="Default"/>
    <w:uiPriority w:val="99"/>
    <w:pPr>
      <w:spacing w:line="100" w:lineRule="auto"/>
    </w:pPr>
  </w:style>
  <w:style w:type="paragraph" w:styleId="Lista">
    <w:name w:val="List"/>
    <w:basedOn w:val="Norml"/>
    <w:uiPriority w:val="99"/>
    <w:pPr>
      <w:tabs>
        <w:tab w:val="left" w:pos="720"/>
        <w:tab w:val="left" w:pos="864"/>
        <w:tab w:val="left" w:pos="5760"/>
        <w:tab w:val="left" w:pos="9180"/>
        <w:tab w:val="left" w:pos="9990"/>
      </w:tabs>
      <w:ind w:left="360" w:hanging="360"/>
      <w:jc w:val="both"/>
    </w:pPr>
    <w:rPr>
      <w:rFonts w:ascii="Arial" w:hAnsi="Arial" w:cs="Arial"/>
    </w:rPr>
  </w:style>
  <w:style w:type="character" w:styleId="Kiemels2">
    <w:name w:val="Strong"/>
    <w:uiPriority w:val="99"/>
    <w:qFormat/>
    <w:rPr>
      <w:rFonts w:cs="Times New Roman"/>
      <w:b/>
      <w:bCs/>
      <w:lang w:val="hu-HU" w:eastAsia="hu-HU"/>
    </w:rPr>
  </w:style>
  <w:style w:type="paragraph" w:customStyle="1" w:styleId="btxt16bk">
    <w:name w:val="btxt16bk"/>
    <w:basedOn w:val="Norml"/>
    <w:uiPriority w:val="99"/>
    <w:pPr>
      <w:spacing w:before="100" w:beforeAutospacing="1" w:after="100" w:afterAutospacing="1"/>
    </w:pPr>
    <w:rPr>
      <w:rFonts w:ascii="Verdana" w:hAnsi="Verdana" w:cs="Verdana"/>
      <w:b/>
      <w:bCs/>
      <w:color w:val="000000"/>
    </w:rPr>
  </w:style>
  <w:style w:type="paragraph" w:customStyle="1" w:styleId="B">
    <w:name w:val="_ B"/>
    <w:basedOn w:val="Norml"/>
    <w:uiPriority w:val="99"/>
    <w:pPr>
      <w:spacing w:line="288" w:lineRule="auto"/>
      <w:ind w:left="170"/>
      <w:jc w:val="both"/>
    </w:pPr>
    <w:rPr>
      <w:rFonts w:ascii="Arial" w:hAnsi="Arial" w:cs="Arial"/>
      <w:sz w:val="14"/>
      <w:szCs w:val="14"/>
    </w:rPr>
  </w:style>
  <w:style w:type="character" w:styleId="Oldalszm">
    <w:name w:val="page number"/>
    <w:uiPriority w:val="99"/>
    <w:rPr>
      <w:rFonts w:cs="Times New Roman"/>
      <w:lang w:val="hu-HU" w:eastAsia="hu-HU"/>
    </w:rPr>
  </w:style>
  <w:style w:type="paragraph" w:customStyle="1" w:styleId="Bullet">
    <w:name w:val="_ Bullet"/>
    <w:basedOn w:val="Norml"/>
    <w:uiPriority w:val="99"/>
    <w:pPr>
      <w:spacing w:line="288" w:lineRule="auto"/>
      <w:ind w:left="340" w:hanging="170"/>
    </w:pPr>
    <w:rPr>
      <w:rFonts w:ascii="Arial" w:hAnsi="Arial" w:cs="Arial"/>
      <w:sz w:val="14"/>
      <w:szCs w:val="14"/>
    </w:rPr>
  </w:style>
  <w:style w:type="paragraph" w:customStyle="1" w:styleId="Bullet2">
    <w:name w:val="_ Bullet 2"/>
    <w:basedOn w:val="Bullet"/>
    <w:uiPriority w:val="99"/>
    <w:pPr>
      <w:ind w:left="850" w:hanging="510"/>
      <w:jc w:val="both"/>
    </w:pPr>
  </w:style>
  <w:style w:type="paragraph" w:customStyle="1" w:styleId="Bulletfollow-on">
    <w:name w:val="_ Bullet follow-on"/>
    <w:basedOn w:val="Bullet"/>
    <w:uiPriority w:val="99"/>
    <w:pPr>
      <w:ind w:firstLine="0"/>
      <w:jc w:val="both"/>
    </w:pPr>
  </w:style>
  <w:style w:type="paragraph" w:styleId="Szvegtrzs2">
    <w:name w:val="Body Text 2"/>
    <w:basedOn w:val="Norml"/>
    <w:link w:val="Szvegtrzs2Char"/>
    <w:uiPriority w:val="99"/>
    <w:pPr>
      <w:spacing w:after="120" w:line="480" w:lineRule="auto"/>
    </w:pPr>
  </w:style>
  <w:style w:type="paragraph" w:styleId="Buborkszveg">
    <w:name w:val="Balloon Text"/>
    <w:basedOn w:val="Norml"/>
    <w:link w:val="BuborkszvegChar"/>
    <w:uiPriority w:val="99"/>
    <w:semiHidden/>
    <w:rPr>
      <w:rFonts w:ascii="Tahoma" w:hAnsi="Tahoma"/>
      <w:sz w:val="16"/>
      <w:szCs w:val="16"/>
    </w:rPr>
  </w:style>
  <w:style w:type="character" w:customStyle="1" w:styleId="Szvegtrzs2Char">
    <w:name w:val="Szövegtörzs 2 Char"/>
    <w:link w:val="Szvegtrzs2"/>
    <w:uiPriority w:val="99"/>
    <w:semiHidden/>
    <w:locked/>
    <w:rPr>
      <w:rFonts w:cs="Times New Roman"/>
      <w:sz w:val="24"/>
      <w:szCs w:val="24"/>
      <w:lang w:val="hu-HU" w:eastAsia="hu-HU"/>
    </w:rPr>
  </w:style>
  <w:style w:type="character" w:customStyle="1" w:styleId="DeltaViewInsertion">
    <w:name w:val="DeltaView Insertion"/>
    <w:uiPriority w:val="99"/>
    <w:rPr>
      <w:color w:val="0000FF"/>
      <w:spacing w:val="0"/>
      <w:u w:val="double"/>
      <w:lang w:val="hu-HU" w:eastAsia="hu-HU"/>
    </w:rPr>
  </w:style>
  <w:style w:type="character" w:customStyle="1" w:styleId="BuborkszvegChar">
    <w:name w:val="Buborékszöveg Char"/>
    <w:link w:val="Buborkszveg"/>
    <w:uiPriority w:val="99"/>
    <w:semiHidden/>
    <w:locked/>
    <w:rPr>
      <w:rFonts w:ascii="Tahoma" w:hAnsi="Tahoma" w:cs="Tahoma"/>
      <w:sz w:val="16"/>
      <w:szCs w:val="16"/>
      <w:lang w:val="hu-HU" w:eastAsia="hu-HU"/>
    </w:rPr>
  </w:style>
  <w:style w:type="character" w:styleId="Hiperhivatkozs">
    <w:name w:val="Hyperlink"/>
    <w:uiPriority w:val="99"/>
    <w:rPr>
      <w:rFonts w:ascii="Arial" w:hAnsi="Arial" w:cs="Arial"/>
      <w:color w:val="0000FF"/>
      <w:u w:val="single"/>
      <w:lang w:val="hu-HU" w:eastAsia="hu-HU"/>
    </w:rPr>
  </w:style>
  <w:style w:type="character" w:styleId="Mrltotthiperhivatkozs">
    <w:name w:val="FollowedHyperlink"/>
    <w:uiPriority w:val="99"/>
    <w:rPr>
      <w:rFonts w:cs="Times New Roman"/>
      <w:color w:val="800080"/>
      <w:u w:val="single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pPr>
      <w:tabs>
        <w:tab w:val="left" w:pos="567"/>
      </w:tabs>
    </w:pPr>
    <w:rPr>
      <w:sz w:val="20"/>
      <w:szCs w:val="20"/>
    </w:rPr>
  </w:style>
  <w:style w:type="paragraph" w:styleId="Kpalrs">
    <w:name w:val="caption"/>
    <w:basedOn w:val="Norml"/>
    <w:next w:val="Norml"/>
    <w:uiPriority w:val="99"/>
    <w:qFormat/>
    <w:pPr>
      <w:framePr w:hSpace="180" w:wrap="notBeside" w:vAnchor="text" w:hAnchor="text" w:y="1"/>
      <w:suppressOverlap/>
      <w:jc w:val="both"/>
    </w:pPr>
    <w:rPr>
      <w:b/>
      <w:bCs/>
    </w:rPr>
  </w:style>
  <w:style w:type="character" w:customStyle="1" w:styleId="VgjegyzetszvegeChar">
    <w:name w:val="Végjegyzet szövege Char"/>
    <w:link w:val="Vgjegyzetszvege"/>
    <w:uiPriority w:val="99"/>
    <w:semiHidden/>
    <w:locked/>
    <w:rPr>
      <w:rFonts w:cs="Times New Roman"/>
      <w:sz w:val="20"/>
      <w:szCs w:val="20"/>
      <w:lang w:val="hu-HU" w:eastAsia="hu-HU"/>
    </w:rPr>
  </w:style>
  <w:style w:type="paragraph" w:styleId="Normlbehzs">
    <w:name w:val="Normal Indent"/>
    <w:basedOn w:val="Norml"/>
    <w:uiPriority w:val="99"/>
    <w:pPr>
      <w:spacing w:after="120"/>
      <w:ind w:left="720"/>
    </w:pPr>
    <w:rPr>
      <w:sz w:val="22"/>
      <w:szCs w:val="22"/>
    </w:rPr>
  </w:style>
  <w:style w:type="paragraph" w:customStyle="1" w:styleId="Sarkain2">
    <w:name w:val="Sarkain2"/>
    <w:basedOn w:val="Norml"/>
    <w:uiPriority w:val="99"/>
    <w:pPr>
      <w:ind w:left="851"/>
    </w:pPr>
    <w:rPr>
      <w:b/>
      <w:bCs/>
    </w:rPr>
  </w:style>
  <w:style w:type="paragraph" w:customStyle="1" w:styleId="Vilgoslista3jellszn1">
    <w:name w:val="Világos lista – 3. jelölőszín1"/>
    <w:hidden/>
    <w:uiPriority w:val="99"/>
    <w:semiHidden/>
    <w:rsid w:val="00BA0054"/>
    <w:rPr>
      <w:sz w:val="24"/>
      <w:szCs w:val="24"/>
    </w:rPr>
  </w:style>
  <w:style w:type="character" w:customStyle="1" w:styleId="hps">
    <w:name w:val="hps"/>
    <w:basedOn w:val="Bekezdsalapbettpusa"/>
    <w:rsid w:val="008C4D5B"/>
  </w:style>
  <w:style w:type="character" w:styleId="Jegyzethivatkozs">
    <w:name w:val="annotation reference"/>
    <w:semiHidden/>
    <w:unhideWhenUsed/>
    <w:rsid w:val="0041245C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41245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41245C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1245C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sid w:val="0041245C"/>
    <w:rPr>
      <w:b/>
      <w:bCs/>
    </w:rPr>
  </w:style>
  <w:style w:type="paragraph" w:customStyle="1" w:styleId="Kzepeslista22jellszn1">
    <w:name w:val="Közepes lista 2 – 2. jelölőszín1"/>
    <w:hidden/>
    <w:uiPriority w:val="99"/>
    <w:semiHidden/>
    <w:rsid w:val="00E00488"/>
    <w:rPr>
      <w:sz w:val="24"/>
      <w:szCs w:val="24"/>
    </w:rPr>
  </w:style>
  <w:style w:type="paragraph" w:customStyle="1" w:styleId="Textbody">
    <w:name w:val="Text body"/>
    <w:basedOn w:val="Norml"/>
    <w:rsid w:val="00A03741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lang w:val="en-US" w:eastAsia="zh-CN" w:bidi="hi-IN"/>
    </w:rPr>
  </w:style>
  <w:style w:type="paragraph" w:customStyle="1" w:styleId="Sznesrnykols1jellszn1">
    <w:name w:val="Színes árnyékolás – 1. jelölőszín1"/>
    <w:hidden/>
    <w:uiPriority w:val="99"/>
    <w:semiHidden/>
    <w:rsid w:val="001B5D7D"/>
    <w:rPr>
      <w:sz w:val="24"/>
      <w:szCs w:val="24"/>
    </w:rPr>
  </w:style>
  <w:style w:type="paragraph" w:styleId="Vltozat">
    <w:name w:val="Revision"/>
    <w:hidden/>
    <w:uiPriority w:val="99"/>
    <w:semiHidden/>
    <w:rsid w:val="00443A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5693</Words>
  <Characters>39284</Characters>
  <Application>Microsoft Office Word</Application>
  <DocSecurity>0</DocSecurity>
  <Lines>327</Lines>
  <Paragraphs>89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astron</Company>
  <LinksUpToDate>false</LinksUpToDate>
  <CharactersWithSpaces>44888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rauser</dc:creator>
  <cp:keywords/>
  <cp:lastModifiedBy>HU_OGYI_64.2</cp:lastModifiedBy>
  <cp:revision>18</cp:revision>
  <cp:lastPrinted>2010-06-12T09:11:00Z</cp:lastPrinted>
  <dcterms:created xsi:type="dcterms:W3CDTF">2024-05-07T06:16:00Z</dcterms:created>
  <dcterms:modified xsi:type="dcterms:W3CDTF">2026-08-06T11:37:00Z</dcterms:modified>
</cp:coreProperties>
</file>