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5C1F" w:rsidRDefault="00457A3F">
      <w:pPr>
        <w:widowControl w:val="0"/>
        <w:tabs>
          <w:tab w:val="left" w:pos="567"/>
        </w:tabs>
        <w:contextualSpacing/>
        <w:rPr>
          <w:b/>
          <w:bCs/>
          <w:iCs/>
          <w:szCs w:val="22"/>
          <w:lang w:val="hu-HU" w:eastAsia="en-US"/>
        </w:rPr>
      </w:pPr>
      <w:r>
        <w:rPr>
          <w:b/>
          <w:bCs/>
          <w:iCs/>
          <w:szCs w:val="22"/>
          <w:lang w:val="hu-HU" w:eastAsia="en-US"/>
        </w:rPr>
        <w:t xml:space="preserve">1. </w:t>
      </w:r>
      <w:r>
        <w:rPr>
          <w:b/>
          <w:bCs/>
          <w:iCs/>
          <w:szCs w:val="22"/>
          <w:lang w:val="hu-HU" w:eastAsia="en-US"/>
        </w:rPr>
        <w:tab/>
        <w:t>A GYÓGYSZER NEVE</w:t>
      </w:r>
    </w:p>
    <w:p w:rsidR="00165C1F" w:rsidRDefault="00165C1F">
      <w:pPr>
        <w:widowControl w:val="0"/>
        <w:tabs>
          <w:tab w:val="left" w:pos="567"/>
        </w:tabs>
        <w:contextualSpacing/>
        <w:rPr>
          <w:iCs/>
          <w:szCs w:val="22"/>
          <w:lang w:val="hu-HU" w:eastAsia="en-US"/>
        </w:rPr>
      </w:pPr>
    </w:p>
    <w:p w:rsidR="00165C1F" w:rsidRDefault="00457A3F">
      <w:pPr>
        <w:widowControl w:val="0"/>
        <w:contextualSpacing/>
        <w:rPr>
          <w:szCs w:val="22"/>
          <w:lang w:val="hu-HU"/>
        </w:rPr>
      </w:pPr>
      <w:r>
        <w:rPr>
          <w:szCs w:val="22"/>
          <w:lang w:val="hu-HU"/>
        </w:rPr>
        <w:t>Telmisartan/Hydrochlorothiazide TAD 40 mg/12,5 mg tabletta</w:t>
      </w:r>
    </w:p>
    <w:p w:rsidR="00165C1F" w:rsidRDefault="00457A3F">
      <w:pPr>
        <w:widowControl w:val="0"/>
        <w:contextualSpacing/>
        <w:rPr>
          <w:szCs w:val="22"/>
          <w:lang w:val="hu-HU"/>
        </w:rPr>
      </w:pPr>
      <w:r>
        <w:rPr>
          <w:szCs w:val="22"/>
          <w:lang w:val="hu-HU"/>
        </w:rPr>
        <w:t>Telmisartan/Hydrochlorothiazide TAD 80 mg/12,5 mg tabletta</w:t>
      </w:r>
    </w:p>
    <w:p w:rsidR="00165C1F" w:rsidRDefault="00457A3F">
      <w:pPr>
        <w:widowControl w:val="0"/>
        <w:contextualSpacing/>
        <w:rPr>
          <w:szCs w:val="22"/>
          <w:lang w:val="hu-HU"/>
        </w:rPr>
      </w:pPr>
      <w:r>
        <w:rPr>
          <w:szCs w:val="22"/>
          <w:lang w:val="hu-HU"/>
        </w:rPr>
        <w:t>Telmisartan/Hydrochlorothiazide TAD 80 mg/25 mg tabletta</w:t>
      </w:r>
    </w:p>
    <w:p w:rsidR="00165C1F" w:rsidRDefault="00165C1F">
      <w:pPr>
        <w:widowControl w:val="0"/>
        <w:autoSpaceDE w:val="0"/>
        <w:autoSpaceDN w:val="0"/>
        <w:adjustRightInd w:val="0"/>
        <w:contextualSpacing/>
        <w:jc w:val="both"/>
        <w:rPr>
          <w:szCs w:val="22"/>
          <w:lang w:val="hu-HU"/>
        </w:rPr>
      </w:pPr>
    </w:p>
    <w:p w:rsidR="00165C1F" w:rsidRDefault="00165C1F">
      <w:pPr>
        <w:widowControl w:val="0"/>
        <w:tabs>
          <w:tab w:val="left" w:pos="567"/>
        </w:tabs>
        <w:contextualSpacing/>
        <w:rPr>
          <w:b/>
          <w:szCs w:val="22"/>
          <w:lang w:val="hu-HU" w:eastAsia="en-US"/>
        </w:rPr>
      </w:pPr>
    </w:p>
    <w:p w:rsidR="00165C1F" w:rsidRDefault="00457A3F">
      <w:pPr>
        <w:widowControl w:val="0"/>
        <w:tabs>
          <w:tab w:val="left" w:pos="567"/>
        </w:tabs>
        <w:contextualSpacing/>
        <w:rPr>
          <w:b/>
          <w:bCs/>
          <w:szCs w:val="22"/>
          <w:lang w:val="hu-HU" w:eastAsia="en-US"/>
        </w:rPr>
      </w:pPr>
      <w:r>
        <w:rPr>
          <w:b/>
          <w:bCs/>
          <w:szCs w:val="22"/>
          <w:lang w:val="hu-HU" w:eastAsia="en-US"/>
        </w:rPr>
        <w:t xml:space="preserve">2. </w:t>
      </w:r>
      <w:r>
        <w:rPr>
          <w:b/>
          <w:bCs/>
          <w:szCs w:val="22"/>
          <w:lang w:val="hu-HU" w:eastAsia="en-US"/>
        </w:rPr>
        <w:tab/>
        <w:t>MINŐSÉGI ÉS MENNYISÉGI ÖSSZETÉTEL</w:t>
      </w:r>
    </w:p>
    <w:p w:rsidR="00165C1F" w:rsidRDefault="00165C1F">
      <w:pPr>
        <w:widowControl w:val="0"/>
        <w:tabs>
          <w:tab w:val="left" w:pos="567"/>
        </w:tabs>
        <w:contextualSpacing/>
        <w:rPr>
          <w:szCs w:val="22"/>
          <w:lang w:val="hu-HU" w:eastAsia="en-US"/>
        </w:rPr>
      </w:pPr>
    </w:p>
    <w:p w:rsidR="00165C1F" w:rsidRDefault="00457A3F">
      <w:pPr>
        <w:pStyle w:val="EMEAEnBodyText"/>
        <w:widowControl w:val="0"/>
        <w:autoSpaceDE w:val="0"/>
        <w:autoSpaceDN w:val="0"/>
        <w:adjustRightInd w:val="0"/>
        <w:spacing w:before="0" w:after="0"/>
        <w:contextualSpacing/>
        <w:rPr>
          <w:szCs w:val="22"/>
          <w:u w:val="single"/>
          <w:lang w:val="hu-HU"/>
        </w:rPr>
      </w:pPr>
      <w:r>
        <w:rPr>
          <w:szCs w:val="22"/>
          <w:u w:val="single"/>
          <w:lang w:val="hu-HU"/>
        </w:rPr>
        <w:t>Telmisartan/Hydrochlorothiazide TAD 40 mg/12,5 mg tabletta:</w:t>
      </w:r>
    </w:p>
    <w:p w:rsidR="00165C1F" w:rsidRDefault="00457A3F">
      <w:pPr>
        <w:pStyle w:val="EMEAEnBodyText"/>
        <w:widowControl w:val="0"/>
        <w:autoSpaceDE w:val="0"/>
        <w:autoSpaceDN w:val="0"/>
        <w:adjustRightInd w:val="0"/>
        <w:spacing w:before="0" w:after="0"/>
        <w:contextualSpacing/>
        <w:rPr>
          <w:szCs w:val="22"/>
          <w:lang w:val="hu-HU"/>
        </w:rPr>
      </w:pPr>
      <w:r>
        <w:rPr>
          <w:szCs w:val="22"/>
          <w:lang w:val="hu-HU"/>
        </w:rPr>
        <w:t>40 mg telmizartánt és 12,5 mg hidroklorotiazidot tartalmaz tablettánként.</w:t>
      </w:r>
    </w:p>
    <w:p w:rsidR="00165C1F" w:rsidRDefault="00457A3F">
      <w:pPr>
        <w:pStyle w:val="EMEAEnBodyText"/>
        <w:widowControl w:val="0"/>
        <w:autoSpaceDE w:val="0"/>
        <w:autoSpaceDN w:val="0"/>
        <w:adjustRightInd w:val="0"/>
        <w:spacing w:before="0" w:after="0"/>
        <w:contextualSpacing/>
        <w:rPr>
          <w:szCs w:val="22"/>
          <w:u w:val="single"/>
          <w:lang w:val="hu-HU"/>
        </w:rPr>
      </w:pPr>
      <w:r>
        <w:rPr>
          <w:szCs w:val="22"/>
          <w:u w:val="single"/>
          <w:lang w:val="hu-HU"/>
        </w:rPr>
        <w:t>Telmisartan/Hydrochlorothiazide TAD 80 mg/12,5 mg tabletta:</w:t>
      </w:r>
    </w:p>
    <w:p w:rsidR="00165C1F" w:rsidRDefault="00457A3F">
      <w:pPr>
        <w:pStyle w:val="EMEAEnBodyText"/>
        <w:widowControl w:val="0"/>
        <w:autoSpaceDE w:val="0"/>
        <w:autoSpaceDN w:val="0"/>
        <w:adjustRightInd w:val="0"/>
        <w:spacing w:before="0" w:after="0"/>
        <w:contextualSpacing/>
        <w:rPr>
          <w:szCs w:val="22"/>
          <w:lang w:val="hu-HU"/>
        </w:rPr>
      </w:pPr>
      <w:r>
        <w:rPr>
          <w:szCs w:val="22"/>
          <w:lang w:val="hu-HU"/>
        </w:rPr>
        <w:t>80 mg telmizartánt és 12,5 mg hidroklorotiazidot tartalmaz tablettánként.</w:t>
      </w:r>
    </w:p>
    <w:p w:rsidR="00165C1F" w:rsidRDefault="00457A3F">
      <w:pPr>
        <w:pStyle w:val="EMEAEnBodyText"/>
        <w:widowControl w:val="0"/>
        <w:autoSpaceDE w:val="0"/>
        <w:autoSpaceDN w:val="0"/>
        <w:adjustRightInd w:val="0"/>
        <w:spacing w:before="0" w:after="0"/>
        <w:contextualSpacing/>
        <w:rPr>
          <w:szCs w:val="22"/>
          <w:u w:val="single"/>
          <w:lang w:val="hu-HU"/>
        </w:rPr>
      </w:pPr>
      <w:r>
        <w:rPr>
          <w:szCs w:val="22"/>
          <w:u w:val="single"/>
          <w:lang w:val="hu-HU"/>
        </w:rPr>
        <w:t>Telmisartan/Hydrochlorothiazide TAD 80 mg/25 mg tabletta:</w:t>
      </w:r>
    </w:p>
    <w:p w:rsidR="00165C1F" w:rsidRDefault="00457A3F">
      <w:pPr>
        <w:pStyle w:val="EMEAEnBodyText"/>
        <w:widowControl w:val="0"/>
        <w:autoSpaceDE w:val="0"/>
        <w:autoSpaceDN w:val="0"/>
        <w:adjustRightInd w:val="0"/>
        <w:spacing w:before="0" w:after="0"/>
        <w:contextualSpacing/>
        <w:rPr>
          <w:szCs w:val="22"/>
          <w:lang w:val="hu-HU"/>
        </w:rPr>
      </w:pPr>
      <w:r>
        <w:rPr>
          <w:szCs w:val="22"/>
          <w:lang w:val="hu-HU"/>
        </w:rPr>
        <w:t>80 mg telmizartánt és 25 mg hidroklorotiazidot tartalmaz tablettánként.</w:t>
      </w:r>
    </w:p>
    <w:p w:rsidR="00165C1F" w:rsidRDefault="00165C1F">
      <w:pPr>
        <w:pStyle w:val="EMEAEnBodyText"/>
        <w:widowControl w:val="0"/>
        <w:autoSpaceDE w:val="0"/>
        <w:autoSpaceDN w:val="0"/>
        <w:adjustRightInd w:val="0"/>
        <w:spacing w:before="0" w:after="0"/>
        <w:contextualSpacing/>
        <w:rPr>
          <w:bCs/>
          <w:szCs w:val="22"/>
          <w:lang w:val="hu-HU"/>
        </w:rPr>
      </w:pPr>
    </w:p>
    <w:p w:rsidR="00165C1F" w:rsidRDefault="00457A3F">
      <w:pPr>
        <w:pStyle w:val="EMEAEnBodyText"/>
        <w:widowControl w:val="0"/>
        <w:autoSpaceDE w:val="0"/>
        <w:autoSpaceDN w:val="0"/>
        <w:adjustRightInd w:val="0"/>
        <w:spacing w:before="0" w:after="0"/>
        <w:contextualSpacing/>
        <w:rPr>
          <w:bCs/>
          <w:szCs w:val="22"/>
          <w:lang w:val="hu-HU"/>
        </w:rPr>
      </w:pPr>
      <w:r>
        <w:rPr>
          <w:szCs w:val="22"/>
          <w:u w:val="single"/>
          <w:lang w:val="hu-HU"/>
        </w:rPr>
        <w:t>Ismert hatású segédanyagok</w:t>
      </w:r>
      <w:r>
        <w:rPr>
          <w:bCs/>
          <w:szCs w:val="22"/>
          <w:lang w:val="hu-HU"/>
        </w:rPr>
        <w:t>: laktóz-monohidrát és szorbit (E420).</w:t>
      </w:r>
    </w:p>
    <w:p w:rsidR="00165C1F" w:rsidRDefault="00165C1F">
      <w:pPr>
        <w:pStyle w:val="EMEAEnBodyText"/>
        <w:widowControl w:val="0"/>
        <w:autoSpaceDE w:val="0"/>
        <w:autoSpaceDN w:val="0"/>
        <w:adjustRightInd w:val="0"/>
        <w:spacing w:before="0" w:after="0"/>
        <w:contextualSpacing/>
        <w:rPr>
          <w:bCs/>
          <w:szCs w:val="22"/>
          <w:lang w:val="hu-HU"/>
        </w:rPr>
      </w:pPr>
    </w:p>
    <w:p w:rsidR="00165C1F" w:rsidRDefault="00457A3F">
      <w:pPr>
        <w:pStyle w:val="EMEAEnBodyText"/>
        <w:widowControl w:val="0"/>
        <w:autoSpaceDE w:val="0"/>
        <w:autoSpaceDN w:val="0"/>
        <w:adjustRightInd w:val="0"/>
        <w:spacing w:before="0" w:after="0"/>
        <w:contextualSpacing/>
        <w:jc w:val="left"/>
        <w:rPr>
          <w:bCs/>
          <w:szCs w:val="22"/>
          <w:lang w:val="hu-HU"/>
        </w:rPr>
      </w:pPr>
      <w:r>
        <w:rPr>
          <w:szCs w:val="22"/>
          <w:u w:val="single"/>
          <w:lang w:val="hu-HU"/>
        </w:rPr>
        <w:t>Telmisartan/Hydrochlorothiazide TAD 40 mg/12,5 mg tabletta:</w:t>
      </w:r>
      <w:r>
        <w:rPr>
          <w:szCs w:val="22"/>
          <w:lang w:val="hu-HU"/>
        </w:rPr>
        <w:t xml:space="preserve"> </w:t>
      </w:r>
      <w:r>
        <w:rPr>
          <w:bCs/>
          <w:szCs w:val="22"/>
          <w:lang w:val="hu-HU"/>
        </w:rPr>
        <w:t>57 mg laktózt (monohidrátként) és 147,04 mg szorbitot (E420) tartalmaz</w:t>
      </w:r>
      <w:r w:rsidRPr="00457A3F">
        <w:rPr>
          <w:bCs/>
          <w:szCs w:val="22"/>
          <w:lang w:val="hu-HU"/>
        </w:rPr>
        <w:t xml:space="preserve"> </w:t>
      </w:r>
      <w:r>
        <w:rPr>
          <w:bCs/>
          <w:szCs w:val="22"/>
          <w:lang w:val="hu-HU"/>
        </w:rPr>
        <w:t>tablettánként.</w:t>
      </w:r>
    </w:p>
    <w:p w:rsidR="00165C1F" w:rsidRDefault="00457A3F">
      <w:pPr>
        <w:pStyle w:val="EMEAEnBodyText"/>
        <w:widowControl w:val="0"/>
        <w:autoSpaceDE w:val="0"/>
        <w:autoSpaceDN w:val="0"/>
        <w:adjustRightInd w:val="0"/>
        <w:spacing w:before="0" w:after="0"/>
        <w:contextualSpacing/>
        <w:jc w:val="left"/>
        <w:rPr>
          <w:bCs/>
          <w:szCs w:val="22"/>
          <w:lang w:val="hu-HU"/>
        </w:rPr>
      </w:pPr>
      <w:r>
        <w:rPr>
          <w:szCs w:val="22"/>
          <w:u w:val="single"/>
          <w:lang w:val="hu-HU"/>
        </w:rPr>
        <w:t>Telmisartan/Hydrochlorothiazide TAD 80 mg/12,5 mg tabletta:</w:t>
      </w:r>
      <w:r>
        <w:rPr>
          <w:b/>
          <w:szCs w:val="22"/>
          <w:lang w:val="hu-HU"/>
        </w:rPr>
        <w:t xml:space="preserve"> </w:t>
      </w:r>
      <w:r>
        <w:rPr>
          <w:bCs/>
          <w:szCs w:val="22"/>
          <w:lang w:val="hu-HU"/>
        </w:rPr>
        <w:t>114 mg laktózt (monohidrátként) és 294,08 mg szorbitot (E420) tartalmaz</w:t>
      </w:r>
      <w:r w:rsidRPr="00457A3F">
        <w:rPr>
          <w:bCs/>
          <w:szCs w:val="22"/>
          <w:lang w:val="hu-HU"/>
        </w:rPr>
        <w:t xml:space="preserve"> </w:t>
      </w:r>
      <w:r>
        <w:rPr>
          <w:bCs/>
          <w:szCs w:val="22"/>
          <w:lang w:val="hu-HU"/>
        </w:rPr>
        <w:t>tablettánként.</w:t>
      </w:r>
    </w:p>
    <w:p w:rsidR="00165C1F" w:rsidRDefault="00457A3F">
      <w:pPr>
        <w:pStyle w:val="EMEAEnBodyText"/>
        <w:widowControl w:val="0"/>
        <w:autoSpaceDE w:val="0"/>
        <w:autoSpaceDN w:val="0"/>
        <w:adjustRightInd w:val="0"/>
        <w:spacing w:before="0" w:after="0"/>
        <w:contextualSpacing/>
        <w:jc w:val="left"/>
        <w:rPr>
          <w:bCs/>
          <w:szCs w:val="22"/>
          <w:lang w:val="hu-HU"/>
        </w:rPr>
      </w:pPr>
      <w:r>
        <w:rPr>
          <w:szCs w:val="22"/>
          <w:u w:val="single"/>
          <w:lang w:val="hu-HU"/>
        </w:rPr>
        <w:t>Telmisartan/Hydrochlorothiazide TAD 80 mg/25 mg tabletta</w:t>
      </w:r>
      <w:r>
        <w:rPr>
          <w:szCs w:val="22"/>
          <w:lang w:val="hu-HU"/>
        </w:rPr>
        <w:t xml:space="preserve">: </w:t>
      </w:r>
      <w:r>
        <w:rPr>
          <w:bCs/>
          <w:szCs w:val="22"/>
          <w:lang w:val="hu-HU"/>
        </w:rPr>
        <w:t>114 mg laktózt (monohidrátként) és 294,08 mg szorbitot (E420) tartalmaz</w:t>
      </w:r>
      <w:r w:rsidRPr="00457A3F">
        <w:rPr>
          <w:bCs/>
          <w:szCs w:val="22"/>
          <w:lang w:val="hu-HU"/>
        </w:rPr>
        <w:t xml:space="preserve"> </w:t>
      </w:r>
      <w:r>
        <w:rPr>
          <w:bCs/>
          <w:szCs w:val="22"/>
          <w:lang w:val="hu-HU"/>
        </w:rPr>
        <w:t>tablettánként.</w:t>
      </w:r>
    </w:p>
    <w:p w:rsidR="00165C1F" w:rsidRDefault="00165C1F">
      <w:pPr>
        <w:pStyle w:val="EMEAEnBodyText"/>
        <w:widowControl w:val="0"/>
        <w:autoSpaceDE w:val="0"/>
        <w:autoSpaceDN w:val="0"/>
        <w:adjustRightInd w:val="0"/>
        <w:spacing w:before="0" w:after="0"/>
        <w:contextualSpacing/>
        <w:rPr>
          <w:bCs/>
          <w:szCs w:val="22"/>
          <w:lang w:val="hu-HU"/>
        </w:rPr>
      </w:pPr>
    </w:p>
    <w:p w:rsidR="00165C1F" w:rsidRDefault="00457A3F">
      <w:pPr>
        <w:widowControl w:val="0"/>
        <w:contextualSpacing/>
        <w:rPr>
          <w:szCs w:val="22"/>
          <w:lang w:val="hu-HU"/>
        </w:rPr>
      </w:pPr>
      <w:r>
        <w:rPr>
          <w:szCs w:val="22"/>
          <w:lang w:val="hu-HU"/>
        </w:rPr>
        <w:t>A segédanyagok teljes listáját lásd a 6.1 pontban.</w:t>
      </w:r>
    </w:p>
    <w:p w:rsidR="00165C1F" w:rsidRDefault="00165C1F">
      <w:pPr>
        <w:widowControl w:val="0"/>
        <w:contextualSpacing/>
        <w:rPr>
          <w:szCs w:val="22"/>
          <w:lang w:val="hu-HU"/>
        </w:rPr>
      </w:pPr>
    </w:p>
    <w:p w:rsidR="00165C1F" w:rsidRDefault="00165C1F">
      <w:pPr>
        <w:widowControl w:val="0"/>
        <w:tabs>
          <w:tab w:val="left" w:pos="567"/>
        </w:tabs>
        <w:contextualSpacing/>
        <w:rPr>
          <w:szCs w:val="22"/>
          <w:lang w:val="hu-HU" w:eastAsia="en-US"/>
        </w:rPr>
      </w:pPr>
    </w:p>
    <w:p w:rsidR="00165C1F" w:rsidRDefault="00457A3F">
      <w:pPr>
        <w:widowControl w:val="0"/>
        <w:contextualSpacing/>
        <w:rPr>
          <w:b/>
          <w:bCs/>
          <w:szCs w:val="22"/>
          <w:lang w:val="hu-HU" w:eastAsia="en-US"/>
        </w:rPr>
      </w:pPr>
      <w:r>
        <w:rPr>
          <w:b/>
          <w:bCs/>
          <w:szCs w:val="22"/>
          <w:lang w:val="hu-HU" w:eastAsia="en-US"/>
        </w:rPr>
        <w:t>3. GYÓGYSZERFORMA</w:t>
      </w:r>
    </w:p>
    <w:p w:rsidR="00165C1F" w:rsidRDefault="00165C1F">
      <w:pPr>
        <w:widowControl w:val="0"/>
        <w:contextualSpacing/>
        <w:rPr>
          <w:szCs w:val="22"/>
          <w:lang w:val="hu-HU"/>
        </w:rPr>
      </w:pPr>
    </w:p>
    <w:p w:rsidR="00165C1F" w:rsidRDefault="00457A3F">
      <w:pPr>
        <w:widowControl w:val="0"/>
        <w:contextualSpacing/>
        <w:rPr>
          <w:szCs w:val="22"/>
          <w:lang w:val="hu-HU"/>
        </w:rPr>
      </w:pPr>
      <w:r>
        <w:rPr>
          <w:szCs w:val="22"/>
          <w:lang w:val="hu-HU"/>
        </w:rPr>
        <w:t>Tabletta.</w:t>
      </w:r>
    </w:p>
    <w:p w:rsidR="00165C1F" w:rsidRDefault="00165C1F">
      <w:pPr>
        <w:widowControl w:val="0"/>
        <w:contextualSpacing/>
        <w:rPr>
          <w:szCs w:val="22"/>
          <w:lang w:val="hu-HU"/>
        </w:rPr>
      </w:pPr>
    </w:p>
    <w:p w:rsidR="00165C1F" w:rsidRDefault="00457A3F">
      <w:pPr>
        <w:widowControl w:val="0"/>
        <w:contextualSpacing/>
        <w:rPr>
          <w:szCs w:val="22"/>
          <w:lang w:val="hu-HU"/>
        </w:rPr>
      </w:pPr>
      <w:r>
        <w:rPr>
          <w:szCs w:val="22"/>
          <w:u w:val="single"/>
          <w:lang w:val="hu-HU"/>
        </w:rPr>
        <w:t>Telmisartan/Hydrochlorothiazide TAD 40 mg/12,5 mg tabletta:</w:t>
      </w:r>
      <w:r>
        <w:rPr>
          <w:b/>
          <w:szCs w:val="22"/>
          <w:lang w:val="hu-HU"/>
        </w:rPr>
        <w:t xml:space="preserve"> </w:t>
      </w:r>
      <w:r>
        <w:rPr>
          <w:szCs w:val="22"/>
          <w:lang w:val="hu-HU"/>
        </w:rPr>
        <w:t>Egyik rétege fehér-csaknem fehér, vagy rózsaszínes-fehér, másik rétege rózsaszín-márványozott, kétrétegű, mindkét oldalán domború tabletta; mérete: 15×7 mm.</w:t>
      </w:r>
    </w:p>
    <w:p w:rsidR="00165C1F" w:rsidRDefault="00457A3F">
      <w:pPr>
        <w:widowControl w:val="0"/>
        <w:contextualSpacing/>
        <w:rPr>
          <w:szCs w:val="22"/>
          <w:lang w:val="hu-HU"/>
        </w:rPr>
      </w:pPr>
      <w:r>
        <w:rPr>
          <w:szCs w:val="22"/>
          <w:u w:val="single"/>
          <w:lang w:val="hu-HU"/>
        </w:rPr>
        <w:t>Telmisartan/Hydrochlorothiazide TAD 80 mg/12,5 mg tabletta:</w:t>
      </w:r>
      <w:r>
        <w:rPr>
          <w:szCs w:val="22"/>
          <w:lang w:val="hu-HU"/>
        </w:rPr>
        <w:t xml:space="preserve"> Egyik rétege fehér-csaknem fehér, vagy rózsaszínes-fehér, másik rétege rózsaszín-márványozott, kétrétegű, mindkét oldalán domború tabletta; mérete: 18×9 mm.</w:t>
      </w:r>
    </w:p>
    <w:p w:rsidR="00165C1F" w:rsidRDefault="00457A3F">
      <w:pPr>
        <w:widowControl w:val="0"/>
        <w:contextualSpacing/>
        <w:rPr>
          <w:szCs w:val="22"/>
          <w:lang w:val="hu-HU"/>
        </w:rPr>
      </w:pPr>
      <w:r>
        <w:rPr>
          <w:szCs w:val="22"/>
          <w:u w:val="single"/>
          <w:lang w:val="hu-HU"/>
        </w:rPr>
        <w:t>Telmisartan/Hydrochlorothiazide TAD 80 mg/25 mg tabletta:</w:t>
      </w:r>
      <w:r>
        <w:rPr>
          <w:b/>
          <w:szCs w:val="22"/>
          <w:lang w:val="hu-HU"/>
        </w:rPr>
        <w:t xml:space="preserve"> </w:t>
      </w:r>
      <w:r>
        <w:rPr>
          <w:szCs w:val="22"/>
          <w:lang w:val="hu-HU"/>
        </w:rPr>
        <w:t>Egyik rétege fehér-sárgásfehér, másik rétege oldalán sárga-márványozott, kétrétegű, mindkét oldalán domború tabletta; mérete: 18×9 mm.</w:t>
      </w:r>
    </w:p>
    <w:p w:rsidR="00165C1F" w:rsidRDefault="00165C1F">
      <w:pPr>
        <w:widowControl w:val="0"/>
        <w:contextualSpacing/>
        <w:rPr>
          <w:szCs w:val="22"/>
          <w:lang w:val="hu-HU"/>
        </w:rPr>
      </w:pPr>
    </w:p>
    <w:p w:rsidR="00165C1F" w:rsidRDefault="00165C1F">
      <w:pPr>
        <w:widowControl w:val="0"/>
        <w:tabs>
          <w:tab w:val="left" w:pos="567"/>
        </w:tabs>
        <w:contextualSpacing/>
        <w:rPr>
          <w:i/>
          <w:szCs w:val="22"/>
          <w:lang w:val="hu-HU" w:eastAsia="en-US"/>
        </w:rPr>
      </w:pPr>
    </w:p>
    <w:p w:rsidR="00165C1F" w:rsidRDefault="00457A3F">
      <w:pPr>
        <w:autoSpaceDE w:val="0"/>
        <w:autoSpaceDN w:val="0"/>
        <w:adjustRightInd w:val="0"/>
        <w:contextualSpacing/>
        <w:rPr>
          <w:b/>
          <w:bCs/>
          <w:caps/>
          <w:szCs w:val="22"/>
          <w:lang w:val="hu-HU" w:eastAsia="en-US"/>
        </w:rPr>
      </w:pPr>
      <w:r>
        <w:rPr>
          <w:b/>
          <w:bCs/>
          <w:caps/>
          <w:szCs w:val="22"/>
          <w:lang w:val="hu-HU" w:eastAsia="en-US"/>
        </w:rPr>
        <w:t xml:space="preserve">4. </w:t>
      </w:r>
      <w:r>
        <w:rPr>
          <w:b/>
          <w:bCs/>
          <w:caps/>
          <w:szCs w:val="22"/>
          <w:lang w:val="hu-HU" w:eastAsia="en-US"/>
        </w:rPr>
        <w:tab/>
        <w:t>KLINIKAI JELLEMZŐK</w:t>
      </w:r>
    </w:p>
    <w:p w:rsidR="00165C1F" w:rsidRDefault="00165C1F">
      <w:pPr>
        <w:autoSpaceDE w:val="0"/>
        <w:autoSpaceDN w:val="0"/>
        <w:adjustRightInd w:val="0"/>
        <w:contextualSpacing/>
        <w:rPr>
          <w:b/>
          <w:bCs/>
          <w:caps/>
          <w:szCs w:val="22"/>
          <w:lang w:val="hu-HU" w:eastAsia="en-US"/>
        </w:rPr>
      </w:pPr>
    </w:p>
    <w:p w:rsidR="00165C1F" w:rsidRDefault="00457A3F">
      <w:pPr>
        <w:autoSpaceDE w:val="0"/>
        <w:autoSpaceDN w:val="0"/>
        <w:adjustRightInd w:val="0"/>
        <w:contextualSpacing/>
        <w:rPr>
          <w:b/>
          <w:bCs/>
          <w:caps/>
          <w:szCs w:val="22"/>
          <w:lang w:val="hu-HU" w:eastAsia="en-US"/>
        </w:rPr>
      </w:pPr>
      <w:r>
        <w:rPr>
          <w:b/>
          <w:bCs/>
          <w:caps/>
          <w:szCs w:val="22"/>
          <w:lang w:val="hu-HU" w:eastAsia="en-US"/>
        </w:rPr>
        <w:t xml:space="preserve">4.1 </w:t>
      </w:r>
      <w:r>
        <w:rPr>
          <w:b/>
          <w:bCs/>
          <w:caps/>
          <w:szCs w:val="22"/>
          <w:lang w:val="hu-HU" w:eastAsia="en-US"/>
        </w:rPr>
        <w:tab/>
      </w:r>
      <w:r>
        <w:rPr>
          <w:b/>
          <w:bCs/>
          <w:szCs w:val="22"/>
          <w:lang w:val="hu-HU" w:eastAsia="en-US"/>
        </w:rPr>
        <w:t>Terápiás javallatok</w:t>
      </w:r>
    </w:p>
    <w:p w:rsidR="00165C1F" w:rsidRDefault="00165C1F">
      <w:pPr>
        <w:autoSpaceDE w:val="0"/>
        <w:autoSpaceDN w:val="0"/>
        <w:adjustRightInd w:val="0"/>
        <w:contextualSpacing/>
        <w:rPr>
          <w:b/>
          <w:caps/>
          <w:szCs w:val="22"/>
          <w:lang w:val="hu-HU" w:eastAsia="en-US"/>
        </w:rPr>
      </w:pPr>
    </w:p>
    <w:p w:rsidR="00165C1F" w:rsidRDefault="00457A3F">
      <w:pPr>
        <w:tabs>
          <w:tab w:val="left" w:pos="567"/>
        </w:tabs>
        <w:rPr>
          <w:rFonts w:eastAsia="SimSun"/>
          <w:snapToGrid w:val="0"/>
          <w:szCs w:val="22"/>
          <w:lang w:val="hu-HU" w:eastAsia="zh-CN"/>
        </w:rPr>
      </w:pPr>
      <w:r>
        <w:rPr>
          <w:rFonts w:eastAsia="SimSun"/>
          <w:snapToGrid w:val="0"/>
          <w:szCs w:val="22"/>
          <w:lang w:val="hu-HU" w:eastAsia="zh-CN"/>
        </w:rPr>
        <w:t>Esszenciális hypertonia kezelése.</w:t>
      </w:r>
    </w:p>
    <w:p w:rsidR="00165C1F" w:rsidRDefault="00165C1F">
      <w:pPr>
        <w:autoSpaceDE w:val="0"/>
        <w:autoSpaceDN w:val="0"/>
        <w:adjustRightInd w:val="0"/>
        <w:contextualSpacing/>
        <w:rPr>
          <w:szCs w:val="22"/>
          <w:lang w:val="hu-HU"/>
        </w:rPr>
      </w:pPr>
    </w:p>
    <w:p w:rsidR="00165C1F" w:rsidRDefault="00457A3F">
      <w:pPr>
        <w:pStyle w:val="EMEAEnBodyText"/>
        <w:widowControl w:val="0"/>
        <w:autoSpaceDE w:val="0"/>
        <w:autoSpaceDN w:val="0"/>
        <w:adjustRightInd w:val="0"/>
        <w:spacing w:before="0" w:after="0"/>
        <w:contextualSpacing/>
        <w:jc w:val="left"/>
        <w:rPr>
          <w:szCs w:val="22"/>
          <w:u w:val="single"/>
          <w:lang w:val="hu-HU"/>
        </w:rPr>
      </w:pPr>
      <w:r>
        <w:rPr>
          <w:szCs w:val="22"/>
          <w:u w:val="single"/>
          <w:lang w:val="hu-HU"/>
        </w:rPr>
        <w:t>Telmisartan/Hydrochlorothiazide TAD 40 mg/12,5 mg tabletta és Telmisartan/Hydrochlorothiazide TAD 80 mg/12,5 mg tabletta:</w:t>
      </w:r>
    </w:p>
    <w:p w:rsidR="00165C1F" w:rsidRDefault="00457A3F">
      <w:pPr>
        <w:autoSpaceDE w:val="0"/>
        <w:autoSpaceDN w:val="0"/>
        <w:adjustRightInd w:val="0"/>
        <w:contextualSpacing/>
        <w:rPr>
          <w:szCs w:val="22"/>
          <w:lang w:val="hu-HU"/>
        </w:rPr>
      </w:pPr>
      <w:r>
        <w:rPr>
          <w:szCs w:val="22"/>
          <w:lang w:val="hu-HU"/>
        </w:rPr>
        <w:t>A Telmisartan/Hydrochlorothiazide TAD állandó dózisösszetételű (40 mg telmizartánt és 12,5 mg hidroklorotiazidot, valamint 80 mg telmizartánt és 12,5 mg hidroklorotiazidot tartalmazó) kombinált készítmény olyan felnőttek számára javallott, akik vérnyomása telmizartán monoterápiával nem állítható be megfelelően.</w:t>
      </w:r>
    </w:p>
    <w:p w:rsidR="00165C1F" w:rsidRDefault="00165C1F">
      <w:pPr>
        <w:autoSpaceDE w:val="0"/>
        <w:autoSpaceDN w:val="0"/>
        <w:adjustRightInd w:val="0"/>
        <w:contextualSpacing/>
        <w:rPr>
          <w:szCs w:val="22"/>
          <w:lang w:val="hu-HU"/>
        </w:rPr>
      </w:pPr>
    </w:p>
    <w:p w:rsidR="00165C1F" w:rsidRDefault="00457A3F">
      <w:pPr>
        <w:pStyle w:val="EMEAEnBodyText"/>
        <w:widowControl w:val="0"/>
        <w:autoSpaceDE w:val="0"/>
        <w:autoSpaceDN w:val="0"/>
        <w:adjustRightInd w:val="0"/>
        <w:spacing w:before="0" w:after="0"/>
        <w:contextualSpacing/>
        <w:rPr>
          <w:szCs w:val="22"/>
          <w:u w:val="single"/>
          <w:lang w:val="hu-HU"/>
        </w:rPr>
      </w:pPr>
      <w:r>
        <w:rPr>
          <w:szCs w:val="22"/>
          <w:u w:val="single"/>
          <w:lang w:val="hu-HU"/>
        </w:rPr>
        <w:t>Telmisartan/Hydrochlorothiazide TAD 80 mg/25 mg tabletta:</w:t>
      </w:r>
    </w:p>
    <w:p w:rsidR="00165C1F" w:rsidRDefault="00457A3F">
      <w:pPr>
        <w:autoSpaceDE w:val="0"/>
        <w:autoSpaceDN w:val="0"/>
        <w:adjustRightInd w:val="0"/>
        <w:contextualSpacing/>
        <w:rPr>
          <w:szCs w:val="22"/>
          <w:lang w:val="hu-HU"/>
        </w:rPr>
      </w:pPr>
      <w:r>
        <w:rPr>
          <w:szCs w:val="22"/>
          <w:lang w:val="hu-HU"/>
        </w:rPr>
        <w:t>A Telmisartan/Hydrochlorothiazide TAD állandó dózisösszetételű (80 mg telmizartánt és 25 mg hidroklorotiazidot tartalmazó) kombinált készítmény olyan felnőttek számára javallott, akik vérnyomása Telmisartan/Hydrochlorothiazide TAD 80 mg/12,5 mg tablettával (80 mg telmizartán / 12,5 mg hidroklorotiazid) nem állítható be megfelelően, vagy akik vérnyomása előzőleg már stabilizálódott a külön-külön adott telmizartán és hidroklorotiazid alkalmazása során.</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ind w:left="567" w:hanging="567"/>
        <w:contextualSpacing/>
        <w:rPr>
          <w:b/>
          <w:bCs/>
          <w:szCs w:val="22"/>
          <w:lang w:val="hu-HU" w:eastAsia="en-US"/>
        </w:rPr>
      </w:pPr>
      <w:r>
        <w:rPr>
          <w:b/>
          <w:bCs/>
          <w:szCs w:val="22"/>
          <w:lang w:val="hu-HU" w:eastAsia="en-US"/>
        </w:rPr>
        <w:t xml:space="preserve">4.2 </w:t>
      </w:r>
      <w:r>
        <w:rPr>
          <w:b/>
          <w:bCs/>
          <w:szCs w:val="22"/>
          <w:lang w:val="hu-HU" w:eastAsia="en-US"/>
        </w:rPr>
        <w:tab/>
        <w:t>Adagolás és alkalmazás</w:t>
      </w:r>
    </w:p>
    <w:p w:rsidR="00165C1F" w:rsidRDefault="00165C1F">
      <w:pPr>
        <w:autoSpaceDE w:val="0"/>
        <w:autoSpaceDN w:val="0"/>
        <w:adjustRightInd w:val="0"/>
        <w:contextualSpacing/>
        <w:rPr>
          <w:b/>
          <w:szCs w:val="22"/>
          <w:lang w:val="hu-HU" w:eastAsia="en-US"/>
        </w:rPr>
      </w:pPr>
    </w:p>
    <w:p w:rsidR="00165C1F" w:rsidRDefault="00457A3F">
      <w:pPr>
        <w:autoSpaceDE w:val="0"/>
        <w:autoSpaceDN w:val="0"/>
        <w:adjustRightInd w:val="0"/>
        <w:contextualSpacing/>
        <w:rPr>
          <w:szCs w:val="22"/>
          <w:u w:val="single"/>
          <w:lang w:val="hu-HU" w:eastAsia="en-US"/>
        </w:rPr>
      </w:pPr>
      <w:r>
        <w:rPr>
          <w:szCs w:val="22"/>
          <w:u w:val="single"/>
          <w:lang w:val="hu-HU" w:eastAsia="en-US"/>
        </w:rPr>
        <w:t>Adagolás</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Telmisartan/Hydrochlorothiazide TAD tablettát azoknak a betegeknek kell szedniük, akiknek a vérnyomása egyedül telmizartánnal nem állítható be megfelelően. Az állandó összetételű kombináció alkalmazása előtt ajánlott a két összetevő adagját külön-külön, egyénre szabottan beállítani. Ha klinikailag helyénvaló, megfontolható a közvetlen áttérés a monoterápiáról az állandó kombinációra.</w:t>
      </w:r>
    </w:p>
    <w:p w:rsidR="00165C1F" w:rsidRDefault="00165C1F">
      <w:pPr>
        <w:autoSpaceDE w:val="0"/>
        <w:autoSpaceDN w:val="0"/>
        <w:adjustRightInd w:val="0"/>
        <w:contextualSpacing/>
        <w:rPr>
          <w:szCs w:val="22"/>
          <w:lang w:val="hu-HU"/>
        </w:rPr>
      </w:pPr>
    </w:p>
    <w:p w:rsidR="00165C1F" w:rsidRDefault="00457A3F">
      <w:pPr>
        <w:pStyle w:val="Listaszerbekezds"/>
        <w:numPr>
          <w:ilvl w:val="0"/>
          <w:numId w:val="6"/>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 xml:space="preserve">Napi egy Telmisartan/Hydrochlorothiazide TAD 40 mg/12,5 mg tabletta adható, ha 40 mg telmizartánnal nem állítható be megfelelően a beteg vérnyomása. </w:t>
      </w:r>
    </w:p>
    <w:p w:rsidR="00165C1F" w:rsidRDefault="00457A3F">
      <w:pPr>
        <w:pStyle w:val="Listaszerbekezds"/>
        <w:numPr>
          <w:ilvl w:val="0"/>
          <w:numId w:val="6"/>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Napi egy Telmisartan/Hydrochlorothiazide TAD 80 mg/12,5 mg tabletta adható, ha 80 mg telmizartánnal nem állítható be megfelelően a beteg vérnyomása.</w:t>
      </w:r>
    </w:p>
    <w:p w:rsidR="00165C1F" w:rsidRDefault="00457A3F">
      <w:pPr>
        <w:pStyle w:val="Listaszerbekezds"/>
        <w:numPr>
          <w:ilvl w:val="0"/>
          <w:numId w:val="5"/>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A Telmisartan/Hydrochlorothiazide TAD 80 mg/25 mg tabletta alkalmazható naponta egyszer olyan betegeknél, akik vérnyomása Telmisartan/Hydrochlorothiazide TAD 80 mg/12,5 mg tablettával nem állítható be megfelelően, vagy akik vérnyomása előzőleg már stabilizálódott a külön-külön adott telmizartán és hidroklorotiazid alkalmazása során.</w:t>
      </w:r>
    </w:p>
    <w:p w:rsidR="00165C1F" w:rsidRDefault="00165C1F">
      <w:pPr>
        <w:autoSpaceDE w:val="0"/>
        <w:autoSpaceDN w:val="0"/>
        <w:adjustRightInd w:val="0"/>
        <w:contextualSpacing/>
        <w:rPr>
          <w:i/>
          <w:iCs/>
          <w:szCs w:val="22"/>
          <w:lang w:val="hu-HU"/>
        </w:rPr>
      </w:pPr>
    </w:p>
    <w:p w:rsidR="00165C1F" w:rsidRDefault="00457A3F">
      <w:pPr>
        <w:autoSpaceDE w:val="0"/>
        <w:autoSpaceDN w:val="0"/>
        <w:adjustRightInd w:val="0"/>
        <w:contextualSpacing/>
        <w:rPr>
          <w:szCs w:val="22"/>
          <w:lang w:val="hu-HU"/>
        </w:rPr>
      </w:pPr>
      <w:r>
        <w:rPr>
          <w:iCs/>
          <w:szCs w:val="22"/>
          <w:u w:val="single"/>
          <w:lang w:val="hu-HU"/>
        </w:rPr>
        <w:t>Vesekárosodás</w:t>
      </w:r>
    </w:p>
    <w:p w:rsidR="00165C1F" w:rsidRDefault="00457A3F">
      <w:pPr>
        <w:autoSpaceDE w:val="0"/>
        <w:autoSpaceDN w:val="0"/>
        <w:adjustRightInd w:val="0"/>
        <w:contextualSpacing/>
        <w:rPr>
          <w:szCs w:val="22"/>
          <w:lang w:val="hu-HU"/>
        </w:rPr>
      </w:pPr>
      <w:r>
        <w:rPr>
          <w:szCs w:val="22"/>
          <w:lang w:val="hu-HU"/>
        </w:rPr>
        <w:t>Tanácsos időszakosan ellenőrizni a veseműködést (lásd 4.4 pont).</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u w:val="single"/>
          <w:lang w:val="hu-HU"/>
        </w:rPr>
        <w:t>Májkárosodás</w:t>
      </w:r>
    </w:p>
    <w:p w:rsidR="00165C1F" w:rsidRDefault="00457A3F">
      <w:pPr>
        <w:autoSpaceDE w:val="0"/>
        <w:autoSpaceDN w:val="0"/>
        <w:adjustRightInd w:val="0"/>
        <w:contextualSpacing/>
        <w:rPr>
          <w:szCs w:val="22"/>
          <w:lang w:val="hu-HU"/>
        </w:rPr>
      </w:pPr>
      <w:r>
        <w:rPr>
          <w:szCs w:val="22"/>
          <w:lang w:val="hu-HU"/>
        </w:rPr>
        <w:t>Enyhe-középsúlyos májkárosodás esetén a napi adag nem lehet több egy Telmisartan/Hydrochlorothiazide TAD 40 mg/12,5 mg tablettánál. Súlyos májkárosodás esetén nem javallott a Telmisartan/Hydrochlorothiazide TAD alkalmazása. A tiazidokat károsodott májműködésű betegeken körültekintően kell alkalmazni (lásd 4.4 pont).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Idősek</w:t>
      </w:r>
    </w:p>
    <w:p w:rsidR="00165C1F" w:rsidRDefault="00457A3F">
      <w:pPr>
        <w:rPr>
          <w:szCs w:val="22"/>
          <w:lang w:val="hu-HU"/>
        </w:rPr>
      </w:pPr>
      <w:r>
        <w:rPr>
          <w:szCs w:val="22"/>
          <w:lang w:val="hu-HU"/>
        </w:rPr>
        <w:t>Nem szükséges módosítani az adagolást.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Gyermekek és serdülők</w:t>
      </w:r>
    </w:p>
    <w:p w:rsidR="00165C1F" w:rsidRDefault="00457A3F">
      <w:pPr>
        <w:rPr>
          <w:szCs w:val="22"/>
          <w:lang w:val="hu-HU"/>
        </w:rPr>
      </w:pPr>
      <w:r>
        <w:rPr>
          <w:szCs w:val="22"/>
          <w:lang w:val="hu-HU"/>
        </w:rPr>
        <w:t>A Telmisartan/Hydrochlorothiazide TAD biztonságosságát és hatásosságát 18 év alatti gyermekek és serdülők esetében nem igazolták. Nincsenek rendelkezésre álló adatok.</w:t>
      </w:r>
    </w:p>
    <w:p w:rsidR="00165C1F" w:rsidRDefault="00165C1F">
      <w:pPr>
        <w:autoSpaceDE w:val="0"/>
        <w:autoSpaceDN w:val="0"/>
        <w:adjustRightInd w:val="0"/>
        <w:contextualSpacing/>
        <w:rPr>
          <w:i/>
          <w:iCs/>
          <w:szCs w:val="22"/>
          <w:lang w:val="hu-HU"/>
        </w:rPr>
      </w:pPr>
    </w:p>
    <w:p w:rsidR="00165C1F" w:rsidRDefault="00457A3F">
      <w:pPr>
        <w:rPr>
          <w:szCs w:val="22"/>
          <w:u w:val="single"/>
          <w:lang w:val="hu-HU"/>
        </w:rPr>
      </w:pPr>
      <w:r>
        <w:rPr>
          <w:szCs w:val="22"/>
          <w:u w:val="single"/>
          <w:lang w:val="hu-HU"/>
        </w:rPr>
        <w:t>Az alkalmazás módja</w:t>
      </w:r>
    </w:p>
    <w:p w:rsidR="00165C1F" w:rsidRDefault="00457A3F">
      <w:pPr>
        <w:rPr>
          <w:szCs w:val="22"/>
          <w:lang w:val="hu-HU"/>
        </w:rPr>
      </w:pPr>
      <w:r>
        <w:rPr>
          <w:szCs w:val="22"/>
          <w:lang w:val="hu-HU"/>
        </w:rPr>
        <w:t>A Telmisartan/Hydrochlorothiazide TAD tabletta naponta egyszeri, szájon át történő alkalmazásra szánt készítmény, amit folyadékkal kell bevenni, étkezés közben vagy attól függetlenül.</w:t>
      </w:r>
    </w:p>
    <w:p w:rsidR="00165C1F" w:rsidRDefault="00165C1F">
      <w:pPr>
        <w:widowControl w:val="0"/>
        <w:tabs>
          <w:tab w:val="left" w:pos="567"/>
        </w:tabs>
        <w:contextualSpacing/>
        <w:rPr>
          <w:szCs w:val="22"/>
          <w:lang w:val="hu-HU" w:eastAsia="en-US"/>
        </w:rPr>
      </w:pPr>
    </w:p>
    <w:p w:rsidR="00165C1F" w:rsidRDefault="00457A3F">
      <w:pPr>
        <w:ind w:left="567" w:hanging="567"/>
        <w:rPr>
          <w:b/>
          <w:bCs/>
          <w:szCs w:val="22"/>
          <w:lang w:val="hu-HU"/>
        </w:rPr>
      </w:pPr>
      <w:r>
        <w:rPr>
          <w:b/>
          <w:bCs/>
          <w:szCs w:val="22"/>
          <w:lang w:val="hu-HU"/>
        </w:rPr>
        <w:t xml:space="preserve">4.3 </w:t>
      </w:r>
      <w:r>
        <w:rPr>
          <w:b/>
          <w:bCs/>
          <w:szCs w:val="22"/>
          <w:lang w:val="hu-HU"/>
        </w:rPr>
        <w:tab/>
        <w:t>Ellenjavallatok</w:t>
      </w:r>
    </w:p>
    <w:p w:rsidR="00165C1F" w:rsidRDefault="00165C1F">
      <w:pPr>
        <w:widowControl w:val="0"/>
        <w:tabs>
          <w:tab w:val="left" w:pos="567"/>
        </w:tabs>
        <w:contextualSpacing/>
        <w:rPr>
          <w:szCs w:val="22"/>
          <w:lang w:val="hu-HU" w:eastAsia="en-US"/>
        </w:rPr>
      </w:pPr>
    </w:p>
    <w:p w:rsidR="00165C1F" w:rsidRDefault="00457A3F">
      <w:pPr>
        <w:pStyle w:val="Listaszerbekezds"/>
        <w:numPr>
          <w:ilvl w:val="0"/>
          <w:numId w:val="7"/>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A készítmény hatóanyagaival vagy a 6.1 pontban felsorolt bármely segédanyagával szembeni túlérzékenység.</w:t>
      </w:r>
    </w:p>
    <w:p w:rsidR="00165C1F" w:rsidRDefault="00457A3F">
      <w:pPr>
        <w:pStyle w:val="Listaszerbekezds"/>
        <w:numPr>
          <w:ilvl w:val="0"/>
          <w:numId w:val="7"/>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Túlérzékenység más szulfonamid-származékokkal szemben (mivel a hidroklorotiazid szulfonamid-származék gyógyszer).</w:t>
      </w:r>
    </w:p>
    <w:p w:rsidR="00165C1F" w:rsidRDefault="00457A3F">
      <w:pPr>
        <w:pStyle w:val="Listaszerbekezds"/>
        <w:numPr>
          <w:ilvl w:val="0"/>
          <w:numId w:val="7"/>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A terhesség második és harmadik trimesztere (lásd 4.4 és 4.6 pont).</w:t>
      </w:r>
    </w:p>
    <w:p w:rsidR="00165C1F" w:rsidRDefault="00457A3F">
      <w:pPr>
        <w:pStyle w:val="Listaszerbekezds"/>
        <w:numPr>
          <w:ilvl w:val="0"/>
          <w:numId w:val="7"/>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Cholestasis és az epeutak elzáródásos rendellenességei.</w:t>
      </w:r>
    </w:p>
    <w:p w:rsidR="00165C1F" w:rsidRDefault="00457A3F">
      <w:pPr>
        <w:pStyle w:val="Listaszerbekezds"/>
        <w:numPr>
          <w:ilvl w:val="0"/>
          <w:numId w:val="7"/>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Súlyos májkárosodás.</w:t>
      </w:r>
    </w:p>
    <w:p w:rsidR="00165C1F" w:rsidRDefault="00457A3F">
      <w:pPr>
        <w:pStyle w:val="Listaszerbekezds"/>
        <w:numPr>
          <w:ilvl w:val="0"/>
          <w:numId w:val="7"/>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Súlyos vesekárosodás (kreatinin-clearance &lt;30 ml/perc).</w:t>
      </w:r>
    </w:p>
    <w:p w:rsidR="00165C1F" w:rsidRDefault="00457A3F">
      <w:pPr>
        <w:pStyle w:val="Listaszerbekezds"/>
        <w:numPr>
          <w:ilvl w:val="0"/>
          <w:numId w:val="7"/>
        </w:numPr>
        <w:autoSpaceDE w:val="0"/>
        <w:autoSpaceDN w:val="0"/>
        <w:adjustRightInd w:val="0"/>
        <w:spacing w:after="0" w:line="240" w:lineRule="auto"/>
        <w:ind w:left="567" w:hanging="567"/>
        <w:rPr>
          <w:rFonts w:ascii="Times New Roman" w:hAnsi="Times New Roman"/>
          <w:lang w:val="hu-HU"/>
        </w:rPr>
      </w:pPr>
      <w:r>
        <w:rPr>
          <w:rFonts w:ascii="Times New Roman" w:hAnsi="Times New Roman"/>
          <w:lang w:val="hu-HU"/>
        </w:rPr>
        <w:t>Refrakter hypokalaemia, hypercalcaemia.</w:t>
      </w:r>
    </w:p>
    <w:p w:rsidR="00165C1F" w:rsidRDefault="00165C1F">
      <w:pPr>
        <w:widowControl w:val="0"/>
        <w:tabs>
          <w:tab w:val="left" w:pos="567"/>
        </w:tabs>
        <w:contextualSpacing/>
        <w:rPr>
          <w:szCs w:val="22"/>
          <w:lang w:val="hu-HU" w:eastAsia="en-US"/>
        </w:rPr>
      </w:pPr>
    </w:p>
    <w:p w:rsidR="00165C1F" w:rsidRDefault="00457A3F">
      <w:pPr>
        <w:widowControl w:val="0"/>
        <w:tabs>
          <w:tab w:val="left" w:pos="567"/>
        </w:tabs>
        <w:contextualSpacing/>
        <w:rPr>
          <w:szCs w:val="22"/>
          <w:lang w:val="hu-HU" w:eastAsia="en-US"/>
        </w:rPr>
      </w:pPr>
      <w:r>
        <w:rPr>
          <w:szCs w:val="22"/>
          <w:lang w:val="hu-HU" w:eastAsia="en-US"/>
        </w:rPr>
        <w:t xml:space="preserve">A </w:t>
      </w:r>
      <w:r>
        <w:rPr>
          <w:szCs w:val="22"/>
          <w:lang w:val="hu-HU"/>
        </w:rPr>
        <w:t xml:space="preserve">Telmisartan/Hydrochlorothiazide TAD </w:t>
      </w:r>
      <w:r>
        <w:rPr>
          <w:szCs w:val="22"/>
          <w:lang w:val="hu-HU" w:eastAsia="en-US"/>
        </w:rPr>
        <w:t xml:space="preserve">egyidejű alkalmazása aliszkirén tartalmú készítményekkel ellenjavallt diabetes mellitusban szenvedő vagy károsodott veseműködésű betegeknél (GFR </w:t>
      </w:r>
      <w:proofErr w:type="gramStart"/>
      <w:r>
        <w:rPr>
          <w:szCs w:val="22"/>
          <w:lang w:val="hu-HU" w:eastAsia="en-US"/>
        </w:rPr>
        <w:t>&lt; 60</w:t>
      </w:r>
      <w:proofErr w:type="gramEnd"/>
      <w:r>
        <w:rPr>
          <w:szCs w:val="22"/>
          <w:lang w:val="hu-HU" w:eastAsia="en-US"/>
        </w:rPr>
        <w:t> ml/perc/1,73 m</w:t>
      </w:r>
      <w:r>
        <w:rPr>
          <w:szCs w:val="22"/>
          <w:vertAlign w:val="superscript"/>
          <w:lang w:val="hu-HU" w:eastAsia="en-US"/>
        </w:rPr>
        <w:t>2</w:t>
      </w:r>
      <w:r>
        <w:rPr>
          <w:szCs w:val="22"/>
          <w:lang w:val="hu-HU" w:eastAsia="en-US"/>
        </w:rPr>
        <w:t>) (lásd 4.5 és 5.1 pont).</w:t>
      </w:r>
    </w:p>
    <w:p w:rsidR="00165C1F" w:rsidRDefault="00165C1F">
      <w:pPr>
        <w:widowControl w:val="0"/>
        <w:tabs>
          <w:tab w:val="left" w:pos="567"/>
        </w:tabs>
        <w:contextualSpacing/>
        <w:rPr>
          <w:szCs w:val="22"/>
          <w:lang w:val="hu-HU" w:eastAsia="en-US"/>
        </w:rPr>
      </w:pPr>
    </w:p>
    <w:p w:rsidR="00165C1F" w:rsidRDefault="00457A3F">
      <w:pPr>
        <w:rPr>
          <w:b/>
          <w:bCs/>
          <w:szCs w:val="22"/>
          <w:lang w:val="hu-HU"/>
        </w:rPr>
      </w:pPr>
      <w:r>
        <w:rPr>
          <w:b/>
          <w:bCs/>
          <w:szCs w:val="22"/>
          <w:lang w:val="hu-HU"/>
        </w:rPr>
        <w:t xml:space="preserve">4.4 </w:t>
      </w:r>
      <w:r>
        <w:rPr>
          <w:b/>
          <w:bCs/>
          <w:szCs w:val="22"/>
          <w:lang w:val="hu-HU"/>
        </w:rPr>
        <w:tab/>
        <w:t>Különleges figyelmeztetések és az alkalmazással kapcsolatos óvintézkedések</w:t>
      </w:r>
    </w:p>
    <w:p w:rsidR="00165C1F" w:rsidRDefault="00165C1F">
      <w:pPr>
        <w:widowControl w:val="0"/>
        <w:tabs>
          <w:tab w:val="left" w:pos="567"/>
        </w:tabs>
        <w:contextualSpacing/>
        <w:rPr>
          <w:szCs w:val="22"/>
          <w:lang w:val="hu-HU" w:eastAsia="en-US"/>
        </w:rPr>
      </w:pPr>
    </w:p>
    <w:p w:rsidR="00165C1F" w:rsidRDefault="00457A3F">
      <w:pPr>
        <w:rPr>
          <w:szCs w:val="22"/>
          <w:u w:val="single"/>
          <w:lang w:val="hu-HU"/>
        </w:rPr>
      </w:pPr>
      <w:r>
        <w:rPr>
          <w:szCs w:val="22"/>
          <w:u w:val="single"/>
          <w:lang w:val="hu-HU"/>
        </w:rPr>
        <w:t>Terhesség</w:t>
      </w:r>
    </w:p>
    <w:p w:rsidR="00165C1F" w:rsidRDefault="00457A3F">
      <w:pPr>
        <w:autoSpaceDE w:val="0"/>
        <w:autoSpaceDN w:val="0"/>
        <w:adjustRightInd w:val="0"/>
        <w:contextualSpacing/>
        <w:rPr>
          <w:szCs w:val="22"/>
          <w:lang w:val="hu-HU"/>
        </w:rPr>
      </w:pPr>
      <w:r>
        <w:rPr>
          <w:szCs w:val="22"/>
          <w:lang w:val="hu-HU"/>
        </w:rPr>
        <w:t>Az angiotenzin II-receptor antagonista kezelést a terhesség alatt nem szabad megkezdeni. Hacsak az angiotenzin II-receptor antagonista kezelés folytatását nem tekintik elengedhetetlennek, a terhességet tervező betegeket olyan más antihipertenzív kezelésre kell átállítani, amely esetében igazolt a terhesség alatti alkalmazás biztonságossága. Terhesség megállapításakor az angiotenzin II-receptor antagonista kezelést azonnal abba kell hagyni és, ha szükséges, alternatív kezelést kell kezdeni (lásd 4.3 és 4.6 pont).</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u w:val="single"/>
          <w:lang w:val="hu-HU"/>
        </w:rPr>
      </w:pPr>
      <w:r>
        <w:rPr>
          <w:szCs w:val="22"/>
          <w:u w:val="single"/>
          <w:lang w:val="hu-HU"/>
        </w:rPr>
        <w:t>Májkárosodás</w:t>
      </w:r>
    </w:p>
    <w:p w:rsidR="00165C1F" w:rsidRDefault="00457A3F">
      <w:pPr>
        <w:rPr>
          <w:szCs w:val="22"/>
          <w:lang w:val="hu-HU"/>
        </w:rPr>
      </w:pPr>
      <w:r>
        <w:rPr>
          <w:szCs w:val="22"/>
          <w:lang w:val="hu-HU"/>
        </w:rPr>
        <w:t>A Telmisartan/Hydrochlorothiazide TAD tabletta nem adható cholestasisban, epeúti elzáródással járó betegségekben, vagy súlyos májelégtelenségben (lásd 4.3 pont), mivel a telmizartán javarészt az epével ürül ki a szervezetből. Ezekben a betegekben várhatóan csökkent a telmizartán hepaticus clearance-e.</w:t>
      </w:r>
    </w:p>
    <w:p w:rsidR="00165C1F" w:rsidRDefault="00165C1F">
      <w:pPr>
        <w:autoSpaceDE w:val="0"/>
        <w:autoSpaceDN w:val="0"/>
        <w:adjustRightInd w:val="0"/>
        <w:contextualSpacing/>
        <w:rPr>
          <w:szCs w:val="22"/>
          <w:u w:val="single"/>
          <w:lang w:val="hu-HU"/>
        </w:rPr>
      </w:pPr>
    </w:p>
    <w:p w:rsidR="00165C1F" w:rsidRDefault="00457A3F">
      <w:pPr>
        <w:rPr>
          <w:szCs w:val="22"/>
          <w:lang w:val="hu-HU"/>
        </w:rPr>
      </w:pPr>
      <w:r>
        <w:rPr>
          <w:szCs w:val="22"/>
          <w:lang w:val="hu-HU"/>
        </w:rPr>
        <w:t>Ezen kívül a Telmisartan/Hydrochlorothiazide TAD tablettát károsodott májműködésű vagy progrediáló májbetegségben szenvedő betegeknél körültekintően kell alkalmazni, mert ezekben az állapotokban a folyadék- és elektrolit-háztartás egyensúlyának kisebb megingásai is májkómát idézhetnek elő. Májkárosodásban szenvedő betegek esetében nincsenek klinikai tapasztalatok a Telmisartan/Hydrochlorothiazide TAD alkalmazásával.</w:t>
      </w:r>
    </w:p>
    <w:p w:rsidR="00165C1F" w:rsidRDefault="00165C1F">
      <w:pPr>
        <w:autoSpaceDE w:val="0"/>
        <w:autoSpaceDN w:val="0"/>
        <w:adjustRightInd w:val="0"/>
        <w:contextualSpacing/>
        <w:rPr>
          <w:szCs w:val="22"/>
          <w:u w:val="single"/>
          <w:lang w:val="hu-HU"/>
        </w:rPr>
      </w:pPr>
    </w:p>
    <w:p w:rsidR="00165C1F" w:rsidRDefault="00457A3F">
      <w:pPr>
        <w:rPr>
          <w:szCs w:val="22"/>
          <w:u w:val="single"/>
          <w:lang w:val="hu-HU"/>
        </w:rPr>
      </w:pPr>
      <w:r>
        <w:rPr>
          <w:szCs w:val="22"/>
          <w:u w:val="single"/>
          <w:lang w:val="hu-HU"/>
        </w:rPr>
        <w:t>Renovascularis hypertonia</w:t>
      </w:r>
    </w:p>
    <w:p w:rsidR="00165C1F" w:rsidRDefault="00457A3F">
      <w:pPr>
        <w:rPr>
          <w:szCs w:val="22"/>
          <w:lang w:val="hu-HU"/>
        </w:rPr>
      </w:pPr>
      <w:r>
        <w:rPr>
          <w:szCs w:val="22"/>
          <w:lang w:val="hu-HU"/>
        </w:rPr>
        <w:t>Kétoldali arteria renalis szűkület, vagy az egyetlen működő vese artériájának szűkülete esetén a renin-angiotenzin-aldoszteron rendszerre ható szerekkel végzett kezelés súlyos hypotonia és veseelégtelenség kialakulásának fokozott veszélyével jár.</w:t>
      </w:r>
    </w:p>
    <w:p w:rsidR="00165C1F" w:rsidRDefault="00165C1F">
      <w:pPr>
        <w:autoSpaceDE w:val="0"/>
        <w:autoSpaceDN w:val="0"/>
        <w:adjustRightInd w:val="0"/>
        <w:contextualSpacing/>
        <w:rPr>
          <w:szCs w:val="22"/>
          <w:u w:val="single"/>
          <w:lang w:val="hu-HU"/>
        </w:rPr>
      </w:pPr>
    </w:p>
    <w:p w:rsidR="00165C1F" w:rsidRDefault="00457A3F">
      <w:pPr>
        <w:rPr>
          <w:szCs w:val="22"/>
          <w:u w:val="single"/>
          <w:lang w:val="hu-HU"/>
        </w:rPr>
      </w:pPr>
      <w:r>
        <w:rPr>
          <w:szCs w:val="22"/>
          <w:u w:val="single"/>
          <w:lang w:val="hu-HU"/>
        </w:rPr>
        <w:t>Vesekárosodás és vesetranszplantáció</w:t>
      </w:r>
    </w:p>
    <w:p w:rsidR="00165C1F" w:rsidRDefault="00457A3F">
      <w:pPr>
        <w:rPr>
          <w:szCs w:val="22"/>
          <w:lang w:val="hu-HU"/>
        </w:rPr>
      </w:pPr>
      <w:r>
        <w:rPr>
          <w:szCs w:val="22"/>
          <w:lang w:val="hu-HU"/>
        </w:rPr>
        <w:t>A Telmisartan/Hydrochlorothiazide TAD tablettát nem szabad adni súlyos vesekárosodásban (kreatinin-clearance &lt;30 ml/perc) (lásd 4.3 pont). A közelmúltban veseátültetésen átesett betegek esetében nincs tapasztalat a Telmisartan/Hydrochlorothiazide TAD alkalmazásával. Enyhe- és középsúlyos vesekárosodásban szenvedők Telmisartan/Hydrochlorothiazide TAD kezelésével kevés a tapasztalat, ezért ajánlott időszakosan ellenőrizni a szérum kálium-, kreatinin- és húgysavszintjét. Károsodott veseműködésű betegek esetében tiazid diuretikumok adásakor azotaemia alakulhat ki.</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u w:val="single"/>
          <w:lang w:val="hu-HU"/>
        </w:rPr>
        <w:t>Intravascularis hypovolaemia</w:t>
      </w:r>
    </w:p>
    <w:p w:rsidR="00165C1F" w:rsidRDefault="00457A3F">
      <w:pPr>
        <w:rPr>
          <w:szCs w:val="22"/>
          <w:lang w:val="hu-HU"/>
        </w:rPr>
      </w:pPr>
      <w:r>
        <w:rPr>
          <w:szCs w:val="22"/>
          <w:lang w:val="hu-HU"/>
        </w:rPr>
        <w:t>Tünetekkel járó hypotonia léphet fel – különösen a gyógyszer első adagja után – azoknál a betegeknél, akiknél kifejezett volumen- és/vagy nátriumhiány alakult ki erélyes diuretikum kezelés, az étrendi sóbevitel korlátozása, illetve hasmenés vagy hányás következtében. Ezeket az állapotokat a Telmisartan/Hydrochlorothiazide TAD tabletta adagolásának megkezdése előtt meg kell szüntetni.</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A renin-angiotenzin-aldoszteron rendszer kettős blokádja (RAAS)</w:t>
      </w:r>
    </w:p>
    <w:p w:rsidR="00165C1F" w:rsidRDefault="00457A3F">
      <w:pPr>
        <w:rPr>
          <w:szCs w:val="22"/>
          <w:lang w:val="hu-HU"/>
        </w:rPr>
      </w:pPr>
      <w:r>
        <w:rPr>
          <w:szCs w:val="22"/>
          <w:lang w:val="hu-HU"/>
        </w:rPr>
        <w:t>Bizonyíték van rá, hogy az ACE-gátlók, angiotenzin II receptor blokkolók vagy aliszkirén egyidejű alkalmazása fokozza a hipotónia, hiperkalémia és csökkent veseműködés (beleértve az akut veseelégtelenség) kockázatát. A RAAS ACE-gátlók, angiotenzin II</w:t>
      </w:r>
      <w:r>
        <w:rPr>
          <w:szCs w:val="22"/>
          <w:lang w:val="hu-HU"/>
        </w:rPr>
        <w:noBreakHyphen/>
        <w:t>receptor blokkolók vagy aliszkirén kombinált alkalmazásával történő kettős blokádja ezért nem javasolt (lásd 4.5 és 5.1 pont).</w:t>
      </w:r>
    </w:p>
    <w:p w:rsidR="00165C1F" w:rsidRDefault="00457A3F">
      <w:pPr>
        <w:rPr>
          <w:szCs w:val="22"/>
        </w:rPr>
      </w:pPr>
      <w:r>
        <w:rPr>
          <w:szCs w:val="22"/>
          <w:lang w:val="hu-HU"/>
        </w:rPr>
        <w:t xml:space="preserve">Ha a kettős blokád kezelést abszolút szükségesnek ítélik, ez csak szakorvos felügyeletével, a vesefunkció, elektrolit szintek és a vérnyomás gyakori és szoros ellenőrzése mellett történhet. </w:t>
      </w:r>
      <w:r>
        <w:rPr>
          <w:szCs w:val="22"/>
        </w:rPr>
        <w:t>Az ACE-gátlók és angiotenzin II</w:t>
      </w:r>
      <w:r>
        <w:rPr>
          <w:szCs w:val="22"/>
        </w:rPr>
        <w:noBreakHyphen/>
        <w:t>receptor blokkolók nem alkalmazhatók egyidejűleg diabeteses nephropathiában szenvedő betegeknél.</w:t>
      </w:r>
    </w:p>
    <w:p w:rsidR="00165C1F" w:rsidRDefault="00165C1F">
      <w:pPr>
        <w:rPr>
          <w:szCs w:val="22"/>
          <w:lang w:val="hu-HU"/>
        </w:rPr>
      </w:pPr>
    </w:p>
    <w:p w:rsidR="00165C1F" w:rsidRDefault="00457A3F">
      <w:pPr>
        <w:rPr>
          <w:szCs w:val="22"/>
          <w:u w:val="single"/>
          <w:lang w:val="hu-HU"/>
        </w:rPr>
      </w:pPr>
      <w:r>
        <w:rPr>
          <w:szCs w:val="22"/>
          <w:u w:val="single"/>
          <w:lang w:val="hu-HU"/>
        </w:rPr>
        <w:t>Egyéb, a renin-angiotenzin-aldoszteron rendszer stimulációjával járó állapotok</w:t>
      </w:r>
    </w:p>
    <w:p w:rsidR="00165C1F" w:rsidRDefault="00457A3F">
      <w:pPr>
        <w:rPr>
          <w:szCs w:val="22"/>
          <w:lang w:val="hu-HU"/>
        </w:rPr>
      </w:pPr>
      <w:r>
        <w:rPr>
          <w:szCs w:val="22"/>
          <w:lang w:val="hu-HU"/>
        </w:rPr>
        <w:lastRenderedPageBreak/>
        <w:t>Olyan betegeknél, akik értónusa és vesefunkciója elsősorban a renin-angiotenzin-aldoszteron rendszer aktivitásától függ (például súlyos pangásos szívelégtelenségben, vagy mögöttes vesebetegségben, ideértve a veseartéria-szűkületet is), az erre a rendszerre ható gyógyszerekkel végzett kezelés akut hypotoniával, azotaemiával, oliguriával vagy ritkán akut veseelégtelenséggel társult (lásd 4.8 pont).</w:t>
      </w:r>
    </w:p>
    <w:p w:rsidR="00165C1F" w:rsidRDefault="00165C1F">
      <w:pPr>
        <w:rPr>
          <w:szCs w:val="22"/>
          <w:u w:val="single"/>
          <w:lang w:val="hu-HU"/>
        </w:rPr>
      </w:pPr>
    </w:p>
    <w:p w:rsidR="00165C1F" w:rsidRDefault="00457A3F">
      <w:pPr>
        <w:rPr>
          <w:szCs w:val="22"/>
          <w:u w:val="single"/>
          <w:lang w:val="hu-HU"/>
        </w:rPr>
      </w:pPr>
      <w:r>
        <w:rPr>
          <w:szCs w:val="22"/>
          <w:u w:val="single"/>
          <w:lang w:val="hu-HU"/>
        </w:rPr>
        <w:t>Primer aldosteronismus</w:t>
      </w:r>
    </w:p>
    <w:p w:rsidR="00165C1F" w:rsidRDefault="00457A3F">
      <w:pPr>
        <w:rPr>
          <w:szCs w:val="22"/>
          <w:lang w:val="hu-HU"/>
        </w:rPr>
      </w:pPr>
      <w:r>
        <w:rPr>
          <w:szCs w:val="22"/>
          <w:lang w:val="hu-HU"/>
        </w:rPr>
        <w:t>A primer aldosteronismusban szenvedő betegek általában nem reagálnak a renin-angiotenzin-aldoszteron rendszer gátlásával ható vérnyomáscsökkentőkre, ezért nem ajánlott a Telmisartan/Hydrochlorothiazide TAD alkalmazása.</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Aorta- és mitralis billentyű stenosis, hypertrophiás obstruktív cardiomyopathia</w:t>
      </w:r>
    </w:p>
    <w:p w:rsidR="00165C1F" w:rsidRDefault="00457A3F">
      <w:pPr>
        <w:rPr>
          <w:szCs w:val="22"/>
          <w:lang w:val="hu-HU"/>
        </w:rPr>
      </w:pPr>
      <w:r>
        <w:rPr>
          <w:szCs w:val="22"/>
          <w:lang w:val="hu-HU"/>
        </w:rPr>
        <w:t>Más értágítókhoz hasonlóan fokozott óvatosság javallott aortaszűkület vagy mitralis stenosis és hypertrophiás obstruktív cardiomyopathia esetén.</w:t>
      </w:r>
    </w:p>
    <w:p w:rsidR="00165C1F" w:rsidRDefault="00165C1F">
      <w:pPr>
        <w:rPr>
          <w:szCs w:val="22"/>
          <w:lang w:val="hu-HU"/>
        </w:rPr>
      </w:pPr>
    </w:p>
    <w:p w:rsidR="00165C1F" w:rsidRDefault="00457A3F">
      <w:pPr>
        <w:rPr>
          <w:szCs w:val="22"/>
          <w:u w:val="single"/>
          <w:lang w:val="hu-HU"/>
        </w:rPr>
      </w:pPr>
      <w:r>
        <w:rPr>
          <w:szCs w:val="22"/>
          <w:u w:val="single"/>
          <w:lang w:val="hu-HU"/>
        </w:rPr>
        <w:t>Anyagcsere- és endokrin hatások</w:t>
      </w:r>
    </w:p>
    <w:p w:rsidR="00165C1F" w:rsidRDefault="00457A3F">
      <w:pPr>
        <w:rPr>
          <w:szCs w:val="22"/>
          <w:lang w:val="hu-HU"/>
        </w:rPr>
      </w:pPr>
      <w:r>
        <w:rPr>
          <w:szCs w:val="22"/>
          <w:lang w:val="hu-HU"/>
        </w:rPr>
        <w:t>A tiazidok ronthatják a glükóz-toleranciát, míg az inzulinnal vagy antidiabetikumokkal kezelt cukorbetegeknél hypoglycaemia alakulhat ki telmizartán terápia során. Ezeknél a betegeknél megfontolandó a vércukorszint ellenőrzése; az inzulin vagy az antidiabetikumok adagjának módosítására lehet szükség, ha ez javallott. A látens diabetes manifesztálódhat a tiazid-kezelés során.</w:t>
      </w:r>
    </w:p>
    <w:p w:rsidR="00165C1F" w:rsidRDefault="00165C1F">
      <w:pPr>
        <w:rPr>
          <w:szCs w:val="22"/>
          <w:lang w:val="hu-HU"/>
        </w:rPr>
      </w:pPr>
    </w:p>
    <w:p w:rsidR="00165C1F" w:rsidRDefault="00457A3F">
      <w:pPr>
        <w:rPr>
          <w:szCs w:val="22"/>
          <w:lang w:val="hu-HU"/>
        </w:rPr>
      </w:pPr>
      <w:r>
        <w:rPr>
          <w:szCs w:val="22"/>
          <w:lang w:val="hu-HU"/>
        </w:rPr>
        <w:t>A tiazid diuretikum kezelés a szérum koleszterin- és trigliceridszintek emelkedésével jár. Mindazonáltal a Telmisartan/Hydrochlorothiazide TAD tablettában található 12,5 mg-os adag esetén alig vagy egyáltalán nem számoltak be ilyen hatásról.</w:t>
      </w:r>
    </w:p>
    <w:p w:rsidR="00165C1F" w:rsidRDefault="00457A3F">
      <w:pPr>
        <w:rPr>
          <w:szCs w:val="22"/>
          <w:lang w:val="hu-HU"/>
        </w:rPr>
      </w:pPr>
      <w:r>
        <w:rPr>
          <w:szCs w:val="22"/>
          <w:lang w:val="hu-HU"/>
        </w:rPr>
        <w:t>Egyes, tiaziddal kezelt betegeken hyperuricaemia jelentkezhet, illetve tünetekkel járó köszvény alakulhat ki.</w:t>
      </w:r>
    </w:p>
    <w:p w:rsidR="00165C1F" w:rsidRDefault="00165C1F">
      <w:pPr>
        <w:rPr>
          <w:szCs w:val="22"/>
          <w:lang w:val="hu-HU"/>
        </w:rPr>
      </w:pPr>
    </w:p>
    <w:p w:rsidR="00165C1F" w:rsidRDefault="00457A3F">
      <w:pPr>
        <w:rPr>
          <w:szCs w:val="22"/>
          <w:u w:val="single"/>
          <w:lang w:val="hu-HU"/>
        </w:rPr>
      </w:pPr>
      <w:r>
        <w:rPr>
          <w:szCs w:val="22"/>
          <w:u w:val="single"/>
          <w:lang w:val="hu-HU"/>
        </w:rPr>
        <w:t>Elektrolit-egyensúlyzavar</w:t>
      </w:r>
    </w:p>
    <w:p w:rsidR="00165C1F" w:rsidRDefault="00457A3F">
      <w:pPr>
        <w:autoSpaceDE w:val="0"/>
        <w:autoSpaceDN w:val="0"/>
        <w:adjustRightInd w:val="0"/>
        <w:rPr>
          <w:szCs w:val="22"/>
          <w:lang w:val="hu-HU"/>
        </w:rPr>
      </w:pPr>
      <w:r>
        <w:rPr>
          <w:szCs w:val="22"/>
          <w:lang w:val="hu-HU" w:eastAsia="en-US"/>
        </w:rPr>
        <w:t>Mint a diuretikummal kezelt betegeknél általában, megfelelő időközönként meg kell határozni a szérum-elektrolitok szintjét.</w:t>
      </w:r>
    </w:p>
    <w:p w:rsidR="00165C1F" w:rsidRDefault="00457A3F">
      <w:pPr>
        <w:rPr>
          <w:szCs w:val="22"/>
          <w:lang w:val="hu-HU"/>
        </w:rPr>
      </w:pPr>
      <w:r>
        <w:rPr>
          <w:szCs w:val="22"/>
          <w:lang w:val="hu-HU"/>
        </w:rPr>
        <w:t xml:space="preserve">A tiazidok (például a hidroklorotiazid) felboríthatják a folyadék- és elektrolit-egyensúlyt (hypokalaemia, hyponatraemia és hypochloraemiás alkalosis alakulhat ki). Ennek figyelmeztető jelei: szájszárazság, szomjúság, gyengeség, levertség, álmosság, nyugtalanság, izomfájdalmak vagy </w:t>
      </w:r>
      <w:r>
        <w:rPr>
          <w:szCs w:val="22"/>
          <w:lang w:val="hu-HU"/>
        </w:rPr>
        <w:noBreakHyphen/>
        <w:t>görcsök, izomfáradtság, alacsony vérnyomás, oliguria, tachycardia, gastrointestinális zavarok, például hányinger, hányás (lásd 4.8 pont).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w:t>
      </w:r>
      <w:r>
        <w:rPr>
          <w:szCs w:val="22"/>
          <w:lang w:val="hu-HU"/>
        </w:rPr>
        <w:tab/>
        <w:t>Hypokalaemia</w:t>
      </w:r>
    </w:p>
    <w:p w:rsidR="00165C1F" w:rsidRDefault="00457A3F">
      <w:pPr>
        <w:rPr>
          <w:szCs w:val="22"/>
          <w:lang w:val="hu-HU"/>
        </w:rPr>
      </w:pPr>
      <w:r>
        <w:rPr>
          <w:szCs w:val="22"/>
          <w:lang w:val="hu-HU"/>
        </w:rPr>
        <w:t>Noha a tiazid diuretikumok alkalmazása során kialakulhat hypokalaemia, az egyidejűleg alkalmazott telmizartán csökkentheti a diuretikum okozta hypokalaemiát. A hypokalaemia kockázata nagyobb májcirrhotikus betegeknél, élénk diuresis esetén, elégtelen perorális elektrolit-bevitel mellett, továbbá egyidejű kortikoszteroid-, vagy adrenokortikotrop hormon (ACTH)-kezelés során (lásd 4.5 pont).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w:t>
      </w:r>
      <w:r>
        <w:rPr>
          <w:szCs w:val="22"/>
          <w:lang w:val="hu-HU"/>
        </w:rPr>
        <w:tab/>
        <w:t>Hyperkalaemia</w:t>
      </w:r>
    </w:p>
    <w:p w:rsidR="00165C1F" w:rsidRDefault="00457A3F">
      <w:pPr>
        <w:rPr>
          <w:szCs w:val="22"/>
          <w:lang w:val="hu-HU"/>
        </w:rPr>
      </w:pPr>
      <w:r>
        <w:rPr>
          <w:szCs w:val="22"/>
          <w:lang w:val="hu-HU"/>
        </w:rPr>
        <w:t>Ezzel ellentétben a Telmisartan/Hydrochlorothiazide TAD telmizartán összetevőjének angiotenzin II</w:t>
      </w:r>
      <w:r>
        <w:rPr>
          <w:szCs w:val="22"/>
          <w:lang w:val="hu-HU"/>
        </w:rPr>
        <w:noBreakHyphen/>
        <w:t xml:space="preserve"> (AT</w:t>
      </w:r>
      <w:r>
        <w:rPr>
          <w:szCs w:val="22"/>
          <w:vertAlign w:val="subscript"/>
          <w:lang w:val="hu-HU"/>
        </w:rPr>
        <w:t>1</w:t>
      </w:r>
      <w:r>
        <w:rPr>
          <w:szCs w:val="22"/>
          <w:lang w:val="hu-HU"/>
        </w:rPr>
        <w:noBreakHyphen/>
        <w:t>) receptorokat gátló hatása miatt hyperkalaemia fordulhat elő. Jóllehet a Telmisartan/Hydrochlorothiazide TAD alkalmazása során nem észleltek klinikai szempontból számottevő hyperkalaemiát, a hyperkalaemia kialakulásának kockázati tényezői többek között a károsodott veseműködés és/vagy a szívelégtelenség, továbbá a diabetes mellitus. Kálium-megtakarító diuretikumokat, káliumpótló készítményeket, illetve káliumot tartalmazó sóhelyettesítő készítményeket körültekintően kell együtt adni a Telmisartan/Hydrochlorothiazide TAD tablettával (lásd 4.5 pont).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w:t>
      </w:r>
      <w:r>
        <w:rPr>
          <w:szCs w:val="22"/>
          <w:lang w:val="hu-HU"/>
        </w:rPr>
        <w:tab/>
        <w:t>Hyponatraemia és hypochloraemiás alkalosis</w:t>
      </w:r>
    </w:p>
    <w:p w:rsidR="00165C1F" w:rsidRDefault="00457A3F">
      <w:pPr>
        <w:rPr>
          <w:szCs w:val="22"/>
          <w:lang w:val="hu-HU"/>
        </w:rPr>
      </w:pPr>
      <w:r>
        <w:rPr>
          <w:szCs w:val="22"/>
          <w:lang w:val="hu-HU"/>
        </w:rPr>
        <w:t>Nincs bizonyíték arra, hogy a Telmisartan/Hydrochlorothiazide TAD csökkentené vagy megelőzné a diuretikum-okozta hyponatraemiát. A klorid-hiány rendszerint enyhe és általában nem igényel kezelést.</w:t>
      </w:r>
    </w:p>
    <w:p w:rsidR="00165C1F" w:rsidRDefault="00165C1F">
      <w:pPr>
        <w:rPr>
          <w:szCs w:val="22"/>
          <w:lang w:val="hu-HU"/>
        </w:rPr>
      </w:pPr>
    </w:p>
    <w:p w:rsidR="00165C1F" w:rsidRDefault="00457A3F">
      <w:pPr>
        <w:rPr>
          <w:szCs w:val="22"/>
          <w:lang w:val="hu-HU"/>
        </w:rPr>
      </w:pPr>
      <w:r>
        <w:rPr>
          <w:szCs w:val="22"/>
          <w:lang w:val="hu-HU"/>
        </w:rPr>
        <w:t>-</w:t>
      </w:r>
      <w:r>
        <w:rPr>
          <w:szCs w:val="22"/>
          <w:lang w:val="hu-HU"/>
        </w:rPr>
        <w:tab/>
        <w:t>Hypercalcaemia</w:t>
      </w:r>
    </w:p>
    <w:p w:rsidR="00165C1F" w:rsidRDefault="00457A3F">
      <w:pPr>
        <w:rPr>
          <w:szCs w:val="22"/>
          <w:lang w:val="hu-HU"/>
        </w:rPr>
      </w:pPr>
      <w:r>
        <w:rPr>
          <w:szCs w:val="22"/>
          <w:lang w:val="hu-HU"/>
        </w:rPr>
        <w:lastRenderedPageBreak/>
        <w:t>A tiazidok csökkenthetik a vizelettel történő kalcium-ürítést, illetve a szérum kalcium szint intermittáló és csekély mértékű emelkedését idézhetik elő a kalcium-anyagcsere ismert rendellenességeinek fennállása nélkül. A kifejezett hypercalcaemia látens hyperparathyreosis jele lehet. A mellékpajzsmirigy-funkciós vizsgálatok elvégzése előtt fel kell függeszteni a tiazidok adását.</w:t>
      </w:r>
    </w:p>
    <w:p w:rsidR="00165C1F" w:rsidRDefault="00165C1F">
      <w:pPr>
        <w:autoSpaceDE w:val="0"/>
        <w:autoSpaceDN w:val="0"/>
        <w:adjustRightInd w:val="0"/>
        <w:contextualSpacing/>
        <w:rPr>
          <w:szCs w:val="22"/>
          <w:lang w:val="hu-HU"/>
        </w:rPr>
      </w:pPr>
    </w:p>
    <w:p w:rsidR="00165C1F" w:rsidRDefault="00457A3F">
      <w:pPr>
        <w:keepNext/>
        <w:rPr>
          <w:szCs w:val="22"/>
          <w:lang w:val="hu-HU"/>
        </w:rPr>
      </w:pPr>
      <w:r>
        <w:rPr>
          <w:szCs w:val="22"/>
          <w:lang w:val="hu-HU"/>
        </w:rPr>
        <w:t>-</w:t>
      </w:r>
      <w:r>
        <w:rPr>
          <w:szCs w:val="22"/>
          <w:lang w:val="hu-HU"/>
        </w:rPr>
        <w:tab/>
        <w:t>Hypomagnesaemia</w:t>
      </w:r>
    </w:p>
    <w:p w:rsidR="00165C1F" w:rsidRDefault="00457A3F">
      <w:pPr>
        <w:rPr>
          <w:szCs w:val="22"/>
          <w:lang w:val="hu-HU"/>
        </w:rPr>
      </w:pPr>
      <w:r>
        <w:rPr>
          <w:szCs w:val="22"/>
          <w:lang w:val="hu-HU"/>
        </w:rPr>
        <w:t>A tiazidok bizonyítottan fokozzák a magnézium-ürítést a vizelettel, emiatt hypomagnesaemia alakulhat ki (lásd 4.5 pont).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Laktóz-monohidrát, szorbit és nátrium</w:t>
      </w:r>
    </w:p>
    <w:p w:rsidR="00165C1F" w:rsidRDefault="00457A3F">
      <w:pPr>
        <w:rPr>
          <w:szCs w:val="22"/>
          <w:lang w:val="hu-HU"/>
        </w:rPr>
      </w:pPr>
      <w:r>
        <w:rPr>
          <w:szCs w:val="22"/>
          <w:lang w:val="hu-HU"/>
        </w:rPr>
        <w:t>Ez a gyógyszer laktóz-monohidrátot tartalmaz. Ritkán előforduló, örökletes galaktóz-intoleranciában, teljes laktázhiányban vagy glükóz-galaktóz malabszorpcióban a készítmény nem szedhető.</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Telmisartan/Hydrochlorothiazide TAD 40 mg/12,5 mg tabletta 147,04 mg szorbitot tartalmaz tablettánként, ami megfelel 5 mg/ttkg/nap mennyiségnek 29,8 kg-os testtömeg esetén.</w:t>
      </w:r>
    </w:p>
    <w:p w:rsidR="00165C1F" w:rsidRDefault="00457A3F">
      <w:pPr>
        <w:rPr>
          <w:szCs w:val="22"/>
          <w:lang w:val="hu-HU"/>
        </w:rPr>
      </w:pPr>
      <w:r>
        <w:rPr>
          <w:szCs w:val="22"/>
          <w:lang w:val="hu-HU"/>
        </w:rPr>
        <w:t>Az egyidejűleg alkalmazott szorbit (vagy fruktóz) tartalmú készítmények vagy a szorbit (vagy fruktóz) táplálékkel történő bevitelének additív hatását figyelembe kell venni. A szájon át alkalmazott gyógyszerek szorbittartalma befolyásolhatja az egyidejűleg alkalmazott egyéb, szájon át alkalmazandó gyógyszerek biohasznosulását.</w:t>
      </w:r>
    </w:p>
    <w:p w:rsidR="00165C1F" w:rsidRDefault="00165C1F">
      <w:pPr>
        <w:rPr>
          <w:szCs w:val="22"/>
          <w:lang w:val="hu-HU"/>
        </w:rPr>
      </w:pPr>
    </w:p>
    <w:p w:rsidR="00165C1F" w:rsidRDefault="00457A3F">
      <w:pPr>
        <w:rPr>
          <w:szCs w:val="22"/>
          <w:lang w:val="hu-HU"/>
        </w:rPr>
      </w:pPr>
      <w:r>
        <w:rPr>
          <w:szCs w:val="22"/>
          <w:lang w:val="hu-HU"/>
        </w:rPr>
        <w:t>A Telmisartan/Hydrochlorothiazide TAD 80 mg/12,5 mg tabletta és a Telmisartan/Hydrochlorothiazide TAD 80 mg/25 mg tabletta 294,08 mg szorbitot tartalmaz tablettánként, ami megfelel 5 mg/ttkg/nap mennyiségnek 58,8 kg-os testtömeg esetén.</w:t>
      </w:r>
    </w:p>
    <w:p w:rsidR="00165C1F" w:rsidRDefault="00457A3F">
      <w:pPr>
        <w:rPr>
          <w:szCs w:val="22"/>
        </w:rPr>
      </w:pPr>
      <w:r>
        <w:rPr>
          <w:szCs w:val="22"/>
          <w:lang w:val="hu-HU"/>
        </w:rPr>
        <w:t xml:space="preserve">Az egyidejűleg alkalmazott szorbit (vagy fruktóz) tartalmú készítmények vagy a szorbit (vagy fruktóz) táplálékkel történő bevitelének additív hatását figyelembe kell venni. A szájon át alkalmazott gyógyszerek szorbittartalma befolyásolhatja az egyidejűleg alkalmazott egyéb, szájon át alkalmazandó gyógyszerek biohasznosulását. </w:t>
      </w:r>
      <w:r>
        <w:rPr>
          <w:szCs w:val="22"/>
        </w:rPr>
        <w:t>Örökletes fruktózintoleranciában szenvedő, 58,8 kg vagy kisebb testtömegű betegeknél (≥5 mg/ttkg/nap adag) ez a gyógyszer</w:t>
      </w:r>
      <w:r>
        <w:rPr>
          <w:szCs w:val="22"/>
          <w:lang w:val="hu-HU"/>
        </w:rPr>
        <w:t xml:space="preserve"> </w:t>
      </w:r>
      <w:r>
        <w:rPr>
          <w:szCs w:val="22"/>
        </w:rPr>
        <w:t>nem alkalmazható, kivéve ha feltétlenül szükséges.</w:t>
      </w:r>
    </w:p>
    <w:p w:rsidR="00165C1F" w:rsidRDefault="00165C1F">
      <w:pPr>
        <w:rPr>
          <w:szCs w:val="22"/>
          <w:lang w:val="hu-HU"/>
        </w:rPr>
      </w:pPr>
    </w:p>
    <w:p w:rsidR="00165C1F" w:rsidRDefault="00457A3F">
      <w:pPr>
        <w:rPr>
          <w:szCs w:val="22"/>
          <w:lang w:val="hu-HU"/>
        </w:rPr>
      </w:pPr>
      <w:r>
        <w:rPr>
          <w:szCs w:val="22"/>
          <w:lang w:val="hu-HU"/>
        </w:rPr>
        <w:t xml:space="preserve">A készítmény </w:t>
      </w:r>
      <w:proofErr w:type="gramStart"/>
      <w:r>
        <w:rPr>
          <w:szCs w:val="22"/>
          <w:lang w:val="hu-HU"/>
        </w:rPr>
        <w:t>kevesebb</w:t>
      </w:r>
      <w:proofErr w:type="gramEnd"/>
      <w:r>
        <w:rPr>
          <w:szCs w:val="22"/>
          <w:lang w:val="hu-HU"/>
        </w:rPr>
        <w:t xml:space="preserve"> mint 1 mmol (23 mg) nátriumot tartalmaz tablettánként, azaz gyakorlatilag „nátriummentes”.</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Etnikai különbségek</w:t>
      </w:r>
    </w:p>
    <w:p w:rsidR="00165C1F" w:rsidRDefault="00457A3F">
      <w:pPr>
        <w:rPr>
          <w:szCs w:val="22"/>
          <w:lang w:val="hu-HU"/>
        </w:rPr>
      </w:pPr>
      <w:r>
        <w:rPr>
          <w:szCs w:val="22"/>
          <w:lang w:val="hu-HU"/>
        </w:rPr>
        <w:t>Minden más angiotenzin II-receptor antagonistához hasonlóan a telmizartán is kevésbé hatásos vérnyomáscsökkentőnek tűnik fekete bőrű betegekben, mint nem fekete bőrű betegekben. Ennek feltehetően az az oka, hogy a fekete bőrű hypertoniás populációban magasabb az alacsony renin szinttel járó állapotok prevalenciája.</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Egyéb</w:t>
      </w:r>
    </w:p>
    <w:p w:rsidR="00165C1F" w:rsidRDefault="00457A3F">
      <w:pPr>
        <w:rPr>
          <w:szCs w:val="22"/>
          <w:lang w:val="hu-HU"/>
        </w:rPr>
      </w:pPr>
      <w:r>
        <w:rPr>
          <w:szCs w:val="22"/>
          <w:lang w:val="hu-HU"/>
        </w:rPr>
        <w:t>Mint bármelyik vérnyomáscsökkentő szer esetében, a vérnyomás túlzott mértékű csökkenése ischaemiás szív-, vagy szív-érrendszeri betegségben myocardialis infarctus vagy stroke kialakulásához vezethet.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Általános</w:t>
      </w:r>
    </w:p>
    <w:p w:rsidR="00165C1F" w:rsidRDefault="00457A3F">
      <w:pPr>
        <w:rPr>
          <w:szCs w:val="22"/>
          <w:lang w:val="hu-HU"/>
        </w:rPr>
      </w:pPr>
      <w:r>
        <w:rPr>
          <w:szCs w:val="22"/>
          <w:lang w:val="hu-HU"/>
        </w:rPr>
        <w:t>A hidroklorotiaziddal szembeni túlérzékenységi reakció nemcsak olyan betegek esetében fordulhat elő, akiknek kórelőzményében allergia vagy hörgőasztma szerepel, de nagyobb a valószínűsége ilyen kórelőzmény esetén. Tiazid-diuretikumokkal (például hidroklorotiaziddal) kezelt betegek esetében szisztémás lupus erythematosus akut fellángolásáról vagy aktiválódásáról számoltak be.</w:t>
      </w:r>
    </w:p>
    <w:p w:rsidR="00165C1F" w:rsidRDefault="00457A3F">
      <w:pPr>
        <w:rPr>
          <w:szCs w:val="22"/>
          <w:lang w:val="hu-HU"/>
        </w:rPr>
      </w:pPr>
      <w:r>
        <w:rPr>
          <w:szCs w:val="22"/>
          <w:lang w:val="hu-HU"/>
        </w:rPr>
        <w:t>Tiazid-diuretikumokkal kapcsolatban fényérzékenységi reakciók eseteit jelentették (lásd 4.8 pont). Ha a kezelés során fényérzékenységi reakció jelentkezik, ajánlott leállítani a kezelést. Ha a diuretikum ismételt adását szükségesnek ítélik, ajánlatos óvni a napfénytől vagy a mesterséges UVA sugárzástól a fedetlen bőrterületeket.</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u w:val="single"/>
          <w:lang w:val="hu-HU"/>
        </w:rPr>
        <w:t>Choroidealis effusio, akut myopia és szekunder zárt zugú glaucoma</w:t>
      </w:r>
    </w:p>
    <w:p w:rsidR="00165C1F" w:rsidRDefault="00457A3F">
      <w:pPr>
        <w:autoSpaceDE w:val="0"/>
        <w:autoSpaceDN w:val="0"/>
        <w:adjustRightInd w:val="0"/>
        <w:contextualSpacing/>
        <w:rPr>
          <w:szCs w:val="22"/>
          <w:lang w:val="hu-HU"/>
        </w:rPr>
      </w:pPr>
      <w:r>
        <w:rPr>
          <w:szCs w:val="22"/>
          <w:lang w:val="hu-HU"/>
        </w:rPr>
        <w:t xml:space="preserve">A szulfonamid vagy szulfonamid származék gyógyszerek idioszinkráziás reakciót válthatnak ki, amely látótérkieséssel járó choroidealis effusiót, átmeneti myopiát és akut zárt zugú glaucomát </w:t>
      </w:r>
      <w:r>
        <w:rPr>
          <w:szCs w:val="22"/>
          <w:lang w:val="hu-HU"/>
        </w:rPr>
        <w:lastRenderedPageBreak/>
        <w:t>eredményezhet. Tünetként többek között a látásélesség hirtelen csökkenése vagy szemfájdalom jelentkezhet, jellemzően a gyógyszer szedésének megkezdése után, órákon-heteken belül. A kezeletlen akut zárt zugú glaucoma maradandó látásvesztéshez vezethet. Az elsődleges kezelés a gyógyszer szedésének abbahagyása a lehető leghamarabb. Ha nem csökken az intraoculáris nyomás, szükségessé válhat mérlegelni az azonnali gyógyszeres vagy műtéti kezelést. Az akut zárt zugú glaucoma kialakulásának kockázati tényezői közé tartozhat a szulfonamid- vagy penicillin-allergia a kórelőzményben.</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u w:val="single"/>
          <w:lang w:val="hu-HU"/>
        </w:rPr>
      </w:pPr>
      <w:r>
        <w:rPr>
          <w:szCs w:val="22"/>
          <w:u w:val="single"/>
          <w:lang w:val="hu-HU"/>
        </w:rPr>
        <w:t>Nem melanoma típusú bőrrák</w:t>
      </w:r>
    </w:p>
    <w:p w:rsidR="00165C1F" w:rsidRDefault="00457A3F">
      <w:pPr>
        <w:autoSpaceDE w:val="0"/>
        <w:autoSpaceDN w:val="0"/>
        <w:adjustRightInd w:val="0"/>
        <w:contextualSpacing/>
        <w:rPr>
          <w:szCs w:val="22"/>
          <w:lang w:val="hu-HU"/>
        </w:rPr>
      </w:pPr>
      <w:r>
        <w:rPr>
          <w:szCs w:val="22"/>
          <w:lang w:val="hu-HU"/>
        </w:rPr>
        <w:t>A nem melanoma típusú bőrrák (NMSC) [bazálsejtes rák (BCC) és laphámsejtes rák (SCC)] megnövekedett kockázatát figyelték meg a hidroklorotiazid (HCTZ) növekvő kumulatív dózisával összefüggésben a Dán Nemzeti Rákregiszteren alapuló két epidemiológiai tanulmányban. Az NMSC lehetséges mechanizmusa a HCTZ fotoszenzitivitást okozó hatása.</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A HCTZ-t szedő betegeket tájékoztatni kell az NMSC kockázatáról, valamint arról, hogy rendszeresen ellenőrizzék bőrüket – különös tekintettel az esetleges új elváltozásokra – és haladéktalanul jelentsenek minden gyanús bőrelváltozást. A bőrrák kockázatának minimalizálása érdekében a betegeket tanáccsal kell ellátni a lehetséges megelőző intézkedésekkel, például a napfény és az UV</w:t>
      </w:r>
      <w:r>
        <w:rPr>
          <w:szCs w:val="22"/>
          <w:lang w:val="hu-HU"/>
        </w:rPr>
        <w:noBreakHyphen/>
        <w:t>sugárzás korlátozásával, valamint a napfénynek való kitettség esetén a megfelelő védelem alkalmazásával kapcsolatban. A gyanús bőrelváltozásokat azonnal meg kell vizsgálni, potenciálisan beleértve a biopsziás szövettani vizsgálatokat is. Azoknál a betegeknél, akiknél korábban NMSC-t diagnosztizáltak, a HCTZ használatát felül kell vizsgálni (lásd még 4.8 pont).</w:t>
      </w:r>
    </w:p>
    <w:p w:rsidR="00165C1F" w:rsidRDefault="00165C1F">
      <w:pPr>
        <w:pStyle w:val="Default"/>
        <w:rPr>
          <w:i/>
          <w:iCs/>
          <w:sz w:val="22"/>
          <w:szCs w:val="22"/>
          <w:u w:val="single"/>
        </w:rPr>
      </w:pPr>
    </w:p>
    <w:p w:rsidR="00165C1F" w:rsidRDefault="00457A3F">
      <w:pPr>
        <w:pStyle w:val="Default"/>
        <w:rPr>
          <w:iCs/>
          <w:sz w:val="22"/>
          <w:szCs w:val="22"/>
          <w:u w:val="single"/>
        </w:rPr>
      </w:pPr>
      <w:r>
        <w:rPr>
          <w:iCs/>
          <w:sz w:val="22"/>
          <w:szCs w:val="22"/>
          <w:u w:val="single"/>
        </w:rPr>
        <w:t>Akut légzőszervi toxicitás</w:t>
      </w:r>
    </w:p>
    <w:p w:rsidR="00165C1F" w:rsidRDefault="00457A3F">
      <w:pPr>
        <w:pStyle w:val="BodyText1"/>
        <w:widowControl/>
        <w:spacing w:before="0" w:line="240" w:lineRule="auto"/>
        <w:jc w:val="left"/>
        <w:rPr>
          <w:bCs/>
          <w:iCs/>
          <w:sz w:val="22"/>
          <w:szCs w:val="22"/>
          <w:lang w:val="hu-HU"/>
        </w:rPr>
      </w:pPr>
      <w:r>
        <w:rPr>
          <w:sz w:val="22"/>
          <w:szCs w:val="22"/>
          <w:lang w:val="sl-SI"/>
        </w:rPr>
        <w:t>Hidroklorotiazid bevételét követően nagyon ritkán akut légzőszervi toxicitásról, többek között akut respirációs distressz szindrómáról (ARDS) számoltak be. Pulmonális ödéma jellemzően a hidroklorotiazid bevételét követően perceken vagy órákon belül alakul ki. A jelentkezésekor fellépő tünetek közé tartozik a nehézlégzés, a láz, a légzőszervi tünetek romlása és az alacsony vérnyomás. Amennyiben felmerül az ARDS gyanúja, a Telmisartan/Hydrochlorothiazide TAD adását le kell állítani és megfelelő kezelést kell alkalmazni. Nem adható hidroklorotiazid olyan betegeknek, akiknél a hidroklorotiazid bevételét követően korábban ARDS lépett fel.</w:t>
      </w:r>
    </w:p>
    <w:p w:rsidR="00165C1F" w:rsidRDefault="00165C1F">
      <w:pPr>
        <w:autoSpaceDE w:val="0"/>
        <w:autoSpaceDN w:val="0"/>
        <w:adjustRightInd w:val="0"/>
        <w:contextualSpacing/>
        <w:rPr>
          <w:szCs w:val="22"/>
          <w:lang w:val="hu-HU"/>
        </w:rPr>
      </w:pPr>
    </w:p>
    <w:p w:rsidR="00165C1F" w:rsidRDefault="00457A3F">
      <w:pPr>
        <w:rPr>
          <w:b/>
          <w:bCs/>
          <w:szCs w:val="22"/>
          <w:lang w:val="hu-HU"/>
        </w:rPr>
      </w:pPr>
      <w:r>
        <w:rPr>
          <w:b/>
          <w:bCs/>
          <w:szCs w:val="22"/>
          <w:lang w:val="hu-HU"/>
        </w:rPr>
        <w:t xml:space="preserve">4.5 </w:t>
      </w:r>
      <w:r>
        <w:rPr>
          <w:b/>
          <w:bCs/>
          <w:szCs w:val="22"/>
          <w:lang w:val="hu-HU"/>
        </w:rPr>
        <w:tab/>
        <w:t>Gyógyszerkölcsönhatások és egyéb interakciók</w:t>
      </w:r>
    </w:p>
    <w:p w:rsidR="00165C1F" w:rsidRDefault="00165C1F">
      <w:pPr>
        <w:rPr>
          <w:szCs w:val="22"/>
          <w:lang w:val="hu-HU"/>
        </w:rPr>
      </w:pPr>
    </w:p>
    <w:p w:rsidR="00165C1F" w:rsidRDefault="00457A3F">
      <w:pPr>
        <w:rPr>
          <w:szCs w:val="22"/>
          <w:u w:val="single"/>
          <w:lang w:val="hu-HU"/>
        </w:rPr>
      </w:pPr>
      <w:r>
        <w:rPr>
          <w:szCs w:val="22"/>
          <w:u w:val="single"/>
          <w:lang w:val="hu-HU"/>
        </w:rPr>
        <w:t>Lítium</w:t>
      </w:r>
    </w:p>
    <w:p w:rsidR="00165C1F" w:rsidRDefault="00457A3F">
      <w:pPr>
        <w:rPr>
          <w:szCs w:val="22"/>
          <w:lang w:val="hu-HU"/>
        </w:rPr>
      </w:pPr>
      <w:r>
        <w:rPr>
          <w:szCs w:val="22"/>
          <w:lang w:val="hu-HU"/>
        </w:rPr>
        <w:t>A szérum lítium koncentrációjának reverzibilis emelkedéséről, illetve toxicitásának fokozódásáról számoltak be lítium és ACE-gátló egyidejű alkalmazása során. Ritka esetekről angiotenzin II-receptor antagonisták (például Telmisartan/Hydrochlorothiazide TAD) adásakor is beszámoltak. A lítium és a Telmisartan/Hydrochlorothiazide TAD egyidejű alkalmazása nem ajánlott (lásd 4.4 pont). Ha ez a kombináció nélkülözhetetlennek bizonyul, akkor az egyidejű alkalmazás során ajánlott a szérum lítium szintjének gondos monitorozása.</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u w:val="single"/>
          <w:lang w:val="hu-HU"/>
        </w:rPr>
        <w:t>Gyógyszerek, melyek alkalmazása káliumvesztéssel és hypokalaemiával jár</w:t>
      </w:r>
      <w:r>
        <w:rPr>
          <w:szCs w:val="22"/>
          <w:lang w:val="hu-HU"/>
        </w:rPr>
        <w:t xml:space="preserve"> (például káliumürítést fokozó egyéb diuretikumok, hashajtók, kortikoszteroidok, ACTH, amfotericin, karbenoxolon, penicillin G nátrium, szalicilsav és származékai).</w:t>
      </w:r>
    </w:p>
    <w:p w:rsidR="00165C1F" w:rsidRDefault="00457A3F">
      <w:pPr>
        <w:rPr>
          <w:szCs w:val="22"/>
          <w:lang w:val="hu-HU"/>
        </w:rPr>
      </w:pPr>
      <w:r>
        <w:rPr>
          <w:szCs w:val="22"/>
          <w:lang w:val="hu-HU"/>
        </w:rPr>
        <w:t>Ilyen anyagok és hidroklorotiazid-telmizartán kombináció egyidejű alkalmazásakor tanácsos ellenőrizni a plazma káliumszintjét. Ezek a gyógyszerek potencírozhatják a hidroklorotiazid szérum káliumszintre kifejtett hatását (lásd 4.4 pont).</w:t>
      </w:r>
    </w:p>
    <w:p w:rsidR="00165C1F" w:rsidRDefault="00165C1F">
      <w:pPr>
        <w:rPr>
          <w:szCs w:val="22"/>
          <w:lang w:val="hu-HU"/>
        </w:rPr>
      </w:pPr>
    </w:p>
    <w:p w:rsidR="00165C1F" w:rsidRDefault="00457A3F">
      <w:pPr>
        <w:rPr>
          <w:szCs w:val="22"/>
          <w:lang w:val="hu-HU"/>
        </w:rPr>
      </w:pPr>
      <w:r>
        <w:rPr>
          <w:szCs w:val="22"/>
          <w:u w:val="single"/>
          <w:lang w:val="hu-HU"/>
        </w:rPr>
        <w:t>A káliumszintet potenciálisan emelő, hyperkalaemiát okozó gyógyszerek</w:t>
      </w:r>
      <w:r>
        <w:rPr>
          <w:szCs w:val="22"/>
          <w:lang w:val="hu-HU"/>
        </w:rPr>
        <w:t xml:space="preserve"> (például ACE-inhibitorok, káliummegtakarító diuretikumok, káliumpótló készítmények, káliumot tartalmazó sóhelyettesítő készítmények, ciklosporin és más gyógyszerek, például heparin-nátrium)</w:t>
      </w:r>
    </w:p>
    <w:p w:rsidR="00165C1F" w:rsidRDefault="00457A3F">
      <w:pPr>
        <w:rPr>
          <w:szCs w:val="22"/>
          <w:lang w:val="hu-HU"/>
        </w:rPr>
      </w:pPr>
      <w:r>
        <w:rPr>
          <w:szCs w:val="22"/>
          <w:lang w:val="hu-HU"/>
        </w:rPr>
        <w:t>Ha ezeket a gyógyszereket a hidroklorotiazid-telmizartán kombinációval együtt alkalmazzák, tanácsos ellenőrizni a plazma káliumszintjét. Más, a renin-angiotenzin rendszert gátló gyógyszerek alkalmazásával szerzett tapasztalatok alapján a felsorolt gyógyszerek egyidejű alkalmazása a szérum káliumszint emelkedéséhez vezethet, ezért nem ajánlott (lásd 4.4 pont).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lastRenderedPageBreak/>
        <w:t>Gyógyszerek, amelyeket befolyásolnak a szérum káliumszint zavarai</w:t>
      </w:r>
    </w:p>
    <w:p w:rsidR="00165C1F" w:rsidRDefault="00457A3F">
      <w:pPr>
        <w:rPr>
          <w:szCs w:val="22"/>
          <w:lang w:val="hu-HU"/>
        </w:rPr>
      </w:pPr>
      <w:r>
        <w:rPr>
          <w:szCs w:val="22"/>
          <w:lang w:val="hu-HU"/>
        </w:rPr>
        <w:t>A szérum káliumszint időszakos ellenőrzése és EKG készítése ajánlott, ha a Telmisartan/Hydrochlorothiazide TAD-ot ilyen, a szérum káliumszint zavaraira ható gyógyszerekkel (például digitálisz glikozidok, antiarrhythmiás szerek), valamint a következő, torsades de pointes ritmuszavart kiváltó gyógyszerekkel (köztük egyes antiarrhythmiás szerekkel) adják együtt, mivel a hypokalaemia torsades de pointes kialakulására hajlamosít:</w:t>
      </w:r>
    </w:p>
    <w:p w:rsidR="00165C1F" w:rsidRDefault="00457A3F">
      <w:pPr>
        <w:ind w:left="284" w:hanging="284"/>
        <w:rPr>
          <w:szCs w:val="22"/>
          <w:lang w:val="hu-HU"/>
        </w:rPr>
      </w:pPr>
      <w:r>
        <w:rPr>
          <w:szCs w:val="22"/>
          <w:lang w:val="hu-HU"/>
        </w:rPr>
        <w:t>-</w:t>
      </w:r>
      <w:r>
        <w:rPr>
          <w:szCs w:val="22"/>
          <w:lang w:val="hu-HU"/>
        </w:rPr>
        <w:tab/>
        <w:t xml:space="preserve">I </w:t>
      </w:r>
      <w:proofErr w:type="gramStart"/>
      <w:r>
        <w:rPr>
          <w:szCs w:val="22"/>
          <w:lang w:val="hu-HU"/>
        </w:rPr>
        <w:t>a</w:t>
      </w:r>
      <w:proofErr w:type="gramEnd"/>
      <w:r>
        <w:rPr>
          <w:szCs w:val="22"/>
          <w:lang w:val="hu-HU"/>
        </w:rPr>
        <w:t xml:space="preserve"> osztályú antiarryhythmiás szerek (például kinidin, hidrokinidin, dizopiramid)</w:t>
      </w:r>
    </w:p>
    <w:p w:rsidR="00165C1F" w:rsidRDefault="00457A3F">
      <w:pPr>
        <w:ind w:left="284" w:hanging="284"/>
        <w:rPr>
          <w:szCs w:val="22"/>
          <w:lang w:val="hu-HU"/>
        </w:rPr>
      </w:pPr>
      <w:r>
        <w:rPr>
          <w:szCs w:val="22"/>
          <w:lang w:val="hu-HU"/>
        </w:rPr>
        <w:t>-</w:t>
      </w:r>
      <w:r>
        <w:rPr>
          <w:szCs w:val="22"/>
          <w:lang w:val="hu-HU"/>
        </w:rPr>
        <w:tab/>
        <w:t>III osztályú antiarryhythmiás szerek (például amiodaron, szotalol, dofetilid, ibutilid)</w:t>
      </w:r>
    </w:p>
    <w:p w:rsidR="00165C1F" w:rsidRDefault="00457A3F">
      <w:pPr>
        <w:ind w:left="284" w:hanging="284"/>
        <w:rPr>
          <w:szCs w:val="22"/>
          <w:lang w:val="hu-HU"/>
        </w:rPr>
      </w:pPr>
      <w:r>
        <w:rPr>
          <w:szCs w:val="22"/>
          <w:lang w:val="hu-HU"/>
        </w:rPr>
        <w:t>-</w:t>
      </w:r>
      <w:r>
        <w:rPr>
          <w:szCs w:val="22"/>
          <w:lang w:val="hu-HU"/>
        </w:rPr>
        <w:tab/>
        <w:t>egyes antipszichotikumok (például tioridazin, klórpromazin, levomepromazin, trifluoperazin, ciamemazin, szulpirid, szultoprid, amiszulprid, tiaprid, primozid, haloperidol, droperidol)</w:t>
      </w:r>
    </w:p>
    <w:p w:rsidR="00165C1F" w:rsidRDefault="00457A3F">
      <w:pPr>
        <w:ind w:left="284" w:hanging="284"/>
        <w:rPr>
          <w:szCs w:val="22"/>
          <w:lang w:val="hu-HU"/>
        </w:rPr>
      </w:pPr>
      <w:r>
        <w:rPr>
          <w:szCs w:val="22"/>
          <w:lang w:val="hu-HU"/>
        </w:rPr>
        <w:t>-</w:t>
      </w:r>
      <w:r>
        <w:rPr>
          <w:szCs w:val="22"/>
          <w:lang w:val="hu-HU"/>
        </w:rPr>
        <w:tab/>
        <w:t>egyéb szerek (például bepridil, cizaprid, difemanil, iv. eritromicin, halofantrin, mizolasztin, pentamidin, sparfloxacin, terfenadin, iv. vinkamin)</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Digitálisz glikozidok</w:t>
      </w:r>
    </w:p>
    <w:p w:rsidR="00165C1F" w:rsidRDefault="00457A3F">
      <w:pPr>
        <w:rPr>
          <w:szCs w:val="22"/>
          <w:lang w:val="hu-HU"/>
        </w:rPr>
      </w:pPr>
      <w:r>
        <w:rPr>
          <w:szCs w:val="22"/>
          <w:lang w:val="hu-HU"/>
        </w:rPr>
        <w:t>A tiazid által kiváltott hypokalaemia vagy hypomagnesaemia digitálisz okozta szívritmuszavarok kialakulását elősegíti (lásd 4.4 pont).</w:t>
      </w:r>
    </w:p>
    <w:p w:rsidR="00165C1F" w:rsidRDefault="00165C1F">
      <w:pPr>
        <w:autoSpaceDE w:val="0"/>
        <w:autoSpaceDN w:val="0"/>
        <w:adjustRightInd w:val="0"/>
        <w:rPr>
          <w:szCs w:val="22"/>
          <w:u w:val="single"/>
          <w:lang w:val="hu-HU"/>
        </w:rPr>
      </w:pPr>
    </w:p>
    <w:p w:rsidR="00165C1F" w:rsidRDefault="00457A3F">
      <w:pPr>
        <w:autoSpaceDE w:val="0"/>
        <w:autoSpaceDN w:val="0"/>
        <w:adjustRightInd w:val="0"/>
        <w:rPr>
          <w:szCs w:val="22"/>
          <w:u w:val="single"/>
          <w:lang w:val="hu-HU"/>
        </w:rPr>
      </w:pPr>
      <w:r>
        <w:rPr>
          <w:szCs w:val="22"/>
          <w:u w:val="single"/>
          <w:lang w:val="hu-HU"/>
        </w:rPr>
        <w:t>Digoxin</w:t>
      </w:r>
    </w:p>
    <w:p w:rsidR="00165C1F" w:rsidRDefault="00457A3F">
      <w:pPr>
        <w:pStyle w:val="Listaszerbekezds"/>
        <w:autoSpaceDE w:val="0"/>
        <w:autoSpaceDN w:val="0"/>
        <w:adjustRightInd w:val="0"/>
        <w:spacing w:after="0" w:line="240" w:lineRule="auto"/>
        <w:ind w:left="0"/>
        <w:rPr>
          <w:rFonts w:ascii="Times New Roman" w:hAnsi="Times New Roman"/>
          <w:lang w:val="hu-HU"/>
        </w:rPr>
      </w:pPr>
      <w:r>
        <w:rPr>
          <w:rFonts w:ascii="Times New Roman" w:hAnsi="Times New Roman"/>
          <w:lang w:val="hu-HU"/>
        </w:rPr>
        <w:t xml:space="preserve">Ha a telmizartánt digoxinnal adták együtt, a digoxin csúcs plazmakoncentrációjának (49%) és </w:t>
      </w:r>
      <w:proofErr w:type="gramStart"/>
      <w:r>
        <w:rPr>
          <w:rFonts w:ascii="Times New Roman" w:hAnsi="Times New Roman"/>
          <w:lang w:val="hu-HU"/>
        </w:rPr>
        <w:t>a</w:t>
      </w:r>
      <w:proofErr w:type="gramEnd"/>
      <w:r>
        <w:rPr>
          <w:rFonts w:ascii="Times New Roman" w:hAnsi="Times New Roman"/>
          <w:lang w:val="hu-HU"/>
        </w:rPr>
        <w:t xml:space="preserve"> </w:t>
      </w:r>
    </w:p>
    <w:p w:rsidR="00165C1F" w:rsidRDefault="00457A3F">
      <w:pPr>
        <w:pStyle w:val="Listaszerbekezds"/>
        <w:autoSpaceDE w:val="0"/>
        <w:autoSpaceDN w:val="0"/>
        <w:adjustRightInd w:val="0"/>
        <w:spacing w:after="0" w:line="240" w:lineRule="auto"/>
        <w:ind w:left="0"/>
        <w:rPr>
          <w:rFonts w:ascii="Times New Roman" w:hAnsi="Times New Roman"/>
          <w:lang w:val="hu-HU"/>
        </w:rPr>
      </w:pPr>
      <w:proofErr w:type="gramStart"/>
      <w:r>
        <w:rPr>
          <w:rFonts w:ascii="Times New Roman" w:hAnsi="Times New Roman"/>
          <w:lang w:val="hu-HU"/>
        </w:rPr>
        <w:t>mélyponti</w:t>
      </w:r>
      <w:proofErr w:type="gramEnd"/>
      <w:r>
        <w:rPr>
          <w:rFonts w:ascii="Times New Roman" w:hAnsi="Times New Roman"/>
          <w:lang w:val="hu-HU"/>
        </w:rPr>
        <w:t xml:space="preserve"> koncentrációjának (20%) közepes mértékű emelkedését figyelték meg. A telmizartán-kezelés elkezdésekor, módosításakor és leállításakor a digoxinszintet monitorozni kell, hogy az a terápiás tartományban maradjon.</w:t>
      </w:r>
    </w:p>
    <w:p w:rsidR="00165C1F" w:rsidRDefault="00165C1F">
      <w:pPr>
        <w:pStyle w:val="Listaszerbekezds"/>
        <w:autoSpaceDE w:val="0"/>
        <w:autoSpaceDN w:val="0"/>
        <w:adjustRightInd w:val="0"/>
        <w:spacing w:after="0" w:line="240" w:lineRule="auto"/>
        <w:ind w:left="0"/>
        <w:rPr>
          <w:rFonts w:ascii="Times New Roman" w:hAnsi="Times New Roman"/>
          <w:lang w:val="hu-HU"/>
        </w:rPr>
      </w:pPr>
    </w:p>
    <w:p w:rsidR="00165C1F" w:rsidRDefault="00457A3F">
      <w:pPr>
        <w:rPr>
          <w:szCs w:val="22"/>
          <w:u w:val="single"/>
          <w:lang w:val="hu-HU"/>
        </w:rPr>
      </w:pPr>
      <w:r>
        <w:rPr>
          <w:szCs w:val="22"/>
          <w:u w:val="single"/>
          <w:lang w:val="hu-HU"/>
        </w:rPr>
        <w:t>Egyéb vérnyomáscsökkentők</w:t>
      </w:r>
    </w:p>
    <w:p w:rsidR="00165C1F" w:rsidRDefault="00457A3F">
      <w:pPr>
        <w:rPr>
          <w:szCs w:val="22"/>
          <w:lang w:val="hu-HU"/>
        </w:rPr>
      </w:pPr>
      <w:r>
        <w:rPr>
          <w:szCs w:val="22"/>
          <w:lang w:val="hu-HU"/>
        </w:rPr>
        <w:t>A telmizartán fokozhatja az egyidejűleg adott egyéb antihipertenzívumok vérnyomáscsökkentő hatását.</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A klinikai vizsgálati adatok azt mutatták, hogy a renin-angiotenzin-aldoszteron rendszernek (RAAS) ACE-gátlók, angiotenzin II</w:t>
      </w:r>
      <w:r>
        <w:rPr>
          <w:szCs w:val="22"/>
          <w:lang w:val="hu-HU"/>
        </w:rPr>
        <w:noBreakHyphen/>
        <w:t>receptor blokkolók vagy aliszkirén kombinációjával történő kettős blokádja nagyobb gyakorisággal okoz mellékhatásokat, például hipotóniát, hiperkalémiát vagy beszűkült veseműködést (többek között akut veseelégtelenséget), mint csak egyféle RAAS-ra ható szer alkalmazása (lásd 4.3, 4.4 és 5.1 pont).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Antidiabetikumok (perorális készítmények és inzulin)</w:t>
      </w:r>
    </w:p>
    <w:p w:rsidR="00165C1F" w:rsidRDefault="00457A3F">
      <w:pPr>
        <w:rPr>
          <w:szCs w:val="22"/>
          <w:lang w:val="hu-HU"/>
        </w:rPr>
      </w:pPr>
      <w:r>
        <w:rPr>
          <w:szCs w:val="22"/>
          <w:lang w:val="hu-HU"/>
        </w:rPr>
        <w:t>Az antidiabetikum adagolásának módosítása válhat szükségessé (lásd 4.4 pont).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Metformin</w:t>
      </w:r>
    </w:p>
    <w:p w:rsidR="00165C1F" w:rsidRDefault="00457A3F">
      <w:pPr>
        <w:rPr>
          <w:szCs w:val="22"/>
          <w:lang w:val="hu-HU"/>
        </w:rPr>
      </w:pPr>
      <w:r>
        <w:rPr>
          <w:szCs w:val="22"/>
          <w:lang w:val="hu-HU"/>
        </w:rPr>
        <w:t>A hidroklorotiazid alkalmazása során esetlegesen fellépő, funkcionális veseelégtelenség okozta laktát acidosis kockázata miatt a metformint körültekintően kell alkalmazni.</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Kolesztiramin és kolesztipol gyanták</w:t>
      </w:r>
    </w:p>
    <w:p w:rsidR="00165C1F" w:rsidRDefault="00457A3F">
      <w:pPr>
        <w:rPr>
          <w:szCs w:val="22"/>
          <w:lang w:val="hu-HU"/>
        </w:rPr>
      </w:pPr>
      <w:r>
        <w:rPr>
          <w:szCs w:val="22"/>
          <w:lang w:val="hu-HU"/>
        </w:rPr>
        <w:t>A hidroklorotiazid felszívódása anioncserélő gyanták jelenlétében csökken.</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Nem-szteroid gyulladásgátlók (NSAID-ok)</w:t>
      </w:r>
    </w:p>
    <w:p w:rsidR="00165C1F" w:rsidRDefault="00457A3F">
      <w:pPr>
        <w:rPr>
          <w:szCs w:val="22"/>
          <w:lang w:val="hu-HU"/>
        </w:rPr>
      </w:pPr>
      <w:r>
        <w:rPr>
          <w:szCs w:val="22"/>
          <w:lang w:val="hu-HU"/>
        </w:rPr>
        <w:t>A NSAID-ok (például a gyulladáscsökkentő adagolásban alkalmazott acetilszalicilsav, a COX-2 gátlók és a nem-szelektív NSAID-ok) gyengíthetik a tiazid-diuretikumok vízhajtó, nátriumürítő és vérnyomáscsökkentő hatását, továbbá az angiotenzin II-receptor antagonisták antihipertenzív hatását.</w:t>
      </w:r>
    </w:p>
    <w:p w:rsidR="00165C1F" w:rsidRDefault="00457A3F">
      <w:pPr>
        <w:rPr>
          <w:szCs w:val="22"/>
          <w:lang w:val="hu-HU"/>
        </w:rPr>
      </w:pPr>
      <w:r>
        <w:rPr>
          <w:szCs w:val="22"/>
          <w:lang w:val="hu-HU"/>
        </w:rPr>
        <w:t>Egyes károsodott vesefunkciójú (például dehidrált, vagy idős, károsodott veseműködésű) betegeknél az angiotenzin II-receptor antagonisták és a ciklooxigenáz-gátlók egyidejű alkalmazása a vesefunkció további hanyatlását, esetleg akut veseelégtelenséget eredményezhet, amely általában reverzibilis. Emiatt a kombináció csak óvatosan alkalmazható, legfőképpen az időseknél. A betegeket megfelelően hidrálni kell, illetve megfontolandó a vesefunkció ellenőrzése az egyidejű kezelés megkezdése után, illetve időszakosan az után is.</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Egy vizsgálatban a telmizartán és a ramipril együttadása a ramipril és a ramiprilát AUC</w:t>
      </w:r>
      <w:r>
        <w:rPr>
          <w:szCs w:val="22"/>
          <w:vertAlign w:val="subscript"/>
          <w:lang w:val="hu-HU"/>
        </w:rPr>
        <w:t>0-24</w:t>
      </w:r>
      <w:r>
        <w:rPr>
          <w:szCs w:val="22"/>
          <w:lang w:val="hu-HU"/>
        </w:rPr>
        <w:t xml:space="preserve"> és c</w:t>
      </w:r>
      <w:r>
        <w:rPr>
          <w:szCs w:val="22"/>
          <w:vertAlign w:val="subscript"/>
          <w:lang w:val="hu-HU"/>
        </w:rPr>
        <w:t>max</w:t>
      </w:r>
      <w:r>
        <w:rPr>
          <w:szCs w:val="22"/>
          <w:lang w:val="hu-HU"/>
        </w:rPr>
        <w:t xml:space="preserve"> értékeinek 2,5-szeres növekedéséhez vezetett. E megfigyelés klinikai jelentősége nem ismert.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lastRenderedPageBreak/>
        <w:t>Presszoraminok (például noradrenalin)</w:t>
      </w:r>
    </w:p>
    <w:p w:rsidR="00165C1F" w:rsidRDefault="00457A3F">
      <w:pPr>
        <w:rPr>
          <w:szCs w:val="22"/>
          <w:lang w:val="hu-HU"/>
        </w:rPr>
      </w:pPr>
      <w:r>
        <w:rPr>
          <w:szCs w:val="22"/>
          <w:lang w:val="hu-HU"/>
        </w:rPr>
        <w:t>A presszoraminok hatása csökkent lehet.</w:t>
      </w:r>
    </w:p>
    <w:p w:rsidR="00165C1F" w:rsidRDefault="00165C1F">
      <w:pPr>
        <w:rPr>
          <w:szCs w:val="22"/>
          <w:lang w:val="hu-HU"/>
        </w:rPr>
      </w:pPr>
    </w:p>
    <w:p w:rsidR="00165C1F" w:rsidRDefault="00457A3F">
      <w:pPr>
        <w:rPr>
          <w:szCs w:val="22"/>
          <w:u w:val="single"/>
          <w:lang w:val="hu-HU"/>
        </w:rPr>
      </w:pPr>
      <w:r>
        <w:rPr>
          <w:szCs w:val="22"/>
          <w:u w:val="single"/>
          <w:lang w:val="hu-HU"/>
        </w:rPr>
        <w:t>Nem-depolarizáló izomrelaxánsok (például tubokurarin)</w:t>
      </w:r>
    </w:p>
    <w:p w:rsidR="00165C1F" w:rsidRDefault="00457A3F">
      <w:pPr>
        <w:rPr>
          <w:szCs w:val="22"/>
          <w:lang w:val="hu-HU"/>
        </w:rPr>
      </w:pPr>
      <w:r>
        <w:rPr>
          <w:szCs w:val="22"/>
          <w:lang w:val="hu-HU"/>
        </w:rPr>
        <w:t>A hidroklorotiazid potencírozhatja a nem-depolarizáló vázizom-relaxánsok hatását.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Köszvény kezelésére használatos szerek (például probenecid, szulfinpirazon és allopurinol)</w:t>
      </w:r>
    </w:p>
    <w:p w:rsidR="00165C1F" w:rsidRDefault="00457A3F">
      <w:pPr>
        <w:rPr>
          <w:szCs w:val="22"/>
          <w:lang w:val="hu-HU"/>
        </w:rPr>
      </w:pPr>
      <w:r>
        <w:rPr>
          <w:szCs w:val="22"/>
          <w:lang w:val="hu-HU"/>
        </w:rPr>
        <w:t>A hidroklorotiazid hatására emelkedhet a szérum húgysavszintje, ezért az uricosuriás gyógyszerek adagolásának módosítása válhat szükségessé. Szükséges lehet növelni a probenecid és a szulfinpirazon adagját. Tiazid egyidejű adása növelheti az allopurinollal szembeni túlérzékenységi reakciók előfordulási gyakoriságát.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Kalciumsók</w:t>
      </w:r>
    </w:p>
    <w:p w:rsidR="00165C1F" w:rsidRDefault="00457A3F">
      <w:pPr>
        <w:rPr>
          <w:szCs w:val="22"/>
          <w:lang w:val="hu-HU"/>
        </w:rPr>
      </w:pPr>
      <w:r>
        <w:rPr>
          <w:szCs w:val="22"/>
          <w:lang w:val="hu-HU"/>
        </w:rPr>
        <w:t>A tiazid diuretikumok a kalciumürítés csökkentése révén emelhetik a szérum kalcium szintjét. Ha feltétlenül szükséges a kalciumpótlók vagy kalciummegtakarító gyógyszerek (például D-vitamin-terápia) alkalmazása, monitorozni kell a szérum kalciumszintjét és ennek megfelelően módosítani a kalcium adagolását.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Béta-blokkolók és diazoxid</w:t>
      </w:r>
    </w:p>
    <w:p w:rsidR="00165C1F" w:rsidRDefault="00457A3F">
      <w:pPr>
        <w:rPr>
          <w:szCs w:val="22"/>
          <w:lang w:val="hu-HU"/>
        </w:rPr>
      </w:pPr>
      <w:r>
        <w:rPr>
          <w:szCs w:val="22"/>
          <w:lang w:val="hu-HU"/>
        </w:rPr>
        <w:t>A tiazidok fokozhatják a béta-blokkolók és a diazoxid vércukorszintet emelő hatását.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u w:val="single"/>
          <w:lang w:val="hu-HU"/>
        </w:rPr>
        <w:t>Antikolinerg szerek (például atropin, biperidén)</w:t>
      </w:r>
    </w:p>
    <w:p w:rsidR="00165C1F" w:rsidRDefault="00457A3F">
      <w:pPr>
        <w:rPr>
          <w:szCs w:val="22"/>
          <w:lang w:val="hu-HU"/>
        </w:rPr>
      </w:pPr>
      <w:r>
        <w:rPr>
          <w:szCs w:val="22"/>
          <w:lang w:val="hu-HU"/>
        </w:rPr>
        <w:t>A gastrointestinalis motilitás és a gyomorürülés ütemének csökkentésével fokozhatják a tiazid diuretikumok biohasznosulását.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Amantadin</w:t>
      </w:r>
    </w:p>
    <w:p w:rsidR="00165C1F" w:rsidRDefault="00457A3F">
      <w:pPr>
        <w:rPr>
          <w:szCs w:val="22"/>
          <w:lang w:val="hu-HU"/>
        </w:rPr>
      </w:pPr>
      <w:r>
        <w:rPr>
          <w:szCs w:val="22"/>
          <w:lang w:val="hu-HU"/>
        </w:rPr>
        <w:t>A tiazidok fokozhatják az amantadin mellékhatásainak kockázatát.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u w:val="single"/>
          <w:lang w:val="hu-HU"/>
        </w:rPr>
        <w:t>Citotoxikus szerek</w:t>
      </w:r>
      <w:r>
        <w:rPr>
          <w:szCs w:val="22"/>
          <w:lang w:val="hu-HU"/>
        </w:rPr>
        <w:t xml:space="preserve"> (például ciklofoszfamid, metotrexát)</w:t>
      </w:r>
    </w:p>
    <w:p w:rsidR="00165C1F" w:rsidRDefault="00457A3F">
      <w:pPr>
        <w:rPr>
          <w:szCs w:val="22"/>
          <w:lang w:val="hu-HU"/>
        </w:rPr>
      </w:pPr>
      <w:r>
        <w:rPr>
          <w:szCs w:val="22"/>
          <w:lang w:val="hu-HU"/>
        </w:rPr>
        <w:t>A tiazidok csökkenthetik a citotoxikus gyógyszerek renális kiválasztását és ezáltal potencírozhatják azok csontvelő-szuppressziót okozó hatását.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 xml:space="preserve">Farmakológiai tulajdonságaik alapján várható, hogy a következő gyógyszerek fokozhatják valamennyi antihipertenzívum, köztük a telmizartán vérnyomáscsökkentő hatását: baklofén, amifosztin. </w:t>
      </w:r>
    </w:p>
    <w:p w:rsidR="00165C1F" w:rsidRDefault="00457A3F">
      <w:pPr>
        <w:rPr>
          <w:szCs w:val="22"/>
          <w:lang w:val="hu-HU"/>
        </w:rPr>
      </w:pPr>
      <w:r>
        <w:rPr>
          <w:szCs w:val="22"/>
          <w:lang w:val="hu-HU"/>
        </w:rPr>
        <w:t>Ezen kívül az orthostaticus hipotóniát súlyosbíthatja az alkohol, a barbiturátok, az altatószerek és az antidepresszánsok.</w:t>
      </w:r>
    </w:p>
    <w:p w:rsidR="00165C1F" w:rsidRDefault="00165C1F">
      <w:pPr>
        <w:widowControl w:val="0"/>
        <w:tabs>
          <w:tab w:val="left" w:pos="567"/>
        </w:tabs>
        <w:contextualSpacing/>
        <w:rPr>
          <w:szCs w:val="22"/>
          <w:lang w:val="hu-HU" w:eastAsia="en-US"/>
        </w:rPr>
      </w:pPr>
    </w:p>
    <w:p w:rsidR="00165C1F" w:rsidRDefault="00457A3F">
      <w:pPr>
        <w:rPr>
          <w:b/>
          <w:bCs/>
          <w:szCs w:val="22"/>
          <w:lang w:val="hu-HU"/>
        </w:rPr>
      </w:pPr>
      <w:r>
        <w:rPr>
          <w:b/>
          <w:bCs/>
          <w:szCs w:val="22"/>
          <w:lang w:val="hu-HU"/>
        </w:rPr>
        <w:t xml:space="preserve">4.6 </w:t>
      </w:r>
      <w:r>
        <w:rPr>
          <w:b/>
          <w:bCs/>
          <w:szCs w:val="22"/>
          <w:lang w:val="hu-HU"/>
        </w:rPr>
        <w:tab/>
        <w:t>Termékenység, terhesség és szoptatás</w:t>
      </w:r>
    </w:p>
    <w:p w:rsidR="00165C1F" w:rsidRDefault="00165C1F">
      <w:pPr>
        <w:rPr>
          <w:szCs w:val="22"/>
          <w:lang w:val="hu-HU"/>
        </w:rPr>
      </w:pPr>
    </w:p>
    <w:p w:rsidR="00165C1F" w:rsidRDefault="00457A3F">
      <w:pPr>
        <w:rPr>
          <w:szCs w:val="22"/>
          <w:u w:val="single"/>
          <w:lang w:val="hu-HU"/>
        </w:rPr>
      </w:pPr>
      <w:r>
        <w:rPr>
          <w:szCs w:val="22"/>
          <w:u w:val="single"/>
          <w:lang w:val="hu-HU"/>
        </w:rPr>
        <w:t>Terhesség</w:t>
      </w:r>
    </w:p>
    <w:p w:rsidR="00165C1F" w:rsidRDefault="00165C1F">
      <w:pPr>
        <w:rPr>
          <w:szCs w:val="22"/>
          <w:lang w:val="hu-H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165C1F">
        <w:tc>
          <w:tcPr>
            <w:tcW w:w="9287" w:type="dxa"/>
          </w:tcPr>
          <w:p w:rsidR="00165C1F" w:rsidRDefault="00457A3F">
            <w:pPr>
              <w:rPr>
                <w:szCs w:val="22"/>
                <w:lang w:val="hu-HU"/>
              </w:rPr>
            </w:pPr>
            <w:r>
              <w:rPr>
                <w:szCs w:val="22"/>
                <w:lang w:val="hu-HU"/>
              </w:rPr>
              <w:t>Az angiotenzin II-receptor antagonisták alkalmazása nem ajánlott a terhesség első trimeszterében (lásd 4.4 pont). Az angiotenzin II-receptor antagonisták alkalmazása ellenjavallt a terhesség második és harmadik trimeszterében (lásd 4.3 és 4.4 pont).</w:t>
            </w:r>
          </w:p>
        </w:tc>
      </w:tr>
    </w:tbl>
    <w:p w:rsidR="00165C1F" w:rsidRDefault="00165C1F">
      <w:pPr>
        <w:rPr>
          <w:szCs w:val="22"/>
          <w:lang w:val="hu-HU"/>
        </w:rPr>
      </w:pPr>
    </w:p>
    <w:p w:rsidR="00165C1F" w:rsidRDefault="00457A3F">
      <w:pPr>
        <w:rPr>
          <w:szCs w:val="22"/>
          <w:lang w:val="hu-HU"/>
        </w:rPr>
      </w:pPr>
      <w:r>
        <w:rPr>
          <w:szCs w:val="22"/>
          <w:lang w:val="hu-HU"/>
        </w:rPr>
        <w:t>A Telmisartan/Hydrochlorothiazide TAD terhes nőkön történő alkalmazásáról nincsenek megfelelő adatok. Az állatkísérletek reprodukciós toxicitást mutattak ki (lásd 5.3 pont).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terhesség első trimeszter alatti ACE-gátló-expozíciót követő teratogenitás kockázatára vonatkozó epidemiológiai bizonyíték nem volt meggyőző, azonban a kockázat kismértékű növekedése nem zárható ki. Mivel az angiotenzin II-receptor antagonisták alkalmazásával járó kockázatról nem állnak rendelkezésre kontrollált epidemiológiai adatok, ennek a gyógyszercsoportnak az esetében is hasonló kockázat állhat fenn. Hacsak az angiotenzin II-receptor blokkoló kezelés folytatását nem tekintik nélkülözhetetlennek, a terhességet tervező betegeket olyan más vérnyomáscsökkentőkre kell átállítani, amely esetében a terhesség alatti alkalmazás biztonságossága igazolt. Terhesség megállapításakor az angiotenzin II-receptor antagonista szedését azonnal abba kell hagyni, és ha szükséges, alternatív kezelést kell kezdeni.</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terhesség második és harmadik trimeszterében az angiotenzin II-receptor antagonista kezelés ismerten magzati toxicitást (csökkent vesefunkció, oligohydramnion, a koponya csontosodásának visszamaradása) és újszülött kori toxicitást (veseelégtelenség, hypotonia, hyperkalaemia) okoz (lásd 5.3 pont). Amennyiben az angiotenzin II-receptor antagonista-expozíció a terhesség második trimeszterétől kezdődött, ajánlott a vesefunkció és a koponya ultrahangvizsgálata.</w:t>
      </w:r>
    </w:p>
    <w:p w:rsidR="00165C1F" w:rsidRDefault="00457A3F">
      <w:pPr>
        <w:rPr>
          <w:szCs w:val="22"/>
          <w:lang w:val="hu-HU"/>
        </w:rPr>
      </w:pPr>
      <w:r>
        <w:rPr>
          <w:szCs w:val="22"/>
          <w:lang w:val="hu-HU"/>
        </w:rPr>
        <w:t>Azokat a csecsemőket, akiknek édesanyja angiotenzin II-receptor antagonistát szedett, hypotonia</w:t>
      </w:r>
    </w:p>
    <w:p w:rsidR="00165C1F" w:rsidRDefault="00457A3F">
      <w:pPr>
        <w:rPr>
          <w:szCs w:val="22"/>
          <w:lang w:val="hu-HU"/>
        </w:rPr>
      </w:pPr>
      <w:proofErr w:type="gramStart"/>
      <w:r>
        <w:rPr>
          <w:szCs w:val="22"/>
          <w:lang w:val="hu-HU"/>
        </w:rPr>
        <w:t>kialakulása</w:t>
      </w:r>
      <w:proofErr w:type="gramEnd"/>
      <w:r>
        <w:rPr>
          <w:szCs w:val="22"/>
          <w:lang w:val="hu-HU"/>
        </w:rPr>
        <w:t xml:space="preserve"> szempontjából szoros megfigyelés alatt kell tartani (lásd 4.3 és 4.4 pont).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hidroklorotiazid terhesség alatti – különösen az első timeszteri – alkalmazásával kapcsolatban csak korlátozott tapasztalat áll rendelkezésre. Az állatkísérletek hiányosak. A hidroklorotiazid átjut a placentán. Farmakológiai hatásmechanizmusa alapján, a hidroklorotiazid alkalmazása a második, illetve a harmadik trimeszterben károsíthatja a foeto-placentaris perfúziót, továbbá foetalis és neonatalis hatásokat idézhet elő, például icterust, elektrolit-egyensúlyzavart, és thrombocytopeniát.</w:t>
      </w:r>
    </w:p>
    <w:p w:rsidR="00165C1F" w:rsidRDefault="00457A3F">
      <w:pPr>
        <w:rPr>
          <w:szCs w:val="22"/>
          <w:lang w:val="hu-HU"/>
        </w:rPr>
      </w:pPr>
      <w:r>
        <w:rPr>
          <w:szCs w:val="22"/>
          <w:lang w:val="hu-HU"/>
        </w:rPr>
        <w:t>A hidroklorotiazidot nem szabad terhességi oedema, terhességi hypertonia vagy preeclampsia kezelésére alkalmazni, mert ez a plazmavolumen, továbbá a méhlepényi véráramlás csökkenésének kockázatával járna anélkül, hogy a kezelés kedvezően hatna a betegség lefolyására.</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hidroklorotiazid nem alkalmazható esszenciális hypertonia kezelésére várandós nőknél, kivéve azokat a ritka helyzeteket, amikor nem választható semmilyen más kezelés.</w:t>
      </w:r>
    </w:p>
    <w:p w:rsidR="00165C1F" w:rsidRDefault="00165C1F">
      <w:pPr>
        <w:rPr>
          <w:szCs w:val="22"/>
          <w:lang w:val="hu-HU"/>
        </w:rPr>
      </w:pPr>
    </w:p>
    <w:p w:rsidR="00165C1F" w:rsidRDefault="00457A3F">
      <w:pPr>
        <w:rPr>
          <w:szCs w:val="22"/>
          <w:u w:val="single"/>
          <w:lang w:val="hu-HU"/>
        </w:rPr>
      </w:pPr>
      <w:r>
        <w:rPr>
          <w:szCs w:val="22"/>
          <w:u w:val="single"/>
          <w:lang w:val="hu-HU"/>
        </w:rPr>
        <w:t>Szoptatás</w:t>
      </w:r>
    </w:p>
    <w:p w:rsidR="00165C1F" w:rsidRDefault="00165C1F">
      <w:pPr>
        <w:rPr>
          <w:szCs w:val="22"/>
          <w:lang w:val="hu-HU"/>
        </w:rPr>
      </w:pPr>
    </w:p>
    <w:p w:rsidR="00165C1F" w:rsidRDefault="00457A3F">
      <w:pPr>
        <w:rPr>
          <w:szCs w:val="22"/>
          <w:lang w:val="hu-HU"/>
        </w:rPr>
      </w:pPr>
      <w:r>
        <w:rPr>
          <w:szCs w:val="22"/>
          <w:lang w:val="hu-HU"/>
        </w:rPr>
        <w:t xml:space="preserve">Mivel nem áll rendelkezésre információ a Telmisartan/Hydrochlorothiazide TAD szoptatás alatti alkalmazásáról, a Telmisartan/Hydrochlorothiazide TAD alkalmazása nem javasolt; más, </w:t>
      </w:r>
      <w:r>
        <w:t>a szoptatásra vonatkozóan jobban alátámasztott biztonságossági profillal rendelkező kezelés</w:t>
      </w:r>
      <w:r>
        <w:rPr>
          <w:szCs w:val="22"/>
          <w:lang w:val="hu-HU"/>
        </w:rPr>
        <w:t>t kell előnyben részesíteni, különösen az újszülött vagy a koraszülött szoptatása esetén.</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hidroklorotiazid kis mértékben kiválasztódik az anyatejbe. A tiazidok nagy dózisai erőteljes diuresist okoznak, ami gátolhatja az anyatej termelődését. A szoptatás ideje alatt nem ajánlott a Telmisartan/Hydrochlorothiazide TAD alkalmazása. Ha a szoptatás alatt alkalmazzák a Telmisartan/Hydrochlorothiazide TAD-ot, akkor az adagját a lehető legalacsonyabb szinten kell tartani.</w:t>
      </w:r>
    </w:p>
    <w:p w:rsidR="00165C1F" w:rsidRDefault="00165C1F">
      <w:pPr>
        <w:pStyle w:val="Default"/>
        <w:contextualSpacing/>
        <w:rPr>
          <w:color w:val="auto"/>
          <w:sz w:val="22"/>
          <w:szCs w:val="22"/>
          <w:lang w:val="hu-HU"/>
        </w:rPr>
      </w:pPr>
    </w:p>
    <w:p w:rsidR="00165C1F" w:rsidRDefault="00457A3F">
      <w:pPr>
        <w:rPr>
          <w:szCs w:val="22"/>
          <w:u w:val="single"/>
          <w:lang w:val="hu-HU"/>
        </w:rPr>
      </w:pPr>
      <w:r>
        <w:rPr>
          <w:szCs w:val="22"/>
          <w:u w:val="single"/>
          <w:lang w:val="hu-HU"/>
        </w:rPr>
        <w:t>Termékenység</w:t>
      </w:r>
    </w:p>
    <w:p w:rsidR="00165C1F" w:rsidRDefault="00165C1F">
      <w:pPr>
        <w:rPr>
          <w:szCs w:val="22"/>
          <w:lang w:val="hu-HU"/>
        </w:rPr>
      </w:pPr>
    </w:p>
    <w:p w:rsidR="00165C1F" w:rsidRDefault="00457A3F">
      <w:pPr>
        <w:rPr>
          <w:szCs w:val="22"/>
          <w:lang w:val="hu-HU"/>
        </w:rPr>
      </w:pPr>
      <w:r>
        <w:rPr>
          <w:szCs w:val="22"/>
          <w:lang w:val="hu-HU"/>
        </w:rPr>
        <w:t>A preklinikai vizsgálatok során nem észlelték, hogy a telmizartán és a hidroklorotiazid bármilyen hatással lenne a női termékenységre és a férfi termékenyítőképességre.</w:t>
      </w:r>
    </w:p>
    <w:p w:rsidR="00165C1F" w:rsidRDefault="00165C1F">
      <w:pPr>
        <w:autoSpaceDE w:val="0"/>
        <w:autoSpaceDN w:val="0"/>
        <w:adjustRightInd w:val="0"/>
        <w:contextualSpacing/>
        <w:rPr>
          <w:szCs w:val="22"/>
          <w:lang w:val="hu-HU"/>
        </w:rPr>
      </w:pPr>
    </w:p>
    <w:p w:rsidR="00165C1F" w:rsidRDefault="00457A3F">
      <w:pPr>
        <w:rPr>
          <w:b/>
          <w:bCs/>
          <w:szCs w:val="22"/>
          <w:lang w:val="hu-HU"/>
        </w:rPr>
      </w:pPr>
      <w:r>
        <w:rPr>
          <w:b/>
          <w:bCs/>
          <w:szCs w:val="22"/>
          <w:lang w:val="hu-HU"/>
        </w:rPr>
        <w:t xml:space="preserve">4.7 </w:t>
      </w:r>
      <w:r>
        <w:rPr>
          <w:b/>
          <w:bCs/>
          <w:szCs w:val="22"/>
          <w:lang w:val="hu-HU"/>
        </w:rPr>
        <w:tab/>
        <w:t>A készítmény hatásai a gépjárművezetéshez és gépek kezeléséhez szükséges képességekre</w:t>
      </w:r>
    </w:p>
    <w:p w:rsidR="00165C1F" w:rsidRDefault="00165C1F">
      <w:pPr>
        <w:rPr>
          <w:szCs w:val="22"/>
          <w:lang w:val="hu-HU"/>
        </w:rPr>
      </w:pPr>
    </w:p>
    <w:p w:rsidR="00165C1F" w:rsidRDefault="00457A3F">
      <w:pPr>
        <w:rPr>
          <w:szCs w:val="22"/>
          <w:lang w:val="hu-HU"/>
        </w:rPr>
      </w:pPr>
      <w:r>
        <w:rPr>
          <w:szCs w:val="22"/>
          <w:lang w:val="hu-HU"/>
        </w:rPr>
        <w:t>A Telmisartan/Hydrochlorothiazide TAD befolyásolhatja a gépjárművezetéshez és a gépek kezeléséhez szükséges képességeket. A Telmisartan/Hydrochlorothiazide TAD szedésekor esetenként szédülés vagy álmosság léphet fel.</w:t>
      </w:r>
    </w:p>
    <w:p w:rsidR="00165C1F" w:rsidRDefault="00165C1F">
      <w:pPr>
        <w:widowControl w:val="0"/>
        <w:contextualSpacing/>
        <w:rPr>
          <w:szCs w:val="22"/>
          <w:lang w:val="hu-HU" w:eastAsia="en-US"/>
        </w:rPr>
      </w:pPr>
    </w:p>
    <w:p w:rsidR="00165C1F" w:rsidRDefault="00457A3F">
      <w:pPr>
        <w:keepNext/>
        <w:rPr>
          <w:b/>
          <w:bCs/>
          <w:szCs w:val="22"/>
          <w:lang w:val="hu-HU"/>
        </w:rPr>
      </w:pPr>
      <w:r>
        <w:rPr>
          <w:b/>
          <w:bCs/>
          <w:szCs w:val="22"/>
          <w:lang w:val="hu-HU"/>
        </w:rPr>
        <w:t xml:space="preserve">4.8 </w:t>
      </w:r>
      <w:r>
        <w:rPr>
          <w:b/>
          <w:bCs/>
          <w:szCs w:val="22"/>
          <w:lang w:val="hu-HU"/>
        </w:rPr>
        <w:tab/>
        <w:t>Nemkívánatos hatások, mellékhatások</w:t>
      </w:r>
    </w:p>
    <w:p w:rsidR="00165C1F" w:rsidRDefault="00165C1F">
      <w:pPr>
        <w:keepNext/>
        <w:rPr>
          <w:szCs w:val="22"/>
          <w:lang w:val="hu-HU"/>
        </w:rPr>
      </w:pPr>
    </w:p>
    <w:p w:rsidR="00165C1F" w:rsidRDefault="00457A3F">
      <w:pPr>
        <w:keepNext/>
        <w:rPr>
          <w:szCs w:val="22"/>
          <w:u w:val="single"/>
          <w:lang w:val="hu-HU"/>
        </w:rPr>
      </w:pPr>
      <w:r>
        <w:rPr>
          <w:szCs w:val="22"/>
          <w:u w:val="single"/>
          <w:lang w:val="hu-HU"/>
        </w:rPr>
        <w:t>A biztonságossági profil összefoglalása</w:t>
      </w:r>
    </w:p>
    <w:p w:rsidR="00165C1F" w:rsidRDefault="00165C1F">
      <w:pPr>
        <w:keepNext/>
        <w:rPr>
          <w:szCs w:val="22"/>
          <w:lang w:val="hu-HU"/>
        </w:rPr>
      </w:pPr>
    </w:p>
    <w:p w:rsidR="00165C1F" w:rsidRDefault="00457A3F">
      <w:pPr>
        <w:rPr>
          <w:szCs w:val="22"/>
          <w:lang w:val="hu-HU"/>
        </w:rPr>
      </w:pPr>
      <w:r>
        <w:rPr>
          <w:szCs w:val="22"/>
          <w:lang w:val="hu-HU"/>
        </w:rPr>
        <w:t>A leggyakrabban bejelentett mellékhatás a szédülés volt. Ritkán (≥1/10 000 - &lt;1/1000) előfordulhat súlyos angiooedema.</w:t>
      </w:r>
    </w:p>
    <w:p w:rsidR="00165C1F" w:rsidRDefault="00165C1F">
      <w:pPr>
        <w:widowControl w:val="0"/>
        <w:tabs>
          <w:tab w:val="left" w:pos="567"/>
        </w:tabs>
        <w:contextualSpacing/>
        <w:rPr>
          <w:b/>
          <w:bCs/>
          <w:szCs w:val="22"/>
          <w:lang w:val="hu-HU" w:eastAsia="en-US"/>
        </w:rPr>
      </w:pPr>
    </w:p>
    <w:p w:rsidR="00165C1F" w:rsidRDefault="00457A3F">
      <w:pPr>
        <w:rPr>
          <w:szCs w:val="22"/>
          <w:lang w:val="hu-HU"/>
        </w:rPr>
      </w:pPr>
      <w:r>
        <w:rPr>
          <w:szCs w:val="22"/>
          <w:lang w:val="hu-HU"/>
        </w:rPr>
        <w:t xml:space="preserve">A mellékhatások összesített előfordulási gyakorisága a Telmisartan/Hydrochlorothiazide TAD-ot szedők és a csak telmizartánnal kezeltek közt hasonló volt az 1471 betegen elvégzett, randomizált, kontrollos klinikai vizsgálatokban, amelyekben a betegek random besorolás szerint vagy telmizartánt és hidroklorotiazidot (n=835), vagy csak telmizartánt kaptak (n=636). A mellékhatások dózisfüggését </w:t>
      </w:r>
      <w:r>
        <w:rPr>
          <w:szCs w:val="22"/>
          <w:lang w:val="hu-HU"/>
        </w:rPr>
        <w:lastRenderedPageBreak/>
        <w:t>nem bizonyították és azok a betegek nemével, életkorával és rasszbeli sajátosságaival sem álltak kapcsolatban.</w:t>
      </w:r>
    </w:p>
    <w:p w:rsidR="00165C1F" w:rsidRDefault="00457A3F">
      <w:pPr>
        <w:widowControl w:val="0"/>
        <w:tabs>
          <w:tab w:val="left" w:pos="567"/>
        </w:tabs>
        <w:contextualSpacing/>
        <w:rPr>
          <w:b/>
          <w:bCs/>
          <w:szCs w:val="22"/>
          <w:lang w:val="hu-HU" w:eastAsia="en-US"/>
        </w:rPr>
      </w:pPr>
      <w:r>
        <w:rPr>
          <w:szCs w:val="22"/>
          <w:lang w:val="hu-HU"/>
        </w:rPr>
        <w:t>A mellékhatások összesített előfordulási gyakorisága 80 mg/25 mg telmizartán/hidroklorotiazid alkalmazásakor hasonló volt, mint 80 mg/12,5 mg telmizartán/hidroklorotiazid alkalmazásakor. A mellékhatások dózisfüggését nem bizonyították és azok a betegek nemével, életkorával és rasszbeli sajátosságaival sem álltak kapcsolatban.</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A mellékhatások táblázatos összefoglalása</w:t>
      </w:r>
    </w:p>
    <w:p w:rsidR="00165C1F" w:rsidRDefault="00165C1F">
      <w:pPr>
        <w:rPr>
          <w:szCs w:val="22"/>
          <w:lang w:val="hu-HU"/>
        </w:rPr>
      </w:pPr>
    </w:p>
    <w:p w:rsidR="00165C1F" w:rsidRDefault="00457A3F">
      <w:pPr>
        <w:rPr>
          <w:szCs w:val="22"/>
          <w:lang w:val="hu-HU"/>
        </w:rPr>
      </w:pPr>
      <w:r>
        <w:rPr>
          <w:szCs w:val="22"/>
          <w:lang w:val="hu-HU"/>
        </w:rPr>
        <w:t>Alább szervrendszerek szerint csoportosítva van az összes mellékhatást, amelyeket klinikai vizsgálatokban észleltek, és a telmizartán/hidroklorotiazid kombinációjával kezelt betegeken gyakrabban fordultak elő, mint a placebocsoportban (p≤0,05). A Telmisartan/Hydrochlorothiazide TAD kezelés során jelentkezhetnek olyan nemkívánatos reakciók is, amelyek az egyes összetevőket külön-külön alkalmazva tudottan fellépnek, azonban a klinikai vizsgálatok során nem észlelték őket.</w:t>
      </w:r>
    </w:p>
    <w:p w:rsidR="00165C1F" w:rsidRDefault="00165C1F">
      <w:pPr>
        <w:autoSpaceDE w:val="0"/>
        <w:autoSpaceDN w:val="0"/>
        <w:adjustRightInd w:val="0"/>
        <w:contextualSpacing/>
        <w:rPr>
          <w:szCs w:val="22"/>
          <w:lang w:val="hu-HU"/>
        </w:rPr>
      </w:pPr>
    </w:p>
    <w:p w:rsidR="00165C1F" w:rsidRDefault="00457A3F">
      <w:pPr>
        <w:rPr>
          <w:szCs w:val="22"/>
          <w:lang w:val="hu-HU"/>
        </w:rPr>
      </w:pPr>
      <w:proofErr w:type="gramStart"/>
      <w:r>
        <w:rPr>
          <w:szCs w:val="22"/>
          <w:lang w:val="hu-HU"/>
        </w:rPr>
        <w:t>A mellékhatásokat gyakoriság szerint, a következő egyezményes módon osztályoztuk: nagyon gyakori (≥ 1/10), gyakori (≥ 1/100 - &lt; 1/10), nem gyakori (≥ 1/1000 - &lt; 1/100), ritka (≥ 1/10 000 - &lt; 1/1000), nagyon ritka (&lt; 1/10 000), nem ismert (a rendelkezésre álló adatokból nem állapítható meg).</w:t>
      </w:r>
      <w:proofErr w:type="gramEnd"/>
    </w:p>
    <w:p w:rsidR="00165C1F" w:rsidRDefault="00165C1F">
      <w:pPr>
        <w:rPr>
          <w:szCs w:val="22"/>
          <w:lang w:val="hu-HU"/>
        </w:rPr>
      </w:pPr>
    </w:p>
    <w:p w:rsidR="00165C1F" w:rsidRDefault="00457A3F">
      <w:pPr>
        <w:rPr>
          <w:szCs w:val="22"/>
          <w:lang w:val="hu-HU"/>
        </w:rPr>
      </w:pPr>
      <w:r>
        <w:rPr>
          <w:szCs w:val="22"/>
          <w:lang w:val="hu-HU"/>
        </w:rPr>
        <w:t>Az egyes gyakorisági kategóriákon belül a mellékhatások csökkenő súlyosság szerint kerülnek megadásra.</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Fertőző betegségek és parazitafertőzések</w:t>
      </w:r>
    </w:p>
    <w:p w:rsidR="00165C1F" w:rsidRDefault="00457A3F">
      <w:pPr>
        <w:ind w:left="1988" w:hanging="1420"/>
        <w:rPr>
          <w:szCs w:val="22"/>
          <w:lang w:val="hu-HU"/>
        </w:rPr>
      </w:pPr>
      <w:r>
        <w:rPr>
          <w:szCs w:val="22"/>
          <w:lang w:val="hu-HU"/>
        </w:rPr>
        <w:t xml:space="preserve">Ritka: </w:t>
      </w:r>
      <w:r>
        <w:rPr>
          <w:szCs w:val="22"/>
          <w:lang w:val="hu-HU"/>
        </w:rPr>
        <w:tab/>
        <w:t>Bronchitis, pharyngitis, sinusitis</w:t>
      </w:r>
    </w:p>
    <w:p w:rsidR="00165C1F" w:rsidRDefault="00165C1F">
      <w:pPr>
        <w:rPr>
          <w:szCs w:val="22"/>
          <w:lang w:val="hu-HU"/>
        </w:rPr>
      </w:pPr>
    </w:p>
    <w:p w:rsidR="00165C1F" w:rsidRDefault="00457A3F">
      <w:pPr>
        <w:rPr>
          <w:szCs w:val="22"/>
          <w:lang w:val="hu-HU"/>
        </w:rPr>
      </w:pPr>
      <w:r>
        <w:rPr>
          <w:szCs w:val="22"/>
          <w:lang w:val="hu-HU"/>
        </w:rPr>
        <w:t>Immunrendszeri betegségek és tünetek</w:t>
      </w:r>
    </w:p>
    <w:p w:rsidR="00165C1F" w:rsidRDefault="00457A3F">
      <w:pPr>
        <w:ind w:left="1988" w:hanging="1420"/>
        <w:rPr>
          <w:szCs w:val="22"/>
          <w:lang w:val="hu-HU"/>
        </w:rPr>
      </w:pPr>
      <w:r>
        <w:rPr>
          <w:szCs w:val="22"/>
          <w:lang w:val="hu-HU"/>
        </w:rPr>
        <w:t xml:space="preserve">Ritka: </w:t>
      </w:r>
      <w:r>
        <w:rPr>
          <w:szCs w:val="22"/>
          <w:lang w:val="hu-HU"/>
        </w:rPr>
        <w:tab/>
        <w:t>Systemás lupus erythematosus fellángolása vagy aktiválódása</w:t>
      </w:r>
      <w:r>
        <w:rPr>
          <w:szCs w:val="22"/>
          <w:vertAlign w:val="superscript"/>
          <w:lang w:val="hu-HU"/>
        </w:rPr>
        <w:t>1</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Anyagcsere- és táplálkozási betegségek és tünetek</w:t>
      </w:r>
    </w:p>
    <w:p w:rsidR="00165C1F" w:rsidRDefault="00457A3F">
      <w:pPr>
        <w:ind w:left="1988" w:hanging="1420"/>
        <w:rPr>
          <w:szCs w:val="22"/>
          <w:lang w:val="hu-HU"/>
        </w:rPr>
      </w:pPr>
      <w:r>
        <w:rPr>
          <w:szCs w:val="22"/>
          <w:lang w:val="hu-HU"/>
        </w:rPr>
        <w:t>Nem gyakori:</w:t>
      </w:r>
      <w:r>
        <w:rPr>
          <w:szCs w:val="22"/>
          <w:lang w:val="hu-HU"/>
        </w:rPr>
        <w:tab/>
        <w:t>Hypokalaemia</w:t>
      </w:r>
    </w:p>
    <w:p w:rsidR="00165C1F" w:rsidRDefault="00457A3F">
      <w:pPr>
        <w:ind w:left="1988" w:hanging="1420"/>
        <w:rPr>
          <w:szCs w:val="22"/>
          <w:lang w:val="hu-HU"/>
        </w:rPr>
      </w:pPr>
      <w:r>
        <w:rPr>
          <w:szCs w:val="22"/>
          <w:lang w:val="hu-HU"/>
        </w:rPr>
        <w:t>Ritka:</w:t>
      </w:r>
      <w:r>
        <w:rPr>
          <w:szCs w:val="22"/>
          <w:lang w:val="hu-HU"/>
        </w:rPr>
        <w:tab/>
        <w:t>Hyperuricaemia, hyponatraemia</w:t>
      </w:r>
    </w:p>
    <w:p w:rsidR="00165C1F" w:rsidRDefault="00165C1F">
      <w:pPr>
        <w:autoSpaceDE w:val="0"/>
        <w:autoSpaceDN w:val="0"/>
        <w:adjustRightInd w:val="0"/>
        <w:contextualSpacing/>
        <w:rPr>
          <w:i/>
          <w:iCs/>
          <w:szCs w:val="22"/>
          <w:lang w:val="hu-HU"/>
        </w:rPr>
      </w:pPr>
    </w:p>
    <w:p w:rsidR="00165C1F" w:rsidRDefault="00457A3F">
      <w:pPr>
        <w:rPr>
          <w:szCs w:val="22"/>
          <w:lang w:val="hu-HU"/>
        </w:rPr>
      </w:pPr>
      <w:r>
        <w:rPr>
          <w:szCs w:val="22"/>
          <w:lang w:val="hu-HU"/>
        </w:rPr>
        <w:t>Pszichiátriai kórképek</w:t>
      </w:r>
    </w:p>
    <w:p w:rsidR="00165C1F" w:rsidRDefault="00457A3F">
      <w:pPr>
        <w:ind w:left="1988" w:hanging="1420"/>
        <w:rPr>
          <w:szCs w:val="22"/>
          <w:lang w:val="hu-HU"/>
        </w:rPr>
      </w:pPr>
      <w:r>
        <w:rPr>
          <w:szCs w:val="22"/>
          <w:lang w:val="hu-HU"/>
        </w:rPr>
        <w:t xml:space="preserve">Nem gyakori: </w:t>
      </w:r>
      <w:r>
        <w:rPr>
          <w:szCs w:val="22"/>
          <w:lang w:val="hu-HU"/>
        </w:rPr>
        <w:tab/>
        <w:t>Szorongás</w:t>
      </w:r>
    </w:p>
    <w:p w:rsidR="00165C1F" w:rsidRDefault="00457A3F">
      <w:pPr>
        <w:ind w:left="1988" w:hanging="1420"/>
        <w:rPr>
          <w:szCs w:val="22"/>
          <w:lang w:val="hu-HU"/>
        </w:rPr>
      </w:pPr>
      <w:r>
        <w:rPr>
          <w:szCs w:val="22"/>
          <w:lang w:val="hu-HU"/>
        </w:rPr>
        <w:t xml:space="preserve">Ritka: </w:t>
      </w:r>
      <w:r>
        <w:rPr>
          <w:szCs w:val="22"/>
          <w:lang w:val="hu-HU"/>
        </w:rPr>
        <w:tab/>
        <w:t>Depresszió</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Idegrendszeri betegségek és tünetek</w:t>
      </w:r>
    </w:p>
    <w:p w:rsidR="00165C1F" w:rsidRDefault="00457A3F">
      <w:pPr>
        <w:ind w:left="1988" w:hanging="1420"/>
        <w:rPr>
          <w:szCs w:val="22"/>
          <w:lang w:val="hu-HU"/>
        </w:rPr>
      </w:pPr>
      <w:r>
        <w:rPr>
          <w:szCs w:val="22"/>
          <w:lang w:val="hu-HU"/>
        </w:rPr>
        <w:t>Gyakori:</w:t>
      </w:r>
      <w:r>
        <w:rPr>
          <w:szCs w:val="22"/>
          <w:lang w:val="hu-HU"/>
        </w:rPr>
        <w:tab/>
        <w:t>Szédülés</w:t>
      </w:r>
    </w:p>
    <w:p w:rsidR="00165C1F" w:rsidRDefault="00457A3F">
      <w:pPr>
        <w:ind w:left="1988" w:hanging="1420"/>
        <w:rPr>
          <w:szCs w:val="22"/>
          <w:lang w:val="hu-HU"/>
        </w:rPr>
      </w:pPr>
      <w:r>
        <w:rPr>
          <w:szCs w:val="22"/>
          <w:lang w:val="hu-HU"/>
        </w:rPr>
        <w:t>Nem gyakori:</w:t>
      </w:r>
      <w:r>
        <w:rPr>
          <w:szCs w:val="22"/>
          <w:lang w:val="hu-HU"/>
        </w:rPr>
        <w:tab/>
        <w:t>Syncope, paraesthesia</w:t>
      </w:r>
    </w:p>
    <w:p w:rsidR="00165C1F" w:rsidRDefault="00457A3F">
      <w:pPr>
        <w:ind w:left="1988" w:hanging="1420"/>
        <w:rPr>
          <w:szCs w:val="22"/>
          <w:lang w:val="hu-HU"/>
        </w:rPr>
      </w:pPr>
      <w:r>
        <w:rPr>
          <w:szCs w:val="22"/>
          <w:lang w:val="hu-HU"/>
        </w:rPr>
        <w:t>Ritka:</w:t>
      </w:r>
      <w:r>
        <w:rPr>
          <w:szCs w:val="22"/>
          <w:lang w:val="hu-HU"/>
        </w:rPr>
        <w:tab/>
        <w:t>Álmatlanság, alvászavar</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Szembetegségek és szemészeti tünetek</w:t>
      </w:r>
    </w:p>
    <w:p w:rsidR="00165C1F" w:rsidRDefault="00457A3F">
      <w:pPr>
        <w:ind w:left="1988" w:hanging="1420"/>
        <w:rPr>
          <w:szCs w:val="22"/>
          <w:lang w:val="hu-HU"/>
        </w:rPr>
      </w:pPr>
      <w:r>
        <w:rPr>
          <w:szCs w:val="22"/>
          <w:lang w:val="hu-HU"/>
        </w:rPr>
        <w:t>Ritka:</w:t>
      </w:r>
      <w:r>
        <w:rPr>
          <w:szCs w:val="22"/>
          <w:lang w:val="hu-HU"/>
        </w:rPr>
        <w:tab/>
        <w:t>Látászavar, homályos látás</w:t>
      </w:r>
    </w:p>
    <w:p w:rsidR="00165C1F" w:rsidRDefault="00165C1F">
      <w:pPr>
        <w:rPr>
          <w:szCs w:val="22"/>
          <w:lang w:val="hu-HU"/>
        </w:rPr>
      </w:pPr>
    </w:p>
    <w:p w:rsidR="00165C1F" w:rsidRDefault="00457A3F">
      <w:pPr>
        <w:keepNext/>
        <w:rPr>
          <w:szCs w:val="22"/>
          <w:lang w:val="hu-HU"/>
        </w:rPr>
      </w:pPr>
      <w:r>
        <w:rPr>
          <w:szCs w:val="22"/>
          <w:lang w:val="hu-HU"/>
        </w:rPr>
        <w:t>A fül és az egyensúly-érzékelő szerv betegségei és tünetei</w:t>
      </w:r>
    </w:p>
    <w:p w:rsidR="00165C1F" w:rsidRDefault="00457A3F">
      <w:pPr>
        <w:ind w:left="1988" w:hanging="1420"/>
        <w:rPr>
          <w:szCs w:val="22"/>
          <w:lang w:val="hu-HU"/>
        </w:rPr>
      </w:pPr>
      <w:r>
        <w:rPr>
          <w:szCs w:val="22"/>
          <w:lang w:val="hu-HU"/>
        </w:rPr>
        <w:t>Nem gyakori:</w:t>
      </w:r>
      <w:r>
        <w:rPr>
          <w:szCs w:val="22"/>
          <w:lang w:val="hu-HU"/>
        </w:rPr>
        <w:tab/>
        <w:t>Vertigo</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Szívbetegségek és a szívvel kapcsolatos tünetek</w:t>
      </w:r>
    </w:p>
    <w:p w:rsidR="00165C1F" w:rsidRDefault="00457A3F">
      <w:pPr>
        <w:ind w:left="1988" w:hanging="1420"/>
        <w:rPr>
          <w:szCs w:val="22"/>
          <w:lang w:val="hu-HU"/>
        </w:rPr>
      </w:pPr>
      <w:r>
        <w:rPr>
          <w:szCs w:val="22"/>
          <w:lang w:val="hu-HU"/>
        </w:rPr>
        <w:t>Nem gyakori:</w:t>
      </w:r>
      <w:r>
        <w:rPr>
          <w:szCs w:val="22"/>
          <w:lang w:val="hu-HU"/>
        </w:rPr>
        <w:tab/>
        <w:t>Tachycardia, szívritmuszavarok</w:t>
      </w:r>
    </w:p>
    <w:p w:rsidR="00165C1F" w:rsidRDefault="00165C1F">
      <w:pPr>
        <w:rPr>
          <w:szCs w:val="22"/>
          <w:lang w:val="hu-HU"/>
        </w:rPr>
      </w:pPr>
    </w:p>
    <w:p w:rsidR="00165C1F" w:rsidRDefault="00457A3F">
      <w:pPr>
        <w:rPr>
          <w:szCs w:val="22"/>
          <w:lang w:val="hu-HU"/>
        </w:rPr>
      </w:pPr>
      <w:r>
        <w:rPr>
          <w:szCs w:val="22"/>
          <w:lang w:val="hu-HU"/>
        </w:rPr>
        <w:t>Érbetegségek és tünetek</w:t>
      </w:r>
    </w:p>
    <w:p w:rsidR="00165C1F" w:rsidRDefault="00457A3F">
      <w:pPr>
        <w:ind w:left="1988" w:hanging="1420"/>
        <w:rPr>
          <w:szCs w:val="22"/>
          <w:lang w:val="hu-HU"/>
        </w:rPr>
      </w:pPr>
      <w:r>
        <w:rPr>
          <w:szCs w:val="22"/>
          <w:lang w:val="hu-HU"/>
        </w:rPr>
        <w:t>Nem gyakori:</w:t>
      </w:r>
      <w:r>
        <w:rPr>
          <w:szCs w:val="22"/>
          <w:lang w:val="hu-HU"/>
        </w:rPr>
        <w:tab/>
        <w:t>Hypotonia, orthostaticus hypotonia</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Légzőrendszeri, mellkasi és mediastinalis betegségek és tünetek</w:t>
      </w:r>
    </w:p>
    <w:p w:rsidR="00165C1F" w:rsidRDefault="00457A3F">
      <w:pPr>
        <w:ind w:left="1988" w:hanging="1420"/>
        <w:rPr>
          <w:szCs w:val="22"/>
          <w:lang w:val="hu-HU"/>
        </w:rPr>
      </w:pPr>
      <w:r>
        <w:rPr>
          <w:szCs w:val="22"/>
          <w:lang w:val="hu-HU"/>
        </w:rPr>
        <w:t>Nem gyakori:</w:t>
      </w:r>
      <w:r>
        <w:rPr>
          <w:szCs w:val="22"/>
          <w:lang w:val="hu-HU"/>
        </w:rPr>
        <w:tab/>
        <w:t>Dyspnoe</w:t>
      </w:r>
    </w:p>
    <w:p w:rsidR="00165C1F" w:rsidRDefault="00457A3F">
      <w:pPr>
        <w:ind w:left="1988" w:hanging="1420"/>
        <w:rPr>
          <w:szCs w:val="22"/>
          <w:lang w:val="hu-HU"/>
        </w:rPr>
      </w:pPr>
      <w:r>
        <w:rPr>
          <w:szCs w:val="22"/>
          <w:lang w:val="hu-HU"/>
        </w:rPr>
        <w:t>Ritka:</w:t>
      </w:r>
      <w:r>
        <w:rPr>
          <w:szCs w:val="22"/>
          <w:lang w:val="hu-HU"/>
        </w:rPr>
        <w:tab/>
        <w:t>Respirációs distressz (beleértve a pneumonitist és a pulmonaris oedemát is)</w:t>
      </w:r>
    </w:p>
    <w:p w:rsidR="00165C1F" w:rsidRDefault="00165C1F">
      <w:pPr>
        <w:rPr>
          <w:szCs w:val="22"/>
          <w:lang w:val="hu-HU"/>
        </w:rPr>
      </w:pPr>
    </w:p>
    <w:p w:rsidR="00165C1F" w:rsidRDefault="00457A3F">
      <w:pPr>
        <w:rPr>
          <w:szCs w:val="22"/>
          <w:lang w:val="hu-HU"/>
        </w:rPr>
      </w:pPr>
      <w:r>
        <w:rPr>
          <w:szCs w:val="22"/>
          <w:lang w:val="hu-HU"/>
        </w:rPr>
        <w:t>Emésztőrendszeri betegségek és tünetek</w:t>
      </w:r>
    </w:p>
    <w:p w:rsidR="00165C1F" w:rsidRDefault="00457A3F">
      <w:pPr>
        <w:ind w:left="1988" w:hanging="1420"/>
        <w:rPr>
          <w:szCs w:val="22"/>
          <w:lang w:val="hu-HU"/>
        </w:rPr>
      </w:pPr>
      <w:r>
        <w:rPr>
          <w:szCs w:val="22"/>
          <w:lang w:val="hu-HU"/>
        </w:rPr>
        <w:t>Nem gyakori:</w:t>
      </w:r>
      <w:r>
        <w:rPr>
          <w:szCs w:val="22"/>
          <w:lang w:val="hu-HU"/>
        </w:rPr>
        <w:tab/>
        <w:t>Hasmenés, szájszárazság, flatulencia</w:t>
      </w:r>
    </w:p>
    <w:p w:rsidR="00165C1F" w:rsidRDefault="00457A3F">
      <w:pPr>
        <w:ind w:left="1988" w:hanging="1420"/>
        <w:rPr>
          <w:szCs w:val="22"/>
          <w:lang w:val="hu-HU"/>
        </w:rPr>
      </w:pPr>
      <w:r>
        <w:rPr>
          <w:szCs w:val="22"/>
          <w:lang w:val="hu-HU"/>
        </w:rPr>
        <w:t>Ritka:</w:t>
      </w:r>
      <w:r>
        <w:rPr>
          <w:szCs w:val="22"/>
          <w:lang w:val="hu-HU"/>
        </w:rPr>
        <w:tab/>
        <w:t>Hasi fájdalom, székrekedés, emésztési zavar, hányás, gyomorhurut</w:t>
      </w:r>
    </w:p>
    <w:p w:rsidR="00165C1F" w:rsidRDefault="00165C1F">
      <w:pPr>
        <w:rPr>
          <w:szCs w:val="22"/>
          <w:lang w:val="hu-HU"/>
        </w:rPr>
      </w:pPr>
    </w:p>
    <w:p w:rsidR="00165C1F" w:rsidRDefault="00457A3F">
      <w:pPr>
        <w:rPr>
          <w:szCs w:val="22"/>
          <w:lang w:val="hu-HU"/>
        </w:rPr>
      </w:pPr>
      <w:r>
        <w:rPr>
          <w:szCs w:val="22"/>
          <w:lang w:val="hu-HU"/>
        </w:rPr>
        <w:t>Máj- és epebetegségek, illetve tünetek</w:t>
      </w:r>
    </w:p>
    <w:p w:rsidR="00165C1F" w:rsidRDefault="00457A3F">
      <w:pPr>
        <w:ind w:left="1988" w:hanging="1420"/>
        <w:rPr>
          <w:szCs w:val="22"/>
          <w:lang w:val="hu-HU"/>
        </w:rPr>
      </w:pPr>
      <w:r>
        <w:rPr>
          <w:szCs w:val="22"/>
          <w:lang w:val="hu-HU"/>
        </w:rPr>
        <w:t>Ritka:</w:t>
      </w:r>
      <w:r>
        <w:rPr>
          <w:szCs w:val="22"/>
          <w:lang w:val="hu-HU"/>
        </w:rPr>
        <w:tab/>
        <w:t>Kóros májfunkciós értékek/májbetegség</w:t>
      </w:r>
      <w:r>
        <w:rPr>
          <w:szCs w:val="22"/>
          <w:vertAlign w:val="superscript"/>
          <w:lang w:val="hu-HU"/>
        </w:rPr>
        <w:t>2</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bőr és a bőr alatti szövet betegségei és tünetei</w:t>
      </w:r>
    </w:p>
    <w:p w:rsidR="00165C1F" w:rsidRDefault="00457A3F">
      <w:pPr>
        <w:ind w:left="1988" w:hanging="1420"/>
        <w:rPr>
          <w:szCs w:val="22"/>
          <w:lang w:val="hu-HU"/>
        </w:rPr>
      </w:pPr>
      <w:r>
        <w:rPr>
          <w:szCs w:val="22"/>
          <w:lang w:val="hu-HU"/>
        </w:rPr>
        <w:t>Ritka:</w:t>
      </w:r>
      <w:r>
        <w:rPr>
          <w:szCs w:val="22"/>
          <w:lang w:val="hu-HU"/>
        </w:rPr>
        <w:tab/>
        <w:t>Angiooedema (halálos kimenetellel is), erythema, pruritus, bőrkiütés, hyperhidrosis, urticaria</w:t>
      </w:r>
    </w:p>
    <w:p w:rsidR="00165C1F" w:rsidRDefault="00165C1F">
      <w:pPr>
        <w:autoSpaceDE w:val="0"/>
        <w:autoSpaceDN w:val="0"/>
        <w:adjustRightInd w:val="0"/>
        <w:ind w:left="851"/>
        <w:contextualSpacing/>
        <w:rPr>
          <w:szCs w:val="22"/>
          <w:lang w:val="hu-HU"/>
        </w:rPr>
      </w:pPr>
    </w:p>
    <w:p w:rsidR="00165C1F" w:rsidRDefault="00457A3F">
      <w:pPr>
        <w:rPr>
          <w:szCs w:val="22"/>
          <w:lang w:val="hu-HU"/>
        </w:rPr>
      </w:pPr>
      <w:r>
        <w:rPr>
          <w:szCs w:val="22"/>
          <w:lang w:val="hu-HU"/>
        </w:rPr>
        <w:t>A csont- és izomrendszer, valamint a kötőszövet betegségei és tünetei</w:t>
      </w:r>
    </w:p>
    <w:p w:rsidR="00165C1F" w:rsidRDefault="00457A3F">
      <w:pPr>
        <w:ind w:left="1988" w:hanging="1420"/>
        <w:rPr>
          <w:szCs w:val="22"/>
          <w:lang w:val="hu-HU"/>
        </w:rPr>
      </w:pPr>
      <w:r>
        <w:rPr>
          <w:szCs w:val="22"/>
          <w:lang w:val="hu-HU"/>
        </w:rPr>
        <w:t>Nem gyakori:</w:t>
      </w:r>
      <w:r>
        <w:rPr>
          <w:szCs w:val="22"/>
          <w:lang w:val="hu-HU"/>
        </w:rPr>
        <w:tab/>
        <w:t>Hátfájás, izomgörcs, izomfájdalom</w:t>
      </w:r>
    </w:p>
    <w:p w:rsidR="00165C1F" w:rsidRDefault="00457A3F">
      <w:pPr>
        <w:ind w:left="1988" w:hanging="1420"/>
        <w:rPr>
          <w:szCs w:val="22"/>
          <w:lang w:val="hu-HU"/>
        </w:rPr>
      </w:pPr>
      <w:r>
        <w:rPr>
          <w:szCs w:val="22"/>
          <w:lang w:val="hu-HU"/>
        </w:rPr>
        <w:t>Ritka:</w:t>
      </w:r>
      <w:r>
        <w:rPr>
          <w:szCs w:val="22"/>
          <w:lang w:val="hu-HU"/>
        </w:rPr>
        <w:tab/>
        <w:t>Ízületi fájdalom, izommerevség, végtagfájdalom</w:t>
      </w:r>
    </w:p>
    <w:p w:rsidR="00165C1F" w:rsidRDefault="00165C1F">
      <w:pPr>
        <w:autoSpaceDE w:val="0"/>
        <w:autoSpaceDN w:val="0"/>
        <w:adjustRightInd w:val="0"/>
        <w:ind w:left="709"/>
        <w:contextualSpacing/>
        <w:rPr>
          <w:szCs w:val="22"/>
          <w:lang w:val="hu-HU"/>
        </w:rPr>
      </w:pPr>
    </w:p>
    <w:p w:rsidR="00165C1F" w:rsidRDefault="00457A3F">
      <w:pPr>
        <w:rPr>
          <w:szCs w:val="22"/>
          <w:lang w:val="hu-HU"/>
        </w:rPr>
      </w:pPr>
      <w:r>
        <w:rPr>
          <w:szCs w:val="22"/>
          <w:lang w:val="hu-HU"/>
        </w:rPr>
        <w:t>A nemi szervekkel és az emlőkkel kapcsolatos betegségek és tünetek</w:t>
      </w:r>
    </w:p>
    <w:p w:rsidR="00165C1F" w:rsidRDefault="00457A3F">
      <w:pPr>
        <w:ind w:left="1988" w:hanging="1420"/>
        <w:rPr>
          <w:szCs w:val="22"/>
          <w:lang w:val="hu-HU"/>
        </w:rPr>
      </w:pPr>
      <w:r>
        <w:rPr>
          <w:szCs w:val="22"/>
          <w:lang w:val="hu-HU"/>
        </w:rPr>
        <w:t>Nem gyakori:</w:t>
      </w:r>
      <w:r>
        <w:rPr>
          <w:szCs w:val="22"/>
          <w:lang w:val="hu-HU"/>
        </w:rPr>
        <w:tab/>
        <w:t>Erectilis dysfunctio</w:t>
      </w:r>
    </w:p>
    <w:p w:rsidR="00165C1F" w:rsidRDefault="00165C1F">
      <w:pPr>
        <w:rPr>
          <w:szCs w:val="22"/>
          <w:lang w:val="hu-HU"/>
        </w:rPr>
      </w:pPr>
    </w:p>
    <w:p w:rsidR="00165C1F" w:rsidRDefault="00457A3F">
      <w:pPr>
        <w:rPr>
          <w:szCs w:val="22"/>
          <w:lang w:val="hu-HU"/>
        </w:rPr>
      </w:pPr>
      <w:r>
        <w:rPr>
          <w:szCs w:val="22"/>
          <w:lang w:val="hu-HU"/>
        </w:rPr>
        <w:t>Általános tünetek, az alkalmazás helyén fellépő reakciók</w:t>
      </w:r>
    </w:p>
    <w:p w:rsidR="00165C1F" w:rsidRDefault="00457A3F">
      <w:pPr>
        <w:ind w:left="1988" w:hanging="1420"/>
        <w:rPr>
          <w:szCs w:val="22"/>
          <w:lang w:val="hu-HU"/>
        </w:rPr>
      </w:pPr>
      <w:r>
        <w:rPr>
          <w:szCs w:val="22"/>
          <w:lang w:val="hu-HU"/>
        </w:rPr>
        <w:t>Nem gyakori:</w:t>
      </w:r>
      <w:r>
        <w:rPr>
          <w:szCs w:val="22"/>
          <w:lang w:val="hu-HU"/>
        </w:rPr>
        <w:tab/>
        <w:t>Mellkasi fájdalom</w:t>
      </w:r>
    </w:p>
    <w:p w:rsidR="00165C1F" w:rsidRDefault="00457A3F">
      <w:pPr>
        <w:ind w:left="1988" w:hanging="1420"/>
        <w:rPr>
          <w:szCs w:val="22"/>
          <w:lang w:val="hu-HU"/>
        </w:rPr>
      </w:pPr>
      <w:r>
        <w:rPr>
          <w:szCs w:val="22"/>
          <w:lang w:val="hu-HU"/>
        </w:rPr>
        <w:t>Ritka:</w:t>
      </w:r>
      <w:r>
        <w:rPr>
          <w:szCs w:val="22"/>
          <w:lang w:val="hu-HU"/>
        </w:rPr>
        <w:tab/>
        <w:t>Influenzaszerű tünetek, fájdalom</w:t>
      </w:r>
    </w:p>
    <w:p w:rsidR="00165C1F" w:rsidRDefault="00165C1F">
      <w:pPr>
        <w:rPr>
          <w:szCs w:val="22"/>
          <w:lang w:val="hu-HU"/>
        </w:rPr>
      </w:pPr>
    </w:p>
    <w:p w:rsidR="00165C1F" w:rsidRDefault="00457A3F">
      <w:pPr>
        <w:rPr>
          <w:szCs w:val="22"/>
          <w:lang w:val="hu-HU"/>
        </w:rPr>
      </w:pPr>
      <w:r>
        <w:rPr>
          <w:szCs w:val="22"/>
          <w:lang w:val="hu-HU"/>
        </w:rPr>
        <w:t>Laboratóriumi és egyéb vizsgálatok eredményei</w:t>
      </w:r>
    </w:p>
    <w:p w:rsidR="00165C1F" w:rsidRDefault="00457A3F">
      <w:pPr>
        <w:ind w:left="1988" w:hanging="1420"/>
        <w:rPr>
          <w:szCs w:val="22"/>
          <w:lang w:val="hu-HU"/>
        </w:rPr>
      </w:pPr>
      <w:r>
        <w:rPr>
          <w:szCs w:val="22"/>
          <w:lang w:val="hu-HU"/>
        </w:rPr>
        <w:t>Nem gyakori:</w:t>
      </w:r>
      <w:r>
        <w:rPr>
          <w:szCs w:val="22"/>
          <w:lang w:val="hu-HU"/>
        </w:rPr>
        <w:tab/>
        <w:t>Emelkedett húgysavszint a vérben</w:t>
      </w:r>
    </w:p>
    <w:p w:rsidR="00165C1F" w:rsidRDefault="00457A3F">
      <w:pPr>
        <w:ind w:left="1988" w:hanging="1420"/>
        <w:rPr>
          <w:szCs w:val="22"/>
          <w:lang w:val="hu-HU"/>
        </w:rPr>
      </w:pPr>
      <w:r>
        <w:rPr>
          <w:szCs w:val="22"/>
          <w:lang w:val="hu-HU"/>
        </w:rPr>
        <w:t>Ritka:</w:t>
      </w:r>
      <w:r>
        <w:rPr>
          <w:szCs w:val="22"/>
          <w:lang w:val="hu-HU"/>
        </w:rPr>
        <w:tab/>
        <w:t>Emelkedett kreatinin szint a vérben, emelkedett kreatin-foszfokináz aktivitás a vérben, emelkedett májenzim-aktivitás</w:t>
      </w:r>
    </w:p>
    <w:p w:rsidR="00165C1F" w:rsidRDefault="00165C1F">
      <w:pPr>
        <w:autoSpaceDE w:val="0"/>
        <w:autoSpaceDN w:val="0"/>
        <w:adjustRightInd w:val="0"/>
        <w:contextualSpacing/>
        <w:rPr>
          <w:szCs w:val="22"/>
          <w:lang w:val="hu-HU"/>
        </w:rPr>
      </w:pPr>
    </w:p>
    <w:p w:rsidR="00165C1F" w:rsidRDefault="00457A3F">
      <w:pPr>
        <w:ind w:left="284" w:hanging="284"/>
        <w:rPr>
          <w:szCs w:val="22"/>
          <w:lang w:val="hu-HU"/>
        </w:rPr>
      </w:pPr>
      <w:r>
        <w:rPr>
          <w:szCs w:val="22"/>
          <w:lang w:val="hu-HU"/>
        </w:rPr>
        <w:t>1:</w:t>
      </w:r>
      <w:r>
        <w:rPr>
          <w:szCs w:val="22"/>
          <w:lang w:val="hu-HU"/>
        </w:rPr>
        <w:tab/>
        <w:t>A forgalomba hozatalt követően szerzett tapasztalatok alapján.</w:t>
      </w:r>
    </w:p>
    <w:p w:rsidR="00165C1F" w:rsidRDefault="00457A3F">
      <w:pPr>
        <w:ind w:left="284" w:hanging="284"/>
        <w:rPr>
          <w:szCs w:val="22"/>
          <w:lang w:val="hu-HU"/>
        </w:rPr>
      </w:pPr>
      <w:r>
        <w:rPr>
          <w:szCs w:val="22"/>
          <w:lang w:val="hu-HU"/>
        </w:rPr>
        <w:t>2:</w:t>
      </w:r>
      <w:r>
        <w:rPr>
          <w:szCs w:val="22"/>
          <w:lang w:val="hu-HU"/>
        </w:rPr>
        <w:tab/>
        <w:t>A további információkat lásd a „</w:t>
      </w:r>
      <w:r>
        <w:rPr>
          <w:i/>
          <w:szCs w:val="22"/>
          <w:lang w:val="hu-HU"/>
        </w:rPr>
        <w:t>Néhány, kiválasztott mellékhatás leírása</w:t>
      </w:r>
      <w:r>
        <w:rPr>
          <w:szCs w:val="22"/>
          <w:lang w:val="hu-HU"/>
        </w:rPr>
        <w:t>” alpontban.</w:t>
      </w:r>
    </w:p>
    <w:p w:rsidR="00165C1F" w:rsidRDefault="00165C1F">
      <w:pPr>
        <w:autoSpaceDE w:val="0"/>
        <w:autoSpaceDN w:val="0"/>
        <w:adjustRightInd w:val="0"/>
        <w:contextualSpacing/>
        <w:rPr>
          <w:szCs w:val="22"/>
          <w:lang w:val="hu-HU"/>
        </w:rPr>
      </w:pPr>
    </w:p>
    <w:p w:rsidR="00165C1F" w:rsidRDefault="00457A3F">
      <w:pPr>
        <w:ind w:left="284" w:hanging="284"/>
        <w:rPr>
          <w:i/>
          <w:iCs/>
          <w:szCs w:val="22"/>
          <w:lang w:val="hu-HU"/>
        </w:rPr>
      </w:pPr>
      <w:r>
        <w:rPr>
          <w:i/>
          <w:iCs/>
          <w:szCs w:val="22"/>
          <w:lang w:val="hu-HU"/>
        </w:rPr>
        <w:t>További tudnivalók az egyes összetevőkről</w:t>
      </w:r>
    </w:p>
    <w:p w:rsidR="00165C1F" w:rsidRDefault="00457A3F">
      <w:pPr>
        <w:rPr>
          <w:szCs w:val="22"/>
          <w:lang w:val="hu-HU"/>
        </w:rPr>
      </w:pPr>
      <w:r>
        <w:rPr>
          <w:szCs w:val="22"/>
          <w:lang w:val="hu-HU"/>
        </w:rPr>
        <w:t>A készítmény összetevőinek önálló alkalmazása során korábban megfigyelt mellékhatások a Telmisartan/Hydrochlorothiazide TAD tablettát szedő betegekben is előfordulhatnak, még akkor is, ha azokat a klinikai vizsgálatok résztvevőin nem észlelték.</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u w:val="single"/>
          <w:lang w:val="hu-HU"/>
        </w:rPr>
        <w:t>Telmizartán</w:t>
      </w:r>
      <w:r>
        <w:rPr>
          <w:szCs w:val="22"/>
          <w:lang w:val="hu-HU"/>
        </w:rPr>
        <w:t>:</w:t>
      </w:r>
    </w:p>
    <w:p w:rsidR="00165C1F" w:rsidRDefault="00457A3F">
      <w:pPr>
        <w:rPr>
          <w:szCs w:val="22"/>
          <w:lang w:val="hu-HU"/>
        </w:rPr>
      </w:pPr>
      <w:r>
        <w:rPr>
          <w:szCs w:val="22"/>
          <w:lang w:val="hu-HU"/>
        </w:rPr>
        <w:t>A mellékhatások gyakorisága hasonló volt a placebóval és a telmizartánnal kezelt betegeknél is.</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placebokontrollos klinikai vizsgálatok során a mellékhatások összesített gyakorisága általában hasonló volt a telmizartánnal kezelt betegeknél (41,4%) és a placebo-kezelésben részesülőknél (43,9%). A következőkben felsorolt mellékhatások az ez idáig elvégzett klinikai vizsgálatok telmizartánnal kezelt hypertoniás résztvevőinél vagy 50 éves, illetve idősebb, cardiovascularis szövődmények magas kockázatának kitett résztvevőinél jelentkeztek.</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Fertőző betegségek és parazitafertőzések</w:t>
      </w:r>
    </w:p>
    <w:p w:rsidR="00165C1F" w:rsidRDefault="00457A3F">
      <w:pPr>
        <w:ind w:left="1988" w:hanging="1420"/>
        <w:rPr>
          <w:szCs w:val="22"/>
          <w:lang w:val="hu-HU"/>
        </w:rPr>
      </w:pPr>
      <w:r>
        <w:rPr>
          <w:szCs w:val="22"/>
          <w:lang w:val="hu-HU"/>
        </w:rPr>
        <w:t>Nem gyakori:</w:t>
      </w:r>
      <w:r>
        <w:rPr>
          <w:szCs w:val="22"/>
          <w:lang w:val="hu-HU"/>
        </w:rPr>
        <w:tab/>
        <w:t>Felső légúti fertőzések, húgyúti fertőzés (például cystitis)</w:t>
      </w:r>
    </w:p>
    <w:p w:rsidR="00165C1F" w:rsidRDefault="00457A3F">
      <w:pPr>
        <w:ind w:left="1988" w:hanging="1420"/>
        <w:rPr>
          <w:szCs w:val="22"/>
          <w:lang w:val="hu-HU"/>
        </w:rPr>
      </w:pPr>
      <w:r>
        <w:rPr>
          <w:szCs w:val="22"/>
          <w:lang w:val="hu-HU"/>
        </w:rPr>
        <w:t>Ritka:</w:t>
      </w:r>
      <w:r>
        <w:rPr>
          <w:szCs w:val="22"/>
          <w:lang w:val="hu-HU"/>
        </w:rPr>
        <w:tab/>
        <w:t>Sepsis, a halálos kimenetelű eseteket</w:t>
      </w:r>
      <w:r>
        <w:rPr>
          <w:szCs w:val="22"/>
          <w:vertAlign w:val="superscript"/>
          <w:lang w:val="hu-HU"/>
        </w:rPr>
        <w:t>3</w:t>
      </w:r>
      <w:r>
        <w:rPr>
          <w:szCs w:val="22"/>
          <w:lang w:val="hu-HU"/>
        </w:rPr>
        <w:t xml:space="preserve"> is beleértve</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Vérképzőszervi és nyirokrendszeri betegségek és tünetek</w:t>
      </w:r>
    </w:p>
    <w:p w:rsidR="00165C1F" w:rsidRDefault="00457A3F">
      <w:pPr>
        <w:ind w:left="1988" w:hanging="1420"/>
        <w:rPr>
          <w:szCs w:val="22"/>
          <w:lang w:val="hu-HU"/>
        </w:rPr>
      </w:pPr>
      <w:r>
        <w:rPr>
          <w:szCs w:val="22"/>
          <w:lang w:val="hu-HU"/>
        </w:rPr>
        <w:t>Nem gyakori:</w:t>
      </w:r>
      <w:r>
        <w:rPr>
          <w:szCs w:val="22"/>
          <w:lang w:val="hu-HU"/>
        </w:rPr>
        <w:tab/>
        <w:t>Anaemia</w:t>
      </w:r>
    </w:p>
    <w:p w:rsidR="00165C1F" w:rsidRDefault="00457A3F">
      <w:pPr>
        <w:ind w:left="1988" w:hanging="1420"/>
        <w:rPr>
          <w:szCs w:val="22"/>
          <w:lang w:val="hu-HU"/>
        </w:rPr>
      </w:pPr>
      <w:r>
        <w:rPr>
          <w:szCs w:val="22"/>
          <w:lang w:val="hu-HU"/>
        </w:rPr>
        <w:t>Ritka:</w:t>
      </w:r>
      <w:r>
        <w:rPr>
          <w:szCs w:val="22"/>
          <w:lang w:val="hu-HU"/>
        </w:rPr>
        <w:tab/>
        <w:t>Eosinophilia, thrombocytopenia</w:t>
      </w:r>
    </w:p>
    <w:p w:rsidR="00165C1F" w:rsidRDefault="00165C1F">
      <w:pPr>
        <w:autoSpaceDE w:val="0"/>
        <w:autoSpaceDN w:val="0"/>
        <w:adjustRightInd w:val="0"/>
        <w:ind w:left="851"/>
        <w:contextualSpacing/>
        <w:rPr>
          <w:szCs w:val="22"/>
          <w:lang w:val="hu-HU"/>
        </w:rPr>
      </w:pPr>
    </w:p>
    <w:p w:rsidR="00165C1F" w:rsidRDefault="00457A3F">
      <w:pPr>
        <w:rPr>
          <w:szCs w:val="22"/>
          <w:lang w:val="hu-HU"/>
        </w:rPr>
      </w:pPr>
      <w:r>
        <w:rPr>
          <w:szCs w:val="22"/>
          <w:lang w:val="hu-HU"/>
        </w:rPr>
        <w:t>Immunrendszeri betegségek és tünetek</w:t>
      </w:r>
    </w:p>
    <w:p w:rsidR="00165C1F" w:rsidRDefault="00457A3F">
      <w:pPr>
        <w:ind w:left="1988" w:hanging="1420"/>
        <w:rPr>
          <w:szCs w:val="22"/>
          <w:lang w:val="hu-HU"/>
        </w:rPr>
      </w:pPr>
      <w:r>
        <w:rPr>
          <w:szCs w:val="22"/>
          <w:lang w:val="hu-HU"/>
        </w:rPr>
        <w:t>Ritka:</w:t>
      </w:r>
      <w:r>
        <w:rPr>
          <w:szCs w:val="22"/>
          <w:lang w:val="hu-HU"/>
        </w:rPr>
        <w:tab/>
        <w:t>Túlérzékenység, anafilaxiás reakciók</w:t>
      </w:r>
    </w:p>
    <w:p w:rsidR="00165C1F" w:rsidRDefault="00165C1F">
      <w:pPr>
        <w:rPr>
          <w:szCs w:val="22"/>
          <w:lang w:val="hu-HU"/>
        </w:rPr>
      </w:pPr>
    </w:p>
    <w:p w:rsidR="00165C1F" w:rsidRDefault="00457A3F">
      <w:pPr>
        <w:rPr>
          <w:szCs w:val="22"/>
          <w:lang w:val="hu-HU"/>
        </w:rPr>
      </w:pPr>
      <w:r>
        <w:rPr>
          <w:szCs w:val="22"/>
          <w:lang w:val="hu-HU"/>
        </w:rPr>
        <w:t>Anyagcsere- és táplálkozási betegségek és tünetek</w:t>
      </w:r>
    </w:p>
    <w:p w:rsidR="00165C1F" w:rsidRDefault="00457A3F">
      <w:pPr>
        <w:ind w:left="1988" w:hanging="1420"/>
        <w:rPr>
          <w:szCs w:val="22"/>
          <w:lang w:val="hu-HU"/>
        </w:rPr>
      </w:pPr>
      <w:r>
        <w:rPr>
          <w:szCs w:val="22"/>
          <w:lang w:val="hu-HU"/>
        </w:rPr>
        <w:lastRenderedPageBreak/>
        <w:t>Nem gyakori:</w:t>
      </w:r>
      <w:r>
        <w:rPr>
          <w:szCs w:val="22"/>
          <w:lang w:val="hu-HU"/>
        </w:rPr>
        <w:tab/>
        <w:t>Hyperkalaemia</w:t>
      </w:r>
    </w:p>
    <w:p w:rsidR="00165C1F" w:rsidRDefault="00457A3F">
      <w:pPr>
        <w:ind w:left="1988" w:hanging="1420"/>
        <w:rPr>
          <w:szCs w:val="22"/>
          <w:lang w:val="hu-HU"/>
        </w:rPr>
      </w:pPr>
      <w:r>
        <w:rPr>
          <w:szCs w:val="22"/>
          <w:lang w:val="hu-HU"/>
        </w:rPr>
        <w:t>Ritka:</w:t>
      </w:r>
      <w:r>
        <w:rPr>
          <w:szCs w:val="22"/>
          <w:lang w:val="hu-HU"/>
        </w:rPr>
        <w:tab/>
        <w:t>Hypoglykaemia (cukorbetegeknél)</w:t>
      </w:r>
    </w:p>
    <w:p w:rsidR="00165C1F" w:rsidRDefault="00165C1F">
      <w:pPr>
        <w:rPr>
          <w:szCs w:val="22"/>
          <w:lang w:val="hu-HU"/>
        </w:rPr>
      </w:pPr>
    </w:p>
    <w:p w:rsidR="00165C1F" w:rsidRDefault="00457A3F">
      <w:pPr>
        <w:rPr>
          <w:szCs w:val="22"/>
          <w:lang w:val="hu-HU"/>
        </w:rPr>
      </w:pPr>
      <w:r>
        <w:rPr>
          <w:szCs w:val="22"/>
          <w:lang w:val="hu-HU"/>
        </w:rPr>
        <w:t>Szívbetegségek és a szívvel kapcsolatos tünetek</w:t>
      </w:r>
    </w:p>
    <w:p w:rsidR="00165C1F" w:rsidRDefault="00457A3F">
      <w:pPr>
        <w:ind w:left="1988" w:hanging="1420"/>
        <w:rPr>
          <w:szCs w:val="22"/>
          <w:lang w:val="hu-HU"/>
        </w:rPr>
      </w:pPr>
      <w:r>
        <w:rPr>
          <w:szCs w:val="22"/>
          <w:lang w:val="hu-HU"/>
        </w:rPr>
        <w:t xml:space="preserve">Nem gyakori: </w:t>
      </w:r>
      <w:r>
        <w:rPr>
          <w:szCs w:val="22"/>
          <w:lang w:val="hu-HU"/>
        </w:rPr>
        <w:tab/>
        <w:t>Bradycardia</w:t>
      </w:r>
    </w:p>
    <w:p w:rsidR="00165C1F" w:rsidRDefault="00165C1F">
      <w:pPr>
        <w:rPr>
          <w:szCs w:val="22"/>
          <w:lang w:val="hu-HU"/>
        </w:rPr>
      </w:pPr>
    </w:p>
    <w:p w:rsidR="00165C1F" w:rsidRDefault="00457A3F">
      <w:pPr>
        <w:rPr>
          <w:szCs w:val="22"/>
          <w:lang w:val="hu-HU"/>
        </w:rPr>
      </w:pPr>
      <w:r>
        <w:rPr>
          <w:szCs w:val="22"/>
          <w:lang w:val="hu-HU"/>
        </w:rPr>
        <w:t>Idegrendszeri betegségek és tünetek</w:t>
      </w:r>
    </w:p>
    <w:p w:rsidR="00165C1F" w:rsidRDefault="00457A3F">
      <w:pPr>
        <w:ind w:left="1988" w:hanging="1420"/>
        <w:rPr>
          <w:szCs w:val="22"/>
          <w:lang w:val="hu-HU"/>
        </w:rPr>
      </w:pPr>
      <w:r>
        <w:rPr>
          <w:szCs w:val="22"/>
          <w:lang w:val="hu-HU"/>
        </w:rPr>
        <w:t xml:space="preserve">Ritka: </w:t>
      </w:r>
      <w:r>
        <w:rPr>
          <w:szCs w:val="22"/>
          <w:lang w:val="hu-HU"/>
        </w:rPr>
        <w:tab/>
        <w:t>Aluszékonyság</w:t>
      </w:r>
    </w:p>
    <w:p w:rsidR="00165C1F" w:rsidRDefault="00165C1F">
      <w:pPr>
        <w:rPr>
          <w:szCs w:val="22"/>
          <w:lang w:val="hu-HU"/>
        </w:rPr>
      </w:pPr>
    </w:p>
    <w:p w:rsidR="00165C1F" w:rsidRDefault="00457A3F">
      <w:pPr>
        <w:rPr>
          <w:szCs w:val="22"/>
          <w:lang w:val="hu-HU"/>
        </w:rPr>
      </w:pPr>
      <w:r>
        <w:rPr>
          <w:szCs w:val="22"/>
          <w:lang w:val="hu-HU"/>
        </w:rPr>
        <w:t>Légzőrendszeri, mellkasi és mediastinalis betegségek és tünetek</w:t>
      </w:r>
    </w:p>
    <w:p w:rsidR="00165C1F" w:rsidRDefault="00457A3F">
      <w:pPr>
        <w:ind w:left="1985" w:hanging="1417"/>
        <w:rPr>
          <w:szCs w:val="22"/>
          <w:lang w:val="hu-HU"/>
        </w:rPr>
      </w:pPr>
      <w:r>
        <w:rPr>
          <w:szCs w:val="22"/>
          <w:lang w:val="hu-HU"/>
        </w:rPr>
        <w:t xml:space="preserve">Nem gyakori: </w:t>
      </w:r>
      <w:r>
        <w:rPr>
          <w:szCs w:val="22"/>
          <w:lang w:val="hu-HU"/>
        </w:rPr>
        <w:tab/>
        <w:t>Köhögés</w:t>
      </w:r>
    </w:p>
    <w:p w:rsidR="00165C1F" w:rsidRDefault="00457A3F">
      <w:pPr>
        <w:ind w:left="1988" w:hanging="1420"/>
        <w:rPr>
          <w:szCs w:val="22"/>
          <w:lang w:val="hu-HU"/>
        </w:rPr>
      </w:pPr>
      <w:r>
        <w:rPr>
          <w:szCs w:val="22"/>
          <w:lang w:val="hu-HU"/>
        </w:rPr>
        <w:t xml:space="preserve">Nagyon ritka: </w:t>
      </w:r>
      <w:r>
        <w:rPr>
          <w:szCs w:val="22"/>
          <w:lang w:val="hu-HU"/>
        </w:rPr>
        <w:tab/>
        <w:t>Interstitialis tüdőbetegség</w:t>
      </w:r>
      <w:r>
        <w:rPr>
          <w:szCs w:val="22"/>
          <w:vertAlign w:val="superscript"/>
          <w:lang w:val="hu-HU"/>
        </w:rPr>
        <w:t>3</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Emésztőrendszeri betegségek és tünetek</w:t>
      </w:r>
    </w:p>
    <w:p w:rsidR="00165C1F" w:rsidRDefault="00457A3F">
      <w:pPr>
        <w:ind w:left="1988" w:hanging="1420"/>
        <w:rPr>
          <w:szCs w:val="22"/>
          <w:lang w:val="hu-HU"/>
        </w:rPr>
      </w:pPr>
      <w:r>
        <w:rPr>
          <w:szCs w:val="22"/>
          <w:lang w:val="hu-HU"/>
        </w:rPr>
        <w:t>Ritka:</w:t>
      </w:r>
      <w:r>
        <w:rPr>
          <w:szCs w:val="22"/>
          <w:lang w:val="hu-HU"/>
        </w:rPr>
        <w:tab/>
        <w:t>Gyomorpanaszok</w:t>
      </w:r>
    </w:p>
    <w:p w:rsidR="00165C1F" w:rsidRDefault="00165C1F">
      <w:pPr>
        <w:rPr>
          <w:szCs w:val="22"/>
          <w:lang w:val="hu-HU"/>
        </w:rPr>
      </w:pPr>
    </w:p>
    <w:p w:rsidR="00165C1F" w:rsidRDefault="00457A3F">
      <w:pPr>
        <w:rPr>
          <w:szCs w:val="22"/>
          <w:lang w:val="hu-HU"/>
        </w:rPr>
      </w:pPr>
      <w:r>
        <w:rPr>
          <w:szCs w:val="22"/>
          <w:lang w:val="hu-HU"/>
        </w:rPr>
        <w:t>A bőr és a bőr alatti szövet betegségei és tünetei</w:t>
      </w:r>
    </w:p>
    <w:p w:rsidR="00165C1F" w:rsidRDefault="00457A3F">
      <w:pPr>
        <w:ind w:left="1988" w:hanging="1420"/>
        <w:rPr>
          <w:szCs w:val="22"/>
          <w:lang w:val="hu-HU"/>
        </w:rPr>
      </w:pPr>
      <w:r>
        <w:rPr>
          <w:szCs w:val="22"/>
          <w:lang w:val="hu-HU"/>
        </w:rPr>
        <w:t xml:space="preserve">Ritka: </w:t>
      </w:r>
      <w:r>
        <w:rPr>
          <w:szCs w:val="22"/>
          <w:lang w:val="hu-HU"/>
        </w:rPr>
        <w:tab/>
        <w:t>Ekzema, gyógyszer okozta kiütés, toxikus bőrkiütés</w:t>
      </w:r>
    </w:p>
    <w:p w:rsidR="00165C1F" w:rsidRDefault="00165C1F">
      <w:pPr>
        <w:rPr>
          <w:szCs w:val="22"/>
          <w:lang w:val="hu-HU"/>
        </w:rPr>
      </w:pPr>
    </w:p>
    <w:p w:rsidR="00165C1F" w:rsidRDefault="00457A3F">
      <w:pPr>
        <w:rPr>
          <w:szCs w:val="22"/>
          <w:lang w:val="hu-HU"/>
        </w:rPr>
      </w:pPr>
      <w:r>
        <w:rPr>
          <w:szCs w:val="22"/>
          <w:lang w:val="hu-HU"/>
        </w:rPr>
        <w:t>A csont- és izomrendszer, valamint a kötőszövet betegségei és tünetei</w:t>
      </w:r>
    </w:p>
    <w:p w:rsidR="00165C1F" w:rsidRDefault="00457A3F">
      <w:pPr>
        <w:ind w:left="1988" w:hanging="1420"/>
        <w:rPr>
          <w:szCs w:val="22"/>
          <w:lang w:val="hu-HU"/>
        </w:rPr>
      </w:pPr>
      <w:r>
        <w:rPr>
          <w:szCs w:val="22"/>
          <w:lang w:val="hu-HU"/>
        </w:rPr>
        <w:t xml:space="preserve">Ritka: </w:t>
      </w:r>
      <w:r>
        <w:rPr>
          <w:szCs w:val="22"/>
          <w:lang w:val="hu-HU"/>
        </w:rPr>
        <w:tab/>
        <w:t>Arthrosis, ínfájdalom</w:t>
      </w:r>
    </w:p>
    <w:p w:rsidR="00165C1F" w:rsidRDefault="00165C1F">
      <w:pPr>
        <w:rPr>
          <w:szCs w:val="22"/>
          <w:lang w:val="hu-HU"/>
        </w:rPr>
      </w:pPr>
    </w:p>
    <w:p w:rsidR="00165C1F" w:rsidRDefault="00457A3F">
      <w:pPr>
        <w:rPr>
          <w:szCs w:val="22"/>
          <w:lang w:val="hu-HU"/>
        </w:rPr>
      </w:pPr>
      <w:r>
        <w:rPr>
          <w:szCs w:val="22"/>
          <w:lang w:val="hu-HU"/>
        </w:rPr>
        <w:t>Vese- és húgyúti betegségek és tünetek</w:t>
      </w:r>
    </w:p>
    <w:p w:rsidR="00165C1F" w:rsidRDefault="00457A3F">
      <w:pPr>
        <w:ind w:left="1988" w:hanging="1420"/>
        <w:rPr>
          <w:szCs w:val="22"/>
          <w:lang w:val="hu-HU"/>
        </w:rPr>
      </w:pPr>
      <w:r>
        <w:rPr>
          <w:szCs w:val="22"/>
          <w:lang w:val="hu-HU"/>
        </w:rPr>
        <w:t xml:space="preserve">Nem gyakori: </w:t>
      </w:r>
      <w:r>
        <w:rPr>
          <w:szCs w:val="22"/>
          <w:lang w:val="hu-HU"/>
        </w:rPr>
        <w:tab/>
        <w:t>Vesekárosodás, beleértve az akut veseelégtelenséget</w:t>
      </w:r>
    </w:p>
    <w:p w:rsidR="00165C1F" w:rsidRDefault="00165C1F">
      <w:pPr>
        <w:rPr>
          <w:szCs w:val="22"/>
          <w:lang w:val="hu-HU"/>
        </w:rPr>
      </w:pPr>
    </w:p>
    <w:p w:rsidR="00165C1F" w:rsidRDefault="00457A3F">
      <w:pPr>
        <w:rPr>
          <w:szCs w:val="22"/>
          <w:lang w:val="hu-HU"/>
        </w:rPr>
      </w:pPr>
      <w:r>
        <w:rPr>
          <w:szCs w:val="22"/>
          <w:lang w:val="hu-HU"/>
        </w:rPr>
        <w:t>Általános tünetek, az alkalmazás helyén fellépő reakciók</w:t>
      </w:r>
    </w:p>
    <w:p w:rsidR="00165C1F" w:rsidRDefault="00457A3F">
      <w:pPr>
        <w:ind w:left="1988" w:hanging="1420"/>
        <w:rPr>
          <w:szCs w:val="22"/>
          <w:lang w:val="hu-HU"/>
        </w:rPr>
      </w:pPr>
      <w:r>
        <w:rPr>
          <w:szCs w:val="22"/>
          <w:lang w:val="hu-HU"/>
        </w:rPr>
        <w:t xml:space="preserve">Nem gyakori: </w:t>
      </w:r>
      <w:r>
        <w:rPr>
          <w:szCs w:val="22"/>
          <w:lang w:val="hu-HU"/>
        </w:rPr>
        <w:tab/>
        <w:t>Asthenia</w:t>
      </w:r>
    </w:p>
    <w:p w:rsidR="00165C1F" w:rsidRDefault="00165C1F">
      <w:pPr>
        <w:rPr>
          <w:szCs w:val="22"/>
          <w:lang w:val="hu-HU"/>
        </w:rPr>
      </w:pPr>
    </w:p>
    <w:p w:rsidR="00165C1F" w:rsidRDefault="00457A3F">
      <w:pPr>
        <w:rPr>
          <w:szCs w:val="22"/>
          <w:lang w:val="hu-HU"/>
        </w:rPr>
      </w:pPr>
      <w:r>
        <w:rPr>
          <w:szCs w:val="22"/>
          <w:lang w:val="hu-HU"/>
        </w:rPr>
        <w:t>Laboratóriumi és egyéb vizsgálatok eredményei</w:t>
      </w:r>
    </w:p>
    <w:p w:rsidR="00165C1F" w:rsidRDefault="00457A3F">
      <w:pPr>
        <w:ind w:left="1988" w:hanging="1420"/>
        <w:rPr>
          <w:szCs w:val="22"/>
          <w:lang w:val="hu-HU"/>
        </w:rPr>
      </w:pPr>
      <w:r>
        <w:rPr>
          <w:szCs w:val="22"/>
          <w:lang w:val="hu-HU"/>
        </w:rPr>
        <w:t xml:space="preserve">Ritka: </w:t>
      </w:r>
      <w:r>
        <w:rPr>
          <w:szCs w:val="22"/>
          <w:lang w:val="hu-HU"/>
        </w:rPr>
        <w:tab/>
        <w:t>Csökkent hemoglobinszint</w:t>
      </w:r>
    </w:p>
    <w:p w:rsidR="00165C1F" w:rsidRDefault="00165C1F">
      <w:pPr>
        <w:rPr>
          <w:szCs w:val="22"/>
          <w:lang w:val="hu-HU"/>
        </w:rPr>
      </w:pPr>
    </w:p>
    <w:p w:rsidR="00165C1F" w:rsidRDefault="00457A3F">
      <w:pPr>
        <w:ind w:left="284" w:hanging="284"/>
        <w:rPr>
          <w:szCs w:val="22"/>
          <w:lang w:val="hu-HU"/>
        </w:rPr>
      </w:pPr>
      <w:r>
        <w:rPr>
          <w:szCs w:val="22"/>
          <w:lang w:val="hu-HU"/>
        </w:rPr>
        <w:t>3:</w:t>
      </w:r>
      <w:r>
        <w:rPr>
          <w:szCs w:val="22"/>
          <w:lang w:val="hu-HU"/>
        </w:rPr>
        <w:tab/>
        <w:t>A további információkat lásd a „</w:t>
      </w:r>
      <w:r>
        <w:rPr>
          <w:i/>
          <w:szCs w:val="22"/>
          <w:lang w:val="hu-HU"/>
        </w:rPr>
        <w:t>Néhány, kiválasztott mellékhatás leírása</w:t>
      </w:r>
      <w:r>
        <w:rPr>
          <w:szCs w:val="22"/>
          <w:lang w:val="hu-HU"/>
        </w:rPr>
        <w:t>” alpontban.</w:t>
      </w:r>
    </w:p>
    <w:p w:rsidR="00165C1F" w:rsidRDefault="00165C1F">
      <w:pPr>
        <w:ind w:left="284" w:hanging="284"/>
        <w:rPr>
          <w:szCs w:val="22"/>
          <w:lang w:val="hu-HU"/>
        </w:rPr>
      </w:pPr>
    </w:p>
    <w:p w:rsidR="00165C1F" w:rsidRDefault="00457A3F">
      <w:pPr>
        <w:ind w:left="284" w:hanging="284"/>
        <w:rPr>
          <w:szCs w:val="22"/>
          <w:lang w:val="hu-HU"/>
        </w:rPr>
      </w:pPr>
      <w:r>
        <w:rPr>
          <w:szCs w:val="22"/>
          <w:u w:val="single"/>
          <w:lang w:val="hu-HU"/>
        </w:rPr>
        <w:t>Hidroklorotiazid</w:t>
      </w:r>
      <w:r>
        <w:rPr>
          <w:szCs w:val="22"/>
          <w:lang w:val="hu-HU"/>
        </w:rPr>
        <w:t>:</w:t>
      </w:r>
    </w:p>
    <w:p w:rsidR="00165C1F" w:rsidRDefault="00457A3F">
      <w:pPr>
        <w:autoSpaceDE w:val="0"/>
        <w:autoSpaceDN w:val="0"/>
        <w:adjustRightInd w:val="0"/>
        <w:rPr>
          <w:szCs w:val="22"/>
          <w:lang w:val="hu-HU"/>
        </w:rPr>
      </w:pPr>
      <w:r>
        <w:rPr>
          <w:szCs w:val="22"/>
          <w:lang w:val="hu-HU" w:eastAsia="en-US"/>
        </w:rPr>
        <w:t>A hidroklorotiazid hypovolaemiát okozhat, illetve súlyosbíthatja azt, amelynek következtében felborulhat az elektrolit-háztartás egyensúlya (lásd 4.4 pont).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Hidroklorotiazid-monoterápia során a következő nem ismert gyakoriságú mellékhatásokat észlelték:</w:t>
      </w:r>
    </w:p>
    <w:p w:rsidR="00165C1F" w:rsidRDefault="00165C1F">
      <w:pPr>
        <w:rPr>
          <w:szCs w:val="22"/>
          <w:lang w:val="hu-HU"/>
        </w:rPr>
      </w:pPr>
    </w:p>
    <w:p w:rsidR="00165C1F" w:rsidRDefault="00457A3F">
      <w:pPr>
        <w:rPr>
          <w:szCs w:val="22"/>
          <w:lang w:val="hu-HU"/>
        </w:rPr>
      </w:pPr>
      <w:r>
        <w:rPr>
          <w:szCs w:val="22"/>
          <w:lang w:val="hu-HU"/>
        </w:rPr>
        <w:t>Fertőző betegségek és parazitafertőzések</w:t>
      </w:r>
    </w:p>
    <w:p w:rsidR="00165C1F" w:rsidRDefault="00457A3F">
      <w:pPr>
        <w:ind w:left="1988" w:hanging="1420"/>
        <w:rPr>
          <w:szCs w:val="22"/>
          <w:lang w:val="hu-HU"/>
        </w:rPr>
      </w:pPr>
      <w:r>
        <w:rPr>
          <w:szCs w:val="22"/>
          <w:lang w:val="hu-HU"/>
        </w:rPr>
        <w:t xml:space="preserve">Nem ismert: </w:t>
      </w:r>
      <w:r>
        <w:rPr>
          <w:szCs w:val="22"/>
          <w:lang w:val="hu-HU"/>
        </w:rPr>
        <w:tab/>
        <w:t>Sialoadenitis</w:t>
      </w:r>
    </w:p>
    <w:p w:rsidR="00165C1F" w:rsidRDefault="00165C1F">
      <w:pPr>
        <w:rPr>
          <w:szCs w:val="22"/>
          <w:lang w:val="hu-HU"/>
        </w:rPr>
      </w:pPr>
    </w:p>
    <w:p w:rsidR="00165C1F" w:rsidRDefault="00457A3F">
      <w:pPr>
        <w:rPr>
          <w:szCs w:val="22"/>
          <w:lang w:val="hu-HU"/>
        </w:rPr>
      </w:pPr>
      <w:r>
        <w:rPr>
          <w:szCs w:val="22"/>
          <w:lang w:val="hu-HU"/>
        </w:rPr>
        <w:t>Jó-, rosszindulatú és nem meghatározott daganatok (beleértve a cisztákat és polipokat is)</w:t>
      </w:r>
    </w:p>
    <w:p w:rsidR="00165C1F" w:rsidRDefault="00457A3F">
      <w:pPr>
        <w:ind w:left="1988" w:hanging="1420"/>
        <w:rPr>
          <w:szCs w:val="22"/>
          <w:lang w:val="hu-HU"/>
        </w:rPr>
      </w:pPr>
      <w:r>
        <w:rPr>
          <w:szCs w:val="22"/>
          <w:lang w:val="hu-HU"/>
        </w:rPr>
        <w:t>Nem ismert:</w:t>
      </w:r>
      <w:r>
        <w:rPr>
          <w:szCs w:val="22"/>
          <w:lang w:val="hu-HU"/>
        </w:rPr>
        <w:tab/>
        <w:t>Nem melanoma típusú bőrrák (bazálsejtes rák és laphámsejtes rák)</w:t>
      </w:r>
    </w:p>
    <w:p w:rsidR="00165C1F" w:rsidRDefault="00165C1F">
      <w:pPr>
        <w:rPr>
          <w:szCs w:val="22"/>
          <w:lang w:val="hu-HU"/>
        </w:rPr>
      </w:pPr>
    </w:p>
    <w:p w:rsidR="00165C1F" w:rsidRDefault="00457A3F">
      <w:pPr>
        <w:rPr>
          <w:szCs w:val="22"/>
          <w:lang w:val="hu-HU"/>
        </w:rPr>
      </w:pPr>
      <w:r>
        <w:rPr>
          <w:szCs w:val="22"/>
          <w:lang w:val="hu-HU"/>
        </w:rPr>
        <w:t>Vérképzőszervi és nyirokrendszeri betegségek és tünetek</w:t>
      </w:r>
    </w:p>
    <w:p w:rsidR="00165C1F" w:rsidRDefault="00457A3F">
      <w:pPr>
        <w:ind w:left="1988" w:hanging="1420"/>
        <w:rPr>
          <w:szCs w:val="22"/>
          <w:lang w:val="hu-HU"/>
        </w:rPr>
      </w:pPr>
      <w:r>
        <w:rPr>
          <w:szCs w:val="22"/>
          <w:lang w:val="hu-HU"/>
        </w:rPr>
        <w:t>Ritka:</w:t>
      </w:r>
      <w:r>
        <w:rPr>
          <w:szCs w:val="22"/>
          <w:lang w:val="hu-HU"/>
        </w:rPr>
        <w:tab/>
        <w:t>Thrombocytopenia (néha purpurával)</w:t>
      </w:r>
    </w:p>
    <w:p w:rsidR="00165C1F" w:rsidRDefault="00457A3F">
      <w:pPr>
        <w:ind w:left="1988" w:hanging="1420"/>
        <w:rPr>
          <w:szCs w:val="22"/>
          <w:lang w:val="hu-HU"/>
        </w:rPr>
      </w:pPr>
      <w:r>
        <w:rPr>
          <w:szCs w:val="22"/>
          <w:lang w:val="hu-HU"/>
        </w:rPr>
        <w:t xml:space="preserve">Nem ismert: </w:t>
      </w:r>
      <w:r>
        <w:rPr>
          <w:szCs w:val="22"/>
          <w:lang w:val="hu-HU"/>
        </w:rPr>
        <w:tab/>
        <w:t>Aplasticus, és haemolyticus anaemia, csontvelő-depresszió, leukopenia, neutropenia, agranulocytosis, thrombocytopenia</w:t>
      </w:r>
    </w:p>
    <w:p w:rsidR="00165C1F" w:rsidRDefault="00165C1F">
      <w:pPr>
        <w:rPr>
          <w:szCs w:val="22"/>
          <w:lang w:val="hu-HU"/>
        </w:rPr>
      </w:pPr>
    </w:p>
    <w:p w:rsidR="00165C1F" w:rsidRDefault="00457A3F">
      <w:pPr>
        <w:rPr>
          <w:szCs w:val="22"/>
          <w:lang w:val="hu-HU"/>
        </w:rPr>
      </w:pPr>
      <w:r>
        <w:rPr>
          <w:szCs w:val="22"/>
          <w:lang w:val="hu-HU"/>
        </w:rPr>
        <w:t>Immunrendszeri betegségek és tünetek</w:t>
      </w:r>
    </w:p>
    <w:p w:rsidR="00165C1F" w:rsidRDefault="00457A3F">
      <w:pPr>
        <w:ind w:left="1988" w:hanging="1420"/>
        <w:rPr>
          <w:szCs w:val="22"/>
          <w:lang w:val="hu-HU"/>
        </w:rPr>
      </w:pPr>
      <w:r>
        <w:rPr>
          <w:szCs w:val="22"/>
          <w:lang w:val="hu-HU"/>
        </w:rPr>
        <w:t>Nem ismert:</w:t>
      </w:r>
      <w:r>
        <w:rPr>
          <w:szCs w:val="22"/>
          <w:lang w:val="hu-HU"/>
        </w:rPr>
        <w:tab/>
        <w:t>Túlérzékenység, anafilaxiás reakciók</w:t>
      </w:r>
    </w:p>
    <w:p w:rsidR="00165C1F" w:rsidRDefault="00165C1F">
      <w:pPr>
        <w:tabs>
          <w:tab w:val="left" w:pos="2127"/>
        </w:tabs>
        <w:autoSpaceDE w:val="0"/>
        <w:autoSpaceDN w:val="0"/>
        <w:adjustRightInd w:val="0"/>
        <w:contextualSpacing/>
        <w:rPr>
          <w:szCs w:val="22"/>
          <w:lang w:val="hu-HU"/>
        </w:rPr>
      </w:pPr>
    </w:p>
    <w:p w:rsidR="00165C1F" w:rsidRDefault="00457A3F">
      <w:pPr>
        <w:rPr>
          <w:szCs w:val="22"/>
          <w:lang w:val="hu-HU"/>
        </w:rPr>
      </w:pPr>
      <w:r>
        <w:rPr>
          <w:szCs w:val="22"/>
          <w:lang w:val="hu-HU"/>
        </w:rPr>
        <w:t>Endokrin betegségek és tünetek</w:t>
      </w:r>
    </w:p>
    <w:p w:rsidR="00165C1F" w:rsidRDefault="00457A3F">
      <w:pPr>
        <w:ind w:left="1988" w:hanging="1420"/>
        <w:rPr>
          <w:szCs w:val="22"/>
          <w:lang w:val="hu-HU"/>
        </w:rPr>
      </w:pPr>
      <w:r>
        <w:rPr>
          <w:szCs w:val="22"/>
          <w:lang w:val="hu-HU"/>
        </w:rPr>
        <w:t xml:space="preserve">Nem ismert: </w:t>
      </w:r>
      <w:r>
        <w:rPr>
          <w:szCs w:val="22"/>
          <w:lang w:val="hu-HU"/>
        </w:rPr>
        <w:tab/>
        <w:t>Nem megfelelően beállított diabetes mellitus</w:t>
      </w:r>
    </w:p>
    <w:p w:rsidR="00165C1F" w:rsidRDefault="00165C1F">
      <w:pPr>
        <w:rPr>
          <w:szCs w:val="22"/>
          <w:lang w:val="hu-HU"/>
        </w:rPr>
      </w:pPr>
    </w:p>
    <w:p w:rsidR="00165C1F" w:rsidRDefault="00457A3F">
      <w:pPr>
        <w:rPr>
          <w:szCs w:val="22"/>
          <w:lang w:val="hu-HU"/>
        </w:rPr>
      </w:pPr>
      <w:r>
        <w:rPr>
          <w:szCs w:val="22"/>
          <w:lang w:val="hu-HU"/>
        </w:rPr>
        <w:t>Anyagcsere- és táplálkozási betegségek és tünetek</w:t>
      </w:r>
    </w:p>
    <w:p w:rsidR="00165C1F" w:rsidRDefault="00457A3F">
      <w:pPr>
        <w:ind w:left="1988" w:hanging="1420"/>
        <w:rPr>
          <w:szCs w:val="22"/>
          <w:lang w:val="hu-HU"/>
        </w:rPr>
      </w:pPr>
      <w:r>
        <w:rPr>
          <w:szCs w:val="22"/>
          <w:lang w:val="hu-HU"/>
        </w:rPr>
        <w:lastRenderedPageBreak/>
        <w:t>Gyakori:</w:t>
      </w:r>
      <w:r>
        <w:rPr>
          <w:szCs w:val="22"/>
          <w:lang w:val="hu-HU"/>
        </w:rPr>
        <w:tab/>
        <w:t>Hypomagnesaemia</w:t>
      </w:r>
    </w:p>
    <w:p w:rsidR="00165C1F" w:rsidRDefault="00457A3F">
      <w:pPr>
        <w:ind w:left="1988" w:hanging="1420"/>
        <w:rPr>
          <w:szCs w:val="22"/>
          <w:lang w:val="hu-HU"/>
        </w:rPr>
      </w:pPr>
      <w:r>
        <w:rPr>
          <w:szCs w:val="22"/>
          <w:lang w:val="hu-HU"/>
        </w:rPr>
        <w:t>Ritka:</w:t>
      </w:r>
      <w:r>
        <w:rPr>
          <w:szCs w:val="22"/>
          <w:lang w:val="hu-HU"/>
        </w:rPr>
        <w:tab/>
        <w:t>Hypercalcaemia</w:t>
      </w:r>
    </w:p>
    <w:p w:rsidR="00165C1F" w:rsidRDefault="00457A3F">
      <w:pPr>
        <w:ind w:left="1988" w:hanging="1420"/>
        <w:rPr>
          <w:szCs w:val="22"/>
          <w:lang w:val="hu-HU"/>
        </w:rPr>
      </w:pPr>
      <w:r>
        <w:rPr>
          <w:szCs w:val="22"/>
          <w:lang w:val="hu-HU"/>
        </w:rPr>
        <w:t>Nagyon ritka:</w:t>
      </w:r>
      <w:r>
        <w:rPr>
          <w:szCs w:val="22"/>
          <w:lang w:val="hu-HU"/>
        </w:rPr>
        <w:tab/>
        <w:t>Hypochloraemiás alkalosis</w:t>
      </w:r>
    </w:p>
    <w:p w:rsidR="00165C1F" w:rsidRDefault="00457A3F">
      <w:pPr>
        <w:ind w:left="1988" w:hanging="1420"/>
        <w:rPr>
          <w:szCs w:val="22"/>
          <w:lang w:val="hu-HU"/>
        </w:rPr>
      </w:pPr>
      <w:r>
        <w:rPr>
          <w:szCs w:val="22"/>
          <w:lang w:val="hu-HU"/>
        </w:rPr>
        <w:t>Nem ismert:</w:t>
      </w:r>
      <w:r>
        <w:rPr>
          <w:szCs w:val="22"/>
          <w:lang w:val="hu-HU"/>
        </w:rPr>
        <w:tab/>
        <w:t>Étvágytalanság, étvágycsökkenés, elektrolit-zavarok, hypercholesterinaemia, hyperglykaemia, hypovolaemia</w:t>
      </w:r>
    </w:p>
    <w:p w:rsidR="00165C1F" w:rsidRDefault="00165C1F">
      <w:pPr>
        <w:rPr>
          <w:szCs w:val="22"/>
          <w:lang w:val="hu-HU"/>
        </w:rPr>
      </w:pPr>
    </w:p>
    <w:p w:rsidR="00165C1F" w:rsidRDefault="00457A3F">
      <w:pPr>
        <w:rPr>
          <w:szCs w:val="22"/>
          <w:lang w:val="hu-HU"/>
        </w:rPr>
      </w:pPr>
      <w:r>
        <w:rPr>
          <w:szCs w:val="22"/>
          <w:lang w:val="hu-HU"/>
        </w:rPr>
        <w:t>Pszichiátriai kórképek</w:t>
      </w:r>
    </w:p>
    <w:p w:rsidR="00165C1F" w:rsidRDefault="00457A3F">
      <w:pPr>
        <w:ind w:left="1988" w:hanging="1420"/>
        <w:rPr>
          <w:szCs w:val="22"/>
          <w:lang w:val="hu-HU"/>
        </w:rPr>
      </w:pPr>
      <w:r>
        <w:rPr>
          <w:szCs w:val="22"/>
          <w:lang w:val="hu-HU"/>
        </w:rPr>
        <w:t>Nem ismert:</w:t>
      </w:r>
      <w:r>
        <w:rPr>
          <w:szCs w:val="22"/>
          <w:lang w:val="hu-HU"/>
        </w:rPr>
        <w:tab/>
        <w:t>Nyugtalanság</w:t>
      </w:r>
    </w:p>
    <w:p w:rsidR="00165C1F" w:rsidRDefault="00165C1F">
      <w:pPr>
        <w:rPr>
          <w:szCs w:val="22"/>
          <w:lang w:val="hu-HU"/>
        </w:rPr>
      </w:pPr>
    </w:p>
    <w:p w:rsidR="00165C1F" w:rsidRDefault="00457A3F">
      <w:pPr>
        <w:rPr>
          <w:szCs w:val="22"/>
          <w:lang w:val="hu-HU"/>
        </w:rPr>
      </w:pPr>
      <w:r>
        <w:rPr>
          <w:szCs w:val="22"/>
          <w:lang w:val="hu-HU"/>
        </w:rPr>
        <w:t>Idegrendszeri betegségek és tünetek</w:t>
      </w:r>
    </w:p>
    <w:p w:rsidR="00165C1F" w:rsidRDefault="00457A3F">
      <w:pPr>
        <w:ind w:left="1988" w:hanging="1420"/>
        <w:rPr>
          <w:szCs w:val="22"/>
          <w:lang w:val="hu-HU"/>
        </w:rPr>
      </w:pPr>
      <w:r>
        <w:rPr>
          <w:szCs w:val="22"/>
          <w:lang w:val="hu-HU"/>
        </w:rPr>
        <w:t>Ritka:</w:t>
      </w:r>
      <w:r>
        <w:rPr>
          <w:szCs w:val="22"/>
          <w:lang w:val="hu-HU"/>
        </w:rPr>
        <w:tab/>
        <w:t>Fejfájás</w:t>
      </w:r>
    </w:p>
    <w:p w:rsidR="00165C1F" w:rsidRDefault="00457A3F">
      <w:pPr>
        <w:ind w:left="1988" w:hanging="1420"/>
        <w:rPr>
          <w:szCs w:val="22"/>
          <w:lang w:val="hu-HU"/>
        </w:rPr>
      </w:pPr>
      <w:r>
        <w:rPr>
          <w:szCs w:val="22"/>
          <w:lang w:val="hu-HU"/>
        </w:rPr>
        <w:t>Nem ismert:</w:t>
      </w:r>
      <w:r>
        <w:rPr>
          <w:szCs w:val="22"/>
          <w:lang w:val="hu-HU"/>
        </w:rPr>
        <w:tab/>
        <w:t>Szédülékenység</w:t>
      </w:r>
    </w:p>
    <w:p w:rsidR="00165C1F" w:rsidRDefault="00165C1F">
      <w:pPr>
        <w:tabs>
          <w:tab w:val="left" w:pos="2127"/>
        </w:tabs>
        <w:autoSpaceDE w:val="0"/>
        <w:autoSpaceDN w:val="0"/>
        <w:adjustRightInd w:val="0"/>
        <w:contextualSpacing/>
        <w:rPr>
          <w:szCs w:val="22"/>
          <w:lang w:val="hu-HU"/>
        </w:rPr>
      </w:pPr>
    </w:p>
    <w:p w:rsidR="00165C1F" w:rsidRDefault="00457A3F">
      <w:pPr>
        <w:rPr>
          <w:szCs w:val="22"/>
          <w:lang w:val="hu-HU"/>
        </w:rPr>
      </w:pPr>
      <w:r>
        <w:rPr>
          <w:szCs w:val="22"/>
          <w:lang w:val="hu-HU"/>
        </w:rPr>
        <w:t>Szembetegségek és szemészeti tünetek</w:t>
      </w:r>
    </w:p>
    <w:p w:rsidR="00165C1F" w:rsidRDefault="00457A3F">
      <w:pPr>
        <w:ind w:left="1988" w:hanging="1420"/>
        <w:rPr>
          <w:szCs w:val="22"/>
          <w:lang w:val="hu-HU"/>
        </w:rPr>
      </w:pPr>
      <w:r>
        <w:rPr>
          <w:szCs w:val="22"/>
          <w:lang w:val="hu-HU"/>
        </w:rPr>
        <w:t xml:space="preserve">Nem ismert: </w:t>
      </w:r>
      <w:r>
        <w:rPr>
          <w:szCs w:val="22"/>
          <w:lang w:val="hu-HU"/>
        </w:rPr>
        <w:tab/>
        <w:t>Xanthopsia, choroidealis effusio, akut myopia, akut zárt zugú glaucoma</w:t>
      </w:r>
    </w:p>
    <w:p w:rsidR="00165C1F" w:rsidRDefault="00165C1F">
      <w:pPr>
        <w:tabs>
          <w:tab w:val="left" w:pos="2127"/>
        </w:tabs>
        <w:autoSpaceDE w:val="0"/>
        <w:autoSpaceDN w:val="0"/>
        <w:adjustRightInd w:val="0"/>
        <w:contextualSpacing/>
        <w:rPr>
          <w:szCs w:val="22"/>
          <w:lang w:val="hu-HU"/>
        </w:rPr>
      </w:pPr>
    </w:p>
    <w:p w:rsidR="00165C1F" w:rsidRDefault="00457A3F">
      <w:pPr>
        <w:rPr>
          <w:szCs w:val="22"/>
          <w:lang w:val="hu-HU"/>
        </w:rPr>
      </w:pPr>
      <w:r>
        <w:rPr>
          <w:szCs w:val="22"/>
          <w:lang w:val="hu-HU"/>
        </w:rPr>
        <w:t>Érbetegségek és tünetek</w:t>
      </w:r>
    </w:p>
    <w:p w:rsidR="00165C1F" w:rsidRDefault="00457A3F">
      <w:pPr>
        <w:ind w:left="1988" w:hanging="1420"/>
        <w:rPr>
          <w:szCs w:val="22"/>
          <w:lang w:val="hu-HU"/>
        </w:rPr>
      </w:pPr>
      <w:r>
        <w:rPr>
          <w:szCs w:val="22"/>
          <w:lang w:val="hu-HU"/>
        </w:rPr>
        <w:t>Nem ismert:</w:t>
      </w:r>
      <w:r>
        <w:rPr>
          <w:szCs w:val="22"/>
          <w:lang w:val="hu-HU"/>
        </w:rPr>
        <w:tab/>
        <w:t>Necrotizáló vasculitis</w:t>
      </w:r>
    </w:p>
    <w:p w:rsidR="00165C1F" w:rsidRDefault="00165C1F">
      <w:pPr>
        <w:widowControl w:val="0"/>
        <w:rPr>
          <w:szCs w:val="22"/>
          <w:lang w:val="hu-HU"/>
        </w:rPr>
      </w:pPr>
    </w:p>
    <w:p w:rsidR="00165C1F" w:rsidRDefault="00457A3F">
      <w:pPr>
        <w:widowControl w:val="0"/>
        <w:rPr>
          <w:szCs w:val="22"/>
          <w:lang w:val="hu-HU"/>
        </w:rPr>
      </w:pPr>
      <w:r>
        <w:rPr>
          <w:szCs w:val="22"/>
          <w:lang w:val="hu-HU"/>
        </w:rPr>
        <w:t>Légzőrendszeri, mellkasi és mediastinalis betegségek és tünetek</w:t>
      </w:r>
    </w:p>
    <w:p w:rsidR="00165C1F" w:rsidRDefault="00457A3F">
      <w:pPr>
        <w:widowControl w:val="0"/>
        <w:ind w:left="1988" w:hanging="1420"/>
        <w:rPr>
          <w:szCs w:val="22"/>
          <w:lang w:val="hu-HU"/>
        </w:rPr>
      </w:pPr>
      <w:r>
        <w:rPr>
          <w:szCs w:val="22"/>
          <w:lang w:val="hu-HU"/>
        </w:rPr>
        <w:t>Nagyon ritka:</w:t>
      </w:r>
      <w:r>
        <w:rPr>
          <w:szCs w:val="22"/>
          <w:lang w:val="hu-HU"/>
        </w:rPr>
        <w:tab/>
        <w:t>Akut respirációs distressz szindróma (ARDS) (lásd 4.4 pont)</w:t>
      </w:r>
    </w:p>
    <w:p w:rsidR="00165C1F" w:rsidRDefault="00165C1F">
      <w:pPr>
        <w:rPr>
          <w:szCs w:val="22"/>
          <w:lang w:val="hu-HU"/>
        </w:rPr>
      </w:pPr>
    </w:p>
    <w:p w:rsidR="00165C1F" w:rsidRDefault="00457A3F">
      <w:pPr>
        <w:rPr>
          <w:szCs w:val="22"/>
          <w:lang w:val="hu-HU"/>
        </w:rPr>
      </w:pPr>
      <w:r>
        <w:rPr>
          <w:szCs w:val="22"/>
          <w:lang w:val="hu-HU"/>
        </w:rPr>
        <w:t>Emésztőszervi betegségek és tünetek</w:t>
      </w:r>
    </w:p>
    <w:p w:rsidR="00165C1F" w:rsidRDefault="00457A3F">
      <w:pPr>
        <w:ind w:left="1988" w:hanging="1420"/>
        <w:rPr>
          <w:szCs w:val="22"/>
          <w:lang w:val="hu-HU"/>
        </w:rPr>
      </w:pPr>
      <w:r>
        <w:rPr>
          <w:szCs w:val="22"/>
          <w:lang w:val="hu-HU"/>
        </w:rPr>
        <w:t>Gyakori:</w:t>
      </w:r>
      <w:r>
        <w:rPr>
          <w:szCs w:val="22"/>
          <w:lang w:val="hu-HU"/>
        </w:rPr>
        <w:tab/>
        <w:t>Hányinger</w:t>
      </w:r>
    </w:p>
    <w:p w:rsidR="00165C1F" w:rsidRDefault="00457A3F">
      <w:pPr>
        <w:ind w:left="1988" w:hanging="1420"/>
        <w:rPr>
          <w:szCs w:val="22"/>
          <w:lang w:val="hu-HU"/>
        </w:rPr>
      </w:pPr>
      <w:r>
        <w:rPr>
          <w:szCs w:val="22"/>
          <w:lang w:val="hu-HU"/>
        </w:rPr>
        <w:t>Nem ismert:</w:t>
      </w:r>
      <w:r>
        <w:rPr>
          <w:szCs w:val="22"/>
          <w:lang w:val="hu-HU"/>
        </w:rPr>
        <w:tab/>
        <w:t>Hasnyálmirigy-gyulladás, gyomorpanaszok</w:t>
      </w:r>
    </w:p>
    <w:p w:rsidR="00165C1F" w:rsidRDefault="00165C1F">
      <w:pPr>
        <w:rPr>
          <w:szCs w:val="22"/>
          <w:lang w:val="hu-HU"/>
        </w:rPr>
      </w:pPr>
    </w:p>
    <w:p w:rsidR="00165C1F" w:rsidRDefault="00457A3F">
      <w:pPr>
        <w:rPr>
          <w:szCs w:val="22"/>
          <w:lang w:val="hu-HU"/>
        </w:rPr>
      </w:pPr>
      <w:r>
        <w:rPr>
          <w:szCs w:val="22"/>
          <w:lang w:val="hu-HU"/>
        </w:rPr>
        <w:t>Máj- és epebetegségek, illetve tünetek</w:t>
      </w:r>
    </w:p>
    <w:p w:rsidR="00165C1F" w:rsidRDefault="00457A3F">
      <w:pPr>
        <w:ind w:left="1988" w:hanging="1420"/>
        <w:rPr>
          <w:szCs w:val="22"/>
          <w:lang w:val="hu-HU"/>
        </w:rPr>
      </w:pPr>
      <w:r>
        <w:rPr>
          <w:szCs w:val="22"/>
          <w:lang w:val="hu-HU"/>
        </w:rPr>
        <w:t>Nem ismert:</w:t>
      </w:r>
      <w:r>
        <w:rPr>
          <w:szCs w:val="22"/>
          <w:lang w:val="hu-HU"/>
        </w:rPr>
        <w:tab/>
        <w:t>Sárgaság (hepatocelluláris vagy cholestaticus icterus)</w:t>
      </w:r>
    </w:p>
    <w:p w:rsidR="00165C1F" w:rsidRDefault="00165C1F">
      <w:pPr>
        <w:tabs>
          <w:tab w:val="left" w:pos="2127"/>
        </w:tabs>
        <w:autoSpaceDE w:val="0"/>
        <w:autoSpaceDN w:val="0"/>
        <w:adjustRightInd w:val="0"/>
        <w:contextualSpacing/>
        <w:rPr>
          <w:szCs w:val="22"/>
          <w:lang w:val="hu-HU"/>
        </w:rPr>
      </w:pPr>
    </w:p>
    <w:p w:rsidR="00165C1F" w:rsidRDefault="00457A3F">
      <w:pPr>
        <w:rPr>
          <w:szCs w:val="22"/>
          <w:lang w:val="hu-HU"/>
        </w:rPr>
      </w:pPr>
      <w:r>
        <w:rPr>
          <w:szCs w:val="22"/>
          <w:lang w:val="hu-HU"/>
        </w:rPr>
        <w:t>A bőr és a bőr alatti szövet betegségei és tünetei</w:t>
      </w:r>
    </w:p>
    <w:p w:rsidR="00165C1F" w:rsidRDefault="00457A3F">
      <w:pPr>
        <w:ind w:left="1988" w:hanging="1420"/>
        <w:rPr>
          <w:szCs w:val="22"/>
          <w:lang w:val="hu-HU"/>
        </w:rPr>
      </w:pPr>
      <w:r>
        <w:rPr>
          <w:szCs w:val="22"/>
          <w:lang w:val="hu-HU"/>
        </w:rPr>
        <w:t>Nem ismert:</w:t>
      </w:r>
      <w:r>
        <w:rPr>
          <w:szCs w:val="22"/>
          <w:lang w:val="hu-HU"/>
        </w:rPr>
        <w:tab/>
        <w:t>Lupus-szerű tünetegyüttes, fényérzékenységi reakciók, cutan vasculitis, toxikus epidermalis necrolysis, erythema multiforme</w:t>
      </w:r>
    </w:p>
    <w:p w:rsidR="00165C1F" w:rsidRDefault="00165C1F">
      <w:pPr>
        <w:rPr>
          <w:szCs w:val="22"/>
          <w:lang w:val="hu-HU"/>
        </w:rPr>
      </w:pPr>
    </w:p>
    <w:p w:rsidR="00165C1F" w:rsidRDefault="00457A3F">
      <w:pPr>
        <w:rPr>
          <w:szCs w:val="22"/>
          <w:lang w:val="hu-HU"/>
        </w:rPr>
      </w:pPr>
      <w:r>
        <w:rPr>
          <w:szCs w:val="22"/>
          <w:lang w:val="hu-HU"/>
        </w:rPr>
        <w:t>A csont- és izomrendszer, valamint a kötőszövet betegségei és tünetei</w:t>
      </w:r>
    </w:p>
    <w:p w:rsidR="00165C1F" w:rsidRDefault="00457A3F">
      <w:pPr>
        <w:ind w:left="1988" w:hanging="1420"/>
        <w:rPr>
          <w:szCs w:val="22"/>
          <w:lang w:val="hu-HU"/>
        </w:rPr>
      </w:pPr>
      <w:r>
        <w:rPr>
          <w:szCs w:val="22"/>
          <w:lang w:val="hu-HU"/>
        </w:rPr>
        <w:t xml:space="preserve">Nem ismert: </w:t>
      </w:r>
      <w:r>
        <w:rPr>
          <w:szCs w:val="22"/>
          <w:lang w:val="hu-HU"/>
        </w:rPr>
        <w:tab/>
        <w:t>Gyengeség</w:t>
      </w:r>
    </w:p>
    <w:p w:rsidR="00165C1F" w:rsidRDefault="00165C1F">
      <w:pPr>
        <w:rPr>
          <w:szCs w:val="22"/>
          <w:lang w:val="hu-HU"/>
        </w:rPr>
      </w:pPr>
    </w:p>
    <w:p w:rsidR="00165C1F" w:rsidRDefault="00457A3F">
      <w:pPr>
        <w:rPr>
          <w:szCs w:val="22"/>
          <w:lang w:val="hu-HU"/>
        </w:rPr>
      </w:pPr>
      <w:r>
        <w:rPr>
          <w:szCs w:val="22"/>
          <w:lang w:val="hu-HU"/>
        </w:rPr>
        <w:t>Vese- és húgyúti betegségek és tünetek</w:t>
      </w:r>
    </w:p>
    <w:p w:rsidR="00165C1F" w:rsidRDefault="00457A3F">
      <w:pPr>
        <w:ind w:left="1988" w:hanging="1420"/>
        <w:rPr>
          <w:szCs w:val="22"/>
          <w:lang w:val="hu-HU"/>
        </w:rPr>
      </w:pPr>
      <w:r>
        <w:rPr>
          <w:szCs w:val="22"/>
          <w:lang w:val="hu-HU"/>
        </w:rPr>
        <w:t>Nem ismert:</w:t>
      </w:r>
      <w:r>
        <w:rPr>
          <w:szCs w:val="22"/>
          <w:lang w:val="hu-HU"/>
        </w:rPr>
        <w:tab/>
        <w:t>Interstitialis nephritis, vesekárosodás, glycosuria</w:t>
      </w:r>
    </w:p>
    <w:p w:rsidR="00165C1F" w:rsidRDefault="00165C1F">
      <w:pPr>
        <w:rPr>
          <w:szCs w:val="22"/>
          <w:lang w:val="hu-HU"/>
        </w:rPr>
      </w:pPr>
    </w:p>
    <w:p w:rsidR="00165C1F" w:rsidRDefault="00457A3F">
      <w:pPr>
        <w:rPr>
          <w:szCs w:val="22"/>
          <w:lang w:val="hu-HU"/>
        </w:rPr>
      </w:pPr>
      <w:r>
        <w:rPr>
          <w:szCs w:val="22"/>
          <w:lang w:val="hu-HU"/>
        </w:rPr>
        <w:t>Általános tünetek, az alkalmazás helyén fellépő reakciók</w:t>
      </w:r>
    </w:p>
    <w:p w:rsidR="00165C1F" w:rsidRDefault="00457A3F">
      <w:pPr>
        <w:ind w:left="1988" w:hanging="1420"/>
        <w:rPr>
          <w:szCs w:val="22"/>
          <w:lang w:val="hu-HU"/>
        </w:rPr>
      </w:pPr>
      <w:r>
        <w:rPr>
          <w:szCs w:val="22"/>
          <w:lang w:val="hu-HU"/>
        </w:rPr>
        <w:t xml:space="preserve">Nem ismert: </w:t>
      </w:r>
      <w:r>
        <w:rPr>
          <w:szCs w:val="22"/>
          <w:lang w:val="hu-HU"/>
        </w:rPr>
        <w:tab/>
        <w:t>Láz</w:t>
      </w:r>
    </w:p>
    <w:p w:rsidR="00165C1F" w:rsidRDefault="00165C1F">
      <w:pPr>
        <w:rPr>
          <w:szCs w:val="22"/>
          <w:lang w:val="hu-HU"/>
        </w:rPr>
      </w:pPr>
    </w:p>
    <w:p w:rsidR="00165C1F" w:rsidRDefault="00457A3F">
      <w:pPr>
        <w:rPr>
          <w:szCs w:val="22"/>
          <w:lang w:val="hu-HU"/>
        </w:rPr>
      </w:pPr>
      <w:r>
        <w:rPr>
          <w:szCs w:val="22"/>
          <w:lang w:val="hu-HU"/>
        </w:rPr>
        <w:t>Laboratóriumi és egyéb vizsgálatok eredményei</w:t>
      </w:r>
    </w:p>
    <w:p w:rsidR="00165C1F" w:rsidRDefault="00457A3F">
      <w:pPr>
        <w:ind w:left="1988" w:hanging="1420"/>
        <w:rPr>
          <w:szCs w:val="22"/>
          <w:lang w:val="hu-HU"/>
        </w:rPr>
      </w:pPr>
      <w:r>
        <w:rPr>
          <w:szCs w:val="22"/>
          <w:lang w:val="hu-HU"/>
        </w:rPr>
        <w:t xml:space="preserve">Nem ismert: </w:t>
      </w:r>
      <w:r>
        <w:rPr>
          <w:szCs w:val="22"/>
          <w:lang w:val="hu-HU"/>
        </w:rPr>
        <w:tab/>
        <w:t>Emelkedett trigliceridszint</w:t>
      </w:r>
    </w:p>
    <w:p w:rsidR="00165C1F" w:rsidRDefault="00165C1F">
      <w:pPr>
        <w:pStyle w:val="Listaszerbekezds"/>
        <w:autoSpaceDE w:val="0"/>
        <w:autoSpaceDN w:val="0"/>
        <w:adjustRightInd w:val="0"/>
        <w:spacing w:after="0" w:line="240" w:lineRule="auto"/>
        <w:ind w:left="0"/>
        <w:rPr>
          <w:rFonts w:ascii="Times New Roman" w:hAnsi="Times New Roman"/>
          <w:iCs/>
          <w:u w:val="single"/>
          <w:lang w:val="hu-HU"/>
        </w:rPr>
      </w:pPr>
    </w:p>
    <w:p w:rsidR="00165C1F" w:rsidRDefault="00457A3F">
      <w:pPr>
        <w:rPr>
          <w:szCs w:val="22"/>
          <w:u w:val="single"/>
          <w:lang w:val="hu-HU"/>
        </w:rPr>
      </w:pPr>
      <w:r>
        <w:rPr>
          <w:szCs w:val="22"/>
          <w:u w:val="single"/>
          <w:lang w:val="hu-HU"/>
        </w:rPr>
        <w:t>Néhány, kiválasztott mellékhatás leírása:</w:t>
      </w:r>
    </w:p>
    <w:p w:rsidR="00165C1F" w:rsidRDefault="00165C1F">
      <w:pPr>
        <w:rPr>
          <w:szCs w:val="22"/>
          <w:lang w:val="hu-HU"/>
        </w:rPr>
      </w:pPr>
    </w:p>
    <w:p w:rsidR="00165C1F" w:rsidRDefault="00457A3F">
      <w:pPr>
        <w:rPr>
          <w:szCs w:val="22"/>
          <w:u w:val="single"/>
          <w:lang w:val="hu-HU"/>
        </w:rPr>
      </w:pPr>
      <w:r>
        <w:rPr>
          <w:szCs w:val="22"/>
          <w:u w:val="single"/>
          <w:lang w:val="hu-HU"/>
        </w:rPr>
        <w:t>Kóros májfunkciós értékek/máj-rendellenességek</w:t>
      </w:r>
    </w:p>
    <w:p w:rsidR="00165C1F" w:rsidRDefault="00457A3F">
      <w:pPr>
        <w:autoSpaceDE w:val="0"/>
        <w:autoSpaceDN w:val="0"/>
        <w:adjustRightInd w:val="0"/>
        <w:contextualSpacing/>
        <w:rPr>
          <w:szCs w:val="22"/>
          <w:lang w:val="hu-HU"/>
        </w:rPr>
      </w:pPr>
      <w:r>
        <w:rPr>
          <w:szCs w:val="22"/>
          <w:lang w:val="hu-HU"/>
        </w:rPr>
        <w:t>A forgalomba hozatalt követően észlelt kóros májfunkciós értékek/máj-rendellenességek zöme japán betegeken fordult elő. Valószínűsíthető, hogy ezek a mellékhatások a japán betegeknél gyakrabban jelentkeznek.</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Sepsis</w:t>
      </w:r>
    </w:p>
    <w:p w:rsidR="00165C1F" w:rsidRDefault="00457A3F">
      <w:pPr>
        <w:autoSpaceDE w:val="0"/>
        <w:autoSpaceDN w:val="0"/>
        <w:adjustRightInd w:val="0"/>
        <w:rPr>
          <w:szCs w:val="22"/>
          <w:lang w:val="hu-HU" w:eastAsia="en-US"/>
        </w:rPr>
      </w:pPr>
      <w:r>
        <w:rPr>
          <w:szCs w:val="22"/>
          <w:lang w:val="hu-HU" w:eastAsia="en-US"/>
        </w:rPr>
        <w:t>A PRoFESS vizsgálatban a telmizartán esetén a placebóhoz képest a sepsis incidenciájának növekedését figyelték meg. A jelenség véletlen felfedezés vagy egy ez idáig ismeretlen mechanizmus következménye lehet (lásd 5.1 pont).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lastRenderedPageBreak/>
        <w:t>Interstitialis tüdőbetegség</w:t>
      </w:r>
    </w:p>
    <w:p w:rsidR="00165C1F" w:rsidRDefault="00457A3F">
      <w:pPr>
        <w:rPr>
          <w:szCs w:val="22"/>
          <w:lang w:val="hu-HU"/>
        </w:rPr>
      </w:pPr>
      <w:r>
        <w:rPr>
          <w:szCs w:val="22"/>
          <w:lang w:val="hu-HU"/>
        </w:rPr>
        <w:t>A forgalomba hozatalt követően a telmizartán szedésével időbeli összefüggésben interstitialis tüdőbetegség eseteit jelentették, azonban ok-okozati kapcsolatot nem igazoltak.</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u w:val="single"/>
          <w:lang w:val="hu-HU"/>
        </w:rPr>
      </w:pPr>
      <w:r>
        <w:rPr>
          <w:szCs w:val="22"/>
          <w:u w:val="single"/>
          <w:lang w:val="hu-HU"/>
        </w:rPr>
        <w:t>Nem melanoma típusú bőrrák (NMSC)</w:t>
      </w:r>
    </w:p>
    <w:p w:rsidR="00165C1F" w:rsidRDefault="00457A3F">
      <w:pPr>
        <w:autoSpaceDE w:val="0"/>
        <w:autoSpaceDN w:val="0"/>
        <w:adjustRightInd w:val="0"/>
        <w:contextualSpacing/>
        <w:rPr>
          <w:szCs w:val="22"/>
          <w:lang w:val="hu-HU"/>
        </w:rPr>
      </w:pPr>
      <w:r>
        <w:rPr>
          <w:szCs w:val="22"/>
          <w:lang w:val="hu-HU"/>
        </w:rPr>
        <w:t>Epidemiológiai tanulmányokból származó, rendelkezésre álló adatok alapján kumulatív dózisfüggő kapcsolatot figyeltek meg a hidroklorotiazid (HCTZ) és az NMSC között (lásd még 4.4 és 5.1 pont).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Feltételezett mellékhatások bejelentése</w:t>
      </w:r>
    </w:p>
    <w:p w:rsidR="00165C1F" w:rsidRDefault="00457A3F">
      <w:pPr>
        <w:rPr>
          <w:szCs w:val="22"/>
          <w:lang w:val="hu-HU"/>
        </w:rPr>
      </w:pPr>
      <w:r>
        <w:rPr>
          <w:szCs w:val="22"/>
          <w:lang w:val="hu-HU"/>
        </w:rPr>
        <w:t>A gyógyszer engedélyezését követően lényeges a feltételezett mellékhatások bejelentése, mert ez fontos eszköze annak, hogy a gyógyszer előny/kockázat profilját folyamatosan figyelemmel lehessen kísérni.</w:t>
      </w:r>
    </w:p>
    <w:p w:rsidR="00165C1F" w:rsidRDefault="00457A3F">
      <w:pPr>
        <w:rPr>
          <w:szCs w:val="22"/>
          <w:lang w:val="hu-HU"/>
        </w:rPr>
      </w:pPr>
      <w:r>
        <w:rPr>
          <w:szCs w:val="22"/>
          <w:lang w:val="hu-HU"/>
        </w:rPr>
        <w:t xml:space="preserve">Az egészségügyi szakembereket kérjük, hogy jelentsék be a feltételezett mellékhatásokat a hatóság részére az </w:t>
      </w:r>
      <w:hyperlink r:id="rId8" w:history="1">
        <w:r w:rsidR="00656007" w:rsidRPr="00656007">
          <w:rPr>
            <w:rStyle w:val="Hiperhivatkozs"/>
            <w:sz w:val="22"/>
            <w:szCs w:val="22"/>
            <w:lang w:val="hu-HU"/>
          </w:rPr>
          <w:t>V. függelékben</w:t>
        </w:r>
      </w:hyperlink>
      <w:r>
        <w:rPr>
          <w:szCs w:val="22"/>
          <w:lang w:val="hu-HU"/>
        </w:rPr>
        <w:t xml:space="preserve"> található elérhetőségek valamelyikén keresztül.</w:t>
      </w:r>
    </w:p>
    <w:p w:rsidR="00165C1F" w:rsidRDefault="00165C1F">
      <w:pPr>
        <w:autoSpaceDE w:val="0"/>
        <w:autoSpaceDN w:val="0"/>
        <w:adjustRightInd w:val="0"/>
        <w:contextualSpacing/>
        <w:rPr>
          <w:szCs w:val="22"/>
          <w:lang w:val="hu-HU"/>
        </w:rPr>
      </w:pPr>
    </w:p>
    <w:p w:rsidR="00165C1F" w:rsidRDefault="00457A3F">
      <w:pPr>
        <w:rPr>
          <w:b/>
          <w:bCs/>
          <w:szCs w:val="22"/>
          <w:lang w:val="hu-HU"/>
        </w:rPr>
      </w:pPr>
      <w:r>
        <w:rPr>
          <w:b/>
          <w:bCs/>
          <w:szCs w:val="22"/>
          <w:lang w:val="hu-HU"/>
        </w:rPr>
        <w:t xml:space="preserve">4.9 </w:t>
      </w:r>
      <w:r>
        <w:rPr>
          <w:b/>
          <w:bCs/>
          <w:szCs w:val="22"/>
          <w:lang w:val="hu-HU"/>
        </w:rPr>
        <w:tab/>
        <w:t>Túladagolás</w:t>
      </w:r>
    </w:p>
    <w:p w:rsidR="00165C1F" w:rsidRDefault="00165C1F">
      <w:pPr>
        <w:rPr>
          <w:szCs w:val="22"/>
          <w:lang w:val="hu-HU"/>
        </w:rPr>
      </w:pPr>
    </w:p>
    <w:p w:rsidR="00165C1F" w:rsidRDefault="00457A3F">
      <w:pPr>
        <w:rPr>
          <w:szCs w:val="22"/>
          <w:lang w:val="hu-HU"/>
        </w:rPr>
      </w:pPr>
      <w:r>
        <w:rPr>
          <w:szCs w:val="22"/>
          <w:lang w:val="hu-HU"/>
        </w:rPr>
        <w:t>A telmizartán túladagolásáról korlátozott mennyiségű humán adat áll rendelkezésre. Nem ismert, hogy a hemodialízis milyen mértékben képes a hidroklorotiazidot eltávolítani.</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Tünetek</w:t>
      </w:r>
    </w:p>
    <w:p w:rsidR="00165C1F" w:rsidRDefault="00457A3F">
      <w:pPr>
        <w:rPr>
          <w:szCs w:val="22"/>
          <w:lang w:val="hu-HU"/>
        </w:rPr>
      </w:pPr>
      <w:r>
        <w:rPr>
          <w:szCs w:val="22"/>
          <w:lang w:val="hu-HU"/>
        </w:rPr>
        <w:t>A telmizartán túladagolás legfőbb megnyilvánulásai a hypotonia és tachycardia voltak, azonban bradycardiáról, szédülésről, hányásról, emelkedett szérum kreatinin szintről és akut veseelégtelenségről is beszámoltak. A hidroklorotiazid-túladagolás az erőteljes diuresis eredményeként elektrolit-hiánnyal (hypokalaemiával, hypochloraemiával) és hypovolaemiával jár. A túladagolás leggyakoribb tünete a hányinger és az aluszékonyság. A hypokalaemia izomgörcsöket okozhat és/vagy súlyosbíthatja az egyidejűleg adott digitálisz glikozidok, illetve bizonyos antiarrhythmiás szerek okozta szívritmuszavarokat.</w:t>
      </w:r>
    </w:p>
    <w:p w:rsidR="00165C1F" w:rsidRDefault="00165C1F">
      <w:pPr>
        <w:rPr>
          <w:szCs w:val="22"/>
          <w:lang w:val="hu-HU"/>
        </w:rPr>
      </w:pPr>
    </w:p>
    <w:p w:rsidR="00165C1F" w:rsidRDefault="00457A3F">
      <w:pPr>
        <w:rPr>
          <w:szCs w:val="22"/>
          <w:lang w:val="hu-HU"/>
        </w:rPr>
      </w:pPr>
      <w:r>
        <w:rPr>
          <w:szCs w:val="22"/>
          <w:u w:val="single"/>
          <w:lang w:val="hu-HU"/>
        </w:rPr>
        <w:t>Kezelés</w:t>
      </w:r>
    </w:p>
    <w:p w:rsidR="00165C1F" w:rsidRDefault="00457A3F">
      <w:pPr>
        <w:rPr>
          <w:szCs w:val="22"/>
          <w:lang w:val="hu-HU"/>
        </w:rPr>
      </w:pPr>
      <w:r>
        <w:rPr>
          <w:szCs w:val="22"/>
          <w:lang w:val="hu-HU"/>
        </w:rPr>
        <w:t>A telmizartán hemodialízissel nem távolítható el a vérkeringésből. A beteg állapotát gondosan monitorozni kell, tüneti és szupportív kezelést kell alkalmazni. A kezelés a gyógyszerbevétel óta eltelt idő hosszától és a tünetek súlyosságától függ. Javasolt többek között a hánytatás és/vagy a gyomormosás. Az aktivált szén is kedvező hatásúnak bizonyulhat túladagolás kezelésére. A szérum elektrolitok és a kreatinin szintjeit sűrűn kell ellenőrizni. Hypotonia kialakulása esetén a beteget hanyatt kell fektetni, és gyors, intravénás elektrolit- és folyadékpótlást kell alkalmazni.</w:t>
      </w:r>
    </w:p>
    <w:p w:rsidR="00165C1F" w:rsidRDefault="00165C1F">
      <w:pPr>
        <w:widowControl w:val="0"/>
        <w:contextualSpacing/>
        <w:rPr>
          <w:szCs w:val="22"/>
          <w:lang w:val="hu-HU"/>
        </w:rPr>
      </w:pPr>
    </w:p>
    <w:p w:rsidR="00165C1F" w:rsidRDefault="00165C1F">
      <w:pPr>
        <w:widowControl w:val="0"/>
        <w:tabs>
          <w:tab w:val="left" w:pos="567"/>
        </w:tabs>
        <w:contextualSpacing/>
        <w:rPr>
          <w:szCs w:val="22"/>
          <w:lang w:val="hu-HU" w:eastAsia="en-US"/>
        </w:rPr>
      </w:pPr>
    </w:p>
    <w:p w:rsidR="00165C1F" w:rsidRDefault="00457A3F">
      <w:pPr>
        <w:ind w:left="426" w:hanging="426"/>
        <w:rPr>
          <w:b/>
          <w:bCs/>
          <w:szCs w:val="22"/>
          <w:lang w:val="hu-HU"/>
        </w:rPr>
      </w:pPr>
      <w:r>
        <w:rPr>
          <w:b/>
          <w:bCs/>
          <w:szCs w:val="22"/>
          <w:lang w:val="hu-HU"/>
        </w:rPr>
        <w:t xml:space="preserve">5. </w:t>
      </w:r>
      <w:r>
        <w:rPr>
          <w:b/>
          <w:bCs/>
          <w:szCs w:val="22"/>
          <w:lang w:val="hu-HU"/>
        </w:rPr>
        <w:tab/>
        <w:t>FARMAKOLÓGIAI TULAJDONSÁGOK</w:t>
      </w:r>
    </w:p>
    <w:p w:rsidR="00165C1F" w:rsidRDefault="00165C1F">
      <w:pPr>
        <w:rPr>
          <w:b/>
          <w:bCs/>
          <w:szCs w:val="22"/>
          <w:lang w:val="hu-HU"/>
        </w:rPr>
      </w:pPr>
    </w:p>
    <w:p w:rsidR="00165C1F" w:rsidRDefault="00457A3F">
      <w:pPr>
        <w:rPr>
          <w:b/>
          <w:bCs/>
          <w:szCs w:val="22"/>
          <w:lang w:val="hu-HU"/>
        </w:rPr>
      </w:pPr>
      <w:r>
        <w:rPr>
          <w:b/>
          <w:bCs/>
          <w:szCs w:val="22"/>
          <w:lang w:val="hu-HU"/>
        </w:rPr>
        <w:t xml:space="preserve">5.1 </w:t>
      </w:r>
      <w:r>
        <w:rPr>
          <w:b/>
          <w:bCs/>
          <w:szCs w:val="22"/>
          <w:lang w:val="hu-HU"/>
        </w:rPr>
        <w:tab/>
        <w:t>Farmakodinámiás tulajdonságok</w:t>
      </w:r>
    </w:p>
    <w:p w:rsidR="00165C1F" w:rsidRDefault="00165C1F">
      <w:pPr>
        <w:rPr>
          <w:szCs w:val="22"/>
          <w:lang w:val="hu-HU"/>
        </w:rPr>
      </w:pPr>
    </w:p>
    <w:p w:rsidR="00165C1F" w:rsidRDefault="00457A3F">
      <w:pPr>
        <w:rPr>
          <w:szCs w:val="22"/>
          <w:lang w:val="hu-HU"/>
        </w:rPr>
      </w:pPr>
      <w:r>
        <w:rPr>
          <w:szCs w:val="22"/>
          <w:lang w:val="hu-HU"/>
        </w:rPr>
        <w:t>Farmakoterápiás csoport: a renin-angiotenzin rendszerre ható szerek; angiotenzin II antagonisták és diuretikumok, ATC kód: C09DA07</w:t>
      </w:r>
    </w:p>
    <w:p w:rsidR="00165C1F" w:rsidRDefault="00165C1F">
      <w:pPr>
        <w:widowControl w:val="0"/>
        <w:contextualSpacing/>
        <w:rPr>
          <w:szCs w:val="22"/>
          <w:lang w:val="hu-HU" w:eastAsia="en-US"/>
        </w:rPr>
      </w:pPr>
    </w:p>
    <w:p w:rsidR="00165C1F" w:rsidRDefault="00457A3F">
      <w:pPr>
        <w:rPr>
          <w:szCs w:val="22"/>
          <w:lang w:val="hu-HU"/>
        </w:rPr>
      </w:pPr>
      <w:r>
        <w:rPr>
          <w:szCs w:val="22"/>
          <w:lang w:val="hu-HU"/>
        </w:rPr>
        <w:t>A Telmisartan/Hydrochlorothiazide TAD az angiotenzin II-receptor antagonista telmizartán és a tiazid diuretikum hidroklorotiazid kombinációja. Ennek a kombinációnak az összetevői additív vérnyomáscsökkentő hatást fejtenek ki, ami nagyobb mértékben csökkenti a vérnyomást, mint az összetevők önmagukban. A Telmisartan/Hydrochlorothiazide TAD naponta egyszer adva a teljes terápiás dózistartományban hatékonyan és kíméletesen csökkenti a vérnyomást.</w:t>
      </w:r>
    </w:p>
    <w:p w:rsidR="00165C1F" w:rsidRDefault="00165C1F">
      <w:pPr>
        <w:widowControl w:val="0"/>
        <w:contextualSpacing/>
        <w:rPr>
          <w:szCs w:val="22"/>
          <w:lang w:val="hu-HU" w:eastAsia="en-US"/>
        </w:rPr>
      </w:pPr>
    </w:p>
    <w:p w:rsidR="00165C1F" w:rsidRDefault="00457A3F">
      <w:pPr>
        <w:autoSpaceDE w:val="0"/>
        <w:autoSpaceDN w:val="0"/>
        <w:adjustRightInd w:val="0"/>
        <w:rPr>
          <w:szCs w:val="22"/>
          <w:u w:val="single"/>
          <w:lang w:val="hu-HU"/>
        </w:rPr>
      </w:pPr>
      <w:r>
        <w:rPr>
          <w:szCs w:val="22"/>
          <w:u w:val="single"/>
          <w:lang w:val="hu-HU"/>
        </w:rPr>
        <w:t>Hatásmechanizmus</w:t>
      </w:r>
    </w:p>
    <w:p w:rsidR="00165C1F" w:rsidRDefault="00457A3F">
      <w:pPr>
        <w:autoSpaceDE w:val="0"/>
        <w:autoSpaceDN w:val="0"/>
        <w:adjustRightInd w:val="0"/>
        <w:rPr>
          <w:szCs w:val="22"/>
          <w:lang w:val="hu-HU"/>
        </w:rPr>
      </w:pPr>
      <w:r>
        <w:rPr>
          <w:szCs w:val="22"/>
          <w:lang w:val="hu-HU"/>
        </w:rPr>
        <w:t>A szájon át adva hatásos telmizartán az angiotenzin II-receptor 1-es típusú (AT</w:t>
      </w:r>
      <w:r>
        <w:rPr>
          <w:szCs w:val="22"/>
          <w:vertAlign w:val="subscript"/>
          <w:lang w:val="hu-HU"/>
        </w:rPr>
        <w:t>1</w:t>
      </w:r>
      <w:r>
        <w:rPr>
          <w:szCs w:val="22"/>
          <w:lang w:val="hu-HU"/>
        </w:rPr>
        <w:t>) altípus szelektív antagonistája. A receptorhoz rendkívül nagy affinitással kötődő telmizartán leszorítja az angiotenzin II-t az utóbbi ismert farmakológiai hatásait közvetítő AT</w:t>
      </w:r>
      <w:r>
        <w:rPr>
          <w:szCs w:val="22"/>
          <w:vertAlign w:val="subscript"/>
          <w:lang w:val="hu-HU"/>
        </w:rPr>
        <w:t>1</w:t>
      </w:r>
      <w:r>
        <w:rPr>
          <w:szCs w:val="22"/>
          <w:lang w:val="hu-HU"/>
        </w:rPr>
        <w:t xml:space="preserve"> receptor altípusról. Nem fejt ki semmilyen részleges agonista hatást az AT</w:t>
      </w:r>
      <w:r>
        <w:rPr>
          <w:szCs w:val="22"/>
          <w:vertAlign w:val="subscript"/>
          <w:lang w:val="hu-HU"/>
        </w:rPr>
        <w:t>1</w:t>
      </w:r>
      <w:r>
        <w:rPr>
          <w:szCs w:val="22"/>
          <w:lang w:val="hu-HU"/>
        </w:rPr>
        <w:t>-receptoron. Szelektíven kötődik az AT</w:t>
      </w:r>
      <w:r>
        <w:rPr>
          <w:szCs w:val="22"/>
          <w:vertAlign w:val="subscript"/>
          <w:lang w:val="hu-HU"/>
        </w:rPr>
        <w:t>1</w:t>
      </w:r>
      <w:r>
        <w:rPr>
          <w:szCs w:val="22"/>
          <w:lang w:val="hu-HU"/>
        </w:rPr>
        <w:t>-receptorokhoz, és a kötődés hosszú időtartamú. A telmizartánnak nincs affinitása más receptorokhoz (például AT</w:t>
      </w:r>
      <w:r>
        <w:rPr>
          <w:szCs w:val="22"/>
          <w:vertAlign w:val="subscript"/>
          <w:lang w:val="hu-HU"/>
        </w:rPr>
        <w:t>2</w:t>
      </w:r>
      <w:r>
        <w:rPr>
          <w:szCs w:val="22"/>
          <w:lang w:val="hu-HU"/>
        </w:rPr>
        <w:t xml:space="preserve">- vagy </w:t>
      </w:r>
      <w:r>
        <w:rPr>
          <w:szCs w:val="22"/>
          <w:lang w:val="hu-HU"/>
        </w:rPr>
        <w:lastRenderedPageBreak/>
        <w:t xml:space="preserve">egyéb kevésbé karakterisztikus AT-receptorokhoz). E receptorok funkcionális szerepe nem ismert – miként az angiotenzin II általi, lehetséges hiperstimulációjuké sem, jóllehet a telmizartán emeli az angiotenzin II szintjét. A telmizartán csökkenti a plazma aldoszteron szintjét; nem gátolja a plazma renin aktivitását, és nem blokkolja az ioncsatornákat. </w:t>
      </w:r>
      <w:r>
        <w:rPr>
          <w:szCs w:val="22"/>
          <w:lang w:val="hu-HU" w:eastAsia="en-US"/>
        </w:rPr>
        <w:t>Nem gátolja a bradykinin lebontását is végző angiotenzin-konvertáló enzimet (kinináz II). Ezért nem várható, hogy a bradykinin-közvetítette mellékhatásokat potencírozza.</w:t>
      </w:r>
    </w:p>
    <w:p w:rsidR="00165C1F" w:rsidRDefault="00457A3F">
      <w:pPr>
        <w:rPr>
          <w:szCs w:val="22"/>
          <w:lang w:val="hu-HU"/>
        </w:rPr>
      </w:pPr>
      <w:r>
        <w:rPr>
          <w:szCs w:val="22"/>
          <w:lang w:val="hu-HU"/>
        </w:rPr>
        <w:t>Egészséges önkénteseknek 80 mg dózisban adva a telmizartán szinte teljes mértékben kiküszöböli az angiotenzin II által kiváltott vérnyomás-emelkedést; ez a gátló hatás 24 órán keresztül érvényesül és még 48 óra múlva is mérhető.</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hidroklorotiazid tiazid-típusú diuretikum. A tiazidok vérnyomáscsökkentő hatásának mechanizmusa nem teljesen ismert. A tiazidok az elektrolit-reabszorpció renalis tubuláris mechanizmusaira hatnak, közvetlenül és hozzávetőleg azonos mértékben fokozva a nátrium és a klorid ürítést. A hidroklorotiazid vizelethajtó hatása révén csökkenti a plazmatérfogatot és fokozza a plazma renin aktivitást, valamint az aldoszteron-kiválasztást. Ennek következtében nő a vizelettel ürülő kálium és bikarbonát mennyisége; csökken a szérum káliumszint. A tiazidokkal együtt adott telmizartán – feltehetően a renin-angiotenzin-aldoszteron rendszer gátlása révén – ellensúlyozhatja a vízhajtók káliumürítést fokozó hatását. Hidroklorotiazid adása után a diuresis 2 órán belül jelentkezik, kb. 4 óra elteltével tetőzik és kb. 6-12 órán keresztül fennmarad.</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u w:val="single"/>
          <w:lang w:val="hu-HU"/>
        </w:rPr>
      </w:pPr>
      <w:r>
        <w:rPr>
          <w:szCs w:val="22"/>
          <w:u w:val="single"/>
          <w:lang w:val="hu-HU"/>
        </w:rPr>
        <w:t>Klinikai hatásosság és biztonságosság</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u w:val="single"/>
          <w:lang w:val="hu-HU"/>
        </w:rPr>
      </w:pPr>
      <w:r>
        <w:rPr>
          <w:szCs w:val="22"/>
          <w:u w:val="single"/>
          <w:lang w:val="hu-HU"/>
        </w:rPr>
        <w:t>Essentialis hypertonia kezelése</w:t>
      </w:r>
    </w:p>
    <w:p w:rsidR="00165C1F" w:rsidRDefault="00457A3F">
      <w:pPr>
        <w:rPr>
          <w:szCs w:val="22"/>
          <w:lang w:val="hu-HU"/>
        </w:rPr>
      </w:pPr>
      <w:r>
        <w:rPr>
          <w:szCs w:val="22"/>
          <w:lang w:val="hu-HU"/>
        </w:rPr>
        <w:t>A telmizartán első adagja után az antihipertenzív aktivitás fokozatosan, 3 órán belül nyilvánul meg. A maximális vérnyomáscsökkentő hatást általában 4-8 héttel a kezelés megkezdése után éri el, és hosszú távú kezelés során is fennmarad. Az ambuláns vérnyomás-monitorozás eredményei alapján a vérnyomáscsökkentő hatás erőssége 24 órán keresztül állandó, beleértve a következő dózis bevételét megelőző 4 órát is. Ezt alátámasztják a maximális hatás időpontjában, illetve a következő dózis adása előtt közvetlenül végzett mérések, melyek szerint a maradék-csúcskoncentrációk aránya a placebokontrollos klinikai vizsgálatokban következetesen 80% felett maradt 40 mg-os, illetve 80 mg-os telmizartán dózisok alkalmazása után.</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Hypertoniás betegeknél a telmizartán pulzusfrekvencia befolyásolása nélkül csökkenti a szisztolés és a diasztolés vérnyomást. A telmizartán vérnyomáscsökkentő hatásának erőssége hasonló az antihipertenzívumok más csoportjaiba tartozó szerekéhez (amint azt a telmizartán és az amlodipin, az atenolol, az enalapril, a hidroklorotiazid és a lizinopril hatékonyságát összehasonlító klinikai vizsgálatok bebizonyították).</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proofErr w:type="gramStart"/>
      <w:r>
        <w:rPr>
          <w:szCs w:val="22"/>
          <w:lang w:val="hu-HU"/>
        </w:rPr>
        <w:t>Egy kettős vak, kontrollos klinikai vizsgálatban (ahol a hatásosságot 687 betegen értékelték), a 80 mg/12,5 mg kombinációra nem reagáló betegeken kimutatták, hogy a 80 mg/25 mg kombináció adása további 2,7/1,6 Hgmm (RR</w:t>
      </w:r>
      <w:r>
        <w:rPr>
          <w:szCs w:val="22"/>
          <w:vertAlign w:val="subscript"/>
          <w:lang w:val="hu-HU"/>
        </w:rPr>
        <w:t>syst</w:t>
      </w:r>
      <w:r>
        <w:rPr>
          <w:szCs w:val="22"/>
          <w:lang w:val="hu-HU"/>
        </w:rPr>
        <w:t>/RR</w:t>
      </w:r>
      <w:r>
        <w:rPr>
          <w:szCs w:val="22"/>
          <w:vertAlign w:val="subscript"/>
          <w:lang w:val="hu-HU"/>
        </w:rPr>
        <w:t>diast</w:t>
      </w:r>
      <w:r>
        <w:rPr>
          <w:szCs w:val="22"/>
          <w:lang w:val="hu-HU"/>
        </w:rPr>
        <w:t>) vérnyomáscsökkentő hatást fejt ki a 80 mg/12,5 mg kombinációval folytatólagos alkalmazásához folytatásához képest (a kiinduláshoz viszonyított, helyesbített átlagok különbségeként kifejezve).</w:t>
      </w:r>
      <w:proofErr w:type="gramEnd"/>
      <w:r>
        <w:rPr>
          <w:szCs w:val="22"/>
          <w:lang w:val="hu-HU"/>
        </w:rPr>
        <w:t xml:space="preserve"> Egy, a 80 mg/25 mg kombinációval végzett, követő vizsgálatban tovább csökkent a vérnyomás, és az összesített csökkenés (RR</w:t>
      </w:r>
      <w:r>
        <w:rPr>
          <w:szCs w:val="22"/>
          <w:vertAlign w:val="subscript"/>
          <w:lang w:val="hu-HU"/>
        </w:rPr>
        <w:t>syst</w:t>
      </w:r>
      <w:r>
        <w:rPr>
          <w:szCs w:val="22"/>
          <w:lang w:val="hu-HU"/>
        </w:rPr>
        <w:t>/RR</w:t>
      </w:r>
      <w:r>
        <w:rPr>
          <w:szCs w:val="22"/>
          <w:vertAlign w:val="subscript"/>
          <w:lang w:val="hu-HU"/>
        </w:rPr>
        <w:t>diast</w:t>
      </w:r>
      <w:r>
        <w:rPr>
          <w:szCs w:val="22"/>
          <w:lang w:val="hu-HU"/>
        </w:rPr>
        <w:t>) 11,5/9,9 Hgmm volt.</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proofErr w:type="gramStart"/>
      <w:r>
        <w:rPr>
          <w:szCs w:val="22"/>
          <w:lang w:val="hu-HU"/>
        </w:rPr>
        <w:t>Két hasonló, 8 hetes, kettős vak, placebokontrollos, a valzartán/hidroklorotiazid kombinációval szemben (160 mg/25 mg, a hatásosságot 2121 betegen értékelték) végzett vizsgálat adatainak összevont elemzése szignifikánsan nagyobb, 2,2/1,2 Hgmm-es (RR</w:t>
      </w:r>
      <w:r>
        <w:rPr>
          <w:szCs w:val="22"/>
          <w:vertAlign w:val="subscript"/>
          <w:lang w:val="hu-HU"/>
        </w:rPr>
        <w:t>syst</w:t>
      </w:r>
      <w:r>
        <w:rPr>
          <w:szCs w:val="22"/>
          <w:lang w:val="hu-HU"/>
        </w:rPr>
        <w:t>/RR</w:t>
      </w:r>
      <w:r>
        <w:rPr>
          <w:szCs w:val="22"/>
          <w:vertAlign w:val="subscript"/>
          <w:lang w:val="hu-HU"/>
        </w:rPr>
        <w:t>diast</w:t>
      </w:r>
      <w:r>
        <w:rPr>
          <w:szCs w:val="22"/>
          <w:lang w:val="hu-HU"/>
        </w:rPr>
        <w:t>) vérnyomáscsökkenést mutatott ki a telmizartán/hidroklorotiazid 80 mg/25 mg kombináció javára (a kiinduláshoz viszonyított, helyesbített átlagok különbségeként kifejezve).</w:t>
      </w:r>
      <w:proofErr w:type="gramEnd"/>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telmizartán alkalmazásának hirtelen beszüntetése után a vérnyomás fokozatosan, néhány nap alatt tér vissza a kezelés előtti értékre, „rebound” vérnyomás-emelkedés nem lép fel.</w:t>
      </w:r>
    </w:p>
    <w:p w:rsidR="00165C1F" w:rsidRDefault="00457A3F">
      <w:pPr>
        <w:rPr>
          <w:szCs w:val="22"/>
          <w:lang w:val="hu-HU"/>
        </w:rPr>
      </w:pPr>
      <w:r>
        <w:rPr>
          <w:szCs w:val="22"/>
          <w:lang w:val="hu-HU"/>
        </w:rPr>
        <w:t>A száraz köhögés gyakorisága telmizartánnal kezelt betegek körében szignifikánsan alacsonyabb volt, mint az ACE-gátlókkal kezeltekben, két vérnyomáscsökkentőt közvetlenül összehasonlító klinikai vizsgálatok során.</w:t>
      </w:r>
    </w:p>
    <w:p w:rsidR="00165C1F" w:rsidRDefault="00165C1F">
      <w:pPr>
        <w:autoSpaceDE w:val="0"/>
        <w:autoSpaceDN w:val="0"/>
        <w:adjustRightInd w:val="0"/>
        <w:contextualSpacing/>
        <w:rPr>
          <w:szCs w:val="22"/>
          <w:u w:val="single"/>
          <w:lang w:val="hu-HU"/>
        </w:rPr>
      </w:pPr>
    </w:p>
    <w:p w:rsidR="00165C1F" w:rsidRDefault="00457A3F">
      <w:pPr>
        <w:autoSpaceDE w:val="0"/>
        <w:autoSpaceDN w:val="0"/>
        <w:adjustRightInd w:val="0"/>
        <w:contextualSpacing/>
        <w:rPr>
          <w:szCs w:val="22"/>
          <w:u w:val="single"/>
          <w:lang w:val="hu-HU"/>
        </w:rPr>
      </w:pPr>
      <w:r>
        <w:rPr>
          <w:szCs w:val="22"/>
          <w:u w:val="single"/>
          <w:lang w:val="hu-HU"/>
        </w:rPr>
        <w:t>Cardiovascularis prevenció</w:t>
      </w:r>
    </w:p>
    <w:p w:rsidR="00165C1F" w:rsidRDefault="00457A3F">
      <w:pPr>
        <w:autoSpaceDE w:val="0"/>
        <w:autoSpaceDN w:val="0"/>
        <w:adjustRightInd w:val="0"/>
        <w:contextualSpacing/>
        <w:rPr>
          <w:szCs w:val="22"/>
          <w:lang w:val="hu-HU"/>
        </w:rPr>
      </w:pPr>
      <w:proofErr w:type="gramStart"/>
      <w:r>
        <w:rPr>
          <w:szCs w:val="22"/>
          <w:lang w:val="hu-HU"/>
        </w:rPr>
        <w:t>Az ONTARGET (ONgoing Telmizartán Alone and in Combination with Ramipril Global Endpoint Trial) vizsgálatban a telmizartán, a ramipril valamint a telmizartán és ramipril kombinációjának 25 620, olyan 55 évnél idősebb beteg cardiovascularis kimenetélére kifejtett hatását hasonlították össze, akiknek az anamnézisében koszorúér-betegség, stroke, TIA, perifériás érbetegség vagy szervkárosodással (például retinopathiával, balkamra hipertrófiával, makro- vagy mikroalbuminuriával) járó 2-es típusú diabetes mellitus szerepelt, ami a cardiovascularis események szempontjából rizikópopuláció.</w:t>
      </w:r>
      <w:proofErr w:type="gramEnd"/>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A betegek véletlen besorolás alapján kerültek a következő három csoport valamelyikébe: telmizartán 80 mg (n = 8542), ramipril 10 mg (n = 8576) vagy 80 mg telmizartán és 10 mg ramipril kombinácáiója (n = 8502), és a betegeket átlagosan 4,5 évig követték.</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A telmizartán a ramiprilhez hasonló hatást mutatott a cardiovascularis halálozás, nem fatális myocardialis infarctus, nem fatális stroke és pangásos szívelégtelenség miatti kórházi kezelés elsődleges összetett végpontjának csökkentésében. Az elsődleges végpont incidenciája hasonló volt a telmizartán (16,7%) és a ramipril (16,5%) csoportokban. A relatív hazárd a telmizartán esetén a ramiprilhez képest 1,01 volt (97,5% CI 0,93-1,10, p (non-inferioritás) = 0,0019 1,13-as határnál). Az összmoralitás a telmizartánnal kezelt betegeknél 11,6%, a ramiprillal kezelteknél 11,8% volt.</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 xml:space="preserve">A telmizartán a ramiprilhez hasonlóan hatékony volt a következő, előre meghatározott másodlagos végpontok esetében: cardiovascularis halálozás, nem fatális myocardialis infarctus és nem fatális stroke [0,99 (97,5% CI 0,90 – 1,08, p (non-inferioritás) = 0,0004)], ezek voltak a ramipril hatását a placebóval szemben vizsgáló HOPE (Heart Outcomes Prevention Evaluation Study) referencia vizsgálat elsődleges végpontjai. </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A TRANSCEND vizsgálatban ACE-inhibitorral szemben intoleráns, egyébként az ONTARGET vizsgálat beválasztási kritériumainak megfelelő betegeket randomizáltak, akik a standard kezelésen felül 80 mg telmizartánt (n = 2954) vagy placebót (n = 2972) kaptak. A követés átlagos időtartama 4 év és 8 hónap volt. Nem találtak statisztikailag szignifikáns különbséget az elsődleges összetett végpont (cardiovascularis halálozás, nem fatális myocardialis infarctus, nem fatális stroke vagy kórházi kezelést igénylő pangásos szívelégtelenség) incidenciájában (15,7% a telmizartán, és 17,0% a placebocsoportban, relative hazárd 0,92 (95% CI 0,81-1,05, p=0,22)). A telmizartán a placebóhoz képest előnyösebbnek bizonyult a cardiovascularis halálozás, nem fatális myocardialis infarctus és nem fatális stroke előre meghatározott másodlagos összetett végpontja szempontjából [0,87 (95% CI 0,76 – 1,00, p = 0,048)]. A cardiovascularis mortalitásra kifejtett előnyös hatásra vonatkozó bizonyítékot nem találtak (relative hazárd 1,03, 95% CI 0,85 – 1,24).</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A köhögés és az angioödéma ritkábban jelentkezett a telmizartánnal kezelt, mint a ramiprillel kezelt betegek esetében, míg hypotonia a telmizartán esetében jelentkezett gyakrabban.</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t>A telmizartán és a ramipril kombinációja nem volt előnyösebb az önmagában alkalmazott ramiprilnél vagy telmizartánnál. A cardiovascularis mortalitás és az összmortalitás számszerűleg gyakoribb volt a kombináció esetén. Ezen kívül lényegesen nagyobb gyakorisággal fordult elő hyperkalaemia, veseelégtelenség, hypotonia és syncope a kombinációs ágon. Ezért a telmizartán és ramipril kombinációja nem javasolt ebben a populációban.</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rPr>
          <w:szCs w:val="22"/>
          <w:lang w:val="hu-HU"/>
        </w:rPr>
      </w:pPr>
      <w:r>
        <w:rPr>
          <w:szCs w:val="22"/>
          <w:lang w:val="hu-HU"/>
        </w:rPr>
        <w:t xml:space="preserve">A PRoFESS (Prevention Regimen For Effectively avoiding Second Strokes) vizsgálatban a közelmúltban stroke-ot elszenvedett, 50 éves vagy </w:t>
      </w:r>
      <w:proofErr w:type="gramStart"/>
      <w:r>
        <w:rPr>
          <w:szCs w:val="22"/>
          <w:lang w:val="hu-HU"/>
        </w:rPr>
        <w:t>annál</w:t>
      </w:r>
      <w:proofErr w:type="gramEnd"/>
      <w:r>
        <w:rPr>
          <w:szCs w:val="22"/>
          <w:lang w:val="hu-HU"/>
        </w:rPr>
        <w:t xml:space="preserve"> idősebb betegeknél a sepsis incidenciájának növekedését figyelték meg a telmizartán esetében a placebóhoz képest (0,70% vs. 0,49%) [RR 1,43 (95%-os konfidencia intervallum, 1,00 – 2,06)]. A fatális sepsis eseteinek gyakorisága a placebót szedőkhöz képest (0,16%) nagyobb volt telmizartánt szedő betegek körében (0,33%) [RR 2,07 (95%-os konfidencia intervallum, 1,14 – 3,76)]. </w:t>
      </w:r>
      <w:r>
        <w:rPr>
          <w:szCs w:val="22"/>
          <w:lang w:val="hu-HU" w:eastAsia="en-US"/>
        </w:rPr>
        <w:t>A telmizartán alkalmazása során a sepsis incidenciájának megfigyelt növekedése véletlen felfedezés vagy egy ez idáig ismeretlen mechanizmus következménye lehet.</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lang w:val="hu-HU"/>
        </w:rPr>
      </w:pPr>
      <w:r>
        <w:rPr>
          <w:szCs w:val="22"/>
          <w:lang w:val="hu-HU"/>
        </w:rPr>
        <w:lastRenderedPageBreak/>
        <w:t>Két nagy, randomizált, kontrollos vizsgálatban (ONTARGET (ONgoing Telmisartan Alone and in combination with Ramipril Global Endpoint Trial) és VA NEPHRON-D (The Veterans Affairs Nephropathy in Diabetes)) vizsgálták az ACE-gátló és angiotenzin II</w:t>
      </w:r>
      <w:r>
        <w:rPr>
          <w:szCs w:val="22"/>
          <w:lang w:val="hu-HU"/>
        </w:rPr>
        <w:noBreakHyphen/>
        <w:t>receptor blokkoló kombinált alkalmazását.</w:t>
      </w:r>
    </w:p>
    <w:p w:rsidR="00165C1F" w:rsidRDefault="00457A3F">
      <w:pPr>
        <w:autoSpaceDE w:val="0"/>
        <w:autoSpaceDN w:val="0"/>
        <w:adjustRightInd w:val="0"/>
        <w:contextualSpacing/>
        <w:rPr>
          <w:szCs w:val="22"/>
          <w:lang w:val="hu-HU"/>
        </w:rPr>
      </w:pPr>
      <w:r>
        <w:rPr>
          <w:szCs w:val="22"/>
          <w:lang w:val="hu-HU"/>
        </w:rPr>
        <w:t>Az ONTARGET vizsgálatot olyan betegeken végezték, akiknek a kórtörténetében kardiovaszkuláris vagy cerebrovaszkuláris betegség, vagy szervkárosodással járó 2-es típusú diabetes mellitus szerepelt. A VA NEPHRON D vizsgálatot 2-es típusú diabetesben és diabeteses nephropathiában szenvedő betegeken végezték.</w:t>
      </w:r>
    </w:p>
    <w:p w:rsidR="00165C1F" w:rsidRDefault="00457A3F">
      <w:pPr>
        <w:autoSpaceDE w:val="0"/>
        <w:autoSpaceDN w:val="0"/>
        <w:adjustRightInd w:val="0"/>
        <w:contextualSpacing/>
        <w:rPr>
          <w:szCs w:val="22"/>
          <w:lang w:val="hu-HU"/>
        </w:rPr>
      </w:pPr>
      <w:r>
        <w:rPr>
          <w:szCs w:val="22"/>
          <w:lang w:val="hu-HU"/>
        </w:rPr>
        <w:t>Ezek a vizsgálatok nem mutattak ki szignifikánsan előnyös hatásokat a renális és/vagy kardiovaszkuláris kimenetel és a mortalitás vonatkozásában, miközben a monoterápia esetén megfigyelthez képest nőtt a hiperkalémia, akut veseelégtelenség és/vagy hipotónia kockázata.</w:t>
      </w:r>
    </w:p>
    <w:p w:rsidR="00165C1F" w:rsidRDefault="00457A3F">
      <w:pPr>
        <w:autoSpaceDE w:val="0"/>
        <w:autoSpaceDN w:val="0"/>
        <w:adjustRightInd w:val="0"/>
        <w:contextualSpacing/>
        <w:rPr>
          <w:szCs w:val="22"/>
        </w:rPr>
      </w:pPr>
      <w:r>
        <w:rPr>
          <w:szCs w:val="22"/>
          <w:lang w:val="hu-HU"/>
        </w:rPr>
        <w:t>A hasonló farmakodinámiás tulajdonságok alapján ezek az eredmények más ACE-gátlók és angiotenzin II</w:t>
      </w:r>
      <w:r>
        <w:rPr>
          <w:szCs w:val="22"/>
          <w:lang w:val="hu-HU"/>
        </w:rPr>
        <w:noBreakHyphen/>
        <w:t xml:space="preserve">receptor blokkolók esetében is relevánsak. </w:t>
      </w:r>
      <w:r>
        <w:rPr>
          <w:szCs w:val="22"/>
        </w:rPr>
        <w:t>Ezért az ACE-gátlók és angiotenzin II</w:t>
      </w:r>
      <w:r>
        <w:rPr>
          <w:szCs w:val="22"/>
        </w:rPr>
        <w:noBreakHyphen/>
        <w:t>receptor blokkolók nem adhatók együtt diabeteses nephropathiában szenvedő betegeknek.</w:t>
      </w:r>
    </w:p>
    <w:p w:rsidR="00165C1F" w:rsidRDefault="00457A3F">
      <w:pPr>
        <w:autoSpaceDE w:val="0"/>
        <w:autoSpaceDN w:val="0"/>
        <w:adjustRightInd w:val="0"/>
        <w:contextualSpacing/>
        <w:rPr>
          <w:szCs w:val="22"/>
          <w:lang w:val="hu-HU"/>
        </w:rPr>
      </w:pPr>
      <w:r>
        <w:rPr>
          <w:szCs w:val="22"/>
          <w:lang w:val="hu-HU"/>
        </w:rPr>
        <w:t>Az ALTITUDE (Aliskiren Trial in Type 2 Diabetes Using Cardiovascular and Renal Disease Endpoints) vizsgálat célja az volt, hogy megállapítsák, előnyös-e a standard ACE-gátló vagy angiotenzin II</w:t>
      </w:r>
      <w:r>
        <w:rPr>
          <w:szCs w:val="22"/>
          <w:lang w:val="hu-HU"/>
        </w:rPr>
        <w:noBreakHyphen/>
        <w:t>receptor blokkoló kezelés kiegészítése aliszkirénnel 2-es típusú diabetesben és krónikus vesebetegségben, illetve kardiovaszkuláris betegségben vagy mindkettőben szenvedő betegeknél. A vizsgálatot idő előtt leállították, mert nőtt a mellékhatások kockázata. A kardiovaszkuláris eredetű halál és a stroke szám szerint gyakoribb volt az aliszkirén csoportban, mint a placebocsoportban, és a jelentős mellékhatások illetve súlyos mellékhatások (hiperkalémia, hipotónia és veseműködési zavar) is gyakoribbak voltak az aliszkirén csoportban, mint a placebocsoportban.</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Epidemiológiai vizsgálatok tapasztalatai alapján a hosszú távú hidroklorotiazid kezelés mérsékli a szív-érrendszeri morbiditást és mortalitást.</w:t>
      </w:r>
    </w:p>
    <w:p w:rsidR="00165C1F" w:rsidRDefault="00165C1F">
      <w:pPr>
        <w:rPr>
          <w:szCs w:val="22"/>
          <w:lang w:val="hu-HU"/>
        </w:rPr>
      </w:pPr>
    </w:p>
    <w:p w:rsidR="00165C1F" w:rsidRDefault="00457A3F">
      <w:pPr>
        <w:rPr>
          <w:szCs w:val="22"/>
          <w:lang w:val="hu-HU"/>
        </w:rPr>
      </w:pPr>
      <w:r>
        <w:rPr>
          <w:szCs w:val="22"/>
          <w:lang w:val="hu-HU"/>
        </w:rPr>
        <w:t>Az állandó dózis-összetételű kombinációban alkalmazott telmizartán/hidroklorotiazid-kezelés mortalitásra és szív-érrendszeri morbiditásra kifejtett hatásai egyelőre nem ismertek.</w:t>
      </w:r>
    </w:p>
    <w:p w:rsidR="00165C1F" w:rsidRDefault="00165C1F">
      <w:pPr>
        <w:widowControl w:val="0"/>
        <w:contextualSpacing/>
        <w:rPr>
          <w:iCs/>
          <w:szCs w:val="22"/>
          <w:lang w:val="hu-HU" w:eastAsia="en-US"/>
        </w:rPr>
      </w:pPr>
    </w:p>
    <w:p w:rsidR="00165C1F" w:rsidRDefault="00457A3F">
      <w:pPr>
        <w:widowControl w:val="0"/>
        <w:contextualSpacing/>
        <w:rPr>
          <w:iCs/>
          <w:szCs w:val="22"/>
          <w:lang w:val="hu-HU" w:eastAsia="en-US"/>
        </w:rPr>
      </w:pPr>
      <w:r>
        <w:rPr>
          <w:iCs/>
          <w:szCs w:val="22"/>
          <w:lang w:val="hu-HU" w:eastAsia="en-US"/>
        </w:rPr>
        <w:t xml:space="preserve">Nem melanoma típusú bőrrák (NMSC): Epidemiológiai tanulmányokból származó, rendelkezésre álló adatok alapján kumulatív dózisfüggő kapcsolatot figyeltek meg a hidroklorotiazid (HCTZ) és az NMSC között. Az egyik tanulmány 71 533 BCC-ben és 8 629 SCC-ben szenvedő beteget vizsgált, a hozzájuk tartozó 1 430 833, illetve 172 462 létszámú kontrollcsoportokkal. A magas HCTZ használat (legalább 50 000 mg kumulatív dózis) kapcsolatba hozható volt a következő korrigált esélyhányados (OR) értékekkel: 1,29 (95%-os CI: 1,23–1,35) a BCC és 3,98 (95%-os CI: 3,68–4,31) az SCC esetében. Mind a BCC, mind az SCC esetében egyértelmű volt a kumulatív dózis-hatás kapcsolat. Egy másik tanulmány az ajakrák (SCC) és a HCTZ közötti lehetséges összefüggést mutatta ki: 633 ajakrákkal kapcsolatos esetet hasonlítottak össze egy 63 067 létszámú kontrollcsoporttal, kockázatalapú mintavételi stratégia alkalmazásával. </w:t>
      </w:r>
      <w:proofErr w:type="gramStart"/>
      <w:r>
        <w:rPr>
          <w:iCs/>
          <w:szCs w:val="22"/>
          <w:lang w:val="hu-HU" w:eastAsia="en-US"/>
        </w:rPr>
        <w:t>Kumulatív dózis-hatás kapcsolatot mutattak ki a következő korrigált OR értékkel: 2,1 (95%-os CI: 1,7-2,6) megemelkedett 3,9-re (3,0-4,9) magas szintű gyógyszerhasználat esetén (~25 000 mg) és az OR 7,7 (5,7-10,5) volt a legmagasabb kumulatív dózis esetén (~100 000 mg) (lásd még 4.4 pont).</w:t>
      </w:r>
      <w:proofErr w:type="gramEnd"/>
    </w:p>
    <w:p w:rsidR="00165C1F" w:rsidRDefault="00165C1F">
      <w:pPr>
        <w:widowControl w:val="0"/>
        <w:contextualSpacing/>
        <w:rPr>
          <w:iCs/>
          <w:szCs w:val="22"/>
          <w:lang w:val="hu-HU" w:eastAsia="en-US"/>
        </w:rPr>
      </w:pPr>
    </w:p>
    <w:p w:rsidR="00165C1F" w:rsidRDefault="00457A3F">
      <w:pPr>
        <w:rPr>
          <w:b/>
          <w:bCs/>
          <w:szCs w:val="22"/>
          <w:lang w:val="hu-HU"/>
        </w:rPr>
      </w:pPr>
      <w:r>
        <w:rPr>
          <w:b/>
          <w:bCs/>
          <w:szCs w:val="22"/>
          <w:lang w:val="hu-HU"/>
        </w:rPr>
        <w:t xml:space="preserve">5.2 </w:t>
      </w:r>
      <w:r>
        <w:rPr>
          <w:b/>
          <w:bCs/>
          <w:szCs w:val="22"/>
          <w:lang w:val="hu-HU"/>
        </w:rPr>
        <w:tab/>
        <w:t>Farmakokinetikai tulajdonságok</w:t>
      </w:r>
    </w:p>
    <w:p w:rsidR="00165C1F" w:rsidRDefault="00165C1F">
      <w:pPr>
        <w:rPr>
          <w:szCs w:val="22"/>
          <w:lang w:val="hu-HU"/>
        </w:rPr>
      </w:pPr>
    </w:p>
    <w:p w:rsidR="00165C1F" w:rsidRDefault="00457A3F">
      <w:pPr>
        <w:rPr>
          <w:szCs w:val="22"/>
          <w:lang w:val="hu-HU"/>
        </w:rPr>
      </w:pPr>
      <w:r>
        <w:rPr>
          <w:szCs w:val="22"/>
          <w:lang w:val="hu-HU"/>
        </w:rPr>
        <w:t>Úgy tűnik, hogy egészséges önkéntesekben a hidroklorotiazid és a telmizartán együttadása egyik összetevő farmakokinetikáját sem befolyásolja.</w:t>
      </w:r>
    </w:p>
    <w:p w:rsidR="00165C1F" w:rsidRDefault="00165C1F">
      <w:pPr>
        <w:widowControl w:val="0"/>
        <w:tabs>
          <w:tab w:val="left" w:pos="567"/>
        </w:tabs>
        <w:contextualSpacing/>
        <w:rPr>
          <w:b/>
          <w:szCs w:val="22"/>
          <w:lang w:val="hu-HU" w:eastAsia="en-US"/>
        </w:rPr>
      </w:pPr>
    </w:p>
    <w:p w:rsidR="00165C1F" w:rsidRDefault="00457A3F">
      <w:pPr>
        <w:rPr>
          <w:szCs w:val="22"/>
          <w:u w:val="single"/>
          <w:lang w:val="hu-HU"/>
        </w:rPr>
      </w:pPr>
      <w:r>
        <w:rPr>
          <w:szCs w:val="22"/>
          <w:u w:val="single"/>
          <w:lang w:val="hu-HU"/>
        </w:rPr>
        <w:t>Felszívódás</w:t>
      </w:r>
    </w:p>
    <w:p w:rsidR="00165C1F" w:rsidRDefault="00457A3F">
      <w:pPr>
        <w:rPr>
          <w:szCs w:val="22"/>
          <w:lang w:val="hu-HU"/>
        </w:rPr>
      </w:pPr>
      <w:r>
        <w:rPr>
          <w:szCs w:val="22"/>
          <w:lang w:val="hu-HU"/>
        </w:rPr>
        <w:t xml:space="preserve">Telmizartán: szájon át alkalmazva a telmizartán plazmaszintje 0,5-1,5 órával a beadás után éri el a csúcs-plazmakoncentrációt. Abszolút biohasznosulása 40 mg-os dózis adása után 42%, 160 mg adása után 58%. A táplálék kismértékben csökkenti a telmizartán biohasznosulását, 40 mg-os tabletta adása után kb. 6%-kal, 160 mg-os dózis után kb. 19%-kal csökken a plazmakoncentráció-idő görbe alatti terület (AUC). A gyógyszer bevétele után 3 órával az éhgyomorra, illetve az étkezés közben alkalmazott telmizartán plazmakoncentrációja hasonló. Az AUC kismértékű csökkenése feltehetően </w:t>
      </w:r>
      <w:r>
        <w:rPr>
          <w:szCs w:val="22"/>
          <w:lang w:val="hu-HU"/>
        </w:rPr>
        <w:lastRenderedPageBreak/>
        <w:t>nem csökkenti a telmizartán terápiás hatását. Ismételt adagolás esetén a telmizartán nem kumulálódik számottevően a plazmában.</w:t>
      </w:r>
    </w:p>
    <w:p w:rsidR="00165C1F" w:rsidRDefault="00457A3F">
      <w:pPr>
        <w:rPr>
          <w:szCs w:val="22"/>
          <w:lang w:val="hu-HU"/>
        </w:rPr>
      </w:pPr>
      <w:r>
        <w:rPr>
          <w:szCs w:val="22"/>
          <w:lang w:val="hu-HU"/>
        </w:rPr>
        <w:t>Hidroklorotiazid: a Telmisartan/Hydrochlorothiazide TAD-ot szájon át alkalmazva, kb. 1-3 óra múlva mérhető a hidroklorotiazid csúcskoncentrációja. A kumulatív renális kiválasztás alapján a hidroklorotiazid biohasznosulása kb. 60%-os.</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Eloszlás</w:t>
      </w:r>
    </w:p>
    <w:p w:rsidR="00165C1F" w:rsidRDefault="00457A3F">
      <w:pPr>
        <w:rPr>
          <w:szCs w:val="22"/>
          <w:lang w:val="hu-HU"/>
        </w:rPr>
      </w:pPr>
      <w:r>
        <w:rPr>
          <w:szCs w:val="22"/>
          <w:lang w:val="hu-HU"/>
        </w:rPr>
        <w:t>A telmizartán nagymértékben (</w:t>
      </w:r>
      <w:proofErr w:type="gramStart"/>
      <w:r>
        <w:rPr>
          <w:szCs w:val="22"/>
          <w:lang w:val="hu-HU"/>
        </w:rPr>
        <w:t>&gt;99</w:t>
      </w:r>
      <w:proofErr w:type="gramEnd"/>
      <w:r>
        <w:rPr>
          <w:szCs w:val="22"/>
          <w:lang w:val="hu-HU"/>
        </w:rPr>
        <w:t xml:space="preserve">,5%) kötődik a plazmafehérjékhez, elsősorban az albuminhoz és az alfa-1-savas glikoproteinhez. Az állandó plazmaszint kialakulása után mérhető látszólagos eloszlási térfogat hozzávetőleg </w:t>
      </w:r>
      <w:smartTag w:uri="urn:schemas-microsoft-com:office:smarttags" w:element="metricconverter">
        <w:smartTagPr>
          <w:attr w:name="ProductID" w:val="500ﾠliter"/>
        </w:smartTagPr>
        <w:r>
          <w:rPr>
            <w:szCs w:val="22"/>
            <w:lang w:val="hu-HU"/>
          </w:rPr>
          <w:t>500 liter</w:t>
        </w:r>
      </w:smartTag>
      <w:r>
        <w:rPr>
          <w:szCs w:val="22"/>
          <w:lang w:val="hu-HU"/>
        </w:rPr>
        <w:t>, ami további szöveti kötődést jelez.</w:t>
      </w:r>
    </w:p>
    <w:p w:rsidR="00165C1F" w:rsidRDefault="00457A3F">
      <w:pPr>
        <w:rPr>
          <w:szCs w:val="22"/>
          <w:lang w:val="hu-HU"/>
        </w:rPr>
      </w:pPr>
      <w:r>
        <w:rPr>
          <w:szCs w:val="22"/>
          <w:lang w:val="hu-HU"/>
        </w:rPr>
        <w:t xml:space="preserve">A hidroklorotiazid 68%-a kötődik plazmafehérjékhez; látszólagos eloszlási térfogata 0,83-1,14 l/kg. </w:t>
      </w:r>
    </w:p>
    <w:p w:rsidR="00165C1F" w:rsidRDefault="00165C1F">
      <w:pPr>
        <w:rPr>
          <w:szCs w:val="22"/>
          <w:lang w:val="hu-HU"/>
        </w:rPr>
      </w:pPr>
    </w:p>
    <w:p w:rsidR="00165C1F" w:rsidRDefault="00457A3F">
      <w:pPr>
        <w:rPr>
          <w:szCs w:val="22"/>
          <w:lang w:val="hu-HU"/>
        </w:rPr>
      </w:pPr>
      <w:r>
        <w:rPr>
          <w:szCs w:val="22"/>
          <w:u w:val="single"/>
          <w:lang w:val="hu-HU"/>
        </w:rPr>
        <w:t>Biotranszformáció</w:t>
      </w:r>
    </w:p>
    <w:p w:rsidR="00165C1F" w:rsidRDefault="00457A3F">
      <w:pPr>
        <w:rPr>
          <w:szCs w:val="22"/>
          <w:lang w:val="hu-HU"/>
        </w:rPr>
      </w:pPr>
      <w:r>
        <w:rPr>
          <w:szCs w:val="22"/>
          <w:lang w:val="hu-HU"/>
        </w:rPr>
        <w:t xml:space="preserve">A telmizartán glükuronid-konjugációval, farmakológiailag inaktív acil-glükuroniddá metabolizálódik. Emberben az anyavegyület glükuronidja a telmizartán egyetlen azonosított metabolitja. </w:t>
      </w:r>
      <w:r>
        <w:rPr>
          <w:szCs w:val="22"/>
          <w:vertAlign w:val="superscript"/>
          <w:lang w:val="hu-HU"/>
        </w:rPr>
        <w:t>14</w:t>
      </w:r>
      <w:r>
        <w:rPr>
          <w:szCs w:val="22"/>
          <w:lang w:val="hu-HU"/>
        </w:rPr>
        <w:t>C-izotóppal jelzett telmizartán egyszeri adagjának adása utána a plazmában mért radioaktivitás kb. 11%-a származik a glükuronidtól. A telmizartán metabolizmusában nem vesznek részt a citokróm P450 izoenzimek.</w:t>
      </w:r>
    </w:p>
    <w:p w:rsidR="00165C1F" w:rsidRDefault="00457A3F">
      <w:pPr>
        <w:rPr>
          <w:szCs w:val="22"/>
          <w:lang w:val="hu-HU"/>
        </w:rPr>
      </w:pPr>
      <w:r>
        <w:rPr>
          <w:szCs w:val="22"/>
          <w:lang w:val="hu-HU"/>
        </w:rPr>
        <w:t>A hidroklorotiazid emberben nem metabolizálódik.</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Elimináció</w:t>
      </w:r>
    </w:p>
    <w:p w:rsidR="00165C1F" w:rsidRDefault="00457A3F">
      <w:pPr>
        <w:rPr>
          <w:szCs w:val="22"/>
          <w:lang w:val="hu-HU"/>
        </w:rPr>
      </w:pPr>
      <w:r>
        <w:rPr>
          <w:szCs w:val="22"/>
          <w:lang w:val="hu-HU"/>
        </w:rPr>
        <w:t xml:space="preserve">Telmizartán: az intravénásan, vagy szájon át adott, </w:t>
      </w:r>
      <w:r>
        <w:rPr>
          <w:szCs w:val="22"/>
          <w:vertAlign w:val="superscript"/>
          <w:lang w:val="hu-HU"/>
        </w:rPr>
        <w:t>14</w:t>
      </w:r>
      <w:r>
        <w:rPr>
          <w:szCs w:val="22"/>
          <w:lang w:val="hu-HU"/>
        </w:rPr>
        <w:t>C-izotóppal jelzett telmizartán dózisának legnagyobb része (&gt;97%) az epébe választódott ki és a széklettel ürült; a vizeletben csupán nyomokban volt kimutatható. A telmizartán teljes plazma-clearance-e perorális alkalmazás után &gt;1500 ml/perc. A terminális eliminációs felezési idő &gt;20 óra volt.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hidroklorotiazid szinte teljes mennyisége változatlan formában ürül a vizelettel. A perorális adag kb. 60%-a 48 órán belül kiürül a szervezetből. A renális clearance kb. 250-300 ml/perc. A hidroklorotiazid terminális eliminációs felezési ideje 10-15 óra.</w:t>
      </w:r>
    </w:p>
    <w:p w:rsidR="00165C1F" w:rsidRDefault="00165C1F">
      <w:pPr>
        <w:autoSpaceDE w:val="0"/>
        <w:autoSpaceDN w:val="0"/>
        <w:adjustRightInd w:val="0"/>
        <w:contextualSpacing/>
        <w:rPr>
          <w:szCs w:val="22"/>
          <w:lang w:val="hu-HU"/>
        </w:rPr>
      </w:pPr>
    </w:p>
    <w:p w:rsidR="00165C1F" w:rsidRDefault="00457A3F">
      <w:pPr>
        <w:autoSpaceDE w:val="0"/>
        <w:autoSpaceDN w:val="0"/>
        <w:adjustRightInd w:val="0"/>
        <w:contextualSpacing/>
        <w:rPr>
          <w:szCs w:val="22"/>
          <w:u w:val="single"/>
          <w:lang w:val="hu-HU"/>
        </w:rPr>
      </w:pPr>
      <w:r>
        <w:rPr>
          <w:szCs w:val="22"/>
          <w:u w:val="single"/>
          <w:lang w:val="hu-HU"/>
        </w:rPr>
        <w:t>Linearitás/nem-linearitás</w:t>
      </w:r>
    </w:p>
    <w:p w:rsidR="00165C1F" w:rsidRDefault="00457A3F">
      <w:pPr>
        <w:autoSpaceDE w:val="0"/>
        <w:autoSpaceDN w:val="0"/>
        <w:adjustRightInd w:val="0"/>
        <w:contextualSpacing/>
        <w:rPr>
          <w:szCs w:val="22"/>
          <w:lang w:val="hu-HU"/>
        </w:rPr>
      </w:pPr>
      <w:r>
        <w:rPr>
          <w:szCs w:val="22"/>
          <w:lang w:val="hu-HU"/>
        </w:rPr>
        <w:t xml:space="preserve">Telmizartán: A </w:t>
      </w:r>
      <w:r>
        <w:rPr>
          <w:i/>
          <w:lang w:val="hu-HU"/>
        </w:rPr>
        <w:t>per os</w:t>
      </w:r>
      <w:r>
        <w:rPr>
          <w:lang w:val="hu-HU"/>
        </w:rPr>
        <w:t xml:space="preserve"> alkalmazott </w:t>
      </w:r>
      <w:r>
        <w:rPr>
          <w:szCs w:val="22"/>
          <w:lang w:val="hu-HU"/>
        </w:rPr>
        <w:t>telmizartán farmakokinetikája a 20-160 mg-os dózistartományban nem lineáris, a dózis növelésével az arányosnál nagyobb mértékben emelkedik a plazmaszint (a c</w:t>
      </w:r>
      <w:r>
        <w:rPr>
          <w:szCs w:val="22"/>
          <w:vertAlign w:val="subscript"/>
          <w:lang w:val="hu-HU"/>
        </w:rPr>
        <w:t>max</w:t>
      </w:r>
      <w:r>
        <w:rPr>
          <w:szCs w:val="22"/>
          <w:lang w:val="hu-HU"/>
        </w:rPr>
        <w:t xml:space="preserve"> és az AUC-értéke).</w:t>
      </w:r>
    </w:p>
    <w:p w:rsidR="00165C1F" w:rsidRDefault="00457A3F">
      <w:pPr>
        <w:rPr>
          <w:bCs/>
          <w:lang w:val="hu-HU"/>
        </w:rPr>
      </w:pPr>
      <w:r>
        <w:rPr>
          <w:lang w:val="hu-HU"/>
        </w:rPr>
        <w:t>A hidroklorotiazid farmakokinetikája lineáris.</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Idősek</w:t>
      </w:r>
    </w:p>
    <w:p w:rsidR="00165C1F" w:rsidRDefault="00457A3F">
      <w:pPr>
        <w:rPr>
          <w:szCs w:val="22"/>
          <w:lang w:val="hu-HU"/>
        </w:rPr>
      </w:pPr>
      <w:r>
        <w:rPr>
          <w:szCs w:val="22"/>
          <w:lang w:val="hu-HU"/>
        </w:rPr>
        <w:t>A telmizartán farmakokinetikája 65 évesnél fiatalabb, illetve idősebb betegekben nem különbözik.</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Nem</w:t>
      </w:r>
    </w:p>
    <w:p w:rsidR="00165C1F" w:rsidRDefault="00457A3F">
      <w:pPr>
        <w:rPr>
          <w:szCs w:val="22"/>
          <w:lang w:val="hu-HU"/>
        </w:rPr>
      </w:pPr>
      <w:r>
        <w:rPr>
          <w:szCs w:val="22"/>
          <w:lang w:val="hu-HU"/>
        </w:rPr>
        <w:t>A telmizartán plazmaszintje nőkben 2-3-szor magasabb, mint férfiakban. Ennek ellenére a klinikai vizsgálatok során nem észlelték, hogy nőkben kifejezettebb lenne a vérnyomáscsökkentő hatás, illetve gyakrabban jelentkezne orthostaticus hypotonia. Az adagolás módosítására nincs szükség. A hidroklorotiazid plazmakoncentrációja nőkben inkább magasabb volt, mint férfiakban; ennek azonban nem tulajdonítanak klinikai jelentőséget.</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Vesekárosodás</w:t>
      </w:r>
    </w:p>
    <w:p w:rsidR="00165C1F" w:rsidRDefault="00457A3F">
      <w:pPr>
        <w:rPr>
          <w:szCs w:val="22"/>
          <w:lang w:val="hu-HU"/>
        </w:rPr>
      </w:pPr>
      <w:r>
        <w:rPr>
          <w:szCs w:val="22"/>
          <w:lang w:val="hu-HU"/>
        </w:rPr>
        <w:t>A renális kiválasztás nem járul hozzá a telmizartán eliminációjához. Az enyhe és középsúlyos veseelégtelenségben (kreatinin-clearance 30-60 ml/perc, átlagosan 50 ml/perc) szenvedő betegeken szerzett kevés tapasztalat alapján csökkent veseműködésű betegek kezelésekor nem szükséges módosítani az adagolását. A telmizartán hemodialízissel nem távolítható el a vérkeringésből. A veseműködés romlása esetén csökken a hidroklorotiazid eliminációjának sebessége. Egy klinikai vizsgálatban átlagosan 90 ml/perc kreatinin-clearance esetén megnőtt a hidroklorotiazid eliminációs felezési ideje. Funkcionálisan anephriás betegekben kb. 34 óra az eliminációs felezési idő.</w:t>
      </w:r>
    </w:p>
    <w:p w:rsidR="00165C1F" w:rsidRDefault="00165C1F">
      <w:pPr>
        <w:autoSpaceDE w:val="0"/>
        <w:autoSpaceDN w:val="0"/>
        <w:adjustRightInd w:val="0"/>
        <w:contextualSpacing/>
        <w:rPr>
          <w:szCs w:val="22"/>
          <w:lang w:val="hu-HU"/>
        </w:rPr>
      </w:pPr>
    </w:p>
    <w:p w:rsidR="00165C1F" w:rsidRDefault="00457A3F">
      <w:pPr>
        <w:rPr>
          <w:szCs w:val="22"/>
          <w:u w:val="single"/>
          <w:lang w:val="hu-HU"/>
        </w:rPr>
      </w:pPr>
      <w:r>
        <w:rPr>
          <w:szCs w:val="22"/>
          <w:u w:val="single"/>
          <w:lang w:val="hu-HU"/>
        </w:rPr>
        <w:t>Májkárosodás</w:t>
      </w:r>
    </w:p>
    <w:p w:rsidR="00165C1F" w:rsidRDefault="00457A3F">
      <w:pPr>
        <w:rPr>
          <w:szCs w:val="22"/>
          <w:lang w:val="hu-HU"/>
        </w:rPr>
      </w:pPr>
      <w:r>
        <w:rPr>
          <w:szCs w:val="22"/>
          <w:lang w:val="hu-HU"/>
        </w:rPr>
        <w:lastRenderedPageBreak/>
        <w:t xml:space="preserve">A károsodott májműködésű betegeken elvégzett farmakokinetikai vizsgálatok az abszolút biohasznosulás akár közel 100%-os fokozódását mutatták ki. Károsodott májműködésű betegekben nem változik az eliminációs felezési idő. </w:t>
      </w:r>
    </w:p>
    <w:p w:rsidR="00165C1F" w:rsidRDefault="00165C1F">
      <w:pPr>
        <w:widowControl w:val="0"/>
        <w:tabs>
          <w:tab w:val="left" w:pos="567"/>
        </w:tabs>
        <w:contextualSpacing/>
        <w:rPr>
          <w:szCs w:val="22"/>
          <w:lang w:val="hu-HU" w:eastAsia="en-US"/>
        </w:rPr>
      </w:pPr>
    </w:p>
    <w:p w:rsidR="00165C1F" w:rsidRDefault="00457A3F">
      <w:pPr>
        <w:rPr>
          <w:b/>
          <w:bCs/>
          <w:szCs w:val="22"/>
          <w:lang w:val="hu-HU"/>
        </w:rPr>
      </w:pPr>
      <w:r>
        <w:rPr>
          <w:b/>
          <w:bCs/>
          <w:szCs w:val="22"/>
          <w:lang w:val="hu-HU"/>
        </w:rPr>
        <w:t xml:space="preserve">5.3 </w:t>
      </w:r>
      <w:r>
        <w:rPr>
          <w:b/>
          <w:bCs/>
          <w:szCs w:val="22"/>
          <w:lang w:val="hu-HU"/>
        </w:rPr>
        <w:tab/>
        <w:t>A preklinikai biztonságossági vizsgálatok eredményei</w:t>
      </w:r>
    </w:p>
    <w:p w:rsidR="00165C1F" w:rsidRDefault="00165C1F">
      <w:pPr>
        <w:widowControl w:val="0"/>
        <w:tabs>
          <w:tab w:val="left" w:pos="567"/>
        </w:tabs>
        <w:contextualSpacing/>
        <w:rPr>
          <w:szCs w:val="22"/>
          <w:lang w:val="hu-HU" w:eastAsia="en-US"/>
        </w:rPr>
      </w:pPr>
    </w:p>
    <w:p w:rsidR="00165C1F" w:rsidRDefault="00457A3F">
      <w:pPr>
        <w:autoSpaceDE w:val="0"/>
        <w:autoSpaceDN w:val="0"/>
        <w:adjustRightInd w:val="0"/>
        <w:contextualSpacing/>
        <w:rPr>
          <w:szCs w:val="22"/>
          <w:lang w:val="hu-HU"/>
        </w:rPr>
      </w:pPr>
      <w:r>
        <w:rPr>
          <w:szCs w:val="22"/>
          <w:lang w:val="hu-HU"/>
        </w:rPr>
        <w:t>A 80 mg/25 mg állandó dózis kombinációval nem végeztek további preklinikai vizsgálatokat.</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A preklinikai gyógyszerbiztonsági vizsgálatok során, amikor a telmizartánt és a hidroklorotiazidot együtt adták normotenziós patkányoknak és kutyáknak, a klinikai terápiás tartománynak megfelelő expozíciót megvalósító dózisokban nem észleltek új hatásokat azokon kívül, melyek a kombináció tagjainak monoterápiás alkalmazása kapcsán már ismertek voltak. A toxikológiai leletek a humán terápiás alkalmazás szempontjából valószínűleg lényegtelenek.</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 xml:space="preserve">Az angiotenzin-konvertáló enzim-gátlókkal és angiotenzin II-receptor antagonistákkal végzett preklinikai vizsgálatokból is ismert toxikus jelenségek a következők voltak: a vörösvértest jellemzők (vörösvértestszám, haemoglobin szint és haematocrit érték) csökkenése, a vese haemodinamikai paramétereinek változása (a karbamid nitrogén- és a kreatinin szint emelkedése), a plazma renin aktivitás fokozódása, a juxtaglomerularis sejtek hypertrophiája/hyperplasiája, továbbá gyomornyálkahártya-károsodás. A gyomor-elváltozások nátrium-klorid oldat </w:t>
      </w:r>
      <w:r>
        <w:rPr>
          <w:i/>
          <w:szCs w:val="22"/>
          <w:lang w:val="hu-HU"/>
        </w:rPr>
        <w:t>per os</w:t>
      </w:r>
      <w:r>
        <w:rPr>
          <w:szCs w:val="22"/>
          <w:lang w:val="hu-HU"/>
        </w:rPr>
        <w:t xml:space="preserve"> adásával és az állatok csoportos elhelyezésével megelőzhetők, vagy legalábbis mérsékelhetők voltak. Kutyában a vesetubulusok kitágulását és atrophiáját figyelték meg. Ezeket a változások a telmizartán farmakológiai aktivitására vezetik vissza.</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Teratogén hatást nem bizonyítottak egyértelműen. Mindazonáltal a telmizartán toxikus dózisszintjein megfigyeltek az utódok postnatalis fejlődésére kifejtett hatást, például alacsonyabb testsúlyt és késleltetett szemnyitást.</w:t>
      </w:r>
    </w:p>
    <w:p w:rsidR="00165C1F" w:rsidRDefault="00457A3F">
      <w:pPr>
        <w:rPr>
          <w:szCs w:val="22"/>
          <w:lang w:val="hu-HU"/>
        </w:rPr>
      </w:pPr>
      <w:r>
        <w:rPr>
          <w:szCs w:val="22"/>
          <w:lang w:val="hu-HU"/>
        </w:rPr>
        <w:t xml:space="preserve">A telmizartán </w:t>
      </w:r>
      <w:r>
        <w:rPr>
          <w:i/>
          <w:iCs/>
          <w:szCs w:val="22"/>
          <w:lang w:val="hu-HU"/>
        </w:rPr>
        <w:t xml:space="preserve">in vitro </w:t>
      </w:r>
      <w:r>
        <w:rPr>
          <w:szCs w:val="22"/>
          <w:lang w:val="hu-HU"/>
        </w:rPr>
        <w:t xml:space="preserve">kísérletekben nem mutatott mutagén vagy releváns clastogén aktivitást, és patkányban, valamint egérben nem volt kimutatható rákkeltő hatása. A hidroklorotiaziddal elvégzett vizsgálatok néhány kísérleti modellben, genotoxikus, illetve rákkeltő hatás tekintetében ellentmondó eredményre vezettek. </w:t>
      </w:r>
    </w:p>
    <w:p w:rsidR="00165C1F" w:rsidRDefault="00457A3F">
      <w:pPr>
        <w:rPr>
          <w:szCs w:val="22"/>
          <w:lang w:val="hu-HU"/>
        </w:rPr>
      </w:pPr>
      <w:r>
        <w:rPr>
          <w:szCs w:val="22"/>
          <w:lang w:val="hu-HU"/>
        </w:rPr>
        <w:t>A telmizartán/hidroklorotiazid kombináció foetotoxikus potenciálját lásd a 4.6 pontban.</w:t>
      </w:r>
    </w:p>
    <w:p w:rsidR="00165C1F" w:rsidRDefault="00165C1F">
      <w:pPr>
        <w:autoSpaceDE w:val="0"/>
        <w:autoSpaceDN w:val="0"/>
        <w:adjustRightInd w:val="0"/>
        <w:contextualSpacing/>
        <w:rPr>
          <w:szCs w:val="22"/>
          <w:lang w:val="hu-HU"/>
        </w:rPr>
      </w:pPr>
    </w:p>
    <w:p w:rsidR="00165C1F" w:rsidRDefault="00165C1F">
      <w:pPr>
        <w:widowControl w:val="0"/>
        <w:tabs>
          <w:tab w:val="left" w:pos="567"/>
        </w:tabs>
        <w:contextualSpacing/>
        <w:rPr>
          <w:b/>
          <w:szCs w:val="22"/>
          <w:lang w:val="hu-HU" w:eastAsia="en-US"/>
        </w:rPr>
      </w:pPr>
    </w:p>
    <w:p w:rsidR="00165C1F" w:rsidRDefault="00457A3F">
      <w:pPr>
        <w:ind w:left="426" w:hanging="426"/>
        <w:rPr>
          <w:b/>
          <w:bCs/>
          <w:szCs w:val="22"/>
          <w:lang w:val="hu-HU"/>
        </w:rPr>
      </w:pPr>
      <w:r>
        <w:rPr>
          <w:b/>
          <w:bCs/>
          <w:szCs w:val="22"/>
          <w:lang w:val="hu-HU"/>
        </w:rPr>
        <w:t xml:space="preserve">6. </w:t>
      </w:r>
      <w:r>
        <w:rPr>
          <w:b/>
          <w:bCs/>
          <w:szCs w:val="22"/>
          <w:lang w:val="hu-HU"/>
        </w:rPr>
        <w:tab/>
        <w:t>GYÓGYSZERÉSZETI JELLEMZŐK</w:t>
      </w:r>
    </w:p>
    <w:p w:rsidR="00165C1F" w:rsidRDefault="00165C1F">
      <w:pPr>
        <w:rPr>
          <w:b/>
          <w:bCs/>
          <w:szCs w:val="22"/>
          <w:lang w:val="hu-HU"/>
        </w:rPr>
      </w:pPr>
    </w:p>
    <w:p w:rsidR="00165C1F" w:rsidRDefault="00457A3F">
      <w:pPr>
        <w:ind w:left="426" w:hanging="426"/>
        <w:rPr>
          <w:b/>
          <w:bCs/>
          <w:szCs w:val="22"/>
          <w:lang w:val="hu-HU"/>
        </w:rPr>
      </w:pPr>
      <w:r>
        <w:rPr>
          <w:b/>
          <w:bCs/>
          <w:szCs w:val="22"/>
          <w:lang w:val="hu-HU"/>
        </w:rPr>
        <w:t xml:space="preserve">6.1 </w:t>
      </w:r>
      <w:r>
        <w:rPr>
          <w:b/>
          <w:bCs/>
          <w:szCs w:val="22"/>
          <w:lang w:val="hu-HU"/>
        </w:rPr>
        <w:tab/>
        <w:t>Segédanyagok felsorolása</w:t>
      </w:r>
    </w:p>
    <w:p w:rsidR="00165C1F" w:rsidRDefault="00165C1F">
      <w:pPr>
        <w:rPr>
          <w:szCs w:val="22"/>
          <w:lang w:val="hu-HU"/>
        </w:rPr>
      </w:pPr>
    </w:p>
    <w:p w:rsidR="00165C1F" w:rsidRDefault="00457A3F">
      <w:pPr>
        <w:rPr>
          <w:szCs w:val="22"/>
          <w:lang w:val="hu-HU"/>
        </w:rPr>
      </w:pPr>
      <w:r>
        <w:rPr>
          <w:szCs w:val="22"/>
          <w:lang w:val="hu-HU"/>
        </w:rPr>
        <w:t>hidroxipropilcellulóz</w:t>
      </w:r>
    </w:p>
    <w:p w:rsidR="00165C1F" w:rsidRDefault="00457A3F">
      <w:pPr>
        <w:rPr>
          <w:szCs w:val="22"/>
          <w:lang w:val="hu-HU"/>
        </w:rPr>
      </w:pPr>
      <w:r>
        <w:rPr>
          <w:szCs w:val="22"/>
          <w:lang w:val="hu-HU"/>
        </w:rPr>
        <w:t>laktóz-monohidrát</w:t>
      </w:r>
    </w:p>
    <w:p w:rsidR="00165C1F" w:rsidRDefault="00457A3F">
      <w:pPr>
        <w:rPr>
          <w:szCs w:val="22"/>
          <w:lang w:val="hu-HU"/>
        </w:rPr>
      </w:pPr>
      <w:r>
        <w:rPr>
          <w:szCs w:val="22"/>
          <w:lang w:val="hu-HU"/>
        </w:rPr>
        <w:t>magnézium-sztearát</w:t>
      </w:r>
    </w:p>
    <w:p w:rsidR="00165C1F" w:rsidRDefault="00457A3F">
      <w:pPr>
        <w:rPr>
          <w:szCs w:val="22"/>
          <w:lang w:val="hu-HU"/>
        </w:rPr>
      </w:pPr>
      <w:r>
        <w:rPr>
          <w:szCs w:val="22"/>
          <w:lang w:val="hu-HU"/>
        </w:rPr>
        <w:t>mannit</w:t>
      </w:r>
    </w:p>
    <w:p w:rsidR="00165C1F" w:rsidRDefault="00457A3F">
      <w:pPr>
        <w:rPr>
          <w:szCs w:val="22"/>
          <w:lang w:val="hu-HU"/>
        </w:rPr>
      </w:pPr>
      <w:r>
        <w:rPr>
          <w:szCs w:val="22"/>
          <w:lang w:val="hu-HU"/>
        </w:rPr>
        <w:t>meglumin</w:t>
      </w:r>
    </w:p>
    <w:p w:rsidR="00165C1F" w:rsidRDefault="00457A3F">
      <w:pPr>
        <w:rPr>
          <w:szCs w:val="22"/>
          <w:lang w:val="hu-HU"/>
        </w:rPr>
      </w:pPr>
      <w:r>
        <w:rPr>
          <w:szCs w:val="22"/>
          <w:lang w:val="hu-HU"/>
        </w:rPr>
        <w:t>povidon</w:t>
      </w:r>
    </w:p>
    <w:p w:rsidR="00165C1F" w:rsidRDefault="00457A3F">
      <w:pPr>
        <w:rPr>
          <w:szCs w:val="22"/>
          <w:lang w:val="hu-HU"/>
        </w:rPr>
      </w:pPr>
      <w:r>
        <w:rPr>
          <w:szCs w:val="22"/>
          <w:lang w:val="hu-HU"/>
        </w:rPr>
        <w:t>vörös vas-oxid (E172) – csak a 40 mg/12,5 mg és a 80 mg/12,5 mg tablettákban</w:t>
      </w:r>
    </w:p>
    <w:p w:rsidR="00165C1F" w:rsidRDefault="00457A3F">
      <w:pPr>
        <w:rPr>
          <w:szCs w:val="22"/>
          <w:lang w:val="hu-HU"/>
        </w:rPr>
      </w:pPr>
      <w:r>
        <w:rPr>
          <w:szCs w:val="22"/>
          <w:lang w:val="hu-HU"/>
        </w:rPr>
        <w:t>vízmentes kolloid szilícium-dioxid</w:t>
      </w:r>
    </w:p>
    <w:p w:rsidR="00165C1F" w:rsidRDefault="00457A3F">
      <w:pPr>
        <w:rPr>
          <w:szCs w:val="22"/>
          <w:lang w:val="hu-HU"/>
        </w:rPr>
      </w:pPr>
      <w:r>
        <w:rPr>
          <w:szCs w:val="22"/>
          <w:lang w:val="hu-HU"/>
        </w:rPr>
        <w:t>nátrium-hidroxid (E524)</w:t>
      </w:r>
    </w:p>
    <w:p w:rsidR="00165C1F" w:rsidRDefault="00457A3F">
      <w:pPr>
        <w:rPr>
          <w:szCs w:val="22"/>
          <w:lang w:val="hu-HU"/>
        </w:rPr>
      </w:pPr>
      <w:r>
        <w:rPr>
          <w:szCs w:val="22"/>
          <w:lang w:val="hu-HU"/>
        </w:rPr>
        <w:t>nátrium-sztearil-fumarát</w:t>
      </w:r>
    </w:p>
    <w:p w:rsidR="00165C1F" w:rsidRDefault="00457A3F">
      <w:pPr>
        <w:rPr>
          <w:szCs w:val="22"/>
          <w:lang w:val="hu-HU"/>
        </w:rPr>
      </w:pPr>
      <w:r>
        <w:rPr>
          <w:szCs w:val="22"/>
          <w:lang w:val="hu-HU"/>
        </w:rPr>
        <w:t>szorbit (E420)</w:t>
      </w:r>
    </w:p>
    <w:p w:rsidR="00165C1F" w:rsidRDefault="00457A3F">
      <w:pPr>
        <w:rPr>
          <w:szCs w:val="22"/>
          <w:lang w:val="hu-HU"/>
        </w:rPr>
      </w:pPr>
      <w:r>
        <w:rPr>
          <w:szCs w:val="22"/>
          <w:lang w:val="hu-HU"/>
        </w:rPr>
        <w:t>sárga vas-oxid (E172) – csak a 80 mg/25 mg tablettában</w:t>
      </w:r>
    </w:p>
    <w:p w:rsidR="00165C1F" w:rsidRDefault="00165C1F">
      <w:pPr>
        <w:widowControl w:val="0"/>
        <w:tabs>
          <w:tab w:val="left" w:pos="567"/>
        </w:tabs>
        <w:contextualSpacing/>
        <w:rPr>
          <w:b/>
          <w:szCs w:val="22"/>
          <w:lang w:val="hu-HU" w:eastAsia="en-US"/>
        </w:rPr>
      </w:pPr>
    </w:p>
    <w:p w:rsidR="00165C1F" w:rsidRDefault="00457A3F">
      <w:pPr>
        <w:rPr>
          <w:b/>
          <w:bCs/>
          <w:szCs w:val="22"/>
          <w:lang w:val="hu-HU"/>
        </w:rPr>
      </w:pPr>
      <w:r>
        <w:rPr>
          <w:b/>
          <w:bCs/>
          <w:szCs w:val="22"/>
          <w:lang w:val="hu-HU"/>
        </w:rPr>
        <w:t xml:space="preserve">6.2 </w:t>
      </w:r>
      <w:r>
        <w:rPr>
          <w:b/>
          <w:bCs/>
          <w:szCs w:val="22"/>
          <w:lang w:val="hu-HU"/>
        </w:rPr>
        <w:tab/>
        <w:t>Inkompatibilitások</w:t>
      </w:r>
    </w:p>
    <w:p w:rsidR="00165C1F" w:rsidRDefault="00165C1F">
      <w:pPr>
        <w:rPr>
          <w:szCs w:val="22"/>
          <w:lang w:val="hu-HU"/>
        </w:rPr>
      </w:pPr>
    </w:p>
    <w:p w:rsidR="00165C1F" w:rsidRDefault="00457A3F">
      <w:pPr>
        <w:rPr>
          <w:szCs w:val="22"/>
          <w:lang w:val="hu-HU"/>
        </w:rPr>
      </w:pPr>
      <w:r>
        <w:rPr>
          <w:szCs w:val="22"/>
          <w:lang w:val="hu-HU"/>
        </w:rPr>
        <w:t>Nem értelmezhető.</w:t>
      </w:r>
    </w:p>
    <w:p w:rsidR="00165C1F" w:rsidRDefault="00165C1F">
      <w:pPr>
        <w:rPr>
          <w:b/>
          <w:bCs/>
          <w:szCs w:val="22"/>
          <w:lang w:val="hu-HU"/>
        </w:rPr>
      </w:pPr>
    </w:p>
    <w:p w:rsidR="00165C1F" w:rsidRDefault="00457A3F">
      <w:pPr>
        <w:rPr>
          <w:b/>
          <w:bCs/>
          <w:szCs w:val="22"/>
          <w:lang w:val="hu-HU"/>
        </w:rPr>
      </w:pPr>
      <w:r>
        <w:rPr>
          <w:b/>
          <w:bCs/>
          <w:szCs w:val="22"/>
          <w:lang w:val="hu-HU"/>
        </w:rPr>
        <w:t xml:space="preserve">6.3 </w:t>
      </w:r>
      <w:r>
        <w:rPr>
          <w:b/>
          <w:bCs/>
          <w:szCs w:val="22"/>
          <w:lang w:val="hu-HU"/>
        </w:rPr>
        <w:tab/>
        <w:t>Felhasználhatósági időtartam</w:t>
      </w:r>
    </w:p>
    <w:p w:rsidR="00165C1F" w:rsidRDefault="00165C1F">
      <w:pPr>
        <w:rPr>
          <w:szCs w:val="22"/>
          <w:lang w:val="hu-HU"/>
        </w:rPr>
      </w:pPr>
    </w:p>
    <w:p w:rsidR="00165C1F" w:rsidRDefault="00457A3F">
      <w:pPr>
        <w:rPr>
          <w:szCs w:val="22"/>
          <w:lang w:val="hu-HU"/>
        </w:rPr>
      </w:pPr>
      <w:r>
        <w:rPr>
          <w:szCs w:val="22"/>
          <w:lang w:val="hu-HU"/>
        </w:rPr>
        <w:lastRenderedPageBreak/>
        <w:t>3 év</w:t>
      </w:r>
    </w:p>
    <w:p w:rsidR="00165C1F" w:rsidRDefault="00165C1F">
      <w:pPr>
        <w:widowControl w:val="0"/>
        <w:tabs>
          <w:tab w:val="left" w:pos="567"/>
        </w:tabs>
        <w:contextualSpacing/>
        <w:rPr>
          <w:szCs w:val="22"/>
          <w:lang w:val="hu-HU" w:eastAsia="en-US"/>
        </w:rPr>
      </w:pPr>
    </w:p>
    <w:p w:rsidR="00165C1F" w:rsidRDefault="00457A3F">
      <w:pPr>
        <w:rPr>
          <w:b/>
          <w:bCs/>
          <w:szCs w:val="22"/>
          <w:lang w:val="hu-HU"/>
        </w:rPr>
      </w:pPr>
      <w:r>
        <w:rPr>
          <w:b/>
          <w:bCs/>
          <w:szCs w:val="22"/>
          <w:lang w:val="hu-HU"/>
        </w:rPr>
        <w:t xml:space="preserve">6.4 </w:t>
      </w:r>
      <w:r>
        <w:rPr>
          <w:b/>
          <w:bCs/>
          <w:szCs w:val="22"/>
          <w:lang w:val="hu-HU"/>
        </w:rPr>
        <w:tab/>
        <w:t>Különleges tárolási előírások</w:t>
      </w:r>
    </w:p>
    <w:p w:rsidR="00165C1F" w:rsidRDefault="00165C1F">
      <w:pPr>
        <w:rPr>
          <w:szCs w:val="22"/>
          <w:lang w:val="hu-HU"/>
        </w:rPr>
      </w:pPr>
    </w:p>
    <w:p w:rsidR="00165C1F" w:rsidRDefault="00457A3F">
      <w:pPr>
        <w:rPr>
          <w:noProof/>
          <w:szCs w:val="22"/>
          <w:lang w:val="hu-HU"/>
        </w:rPr>
      </w:pPr>
      <w:r>
        <w:rPr>
          <w:noProof/>
          <w:szCs w:val="22"/>
          <w:lang w:val="hu-HU"/>
        </w:rPr>
        <w:t>Legfeljebb</w:t>
      </w:r>
      <w:r>
        <w:rPr>
          <w:b/>
          <w:noProof/>
          <w:szCs w:val="22"/>
          <w:lang w:val="hu-HU"/>
        </w:rPr>
        <w:t xml:space="preserve"> </w:t>
      </w:r>
      <w:r>
        <w:rPr>
          <w:noProof/>
          <w:szCs w:val="22"/>
          <w:lang w:val="hu-HU"/>
        </w:rPr>
        <w:t>30°C-on tárolandó.</w:t>
      </w:r>
    </w:p>
    <w:p w:rsidR="00165C1F" w:rsidRDefault="00457A3F">
      <w:pPr>
        <w:rPr>
          <w:szCs w:val="22"/>
          <w:lang w:val="hu-HU"/>
        </w:rPr>
      </w:pPr>
      <w:r>
        <w:rPr>
          <w:szCs w:val="22"/>
          <w:lang w:val="hu-HU"/>
        </w:rPr>
        <w:t>A fénytől való védelem érdekében az eredeti csomagolásban tárolandó.</w:t>
      </w:r>
    </w:p>
    <w:p w:rsidR="00165C1F" w:rsidRDefault="00165C1F">
      <w:pPr>
        <w:rPr>
          <w:b/>
          <w:bCs/>
          <w:szCs w:val="22"/>
          <w:lang w:val="hu-HU"/>
        </w:rPr>
      </w:pPr>
    </w:p>
    <w:p w:rsidR="00165C1F" w:rsidRDefault="00457A3F">
      <w:pPr>
        <w:rPr>
          <w:b/>
          <w:bCs/>
          <w:szCs w:val="22"/>
          <w:lang w:val="hu-HU"/>
        </w:rPr>
      </w:pPr>
      <w:r>
        <w:rPr>
          <w:b/>
          <w:bCs/>
          <w:szCs w:val="22"/>
          <w:lang w:val="hu-HU"/>
        </w:rPr>
        <w:t xml:space="preserve">6.5 </w:t>
      </w:r>
      <w:r>
        <w:rPr>
          <w:b/>
          <w:bCs/>
          <w:szCs w:val="22"/>
          <w:lang w:val="hu-HU"/>
        </w:rPr>
        <w:tab/>
        <w:t>Csomagolás típusa és kiszerelése</w:t>
      </w:r>
    </w:p>
    <w:p w:rsidR="00165C1F" w:rsidRDefault="00165C1F">
      <w:pPr>
        <w:autoSpaceDE w:val="0"/>
        <w:autoSpaceDN w:val="0"/>
        <w:adjustRightInd w:val="0"/>
        <w:contextualSpacing/>
        <w:rPr>
          <w:szCs w:val="22"/>
          <w:lang w:val="hu-HU" w:eastAsia="en-US"/>
        </w:rPr>
      </w:pPr>
    </w:p>
    <w:p w:rsidR="00165C1F" w:rsidRDefault="00457A3F">
      <w:pPr>
        <w:rPr>
          <w:szCs w:val="22"/>
          <w:lang w:val="hu-HU"/>
        </w:rPr>
      </w:pPr>
      <w:r>
        <w:rPr>
          <w:szCs w:val="22"/>
          <w:lang w:val="hu-HU"/>
        </w:rPr>
        <w:t>Buborékcsomagolás (OPA/Al/PVC fólia // Al fólia): 10 db, 14 db, 28 db, 30 db, 56 db, 60 db, 84 db, 90 db, vagy 98 db tabletta dobozban.</w:t>
      </w:r>
    </w:p>
    <w:p w:rsidR="00165C1F" w:rsidRDefault="00165C1F">
      <w:pPr>
        <w:autoSpaceDE w:val="0"/>
        <w:autoSpaceDN w:val="0"/>
        <w:adjustRightInd w:val="0"/>
        <w:contextualSpacing/>
        <w:rPr>
          <w:szCs w:val="22"/>
          <w:lang w:val="hu-HU"/>
        </w:rPr>
      </w:pPr>
    </w:p>
    <w:p w:rsidR="00165C1F" w:rsidRDefault="00457A3F">
      <w:pPr>
        <w:rPr>
          <w:szCs w:val="22"/>
          <w:lang w:val="hu-HU"/>
        </w:rPr>
      </w:pPr>
      <w:r>
        <w:rPr>
          <w:szCs w:val="22"/>
          <w:lang w:val="hu-HU"/>
        </w:rPr>
        <w:t>Nem feltétlenül mindegyik kiszerelés kerül kereskedelmi forgalomba.</w:t>
      </w:r>
    </w:p>
    <w:p w:rsidR="00165C1F" w:rsidRDefault="00165C1F">
      <w:pPr>
        <w:rPr>
          <w:szCs w:val="22"/>
          <w:lang w:val="hu-HU"/>
        </w:rPr>
      </w:pPr>
    </w:p>
    <w:p w:rsidR="00165C1F" w:rsidRDefault="00457A3F">
      <w:pPr>
        <w:ind w:left="567" w:hanging="567"/>
        <w:rPr>
          <w:b/>
          <w:bCs/>
          <w:szCs w:val="22"/>
          <w:lang w:val="hu-HU"/>
        </w:rPr>
      </w:pPr>
      <w:r>
        <w:rPr>
          <w:b/>
          <w:bCs/>
          <w:szCs w:val="22"/>
          <w:lang w:val="hu-HU"/>
        </w:rPr>
        <w:t>6.6</w:t>
      </w:r>
      <w:r>
        <w:rPr>
          <w:b/>
          <w:bCs/>
          <w:szCs w:val="22"/>
          <w:lang w:val="hu-HU"/>
        </w:rPr>
        <w:tab/>
        <w:t>A megsemmisítésre vonatkozó különleges óvintézkedések és egyéb, a készítmény kezelésével kapcsolatos információk</w:t>
      </w:r>
    </w:p>
    <w:p w:rsidR="00165C1F" w:rsidRDefault="00165C1F">
      <w:pPr>
        <w:rPr>
          <w:szCs w:val="22"/>
          <w:lang w:val="hu-HU"/>
        </w:rPr>
      </w:pPr>
    </w:p>
    <w:p w:rsidR="00165C1F" w:rsidRDefault="00457A3F">
      <w:pPr>
        <w:rPr>
          <w:szCs w:val="22"/>
          <w:lang w:val="hu-HU"/>
        </w:rPr>
      </w:pPr>
      <w:r>
        <w:rPr>
          <w:szCs w:val="22"/>
          <w:lang w:val="hu-HU"/>
        </w:rPr>
        <w:t>Bármilyen fel nem használt gyógyszer, illetve hulladékanyag megsemmisítését a gyógyszerekre vonatkozó előírások szerint kell végrehajtani.</w:t>
      </w:r>
    </w:p>
    <w:p w:rsidR="00165C1F" w:rsidRDefault="00165C1F">
      <w:pPr>
        <w:rPr>
          <w:szCs w:val="22"/>
          <w:lang w:val="hu-HU"/>
        </w:rPr>
      </w:pPr>
    </w:p>
    <w:p w:rsidR="00165C1F" w:rsidRDefault="00457A3F">
      <w:pPr>
        <w:ind w:left="567" w:hanging="567"/>
        <w:rPr>
          <w:szCs w:val="22"/>
          <w:lang w:val="hu-HU"/>
        </w:rPr>
      </w:pPr>
      <w:r>
        <w:rPr>
          <w:b/>
          <w:szCs w:val="22"/>
          <w:lang w:val="hu-HU"/>
        </w:rPr>
        <w:t>Megjegyzés:</w:t>
      </w:r>
      <w:r>
        <w:rPr>
          <w:szCs w:val="22"/>
          <w:lang w:val="hu-HU"/>
        </w:rPr>
        <w:t xml:space="preserve"> </w:t>
      </w:r>
      <w:r>
        <w:rPr>
          <w:szCs w:val="22"/>
          <w:lang w:val="hu-HU"/>
        </w:rPr>
        <w:sym w:font="Wingdings" w:char="F058"/>
      </w:r>
      <w:r>
        <w:rPr>
          <w:szCs w:val="22"/>
          <w:lang w:val="hu-HU"/>
        </w:rPr>
        <w:t xml:space="preserve"> (egykeresztes)</w:t>
      </w:r>
    </w:p>
    <w:p w:rsidR="00165C1F" w:rsidRDefault="00457A3F">
      <w:pPr>
        <w:rPr>
          <w:szCs w:val="22"/>
          <w:lang w:val="hu-HU"/>
        </w:rPr>
      </w:pPr>
      <w:r>
        <w:rPr>
          <w:b/>
          <w:szCs w:val="22"/>
          <w:lang w:val="hu-HU"/>
        </w:rPr>
        <w:t>Osztályozás:</w:t>
      </w:r>
      <w:r>
        <w:rPr>
          <w:szCs w:val="22"/>
          <w:lang w:val="hu-HU"/>
        </w:rPr>
        <w:t xml:space="preserve"> II csoport</w:t>
      </w:r>
    </w:p>
    <w:p w:rsidR="00165C1F" w:rsidRDefault="00457A3F">
      <w:pPr>
        <w:rPr>
          <w:szCs w:val="22"/>
          <w:lang w:val="hu-HU"/>
        </w:rPr>
      </w:pPr>
      <w:r>
        <w:rPr>
          <w:szCs w:val="22"/>
          <w:lang w:val="hu-HU"/>
        </w:rPr>
        <w:t>Kizárólag orvosi rendelvényhez kötött gyógyszer (V).</w:t>
      </w:r>
    </w:p>
    <w:p w:rsidR="00165C1F" w:rsidRDefault="00165C1F">
      <w:pPr>
        <w:widowControl w:val="0"/>
        <w:tabs>
          <w:tab w:val="left" w:pos="567"/>
        </w:tabs>
        <w:contextualSpacing/>
        <w:rPr>
          <w:szCs w:val="22"/>
          <w:lang w:val="hu-HU" w:eastAsia="en-US"/>
        </w:rPr>
      </w:pPr>
    </w:p>
    <w:p w:rsidR="00165C1F" w:rsidRDefault="00165C1F">
      <w:pPr>
        <w:widowControl w:val="0"/>
        <w:tabs>
          <w:tab w:val="left" w:pos="567"/>
        </w:tabs>
        <w:contextualSpacing/>
        <w:rPr>
          <w:szCs w:val="22"/>
          <w:lang w:val="hu-HU" w:eastAsia="en-US"/>
        </w:rPr>
      </w:pPr>
    </w:p>
    <w:p w:rsidR="00165C1F" w:rsidRDefault="00457A3F">
      <w:pPr>
        <w:ind w:left="426" w:hanging="426"/>
        <w:rPr>
          <w:b/>
          <w:bCs/>
          <w:szCs w:val="22"/>
          <w:lang w:val="hu-HU"/>
        </w:rPr>
      </w:pPr>
      <w:r>
        <w:rPr>
          <w:b/>
          <w:bCs/>
          <w:szCs w:val="22"/>
          <w:lang w:val="hu-HU"/>
        </w:rPr>
        <w:t>7.</w:t>
      </w:r>
      <w:r>
        <w:rPr>
          <w:b/>
          <w:bCs/>
          <w:szCs w:val="22"/>
          <w:lang w:val="hu-HU"/>
        </w:rPr>
        <w:tab/>
        <w:t>A FORGALOMBA HOZATALI ENGEDÉLY JOGOSULTJA</w:t>
      </w:r>
    </w:p>
    <w:p w:rsidR="00165C1F" w:rsidRDefault="00165C1F">
      <w:pPr>
        <w:widowControl w:val="0"/>
        <w:tabs>
          <w:tab w:val="left" w:pos="567"/>
        </w:tabs>
        <w:contextualSpacing/>
        <w:rPr>
          <w:szCs w:val="22"/>
          <w:lang w:val="hu-HU" w:eastAsia="en-US"/>
        </w:rPr>
      </w:pPr>
    </w:p>
    <w:p w:rsidR="00165C1F" w:rsidRDefault="00457A3F">
      <w:pPr>
        <w:rPr>
          <w:color w:val="000000"/>
        </w:rPr>
      </w:pPr>
      <w:r>
        <w:rPr>
          <w:color w:val="000000"/>
        </w:rPr>
        <w:t>TAD Pharma GmbH</w:t>
      </w:r>
    </w:p>
    <w:p w:rsidR="00165C1F" w:rsidRDefault="00457A3F">
      <w:pPr>
        <w:rPr>
          <w:color w:val="000000"/>
        </w:rPr>
      </w:pPr>
      <w:r>
        <w:rPr>
          <w:color w:val="000000"/>
        </w:rPr>
        <w:t>Heinz-Lohmann-Straße 5</w:t>
      </w:r>
    </w:p>
    <w:p w:rsidR="00165C1F" w:rsidRDefault="00457A3F">
      <w:pPr>
        <w:rPr>
          <w:color w:val="000000"/>
        </w:rPr>
      </w:pPr>
      <w:r>
        <w:rPr>
          <w:color w:val="000000"/>
        </w:rPr>
        <w:t>27472 Cuxhaven</w:t>
      </w:r>
    </w:p>
    <w:p w:rsidR="00165C1F" w:rsidRDefault="00457A3F">
      <w:pPr>
        <w:widowControl w:val="0"/>
        <w:tabs>
          <w:tab w:val="left" w:pos="567"/>
        </w:tabs>
        <w:contextualSpacing/>
        <w:rPr>
          <w:szCs w:val="22"/>
          <w:lang w:val="hu-HU" w:eastAsia="en-US"/>
        </w:rPr>
      </w:pPr>
      <w:r>
        <w:rPr>
          <w:color w:val="000000"/>
        </w:rPr>
        <w:t>Németország</w:t>
      </w:r>
    </w:p>
    <w:p w:rsidR="00165C1F" w:rsidRDefault="00165C1F">
      <w:pPr>
        <w:widowControl w:val="0"/>
        <w:tabs>
          <w:tab w:val="left" w:pos="567"/>
        </w:tabs>
        <w:contextualSpacing/>
        <w:rPr>
          <w:szCs w:val="22"/>
          <w:lang w:val="hu-HU" w:eastAsia="en-US"/>
        </w:rPr>
      </w:pPr>
    </w:p>
    <w:p w:rsidR="00656007" w:rsidRDefault="00656007">
      <w:pPr>
        <w:widowControl w:val="0"/>
        <w:tabs>
          <w:tab w:val="left" w:pos="567"/>
        </w:tabs>
        <w:contextualSpacing/>
        <w:rPr>
          <w:szCs w:val="22"/>
          <w:lang w:val="hu-HU" w:eastAsia="en-US"/>
        </w:rPr>
      </w:pPr>
    </w:p>
    <w:p w:rsidR="00165C1F" w:rsidRDefault="00457A3F">
      <w:pPr>
        <w:ind w:left="426" w:hanging="426"/>
        <w:rPr>
          <w:b/>
          <w:bCs/>
          <w:szCs w:val="22"/>
          <w:lang w:val="hu-HU"/>
        </w:rPr>
      </w:pPr>
      <w:r>
        <w:rPr>
          <w:b/>
          <w:bCs/>
          <w:szCs w:val="22"/>
          <w:lang w:val="hu-HU"/>
        </w:rPr>
        <w:t>8.</w:t>
      </w:r>
      <w:r>
        <w:rPr>
          <w:b/>
          <w:bCs/>
          <w:szCs w:val="22"/>
          <w:lang w:val="hu-HU"/>
        </w:rPr>
        <w:tab/>
        <w:t>A FORGALOMBA HOZATALI ENGEDÉLY SZÁMA(I)</w:t>
      </w:r>
    </w:p>
    <w:p w:rsidR="00165C1F" w:rsidRDefault="00165C1F">
      <w:pPr>
        <w:widowControl w:val="0"/>
        <w:tabs>
          <w:tab w:val="left" w:pos="567"/>
        </w:tabs>
        <w:contextualSpacing/>
        <w:rPr>
          <w:i/>
          <w:szCs w:val="22"/>
          <w:lang w:val="hu-HU" w:eastAsia="en-US"/>
        </w:rPr>
      </w:pPr>
    </w:p>
    <w:p w:rsidR="00165C1F" w:rsidRDefault="00457A3F">
      <w:pPr>
        <w:tabs>
          <w:tab w:val="left" w:pos="-720"/>
          <w:tab w:val="left" w:pos="0"/>
          <w:tab w:val="left" w:pos="720"/>
          <w:tab w:val="left" w:pos="1440"/>
          <w:tab w:val="left" w:pos="2160"/>
          <w:tab w:val="left" w:pos="2880"/>
          <w:tab w:val="left" w:pos="3600"/>
          <w:tab w:val="left" w:pos="4320"/>
        </w:tabs>
        <w:autoSpaceDE w:val="0"/>
        <w:autoSpaceDN w:val="0"/>
        <w:adjustRightInd w:val="0"/>
        <w:rPr>
          <w:color w:val="000000"/>
          <w:szCs w:val="22"/>
          <w:u w:val="single"/>
          <w:lang w:val="hu-HU" w:eastAsia="hu-HU"/>
        </w:rPr>
      </w:pPr>
      <w:r>
        <w:rPr>
          <w:color w:val="000000"/>
          <w:szCs w:val="22"/>
          <w:u w:val="single"/>
          <w:lang w:val="hu-HU" w:eastAsia="hu-HU"/>
        </w:rPr>
        <w:t>Telmisartan/Hydrochlorothiazide TAD 40 mg/12,5 mg tabletta</w:t>
      </w:r>
    </w:p>
    <w:p w:rsidR="00165C1F" w:rsidRDefault="00165C1F">
      <w:pPr>
        <w:tabs>
          <w:tab w:val="left" w:pos="-720"/>
          <w:tab w:val="left" w:pos="0"/>
          <w:tab w:val="left" w:pos="720"/>
          <w:tab w:val="left" w:pos="1440"/>
          <w:tab w:val="left" w:pos="2160"/>
          <w:tab w:val="left" w:pos="2880"/>
          <w:tab w:val="left" w:pos="3600"/>
          <w:tab w:val="left" w:pos="4320"/>
        </w:tabs>
        <w:autoSpaceDE w:val="0"/>
        <w:autoSpaceDN w:val="0"/>
        <w:adjustRightInd w:val="0"/>
        <w:rPr>
          <w:color w:val="000000"/>
          <w:szCs w:val="22"/>
          <w:lang w:val="hu-HU" w:eastAsia="hu-HU"/>
        </w:rPr>
      </w:pPr>
    </w:p>
    <w:p w:rsidR="00165C1F" w:rsidRDefault="00457A3F">
      <w:pPr>
        <w:tabs>
          <w:tab w:val="left" w:pos="-720"/>
          <w:tab w:val="left" w:pos="0"/>
          <w:tab w:val="left" w:pos="720"/>
          <w:tab w:val="left" w:pos="1440"/>
          <w:tab w:val="left" w:pos="2160"/>
          <w:tab w:val="left" w:pos="2880"/>
          <w:tab w:val="left" w:pos="3600"/>
          <w:tab w:val="left" w:pos="4320"/>
        </w:tabs>
        <w:autoSpaceDE w:val="0"/>
        <w:autoSpaceDN w:val="0"/>
        <w:adjustRightInd w:val="0"/>
        <w:rPr>
          <w:color w:val="000000"/>
          <w:szCs w:val="22"/>
          <w:lang w:val="hu-HU" w:eastAsia="hu-HU"/>
        </w:rPr>
      </w:pPr>
      <w:r>
        <w:rPr>
          <w:color w:val="000000"/>
          <w:szCs w:val="22"/>
          <w:lang w:val="hu-HU" w:eastAsia="hu-HU"/>
        </w:rPr>
        <w:t>OGYI-T-22485/01</w:t>
      </w:r>
      <w:r>
        <w:rPr>
          <w:color w:val="000000"/>
          <w:szCs w:val="22"/>
          <w:lang w:val="hu-HU" w:eastAsia="hu-HU"/>
        </w:rPr>
        <w:tab/>
        <w:t>28×</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OGYI-T-22485/03</w:t>
      </w:r>
      <w:r>
        <w:rPr>
          <w:color w:val="000000"/>
          <w:szCs w:val="22"/>
          <w:lang w:val="hu-HU" w:eastAsia="hu-HU"/>
        </w:rPr>
        <w:tab/>
        <w:t>30×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OGYI-T-22485/05</w:t>
      </w:r>
      <w:r>
        <w:rPr>
          <w:color w:val="000000"/>
          <w:szCs w:val="22"/>
          <w:lang w:val="hu-HU" w:eastAsia="hu-HU"/>
        </w:rPr>
        <w:tab/>
        <w:t>56×</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OGYI-T-22485/07</w:t>
      </w:r>
      <w:r>
        <w:rPr>
          <w:color w:val="000000"/>
          <w:szCs w:val="22"/>
          <w:lang w:val="hu-HU" w:eastAsia="hu-HU"/>
        </w:rPr>
        <w:tab/>
        <w:t>60×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OGYI-T-22485/09</w:t>
      </w:r>
      <w:r>
        <w:rPr>
          <w:color w:val="000000"/>
          <w:szCs w:val="22"/>
          <w:lang w:val="hu-HU" w:eastAsia="hu-HU"/>
        </w:rPr>
        <w:tab/>
        <w:t>84×</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OGYI-T-22485/11</w:t>
      </w:r>
      <w:r>
        <w:rPr>
          <w:color w:val="000000"/>
          <w:szCs w:val="22"/>
          <w:lang w:val="hu-HU" w:eastAsia="hu-HU"/>
        </w:rPr>
        <w:tab/>
        <w:t>90×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OGYI-T-22485/13</w:t>
      </w:r>
      <w:r>
        <w:rPr>
          <w:color w:val="000000"/>
          <w:szCs w:val="22"/>
          <w:lang w:val="hu-HU" w:eastAsia="hu-HU"/>
        </w:rPr>
        <w:tab/>
        <w:t>98×</w:t>
      </w:r>
      <w:r>
        <w:rPr>
          <w:color w:val="000000"/>
          <w:szCs w:val="22"/>
          <w:lang w:val="hu-HU" w:eastAsia="hu-HU"/>
        </w:rPr>
        <w:tab/>
        <w:t>OPA/Al/PVC fólia//Al fólia buborékcsomagolásban és dobozban</w:t>
      </w:r>
    </w:p>
    <w:p w:rsidR="00165C1F" w:rsidRDefault="00165C1F">
      <w:pPr>
        <w:tabs>
          <w:tab w:val="left" w:pos="-720"/>
          <w:tab w:val="left" w:pos="0"/>
          <w:tab w:val="left" w:pos="720"/>
          <w:tab w:val="left" w:pos="1440"/>
          <w:tab w:val="left" w:pos="2160"/>
          <w:tab w:val="left" w:pos="2880"/>
          <w:tab w:val="left" w:pos="3600"/>
          <w:tab w:val="left" w:pos="4320"/>
        </w:tabs>
        <w:autoSpaceDE w:val="0"/>
        <w:autoSpaceDN w:val="0"/>
        <w:adjustRightInd w:val="0"/>
        <w:rPr>
          <w:color w:val="000000"/>
          <w:szCs w:val="22"/>
          <w:lang w:val="hu-HU" w:eastAsia="hu-HU"/>
        </w:rPr>
      </w:pPr>
    </w:p>
    <w:p w:rsidR="00165C1F" w:rsidRDefault="00457A3F">
      <w:pPr>
        <w:tabs>
          <w:tab w:val="left" w:pos="-720"/>
          <w:tab w:val="left" w:pos="0"/>
          <w:tab w:val="left" w:pos="720"/>
          <w:tab w:val="left" w:pos="1440"/>
          <w:tab w:val="left" w:pos="2160"/>
          <w:tab w:val="left" w:pos="2880"/>
          <w:tab w:val="left" w:pos="3600"/>
          <w:tab w:val="left" w:pos="4320"/>
        </w:tabs>
        <w:autoSpaceDE w:val="0"/>
        <w:autoSpaceDN w:val="0"/>
        <w:adjustRightInd w:val="0"/>
        <w:rPr>
          <w:color w:val="000000"/>
          <w:szCs w:val="22"/>
          <w:lang w:val="hu-HU" w:eastAsia="hu-HU"/>
        </w:rPr>
      </w:pPr>
      <w:r>
        <w:rPr>
          <w:color w:val="000000"/>
          <w:szCs w:val="22"/>
          <w:u w:val="single"/>
          <w:lang w:val="hu-HU" w:eastAsia="hu-HU"/>
        </w:rPr>
        <w:t>Telmisartan/Hydrochlorothiazide TAD 80 mg/12,5 mg tabletta</w:t>
      </w:r>
    </w:p>
    <w:p w:rsidR="00165C1F" w:rsidRDefault="00165C1F">
      <w:pPr>
        <w:tabs>
          <w:tab w:val="left" w:pos="-720"/>
          <w:tab w:val="left" w:pos="0"/>
          <w:tab w:val="left" w:pos="720"/>
          <w:tab w:val="left" w:pos="1440"/>
          <w:tab w:val="left" w:pos="2160"/>
          <w:tab w:val="left" w:pos="2880"/>
          <w:tab w:val="left" w:pos="3600"/>
          <w:tab w:val="left" w:pos="4320"/>
        </w:tabs>
        <w:autoSpaceDE w:val="0"/>
        <w:autoSpaceDN w:val="0"/>
        <w:adjustRightInd w:val="0"/>
        <w:rPr>
          <w:color w:val="000000"/>
          <w:szCs w:val="22"/>
          <w:lang w:val="hu-HU" w:eastAsia="hu-HU"/>
        </w:rPr>
      </w:pP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OGYI-T-22485/15</w:t>
      </w:r>
      <w:r>
        <w:rPr>
          <w:color w:val="000000"/>
          <w:szCs w:val="22"/>
          <w:lang w:val="hu-HU" w:eastAsia="hu-HU"/>
        </w:rPr>
        <w:tab/>
        <w:t>28×</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OGYI-T-22485/17</w:t>
      </w:r>
      <w:r>
        <w:rPr>
          <w:color w:val="000000"/>
          <w:szCs w:val="22"/>
          <w:lang w:val="hu-HU" w:eastAsia="hu-HU"/>
        </w:rPr>
        <w:tab/>
        <w:t>30×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OGYI-T-22485/19</w:t>
      </w:r>
      <w:r>
        <w:rPr>
          <w:color w:val="000000"/>
          <w:szCs w:val="22"/>
          <w:lang w:val="hu-HU" w:eastAsia="hu-HU"/>
        </w:rPr>
        <w:tab/>
        <w:t>56×</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OGYI-T-22485/21</w:t>
      </w:r>
      <w:r>
        <w:rPr>
          <w:color w:val="000000"/>
          <w:szCs w:val="22"/>
          <w:lang w:val="hu-HU" w:eastAsia="hu-HU"/>
        </w:rPr>
        <w:tab/>
        <w:t>60×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OGYI-T-22485/23</w:t>
      </w:r>
      <w:r>
        <w:rPr>
          <w:color w:val="000000"/>
          <w:szCs w:val="22"/>
          <w:lang w:val="hu-HU" w:eastAsia="hu-HU"/>
        </w:rPr>
        <w:tab/>
        <w:t>84×</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OGYI-T-22485/25</w:t>
      </w:r>
      <w:r>
        <w:rPr>
          <w:color w:val="000000"/>
          <w:szCs w:val="22"/>
          <w:lang w:val="hu-HU" w:eastAsia="hu-HU"/>
        </w:rPr>
        <w:tab/>
        <w:t>90×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OGYI-T-22485/27</w:t>
      </w:r>
      <w:r>
        <w:rPr>
          <w:color w:val="000000"/>
          <w:szCs w:val="22"/>
          <w:lang w:val="hu-HU" w:eastAsia="hu-HU"/>
        </w:rPr>
        <w:tab/>
        <w:t>98×</w:t>
      </w:r>
      <w:r>
        <w:rPr>
          <w:color w:val="000000"/>
          <w:szCs w:val="22"/>
          <w:lang w:val="hu-HU" w:eastAsia="hu-HU"/>
        </w:rPr>
        <w:tab/>
        <w:t>OPA/Al/PVC fólia//Al fólia buborékcsomagolásban és dobozban</w:t>
      </w:r>
    </w:p>
    <w:p w:rsidR="00165C1F" w:rsidRDefault="00165C1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u w:val="single"/>
          <w:lang w:val="hu-HU" w:eastAsia="hu-HU"/>
        </w:rPr>
      </w:pPr>
      <w:r>
        <w:rPr>
          <w:color w:val="000000"/>
          <w:szCs w:val="22"/>
          <w:u w:val="single"/>
          <w:lang w:val="hu-HU" w:eastAsia="hu-HU"/>
        </w:rPr>
        <w:t>Telmisartan/Hydrochlorothiazide TAD 80 mg/25 mg tabletta</w:t>
      </w:r>
    </w:p>
    <w:p w:rsidR="00165C1F" w:rsidRDefault="00165C1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lastRenderedPageBreak/>
        <w:t>OGYI-T-22485/29</w:t>
      </w:r>
      <w:r>
        <w:rPr>
          <w:color w:val="000000"/>
          <w:szCs w:val="22"/>
          <w:lang w:val="hu-HU" w:eastAsia="hu-HU"/>
        </w:rPr>
        <w:tab/>
        <w:t>28×</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OGYI-T-22485/31</w:t>
      </w:r>
      <w:r>
        <w:rPr>
          <w:color w:val="000000"/>
          <w:szCs w:val="22"/>
          <w:lang w:val="hu-HU" w:eastAsia="hu-HU"/>
        </w:rPr>
        <w:tab/>
        <w:t>30×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OGYI-T-22485/33</w:t>
      </w:r>
      <w:r>
        <w:rPr>
          <w:color w:val="000000"/>
          <w:szCs w:val="22"/>
          <w:lang w:val="hu-HU" w:eastAsia="hu-HU"/>
        </w:rPr>
        <w:tab/>
        <w:t>56×</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OGYI-T-22485/35</w:t>
      </w:r>
      <w:r>
        <w:rPr>
          <w:color w:val="000000"/>
          <w:szCs w:val="22"/>
          <w:lang w:val="hu-HU" w:eastAsia="hu-HU"/>
        </w:rPr>
        <w:tab/>
        <w:t>60×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OGYI-T-22485/37</w:t>
      </w:r>
      <w:r>
        <w:rPr>
          <w:color w:val="000000"/>
          <w:szCs w:val="22"/>
          <w:lang w:val="hu-HU" w:eastAsia="hu-HU"/>
        </w:rPr>
        <w:tab/>
        <w:t>84×</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OGYI-T-22485/39</w:t>
      </w:r>
      <w:r>
        <w:rPr>
          <w:color w:val="000000"/>
          <w:szCs w:val="22"/>
          <w:lang w:val="hu-HU" w:eastAsia="hu-HU"/>
        </w:rPr>
        <w:tab/>
        <w:t>90×</w:t>
      </w:r>
      <w:r>
        <w:rPr>
          <w:color w:val="000000"/>
          <w:szCs w:val="22"/>
          <w:lang w:val="hu-HU" w:eastAsia="hu-HU"/>
        </w:rPr>
        <w:tab/>
        <w:t>OPA/Al/PVC fólia//Al fólia buborékcsomagolásban és dobozban</w:t>
      </w:r>
    </w:p>
    <w:p w:rsidR="00165C1F" w:rsidRDefault="00457A3F">
      <w:pPr>
        <w:tabs>
          <w:tab w:val="left" w:pos="-720"/>
          <w:tab w:val="left" w:pos="720"/>
          <w:tab w:val="left" w:pos="1440"/>
          <w:tab w:val="left" w:pos="2160"/>
          <w:tab w:val="left" w:pos="2880"/>
          <w:tab w:val="left" w:pos="3600"/>
          <w:tab w:val="left" w:pos="4320"/>
        </w:tabs>
        <w:autoSpaceDE w:val="0"/>
        <w:autoSpaceDN w:val="0"/>
        <w:adjustRightInd w:val="0"/>
        <w:ind w:left="2880" w:hanging="2880"/>
        <w:rPr>
          <w:color w:val="000000"/>
          <w:szCs w:val="22"/>
          <w:lang w:val="hu-HU" w:eastAsia="hu-HU"/>
        </w:rPr>
      </w:pPr>
      <w:r>
        <w:rPr>
          <w:color w:val="000000"/>
          <w:szCs w:val="22"/>
          <w:lang w:val="hu-HU" w:eastAsia="hu-HU"/>
        </w:rPr>
        <w:t>OGYI-T-22485/41</w:t>
      </w:r>
      <w:r>
        <w:rPr>
          <w:color w:val="000000"/>
          <w:szCs w:val="22"/>
          <w:lang w:val="hu-HU" w:eastAsia="hu-HU"/>
        </w:rPr>
        <w:tab/>
        <w:t>98×</w:t>
      </w:r>
      <w:r>
        <w:rPr>
          <w:color w:val="000000"/>
          <w:szCs w:val="22"/>
          <w:lang w:val="hu-HU" w:eastAsia="hu-HU"/>
        </w:rPr>
        <w:tab/>
        <w:t>OPA/Al/PVC fólia//Al fólia buborékcsomagolásban és dobozban</w:t>
      </w:r>
    </w:p>
    <w:p w:rsidR="00165C1F" w:rsidRDefault="00165C1F">
      <w:pPr>
        <w:widowControl w:val="0"/>
        <w:tabs>
          <w:tab w:val="left" w:pos="567"/>
        </w:tabs>
        <w:contextualSpacing/>
        <w:rPr>
          <w:szCs w:val="22"/>
          <w:lang w:val="hu-HU" w:eastAsia="en-US"/>
        </w:rPr>
      </w:pPr>
    </w:p>
    <w:p w:rsidR="00165C1F" w:rsidRDefault="00165C1F">
      <w:pPr>
        <w:widowControl w:val="0"/>
        <w:tabs>
          <w:tab w:val="left" w:pos="567"/>
        </w:tabs>
        <w:contextualSpacing/>
        <w:rPr>
          <w:szCs w:val="22"/>
          <w:lang w:val="hu-HU" w:eastAsia="en-US"/>
        </w:rPr>
      </w:pPr>
    </w:p>
    <w:p w:rsidR="00165C1F" w:rsidRDefault="00457A3F">
      <w:pPr>
        <w:ind w:left="426" w:hanging="426"/>
        <w:rPr>
          <w:b/>
          <w:bCs/>
          <w:szCs w:val="22"/>
          <w:lang w:val="hu-HU"/>
        </w:rPr>
      </w:pPr>
      <w:r>
        <w:rPr>
          <w:b/>
          <w:bCs/>
          <w:szCs w:val="22"/>
          <w:lang w:val="hu-HU"/>
        </w:rPr>
        <w:t>9.</w:t>
      </w:r>
      <w:r>
        <w:rPr>
          <w:b/>
          <w:bCs/>
          <w:szCs w:val="22"/>
          <w:lang w:val="hu-HU"/>
        </w:rPr>
        <w:tab/>
        <w:t>A FORGALOMBA HOZATALI ENGEDÉLY ELSŐ KIADÁSÁNAK/MEGÚJÍTÁSÁNAK DÁTUMA</w:t>
      </w:r>
    </w:p>
    <w:p w:rsidR="00165C1F" w:rsidRDefault="00165C1F">
      <w:pPr>
        <w:rPr>
          <w:szCs w:val="22"/>
          <w:lang w:val="hu-HU"/>
        </w:rPr>
      </w:pPr>
    </w:p>
    <w:p w:rsidR="00165C1F" w:rsidRDefault="00457A3F">
      <w:pPr>
        <w:rPr>
          <w:szCs w:val="22"/>
          <w:lang w:val="hu-HU"/>
        </w:rPr>
      </w:pPr>
      <w:r>
        <w:rPr>
          <w:szCs w:val="22"/>
          <w:lang w:val="hu-HU"/>
        </w:rPr>
        <w:t>A forgalomba hozatali engedély első kiadásának dátuma:</w:t>
      </w:r>
      <w:r>
        <w:rPr>
          <w:szCs w:val="22"/>
          <w:lang w:val="hu-HU" w:eastAsia="en-US"/>
        </w:rPr>
        <w:t xml:space="preserve"> 2013. május 15</w:t>
      </w:r>
      <w:r>
        <w:rPr>
          <w:szCs w:val="22"/>
          <w:lang w:val="hu-HU"/>
        </w:rPr>
        <w:t>.</w:t>
      </w:r>
    </w:p>
    <w:p w:rsidR="00165C1F" w:rsidRDefault="00457A3F">
      <w:pPr>
        <w:rPr>
          <w:szCs w:val="22"/>
          <w:lang w:val="hu-HU"/>
        </w:rPr>
      </w:pPr>
      <w:r>
        <w:rPr>
          <w:szCs w:val="22"/>
          <w:lang w:val="hu-HU"/>
        </w:rPr>
        <w:t>A forgalomba hozatali engedély legutóbbi megújításának dátuma: 2018. január 25.</w:t>
      </w:r>
    </w:p>
    <w:p w:rsidR="00165C1F" w:rsidRDefault="00165C1F">
      <w:pPr>
        <w:rPr>
          <w:b/>
          <w:bCs/>
          <w:szCs w:val="22"/>
          <w:lang w:val="hu-HU"/>
        </w:rPr>
      </w:pPr>
    </w:p>
    <w:p w:rsidR="00165C1F" w:rsidRDefault="00165C1F">
      <w:pPr>
        <w:rPr>
          <w:b/>
          <w:bCs/>
          <w:szCs w:val="22"/>
          <w:lang w:val="hu-HU"/>
        </w:rPr>
      </w:pPr>
    </w:p>
    <w:p w:rsidR="00165C1F" w:rsidRDefault="00457A3F">
      <w:pPr>
        <w:ind w:left="426" w:hanging="426"/>
        <w:rPr>
          <w:b/>
          <w:bCs/>
          <w:szCs w:val="22"/>
          <w:lang w:val="hu-HU"/>
        </w:rPr>
      </w:pPr>
      <w:r>
        <w:rPr>
          <w:b/>
          <w:bCs/>
          <w:szCs w:val="22"/>
          <w:lang w:val="hu-HU"/>
        </w:rPr>
        <w:t xml:space="preserve">10. </w:t>
      </w:r>
      <w:r>
        <w:rPr>
          <w:b/>
          <w:bCs/>
          <w:szCs w:val="22"/>
          <w:lang w:val="hu-HU"/>
        </w:rPr>
        <w:tab/>
        <w:t>A SZÖVEG ELLENŐRZÉSÉNEK DÁTUMA</w:t>
      </w:r>
    </w:p>
    <w:p w:rsidR="00165C1F" w:rsidRDefault="00165C1F">
      <w:pPr>
        <w:ind w:left="426" w:hanging="426"/>
        <w:rPr>
          <w:b/>
          <w:bCs/>
          <w:szCs w:val="22"/>
          <w:lang w:val="hu-HU"/>
        </w:rPr>
      </w:pPr>
    </w:p>
    <w:p w:rsidR="00165C1F" w:rsidRDefault="00656007">
      <w:pPr>
        <w:ind w:left="426" w:hanging="426"/>
        <w:rPr>
          <w:bCs/>
          <w:szCs w:val="22"/>
          <w:lang w:val="hu-HU"/>
        </w:rPr>
      </w:pPr>
      <w:r>
        <w:rPr>
          <w:bCs/>
          <w:szCs w:val="22"/>
          <w:lang w:val="hu-HU"/>
        </w:rPr>
        <w:t xml:space="preserve">2025. </w:t>
      </w:r>
      <w:r w:rsidR="00C453DC">
        <w:rPr>
          <w:bCs/>
          <w:szCs w:val="22"/>
          <w:lang w:val="hu-HU"/>
        </w:rPr>
        <w:t>július</w:t>
      </w:r>
      <w:r>
        <w:rPr>
          <w:bCs/>
          <w:szCs w:val="22"/>
          <w:lang w:val="hu-HU"/>
        </w:rPr>
        <w:t xml:space="preserve"> </w:t>
      </w:r>
      <w:r w:rsidR="00C453DC">
        <w:rPr>
          <w:bCs/>
          <w:szCs w:val="22"/>
          <w:lang w:val="hu-HU"/>
        </w:rPr>
        <w:t>4</w:t>
      </w:r>
      <w:bookmarkStart w:id="0" w:name="_GoBack"/>
      <w:bookmarkEnd w:id="0"/>
      <w:r>
        <w:rPr>
          <w:bCs/>
          <w:szCs w:val="22"/>
          <w:lang w:val="hu-HU"/>
        </w:rPr>
        <w:t>.</w:t>
      </w:r>
    </w:p>
    <w:sectPr w:rsidR="00165C1F">
      <w:headerReference w:type="even" r:id="rId9"/>
      <w:headerReference w:type="default" r:id="rId10"/>
      <w:footerReference w:type="even" r:id="rId11"/>
      <w:footerReference w:type="default" r:id="rId12"/>
      <w:headerReference w:type="first" r:id="rId13"/>
      <w:footerReference w:type="first" r:id="rId14"/>
      <w:pgSz w:w="11907" w:h="16840" w:code="9"/>
      <w:pgMar w:top="1134" w:right="1418" w:bottom="1134" w:left="1418" w:header="737" w:footer="737"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7A3F" w:rsidRDefault="00457A3F">
      <w:r>
        <w:separator/>
      </w:r>
    </w:p>
  </w:endnote>
  <w:endnote w:type="continuationSeparator" w:id="0">
    <w:p w:rsidR="00457A3F" w:rsidRDefault="00457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A3F" w:rsidRDefault="00457A3F">
    <w:pPr>
      <w:pStyle w:val="llb"/>
      <w:framePr w:wrap="around" w:vAnchor="text" w:hAnchor="margin" w:xAlign="right" w:y="1"/>
      <w:rPr>
        <w:rStyle w:val="Oldalszm"/>
      </w:rPr>
    </w:pPr>
    <w:r>
      <w:rPr>
        <w:rStyle w:val="Oldalszm"/>
      </w:rPr>
      <w:fldChar w:fldCharType="begin"/>
    </w:r>
    <w:r>
      <w:rPr>
        <w:rStyle w:val="Oldalszm"/>
      </w:rPr>
      <w:instrText xml:space="preserve">PAGE  </w:instrText>
    </w:r>
    <w:r>
      <w:rPr>
        <w:rStyle w:val="Oldalszm"/>
      </w:rPr>
      <w:fldChar w:fldCharType="end"/>
    </w:r>
  </w:p>
  <w:p w:rsidR="00457A3F" w:rsidRDefault="00457A3F">
    <w:pPr>
      <w:pStyle w:val="llb"/>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A3F" w:rsidRDefault="00457A3F">
    <w:pPr>
      <w:pStyle w:val="llb"/>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A3F" w:rsidRDefault="00656007">
    <w:pPr>
      <w:pStyle w:val="llb"/>
      <w:rPr>
        <w:color w:val="000000"/>
        <w:sz w:val="18"/>
        <w:szCs w:val="18"/>
        <w:lang w:val="hu-HU" w:eastAsia="hu-HU"/>
      </w:rPr>
    </w:pPr>
    <w:r>
      <w:rPr>
        <w:color w:val="000000"/>
        <w:sz w:val="18"/>
        <w:szCs w:val="18"/>
        <w:lang w:val="hu-HU" w:eastAsia="hu-HU"/>
      </w:rPr>
      <w:t>NNGYK/GYSZ/64938/2024</w:t>
    </w:r>
  </w:p>
  <w:p w:rsidR="00656007" w:rsidRDefault="00656007" w:rsidP="00656007">
    <w:pPr>
      <w:pStyle w:val="llb"/>
      <w:rPr>
        <w:sz w:val="18"/>
        <w:szCs w:val="18"/>
      </w:rPr>
    </w:pPr>
    <w:r>
      <w:rPr>
        <w:color w:val="000000"/>
        <w:sz w:val="18"/>
        <w:szCs w:val="18"/>
        <w:lang w:val="hu-HU" w:eastAsia="hu-HU"/>
      </w:rPr>
      <w:t>NNGYK/GYSZ/64955/2024</w:t>
    </w:r>
  </w:p>
  <w:p w:rsidR="00656007" w:rsidRDefault="00656007" w:rsidP="00656007">
    <w:pPr>
      <w:pStyle w:val="llb"/>
      <w:rPr>
        <w:sz w:val="18"/>
        <w:szCs w:val="18"/>
      </w:rPr>
    </w:pPr>
    <w:r>
      <w:rPr>
        <w:color w:val="000000"/>
        <w:sz w:val="18"/>
        <w:szCs w:val="18"/>
        <w:lang w:val="hu-HU" w:eastAsia="hu-HU"/>
      </w:rPr>
      <w:t>NNGYK/GYSZ/64958/2024</w:t>
    </w:r>
  </w:p>
  <w:p w:rsidR="00656007" w:rsidRDefault="00994D36">
    <w:pPr>
      <w:pStyle w:val="llb"/>
      <w:rPr>
        <w:sz w:val="18"/>
        <w:szCs w:val="18"/>
      </w:rPr>
    </w:pPr>
    <w:r>
      <w:rPr>
        <w:sz w:val="18"/>
        <w:szCs w:val="18"/>
      </w:rPr>
      <w:t>NNGYK/GYSZ/66393/2024</w:t>
    </w:r>
  </w:p>
  <w:p w:rsidR="00656007" w:rsidRDefault="00994D36" w:rsidP="00656007">
    <w:pPr>
      <w:pStyle w:val="llb"/>
      <w:rPr>
        <w:sz w:val="18"/>
        <w:szCs w:val="18"/>
      </w:rPr>
    </w:pPr>
    <w:r>
      <w:rPr>
        <w:sz w:val="18"/>
        <w:szCs w:val="18"/>
      </w:rPr>
      <w:t>NNGYK/GYSZ/66395/2024</w:t>
    </w:r>
  </w:p>
  <w:p w:rsidR="00656007" w:rsidRDefault="00994D36">
    <w:pPr>
      <w:pStyle w:val="llb"/>
      <w:rPr>
        <w:sz w:val="18"/>
        <w:szCs w:val="18"/>
      </w:rPr>
    </w:pPr>
    <w:r>
      <w:rPr>
        <w:sz w:val="18"/>
        <w:szCs w:val="18"/>
      </w:rPr>
      <w:t>NNGYK/</w:t>
    </w:r>
    <w:r w:rsidR="00656007">
      <w:rPr>
        <w:sz w:val="18"/>
        <w:szCs w:val="18"/>
      </w:rPr>
      <w:t>GY</w:t>
    </w:r>
    <w:r>
      <w:rPr>
        <w:sz w:val="18"/>
        <w:szCs w:val="18"/>
      </w:rPr>
      <w:t>SZ</w:t>
    </w:r>
    <w:r w:rsidR="00656007">
      <w:rPr>
        <w:sz w:val="18"/>
        <w:szCs w:val="18"/>
      </w:rPr>
      <w:t>/66396/202</w:t>
    </w:r>
    <w:r>
      <w:rPr>
        <w:sz w:val="18"/>
        <w:szCs w:val="1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7A3F" w:rsidRDefault="00457A3F">
      <w:r>
        <w:separator/>
      </w:r>
    </w:p>
  </w:footnote>
  <w:footnote w:type="continuationSeparator" w:id="0">
    <w:p w:rsidR="00457A3F" w:rsidRDefault="00457A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7A3F" w:rsidRDefault="00457A3F">
    <w:pPr>
      <w:pStyle w:val="lfej"/>
      <w:framePr w:wrap="around" w:vAnchor="text" w:hAnchor="margin" w:xAlign="center" w:y="1"/>
      <w:rPr>
        <w:rStyle w:val="Oldalszm"/>
      </w:rPr>
    </w:pPr>
    <w:r>
      <w:rPr>
        <w:rStyle w:val="Oldalszm"/>
      </w:rPr>
      <w:fldChar w:fldCharType="begin"/>
    </w:r>
    <w:r>
      <w:rPr>
        <w:rStyle w:val="Oldalszm"/>
      </w:rPr>
      <w:instrText xml:space="preserve">PAGE  </w:instrText>
    </w:r>
    <w:r>
      <w:rPr>
        <w:rStyle w:val="Oldalszm"/>
      </w:rPr>
      <w:fldChar w:fldCharType="end"/>
    </w:r>
  </w:p>
  <w:p w:rsidR="00457A3F" w:rsidRDefault="00457A3F">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TableTag1"/>
  <w:bookmarkEnd w:id="1"/>
  <w:p w:rsidR="00457A3F" w:rsidRDefault="00457A3F">
    <w:pPr>
      <w:pStyle w:val="lfej"/>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C453DC" w:rsidRPr="00C453DC">
      <w:rPr>
        <w:noProof/>
        <w:sz w:val="18"/>
        <w:szCs w:val="18"/>
        <w:lang w:val="hu-HU"/>
      </w:rPr>
      <w:t>20</w:t>
    </w:r>
    <w:r>
      <w:rPr>
        <w:sz w:val="18"/>
        <w:szCs w:val="18"/>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4D36" w:rsidRDefault="00994D3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3723831"/>
    <w:multiLevelType w:val="hybridMultilevel"/>
    <w:tmpl w:val="F6748190"/>
    <w:lvl w:ilvl="0" w:tplc="9072080C">
      <w:start w:val="10"/>
      <w:numFmt w:val="decimal"/>
      <w:lvlText w:val="%1."/>
      <w:lvlJc w:val="left"/>
      <w:pPr>
        <w:tabs>
          <w:tab w:val="num" w:pos="780"/>
        </w:tabs>
        <w:ind w:left="780" w:hanging="420"/>
      </w:pPr>
      <w:rPr>
        <w:rFonts w:hint="default"/>
      </w:rPr>
    </w:lvl>
    <w:lvl w:ilvl="1" w:tplc="040E0019" w:tentative="1">
      <w:start w:val="1"/>
      <w:numFmt w:val="lowerLetter"/>
      <w:lvlText w:val="%2."/>
      <w:lvlJc w:val="left"/>
      <w:pPr>
        <w:tabs>
          <w:tab w:val="num" w:pos="1440"/>
        </w:tabs>
        <w:ind w:left="1440" w:hanging="360"/>
      </w:pPr>
    </w:lvl>
    <w:lvl w:ilvl="2" w:tplc="040E001B" w:tentative="1">
      <w:start w:val="1"/>
      <w:numFmt w:val="lowerRoman"/>
      <w:lvlText w:val="%3."/>
      <w:lvlJc w:val="right"/>
      <w:pPr>
        <w:tabs>
          <w:tab w:val="num" w:pos="2160"/>
        </w:tabs>
        <w:ind w:left="2160" w:hanging="180"/>
      </w:pPr>
    </w:lvl>
    <w:lvl w:ilvl="3" w:tplc="040E000F" w:tentative="1">
      <w:start w:val="1"/>
      <w:numFmt w:val="decimal"/>
      <w:lvlText w:val="%4."/>
      <w:lvlJc w:val="left"/>
      <w:pPr>
        <w:tabs>
          <w:tab w:val="num" w:pos="2880"/>
        </w:tabs>
        <w:ind w:left="2880" w:hanging="360"/>
      </w:pPr>
    </w:lvl>
    <w:lvl w:ilvl="4" w:tplc="040E0019" w:tentative="1">
      <w:start w:val="1"/>
      <w:numFmt w:val="lowerLetter"/>
      <w:lvlText w:val="%5."/>
      <w:lvlJc w:val="left"/>
      <w:pPr>
        <w:tabs>
          <w:tab w:val="num" w:pos="3600"/>
        </w:tabs>
        <w:ind w:left="3600" w:hanging="360"/>
      </w:pPr>
    </w:lvl>
    <w:lvl w:ilvl="5" w:tplc="040E001B" w:tentative="1">
      <w:start w:val="1"/>
      <w:numFmt w:val="lowerRoman"/>
      <w:lvlText w:val="%6."/>
      <w:lvlJc w:val="right"/>
      <w:pPr>
        <w:tabs>
          <w:tab w:val="num" w:pos="4320"/>
        </w:tabs>
        <w:ind w:left="4320" w:hanging="180"/>
      </w:pPr>
    </w:lvl>
    <w:lvl w:ilvl="6" w:tplc="040E000F" w:tentative="1">
      <w:start w:val="1"/>
      <w:numFmt w:val="decimal"/>
      <w:lvlText w:val="%7."/>
      <w:lvlJc w:val="left"/>
      <w:pPr>
        <w:tabs>
          <w:tab w:val="num" w:pos="5040"/>
        </w:tabs>
        <w:ind w:left="5040" w:hanging="360"/>
      </w:pPr>
    </w:lvl>
    <w:lvl w:ilvl="7" w:tplc="040E0019" w:tentative="1">
      <w:start w:val="1"/>
      <w:numFmt w:val="lowerLetter"/>
      <w:lvlText w:val="%8."/>
      <w:lvlJc w:val="left"/>
      <w:pPr>
        <w:tabs>
          <w:tab w:val="num" w:pos="5760"/>
        </w:tabs>
        <w:ind w:left="5760" w:hanging="360"/>
      </w:pPr>
    </w:lvl>
    <w:lvl w:ilvl="8" w:tplc="040E001B" w:tentative="1">
      <w:start w:val="1"/>
      <w:numFmt w:val="lowerRoman"/>
      <w:lvlText w:val="%9."/>
      <w:lvlJc w:val="right"/>
      <w:pPr>
        <w:tabs>
          <w:tab w:val="num" w:pos="6480"/>
        </w:tabs>
        <w:ind w:left="6480" w:hanging="180"/>
      </w:pPr>
    </w:lvl>
  </w:abstractNum>
  <w:abstractNum w:abstractNumId="2" w15:restartNumberingAfterBreak="0">
    <w:nsid w:val="137F21FA"/>
    <w:multiLevelType w:val="hybridMultilevel"/>
    <w:tmpl w:val="047687DE"/>
    <w:lvl w:ilvl="0" w:tplc="1C16D8CE">
      <w:start w:val="1"/>
      <w:numFmt w:val="bullet"/>
      <w:lvlText w:val="-"/>
      <w:lvlJc w:val="left"/>
      <w:pPr>
        <w:ind w:left="928" w:hanging="360"/>
      </w:pPr>
      <w:rPr>
        <w:rFonts w:ascii="Times New Roman" w:hAnsi="Times New Roman" w:cs="Times New Roman" w:hint="default"/>
      </w:rPr>
    </w:lvl>
    <w:lvl w:ilvl="1" w:tplc="04090003" w:tentative="1">
      <w:start w:val="1"/>
      <w:numFmt w:val="bullet"/>
      <w:lvlText w:val="o"/>
      <w:lvlJc w:val="left"/>
      <w:pPr>
        <w:ind w:left="1648" w:hanging="360"/>
      </w:pPr>
      <w:rPr>
        <w:rFonts w:ascii="Courier New" w:hAnsi="Courier New" w:cs="Courier New" w:hint="default"/>
      </w:rPr>
    </w:lvl>
    <w:lvl w:ilvl="2" w:tplc="04090005" w:tentative="1">
      <w:start w:val="1"/>
      <w:numFmt w:val="bullet"/>
      <w:lvlText w:val=""/>
      <w:lvlJc w:val="left"/>
      <w:pPr>
        <w:ind w:left="2368" w:hanging="360"/>
      </w:pPr>
      <w:rPr>
        <w:rFonts w:ascii="Wingdings" w:hAnsi="Wingdings" w:hint="default"/>
      </w:rPr>
    </w:lvl>
    <w:lvl w:ilvl="3" w:tplc="04090001" w:tentative="1">
      <w:start w:val="1"/>
      <w:numFmt w:val="bullet"/>
      <w:lvlText w:val=""/>
      <w:lvlJc w:val="left"/>
      <w:pPr>
        <w:ind w:left="3088" w:hanging="360"/>
      </w:pPr>
      <w:rPr>
        <w:rFonts w:ascii="Symbol" w:hAnsi="Symbol" w:hint="default"/>
      </w:rPr>
    </w:lvl>
    <w:lvl w:ilvl="4" w:tplc="04090003" w:tentative="1">
      <w:start w:val="1"/>
      <w:numFmt w:val="bullet"/>
      <w:lvlText w:val="o"/>
      <w:lvlJc w:val="left"/>
      <w:pPr>
        <w:ind w:left="3808" w:hanging="360"/>
      </w:pPr>
      <w:rPr>
        <w:rFonts w:ascii="Courier New" w:hAnsi="Courier New" w:cs="Courier New" w:hint="default"/>
      </w:rPr>
    </w:lvl>
    <w:lvl w:ilvl="5" w:tplc="04090005" w:tentative="1">
      <w:start w:val="1"/>
      <w:numFmt w:val="bullet"/>
      <w:lvlText w:val=""/>
      <w:lvlJc w:val="left"/>
      <w:pPr>
        <w:ind w:left="4528" w:hanging="360"/>
      </w:pPr>
      <w:rPr>
        <w:rFonts w:ascii="Wingdings" w:hAnsi="Wingdings" w:hint="default"/>
      </w:rPr>
    </w:lvl>
    <w:lvl w:ilvl="6" w:tplc="04090001" w:tentative="1">
      <w:start w:val="1"/>
      <w:numFmt w:val="bullet"/>
      <w:lvlText w:val=""/>
      <w:lvlJc w:val="left"/>
      <w:pPr>
        <w:ind w:left="5248" w:hanging="360"/>
      </w:pPr>
      <w:rPr>
        <w:rFonts w:ascii="Symbol" w:hAnsi="Symbol" w:hint="default"/>
      </w:rPr>
    </w:lvl>
    <w:lvl w:ilvl="7" w:tplc="04090003" w:tentative="1">
      <w:start w:val="1"/>
      <w:numFmt w:val="bullet"/>
      <w:lvlText w:val="o"/>
      <w:lvlJc w:val="left"/>
      <w:pPr>
        <w:ind w:left="5968" w:hanging="360"/>
      </w:pPr>
      <w:rPr>
        <w:rFonts w:ascii="Courier New" w:hAnsi="Courier New" w:cs="Courier New" w:hint="default"/>
      </w:rPr>
    </w:lvl>
    <w:lvl w:ilvl="8" w:tplc="04090005" w:tentative="1">
      <w:start w:val="1"/>
      <w:numFmt w:val="bullet"/>
      <w:lvlText w:val=""/>
      <w:lvlJc w:val="left"/>
      <w:pPr>
        <w:ind w:left="6688" w:hanging="360"/>
      </w:pPr>
      <w:rPr>
        <w:rFonts w:ascii="Wingdings" w:hAnsi="Wingdings" w:hint="default"/>
      </w:rPr>
    </w:lvl>
  </w:abstractNum>
  <w:abstractNum w:abstractNumId="3" w15:restartNumberingAfterBreak="0">
    <w:nsid w:val="20C309B1"/>
    <w:multiLevelType w:val="hybridMultilevel"/>
    <w:tmpl w:val="E7B0F242"/>
    <w:lvl w:ilvl="0" w:tplc="1C16D8CE">
      <w:start w:val="1"/>
      <w:numFmt w:val="bullet"/>
      <w:lvlText w:val="-"/>
      <w:lvlJc w:val="left"/>
      <w:pPr>
        <w:ind w:left="360" w:hanging="360"/>
      </w:pPr>
      <w:rPr>
        <w:rFonts w:ascii="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5DF15DE"/>
    <w:multiLevelType w:val="hybridMultilevel"/>
    <w:tmpl w:val="1CEE5CAE"/>
    <w:lvl w:ilvl="0" w:tplc="1C16D8C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D7F58"/>
    <w:multiLevelType w:val="hybridMultilevel"/>
    <w:tmpl w:val="34284BA2"/>
    <w:lvl w:ilvl="0" w:tplc="1C16D8C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7E61ED"/>
    <w:multiLevelType w:val="hybridMultilevel"/>
    <w:tmpl w:val="36E07990"/>
    <w:lvl w:ilvl="0" w:tplc="1C16D8C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2B5733"/>
    <w:multiLevelType w:val="hybridMultilevel"/>
    <w:tmpl w:val="04F6C008"/>
    <w:lvl w:ilvl="0" w:tplc="1C16D8C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4708FD"/>
    <w:multiLevelType w:val="hybridMultilevel"/>
    <w:tmpl w:val="09F6A2A4"/>
    <w:lvl w:ilvl="0" w:tplc="D450914A">
      <w:start w:val="1"/>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9" w15:restartNumberingAfterBreak="0">
    <w:nsid w:val="56B515E3"/>
    <w:multiLevelType w:val="hybridMultilevel"/>
    <w:tmpl w:val="C494FE62"/>
    <w:lvl w:ilvl="0" w:tplc="FFFFFFFF">
      <w:start w:val="1"/>
      <w:numFmt w:val="bullet"/>
      <w:lvlText w:val="-"/>
      <w:lvlJc w:val="left"/>
      <w:pPr>
        <w:ind w:left="720" w:hanging="360"/>
      </w:p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0" w15:restartNumberingAfterBreak="0">
    <w:nsid w:val="58C300D3"/>
    <w:multiLevelType w:val="hybridMultilevel"/>
    <w:tmpl w:val="90B6371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AB60803"/>
    <w:multiLevelType w:val="hybridMultilevel"/>
    <w:tmpl w:val="17F0B1F0"/>
    <w:lvl w:ilvl="0" w:tplc="D450914A">
      <w:start w:val="1"/>
      <w:numFmt w:val="bullet"/>
      <w:lvlText w:val="-"/>
      <w:lvlJc w:val="left"/>
      <w:pPr>
        <w:tabs>
          <w:tab w:val="num" w:pos="567"/>
        </w:tabs>
        <w:ind w:left="567" w:hanging="567"/>
      </w:pPr>
      <w:rPr>
        <w:rFonts w:ascii="Times New Roman" w:eastAsia="Times New Roman" w:hAnsi="Times New Roman" w:cs="Times New Roman"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006E46"/>
    <w:multiLevelType w:val="hybridMultilevel"/>
    <w:tmpl w:val="A52ACF82"/>
    <w:lvl w:ilvl="0" w:tplc="1C16D8C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28228F1"/>
    <w:multiLevelType w:val="hybridMultilevel"/>
    <w:tmpl w:val="1990054E"/>
    <w:lvl w:ilvl="0" w:tplc="1C16D8CE">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0"/>
    <w:lvlOverride w:ilvl="0">
      <w:lvl w:ilvl="0">
        <w:start w:val="1"/>
        <w:numFmt w:val="bullet"/>
        <w:lvlText w:val="-"/>
        <w:legacy w:legacy="1" w:legacySpace="0" w:legacyIndent="360"/>
        <w:lvlJc w:val="left"/>
        <w:pPr>
          <w:ind w:left="360" w:hanging="360"/>
        </w:pPr>
      </w:lvl>
    </w:lvlOverride>
  </w:num>
  <w:num w:numId="3">
    <w:abstractNumId w:val="9"/>
  </w:num>
  <w:num w:numId="4">
    <w:abstractNumId w:val="8"/>
  </w:num>
  <w:num w:numId="5">
    <w:abstractNumId w:val="2"/>
  </w:num>
  <w:num w:numId="6">
    <w:abstractNumId w:val="6"/>
  </w:num>
  <w:num w:numId="7">
    <w:abstractNumId w:val="5"/>
  </w:num>
  <w:num w:numId="8">
    <w:abstractNumId w:val="13"/>
  </w:num>
  <w:num w:numId="9">
    <w:abstractNumId w:val="4"/>
  </w:num>
  <w:num w:numId="10">
    <w:abstractNumId w:val="10"/>
  </w:num>
  <w:num w:numId="11">
    <w:abstractNumId w:val="12"/>
  </w:num>
  <w:num w:numId="12">
    <w:abstractNumId w:val="3"/>
  </w:num>
  <w:num w:numId="13">
    <w:abstractNumId w:val="7"/>
  </w:num>
  <w:num w:numId="1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567"/>
  <w:hyphenationZone w:val="425"/>
  <w:characterSpacingControl w:val="doNotCompress"/>
  <w:hdrShapeDefaults>
    <o:shapedefaults v:ext="edit" spidmax="27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C1F"/>
    <w:rsid w:val="00165C1F"/>
    <w:rsid w:val="00457A3F"/>
    <w:rsid w:val="00656007"/>
    <w:rsid w:val="00994D36"/>
    <w:rsid w:val="00C453DC"/>
    <w:rsid w:val="00F70753"/>
    <w:rsid w:val="00FE098B"/>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7649"/>
    <o:shapelayout v:ext="edit">
      <o:idmap v:ext="edit" data="1"/>
    </o:shapelayout>
  </w:shapeDefaults>
  <w:decimalSymbol w:val=","/>
  <w:listSeparator w:val=";"/>
  <w14:docId w14:val="682D2BE4"/>
  <w15:chartTrackingRefBased/>
  <w15:docId w15:val="{5E1444A5-A7AD-4B1B-BC0F-6B2892FB8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sz w:val="22"/>
    </w:rPr>
  </w:style>
  <w:style w:type="paragraph" w:styleId="Cmsor1">
    <w:name w:val="heading 1"/>
    <w:basedOn w:val="Norml"/>
    <w:next w:val="Norml"/>
    <w:qFormat/>
    <w:pPr>
      <w:keepNext/>
      <w:spacing w:before="240" w:after="60"/>
      <w:outlineLvl w:val="0"/>
    </w:pPr>
    <w:rPr>
      <w:rFonts w:ascii="Arial" w:hAnsi="Arial" w:cs="Arial"/>
      <w:b/>
      <w:bCs/>
      <w:kern w:val="32"/>
      <w:sz w:val="32"/>
      <w:szCs w:val="32"/>
    </w:rPr>
  </w:style>
  <w:style w:type="paragraph" w:styleId="Cmsor2">
    <w:name w:val="heading 2"/>
    <w:basedOn w:val="Norml"/>
    <w:next w:val="Norml"/>
    <w:qFormat/>
    <w:pPr>
      <w:keepNext/>
      <w:tabs>
        <w:tab w:val="left" w:pos="4300"/>
        <w:tab w:val="left" w:pos="5940"/>
        <w:tab w:val="left" w:pos="8180"/>
      </w:tabs>
      <w:spacing w:line="360" w:lineRule="atLeast"/>
      <w:outlineLvl w:val="1"/>
    </w:pPr>
    <w:rPr>
      <w:b/>
      <w:u w:val="single"/>
      <w:lang w:val="en-US"/>
    </w:rPr>
  </w:style>
  <w:style w:type="paragraph" w:styleId="Cmsor3">
    <w:name w:val="heading 3"/>
    <w:basedOn w:val="Norml"/>
    <w:next w:val="Norml"/>
    <w:qFormat/>
    <w:pPr>
      <w:keepNext/>
      <w:tabs>
        <w:tab w:val="decimal" w:pos="6760"/>
      </w:tabs>
      <w:spacing w:line="480" w:lineRule="atLeast"/>
      <w:outlineLvl w:val="2"/>
    </w:pPr>
    <w:rPr>
      <w:b/>
      <w:lang w:val="en-US"/>
    </w:rPr>
  </w:style>
  <w:style w:type="paragraph" w:styleId="Cmsor4">
    <w:name w:val="heading 4"/>
    <w:basedOn w:val="Norml"/>
    <w:next w:val="Norml"/>
    <w:qFormat/>
    <w:pPr>
      <w:keepNext/>
      <w:spacing w:before="240" w:after="60"/>
      <w:outlineLvl w:val="3"/>
    </w:pPr>
    <w:rPr>
      <w:b/>
      <w:bCs/>
      <w:sz w:val="28"/>
      <w:szCs w:val="28"/>
    </w:rPr>
  </w:style>
  <w:style w:type="paragraph" w:styleId="Cmsor6">
    <w:name w:val="heading 6"/>
    <w:basedOn w:val="Norml"/>
    <w:next w:val="Norml"/>
    <w:qFormat/>
    <w:pPr>
      <w:keepNext/>
      <w:keepLines/>
      <w:tabs>
        <w:tab w:val="right" w:pos="4536"/>
        <w:tab w:val="left" w:pos="5180"/>
        <w:tab w:val="left" w:pos="5380"/>
        <w:tab w:val="left" w:pos="8222"/>
      </w:tabs>
      <w:outlineLvl w:val="5"/>
    </w:pPr>
    <w:rPr>
      <w:b/>
      <w:lang w:val="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pPr>
      <w:tabs>
        <w:tab w:val="center" w:pos="4320"/>
        <w:tab w:val="right" w:pos="8640"/>
      </w:tabs>
    </w:pPr>
    <w:rPr>
      <w:sz w:val="24"/>
    </w:rPr>
  </w:style>
  <w:style w:type="paragraph" w:styleId="llb">
    <w:name w:val="footer"/>
    <w:basedOn w:val="Norml"/>
    <w:link w:val="llbChar"/>
    <w:uiPriority w:val="99"/>
    <w:pPr>
      <w:tabs>
        <w:tab w:val="center" w:pos="4320"/>
        <w:tab w:val="right" w:pos="8640"/>
      </w:tabs>
    </w:pPr>
  </w:style>
  <w:style w:type="table" w:styleId="Rcsostblzat">
    <w:name w:val="Table Grid"/>
    <w:basedOn w:val="Normltblz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ldalszm">
    <w:name w:val="page number"/>
    <w:basedOn w:val="Bekezdsalapbettpusa"/>
  </w:style>
  <w:style w:type="character" w:styleId="Hiperhivatkozs">
    <w:name w:val="Hyperlink"/>
    <w:rPr>
      <w:rFonts w:ascii="Times New Roman" w:hAnsi="Times New Roman"/>
      <w:color w:val="auto"/>
      <w:sz w:val="24"/>
      <w:szCs w:val="24"/>
      <w:u w:val="single"/>
      <w:lang w:val="en-US"/>
    </w:rPr>
  </w:style>
  <w:style w:type="character" w:styleId="Mrltotthiperhivatkozs">
    <w:name w:val="FollowedHyperlink"/>
    <w:rPr>
      <w:color w:val="800080"/>
      <w:u w:val="single"/>
    </w:rPr>
  </w:style>
  <w:style w:type="paragraph" w:styleId="Csakszveg">
    <w:name w:val="Plain Text"/>
    <w:basedOn w:val="Norml"/>
    <w:rPr>
      <w:rFonts w:ascii="Courier New" w:hAnsi="Courier New"/>
      <w:sz w:val="20"/>
      <w:lang w:val="en-GB"/>
    </w:rPr>
  </w:style>
  <w:style w:type="paragraph" w:styleId="Kpalrs">
    <w:name w:val="caption"/>
    <w:basedOn w:val="Norml"/>
    <w:next w:val="Norml"/>
    <w:qFormat/>
    <w:pPr>
      <w:jc w:val="both"/>
    </w:pPr>
    <w:rPr>
      <w:lang w:val="en-GB"/>
    </w:rPr>
  </w:style>
  <w:style w:type="paragraph" w:customStyle="1" w:styleId="Naslov1">
    <w:name w:val="Naslov1"/>
    <w:basedOn w:val="Cmsor1"/>
    <w:pPr>
      <w:spacing w:before="0" w:after="0"/>
    </w:pPr>
    <w:rPr>
      <w:rFonts w:ascii="Times New Roman" w:hAnsi="Times New Roman" w:cs="Times New Roman"/>
      <w:bCs w:val="0"/>
      <w:kern w:val="0"/>
      <w:sz w:val="22"/>
      <w:szCs w:val="20"/>
      <w:u w:val="single"/>
    </w:rPr>
  </w:style>
  <w:style w:type="paragraph" w:styleId="TJ1">
    <w:name w:val="toc 1"/>
    <w:basedOn w:val="Norml"/>
    <w:next w:val="Norml"/>
    <w:autoRedefine/>
    <w:semiHidden/>
    <w:pPr>
      <w:spacing w:before="120"/>
    </w:pPr>
    <w:rPr>
      <w:b/>
      <w:bCs/>
      <w:i/>
      <w:iCs/>
      <w:szCs w:val="28"/>
    </w:rPr>
  </w:style>
  <w:style w:type="paragraph" w:styleId="Szvegtrzs">
    <w:name w:val="Body Text"/>
    <w:basedOn w:val="Norml"/>
    <w:pPr>
      <w:numPr>
        <w:ilvl w:val="12"/>
      </w:numPr>
      <w:tabs>
        <w:tab w:val="left" w:pos="8505"/>
      </w:tabs>
      <w:ind w:right="-2"/>
    </w:pPr>
  </w:style>
  <w:style w:type="paragraph" w:styleId="Szvegtrzs2">
    <w:name w:val="Body Text 2"/>
    <w:basedOn w:val="Norml"/>
    <w:pPr>
      <w:spacing w:after="120" w:line="480" w:lineRule="auto"/>
    </w:pPr>
  </w:style>
  <w:style w:type="paragraph" w:customStyle="1" w:styleId="EMEAEnBodyText">
    <w:name w:val="EMEA En Body Text"/>
    <w:basedOn w:val="Norml"/>
    <w:pPr>
      <w:spacing w:before="120" w:after="120"/>
      <w:jc w:val="both"/>
    </w:pPr>
    <w:rPr>
      <w:lang w:val="en-US" w:eastAsia="en-US"/>
    </w:rPr>
  </w:style>
  <w:style w:type="paragraph" w:customStyle="1" w:styleId="Default">
    <w:name w:val="Default"/>
    <w:pPr>
      <w:autoSpaceDE w:val="0"/>
      <w:autoSpaceDN w:val="0"/>
      <w:adjustRightInd w:val="0"/>
    </w:pPr>
    <w:rPr>
      <w:color w:val="000000"/>
      <w:sz w:val="24"/>
      <w:szCs w:val="24"/>
    </w:rPr>
  </w:style>
  <w:style w:type="numbering" w:customStyle="1" w:styleId="Brezseznama1">
    <w:name w:val="Brez seznama1"/>
    <w:next w:val="Nemlista"/>
    <w:semiHidden/>
  </w:style>
  <w:style w:type="paragraph" w:styleId="Vgjegyzetszvege">
    <w:name w:val="endnote text"/>
    <w:basedOn w:val="Norml"/>
    <w:semiHidden/>
    <w:pPr>
      <w:tabs>
        <w:tab w:val="left" w:pos="567"/>
      </w:tabs>
    </w:pPr>
    <w:rPr>
      <w:lang w:val="en-GB" w:eastAsia="en-US"/>
    </w:rPr>
  </w:style>
  <w:style w:type="numbering" w:customStyle="1" w:styleId="Brezseznama2">
    <w:name w:val="Brez seznama2"/>
    <w:next w:val="Nemlista"/>
    <w:semiHidden/>
  </w:style>
  <w:style w:type="numbering" w:customStyle="1" w:styleId="Brezseznama3">
    <w:name w:val="Brez seznama3"/>
    <w:next w:val="Nemlista"/>
    <w:semiHidden/>
  </w:style>
  <w:style w:type="paragraph" w:styleId="Cm">
    <w:name w:val="Title"/>
    <w:basedOn w:val="Norml"/>
    <w:qFormat/>
    <w:pPr>
      <w:jc w:val="center"/>
    </w:pPr>
    <w:rPr>
      <w:b/>
      <w:lang w:val="en-GB" w:eastAsia="en-US"/>
    </w:rPr>
  </w:style>
  <w:style w:type="numbering" w:customStyle="1" w:styleId="Brezseznama4">
    <w:name w:val="Brez seznama4"/>
    <w:next w:val="Nemlista"/>
    <w:semiHidden/>
  </w:style>
  <w:style w:type="numbering" w:customStyle="1" w:styleId="Brezseznama5">
    <w:name w:val="Brez seznama5"/>
    <w:next w:val="Nemlista"/>
    <w:uiPriority w:val="99"/>
    <w:semiHidden/>
    <w:unhideWhenUsed/>
  </w:style>
  <w:style w:type="character" w:customStyle="1" w:styleId="lfejChar">
    <w:name w:val="Élőfej Char"/>
    <w:link w:val="lfej"/>
    <w:uiPriority w:val="99"/>
    <w:rPr>
      <w:sz w:val="24"/>
    </w:rPr>
  </w:style>
  <w:style w:type="paragraph" w:styleId="Listaszerbekezds">
    <w:name w:val="List Paragraph"/>
    <w:basedOn w:val="Norml"/>
    <w:uiPriority w:val="34"/>
    <w:qFormat/>
    <w:pPr>
      <w:spacing w:after="200" w:line="276" w:lineRule="auto"/>
      <w:ind w:left="720"/>
      <w:contextualSpacing/>
    </w:pPr>
    <w:rPr>
      <w:rFonts w:ascii="Calibri" w:eastAsia="Calibri" w:hAnsi="Calibri"/>
      <w:szCs w:val="22"/>
      <w:lang w:eastAsia="en-US"/>
    </w:rPr>
  </w:style>
  <w:style w:type="paragraph" w:styleId="Buborkszveg">
    <w:name w:val="Balloon Text"/>
    <w:basedOn w:val="Norml"/>
    <w:link w:val="BuborkszvegChar"/>
    <w:rPr>
      <w:rFonts w:ascii="Tahoma" w:hAnsi="Tahoma"/>
      <w:sz w:val="16"/>
      <w:szCs w:val="16"/>
    </w:rPr>
  </w:style>
  <w:style w:type="character" w:customStyle="1" w:styleId="BuborkszvegChar">
    <w:name w:val="Buborékszöveg Char"/>
    <w:link w:val="Buborkszveg"/>
    <w:rPr>
      <w:rFonts w:ascii="Tahoma" w:hAnsi="Tahoma" w:cs="Tahoma"/>
      <w:sz w:val="16"/>
      <w:szCs w:val="16"/>
    </w:rPr>
  </w:style>
  <w:style w:type="paragraph" w:styleId="Vltozat">
    <w:name w:val="Revision"/>
    <w:hidden/>
    <w:uiPriority w:val="99"/>
    <w:semiHidden/>
    <w:rPr>
      <w:sz w:val="22"/>
    </w:rPr>
  </w:style>
  <w:style w:type="character" w:styleId="Jegyzethivatkozs">
    <w:name w:val="annotation reference"/>
    <w:semiHidden/>
    <w:unhideWhenUsed/>
    <w:rPr>
      <w:sz w:val="16"/>
      <w:szCs w:val="16"/>
    </w:rPr>
  </w:style>
  <w:style w:type="paragraph" w:styleId="Jegyzetszveg">
    <w:name w:val="annotation text"/>
    <w:basedOn w:val="Norml"/>
    <w:link w:val="JegyzetszvegChar"/>
    <w:semiHidden/>
    <w:unhideWhenUsed/>
    <w:rPr>
      <w:sz w:val="20"/>
    </w:rPr>
  </w:style>
  <w:style w:type="character" w:customStyle="1" w:styleId="JegyzetszvegChar">
    <w:name w:val="Jegyzetszöveg Char"/>
    <w:link w:val="Jegyzetszveg"/>
    <w:semiHidden/>
    <w:rPr>
      <w:lang w:val="sl-SI" w:eastAsia="sl-SI"/>
    </w:rPr>
  </w:style>
  <w:style w:type="paragraph" w:styleId="Megjegyzstrgya">
    <w:name w:val="annotation subject"/>
    <w:basedOn w:val="Jegyzetszveg"/>
    <w:next w:val="Jegyzetszveg"/>
    <w:link w:val="MegjegyzstrgyaChar"/>
    <w:semiHidden/>
    <w:unhideWhenUsed/>
    <w:rPr>
      <w:b/>
      <w:bCs/>
    </w:rPr>
  </w:style>
  <w:style w:type="character" w:customStyle="1" w:styleId="MegjegyzstrgyaChar">
    <w:name w:val="Megjegyzés tárgya Char"/>
    <w:link w:val="Megjegyzstrgya"/>
    <w:semiHidden/>
    <w:rPr>
      <w:b/>
      <w:bCs/>
      <w:lang w:val="sl-SI" w:eastAsia="sl-SI"/>
    </w:rPr>
  </w:style>
  <w:style w:type="character" w:customStyle="1" w:styleId="llbChar">
    <w:name w:val="Élőláb Char"/>
    <w:link w:val="llb"/>
    <w:uiPriority w:val="99"/>
    <w:rPr>
      <w:sz w:val="22"/>
      <w:lang w:val="sl-SI" w:eastAsia="sl-SI"/>
    </w:rPr>
  </w:style>
  <w:style w:type="paragraph" w:customStyle="1" w:styleId="BodyText1">
    <w:name w:val="Body Text1"/>
    <w:basedOn w:val="Norml"/>
    <w:pPr>
      <w:widowControl w:val="0"/>
      <w:autoSpaceDE w:val="0"/>
      <w:spacing w:before="60" w:line="200" w:lineRule="atLeast"/>
      <w:jc w:val="both"/>
    </w:pPr>
    <w:rPr>
      <w:kern w:val="1"/>
      <w:sz w:val="24"/>
      <w:szCs w:val="24"/>
      <w:lang w:val="en-GB"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90518">
      <w:bodyDiv w:val="1"/>
      <w:marLeft w:val="0"/>
      <w:marRight w:val="0"/>
      <w:marTop w:val="0"/>
      <w:marBottom w:val="0"/>
      <w:divBdr>
        <w:top w:val="none" w:sz="0" w:space="0" w:color="auto"/>
        <w:left w:val="none" w:sz="0" w:space="0" w:color="auto"/>
        <w:bottom w:val="none" w:sz="0" w:space="0" w:color="auto"/>
        <w:right w:val="none" w:sz="0" w:space="0" w:color="auto"/>
      </w:divBdr>
    </w:div>
    <w:div w:id="640619203">
      <w:bodyDiv w:val="1"/>
      <w:marLeft w:val="0"/>
      <w:marRight w:val="0"/>
      <w:marTop w:val="0"/>
      <w:marBottom w:val="0"/>
      <w:divBdr>
        <w:top w:val="none" w:sz="0" w:space="0" w:color="auto"/>
        <w:left w:val="none" w:sz="0" w:space="0" w:color="auto"/>
        <w:bottom w:val="none" w:sz="0" w:space="0" w:color="auto"/>
        <w:right w:val="none" w:sz="0" w:space="0" w:color="auto"/>
      </w:divBdr>
    </w:div>
    <w:div w:id="1255550536">
      <w:bodyDiv w:val="1"/>
      <w:marLeft w:val="0"/>
      <w:marRight w:val="0"/>
      <w:marTop w:val="0"/>
      <w:marBottom w:val="0"/>
      <w:divBdr>
        <w:top w:val="none" w:sz="0" w:space="0" w:color="auto"/>
        <w:left w:val="none" w:sz="0" w:space="0" w:color="auto"/>
        <w:bottom w:val="none" w:sz="0" w:space="0" w:color="auto"/>
        <w:right w:val="none" w:sz="0" w:space="0" w:color="auto"/>
      </w:divBdr>
    </w:div>
    <w:div w:id="1643073128">
      <w:bodyDiv w:val="1"/>
      <w:marLeft w:val="0"/>
      <w:marRight w:val="0"/>
      <w:marTop w:val="0"/>
      <w:marBottom w:val="0"/>
      <w:divBdr>
        <w:top w:val="none" w:sz="0" w:space="0" w:color="auto"/>
        <w:left w:val="none" w:sz="0" w:space="0" w:color="auto"/>
        <w:bottom w:val="none" w:sz="0" w:space="0" w:color="auto"/>
        <w:right w:val="none" w:sz="0" w:space="0" w:color="auto"/>
      </w:divBdr>
    </w:div>
    <w:div w:id="1921526514">
      <w:bodyDiv w:val="1"/>
      <w:marLeft w:val="0"/>
      <w:marRight w:val="0"/>
      <w:marTop w:val="0"/>
      <w:marBottom w:val="0"/>
      <w:divBdr>
        <w:top w:val="none" w:sz="0" w:space="0" w:color="auto"/>
        <w:left w:val="none" w:sz="0" w:space="0" w:color="auto"/>
        <w:bottom w:val="none" w:sz="0" w:space="0" w:color="auto"/>
        <w:right w:val="none" w:sz="0" w:space="0" w:color="auto"/>
      </w:divBdr>
    </w:div>
    <w:div w:id="2065905485">
      <w:bodyDiv w:val="1"/>
      <w:marLeft w:val="0"/>
      <w:marRight w:val="0"/>
      <w:marTop w:val="0"/>
      <w:marBottom w:val="0"/>
      <w:divBdr>
        <w:top w:val="none" w:sz="0" w:space="0" w:color="auto"/>
        <w:left w:val="none" w:sz="0" w:space="0" w:color="auto"/>
        <w:bottom w:val="none" w:sz="0" w:space="0" w:color="auto"/>
        <w:right w:val="none" w:sz="0" w:space="0" w:color="auto"/>
      </w:divBdr>
    </w:div>
    <w:div w:id="207646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en/documents/template-form/qrd-appendix-v-adverse-drug-reaction-reporting-details_en.docx"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2D1E2-7CF8-4C00-A7B9-F072C1DF4F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7329</Words>
  <Characters>56845</Characters>
  <Application>Microsoft Office Word</Application>
  <DocSecurity>0</DocSecurity>
  <Lines>473</Lines>
  <Paragraphs>128</Paragraphs>
  <ScaleCrop>false</ScaleCrop>
  <HeadingPairs>
    <vt:vector size="6" baseType="variant">
      <vt:variant>
        <vt:lpstr>Cím</vt:lpstr>
      </vt:variant>
      <vt:variant>
        <vt:i4>1</vt:i4>
      </vt:variant>
      <vt:variant>
        <vt:lpstr>Naslov</vt:lpstr>
      </vt:variant>
      <vt:variant>
        <vt:i4>1</vt:i4>
      </vt:variant>
      <vt:variant>
        <vt:lpstr>Title</vt:lpstr>
      </vt:variant>
      <vt:variant>
        <vt:i4>1</vt:i4>
      </vt:variant>
    </vt:vector>
  </HeadingPairs>
  <TitlesOfParts>
    <vt:vector size="3" baseType="lpstr">
      <vt:lpstr>PARTICULARS TO APPEAR ON &lt;THE OUTER PACKAGING&gt; &lt;AND&gt; &lt;THE IMMEDIATE PACKAGING&gt;</vt:lpstr>
      <vt:lpstr>PARTICULARS TO APPEAR ON &lt;THE OUTER PACKAGING&gt; &lt;AND&gt; &lt;THE IMMEDIATE PACKAGING&gt;</vt:lpstr>
      <vt:lpstr>PARTICULARS TO APPEAR ON &lt;THE OUTER PACKAGING&gt; &lt;AND&gt; &lt;THE IMMEDIATE PACKAGING&gt;</vt:lpstr>
    </vt:vector>
  </TitlesOfParts>
  <Company>Grizli777</Company>
  <LinksUpToDate>false</LinksUpToDate>
  <CharactersWithSpaces>64046</CharactersWithSpaces>
  <SharedDoc>false</SharedDoc>
  <HLinks>
    <vt:vector size="6" baseType="variant">
      <vt:variant>
        <vt:i4>2359399</vt:i4>
      </vt:variant>
      <vt:variant>
        <vt:i4>0</vt:i4>
      </vt:variant>
      <vt:variant>
        <vt:i4>0</vt:i4>
      </vt:variant>
      <vt:variant>
        <vt:i4>5</vt:i4>
      </vt:variant>
      <vt:variant>
        <vt:lpwstr>http://www.ema.europa.eu/docs/en_GB/document_library/Template_or_form/2013/03/WC500139752.doc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PARTICULARS TO APPEAR ON &lt;THE OUTER PACKAGING&gt; &lt;AND&gt; &lt;THE IMMEDIATE PACKAGING&gt;</dc:title>
  <dc:subject/>
  <dc:creator>karmen</dc:creator>
  <cp:keywords/>
  <cp:lastModifiedBy>HU OGYI 49.1</cp:lastModifiedBy>
  <cp:revision>3</cp:revision>
  <dcterms:created xsi:type="dcterms:W3CDTF">2025-09-23T11:44:00Z</dcterms:created>
  <dcterms:modified xsi:type="dcterms:W3CDTF">2025-09-23T11:44:00Z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p_title">
    <vt:lpwstr/>
  </property>
  <property fmtid="{D5CDD505-2E9C-101B-9397-08002B2CF9AE}" pid="3" name="ph_inn_name">
    <vt:lpwstr/>
  </property>
  <property fmtid="{D5CDD505-2E9C-101B-9397-08002B2CF9AE}" pid="4" name="ph_pharm_form">
    <vt:lpwstr/>
  </property>
  <property fmtid="{D5CDD505-2E9C-101B-9397-08002B2CF9AE}" pid="5" name="ph_unit_measure">
    <vt:lpwstr/>
  </property>
  <property fmtid="{D5CDD505-2E9C-101B-9397-08002B2CF9AE}" pid="6" name="mp_first_effective_date">
    <vt:lpwstr/>
  </property>
  <property fmtid="{D5CDD505-2E9C-101B-9397-08002B2CF9AE}" pid="7" name="mp_updated_effective_date">
    <vt:lpwstr/>
  </property>
  <property fmtid="{D5CDD505-2E9C-101B-9397-08002B2CF9AE}" pid="8" name="object_name">
    <vt:lpwstr>PI_Text084599_1</vt:lpwstr>
  </property>
  <property fmtid="{D5CDD505-2E9C-101B-9397-08002B2CF9AE}" pid="9" name="ph_strength_custom">
    <vt:lpwstr/>
  </property>
  <property fmtid="{D5CDD505-2E9C-101B-9397-08002B2CF9AE}" pid="10" name="mp_document_code">
    <vt:lpwstr/>
  </property>
  <property fmtid="{D5CDD505-2E9C-101B-9397-08002B2CF9AE}" pid="11" name="drz1">
    <vt:lpwstr/>
  </property>
  <property fmtid="{D5CDD505-2E9C-101B-9397-08002B2CF9AE}" pid="12" name="drz2">
    <vt:lpwstr/>
  </property>
  <property fmtid="{D5CDD505-2E9C-101B-9397-08002B2CF9AE}" pid="13" name="drz3">
    <vt:lpwstr/>
  </property>
  <property fmtid="{D5CDD505-2E9C-101B-9397-08002B2CF9AE}" pid="14" name="drz4">
    <vt:lpwstr/>
  </property>
  <property fmtid="{D5CDD505-2E9C-101B-9397-08002B2CF9AE}" pid="15" name="drz5">
    <vt:lpwstr/>
  </property>
  <property fmtid="{D5CDD505-2E9C-101B-9397-08002B2CF9AE}" pid="16" name="drz6">
    <vt:lpwstr/>
  </property>
  <property fmtid="{D5CDD505-2E9C-101B-9397-08002B2CF9AE}" pid="17" name="drz7">
    <vt:lpwstr/>
  </property>
  <property fmtid="{D5CDD505-2E9C-101B-9397-08002B2CF9AE}" pid="18" name="drz8">
    <vt:lpwstr/>
  </property>
  <property fmtid="{D5CDD505-2E9C-101B-9397-08002B2CF9AE}" pid="19" name="drz9">
    <vt:lpwstr/>
  </property>
  <property fmtid="{D5CDD505-2E9C-101B-9397-08002B2CF9AE}" pid="20" name="drz10">
    <vt:lpwstr/>
  </property>
  <property fmtid="{D5CDD505-2E9C-101B-9397-08002B2CF9AE}" pid="21" name="RMS_drz1">
    <vt:lpwstr/>
  </property>
  <property fmtid="{D5CDD505-2E9C-101B-9397-08002B2CF9AE}" pid="22" name="RMS_drz2">
    <vt:lpwstr/>
  </property>
  <property fmtid="{D5CDD505-2E9C-101B-9397-08002B2CF9AE}" pid="23" name="RMS_drz3">
    <vt:lpwstr/>
  </property>
  <property fmtid="{D5CDD505-2E9C-101B-9397-08002B2CF9AE}" pid="24" name="RMS_drz4">
    <vt:lpwstr/>
  </property>
  <property fmtid="{D5CDD505-2E9C-101B-9397-08002B2CF9AE}" pid="25" name="RMS_drz5">
    <vt:lpwstr/>
  </property>
</Properties>
</file>