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6E51" w:rsidRDefault="000A4EAB">
      <w:pPr>
        <w:suppressAutoHyphens/>
        <w:ind w:left="567" w:hanging="567"/>
        <w:rPr>
          <w:b/>
          <w:szCs w:val="22"/>
          <w:lang w:val="hu-HU"/>
        </w:rPr>
      </w:pPr>
      <w:bookmarkStart w:id="0" w:name="_GoBack"/>
      <w:bookmarkEnd w:id="0"/>
      <w:r>
        <w:rPr>
          <w:b/>
          <w:szCs w:val="22"/>
          <w:lang w:val="hu-HU"/>
        </w:rPr>
        <w:t>1.</w:t>
      </w:r>
      <w:r>
        <w:rPr>
          <w:b/>
          <w:szCs w:val="22"/>
          <w:lang w:val="hu-HU"/>
        </w:rPr>
        <w:tab/>
        <w:t>A GYÓGYSZER NEVE</w:t>
      </w:r>
    </w:p>
    <w:p w:rsidR="00AF6E51" w:rsidRDefault="00AF6E51">
      <w:pPr>
        <w:tabs>
          <w:tab w:val="left" w:pos="567"/>
        </w:tabs>
        <w:rPr>
          <w:iCs/>
          <w:szCs w:val="22"/>
          <w:lang w:val="hu-HU" w:eastAsia="en-US"/>
        </w:rPr>
      </w:pPr>
    </w:p>
    <w:p w:rsidR="00AF6E51" w:rsidRDefault="000A4EAB">
      <w:pPr>
        <w:tabs>
          <w:tab w:val="left" w:pos="567"/>
        </w:tabs>
        <w:rPr>
          <w:bCs/>
          <w:szCs w:val="22"/>
          <w:lang w:val="hu-HU" w:eastAsia="en-US"/>
        </w:rPr>
      </w:pPr>
      <w:r>
        <w:rPr>
          <w:szCs w:val="22"/>
          <w:lang w:val="hu-HU" w:eastAsia="en-US"/>
        </w:rPr>
        <w:t xml:space="preserve">Elicea Q-Tab </w:t>
      </w:r>
      <w:r>
        <w:rPr>
          <w:bCs/>
          <w:szCs w:val="22"/>
          <w:lang w:val="hu-HU" w:eastAsia="en-US"/>
        </w:rPr>
        <w:t>5 mg szájban diszpergálódó tabletta</w:t>
      </w:r>
    </w:p>
    <w:p w:rsidR="00AF6E51" w:rsidRDefault="000A4EAB">
      <w:pPr>
        <w:tabs>
          <w:tab w:val="left" w:pos="567"/>
        </w:tabs>
        <w:rPr>
          <w:bCs/>
          <w:szCs w:val="22"/>
          <w:lang w:val="hu-HU" w:eastAsia="en-US"/>
        </w:rPr>
      </w:pPr>
      <w:r>
        <w:rPr>
          <w:szCs w:val="22"/>
          <w:lang w:val="hu-HU" w:eastAsia="en-US"/>
        </w:rPr>
        <w:t xml:space="preserve">Elicea Q-Tab </w:t>
      </w:r>
      <w:r>
        <w:rPr>
          <w:bCs/>
          <w:szCs w:val="22"/>
          <w:lang w:val="hu-HU" w:eastAsia="en-US"/>
        </w:rPr>
        <w:t>10 mg szájban diszpergálódó tabletta</w:t>
      </w:r>
    </w:p>
    <w:p w:rsidR="00AF6E51" w:rsidRDefault="000A4EAB">
      <w:pPr>
        <w:tabs>
          <w:tab w:val="left" w:pos="567"/>
        </w:tabs>
        <w:rPr>
          <w:bCs/>
          <w:szCs w:val="22"/>
          <w:lang w:val="hu-HU" w:eastAsia="en-US"/>
        </w:rPr>
      </w:pPr>
      <w:r>
        <w:rPr>
          <w:szCs w:val="22"/>
          <w:lang w:val="hu-HU" w:eastAsia="en-US"/>
        </w:rPr>
        <w:t xml:space="preserve">Elicea Q-Tab </w:t>
      </w:r>
      <w:r>
        <w:rPr>
          <w:bCs/>
          <w:szCs w:val="22"/>
          <w:lang w:val="hu-HU" w:eastAsia="en-US"/>
        </w:rPr>
        <w:t>15 mg szájban diszpergálódó tabletta</w:t>
      </w:r>
    </w:p>
    <w:p w:rsidR="00AF6E51" w:rsidRDefault="000A4EAB">
      <w:pPr>
        <w:tabs>
          <w:tab w:val="left" w:pos="567"/>
        </w:tabs>
        <w:rPr>
          <w:bCs/>
          <w:szCs w:val="22"/>
          <w:lang w:val="hu-HU" w:eastAsia="en-US"/>
        </w:rPr>
      </w:pPr>
      <w:r>
        <w:rPr>
          <w:szCs w:val="22"/>
          <w:lang w:val="hu-HU" w:eastAsia="en-US"/>
        </w:rPr>
        <w:t xml:space="preserve">Elicea Q-Tab </w:t>
      </w:r>
      <w:r>
        <w:rPr>
          <w:bCs/>
          <w:szCs w:val="22"/>
          <w:lang w:val="hu-HU" w:eastAsia="en-US"/>
        </w:rPr>
        <w:t>20 mg szájban diszpergálódó tabletta</w:t>
      </w:r>
    </w:p>
    <w:p w:rsidR="00AF6E51" w:rsidRDefault="00AF6E51">
      <w:pPr>
        <w:tabs>
          <w:tab w:val="left" w:pos="567"/>
        </w:tabs>
        <w:rPr>
          <w:szCs w:val="22"/>
          <w:lang w:val="hu-HU" w:eastAsia="en-US"/>
        </w:rPr>
      </w:pPr>
    </w:p>
    <w:p w:rsidR="00AF6E51" w:rsidRDefault="00AF6E51">
      <w:pPr>
        <w:tabs>
          <w:tab w:val="left" w:pos="567"/>
        </w:tabs>
        <w:rPr>
          <w:szCs w:val="22"/>
          <w:lang w:val="hu-HU" w:eastAsia="en-US"/>
        </w:rPr>
      </w:pPr>
    </w:p>
    <w:p w:rsidR="00AF6E51" w:rsidRDefault="000A4EAB">
      <w:pPr>
        <w:suppressAutoHyphens/>
        <w:ind w:left="567" w:hanging="567"/>
        <w:rPr>
          <w:b/>
          <w:szCs w:val="22"/>
          <w:lang w:val="hu-HU"/>
        </w:rPr>
      </w:pPr>
      <w:r>
        <w:rPr>
          <w:b/>
          <w:szCs w:val="22"/>
          <w:lang w:val="hu-HU"/>
        </w:rPr>
        <w:t>2.</w:t>
      </w:r>
      <w:r>
        <w:rPr>
          <w:b/>
          <w:szCs w:val="22"/>
          <w:lang w:val="hu-HU"/>
        </w:rPr>
        <w:tab/>
        <w:t>MINŐSÉGI ÉS MENNYISÉGI ÖSSZETÉTEL</w:t>
      </w:r>
    </w:p>
    <w:p w:rsidR="00AF6E51" w:rsidRDefault="00AF6E51">
      <w:pPr>
        <w:tabs>
          <w:tab w:val="left" w:pos="567"/>
        </w:tabs>
        <w:rPr>
          <w:szCs w:val="22"/>
          <w:lang w:val="hu-HU" w:eastAsia="en-US"/>
        </w:rPr>
      </w:pPr>
    </w:p>
    <w:p w:rsidR="00AF6E51" w:rsidRDefault="000A4EAB">
      <w:pPr>
        <w:autoSpaceDE w:val="0"/>
        <w:autoSpaceDN w:val="0"/>
        <w:adjustRightInd w:val="0"/>
        <w:rPr>
          <w:szCs w:val="22"/>
          <w:u w:val="single"/>
          <w:lang w:val="hu-HU" w:eastAsia="en-US"/>
        </w:rPr>
      </w:pPr>
      <w:r>
        <w:rPr>
          <w:szCs w:val="22"/>
          <w:u w:val="single"/>
          <w:lang w:val="hu-HU" w:eastAsia="en-US"/>
        </w:rPr>
        <w:t xml:space="preserve">Elicea Q-Tab </w:t>
      </w:r>
      <w:r>
        <w:rPr>
          <w:bCs/>
          <w:szCs w:val="22"/>
          <w:u w:val="single"/>
          <w:lang w:val="hu-HU" w:eastAsia="en-US"/>
        </w:rPr>
        <w:t>5 mg szájban diszpergálódó tabletta:</w:t>
      </w:r>
    </w:p>
    <w:p w:rsidR="00AF6E51" w:rsidRDefault="000A4EAB">
      <w:pPr>
        <w:autoSpaceDE w:val="0"/>
        <w:autoSpaceDN w:val="0"/>
        <w:adjustRightInd w:val="0"/>
        <w:rPr>
          <w:szCs w:val="22"/>
          <w:lang w:val="hu-HU" w:eastAsia="en-US"/>
        </w:rPr>
      </w:pPr>
      <w:r>
        <w:rPr>
          <w:szCs w:val="22"/>
          <w:lang w:val="hu-HU" w:eastAsia="en-US"/>
        </w:rPr>
        <w:t>5 mg eszcitaloprámot tartalmaz (eszcitaloprám-oxalát formájában) szájban diszpergálódó tablettánként.</w:t>
      </w:r>
    </w:p>
    <w:p w:rsidR="00AF6E51" w:rsidRDefault="00AF6E51">
      <w:pPr>
        <w:tabs>
          <w:tab w:val="left" w:pos="567"/>
        </w:tabs>
        <w:rPr>
          <w:szCs w:val="22"/>
          <w:lang w:val="hu-HU" w:eastAsia="en-US"/>
        </w:rPr>
      </w:pPr>
    </w:p>
    <w:p w:rsidR="00AF6E51" w:rsidRDefault="000A4EAB">
      <w:pPr>
        <w:tabs>
          <w:tab w:val="left" w:pos="567"/>
        </w:tabs>
        <w:rPr>
          <w:bCs/>
          <w:szCs w:val="22"/>
          <w:u w:val="single"/>
          <w:lang w:val="hu-HU" w:eastAsia="en-US"/>
        </w:rPr>
      </w:pPr>
      <w:r>
        <w:rPr>
          <w:szCs w:val="22"/>
          <w:u w:val="single"/>
          <w:lang w:val="hu-HU" w:eastAsia="en-US"/>
        </w:rPr>
        <w:t xml:space="preserve">Elicea Q-Tab </w:t>
      </w:r>
      <w:r>
        <w:rPr>
          <w:bCs/>
          <w:szCs w:val="22"/>
          <w:u w:val="single"/>
          <w:lang w:val="hu-HU" w:eastAsia="en-US"/>
        </w:rPr>
        <w:t>10 mg szájban diszpergálódó tabletta:</w:t>
      </w:r>
    </w:p>
    <w:p w:rsidR="00AF6E51" w:rsidRDefault="000A4EAB">
      <w:pPr>
        <w:autoSpaceDE w:val="0"/>
        <w:autoSpaceDN w:val="0"/>
        <w:adjustRightInd w:val="0"/>
        <w:rPr>
          <w:szCs w:val="22"/>
          <w:lang w:val="hu-HU" w:eastAsia="en-US"/>
        </w:rPr>
      </w:pPr>
      <w:r>
        <w:rPr>
          <w:szCs w:val="22"/>
          <w:lang w:val="hu-HU" w:eastAsia="en-US"/>
        </w:rPr>
        <w:t>10 mg eszcitaloprámot tartalmaz (eszcitaloprám-oxalát formájában) szájban diszpergálódó tablettánként.</w:t>
      </w:r>
    </w:p>
    <w:p w:rsidR="00AF6E51" w:rsidRDefault="00AF6E51">
      <w:pPr>
        <w:tabs>
          <w:tab w:val="left" w:pos="567"/>
        </w:tabs>
        <w:rPr>
          <w:szCs w:val="22"/>
          <w:lang w:val="hu-HU" w:eastAsia="en-US"/>
        </w:rPr>
      </w:pPr>
    </w:p>
    <w:p w:rsidR="00AF6E51" w:rsidRDefault="000A4EAB">
      <w:pPr>
        <w:tabs>
          <w:tab w:val="left" w:pos="567"/>
        </w:tabs>
        <w:rPr>
          <w:bCs/>
          <w:szCs w:val="22"/>
          <w:u w:val="single"/>
          <w:lang w:val="hu-HU" w:eastAsia="en-US"/>
        </w:rPr>
      </w:pPr>
      <w:r>
        <w:rPr>
          <w:szCs w:val="22"/>
          <w:u w:val="single"/>
          <w:lang w:val="hu-HU" w:eastAsia="en-US"/>
        </w:rPr>
        <w:t xml:space="preserve">Elicea Q-Tab </w:t>
      </w:r>
      <w:r>
        <w:rPr>
          <w:bCs/>
          <w:szCs w:val="22"/>
          <w:u w:val="single"/>
          <w:lang w:val="hu-HU" w:eastAsia="en-US"/>
        </w:rPr>
        <w:t>15 mg szájban diszpergálódó tabletta:</w:t>
      </w:r>
    </w:p>
    <w:p w:rsidR="00AF6E51" w:rsidRDefault="000A4EAB">
      <w:pPr>
        <w:autoSpaceDE w:val="0"/>
        <w:autoSpaceDN w:val="0"/>
        <w:adjustRightInd w:val="0"/>
        <w:rPr>
          <w:szCs w:val="22"/>
          <w:lang w:val="hu-HU" w:eastAsia="en-US"/>
        </w:rPr>
      </w:pPr>
      <w:r>
        <w:rPr>
          <w:szCs w:val="22"/>
          <w:lang w:val="hu-HU" w:eastAsia="en-US"/>
        </w:rPr>
        <w:t>15 mg eszcitaloprámot tartalmaz (eszcitaloprám-oxalát formájában) szájban diszpergálódó tablettánként.</w:t>
      </w:r>
    </w:p>
    <w:p w:rsidR="00AF6E51" w:rsidRDefault="00AF6E51">
      <w:pPr>
        <w:tabs>
          <w:tab w:val="left" w:pos="567"/>
        </w:tabs>
        <w:rPr>
          <w:i/>
          <w:szCs w:val="22"/>
          <w:lang w:val="hu-HU" w:eastAsia="en-US"/>
        </w:rPr>
      </w:pPr>
    </w:p>
    <w:p w:rsidR="00AF6E51" w:rsidRDefault="000A4EAB">
      <w:pPr>
        <w:tabs>
          <w:tab w:val="left" w:pos="567"/>
        </w:tabs>
        <w:rPr>
          <w:bCs/>
          <w:szCs w:val="22"/>
          <w:u w:val="single"/>
          <w:lang w:val="hu-HU" w:eastAsia="en-US"/>
        </w:rPr>
      </w:pPr>
      <w:r>
        <w:rPr>
          <w:szCs w:val="22"/>
          <w:u w:val="single"/>
          <w:lang w:val="hu-HU" w:eastAsia="en-US"/>
        </w:rPr>
        <w:t>Elicea Q-Tab</w:t>
      </w:r>
      <w:r>
        <w:rPr>
          <w:bCs/>
          <w:szCs w:val="22"/>
          <w:u w:val="single"/>
          <w:lang w:val="hu-HU" w:eastAsia="en-US"/>
        </w:rPr>
        <w:t xml:space="preserve"> 20 mg szájban diszpergálódó tabletta:</w:t>
      </w:r>
    </w:p>
    <w:p w:rsidR="00AF6E51" w:rsidRDefault="000A4EAB">
      <w:pPr>
        <w:autoSpaceDE w:val="0"/>
        <w:autoSpaceDN w:val="0"/>
        <w:adjustRightInd w:val="0"/>
        <w:rPr>
          <w:szCs w:val="22"/>
          <w:lang w:val="hu-HU" w:eastAsia="en-US"/>
        </w:rPr>
      </w:pPr>
      <w:r>
        <w:rPr>
          <w:szCs w:val="22"/>
          <w:lang w:val="hu-HU" w:eastAsia="en-US"/>
        </w:rPr>
        <w:t>20 mg eszcitaloprámot tartalmaz (eszcitaloprám-oxalát formájában) szájban diszpergálódó tablettánként.</w:t>
      </w:r>
    </w:p>
    <w:p w:rsidR="00AF6E51" w:rsidRDefault="00AF6E51">
      <w:pPr>
        <w:autoSpaceDE w:val="0"/>
        <w:autoSpaceDN w:val="0"/>
        <w:adjustRightInd w:val="0"/>
        <w:rPr>
          <w:bCs/>
          <w:szCs w:val="22"/>
          <w:lang w:val="hu-HU" w:eastAsia="en-US"/>
        </w:rPr>
      </w:pPr>
    </w:p>
    <w:p w:rsidR="00AF6E51" w:rsidRDefault="000A4EAB">
      <w:pPr>
        <w:autoSpaceDE w:val="0"/>
        <w:autoSpaceDN w:val="0"/>
        <w:adjustRightInd w:val="0"/>
        <w:rPr>
          <w:bCs/>
          <w:sz w:val="20"/>
          <w:szCs w:val="22"/>
          <w:lang w:val="hu-HU" w:eastAsia="en-US"/>
        </w:rPr>
      </w:pPr>
      <w:r>
        <w:rPr>
          <w:bCs/>
          <w:szCs w:val="22"/>
          <w:u w:val="single"/>
          <w:lang w:val="hu-HU"/>
        </w:rPr>
        <w:t>Ismert hatású segédanyag</w:t>
      </w:r>
      <w:r>
        <w:rPr>
          <w:sz w:val="20"/>
          <w:szCs w:val="22"/>
          <w:lang w:val="hu-HU"/>
        </w:rPr>
        <w:t>:</w:t>
      </w:r>
    </w:p>
    <w:p w:rsidR="00AF6E51" w:rsidRDefault="000A4EAB">
      <w:pPr>
        <w:autoSpaceDE w:val="0"/>
        <w:autoSpaceDN w:val="0"/>
        <w:adjustRightInd w:val="0"/>
        <w:rPr>
          <w:i/>
          <w:szCs w:val="22"/>
          <w:lang w:val="hu-HU" w:eastAsia="en-US"/>
        </w:rPr>
      </w:pPr>
      <w:r>
        <w:rPr>
          <w:i/>
          <w:szCs w:val="22"/>
          <w:lang w:val="hu-HU" w:eastAsia="en-US"/>
        </w:rPr>
        <w:t>Elicea Q-Tab</w:t>
      </w:r>
      <w:r>
        <w:rPr>
          <w:bCs/>
          <w:i/>
          <w:szCs w:val="22"/>
          <w:lang w:val="hu-HU" w:eastAsia="en-US"/>
        </w:rPr>
        <w:t xml:space="preserve"> 5 mg szájban diszpergálódó tabletta:</w:t>
      </w:r>
    </w:p>
    <w:p w:rsidR="00AF6E51" w:rsidRDefault="000A4EAB">
      <w:pPr>
        <w:autoSpaceDE w:val="0"/>
        <w:autoSpaceDN w:val="0"/>
        <w:adjustRightInd w:val="0"/>
        <w:rPr>
          <w:szCs w:val="22"/>
          <w:lang w:val="hu-HU" w:eastAsia="en-US"/>
        </w:rPr>
      </w:pPr>
      <w:r>
        <w:rPr>
          <w:bCs/>
          <w:szCs w:val="22"/>
          <w:lang w:val="hu-HU" w:eastAsia="en-US"/>
        </w:rPr>
        <w:t xml:space="preserve">58,935 mg laktóz-monohidrátot tartalmaz </w:t>
      </w:r>
      <w:r>
        <w:rPr>
          <w:szCs w:val="22"/>
          <w:lang w:val="hu-HU" w:eastAsia="en-US"/>
        </w:rPr>
        <w:t>szájban diszpergálódó tablettánként.</w:t>
      </w:r>
    </w:p>
    <w:p w:rsidR="00AF6E51" w:rsidRDefault="00AF6E51">
      <w:pPr>
        <w:tabs>
          <w:tab w:val="left" w:pos="567"/>
        </w:tabs>
        <w:rPr>
          <w:szCs w:val="22"/>
          <w:lang w:val="hu-HU" w:eastAsia="en-US"/>
        </w:rPr>
      </w:pPr>
    </w:p>
    <w:p w:rsidR="00AF6E51" w:rsidRDefault="000A4EAB">
      <w:pPr>
        <w:tabs>
          <w:tab w:val="left" w:pos="567"/>
        </w:tabs>
        <w:rPr>
          <w:bCs/>
          <w:i/>
          <w:szCs w:val="22"/>
          <w:lang w:val="hu-HU" w:eastAsia="en-US"/>
        </w:rPr>
      </w:pPr>
      <w:r>
        <w:rPr>
          <w:i/>
          <w:szCs w:val="22"/>
          <w:lang w:val="hu-HU" w:eastAsia="en-US"/>
        </w:rPr>
        <w:t>Elicea Q-Tab</w:t>
      </w:r>
      <w:r>
        <w:rPr>
          <w:bCs/>
          <w:i/>
          <w:szCs w:val="22"/>
          <w:lang w:val="hu-HU" w:eastAsia="en-US"/>
        </w:rPr>
        <w:t xml:space="preserve"> 10 mg szájban diszpergálódó tabletta:</w:t>
      </w:r>
    </w:p>
    <w:p w:rsidR="00AF6E51" w:rsidRDefault="000A4EAB">
      <w:pPr>
        <w:autoSpaceDE w:val="0"/>
        <w:autoSpaceDN w:val="0"/>
        <w:adjustRightInd w:val="0"/>
        <w:rPr>
          <w:szCs w:val="22"/>
          <w:lang w:val="hu-HU" w:eastAsia="en-US"/>
        </w:rPr>
      </w:pPr>
      <w:r>
        <w:rPr>
          <w:bCs/>
          <w:szCs w:val="22"/>
          <w:lang w:val="hu-HU" w:eastAsia="en-US"/>
        </w:rPr>
        <w:t xml:space="preserve">117,87 mg laktóz-monohidrátot tartalmaz </w:t>
      </w:r>
      <w:r>
        <w:rPr>
          <w:szCs w:val="22"/>
          <w:lang w:val="hu-HU" w:eastAsia="en-US"/>
        </w:rPr>
        <w:t>szájban diszpergálódó tablettánként.</w:t>
      </w:r>
    </w:p>
    <w:p w:rsidR="00AF6E51" w:rsidRDefault="00AF6E51">
      <w:pPr>
        <w:tabs>
          <w:tab w:val="left" w:pos="567"/>
        </w:tabs>
        <w:rPr>
          <w:szCs w:val="22"/>
          <w:lang w:val="hu-HU" w:eastAsia="en-US"/>
        </w:rPr>
      </w:pPr>
    </w:p>
    <w:p w:rsidR="00AF6E51" w:rsidRDefault="000A4EAB">
      <w:pPr>
        <w:tabs>
          <w:tab w:val="left" w:pos="567"/>
        </w:tabs>
        <w:rPr>
          <w:bCs/>
          <w:i/>
          <w:szCs w:val="22"/>
          <w:lang w:val="hu-HU" w:eastAsia="en-US"/>
        </w:rPr>
      </w:pPr>
      <w:r>
        <w:rPr>
          <w:i/>
          <w:szCs w:val="22"/>
          <w:lang w:val="hu-HU" w:eastAsia="en-US"/>
        </w:rPr>
        <w:t xml:space="preserve">Elicea Q-Tab </w:t>
      </w:r>
      <w:r>
        <w:rPr>
          <w:bCs/>
          <w:i/>
          <w:szCs w:val="22"/>
          <w:lang w:val="hu-HU" w:eastAsia="en-US"/>
        </w:rPr>
        <w:t>15 mg szájban diszpergálódó tabletta:</w:t>
      </w:r>
    </w:p>
    <w:p w:rsidR="00AF6E51" w:rsidRDefault="000A4EAB">
      <w:pPr>
        <w:autoSpaceDE w:val="0"/>
        <w:autoSpaceDN w:val="0"/>
        <w:adjustRightInd w:val="0"/>
        <w:rPr>
          <w:szCs w:val="22"/>
          <w:lang w:val="hu-HU" w:eastAsia="en-US"/>
        </w:rPr>
      </w:pPr>
      <w:r>
        <w:rPr>
          <w:szCs w:val="22"/>
          <w:lang w:val="hu-HU"/>
        </w:rPr>
        <w:t>176</w:t>
      </w:r>
      <w:r>
        <w:rPr>
          <w:bCs/>
          <w:szCs w:val="22"/>
          <w:lang w:val="hu-HU" w:eastAsia="en-US"/>
        </w:rPr>
        <w:t xml:space="preserve">,81 mg laktóz-monohidrátot tartalmaz </w:t>
      </w:r>
      <w:r>
        <w:rPr>
          <w:szCs w:val="22"/>
          <w:lang w:val="hu-HU" w:eastAsia="en-US"/>
        </w:rPr>
        <w:t>szájban diszpergálódó tablettánként.</w:t>
      </w:r>
    </w:p>
    <w:p w:rsidR="00AF6E51" w:rsidRDefault="00AF6E51">
      <w:pPr>
        <w:tabs>
          <w:tab w:val="left" w:pos="567"/>
        </w:tabs>
        <w:rPr>
          <w:i/>
          <w:szCs w:val="22"/>
          <w:lang w:val="hu-HU" w:eastAsia="en-US"/>
        </w:rPr>
      </w:pPr>
    </w:p>
    <w:p w:rsidR="00AF6E51" w:rsidRDefault="000A4EAB">
      <w:pPr>
        <w:tabs>
          <w:tab w:val="left" w:pos="567"/>
        </w:tabs>
        <w:rPr>
          <w:bCs/>
          <w:i/>
          <w:szCs w:val="22"/>
          <w:lang w:val="hu-HU" w:eastAsia="en-US"/>
        </w:rPr>
      </w:pPr>
      <w:r>
        <w:rPr>
          <w:i/>
          <w:szCs w:val="22"/>
          <w:lang w:val="hu-HU" w:eastAsia="en-US"/>
        </w:rPr>
        <w:t>Elicea Q-Tab</w:t>
      </w:r>
      <w:r>
        <w:rPr>
          <w:bCs/>
          <w:i/>
          <w:szCs w:val="22"/>
          <w:lang w:val="hu-HU" w:eastAsia="en-US"/>
        </w:rPr>
        <w:t xml:space="preserve"> 20 mg szájban diszpergálódó tabletta:</w:t>
      </w:r>
    </w:p>
    <w:p w:rsidR="00AF6E51" w:rsidRDefault="000A4EAB">
      <w:pPr>
        <w:autoSpaceDE w:val="0"/>
        <w:autoSpaceDN w:val="0"/>
        <w:adjustRightInd w:val="0"/>
        <w:rPr>
          <w:szCs w:val="22"/>
          <w:lang w:val="hu-HU" w:eastAsia="en-US"/>
        </w:rPr>
      </w:pPr>
      <w:r>
        <w:rPr>
          <w:bCs/>
          <w:szCs w:val="22"/>
          <w:lang w:val="hu-HU" w:eastAsia="en-US"/>
        </w:rPr>
        <w:t xml:space="preserve">235,74 mg laktóz-monohidrátot tartalmaz </w:t>
      </w:r>
      <w:r>
        <w:rPr>
          <w:szCs w:val="22"/>
          <w:lang w:val="hu-HU" w:eastAsia="en-US"/>
        </w:rPr>
        <w:t>szájban diszpergálódó tablettánként.</w:t>
      </w:r>
    </w:p>
    <w:p w:rsidR="00AF6E51" w:rsidRDefault="00AF6E51">
      <w:pPr>
        <w:autoSpaceDE w:val="0"/>
        <w:autoSpaceDN w:val="0"/>
        <w:adjustRightInd w:val="0"/>
        <w:rPr>
          <w:bCs/>
          <w:szCs w:val="22"/>
          <w:lang w:val="hu-HU" w:eastAsia="en-US"/>
        </w:rPr>
      </w:pPr>
    </w:p>
    <w:p w:rsidR="00AF6E51" w:rsidRDefault="000A4EAB">
      <w:pPr>
        <w:autoSpaceDE w:val="0"/>
        <w:autoSpaceDN w:val="0"/>
        <w:adjustRightInd w:val="0"/>
        <w:rPr>
          <w:szCs w:val="22"/>
          <w:lang w:val="hu-HU"/>
        </w:rPr>
      </w:pPr>
      <w:r>
        <w:rPr>
          <w:szCs w:val="22"/>
          <w:lang w:val="hu-HU"/>
        </w:rPr>
        <w:t>A segédanyagok teljes listáját lásd a 6.1 pontban.</w:t>
      </w:r>
    </w:p>
    <w:p w:rsidR="00AF6E51" w:rsidRDefault="00AF6E51">
      <w:pPr>
        <w:tabs>
          <w:tab w:val="left" w:pos="567"/>
        </w:tabs>
        <w:rPr>
          <w:szCs w:val="22"/>
          <w:lang w:val="hu-HU" w:eastAsia="en-US"/>
        </w:rPr>
      </w:pPr>
    </w:p>
    <w:p w:rsidR="00AF6E51" w:rsidRDefault="00AF6E51">
      <w:pPr>
        <w:tabs>
          <w:tab w:val="left" w:pos="567"/>
        </w:tabs>
        <w:rPr>
          <w:szCs w:val="22"/>
          <w:lang w:val="hu-HU" w:eastAsia="en-US"/>
        </w:rPr>
      </w:pPr>
    </w:p>
    <w:p w:rsidR="00AF6E51" w:rsidRDefault="000A4EAB">
      <w:pPr>
        <w:suppressAutoHyphens/>
        <w:ind w:left="567" w:hanging="567"/>
        <w:rPr>
          <w:b/>
          <w:szCs w:val="22"/>
          <w:lang w:val="hu-HU"/>
        </w:rPr>
      </w:pPr>
      <w:r>
        <w:rPr>
          <w:b/>
          <w:szCs w:val="22"/>
          <w:lang w:val="hu-HU"/>
        </w:rPr>
        <w:t>3.</w:t>
      </w:r>
      <w:r>
        <w:rPr>
          <w:b/>
          <w:szCs w:val="22"/>
          <w:lang w:val="hu-HU"/>
        </w:rPr>
        <w:tab/>
        <w:t>GYÓGYSZERFORMA</w:t>
      </w:r>
    </w:p>
    <w:p w:rsidR="00AF6E51" w:rsidRDefault="00AF6E51">
      <w:pPr>
        <w:tabs>
          <w:tab w:val="left" w:pos="567"/>
        </w:tabs>
        <w:rPr>
          <w:szCs w:val="22"/>
          <w:lang w:val="hu-HU" w:eastAsia="en-US"/>
        </w:rPr>
      </w:pPr>
    </w:p>
    <w:p w:rsidR="00AF6E51" w:rsidRDefault="000A4EAB">
      <w:pPr>
        <w:autoSpaceDE w:val="0"/>
        <w:autoSpaceDN w:val="0"/>
        <w:adjustRightInd w:val="0"/>
        <w:rPr>
          <w:bCs/>
          <w:szCs w:val="22"/>
          <w:lang w:val="hu-HU" w:eastAsia="en-US"/>
        </w:rPr>
      </w:pPr>
      <w:r>
        <w:rPr>
          <w:szCs w:val="22"/>
          <w:lang w:val="hu-HU" w:eastAsia="en-US"/>
        </w:rPr>
        <w:t>Szájban diszpergálódó tablett</w:t>
      </w:r>
      <w:r>
        <w:rPr>
          <w:bCs/>
          <w:szCs w:val="22"/>
          <w:lang w:val="hu-HU" w:eastAsia="en-US"/>
        </w:rPr>
        <w:t>a.</w:t>
      </w:r>
    </w:p>
    <w:p w:rsidR="00AF6E51" w:rsidRDefault="00AF6E51">
      <w:pPr>
        <w:autoSpaceDE w:val="0"/>
        <w:autoSpaceDN w:val="0"/>
        <w:adjustRightInd w:val="0"/>
        <w:rPr>
          <w:szCs w:val="22"/>
          <w:lang w:val="hu-HU" w:eastAsia="en-US"/>
        </w:rPr>
      </w:pPr>
    </w:p>
    <w:p w:rsidR="00AF6E51" w:rsidRDefault="000A4EAB">
      <w:pPr>
        <w:autoSpaceDE w:val="0"/>
        <w:autoSpaceDN w:val="0"/>
        <w:adjustRightInd w:val="0"/>
        <w:rPr>
          <w:szCs w:val="22"/>
          <w:u w:val="single"/>
          <w:lang w:val="hu-HU" w:eastAsia="en-US"/>
        </w:rPr>
      </w:pPr>
      <w:r>
        <w:rPr>
          <w:szCs w:val="22"/>
          <w:u w:val="single"/>
          <w:lang w:val="hu-HU" w:eastAsia="en-US"/>
        </w:rPr>
        <w:t xml:space="preserve">Elicea Q-Tab </w:t>
      </w:r>
      <w:r>
        <w:rPr>
          <w:bCs/>
          <w:szCs w:val="22"/>
          <w:u w:val="single"/>
          <w:lang w:val="hu-HU" w:eastAsia="en-US"/>
        </w:rPr>
        <w:t>5 mg szájban diszpergálódó tabletta:</w:t>
      </w:r>
    </w:p>
    <w:p w:rsidR="00AF6E51" w:rsidRDefault="000A4EAB">
      <w:pPr>
        <w:pStyle w:val="Alcm"/>
        <w:jc w:val="left"/>
        <w:rPr>
          <w:b w:val="0"/>
          <w:sz w:val="22"/>
          <w:szCs w:val="22"/>
        </w:rPr>
      </w:pPr>
      <w:r>
        <w:rPr>
          <w:b w:val="0"/>
          <w:sz w:val="22"/>
          <w:szCs w:val="22"/>
        </w:rPr>
        <w:t xml:space="preserve">Fehér vagy csaknem fehér, kerek, lapos, metszett élű, </w:t>
      </w:r>
      <w:smartTag w:uri="urn:schemas-microsoft-com:office:smarttags" w:element="metricconverter">
        <w:smartTagPr>
          <w:attr w:name="ProductID" w:val="7ﾠmm"/>
        </w:smartTagPr>
        <w:r>
          <w:rPr>
            <w:b w:val="0"/>
            <w:sz w:val="22"/>
            <w:szCs w:val="22"/>
          </w:rPr>
          <w:t>7 mm</w:t>
        </w:r>
      </w:smartTag>
      <w:r>
        <w:rPr>
          <w:b w:val="0"/>
          <w:sz w:val="22"/>
          <w:szCs w:val="22"/>
        </w:rPr>
        <w:t xml:space="preserve"> átmérőjű, szájban diszpergálódó tabletta, egyik oldalán „5” jelzéssel ellátva.</w:t>
      </w:r>
    </w:p>
    <w:p w:rsidR="00AF6E51" w:rsidRDefault="00AF6E51">
      <w:pPr>
        <w:tabs>
          <w:tab w:val="left" w:pos="567"/>
        </w:tabs>
        <w:rPr>
          <w:i/>
          <w:szCs w:val="22"/>
          <w:lang w:val="hu-HU" w:eastAsia="en-US"/>
        </w:rPr>
      </w:pPr>
    </w:p>
    <w:p w:rsidR="00AF6E51" w:rsidRDefault="000A4EAB">
      <w:pPr>
        <w:tabs>
          <w:tab w:val="left" w:pos="567"/>
        </w:tabs>
        <w:rPr>
          <w:szCs w:val="22"/>
          <w:u w:val="single"/>
          <w:lang w:val="hu-HU" w:eastAsia="en-US"/>
        </w:rPr>
      </w:pPr>
      <w:r>
        <w:rPr>
          <w:szCs w:val="22"/>
          <w:u w:val="single"/>
          <w:lang w:val="hu-HU" w:eastAsia="en-US"/>
        </w:rPr>
        <w:t xml:space="preserve">Elicea Q-Tab 10 mg </w:t>
      </w:r>
      <w:r>
        <w:rPr>
          <w:bCs/>
          <w:szCs w:val="22"/>
          <w:u w:val="single"/>
          <w:lang w:val="hu-HU" w:eastAsia="en-US"/>
        </w:rPr>
        <w:t>szájban diszpergálódó tabletta:</w:t>
      </w:r>
    </w:p>
    <w:p w:rsidR="00AF6E51" w:rsidRDefault="000A4EAB">
      <w:pPr>
        <w:pStyle w:val="Alcm"/>
        <w:jc w:val="left"/>
        <w:rPr>
          <w:b w:val="0"/>
          <w:sz w:val="22"/>
          <w:szCs w:val="22"/>
        </w:rPr>
      </w:pPr>
      <w:r>
        <w:rPr>
          <w:b w:val="0"/>
          <w:sz w:val="22"/>
          <w:szCs w:val="22"/>
        </w:rPr>
        <w:t xml:space="preserve">Fehér vagy csaknem fehér, kerek, lapos, metszett élű, </w:t>
      </w:r>
      <w:smartTag w:uri="urn:schemas-microsoft-com:office:smarttags" w:element="metricconverter">
        <w:smartTagPr>
          <w:attr w:name="ProductID" w:val="9ﾠmm"/>
        </w:smartTagPr>
        <w:r>
          <w:rPr>
            <w:b w:val="0"/>
            <w:sz w:val="22"/>
            <w:szCs w:val="22"/>
          </w:rPr>
          <w:t>9 mm</w:t>
        </w:r>
      </w:smartTag>
      <w:r>
        <w:rPr>
          <w:b w:val="0"/>
          <w:sz w:val="22"/>
          <w:szCs w:val="22"/>
        </w:rPr>
        <w:t xml:space="preserve"> átmérőjű, szájban diszpergálódó tabletta, egyik oldalán „10” jelzéssel ellátva.</w:t>
      </w:r>
    </w:p>
    <w:p w:rsidR="00AF6E51" w:rsidRDefault="00AF6E51">
      <w:pPr>
        <w:tabs>
          <w:tab w:val="left" w:pos="567"/>
        </w:tabs>
        <w:rPr>
          <w:i/>
          <w:szCs w:val="22"/>
          <w:lang w:val="hu-HU" w:eastAsia="en-US"/>
        </w:rPr>
      </w:pPr>
    </w:p>
    <w:p w:rsidR="00AF6E51" w:rsidRDefault="000A4EAB">
      <w:pPr>
        <w:tabs>
          <w:tab w:val="left" w:pos="567"/>
        </w:tabs>
        <w:rPr>
          <w:szCs w:val="22"/>
          <w:u w:val="single"/>
          <w:lang w:val="hu-HU" w:eastAsia="en-US"/>
        </w:rPr>
      </w:pPr>
      <w:r>
        <w:rPr>
          <w:szCs w:val="22"/>
          <w:u w:val="single"/>
          <w:lang w:val="hu-HU" w:eastAsia="en-US"/>
        </w:rPr>
        <w:t xml:space="preserve">Elicea Q-Tab 15 mg </w:t>
      </w:r>
      <w:r>
        <w:rPr>
          <w:bCs/>
          <w:szCs w:val="22"/>
          <w:u w:val="single"/>
          <w:lang w:val="hu-HU" w:eastAsia="en-US"/>
        </w:rPr>
        <w:t>szájban diszpergálódó tabletta:</w:t>
      </w:r>
    </w:p>
    <w:p w:rsidR="00AF6E51" w:rsidRDefault="000A4EAB">
      <w:pPr>
        <w:pStyle w:val="Alcm"/>
        <w:jc w:val="left"/>
        <w:rPr>
          <w:b w:val="0"/>
          <w:sz w:val="22"/>
          <w:szCs w:val="22"/>
        </w:rPr>
      </w:pPr>
      <w:r>
        <w:rPr>
          <w:b w:val="0"/>
          <w:sz w:val="22"/>
          <w:szCs w:val="22"/>
        </w:rPr>
        <w:lastRenderedPageBreak/>
        <w:t xml:space="preserve">Fehér vagy csaknem fehér, kerek, lapos, metszett élű, </w:t>
      </w:r>
      <w:smartTag w:uri="urn:schemas-microsoft-com:office:smarttags" w:element="metricconverter">
        <w:smartTagPr>
          <w:attr w:name="ProductID" w:val="11ﾠmm"/>
        </w:smartTagPr>
        <w:r>
          <w:rPr>
            <w:b w:val="0"/>
            <w:sz w:val="22"/>
            <w:szCs w:val="22"/>
          </w:rPr>
          <w:t>11 mm</w:t>
        </w:r>
      </w:smartTag>
      <w:r>
        <w:rPr>
          <w:b w:val="0"/>
          <w:sz w:val="22"/>
          <w:szCs w:val="22"/>
        </w:rPr>
        <w:t xml:space="preserve"> átmérőjű, szájban diszpergálódó tabletta, egyik oldalán „15” jelzéssel ellátva.</w:t>
      </w:r>
    </w:p>
    <w:p w:rsidR="00AF6E51" w:rsidRDefault="00AF6E51">
      <w:pPr>
        <w:tabs>
          <w:tab w:val="left" w:pos="567"/>
        </w:tabs>
        <w:rPr>
          <w:i/>
          <w:szCs w:val="22"/>
          <w:lang w:val="hu-HU" w:eastAsia="en-US"/>
        </w:rPr>
      </w:pPr>
    </w:p>
    <w:p w:rsidR="00AF6E51" w:rsidRDefault="000A4EAB">
      <w:pPr>
        <w:tabs>
          <w:tab w:val="left" w:pos="567"/>
        </w:tabs>
        <w:rPr>
          <w:szCs w:val="22"/>
          <w:u w:val="single"/>
          <w:lang w:val="hu-HU" w:eastAsia="en-US"/>
        </w:rPr>
      </w:pPr>
      <w:r>
        <w:rPr>
          <w:szCs w:val="22"/>
          <w:u w:val="single"/>
          <w:lang w:val="hu-HU" w:eastAsia="en-US"/>
        </w:rPr>
        <w:t xml:space="preserve">Elicea Q-Tab 20 mg </w:t>
      </w:r>
      <w:r>
        <w:rPr>
          <w:bCs/>
          <w:szCs w:val="22"/>
          <w:u w:val="single"/>
          <w:lang w:val="hu-HU" w:eastAsia="en-US"/>
        </w:rPr>
        <w:t>szájban diszpergálódó tabletta:</w:t>
      </w:r>
    </w:p>
    <w:p w:rsidR="00AF6E51" w:rsidRDefault="000A4EAB">
      <w:pPr>
        <w:pStyle w:val="Alcm"/>
        <w:jc w:val="left"/>
        <w:rPr>
          <w:b w:val="0"/>
          <w:sz w:val="22"/>
          <w:szCs w:val="22"/>
        </w:rPr>
      </w:pPr>
      <w:r>
        <w:rPr>
          <w:b w:val="0"/>
          <w:sz w:val="22"/>
          <w:szCs w:val="22"/>
        </w:rPr>
        <w:t xml:space="preserve">Fehér vagy csaknem fehér, kerek, lapos, metszett élű, </w:t>
      </w:r>
      <w:smartTag w:uri="urn:schemas-microsoft-com:office:smarttags" w:element="metricconverter">
        <w:smartTagPr>
          <w:attr w:name="ProductID" w:val="12ﾠmm"/>
        </w:smartTagPr>
        <w:r>
          <w:rPr>
            <w:b w:val="0"/>
            <w:sz w:val="22"/>
            <w:szCs w:val="22"/>
          </w:rPr>
          <w:t>12 mm</w:t>
        </w:r>
      </w:smartTag>
      <w:r>
        <w:rPr>
          <w:b w:val="0"/>
          <w:sz w:val="22"/>
          <w:szCs w:val="22"/>
        </w:rPr>
        <w:t xml:space="preserve"> átmérőjű, szájban diszpergálódó tabletta, egyik oldalán „20” jelzéssel ellátva.</w:t>
      </w:r>
    </w:p>
    <w:p w:rsidR="00AF6E51" w:rsidRDefault="00AF6E51">
      <w:pPr>
        <w:pStyle w:val="Szvegtrzs"/>
        <w:rPr>
          <w:lang w:val="hu-HU" w:eastAsia="hu-HU" w:bidi="hu-HU"/>
        </w:rPr>
      </w:pPr>
    </w:p>
    <w:p w:rsidR="00AF6E51" w:rsidRDefault="00AF6E51">
      <w:pPr>
        <w:suppressAutoHyphens/>
        <w:ind w:left="567" w:hanging="567"/>
        <w:rPr>
          <w:b/>
          <w:caps/>
          <w:szCs w:val="22"/>
          <w:lang w:val="hu-HU"/>
        </w:rPr>
      </w:pPr>
    </w:p>
    <w:p w:rsidR="00AF6E51" w:rsidRDefault="000A4EAB">
      <w:pPr>
        <w:suppressAutoHyphens/>
        <w:ind w:left="567" w:hanging="567"/>
        <w:rPr>
          <w:b/>
          <w:caps/>
          <w:szCs w:val="22"/>
          <w:lang w:val="hu-HU"/>
        </w:rPr>
      </w:pPr>
      <w:r>
        <w:rPr>
          <w:b/>
          <w:caps/>
          <w:szCs w:val="22"/>
          <w:lang w:val="hu-HU"/>
        </w:rPr>
        <w:t>4.</w:t>
      </w:r>
      <w:r>
        <w:rPr>
          <w:b/>
          <w:caps/>
          <w:szCs w:val="22"/>
          <w:lang w:val="hu-HU"/>
        </w:rPr>
        <w:tab/>
        <w:t>KLINIKAI JELLEMZŐK</w:t>
      </w:r>
    </w:p>
    <w:p w:rsidR="00AF6E51" w:rsidRDefault="00AF6E51">
      <w:pPr>
        <w:autoSpaceDE w:val="0"/>
        <w:autoSpaceDN w:val="0"/>
        <w:adjustRightInd w:val="0"/>
        <w:rPr>
          <w:szCs w:val="22"/>
          <w:lang w:val="hu-HU"/>
        </w:rPr>
      </w:pPr>
    </w:p>
    <w:p w:rsidR="00AF6E51" w:rsidRDefault="000A4EAB">
      <w:pPr>
        <w:suppressAutoHyphens/>
        <w:ind w:left="567" w:hanging="567"/>
        <w:rPr>
          <w:b/>
          <w:szCs w:val="22"/>
          <w:lang w:val="hu-HU"/>
        </w:rPr>
      </w:pPr>
      <w:r>
        <w:rPr>
          <w:b/>
          <w:szCs w:val="22"/>
          <w:lang w:val="hu-HU"/>
        </w:rPr>
        <w:t>4.1</w:t>
      </w:r>
      <w:r>
        <w:rPr>
          <w:b/>
          <w:szCs w:val="22"/>
          <w:lang w:val="hu-HU"/>
        </w:rPr>
        <w:tab/>
        <w:t>Terápiás javallatok</w:t>
      </w:r>
    </w:p>
    <w:p w:rsidR="00AF6E51" w:rsidRDefault="00AF6E51">
      <w:pPr>
        <w:tabs>
          <w:tab w:val="left" w:pos="567"/>
        </w:tabs>
        <w:rPr>
          <w:szCs w:val="22"/>
          <w:lang w:val="hu-HU" w:eastAsia="en-US"/>
        </w:rPr>
      </w:pPr>
    </w:p>
    <w:p w:rsidR="00AF6E51" w:rsidRDefault="000A4EAB">
      <w:pPr>
        <w:autoSpaceDE w:val="0"/>
        <w:autoSpaceDN w:val="0"/>
        <w:adjustRightInd w:val="0"/>
        <w:rPr>
          <w:szCs w:val="22"/>
          <w:lang w:val="hu-HU"/>
        </w:rPr>
      </w:pPr>
      <w:r>
        <w:rPr>
          <w:szCs w:val="22"/>
          <w:lang w:val="hu-HU"/>
        </w:rPr>
        <w:t>Major depressziós epizódok kezelése.</w:t>
      </w:r>
    </w:p>
    <w:p w:rsidR="00AF6E51" w:rsidRDefault="000A4EAB">
      <w:pPr>
        <w:autoSpaceDE w:val="0"/>
        <w:autoSpaceDN w:val="0"/>
        <w:adjustRightInd w:val="0"/>
        <w:rPr>
          <w:szCs w:val="22"/>
          <w:lang w:val="hu-HU"/>
        </w:rPr>
      </w:pPr>
      <w:r>
        <w:rPr>
          <w:szCs w:val="22"/>
          <w:lang w:val="hu-HU"/>
        </w:rPr>
        <w:t>Agorafóbiával járó vagy anélküli pánikzavar kezelése.</w:t>
      </w:r>
    </w:p>
    <w:p w:rsidR="00AF6E51" w:rsidRDefault="000A4EAB">
      <w:pPr>
        <w:autoSpaceDE w:val="0"/>
        <w:autoSpaceDN w:val="0"/>
        <w:adjustRightInd w:val="0"/>
        <w:rPr>
          <w:szCs w:val="22"/>
          <w:lang w:val="hu-HU"/>
        </w:rPr>
      </w:pPr>
      <w:r>
        <w:rPr>
          <w:szCs w:val="22"/>
          <w:lang w:val="hu-HU"/>
        </w:rPr>
        <w:t>Szociális szorongásos zavar (szociális fóbia) kezelése.</w:t>
      </w:r>
    </w:p>
    <w:p w:rsidR="00AF6E51" w:rsidRDefault="000A4EAB">
      <w:pPr>
        <w:autoSpaceDE w:val="0"/>
        <w:autoSpaceDN w:val="0"/>
        <w:adjustRightInd w:val="0"/>
        <w:rPr>
          <w:szCs w:val="22"/>
          <w:lang w:val="hu-HU"/>
        </w:rPr>
      </w:pPr>
      <w:r>
        <w:rPr>
          <w:szCs w:val="22"/>
          <w:lang w:val="hu-HU"/>
        </w:rPr>
        <w:t>Generalizált szorongás kezelése.</w:t>
      </w:r>
    </w:p>
    <w:p w:rsidR="00AF6E51" w:rsidRDefault="000A4EAB">
      <w:pPr>
        <w:autoSpaceDE w:val="0"/>
        <w:autoSpaceDN w:val="0"/>
        <w:adjustRightInd w:val="0"/>
        <w:rPr>
          <w:szCs w:val="22"/>
          <w:lang w:val="hu-HU"/>
        </w:rPr>
      </w:pPr>
      <w:r>
        <w:rPr>
          <w:szCs w:val="22"/>
          <w:lang w:val="hu-HU"/>
        </w:rPr>
        <w:t>Kényszerbetegség (kényszeres-rögeszmés zavar) kezelése.</w:t>
      </w:r>
    </w:p>
    <w:p w:rsidR="00AF6E51" w:rsidRDefault="00AF6E51">
      <w:pPr>
        <w:rPr>
          <w:szCs w:val="22"/>
          <w:lang w:val="hu-HU" w:eastAsia="en-US"/>
        </w:rPr>
      </w:pPr>
    </w:p>
    <w:p w:rsidR="00AF6E51" w:rsidRDefault="000A4EAB">
      <w:pPr>
        <w:suppressAutoHyphens/>
        <w:ind w:left="567" w:hanging="567"/>
        <w:rPr>
          <w:b/>
          <w:szCs w:val="22"/>
          <w:lang w:val="hu-HU"/>
        </w:rPr>
      </w:pPr>
      <w:r>
        <w:rPr>
          <w:b/>
          <w:szCs w:val="22"/>
          <w:lang w:val="hu-HU"/>
        </w:rPr>
        <w:t>4.2</w:t>
      </w:r>
      <w:r>
        <w:rPr>
          <w:b/>
          <w:szCs w:val="22"/>
          <w:lang w:val="hu-HU"/>
        </w:rPr>
        <w:tab/>
      </w:r>
      <w:r>
        <w:rPr>
          <w:b/>
          <w:szCs w:val="22"/>
          <w:lang w:val="hu-HU"/>
        </w:rPr>
        <w:tab/>
        <w:t>Adagolás és alkalmazás</w:t>
      </w:r>
    </w:p>
    <w:p w:rsidR="00AF6E51" w:rsidRDefault="00AF6E51">
      <w:pPr>
        <w:tabs>
          <w:tab w:val="left" w:pos="567"/>
        </w:tabs>
        <w:rPr>
          <w:szCs w:val="22"/>
          <w:lang w:val="hu-HU" w:eastAsia="en-US"/>
        </w:rPr>
      </w:pPr>
    </w:p>
    <w:p w:rsidR="00AF6E51" w:rsidRDefault="000A4EAB">
      <w:pPr>
        <w:autoSpaceDE w:val="0"/>
        <w:autoSpaceDN w:val="0"/>
        <w:adjustRightInd w:val="0"/>
        <w:rPr>
          <w:szCs w:val="22"/>
          <w:lang w:val="hu-HU"/>
        </w:rPr>
      </w:pPr>
      <w:r>
        <w:rPr>
          <w:szCs w:val="22"/>
          <w:u w:val="single"/>
          <w:lang w:val="hu-HU" w:eastAsia="en-US"/>
        </w:rPr>
        <w:t>Adagolás</w:t>
      </w:r>
    </w:p>
    <w:p w:rsidR="00AF6E51" w:rsidRDefault="00AF6E51">
      <w:pPr>
        <w:rPr>
          <w:szCs w:val="22"/>
          <w:lang w:val="hu-HU" w:eastAsia="en-US"/>
        </w:rPr>
      </w:pPr>
    </w:p>
    <w:p w:rsidR="00AF6E51" w:rsidRDefault="000A4EAB">
      <w:pPr>
        <w:autoSpaceDE w:val="0"/>
        <w:autoSpaceDN w:val="0"/>
        <w:adjustRightInd w:val="0"/>
        <w:rPr>
          <w:szCs w:val="22"/>
          <w:lang w:val="hu-HU"/>
        </w:rPr>
      </w:pPr>
      <w:r>
        <w:rPr>
          <w:szCs w:val="22"/>
          <w:lang w:val="hu-HU"/>
        </w:rPr>
        <w:t>A 20 mg-nál nagyobb napi adagok biztonságossága még nem bizonyított.</w:t>
      </w:r>
    </w:p>
    <w:p w:rsidR="00AF6E51" w:rsidRDefault="00AF6E51">
      <w:pPr>
        <w:rPr>
          <w:b/>
          <w:szCs w:val="22"/>
          <w:lang w:val="hu-HU"/>
        </w:rPr>
      </w:pPr>
    </w:p>
    <w:p w:rsidR="00AF6E51" w:rsidRDefault="000A4EAB">
      <w:pPr>
        <w:autoSpaceDE w:val="0"/>
        <w:autoSpaceDN w:val="0"/>
        <w:adjustRightInd w:val="0"/>
        <w:rPr>
          <w:szCs w:val="22"/>
          <w:u w:val="single"/>
          <w:lang w:val="hu-HU"/>
        </w:rPr>
      </w:pPr>
      <w:r>
        <w:rPr>
          <w:szCs w:val="22"/>
          <w:u w:val="single"/>
          <w:lang w:val="hu-HU"/>
        </w:rPr>
        <w:t>Major depressziós epizódok</w:t>
      </w:r>
    </w:p>
    <w:p w:rsidR="00AF6E51" w:rsidRDefault="000A4EAB">
      <w:pPr>
        <w:suppressAutoHyphens/>
        <w:autoSpaceDE w:val="0"/>
        <w:autoSpaceDN w:val="0"/>
        <w:adjustRightInd w:val="0"/>
        <w:rPr>
          <w:szCs w:val="22"/>
          <w:lang w:val="hu-HU"/>
        </w:rPr>
      </w:pPr>
      <w:r>
        <w:rPr>
          <w:szCs w:val="22"/>
          <w:lang w:val="hu-HU"/>
        </w:rPr>
        <w:t>Szokásos adag: 10 mg naponta egyszer. A beteg egyéni reakciójától függően a napi dózis legfeljebb 20 mg-ig növelhető.</w:t>
      </w:r>
    </w:p>
    <w:p w:rsidR="00AF6E51" w:rsidRDefault="000A4EAB">
      <w:pPr>
        <w:autoSpaceDE w:val="0"/>
        <w:autoSpaceDN w:val="0"/>
        <w:adjustRightInd w:val="0"/>
        <w:rPr>
          <w:szCs w:val="22"/>
          <w:lang w:val="hu-HU"/>
        </w:rPr>
      </w:pPr>
      <w:r>
        <w:rPr>
          <w:szCs w:val="22"/>
          <w:lang w:val="hu-HU"/>
        </w:rPr>
        <w:t>Általában 2-4 hét szükséges az antidepresszív hatás eléréséhez. A tünetek megszűnése után további, legalább 6 hónapos kezelés szükséges a terápiás válasz megszilárdításához.</w:t>
      </w:r>
    </w:p>
    <w:p w:rsidR="00AF6E51" w:rsidRDefault="00AF6E51">
      <w:pPr>
        <w:rPr>
          <w:szCs w:val="22"/>
          <w:lang w:val="hu-HU" w:eastAsia="en-US"/>
        </w:rPr>
      </w:pPr>
    </w:p>
    <w:p w:rsidR="00AF6E51" w:rsidRDefault="000A4EAB">
      <w:pPr>
        <w:autoSpaceDE w:val="0"/>
        <w:autoSpaceDN w:val="0"/>
        <w:adjustRightInd w:val="0"/>
        <w:rPr>
          <w:szCs w:val="22"/>
          <w:u w:val="single"/>
          <w:lang w:val="hu-HU"/>
        </w:rPr>
      </w:pPr>
      <w:r>
        <w:rPr>
          <w:szCs w:val="22"/>
          <w:u w:val="single"/>
          <w:lang w:val="hu-HU"/>
        </w:rPr>
        <w:t>Pánikzavar agorafóbiával, illetve anélkül</w:t>
      </w:r>
    </w:p>
    <w:p w:rsidR="00AF6E51" w:rsidRDefault="000A4EAB">
      <w:pPr>
        <w:autoSpaceDE w:val="0"/>
        <w:autoSpaceDN w:val="0"/>
        <w:adjustRightInd w:val="0"/>
        <w:rPr>
          <w:szCs w:val="22"/>
          <w:lang w:val="hu-HU"/>
        </w:rPr>
      </w:pPr>
      <w:r>
        <w:rPr>
          <w:szCs w:val="22"/>
          <w:lang w:val="hu-HU"/>
        </w:rPr>
        <w:t>Kezdő adagként 5 mg ajánlott az első hétre, mielőtt a dózist napi 10 mg-ra növelnék. A beteg egyéni reakciójától függően az adag tovább növelhető, legfeljebb napi 20 mg-ig.</w:t>
      </w:r>
    </w:p>
    <w:p w:rsidR="00AF6E51" w:rsidRDefault="000A4EAB">
      <w:pPr>
        <w:autoSpaceDE w:val="0"/>
        <w:autoSpaceDN w:val="0"/>
        <w:adjustRightInd w:val="0"/>
        <w:rPr>
          <w:i/>
          <w:iCs/>
          <w:szCs w:val="22"/>
          <w:lang w:val="hu-HU"/>
        </w:rPr>
      </w:pPr>
      <w:r>
        <w:rPr>
          <w:szCs w:val="22"/>
          <w:lang w:val="hu-HU"/>
        </w:rPr>
        <w:t>Maximális hatásosságát körülbelül 3 hónap után éri el. A kezelés több hónapig tart.</w:t>
      </w:r>
    </w:p>
    <w:p w:rsidR="00AF6E51" w:rsidRDefault="00AF6E51">
      <w:pPr>
        <w:rPr>
          <w:szCs w:val="22"/>
          <w:lang w:val="hu-HU" w:eastAsia="en-US"/>
        </w:rPr>
      </w:pPr>
    </w:p>
    <w:p w:rsidR="00AF6E51" w:rsidRDefault="000A4EAB">
      <w:pPr>
        <w:autoSpaceDE w:val="0"/>
        <w:autoSpaceDN w:val="0"/>
        <w:adjustRightInd w:val="0"/>
        <w:rPr>
          <w:szCs w:val="22"/>
          <w:u w:val="single"/>
          <w:lang w:val="hu-HU"/>
        </w:rPr>
      </w:pPr>
      <w:r>
        <w:rPr>
          <w:szCs w:val="22"/>
          <w:u w:val="single"/>
          <w:lang w:val="hu-HU"/>
        </w:rPr>
        <w:t>Szociális szorongásos zavar</w:t>
      </w:r>
    </w:p>
    <w:p w:rsidR="00AF6E51" w:rsidRDefault="000A4EAB">
      <w:pPr>
        <w:autoSpaceDE w:val="0"/>
        <w:autoSpaceDN w:val="0"/>
        <w:adjustRightInd w:val="0"/>
        <w:rPr>
          <w:szCs w:val="22"/>
          <w:lang w:val="hu-HU"/>
        </w:rPr>
      </w:pPr>
      <w:r>
        <w:rPr>
          <w:szCs w:val="22"/>
          <w:lang w:val="hu-HU"/>
        </w:rPr>
        <w:t>A szokásos adagolás 10 mg egyszer naponta. Általában 2-4 hét szükséges a tünetek enyhüléséhez. Ezt követően az adag – a beteg egyéni reakciójától függően – csökkenthető 5 mg-ra, vagy növelhető legfeljebb napi 20 mg-ig.</w:t>
      </w:r>
    </w:p>
    <w:p w:rsidR="00AF6E51" w:rsidRDefault="00AF6E51">
      <w:pPr>
        <w:rPr>
          <w:szCs w:val="22"/>
          <w:lang w:val="hu-HU" w:eastAsia="en-US"/>
        </w:rPr>
      </w:pPr>
    </w:p>
    <w:p w:rsidR="00AF6E51" w:rsidRDefault="000A4EAB">
      <w:pPr>
        <w:autoSpaceDE w:val="0"/>
        <w:autoSpaceDN w:val="0"/>
        <w:adjustRightInd w:val="0"/>
        <w:rPr>
          <w:i/>
          <w:iCs/>
          <w:szCs w:val="22"/>
          <w:lang w:val="hu-HU"/>
        </w:rPr>
      </w:pPr>
      <w:r>
        <w:rPr>
          <w:szCs w:val="22"/>
          <w:lang w:val="hu-HU"/>
        </w:rPr>
        <w:t>A szociális szorongásos zavar idült kórlefolyású betegség</w:t>
      </w:r>
      <w:r>
        <w:rPr>
          <w:szCs w:val="22"/>
          <w:lang w:val="en-US"/>
        </w:rPr>
        <w:t>;</w:t>
      </w:r>
      <w:r>
        <w:rPr>
          <w:szCs w:val="22"/>
          <w:lang w:val="hu-HU"/>
        </w:rPr>
        <w:t xml:space="preserve"> a terápiás válasz megszilárdításához 12 hetes kezelés javasolt. A kezelésre reagálók hosszú távú kezelését 6 hónapon át vizsgálták; egyénileg mérlegelhető a visszaesés megelőzése céljából – a terápia előnyeit rendszeres időközönként újra kell értékelni.</w:t>
      </w:r>
    </w:p>
    <w:p w:rsidR="00AF6E51" w:rsidRDefault="00AF6E51">
      <w:pPr>
        <w:rPr>
          <w:szCs w:val="22"/>
          <w:lang w:val="hu-HU" w:eastAsia="en-US"/>
        </w:rPr>
      </w:pPr>
    </w:p>
    <w:p w:rsidR="00AF6E51" w:rsidRDefault="000A4EAB">
      <w:pPr>
        <w:autoSpaceDE w:val="0"/>
        <w:autoSpaceDN w:val="0"/>
        <w:adjustRightInd w:val="0"/>
        <w:rPr>
          <w:szCs w:val="22"/>
          <w:lang w:val="hu-HU"/>
        </w:rPr>
      </w:pPr>
      <w:r>
        <w:rPr>
          <w:szCs w:val="22"/>
          <w:lang w:val="hu-HU"/>
        </w:rPr>
        <w:t>A „szociális szorongásos zavar” meghatározott rendellenességet leíró, pontosan meghatározott diagnosztikai fogalom, amely nem tévesztendő össze a túlzott szégyenlősséggel. Gyógyszeres kezelés csak akkor javallt, ha a rendellenesség jelentősen akadályozza a szakmai és a közösségi tevékenységeket.</w:t>
      </w:r>
    </w:p>
    <w:p w:rsidR="00AF6E51" w:rsidRDefault="00AF6E51">
      <w:pPr>
        <w:rPr>
          <w:szCs w:val="22"/>
          <w:lang w:val="hu-HU" w:eastAsia="en-US"/>
        </w:rPr>
      </w:pPr>
    </w:p>
    <w:p w:rsidR="00AF6E51" w:rsidRDefault="000A4EAB">
      <w:pPr>
        <w:autoSpaceDE w:val="0"/>
        <w:autoSpaceDN w:val="0"/>
        <w:adjustRightInd w:val="0"/>
        <w:rPr>
          <w:szCs w:val="22"/>
          <w:lang w:val="hu-HU"/>
        </w:rPr>
      </w:pPr>
      <w:r>
        <w:rPr>
          <w:szCs w:val="22"/>
          <w:lang w:val="hu-HU"/>
        </w:rPr>
        <w:t>Ennek a gyógymódnak a helyét a kognitív magatartásterápiához viszonyítva nem értékelték. A gyógyszeres kezelés az átfogó kezelési stratégia része.</w:t>
      </w:r>
    </w:p>
    <w:p w:rsidR="00AF6E51" w:rsidRDefault="00AF6E51">
      <w:pPr>
        <w:rPr>
          <w:szCs w:val="22"/>
          <w:lang w:val="hu-HU" w:eastAsia="en-US"/>
        </w:rPr>
      </w:pPr>
    </w:p>
    <w:p w:rsidR="00AF6E51" w:rsidRDefault="000A4EAB">
      <w:pPr>
        <w:autoSpaceDE w:val="0"/>
        <w:autoSpaceDN w:val="0"/>
        <w:adjustRightInd w:val="0"/>
        <w:rPr>
          <w:szCs w:val="22"/>
          <w:u w:val="single"/>
          <w:lang w:val="hu-HU"/>
        </w:rPr>
      </w:pPr>
      <w:r>
        <w:rPr>
          <w:szCs w:val="22"/>
          <w:u w:val="single"/>
          <w:lang w:val="hu-HU"/>
        </w:rPr>
        <w:t>Generalizált szorongás</w:t>
      </w:r>
    </w:p>
    <w:p w:rsidR="00AF6E51" w:rsidRDefault="000A4EAB">
      <w:pPr>
        <w:autoSpaceDE w:val="0"/>
        <w:autoSpaceDN w:val="0"/>
        <w:adjustRightInd w:val="0"/>
        <w:rPr>
          <w:szCs w:val="22"/>
          <w:lang w:val="hu-HU"/>
        </w:rPr>
      </w:pPr>
      <w:r>
        <w:rPr>
          <w:szCs w:val="22"/>
          <w:lang w:val="hu-HU"/>
        </w:rPr>
        <w:t>A kezdő adag 10 mg egyszer naponta. A beteg egyéni terápiás válaszától függően az adag legfeljebb napi 20 mg-ig növelhető.</w:t>
      </w:r>
    </w:p>
    <w:p w:rsidR="00AF6E51" w:rsidRDefault="000A4EAB">
      <w:pPr>
        <w:autoSpaceDE w:val="0"/>
        <w:autoSpaceDN w:val="0"/>
        <w:adjustRightInd w:val="0"/>
        <w:rPr>
          <w:szCs w:val="22"/>
          <w:lang w:val="hu-HU"/>
        </w:rPr>
      </w:pPr>
      <w:r>
        <w:rPr>
          <w:szCs w:val="22"/>
          <w:lang w:val="hu-HU"/>
        </w:rPr>
        <w:lastRenderedPageBreak/>
        <w:t>A reszponderek hosszú távú kezelését napi 20 mg-mal kezelt betegeken tanulmányozták, legalább 6 hónapon át. A terápia előnyeit és a gyógyszeradagot rendszeres időközönként újra kell értékelni (lásd 5.1 pont).</w:t>
      </w:r>
    </w:p>
    <w:p w:rsidR="00AF6E51" w:rsidRDefault="00AF6E51">
      <w:pPr>
        <w:rPr>
          <w:szCs w:val="22"/>
          <w:lang w:val="hu-HU" w:eastAsia="en-US"/>
        </w:rPr>
      </w:pPr>
    </w:p>
    <w:p w:rsidR="00AF6E51" w:rsidRDefault="000A4EAB">
      <w:pPr>
        <w:keepNext/>
        <w:autoSpaceDE w:val="0"/>
        <w:autoSpaceDN w:val="0"/>
        <w:adjustRightInd w:val="0"/>
        <w:rPr>
          <w:szCs w:val="22"/>
          <w:u w:val="single"/>
          <w:lang w:val="hu-HU"/>
        </w:rPr>
      </w:pPr>
      <w:r>
        <w:rPr>
          <w:szCs w:val="22"/>
          <w:u w:val="single"/>
          <w:lang w:val="hu-HU"/>
        </w:rPr>
        <w:t>Kényszeres-rögeszmés zavar</w:t>
      </w:r>
    </w:p>
    <w:p w:rsidR="00AF6E51" w:rsidRDefault="000A4EAB">
      <w:pPr>
        <w:autoSpaceDE w:val="0"/>
        <w:autoSpaceDN w:val="0"/>
        <w:adjustRightInd w:val="0"/>
        <w:rPr>
          <w:szCs w:val="22"/>
          <w:lang w:val="hu-HU"/>
        </w:rPr>
      </w:pPr>
      <w:r>
        <w:rPr>
          <w:szCs w:val="22"/>
          <w:lang w:val="hu-HU"/>
        </w:rPr>
        <w:t>A kezdő adag 10 mg naponta egyszer. A beteg egyéni terápiás válaszától függően az adag maximum napi 20 mg-ig emelhető.</w:t>
      </w:r>
    </w:p>
    <w:p w:rsidR="00AF6E51" w:rsidRDefault="000A4EAB">
      <w:pPr>
        <w:autoSpaceDE w:val="0"/>
        <w:autoSpaceDN w:val="0"/>
        <w:adjustRightInd w:val="0"/>
        <w:rPr>
          <w:szCs w:val="22"/>
          <w:lang w:val="hu-HU"/>
        </w:rPr>
      </w:pPr>
      <w:r>
        <w:rPr>
          <w:szCs w:val="22"/>
          <w:lang w:val="hu-HU"/>
        </w:rPr>
        <w:t>A kényszeres-rögeszmés zavar idült betegség, a tünetmentesség biztosítása érdekében a betegeket elegendően hosszú ideig kell kezelni.</w:t>
      </w:r>
    </w:p>
    <w:p w:rsidR="00AF6E51" w:rsidRDefault="000A4EAB">
      <w:pPr>
        <w:autoSpaceDE w:val="0"/>
        <w:autoSpaceDN w:val="0"/>
        <w:adjustRightInd w:val="0"/>
        <w:rPr>
          <w:szCs w:val="22"/>
          <w:lang w:val="hu-HU"/>
        </w:rPr>
      </w:pPr>
      <w:r>
        <w:rPr>
          <w:szCs w:val="22"/>
          <w:lang w:val="hu-HU"/>
        </w:rPr>
        <w:t xml:space="preserve">A terápiás előnyöket és az alkalmazott adagot rendszeres időközönként újra kell értékelni (lásd 5.1 pont). </w:t>
      </w:r>
    </w:p>
    <w:p w:rsidR="00AF6E51" w:rsidRDefault="00AF6E51">
      <w:pPr>
        <w:rPr>
          <w:szCs w:val="22"/>
          <w:lang w:val="hu-HU" w:eastAsia="en-US"/>
        </w:rPr>
      </w:pPr>
    </w:p>
    <w:p w:rsidR="00AF6E51" w:rsidRDefault="000A4EAB">
      <w:pPr>
        <w:autoSpaceDE w:val="0"/>
        <w:autoSpaceDN w:val="0"/>
        <w:adjustRightInd w:val="0"/>
        <w:rPr>
          <w:b/>
          <w:bCs/>
          <w:szCs w:val="22"/>
          <w:lang w:val="hu-HU"/>
        </w:rPr>
      </w:pPr>
      <w:r>
        <w:rPr>
          <w:szCs w:val="22"/>
          <w:u w:val="single"/>
          <w:lang w:val="hu-HU"/>
        </w:rPr>
        <w:t>Idősek (65 éves kor felett)</w:t>
      </w:r>
    </w:p>
    <w:p w:rsidR="00AF6E51" w:rsidRDefault="000A4EAB">
      <w:pPr>
        <w:autoSpaceDE w:val="0"/>
        <w:autoSpaceDN w:val="0"/>
        <w:adjustRightInd w:val="0"/>
        <w:rPr>
          <w:szCs w:val="22"/>
          <w:lang w:val="hu-HU"/>
        </w:rPr>
      </w:pPr>
      <w:r>
        <w:rPr>
          <w:szCs w:val="22"/>
          <w:lang w:val="hu-HU"/>
        </w:rPr>
        <w:t>A kezdő adag 5 mg egyszer naponta. A beteg egyéni reakciójától függően az adag napi 10 mg-ig növelhető (lásd 5.2 pont).</w:t>
      </w:r>
    </w:p>
    <w:p w:rsidR="00AF6E51" w:rsidRDefault="000A4EAB">
      <w:pPr>
        <w:autoSpaceDE w:val="0"/>
        <w:autoSpaceDN w:val="0"/>
        <w:adjustRightInd w:val="0"/>
        <w:rPr>
          <w:szCs w:val="22"/>
          <w:u w:val="single"/>
          <w:lang w:val="hu-HU"/>
        </w:rPr>
      </w:pPr>
      <w:r>
        <w:rPr>
          <w:szCs w:val="22"/>
          <w:lang w:val="hu-HU"/>
        </w:rPr>
        <w:t>Az Elicea Q-Tab hatásosságát szociális szorongásos zavarban szenvedő idős betegeken nem vizsgálták.</w:t>
      </w:r>
    </w:p>
    <w:p w:rsidR="00AF6E51" w:rsidRDefault="00AF6E51">
      <w:pPr>
        <w:rPr>
          <w:szCs w:val="22"/>
          <w:lang w:val="hu-HU" w:eastAsia="en-US"/>
        </w:rPr>
      </w:pPr>
    </w:p>
    <w:p w:rsidR="00AF6E51" w:rsidRDefault="000A4EAB">
      <w:pPr>
        <w:autoSpaceDE w:val="0"/>
        <w:autoSpaceDN w:val="0"/>
        <w:adjustRightInd w:val="0"/>
        <w:rPr>
          <w:szCs w:val="22"/>
          <w:lang w:val="hu-HU"/>
        </w:rPr>
      </w:pPr>
      <w:r>
        <w:rPr>
          <w:szCs w:val="22"/>
          <w:u w:val="single"/>
          <w:lang w:val="hu-HU"/>
        </w:rPr>
        <w:t>Gyermekek és serdülők</w:t>
      </w:r>
    </w:p>
    <w:p w:rsidR="00AF6E51" w:rsidRDefault="000A4EAB">
      <w:pPr>
        <w:autoSpaceDE w:val="0"/>
        <w:autoSpaceDN w:val="0"/>
        <w:adjustRightInd w:val="0"/>
        <w:rPr>
          <w:szCs w:val="22"/>
          <w:lang w:val="hu-HU"/>
        </w:rPr>
      </w:pPr>
      <w:r>
        <w:rPr>
          <w:szCs w:val="22"/>
          <w:lang w:val="hu-HU"/>
        </w:rPr>
        <w:t xml:space="preserve">Az </w:t>
      </w:r>
      <w:r>
        <w:rPr>
          <w:szCs w:val="22"/>
          <w:lang w:val="hu-HU" w:eastAsia="en-US"/>
        </w:rPr>
        <w:t xml:space="preserve">Elicea Q-Tab-ot </w:t>
      </w:r>
      <w:r>
        <w:rPr>
          <w:szCs w:val="22"/>
          <w:lang w:val="hu-HU"/>
        </w:rPr>
        <w:t>nem szabad 18 év alatti gyermekek és serdülők kezelésére alkalmazni (lásd 4.4 pont).</w:t>
      </w:r>
    </w:p>
    <w:p w:rsidR="00AF6E51" w:rsidRDefault="00AF6E51">
      <w:pPr>
        <w:rPr>
          <w:szCs w:val="22"/>
          <w:lang w:val="hu-HU" w:eastAsia="en-US"/>
        </w:rPr>
      </w:pPr>
    </w:p>
    <w:p w:rsidR="00AF6E51" w:rsidRDefault="000A4EAB">
      <w:pPr>
        <w:rPr>
          <w:szCs w:val="22"/>
          <w:u w:val="single"/>
          <w:lang w:val="hu-HU" w:eastAsia="en-US"/>
        </w:rPr>
      </w:pPr>
      <w:r>
        <w:rPr>
          <w:szCs w:val="22"/>
          <w:u w:val="single"/>
          <w:lang w:val="hu-HU" w:eastAsia="en-US"/>
        </w:rPr>
        <w:t>Vesekárosodás</w:t>
      </w:r>
    </w:p>
    <w:p w:rsidR="00AF6E51" w:rsidRDefault="000A4EAB">
      <w:pPr>
        <w:autoSpaceDE w:val="0"/>
        <w:autoSpaceDN w:val="0"/>
        <w:adjustRightInd w:val="0"/>
        <w:rPr>
          <w:szCs w:val="22"/>
          <w:lang w:val="hu-HU"/>
        </w:rPr>
      </w:pPr>
      <w:r>
        <w:rPr>
          <w:szCs w:val="22"/>
          <w:lang w:val="hu-HU"/>
        </w:rPr>
        <w:t>Enyhe-mérsékelt vesekárosodásban szenvedő betegeknél nincs szükség az adagolás módosítására. Súlyos vesekárosodásban szenvedő betegeknél (CL</w:t>
      </w:r>
      <w:r>
        <w:rPr>
          <w:szCs w:val="22"/>
          <w:vertAlign w:val="subscript"/>
          <w:lang w:val="hu-HU"/>
        </w:rPr>
        <w:t>CR</w:t>
      </w:r>
      <w:r>
        <w:rPr>
          <w:szCs w:val="22"/>
          <w:lang w:val="hu-HU"/>
        </w:rPr>
        <w:t xml:space="preserve"> &lt;30 ml/perc) körültekintés ajánlott (lásd 5.2 pont).</w:t>
      </w:r>
    </w:p>
    <w:p w:rsidR="00AF6E51" w:rsidRDefault="00AF6E51">
      <w:pPr>
        <w:rPr>
          <w:szCs w:val="22"/>
          <w:lang w:val="hu-HU" w:eastAsia="en-US"/>
        </w:rPr>
      </w:pPr>
    </w:p>
    <w:p w:rsidR="00AF6E51" w:rsidRDefault="000A4EAB">
      <w:pPr>
        <w:rPr>
          <w:szCs w:val="22"/>
          <w:u w:val="single"/>
          <w:lang w:val="hu-HU" w:eastAsia="en-US"/>
        </w:rPr>
      </w:pPr>
      <w:r>
        <w:rPr>
          <w:szCs w:val="22"/>
          <w:u w:val="single"/>
          <w:lang w:val="hu-HU" w:eastAsia="en-US"/>
        </w:rPr>
        <w:t>Májkárosodás</w:t>
      </w:r>
    </w:p>
    <w:p w:rsidR="00AF6E51" w:rsidRDefault="000A4EAB">
      <w:pPr>
        <w:autoSpaceDE w:val="0"/>
        <w:autoSpaceDN w:val="0"/>
        <w:adjustRightInd w:val="0"/>
        <w:rPr>
          <w:szCs w:val="22"/>
          <w:lang w:val="hu-HU"/>
        </w:rPr>
      </w:pPr>
      <w:r>
        <w:rPr>
          <w:szCs w:val="22"/>
          <w:lang w:val="hu-HU"/>
        </w:rPr>
        <w:t>Enyhe-mérsékelt májkárosodásban szenvedő betegeknél az első 2 héten az ajánlott kezdő adag 5 mg naponta. A beteg egyéni reakciójától függően az adag napi 10 mg-ig növelhető. A súlyos májkárosodásban szenvedő betegeknél elővigyázatosság és rendkívül óvatos dózisemelés javasolt (lásd 5.2 pont).</w:t>
      </w:r>
    </w:p>
    <w:p w:rsidR="00AF6E51" w:rsidRDefault="00AF6E51">
      <w:pPr>
        <w:autoSpaceDE w:val="0"/>
        <w:autoSpaceDN w:val="0"/>
        <w:adjustRightInd w:val="0"/>
        <w:rPr>
          <w:szCs w:val="22"/>
          <w:lang w:val="hu-HU"/>
        </w:rPr>
      </w:pPr>
    </w:p>
    <w:p w:rsidR="00AF6E51" w:rsidRDefault="000A4EAB">
      <w:pPr>
        <w:autoSpaceDE w:val="0"/>
        <w:autoSpaceDN w:val="0"/>
        <w:adjustRightInd w:val="0"/>
        <w:rPr>
          <w:szCs w:val="22"/>
          <w:u w:val="single"/>
          <w:lang w:val="hu-HU"/>
        </w:rPr>
      </w:pPr>
      <w:r>
        <w:rPr>
          <w:szCs w:val="22"/>
          <w:u w:val="single"/>
          <w:lang w:val="hu-HU"/>
        </w:rPr>
        <w:t>Gyenge CYP2C19 metabolizálók</w:t>
      </w:r>
    </w:p>
    <w:p w:rsidR="00AF6E51" w:rsidRDefault="000A4EAB">
      <w:pPr>
        <w:autoSpaceDE w:val="0"/>
        <w:autoSpaceDN w:val="0"/>
        <w:adjustRightInd w:val="0"/>
        <w:rPr>
          <w:szCs w:val="22"/>
          <w:lang w:val="hu-HU"/>
        </w:rPr>
      </w:pPr>
      <w:r>
        <w:rPr>
          <w:szCs w:val="22"/>
          <w:lang w:val="hu-HU"/>
        </w:rPr>
        <w:t>Ismerten gyenge CYP2C19 metabolizáló betegek számára a kezelés első 2 hetében az ajánlott kezdő adag 5 mg naponta. A beteg egyéni reakciójától függően az adag 10 mg-ig növelhető (lásd 5.2 pont).</w:t>
      </w:r>
    </w:p>
    <w:p w:rsidR="00AF6E51" w:rsidRDefault="00AF6E51">
      <w:pPr>
        <w:rPr>
          <w:szCs w:val="22"/>
          <w:lang w:val="hu-HU" w:eastAsia="en-US"/>
        </w:rPr>
      </w:pPr>
    </w:p>
    <w:p w:rsidR="00AF6E51" w:rsidRDefault="000A4EAB">
      <w:pPr>
        <w:autoSpaceDE w:val="0"/>
        <w:autoSpaceDN w:val="0"/>
        <w:adjustRightInd w:val="0"/>
        <w:rPr>
          <w:szCs w:val="22"/>
          <w:u w:val="single"/>
          <w:lang w:val="hu-HU"/>
        </w:rPr>
      </w:pPr>
      <w:r>
        <w:rPr>
          <w:szCs w:val="22"/>
          <w:u w:val="single"/>
          <w:lang w:val="hu-HU"/>
        </w:rPr>
        <w:t>A kezelés leállításakor jelentkező tünetek</w:t>
      </w:r>
    </w:p>
    <w:p w:rsidR="00AF6E51" w:rsidRDefault="000A4EAB">
      <w:pPr>
        <w:autoSpaceDE w:val="0"/>
        <w:autoSpaceDN w:val="0"/>
        <w:adjustRightInd w:val="0"/>
        <w:rPr>
          <w:szCs w:val="22"/>
          <w:u w:val="single"/>
          <w:lang w:val="hu-HU" w:eastAsia="en-US"/>
        </w:rPr>
      </w:pPr>
      <w:r>
        <w:rPr>
          <w:color w:val="000000"/>
          <w:szCs w:val="22"/>
          <w:lang w:val="hu-HU"/>
        </w:rPr>
        <w:t>A kezelés hirtelen leállítása kerülendő. Az eszcitaloprám-kezelés leállításakor az adagot fokozatosan kell csökkenteni, legalább 1</w:t>
      </w:r>
      <w:r>
        <w:rPr>
          <w:color w:val="000000"/>
          <w:szCs w:val="22"/>
          <w:lang w:val="hu-HU"/>
        </w:rPr>
        <w:noBreakHyphen/>
        <w:t>2 héten át, hogy csökkentsük a megvonási tünetek kockázatát (lásd 4.4 és 4.8 pont). Ha elviselhetetlen tünetek lépnek fel a dózis csökkentését követően vagy a kezelés megszakításakor, akkor megfontolható az előzőleg rendelt adag visszaállítása. Ezt követően a kezelőorvos folytathatja a dóziscsökkentést, azonban a korábbinál fokozatosabban.</w:t>
      </w:r>
    </w:p>
    <w:p w:rsidR="00AF6E51" w:rsidRDefault="00AF6E51">
      <w:pPr>
        <w:rPr>
          <w:szCs w:val="22"/>
          <w:lang w:val="hu-HU" w:eastAsia="en-US"/>
        </w:rPr>
      </w:pPr>
    </w:p>
    <w:p w:rsidR="00AF6E51" w:rsidRDefault="000A4EAB">
      <w:pPr>
        <w:autoSpaceDE w:val="0"/>
        <w:autoSpaceDN w:val="0"/>
        <w:adjustRightInd w:val="0"/>
        <w:rPr>
          <w:szCs w:val="22"/>
          <w:u w:val="single"/>
          <w:lang w:val="hu-HU" w:eastAsia="en-US"/>
        </w:rPr>
      </w:pPr>
      <w:r>
        <w:rPr>
          <w:szCs w:val="22"/>
          <w:u w:val="single"/>
          <w:lang w:val="hu-HU" w:eastAsia="en-US"/>
        </w:rPr>
        <w:t>Az alkalmazás módja</w:t>
      </w:r>
    </w:p>
    <w:p w:rsidR="00AF6E51" w:rsidRDefault="00AF6E51">
      <w:pPr>
        <w:autoSpaceDE w:val="0"/>
        <w:autoSpaceDN w:val="0"/>
        <w:adjustRightInd w:val="0"/>
        <w:rPr>
          <w:szCs w:val="22"/>
          <w:u w:val="single"/>
          <w:lang w:val="hu-HU" w:eastAsia="en-US"/>
        </w:rPr>
      </w:pPr>
    </w:p>
    <w:p w:rsidR="00AF6E51" w:rsidRDefault="000A4EAB">
      <w:pPr>
        <w:autoSpaceDE w:val="0"/>
        <w:autoSpaceDN w:val="0"/>
        <w:adjustRightInd w:val="0"/>
        <w:rPr>
          <w:szCs w:val="22"/>
          <w:lang w:val="hu-HU"/>
        </w:rPr>
      </w:pPr>
      <w:r>
        <w:rPr>
          <w:szCs w:val="22"/>
          <w:lang w:val="hu-HU"/>
        </w:rPr>
        <w:t>Az Elicea Q-Tab-ot napi egyszeri dózisként kell alkalmazni és étel nélkül kell bevenni. A tablettát a nyelvre kell helyezni, ahol gyorsan szétesik és víz nélkül lenyelhető. A szájban diszpergálódó tabletta törékeny, kíméletesen kell bánni vele. A tablettán nincs törővonal, nem osztható egyenlő adagokra.</w:t>
      </w:r>
    </w:p>
    <w:p w:rsidR="00AF6E51" w:rsidRDefault="00AF6E51">
      <w:pPr>
        <w:rPr>
          <w:szCs w:val="22"/>
          <w:lang w:val="hu-HU"/>
        </w:rPr>
      </w:pPr>
    </w:p>
    <w:p w:rsidR="00AF6E51" w:rsidRDefault="000A4EAB">
      <w:pPr>
        <w:rPr>
          <w:szCs w:val="22"/>
          <w:lang w:val="hu-HU"/>
        </w:rPr>
      </w:pPr>
      <w:r>
        <w:rPr>
          <w:szCs w:val="22"/>
          <w:lang w:val="hu-HU"/>
        </w:rPr>
        <w:t>A szájban diszpergálódó tabletta az előnyben részesített gyógyszerforma azon betegek számára, akiknek nehezére esik lenyelni a hagyományos tablettákat, vagy olyan helyzetekben, ahol nem áll rendelkezésre folyadék.</w:t>
      </w:r>
    </w:p>
    <w:p w:rsidR="00AF6E51" w:rsidRDefault="00AF6E51">
      <w:pPr>
        <w:rPr>
          <w:szCs w:val="22"/>
          <w:lang w:val="hu-HU"/>
        </w:rPr>
      </w:pPr>
    </w:p>
    <w:p w:rsidR="00AF6E51" w:rsidRDefault="000A4EAB">
      <w:pPr>
        <w:tabs>
          <w:tab w:val="left" w:pos="567"/>
        </w:tabs>
        <w:rPr>
          <w:szCs w:val="22"/>
          <w:lang w:val="hu-HU"/>
        </w:rPr>
      </w:pPr>
      <w:r>
        <w:rPr>
          <w:szCs w:val="22"/>
          <w:lang w:val="hu-HU"/>
        </w:rPr>
        <w:t>Az eszcitaloprám szájban diszpergálódó tabletta bioekvivalens az eszcitaloprám filmtablettákkal, felszívódásának üteme és mértéke hasonló. Adagolása és az alkalmazás gyakorisága megegyezik az eszcitaloprám filmtablettákéval. Az eszcitaloprám szájban diszpergálódó tabletta az eszcitaloprám filmtabletta helyett alkalmazható.</w:t>
      </w:r>
    </w:p>
    <w:p w:rsidR="00AF6E51" w:rsidRDefault="00AF6E51">
      <w:pPr>
        <w:tabs>
          <w:tab w:val="left" w:pos="567"/>
        </w:tabs>
        <w:rPr>
          <w:szCs w:val="22"/>
          <w:lang w:val="hu-HU" w:eastAsia="en-US"/>
        </w:rPr>
      </w:pPr>
    </w:p>
    <w:p w:rsidR="00AF6E51" w:rsidRDefault="000A4EAB">
      <w:pPr>
        <w:keepNext/>
        <w:tabs>
          <w:tab w:val="left" w:pos="567"/>
        </w:tabs>
        <w:rPr>
          <w:szCs w:val="22"/>
          <w:lang w:val="hu-HU" w:eastAsia="en-US"/>
        </w:rPr>
      </w:pPr>
      <w:r>
        <w:rPr>
          <w:b/>
          <w:szCs w:val="22"/>
          <w:lang w:val="hu-HU" w:eastAsia="en-US"/>
        </w:rPr>
        <w:t>4.3</w:t>
      </w:r>
      <w:r>
        <w:rPr>
          <w:b/>
          <w:szCs w:val="22"/>
          <w:lang w:val="hu-HU" w:eastAsia="en-US"/>
        </w:rPr>
        <w:tab/>
        <w:t>Ellenjavallatok</w:t>
      </w:r>
    </w:p>
    <w:p w:rsidR="00AF6E51" w:rsidRDefault="00AF6E51">
      <w:pPr>
        <w:keepNext/>
        <w:tabs>
          <w:tab w:val="left" w:pos="567"/>
        </w:tabs>
        <w:rPr>
          <w:szCs w:val="22"/>
          <w:lang w:val="hu-HU" w:eastAsia="en-US"/>
        </w:rPr>
      </w:pPr>
    </w:p>
    <w:p w:rsidR="00AF6E51" w:rsidRDefault="000A4EAB">
      <w:pPr>
        <w:autoSpaceDE w:val="0"/>
        <w:autoSpaceDN w:val="0"/>
        <w:adjustRightInd w:val="0"/>
        <w:rPr>
          <w:szCs w:val="22"/>
          <w:lang w:val="hu-HU" w:eastAsia="en-US"/>
        </w:rPr>
      </w:pPr>
      <w:r>
        <w:rPr>
          <w:szCs w:val="22"/>
          <w:lang w:val="hu-HU" w:eastAsia="en-US"/>
        </w:rPr>
        <w:t>A készítmény hatóanyagával vagy a 6.1 pontban felsorolt bármely segédanyagával szembeni túlérzékenység.</w:t>
      </w:r>
    </w:p>
    <w:p w:rsidR="00AF6E51" w:rsidRDefault="000A4EAB">
      <w:pPr>
        <w:autoSpaceDE w:val="0"/>
        <w:autoSpaceDN w:val="0"/>
        <w:adjustRightInd w:val="0"/>
        <w:rPr>
          <w:szCs w:val="22"/>
          <w:lang w:val="hu-HU"/>
        </w:rPr>
      </w:pPr>
      <w:r>
        <w:rPr>
          <w:szCs w:val="22"/>
          <w:lang w:val="hu-HU" w:eastAsia="en-US"/>
        </w:rPr>
        <w:t>Az egyidejű kezelés nem szelektív, irreverzibilis monoaminoxidáz-gátlókkal (MAO-inhibitorokkal) az izgatottsággal, remegéssel, hyperthermiával járó szerotonin szindróma kockázata miatt ellenjavallt (lásd 4.5 pont).</w:t>
      </w:r>
    </w:p>
    <w:p w:rsidR="00AF6E51" w:rsidRDefault="00AF6E51">
      <w:pPr>
        <w:tabs>
          <w:tab w:val="left" w:pos="567"/>
        </w:tabs>
        <w:rPr>
          <w:szCs w:val="22"/>
          <w:lang w:val="hu-HU" w:eastAsia="en-US"/>
        </w:rPr>
      </w:pPr>
    </w:p>
    <w:p w:rsidR="00AF6E51" w:rsidRDefault="000A4EAB">
      <w:pPr>
        <w:tabs>
          <w:tab w:val="left" w:pos="567"/>
        </w:tabs>
        <w:rPr>
          <w:szCs w:val="22"/>
          <w:lang w:val="hu-HU" w:eastAsia="en-US"/>
        </w:rPr>
      </w:pPr>
      <w:r>
        <w:rPr>
          <w:szCs w:val="22"/>
          <w:lang w:val="hu-HU" w:eastAsia="en-US"/>
        </w:rPr>
        <w:t xml:space="preserve">Az eszcitaloprám kombinálása </w:t>
      </w:r>
      <w:r>
        <w:rPr>
          <w:i/>
          <w:szCs w:val="22"/>
          <w:lang w:val="hu-HU" w:eastAsia="en-US"/>
        </w:rPr>
        <w:t>reverzibilis</w:t>
      </w:r>
      <w:r>
        <w:rPr>
          <w:szCs w:val="22"/>
          <w:lang w:val="hu-HU" w:eastAsia="en-US"/>
        </w:rPr>
        <w:t xml:space="preserve"> MAO-A gátlókkal (például moklobemid) vagy a </w:t>
      </w:r>
      <w:r>
        <w:rPr>
          <w:i/>
          <w:szCs w:val="22"/>
          <w:lang w:val="hu-HU" w:eastAsia="en-US"/>
        </w:rPr>
        <w:t>reverzibilis, nem szelektív</w:t>
      </w:r>
      <w:r>
        <w:rPr>
          <w:szCs w:val="22"/>
          <w:lang w:val="hu-HU" w:eastAsia="en-US"/>
        </w:rPr>
        <w:t xml:space="preserve"> MAO-gátló linezoliddal szerotonin szindróma kialakulásának kockázata miatt ellenjavallt (lásd 4.5 pont).</w:t>
      </w:r>
    </w:p>
    <w:p w:rsidR="00AF6E51" w:rsidRDefault="00AF6E51">
      <w:pPr>
        <w:rPr>
          <w:szCs w:val="22"/>
          <w:lang w:val="hu-HU" w:eastAsia="en-US"/>
        </w:rPr>
      </w:pPr>
    </w:p>
    <w:p w:rsidR="00AF6E51" w:rsidRDefault="000A4EAB">
      <w:pPr>
        <w:rPr>
          <w:szCs w:val="22"/>
          <w:lang w:val="hu-HU"/>
        </w:rPr>
      </w:pPr>
      <w:r>
        <w:rPr>
          <w:szCs w:val="22"/>
          <w:lang w:val="hu-HU"/>
        </w:rPr>
        <w:t>Az eszcitaloprám ellenjavallt olyan betegeknél, akiknél ismert a QT-intervallum megnyúlása, vagy a veleszületett hosszú QT-szindróma fennállása.</w:t>
      </w:r>
    </w:p>
    <w:p w:rsidR="00AF6E51" w:rsidRDefault="000A4EAB">
      <w:pPr>
        <w:rPr>
          <w:spacing w:val="-3"/>
          <w:szCs w:val="22"/>
          <w:lang w:val="hu-HU"/>
        </w:rPr>
      </w:pPr>
      <w:r>
        <w:rPr>
          <w:spacing w:val="-3"/>
          <w:szCs w:val="22"/>
          <w:lang w:val="hu-HU"/>
        </w:rPr>
        <w:t>Az eszcitaloprámot ellenjavallt együtt adni a QT-intervallumot tudottan megnyújtó gyógyszerekkel (lásd 4.5 pont).</w:t>
      </w:r>
    </w:p>
    <w:p w:rsidR="00AF6E51" w:rsidRDefault="00AF6E51">
      <w:pPr>
        <w:rPr>
          <w:spacing w:val="-3"/>
          <w:szCs w:val="22"/>
          <w:lang w:val="hu-HU"/>
        </w:rPr>
      </w:pPr>
    </w:p>
    <w:p w:rsidR="00AF6E51" w:rsidRDefault="000A4EAB">
      <w:pPr>
        <w:suppressAutoHyphens/>
        <w:ind w:left="567" w:hanging="567"/>
        <w:rPr>
          <w:b/>
          <w:szCs w:val="22"/>
          <w:lang w:val="hu-HU"/>
        </w:rPr>
      </w:pPr>
      <w:r>
        <w:rPr>
          <w:b/>
          <w:szCs w:val="22"/>
          <w:lang w:val="hu-HU"/>
        </w:rPr>
        <w:t>4.4</w:t>
      </w:r>
      <w:r>
        <w:rPr>
          <w:b/>
          <w:szCs w:val="22"/>
          <w:lang w:val="hu-HU"/>
        </w:rPr>
        <w:tab/>
        <w:t>Különleges figyelmeztetések és az alkalmazással kapcsolatos óvintézkedések</w:t>
      </w:r>
    </w:p>
    <w:p w:rsidR="00AF6E51" w:rsidRDefault="00AF6E51">
      <w:pPr>
        <w:tabs>
          <w:tab w:val="left" w:pos="567"/>
        </w:tabs>
        <w:rPr>
          <w:szCs w:val="22"/>
          <w:lang w:val="hu-HU" w:eastAsia="en-US"/>
        </w:rPr>
      </w:pPr>
    </w:p>
    <w:p w:rsidR="00AF6E51" w:rsidRDefault="000A4EAB">
      <w:pPr>
        <w:tabs>
          <w:tab w:val="left" w:pos="1134"/>
        </w:tabs>
        <w:autoSpaceDE w:val="0"/>
        <w:autoSpaceDN w:val="0"/>
        <w:adjustRightInd w:val="0"/>
        <w:rPr>
          <w:i/>
          <w:iCs/>
          <w:szCs w:val="22"/>
          <w:lang w:val="hu-HU"/>
        </w:rPr>
      </w:pPr>
      <w:r>
        <w:rPr>
          <w:szCs w:val="22"/>
          <w:lang w:val="hu-HU"/>
        </w:rPr>
        <w:t>A következő különleges figyelmeztetések és óvatossági intézkedések az SSRI-k (szelektív szerotonin visszavétel-gátlók) terápiás osztályára vonatkoznak.</w:t>
      </w:r>
    </w:p>
    <w:p w:rsidR="00AF6E51" w:rsidRDefault="00AF6E51">
      <w:pPr>
        <w:rPr>
          <w:szCs w:val="22"/>
          <w:lang w:val="hu-HU" w:eastAsia="en-US"/>
        </w:rPr>
      </w:pPr>
    </w:p>
    <w:p w:rsidR="00AF6E51" w:rsidRDefault="000A4EAB">
      <w:pPr>
        <w:outlineLvl w:val="0"/>
        <w:rPr>
          <w:szCs w:val="22"/>
          <w:u w:val="single"/>
          <w:lang w:val="hu-HU" w:eastAsia="en-US"/>
        </w:rPr>
      </w:pPr>
      <w:r>
        <w:rPr>
          <w:szCs w:val="22"/>
          <w:u w:val="single"/>
          <w:lang w:val="hu-HU" w:eastAsia="en-US"/>
        </w:rPr>
        <w:t>Gyermekek és serdülők</w:t>
      </w:r>
    </w:p>
    <w:p w:rsidR="00AF6E51" w:rsidRDefault="000A4EAB">
      <w:pPr>
        <w:tabs>
          <w:tab w:val="left" w:pos="1134"/>
        </w:tabs>
        <w:autoSpaceDE w:val="0"/>
        <w:autoSpaceDN w:val="0"/>
        <w:adjustRightInd w:val="0"/>
        <w:rPr>
          <w:i/>
          <w:iCs/>
          <w:szCs w:val="22"/>
          <w:lang w:val="hu-HU"/>
        </w:rPr>
      </w:pPr>
      <w:r>
        <w:rPr>
          <w:szCs w:val="22"/>
          <w:lang w:val="hu-HU" w:eastAsia="en-US"/>
        </w:rPr>
        <w:t xml:space="preserve">Az Elicea Q-Tab </w:t>
      </w:r>
      <w:r>
        <w:rPr>
          <w:szCs w:val="22"/>
          <w:lang w:val="hu-HU"/>
        </w:rPr>
        <w:t>nem alkalmazható gyermekek és serdülők kezelésére. A klinikai vizsgálatok során antidepresszánsokkal kezelt gyermekek és serdülők körében gyakrabban figyeltek meg szuicid viselkedést (öngyilkossági gondolatokat és kísérletet), valamint ellenséges magatartást (túlnyomórészt erőszakos viselkedést, ellenkezést és dühöt), mint a placebóval kezelt csoportban. Ha a klinikai állapot miatt mégis a kezelés mellett döntenek, akkor a beteget gondosan meg kell figyelni, hogy jelentkeznek-e rajta az öngyilkos viselkedés tünetei. Ezen felül nem állnak rendelkezésre adatok arról, hogy a gyermekek és a serdülők hosszú távú kezelése mennyire biztonságos a növekedés, a serdülés, illetve a kognitív funkciók és a viselkedés fejlődése szempontjából.</w:t>
      </w:r>
    </w:p>
    <w:p w:rsidR="00AF6E51" w:rsidRDefault="00AF6E51">
      <w:pPr>
        <w:rPr>
          <w:szCs w:val="22"/>
          <w:lang w:val="hu-HU" w:eastAsia="en-US"/>
        </w:rPr>
      </w:pPr>
    </w:p>
    <w:p w:rsidR="00AF6E51" w:rsidRDefault="000A4EAB">
      <w:pPr>
        <w:tabs>
          <w:tab w:val="left" w:pos="1134"/>
        </w:tabs>
        <w:rPr>
          <w:rFonts w:cs="Arial"/>
          <w:iCs/>
          <w:szCs w:val="22"/>
          <w:u w:val="single"/>
          <w:lang w:val="hu-HU"/>
        </w:rPr>
      </w:pPr>
      <w:r>
        <w:rPr>
          <w:rFonts w:cs="Arial"/>
          <w:iCs/>
          <w:szCs w:val="22"/>
          <w:u w:val="single"/>
          <w:lang w:val="hu-HU"/>
        </w:rPr>
        <w:t>Paradox szorongás</w:t>
      </w:r>
    </w:p>
    <w:p w:rsidR="00AF6E51" w:rsidRDefault="000A4EAB">
      <w:pPr>
        <w:rPr>
          <w:rFonts w:cs="Arial"/>
          <w:szCs w:val="22"/>
          <w:lang w:val="hu-HU"/>
        </w:rPr>
      </w:pPr>
      <w:r>
        <w:rPr>
          <w:rFonts w:cs="Arial"/>
          <w:szCs w:val="22"/>
          <w:lang w:val="hu-HU"/>
        </w:rPr>
        <w:t>Egyes pánikzavarban szenvedő betegek az antidepresszív kezelés kezdetén fokozott szorongást tapasztalhatnak. Ez a paradox reakció általában két héten belül megszűnik a kezelés folytatása során. A szo</w:t>
      </w:r>
      <w:r>
        <w:rPr>
          <w:rFonts w:cs="Arial"/>
          <w:szCs w:val="22"/>
          <w:lang w:val="hu-HU"/>
        </w:rPr>
        <w:softHyphen/>
        <w:t>rongáskeltő hatás valószínűségének csökkentése érdekében tanácsos alacsony kezdő adagot alkalmazni (lásd a 4.2 pontot).</w:t>
      </w:r>
    </w:p>
    <w:p w:rsidR="00AF6E51" w:rsidRDefault="00AF6E51">
      <w:pPr>
        <w:rPr>
          <w:szCs w:val="22"/>
          <w:lang w:val="hu-HU" w:eastAsia="en-US"/>
        </w:rPr>
      </w:pPr>
    </w:p>
    <w:p w:rsidR="00AF6E51" w:rsidRDefault="000A4EAB">
      <w:pPr>
        <w:tabs>
          <w:tab w:val="left" w:pos="1134"/>
        </w:tabs>
        <w:rPr>
          <w:rFonts w:cs="Arial"/>
          <w:iCs/>
          <w:szCs w:val="22"/>
          <w:u w:val="single"/>
          <w:lang w:val="hu-HU"/>
        </w:rPr>
      </w:pPr>
      <w:r>
        <w:rPr>
          <w:rFonts w:cs="Arial"/>
          <w:iCs/>
          <w:szCs w:val="22"/>
          <w:u w:val="single"/>
          <w:lang w:val="hu-HU"/>
        </w:rPr>
        <w:t>Görcsrohamok</w:t>
      </w:r>
    </w:p>
    <w:p w:rsidR="00AF6E51" w:rsidRDefault="000A4EAB">
      <w:pPr>
        <w:tabs>
          <w:tab w:val="left" w:pos="1134"/>
        </w:tabs>
        <w:rPr>
          <w:rFonts w:cs="Arial"/>
          <w:szCs w:val="22"/>
          <w:lang w:val="hu-HU"/>
        </w:rPr>
      </w:pPr>
      <w:r>
        <w:rPr>
          <w:rFonts w:cs="Arial"/>
          <w:szCs w:val="22"/>
          <w:lang w:val="hu-HU"/>
        </w:rPr>
        <w:t>Az eszcitaloprám adását abba kell hagyni, ha a betegen első ízben lép fel görcsroham, vagy nő a görcsrohamok gyakorisága (kórismézett epilepsziásoknál). Az SSRI szerek alkalmazása instabil epilepsziában kerülendő, a kezelt epilepsziás betegeket pedig gondosan monitorozni kell.</w:t>
      </w:r>
    </w:p>
    <w:p w:rsidR="00AF6E51" w:rsidRDefault="00AF6E51">
      <w:pPr>
        <w:rPr>
          <w:szCs w:val="22"/>
          <w:lang w:val="hu-HU" w:eastAsia="en-US"/>
        </w:rPr>
      </w:pPr>
    </w:p>
    <w:p w:rsidR="00AF6E51" w:rsidRDefault="000A4EAB">
      <w:pPr>
        <w:rPr>
          <w:iCs/>
          <w:szCs w:val="22"/>
          <w:u w:val="single"/>
          <w:lang w:val="hu-HU"/>
        </w:rPr>
      </w:pPr>
      <w:r>
        <w:rPr>
          <w:iCs/>
          <w:szCs w:val="22"/>
          <w:u w:val="single"/>
          <w:lang w:val="hu-HU"/>
        </w:rPr>
        <w:t>Mánia</w:t>
      </w:r>
    </w:p>
    <w:p w:rsidR="00AF6E51" w:rsidRDefault="000A4EAB">
      <w:pPr>
        <w:rPr>
          <w:szCs w:val="22"/>
          <w:lang w:val="hu-HU"/>
        </w:rPr>
      </w:pPr>
      <w:r>
        <w:rPr>
          <w:szCs w:val="22"/>
          <w:lang w:val="hu-HU"/>
        </w:rPr>
        <w:t>Az SSRI-kat mániás/hipomániás kórelőzményű betegeknél körültekintően kell alkalmazni. Az SSRI-k adását minden olyan betegnél abba kell hagyni, aki mániás fázisba kerül.</w:t>
      </w:r>
    </w:p>
    <w:p w:rsidR="00AF6E51" w:rsidRDefault="00AF6E51">
      <w:pPr>
        <w:rPr>
          <w:szCs w:val="22"/>
          <w:lang w:val="hu-HU" w:eastAsia="en-US"/>
        </w:rPr>
      </w:pPr>
    </w:p>
    <w:p w:rsidR="00AF6E51" w:rsidRDefault="000A4EAB">
      <w:pPr>
        <w:outlineLvl w:val="0"/>
        <w:rPr>
          <w:szCs w:val="22"/>
          <w:u w:val="single"/>
          <w:lang w:val="hu-HU" w:eastAsia="en-US"/>
        </w:rPr>
      </w:pPr>
      <w:r>
        <w:rPr>
          <w:szCs w:val="22"/>
          <w:u w:val="single"/>
          <w:lang w:val="hu-HU" w:eastAsia="en-US"/>
        </w:rPr>
        <w:t>Diabetes</w:t>
      </w:r>
    </w:p>
    <w:p w:rsidR="00AF6E51" w:rsidRDefault="000A4EAB">
      <w:pPr>
        <w:rPr>
          <w:szCs w:val="22"/>
          <w:lang w:val="hu-HU" w:eastAsia="en-US"/>
        </w:rPr>
      </w:pPr>
      <w:r>
        <w:rPr>
          <w:szCs w:val="22"/>
          <w:lang w:val="hu-HU" w:eastAsia="en-US"/>
        </w:rPr>
        <w:t xml:space="preserve">Cukorbetegeknél az SSRI-kezelés megváltoztathatja a vércukorszint-beállítást (hypoglykaemia vagy </w:t>
      </w:r>
      <w:r>
        <w:rPr>
          <w:spacing w:val="-2"/>
          <w:szCs w:val="22"/>
          <w:lang w:val="hu-HU" w:eastAsia="en-US"/>
        </w:rPr>
        <w:t>hyperglykaemia). Az inzulin és/vagy az orális antidiabetikum adagolásának módosítására lehet szükség.</w:t>
      </w:r>
    </w:p>
    <w:p w:rsidR="00AF6E51" w:rsidRDefault="00AF6E51">
      <w:pPr>
        <w:rPr>
          <w:szCs w:val="22"/>
          <w:lang w:val="hu-HU" w:eastAsia="en-US"/>
        </w:rPr>
      </w:pPr>
    </w:p>
    <w:p w:rsidR="00AF6E51" w:rsidRDefault="000A4EAB">
      <w:pPr>
        <w:tabs>
          <w:tab w:val="left" w:pos="1134"/>
        </w:tabs>
        <w:rPr>
          <w:rFonts w:cs="Arial"/>
          <w:iCs/>
          <w:szCs w:val="22"/>
          <w:u w:val="single"/>
          <w:lang w:val="hu-HU"/>
        </w:rPr>
      </w:pPr>
      <w:r>
        <w:rPr>
          <w:rFonts w:cs="Arial"/>
          <w:iCs/>
          <w:szCs w:val="22"/>
          <w:u w:val="single"/>
          <w:lang w:val="hu-HU"/>
        </w:rPr>
        <w:t>Öngyilkosság/ öngyilkossági gondolatok vagy klinikai állapotromlás</w:t>
      </w:r>
    </w:p>
    <w:p w:rsidR="00AF6E51" w:rsidRDefault="000A4EAB">
      <w:pPr>
        <w:rPr>
          <w:rFonts w:cs="Arial"/>
          <w:szCs w:val="22"/>
          <w:lang w:val="hu-HU"/>
        </w:rPr>
      </w:pPr>
      <w:r>
        <w:rPr>
          <w:rFonts w:cs="Arial"/>
          <w:szCs w:val="22"/>
          <w:lang w:val="hu-HU"/>
        </w:rPr>
        <w:t xml:space="preserve">A depresszió öngyilkossági gondolatok, önkárosítás és öngyilkosság (öngyilkossággal kapcsolatos események) fokozott kockázatával jár. Ez a kockázat a jelentős javulás bekövetkezéséig fennáll. Mivel előfordulhat, hogy a javulás a kezelés első néhány hetében vagy akár hosszabb ideig sem következik </w:t>
      </w:r>
      <w:r>
        <w:rPr>
          <w:rFonts w:cs="Arial"/>
          <w:szCs w:val="22"/>
          <w:lang w:val="hu-HU"/>
        </w:rPr>
        <w:lastRenderedPageBreak/>
        <w:t>be, a javulás bekövetkeztéig a betegeket gondosan monitorozni kell a javulás beálltáig. Általános klinikai tapasztalat, hogy az öngyilkosság kockázata magasabb lehet a gyógyulás korai szakában.</w:t>
      </w:r>
    </w:p>
    <w:p w:rsidR="00AF6E51" w:rsidRDefault="00AF6E51">
      <w:pPr>
        <w:outlineLvl w:val="0"/>
        <w:rPr>
          <w:szCs w:val="22"/>
          <w:u w:val="single"/>
          <w:lang w:val="hu-HU" w:eastAsia="en-US"/>
        </w:rPr>
      </w:pPr>
    </w:p>
    <w:p w:rsidR="00AF6E51" w:rsidRDefault="000A4EAB">
      <w:pPr>
        <w:tabs>
          <w:tab w:val="left" w:pos="1134"/>
        </w:tabs>
        <w:rPr>
          <w:rFonts w:cs="Arial"/>
          <w:szCs w:val="22"/>
          <w:lang w:val="hu-HU"/>
        </w:rPr>
      </w:pPr>
      <w:r>
        <w:rPr>
          <w:rFonts w:cs="Arial"/>
          <w:spacing w:val="-2"/>
          <w:szCs w:val="22"/>
          <w:lang w:val="hu-HU"/>
        </w:rPr>
        <w:t>Más pszichiátriai kórképekkel, amelyekre Elicea Q-Tab-ot rendelnek, úgyszintén együtt járhat az öngyilkossággal</w:t>
      </w:r>
      <w:r>
        <w:rPr>
          <w:rFonts w:cs="Arial"/>
          <w:szCs w:val="22"/>
          <w:lang w:val="hu-HU"/>
        </w:rPr>
        <w:t xml:space="preserve"> </w:t>
      </w:r>
      <w:r>
        <w:rPr>
          <w:rFonts w:cs="Arial"/>
          <w:spacing w:val="-2"/>
          <w:szCs w:val="22"/>
          <w:lang w:val="hu-HU"/>
        </w:rPr>
        <w:t>kapcsolatos események fokozott kockázata. Ráadásul ezek a kórképek a major depresszióval egyidejűleg</w:t>
      </w:r>
      <w:r>
        <w:rPr>
          <w:rFonts w:cs="Arial"/>
          <w:szCs w:val="22"/>
          <w:lang w:val="hu-HU"/>
        </w:rPr>
        <w:t xml:space="preserve"> is fennállhatnak. </w:t>
      </w:r>
      <w:r>
        <w:rPr>
          <w:szCs w:val="22"/>
          <w:lang w:val="hu-HU"/>
        </w:rPr>
        <w:t>Ezért a major depresszió kezelésére érvényes óvintézkedéseket más pszichiátriai betegségek kezelésekor is be kell tartani.</w:t>
      </w:r>
    </w:p>
    <w:p w:rsidR="00AF6E51" w:rsidRDefault="00AF6E51">
      <w:pPr>
        <w:outlineLvl w:val="0"/>
        <w:rPr>
          <w:szCs w:val="22"/>
          <w:u w:val="single"/>
          <w:lang w:val="hu-HU" w:eastAsia="en-US"/>
        </w:rPr>
      </w:pPr>
    </w:p>
    <w:p w:rsidR="00AF6E51" w:rsidRDefault="000A4EAB">
      <w:pPr>
        <w:tabs>
          <w:tab w:val="left" w:pos="1134"/>
        </w:tabs>
        <w:rPr>
          <w:rFonts w:cs="Arial"/>
          <w:szCs w:val="22"/>
          <w:lang w:val="hu-HU"/>
        </w:rPr>
      </w:pPr>
      <w:r>
        <w:rPr>
          <w:rFonts w:cs="Arial"/>
          <w:spacing w:val="-2"/>
          <w:szCs w:val="22"/>
          <w:lang w:val="hu-HU"/>
        </w:rPr>
        <w:t>Azoknál a betegeknél, akiknek a kórelőzményében öngyilkossággal kapcsolatos események szerepelnek</w:t>
      </w:r>
      <w:r>
        <w:rPr>
          <w:rFonts w:cs="Arial"/>
          <w:szCs w:val="22"/>
          <w:lang w:val="hu-HU"/>
        </w:rPr>
        <w:t>, vagy akiket erősen foglalkoztatnak öngyilkossági gondolatok a terápia megkezdése előtt, ismerten nagyobb az öngyilkossági gondolatok és kísérletek kockázata, ezért a kezelés alatt gondos megfigyelés alatt kell tartani őket. Az antidepresszánsokat pszichiátriai betegségben szenvedő, felnőtt korú betegeken értékelő, placebokontrollos klinikai vizsgálatok egyik meta-analízise kimutatta, hogy 25 évnél fiatalabb betegeknél az öngyilkos magatartás kockázata az antidepresszáns szedésekor nagyobb, mint placebo alkalmazása során.</w:t>
      </w:r>
    </w:p>
    <w:p w:rsidR="00AF6E51" w:rsidRDefault="000A4EAB">
      <w:pPr>
        <w:tabs>
          <w:tab w:val="left" w:pos="1134"/>
        </w:tabs>
        <w:rPr>
          <w:szCs w:val="22"/>
          <w:lang w:val="hu-HU"/>
        </w:rPr>
      </w:pPr>
      <w:r>
        <w:rPr>
          <w:color w:val="000000"/>
          <w:szCs w:val="22"/>
          <w:lang w:val="hu-HU"/>
        </w:rPr>
        <w:t>A betegeket, különösen a nagy kockázatúakat a gyógyszeres kezelés során gondos felügyelet alatt kell</w:t>
      </w:r>
      <w:r>
        <w:rPr>
          <w:color w:val="000000"/>
          <w:spacing w:val="-4"/>
          <w:szCs w:val="22"/>
          <w:lang w:val="hu-HU"/>
        </w:rPr>
        <w:t xml:space="preserve"> tartani, legfőképpen a terápia kezdetén és a dózismódosításokat követően.</w:t>
      </w:r>
      <w:r>
        <w:rPr>
          <w:spacing w:val="-4"/>
          <w:szCs w:val="22"/>
          <w:lang w:val="hu-HU"/>
        </w:rPr>
        <w:t xml:space="preserve"> A betegeket (és gondviselőiket)</w:t>
      </w:r>
      <w:r>
        <w:rPr>
          <w:szCs w:val="22"/>
          <w:lang w:val="hu-HU"/>
        </w:rPr>
        <w:t xml:space="preserve"> figyelmeztetni kell arra, hogy figyeljenek a klinikai állapot bármiféle romlására, az öngyilkos magatartásra vagy öngyilkossági gondolatokra, vagy netán szokatlan magatartásváltozásokra és azonnal forduljanak orvoshoz, ha ezek a tünetek fennállnak.</w:t>
      </w:r>
    </w:p>
    <w:p w:rsidR="00AF6E51" w:rsidRDefault="00AF6E51">
      <w:pPr>
        <w:tabs>
          <w:tab w:val="left" w:pos="1134"/>
        </w:tabs>
        <w:rPr>
          <w:rFonts w:cs="Arial"/>
          <w:szCs w:val="22"/>
          <w:lang w:val="hu-HU"/>
        </w:rPr>
      </w:pPr>
    </w:p>
    <w:p w:rsidR="00AF6E51" w:rsidRDefault="000A4EAB">
      <w:pPr>
        <w:rPr>
          <w:u w:val="single"/>
          <w:lang w:val="hu-HU"/>
        </w:rPr>
      </w:pPr>
      <w:r>
        <w:rPr>
          <w:u w:val="single"/>
          <w:lang w:val="hu-HU"/>
        </w:rPr>
        <w:t>Akathisia/ pszichomotoros nyugtalanság</w:t>
      </w:r>
    </w:p>
    <w:p w:rsidR="00AF6E51" w:rsidRDefault="000A4EAB">
      <w:pPr>
        <w:rPr>
          <w:lang w:val="hu-HU"/>
        </w:rPr>
      </w:pPr>
      <w:r>
        <w:rPr>
          <w:lang w:val="hu-HU"/>
        </w:rPr>
        <w:t>SSRI-k/SNRI-k alkalmazásakor előfordult akathisia, amelyre szubjektíve kellemetlen vagy aggasztó nyugtalanság, és a nyugodt ülést vagy állást gyakran lehetetlenné tevő mozgáskényszer jellemző. Mindezek jelentkezése a kezelés első heteiben a legvalószínűbb. Azoknál a betegeknél, akiknél ezek a tünetek jelentkeznek, ártalmas lehet az adag növelése.</w:t>
      </w:r>
    </w:p>
    <w:p w:rsidR="00AF6E51" w:rsidRDefault="00AF6E51">
      <w:pPr>
        <w:rPr>
          <w:szCs w:val="22"/>
          <w:lang w:val="hu-HU" w:eastAsia="en-US"/>
        </w:rPr>
      </w:pPr>
    </w:p>
    <w:p w:rsidR="00AF6E51" w:rsidRDefault="000A4EAB">
      <w:pPr>
        <w:autoSpaceDE w:val="0"/>
        <w:autoSpaceDN w:val="0"/>
        <w:adjustRightInd w:val="0"/>
        <w:rPr>
          <w:szCs w:val="22"/>
          <w:u w:val="single"/>
          <w:lang w:val="hu-HU"/>
        </w:rPr>
      </w:pPr>
      <w:r>
        <w:rPr>
          <w:szCs w:val="22"/>
          <w:u w:val="single"/>
          <w:lang w:val="hu-HU"/>
        </w:rPr>
        <w:t>Hyponatraemia</w:t>
      </w:r>
    </w:p>
    <w:p w:rsidR="00AF6E51" w:rsidRDefault="000A4EAB">
      <w:pPr>
        <w:autoSpaceDE w:val="0"/>
        <w:autoSpaceDN w:val="0"/>
        <w:adjustRightInd w:val="0"/>
        <w:rPr>
          <w:szCs w:val="22"/>
          <w:lang w:val="hu-HU"/>
        </w:rPr>
      </w:pPr>
      <w:r>
        <w:rPr>
          <w:spacing w:val="-2"/>
          <w:szCs w:val="22"/>
          <w:lang w:val="hu-HU"/>
        </w:rPr>
        <w:t xml:space="preserve">SSRI-k alkalmazásakor ritkán beszámoltak hyponatraemiáról, amely valószínűleg </w:t>
      </w:r>
      <w:r>
        <w:rPr>
          <w:color w:val="000000"/>
          <w:spacing w:val="-2"/>
          <w:szCs w:val="22"/>
          <w:lang w:val="hu-HU"/>
        </w:rPr>
        <w:t xml:space="preserve">a túlzott </w:t>
      </w:r>
      <w:r>
        <w:rPr>
          <w:spacing w:val="-2"/>
          <w:szCs w:val="22"/>
          <w:lang w:val="hu-HU"/>
        </w:rPr>
        <w:t>antidiuretikus</w:t>
      </w:r>
      <w:r>
        <w:rPr>
          <w:szCs w:val="22"/>
          <w:lang w:val="hu-HU"/>
        </w:rPr>
        <w:t xml:space="preserve"> hormon-elválasztás szindróma (SIADH) következtében alakul ki és a kezelés leállításakor általában megszűnik. A veszélyeztetett betegek esetében (például az időskorúak, májcirrhosisban szenvedő betegek és hyponatraemiát okozó gyógyszert egyidejűleg szedő betegek) körültekintés ajánlott.</w:t>
      </w:r>
    </w:p>
    <w:p w:rsidR="00AF6E51" w:rsidRDefault="00AF6E51">
      <w:pPr>
        <w:rPr>
          <w:szCs w:val="22"/>
          <w:lang w:val="hu-HU" w:eastAsia="en-US"/>
        </w:rPr>
      </w:pPr>
    </w:p>
    <w:p w:rsidR="00AF6E51" w:rsidRDefault="000A4EAB">
      <w:pPr>
        <w:rPr>
          <w:szCs w:val="22"/>
          <w:u w:val="single"/>
          <w:lang w:val="hu-HU" w:eastAsia="en-US"/>
        </w:rPr>
      </w:pPr>
      <w:r>
        <w:rPr>
          <w:szCs w:val="22"/>
          <w:u w:val="single"/>
          <w:lang w:val="hu-HU" w:eastAsia="en-US"/>
        </w:rPr>
        <w:t>Vérzés</w:t>
      </w:r>
    </w:p>
    <w:p w:rsidR="00AF6E51" w:rsidRDefault="000A4EAB">
      <w:pPr>
        <w:rPr>
          <w:szCs w:val="22"/>
          <w:lang w:val="hu-HU" w:eastAsia="en-US"/>
        </w:rPr>
      </w:pPr>
      <w:r>
        <w:rPr>
          <w:spacing w:val="-2"/>
          <w:szCs w:val="22"/>
          <w:lang w:val="hu-HU" w:eastAsia="en-US"/>
        </w:rPr>
        <w:t>SSRI-k alkalmazása során beszámoltak bőrérzéses rendellenességekről, például ecchymosisról és purpuráról.</w:t>
      </w:r>
      <w:r>
        <w:rPr>
          <w:szCs w:val="22"/>
          <w:lang w:val="hu-HU" w:eastAsia="en-US"/>
        </w:rPr>
        <w:t xml:space="preserve"> Az SSRI-k/SNRI-k fokozhatják a post partum vérzés kockázatát (lásd: 4.6 és 4.8 pont).</w:t>
      </w:r>
    </w:p>
    <w:p w:rsidR="00AF6E51" w:rsidRDefault="000A4EAB">
      <w:pPr>
        <w:rPr>
          <w:szCs w:val="22"/>
          <w:lang w:val="hu-HU" w:eastAsia="en-US"/>
        </w:rPr>
      </w:pPr>
      <w:r>
        <w:rPr>
          <w:spacing w:val="-4"/>
          <w:szCs w:val="22"/>
          <w:lang w:val="hu-HU" w:eastAsia="en-US"/>
        </w:rPr>
        <w:t>SSRI-kat szedő betegek esetében körültekintés ajánlott, különösen orális véralvadásgátló, a thrombocyták</w:t>
      </w:r>
      <w:r>
        <w:rPr>
          <w:szCs w:val="22"/>
          <w:lang w:val="hu-HU" w:eastAsia="en-US"/>
        </w:rPr>
        <w:t xml:space="preserve"> működését tudottan befolyásoló gyógyszerek (például atípusos antipszichotikumok, fenotiazinok, a triciklusos antidepresszánsok zöme, acetilszalicilszav és nem-szteroid gyulladásgátlók [NSAID-ok], tiklopidin és dipiridamol) egyidejű alkalmazása, valamint ismert vérzékenység esetén.</w:t>
      </w:r>
    </w:p>
    <w:p w:rsidR="00AF6E51" w:rsidRDefault="00AF6E51">
      <w:pPr>
        <w:rPr>
          <w:szCs w:val="22"/>
          <w:lang w:val="hu-HU" w:eastAsia="en-US"/>
        </w:rPr>
      </w:pPr>
    </w:p>
    <w:p w:rsidR="00AF6E51" w:rsidRDefault="000A4EAB">
      <w:pPr>
        <w:outlineLvl w:val="0"/>
        <w:rPr>
          <w:szCs w:val="22"/>
          <w:u w:val="single"/>
          <w:lang w:val="hu-HU" w:eastAsia="en-US"/>
        </w:rPr>
      </w:pPr>
      <w:r>
        <w:rPr>
          <w:szCs w:val="22"/>
          <w:u w:val="single"/>
          <w:lang w:val="hu-HU" w:eastAsia="en-US"/>
        </w:rPr>
        <w:t>Elektrosokk-kezelés (ECT)</w:t>
      </w:r>
    </w:p>
    <w:p w:rsidR="00AF6E51" w:rsidRDefault="000A4EAB">
      <w:pPr>
        <w:outlineLvl w:val="0"/>
        <w:rPr>
          <w:szCs w:val="22"/>
          <w:lang w:val="hu-HU" w:eastAsia="en-US"/>
        </w:rPr>
      </w:pPr>
      <w:r>
        <w:rPr>
          <w:szCs w:val="22"/>
          <w:lang w:val="hu-HU" w:eastAsia="en-US"/>
        </w:rPr>
        <w:t>Az SSRI-k és az ECT egyidejű alkalmazásával kevés a klinikai tapasztalat, ezért körültekintés ajánlott.</w:t>
      </w:r>
    </w:p>
    <w:p w:rsidR="00AF6E51" w:rsidRDefault="00AF6E51">
      <w:pPr>
        <w:outlineLvl w:val="0"/>
        <w:rPr>
          <w:szCs w:val="22"/>
          <w:u w:val="single"/>
          <w:lang w:val="hu-HU" w:eastAsia="en-US"/>
        </w:rPr>
      </w:pPr>
    </w:p>
    <w:p w:rsidR="00AF6E51" w:rsidRDefault="000A4EAB">
      <w:pPr>
        <w:rPr>
          <w:szCs w:val="22"/>
          <w:u w:val="single"/>
          <w:lang w:val="hu-HU" w:eastAsia="en-US"/>
        </w:rPr>
      </w:pPr>
      <w:r>
        <w:rPr>
          <w:szCs w:val="22"/>
          <w:u w:val="single"/>
          <w:lang w:val="hu-HU" w:eastAsia="en-US"/>
        </w:rPr>
        <w:t>Szerotonin szindróma</w:t>
      </w:r>
    </w:p>
    <w:p w:rsidR="00AF6E51" w:rsidRDefault="000A4EAB">
      <w:pPr>
        <w:autoSpaceDE w:val="0"/>
        <w:autoSpaceDN w:val="0"/>
        <w:adjustRightInd w:val="0"/>
        <w:rPr>
          <w:szCs w:val="22"/>
          <w:lang w:val="hu-HU"/>
        </w:rPr>
      </w:pPr>
      <w:r>
        <w:rPr>
          <w:szCs w:val="22"/>
          <w:lang w:val="hu-HU"/>
        </w:rPr>
        <w:t>Óvatosság ajánlott, ha az eszcitaloprámot szerotonerg hatású szerekkel, például triptánokkal (köztük szumatriptánnal), opioidokkal (köztük tramadollal) és triptofánnal alkalmazzák együtt.</w:t>
      </w:r>
    </w:p>
    <w:p w:rsidR="00AF6E51" w:rsidRDefault="000A4EAB">
      <w:pPr>
        <w:autoSpaceDE w:val="0"/>
        <w:autoSpaceDN w:val="0"/>
        <w:adjustRightInd w:val="0"/>
        <w:rPr>
          <w:szCs w:val="22"/>
          <w:lang w:val="hu-HU"/>
        </w:rPr>
      </w:pPr>
      <w:r>
        <w:rPr>
          <w:szCs w:val="22"/>
          <w:lang w:val="hu-HU"/>
        </w:rPr>
        <w:t>Az SSRI-ket és a szerotonerg szereket egyidejűleg szedő betegeknél ritkán beszámoltak szerotonin szindróma előfordulásáról, ami potenciálisan életveszélyes állapot (lásd 4.5 pont). Ennek az állapotnak a kialakulását agitáció, tremor, myoclonus és hyperthermia tünetegyüttese jelezheti. Amennyiben ezt előfordul, az SSRI és a szerotonerg gyógyszer adását is azonnal abba kell hagyni és tüneti kezelést kell kezdeni.</w:t>
      </w:r>
    </w:p>
    <w:p w:rsidR="00AF6E51" w:rsidRDefault="00AF6E51">
      <w:pPr>
        <w:rPr>
          <w:szCs w:val="22"/>
          <w:lang w:val="hu-HU" w:eastAsia="en-US"/>
        </w:rPr>
      </w:pPr>
    </w:p>
    <w:p w:rsidR="00AF6E51" w:rsidRDefault="000A4EAB">
      <w:pPr>
        <w:tabs>
          <w:tab w:val="left" w:pos="1134"/>
        </w:tabs>
        <w:autoSpaceDE w:val="0"/>
        <w:autoSpaceDN w:val="0"/>
        <w:adjustRightInd w:val="0"/>
        <w:rPr>
          <w:szCs w:val="22"/>
          <w:u w:val="single"/>
          <w:lang w:val="hu-HU"/>
        </w:rPr>
      </w:pPr>
      <w:r>
        <w:rPr>
          <w:szCs w:val="22"/>
          <w:u w:val="single"/>
          <w:lang w:val="hu-HU"/>
        </w:rPr>
        <w:t>Közönséges orbáncfű</w:t>
      </w:r>
    </w:p>
    <w:p w:rsidR="00AF6E51" w:rsidRDefault="000A4EAB">
      <w:pPr>
        <w:tabs>
          <w:tab w:val="left" w:pos="1134"/>
        </w:tabs>
        <w:autoSpaceDE w:val="0"/>
        <w:autoSpaceDN w:val="0"/>
        <w:adjustRightInd w:val="0"/>
        <w:rPr>
          <w:i/>
          <w:iCs/>
          <w:strike/>
          <w:szCs w:val="22"/>
          <w:lang w:val="hu-HU"/>
        </w:rPr>
      </w:pPr>
      <w:r>
        <w:rPr>
          <w:szCs w:val="22"/>
          <w:lang w:val="hu-HU"/>
        </w:rPr>
        <w:t>SSRI-k és közönséges orbáncfű</w:t>
      </w:r>
      <w:r>
        <w:rPr>
          <w:i/>
          <w:iCs/>
          <w:szCs w:val="22"/>
          <w:lang w:val="hu-HU"/>
        </w:rPr>
        <w:t xml:space="preserve"> </w:t>
      </w:r>
      <w:r>
        <w:rPr>
          <w:szCs w:val="22"/>
          <w:lang w:val="hu-HU"/>
        </w:rPr>
        <w:t>(</w:t>
      </w:r>
      <w:r>
        <w:rPr>
          <w:i/>
          <w:iCs/>
          <w:szCs w:val="22"/>
          <w:lang w:val="hu-HU"/>
        </w:rPr>
        <w:t>Hypericum perforatum</w:t>
      </w:r>
      <w:r>
        <w:rPr>
          <w:szCs w:val="22"/>
          <w:lang w:val="hu-HU"/>
        </w:rPr>
        <w:t>) tartalmú gyógynövény készítmények együttes alkalmazása a mellékhatások előfordulásának nagyobb gyakoriságát eredményezheti (lásd 4.5 pont).</w:t>
      </w:r>
    </w:p>
    <w:p w:rsidR="00AF6E51" w:rsidRDefault="00AF6E51">
      <w:pPr>
        <w:rPr>
          <w:szCs w:val="22"/>
          <w:lang w:val="hu-HU" w:eastAsia="en-US"/>
        </w:rPr>
      </w:pPr>
    </w:p>
    <w:p w:rsidR="00AF6E51" w:rsidRDefault="000A4EAB">
      <w:pPr>
        <w:autoSpaceDE w:val="0"/>
        <w:autoSpaceDN w:val="0"/>
        <w:adjustRightInd w:val="0"/>
        <w:rPr>
          <w:color w:val="000000"/>
          <w:szCs w:val="22"/>
          <w:u w:val="single"/>
          <w:lang w:val="hu-HU"/>
        </w:rPr>
      </w:pPr>
      <w:r>
        <w:rPr>
          <w:color w:val="000000"/>
          <w:szCs w:val="22"/>
          <w:u w:val="single"/>
          <w:lang w:val="hu-HU"/>
        </w:rPr>
        <w:t>A kezelés megszakításakor jelentkező megvonási</w:t>
      </w:r>
      <w:r>
        <w:rPr>
          <w:szCs w:val="22"/>
          <w:u w:val="single"/>
          <w:lang w:val="hu-HU"/>
        </w:rPr>
        <w:t xml:space="preserve"> tünetek</w:t>
      </w:r>
    </w:p>
    <w:p w:rsidR="00AF6E51" w:rsidRDefault="000A4EAB">
      <w:pPr>
        <w:autoSpaceDE w:val="0"/>
        <w:autoSpaceDN w:val="0"/>
        <w:adjustRightInd w:val="0"/>
        <w:rPr>
          <w:szCs w:val="22"/>
          <w:lang w:val="hu-HU"/>
        </w:rPr>
      </w:pPr>
      <w:r>
        <w:rPr>
          <w:szCs w:val="22"/>
          <w:lang w:val="hu-HU"/>
        </w:rPr>
        <w:t>A megvonási tünetek gyakoriak a kezelés abbahagyásakor, különösen, ha a leállítás hirtelen történik (lásd 4.8 pont). Klinikai vizsgálatokban a kezelés megszakítását követően az eszcitaloprámmal kezelt betegek körülbelül 25%-ánál, míg a placebót szedő betegek 15%-ánál jelentkeztek mellékhatások.</w:t>
      </w:r>
    </w:p>
    <w:p w:rsidR="00AF6E51" w:rsidRDefault="00AF6E51">
      <w:pPr>
        <w:rPr>
          <w:szCs w:val="22"/>
          <w:lang w:val="hu-HU" w:eastAsia="en-US"/>
        </w:rPr>
      </w:pPr>
    </w:p>
    <w:p w:rsidR="00AF6E51" w:rsidRDefault="000A4EAB">
      <w:pPr>
        <w:autoSpaceDE w:val="0"/>
        <w:autoSpaceDN w:val="0"/>
        <w:adjustRightInd w:val="0"/>
        <w:rPr>
          <w:szCs w:val="22"/>
          <w:lang w:val="hu-HU"/>
        </w:rPr>
      </w:pPr>
      <w:r>
        <w:rPr>
          <w:spacing w:val="-4"/>
          <w:szCs w:val="22"/>
          <w:lang w:val="hu-HU"/>
        </w:rPr>
        <w:t xml:space="preserve">A megvonásos tünetek kockázata több tényezőtől függ, így például a kezelés időtartamától, a gyógyszeradagtól </w:t>
      </w:r>
      <w:r>
        <w:rPr>
          <w:szCs w:val="22"/>
          <w:lang w:val="hu-HU"/>
        </w:rPr>
        <w:t>és a dóziscsökkentés ütemétől. A leggyakrabban jelentett reakciók: szédülés, érzészavarok (beleértve a paraesthesiát és áramütésszerű érzéseket), alvászavarok (beleértve az insomniát és az élénk álmokat), izgatottság vagy szorongás, hányinger és/vagy hányás, tremor, zavarodottság, verejtékezés, fejfájás, hasmenés, szívdobogásérzés, emocionális instabilitás, ingerlékenység és látászavarok. Ezek a tünetek általában enyhék vagy mérsékeltek, néhány betegnél azonban hevesek lehetnek.</w:t>
      </w:r>
    </w:p>
    <w:p w:rsidR="00AF6E51" w:rsidRDefault="000A4EAB">
      <w:pPr>
        <w:autoSpaceDE w:val="0"/>
        <w:autoSpaceDN w:val="0"/>
        <w:adjustRightInd w:val="0"/>
        <w:rPr>
          <w:color w:val="000000"/>
          <w:szCs w:val="22"/>
          <w:lang w:val="hu-HU"/>
        </w:rPr>
      </w:pPr>
      <w:r>
        <w:rPr>
          <w:color w:val="000000"/>
          <w:szCs w:val="22"/>
          <w:lang w:val="hu-HU"/>
        </w:rPr>
        <w:t>A tünetek általában a kezelés megszakítását követő néhány napban jelentkeznek, azonban nagyon ritkán előfordulhatnak olyan betegeknél is, akik véletlenül kihagytak egy adagot.</w:t>
      </w:r>
    </w:p>
    <w:p w:rsidR="00AF6E51" w:rsidRDefault="000A4EAB">
      <w:pPr>
        <w:autoSpaceDE w:val="0"/>
        <w:autoSpaceDN w:val="0"/>
        <w:adjustRightInd w:val="0"/>
        <w:rPr>
          <w:szCs w:val="22"/>
          <w:lang w:val="hu-HU"/>
        </w:rPr>
      </w:pPr>
      <w:r>
        <w:rPr>
          <w:color w:val="000000"/>
          <w:szCs w:val="22"/>
          <w:lang w:val="hu-HU"/>
        </w:rPr>
        <w:t>Ezek a tünetek többnyire spontán és általában 2 héten belül megszűnnek, bár egyeseknél hosszasabban is fennállhatnak (2</w:t>
      </w:r>
      <w:r>
        <w:rPr>
          <w:color w:val="000000"/>
          <w:szCs w:val="22"/>
          <w:lang w:val="hu-HU"/>
        </w:rPr>
        <w:noBreakHyphen/>
        <w:t>3 hónapig vagy tovább). Ezért javasolt az eszcitaloprám dózisának fokozatos csökkentése, ami – a beteg szükségleteitől függően – a kezelés több héten vagy hónapon át történő leállítását jelenti (lásd „A kezelés</w:t>
      </w:r>
      <w:r>
        <w:rPr>
          <w:szCs w:val="22"/>
          <w:lang w:val="hu-HU"/>
        </w:rPr>
        <w:t xml:space="preserve"> leállításakor jelentkező megvonási tünetek” rész, 4.2 pont).</w:t>
      </w:r>
    </w:p>
    <w:p w:rsidR="00AF6E51" w:rsidRDefault="00AF6E51">
      <w:pPr>
        <w:rPr>
          <w:szCs w:val="22"/>
          <w:lang w:val="hu-HU" w:eastAsia="en-US"/>
        </w:rPr>
      </w:pPr>
    </w:p>
    <w:p w:rsidR="00AF6E51" w:rsidRDefault="000A4EAB">
      <w:pPr>
        <w:autoSpaceDE w:val="0"/>
        <w:autoSpaceDN w:val="0"/>
        <w:adjustRightInd w:val="0"/>
        <w:rPr>
          <w:bCs/>
          <w:szCs w:val="22"/>
          <w:u w:val="single"/>
          <w:lang w:val="hu-HU"/>
        </w:rPr>
      </w:pPr>
      <w:r>
        <w:rPr>
          <w:bCs/>
          <w:szCs w:val="22"/>
          <w:u w:val="single"/>
          <w:lang w:val="hu-HU"/>
        </w:rPr>
        <w:t>Szexuális zavar</w:t>
      </w:r>
    </w:p>
    <w:p w:rsidR="00AF6E51" w:rsidRDefault="000A4EAB">
      <w:pPr>
        <w:rPr>
          <w:bCs/>
          <w:szCs w:val="22"/>
          <w:lang w:val="hu-HU"/>
        </w:rPr>
      </w:pPr>
      <w:r>
        <w:rPr>
          <w:bCs/>
          <w:szCs w:val="22"/>
          <w:lang w:val="hu-HU"/>
        </w:rPr>
        <w:t>A szelektív szerotonin visszavétel gátlók (SSRI-k)/szerotonin-noradrenalin visszavétel gátlók (SNRI</w:t>
      </w:r>
      <w:r>
        <w:rPr>
          <w:bCs/>
          <w:szCs w:val="22"/>
          <w:lang w:val="hu-HU"/>
        </w:rPr>
        <w:noBreakHyphen/>
        <w:t>k) szexuális diszfunkció tüneteit okozhatják (lásd 4.8 pont). Beszámoltak olyan, hosszan tartó szexuális diszfunkcióról is, ahol a tünetek a SSRI/SNRI leállítása ellenére sem szűntek meg.</w:t>
      </w:r>
    </w:p>
    <w:p w:rsidR="00AF6E51" w:rsidRDefault="00AF6E51">
      <w:pPr>
        <w:rPr>
          <w:szCs w:val="22"/>
          <w:lang w:val="hu-HU" w:eastAsia="en-US"/>
        </w:rPr>
      </w:pPr>
    </w:p>
    <w:p w:rsidR="00AF6E51" w:rsidRDefault="000A4EAB">
      <w:pPr>
        <w:tabs>
          <w:tab w:val="left" w:pos="1134"/>
        </w:tabs>
        <w:autoSpaceDE w:val="0"/>
        <w:autoSpaceDN w:val="0"/>
        <w:adjustRightInd w:val="0"/>
        <w:rPr>
          <w:szCs w:val="22"/>
          <w:u w:val="single"/>
          <w:lang w:val="hu-HU"/>
        </w:rPr>
      </w:pPr>
      <w:r>
        <w:rPr>
          <w:szCs w:val="22"/>
          <w:u w:val="single"/>
          <w:lang w:val="hu-HU"/>
        </w:rPr>
        <w:t>Koszorúér-betegség</w:t>
      </w:r>
    </w:p>
    <w:p w:rsidR="00AF6E51" w:rsidRDefault="000A4EAB">
      <w:pPr>
        <w:autoSpaceDE w:val="0"/>
        <w:autoSpaceDN w:val="0"/>
        <w:adjustRightInd w:val="0"/>
        <w:rPr>
          <w:szCs w:val="22"/>
          <w:lang w:val="hu-HU"/>
        </w:rPr>
      </w:pPr>
      <w:r>
        <w:rPr>
          <w:szCs w:val="22"/>
          <w:lang w:val="hu-HU"/>
        </w:rPr>
        <w:t>A kevés klinikai tapasztalat miatt koszorúér-betegségben szenvedők esetében körültekintés ajánlott (lásd 5.3 pont).</w:t>
      </w:r>
    </w:p>
    <w:p w:rsidR="00AF6E51" w:rsidRDefault="00AF6E51">
      <w:pPr>
        <w:rPr>
          <w:szCs w:val="22"/>
          <w:lang w:val="hu-HU" w:eastAsia="en-US"/>
        </w:rPr>
      </w:pPr>
    </w:p>
    <w:p w:rsidR="00AF6E51" w:rsidRDefault="000A4EAB">
      <w:pPr>
        <w:autoSpaceDE w:val="0"/>
        <w:autoSpaceDN w:val="0"/>
        <w:adjustRightInd w:val="0"/>
        <w:rPr>
          <w:szCs w:val="22"/>
          <w:u w:val="single"/>
          <w:lang w:val="hu-HU"/>
        </w:rPr>
      </w:pPr>
      <w:r>
        <w:rPr>
          <w:szCs w:val="22"/>
          <w:u w:val="single"/>
          <w:lang w:val="hu-HU"/>
        </w:rPr>
        <w:t>QT-intervallum megnyúlás</w:t>
      </w:r>
    </w:p>
    <w:p w:rsidR="00AF6E51" w:rsidRDefault="000A4EAB">
      <w:pPr>
        <w:autoSpaceDE w:val="0"/>
        <w:autoSpaceDN w:val="0"/>
        <w:adjustRightInd w:val="0"/>
        <w:rPr>
          <w:szCs w:val="22"/>
          <w:lang w:val="hu-HU"/>
        </w:rPr>
      </w:pPr>
      <w:r>
        <w:rPr>
          <w:szCs w:val="22"/>
          <w:lang w:val="hu-HU"/>
        </w:rPr>
        <w:t>Az eszcitaloprám alkalmazása a QT</w:t>
      </w:r>
      <w:r>
        <w:rPr>
          <w:szCs w:val="22"/>
          <w:lang w:val="hu-HU"/>
        </w:rPr>
        <w:noBreakHyphen/>
        <w:t xml:space="preserve">intervallum dózisfüggő megnyúlását okozza. A forgalomba hozatalt követő időszakban kamrai arrhythmiát – például </w:t>
      </w:r>
      <w:r>
        <w:rPr>
          <w:i/>
          <w:szCs w:val="22"/>
          <w:lang w:val="hu-HU"/>
        </w:rPr>
        <w:t>torsade de pointes</w:t>
      </w:r>
      <w:r>
        <w:rPr>
          <w:szCs w:val="22"/>
          <w:lang w:val="hu-HU"/>
        </w:rPr>
        <w:noBreakHyphen/>
        <w:t>et – jelentettek elsősorban nőknél és olyan betegeknél, akiknél hypokalaemia, illetve már a kezelést megelőzően is fennállott a QT</w:t>
      </w:r>
      <w:r>
        <w:rPr>
          <w:szCs w:val="22"/>
          <w:lang w:val="hu-HU"/>
        </w:rPr>
        <w:noBreakHyphen/>
        <w:t>intervallum megnyúlása, vagy más szívbetegség (lásd a 4.3, 4.5, 4.8, 4.9 és 5.1 pontokat).</w:t>
      </w:r>
    </w:p>
    <w:p w:rsidR="00AF6E51" w:rsidRDefault="00AF6E51">
      <w:pPr>
        <w:rPr>
          <w:szCs w:val="22"/>
          <w:lang w:val="hu-HU" w:eastAsia="en-US"/>
        </w:rPr>
      </w:pPr>
    </w:p>
    <w:p w:rsidR="00AF6E51" w:rsidRDefault="000A4EAB">
      <w:pPr>
        <w:autoSpaceDE w:val="0"/>
        <w:autoSpaceDN w:val="0"/>
        <w:adjustRightInd w:val="0"/>
        <w:rPr>
          <w:szCs w:val="22"/>
          <w:lang w:val="hu-HU"/>
        </w:rPr>
      </w:pPr>
      <w:r>
        <w:rPr>
          <w:szCs w:val="22"/>
          <w:lang w:val="hu-HU"/>
        </w:rPr>
        <w:t>Óvatosság javasolt erősen bradycardiás, a közelmúltban akut myocardialis infarktus elszenvedett vagy dekompenzált szívelégtelenségben szenvedő betegek esetében.</w:t>
      </w:r>
    </w:p>
    <w:p w:rsidR="00AF6E51" w:rsidRDefault="00AF6E51">
      <w:pPr>
        <w:rPr>
          <w:szCs w:val="22"/>
          <w:lang w:val="hu-HU" w:eastAsia="en-US"/>
        </w:rPr>
      </w:pPr>
    </w:p>
    <w:p w:rsidR="00AF6E51" w:rsidRDefault="000A4EAB">
      <w:pPr>
        <w:autoSpaceDE w:val="0"/>
        <w:autoSpaceDN w:val="0"/>
        <w:adjustRightInd w:val="0"/>
        <w:rPr>
          <w:szCs w:val="22"/>
          <w:lang w:val="hu-HU"/>
        </w:rPr>
      </w:pPr>
      <w:r>
        <w:rPr>
          <w:szCs w:val="22"/>
          <w:lang w:val="hu-HU"/>
        </w:rPr>
        <w:t>Az elektrolit-zavarok (például hypokalaemia/hypomagnesaemia) fokozzák a malignus arrhythmiák kockázatát, ezért azokat meg kell szüntetni az eszcitaloprám-kezelés megkezdése előtt.</w:t>
      </w:r>
    </w:p>
    <w:p w:rsidR="00AF6E51" w:rsidRDefault="00AF6E51">
      <w:pPr>
        <w:rPr>
          <w:szCs w:val="22"/>
          <w:lang w:val="hu-HU"/>
        </w:rPr>
      </w:pPr>
    </w:p>
    <w:p w:rsidR="00AF6E51" w:rsidRDefault="000A4EAB">
      <w:pPr>
        <w:autoSpaceDE w:val="0"/>
        <w:autoSpaceDN w:val="0"/>
        <w:adjustRightInd w:val="0"/>
        <w:rPr>
          <w:szCs w:val="22"/>
          <w:lang w:val="hu-HU"/>
        </w:rPr>
      </w:pPr>
      <w:r>
        <w:rPr>
          <w:szCs w:val="22"/>
          <w:lang w:val="hu-HU"/>
        </w:rPr>
        <w:t>Stabil szívbetegségben szenvedő betegek tervezett kezelése esetén megfontolandó az EKG ellenőrzése a kezelés megkezdése előtt.</w:t>
      </w:r>
    </w:p>
    <w:p w:rsidR="00AF6E51" w:rsidRDefault="00AF6E51">
      <w:pPr>
        <w:autoSpaceDE w:val="0"/>
        <w:autoSpaceDN w:val="0"/>
        <w:adjustRightInd w:val="0"/>
        <w:rPr>
          <w:szCs w:val="22"/>
          <w:lang w:val="hu-HU"/>
        </w:rPr>
      </w:pPr>
    </w:p>
    <w:p w:rsidR="00AF6E51" w:rsidRDefault="000A4EAB">
      <w:pPr>
        <w:autoSpaceDE w:val="0"/>
        <w:autoSpaceDN w:val="0"/>
        <w:adjustRightInd w:val="0"/>
        <w:rPr>
          <w:szCs w:val="22"/>
          <w:lang w:val="hu-HU"/>
        </w:rPr>
      </w:pPr>
      <w:r>
        <w:rPr>
          <w:szCs w:val="22"/>
          <w:lang w:val="hu-HU"/>
        </w:rPr>
        <w:t>Ha az eszcitaloprám-kezelés során arrhythmia tünetei mutatkoznak, a kezelést meg kell szakítani, valamint EKG vizsgálatot kell végezni.</w:t>
      </w:r>
    </w:p>
    <w:p w:rsidR="00AF6E51" w:rsidRDefault="00AF6E51">
      <w:pPr>
        <w:autoSpaceDE w:val="0"/>
        <w:autoSpaceDN w:val="0"/>
        <w:adjustRightInd w:val="0"/>
        <w:rPr>
          <w:bCs/>
          <w:szCs w:val="22"/>
          <w:lang w:val="hu-HU"/>
        </w:rPr>
      </w:pPr>
    </w:p>
    <w:p w:rsidR="00AF6E51" w:rsidRDefault="000A4EAB">
      <w:pPr>
        <w:rPr>
          <w:szCs w:val="22"/>
          <w:u w:val="single"/>
          <w:lang w:val="hu-HU"/>
        </w:rPr>
      </w:pPr>
      <w:r>
        <w:rPr>
          <w:szCs w:val="22"/>
          <w:u w:val="single"/>
          <w:lang w:val="hu-HU"/>
        </w:rPr>
        <w:t>Zárt csarnokzugú glaucoma</w:t>
      </w:r>
    </w:p>
    <w:p w:rsidR="00AF6E51" w:rsidRDefault="000A4EAB" w:rsidP="00557556">
      <w:pPr>
        <w:rPr>
          <w:bCs/>
          <w:szCs w:val="22"/>
          <w:lang w:val="hu-HU"/>
        </w:rPr>
      </w:pPr>
      <w:r>
        <w:rPr>
          <w:szCs w:val="22"/>
          <w:lang w:val="hu-HU"/>
        </w:rPr>
        <w:t>Az SSRI-k, köztük az eszcitaloprám hatása a pupillaátmérőre mydriasist eredményezhet. Ez a pupillatágító hatás a csarnokzug szűküléséhez, az intraoculáris nyomás emelkedéséhez és zárt csarnokzugú glaucomához vezethet, különösen az erre hajlamos betegeknél. Emiatt az eszcitaloprámot körültekintően kell alkalmazni zárt csarnokzugú glaucomában szenvedő vagy glaucomás kórelőzményű betegeknél.</w:t>
      </w:r>
    </w:p>
    <w:p w:rsidR="00AF6E51" w:rsidRDefault="00AF6E51">
      <w:pPr>
        <w:rPr>
          <w:szCs w:val="22"/>
          <w:lang w:val="hu-HU"/>
        </w:rPr>
      </w:pPr>
    </w:p>
    <w:p w:rsidR="00AF6E51" w:rsidRDefault="000A4EAB">
      <w:pPr>
        <w:rPr>
          <w:szCs w:val="22"/>
          <w:lang w:val="hu-HU"/>
        </w:rPr>
      </w:pPr>
      <w:r>
        <w:rPr>
          <w:szCs w:val="22"/>
          <w:u w:val="single"/>
          <w:lang w:val="hu-HU"/>
        </w:rPr>
        <w:t>Egyéb összetevők</w:t>
      </w:r>
    </w:p>
    <w:p w:rsidR="00AF6E51" w:rsidRDefault="00951CF7">
      <w:pPr>
        <w:rPr>
          <w:szCs w:val="22"/>
          <w:lang w:val="hu-HU"/>
        </w:rPr>
      </w:pPr>
      <w:r>
        <w:rPr>
          <w:bCs/>
          <w:szCs w:val="22"/>
          <w:lang w:val="hu-HU"/>
        </w:rPr>
        <w:t xml:space="preserve">Az Elicea Q-Tab laktózt tartalmaz. </w:t>
      </w:r>
      <w:r w:rsidR="000A4EAB">
        <w:rPr>
          <w:bCs/>
          <w:szCs w:val="22"/>
          <w:lang w:val="hu-HU"/>
        </w:rPr>
        <w:t xml:space="preserve">Ritkán előforduló, </w:t>
      </w:r>
      <w:r w:rsidR="000A4EAB">
        <w:rPr>
          <w:color w:val="000000"/>
          <w:szCs w:val="22"/>
          <w:lang w:val="hu-HU"/>
        </w:rPr>
        <w:t>örökletes galaktózintoleranciában, teljes laktáz-hiányban vagy glükóz</w:t>
      </w:r>
      <w:r w:rsidR="000A4EAB">
        <w:rPr>
          <w:color w:val="000000"/>
          <w:szCs w:val="22"/>
          <w:lang w:val="hu-HU"/>
        </w:rPr>
        <w:noBreakHyphen/>
        <w:t>galaktóz malabszorpcióban a készítmény nem szedhető.</w:t>
      </w:r>
    </w:p>
    <w:p w:rsidR="00AF6E51" w:rsidRDefault="000A4EAB">
      <w:pPr>
        <w:numPr>
          <w:ilvl w:val="12"/>
          <w:numId w:val="0"/>
        </w:numPr>
        <w:ind w:right="-2"/>
        <w:outlineLvl w:val="0"/>
        <w:rPr>
          <w:rFonts w:eastAsia="Calibri"/>
          <w:color w:val="000000"/>
          <w:szCs w:val="22"/>
          <w:lang w:val="hu-HU" w:eastAsia="hu-HU"/>
        </w:rPr>
      </w:pPr>
      <w:r>
        <w:rPr>
          <w:rFonts w:eastAsia="Calibri"/>
          <w:color w:val="000000"/>
          <w:szCs w:val="22"/>
          <w:lang w:val="hu-HU" w:eastAsia="hu-HU"/>
        </w:rPr>
        <w:lastRenderedPageBreak/>
        <w:t>A készítmény kevesebb mint 1 mmol (23 mg) nátriumot tartalmaz szájban diszpergálódó tablettánként, azaz gyakorlatilag „nátriummentes”.</w:t>
      </w:r>
    </w:p>
    <w:p w:rsidR="00AF6E51" w:rsidRDefault="00AF6E51">
      <w:pPr>
        <w:tabs>
          <w:tab w:val="left" w:pos="567"/>
        </w:tabs>
        <w:rPr>
          <w:szCs w:val="22"/>
          <w:lang w:val="hu-HU"/>
        </w:rPr>
      </w:pPr>
    </w:p>
    <w:p w:rsidR="00AF6E51" w:rsidRDefault="000A4EAB">
      <w:pPr>
        <w:suppressAutoHyphens/>
        <w:ind w:left="567" w:hanging="567"/>
        <w:rPr>
          <w:b/>
          <w:szCs w:val="22"/>
          <w:lang w:val="hu-HU"/>
        </w:rPr>
      </w:pPr>
      <w:r>
        <w:rPr>
          <w:b/>
          <w:szCs w:val="22"/>
          <w:lang w:val="hu-HU"/>
        </w:rPr>
        <w:t>4.5</w:t>
      </w:r>
      <w:r>
        <w:rPr>
          <w:b/>
          <w:szCs w:val="22"/>
          <w:lang w:val="hu-HU"/>
        </w:rPr>
        <w:tab/>
        <w:t>Gyógyszerkölcsönhatások és egyéb interakciók</w:t>
      </w:r>
    </w:p>
    <w:p w:rsidR="00AF6E51" w:rsidRDefault="00AF6E51">
      <w:pPr>
        <w:autoSpaceDE w:val="0"/>
        <w:autoSpaceDN w:val="0"/>
        <w:adjustRightInd w:val="0"/>
        <w:rPr>
          <w:szCs w:val="22"/>
          <w:lang w:val="hu-HU"/>
        </w:rPr>
      </w:pPr>
    </w:p>
    <w:p w:rsidR="00AF6E51" w:rsidRDefault="000A4EAB">
      <w:pPr>
        <w:autoSpaceDE w:val="0"/>
        <w:autoSpaceDN w:val="0"/>
        <w:adjustRightInd w:val="0"/>
        <w:rPr>
          <w:b/>
          <w:bCs/>
          <w:szCs w:val="22"/>
          <w:lang w:val="hu-HU"/>
        </w:rPr>
      </w:pPr>
      <w:r>
        <w:rPr>
          <w:b/>
          <w:bCs/>
          <w:szCs w:val="22"/>
          <w:lang w:val="hu-HU"/>
        </w:rPr>
        <w:t>Farmakodinámiás kölcsönhatások</w:t>
      </w:r>
    </w:p>
    <w:p w:rsidR="00AF6E51" w:rsidRDefault="00AF6E51">
      <w:pPr>
        <w:rPr>
          <w:szCs w:val="22"/>
          <w:lang w:val="hu-HU" w:eastAsia="en-US"/>
        </w:rPr>
      </w:pPr>
    </w:p>
    <w:p w:rsidR="00AF6E51" w:rsidRDefault="000A4EAB">
      <w:pPr>
        <w:autoSpaceDE w:val="0"/>
        <w:autoSpaceDN w:val="0"/>
        <w:adjustRightInd w:val="0"/>
        <w:rPr>
          <w:szCs w:val="22"/>
          <w:u w:val="single"/>
          <w:lang w:val="hu-HU"/>
        </w:rPr>
      </w:pPr>
      <w:r>
        <w:rPr>
          <w:szCs w:val="22"/>
          <w:u w:val="single"/>
          <w:lang w:val="hu-HU"/>
        </w:rPr>
        <w:t>Ellenjavallt kombinációk:</w:t>
      </w:r>
    </w:p>
    <w:p w:rsidR="00AF6E51" w:rsidRDefault="00AF6E51">
      <w:pPr>
        <w:autoSpaceDE w:val="0"/>
        <w:autoSpaceDN w:val="0"/>
        <w:adjustRightInd w:val="0"/>
        <w:rPr>
          <w:szCs w:val="22"/>
          <w:u w:val="single"/>
          <w:lang w:val="hu-HU"/>
        </w:rPr>
      </w:pPr>
    </w:p>
    <w:p w:rsidR="00AF6E51" w:rsidRDefault="000A4EAB">
      <w:pPr>
        <w:rPr>
          <w:i/>
          <w:iCs/>
          <w:szCs w:val="22"/>
          <w:lang w:val="hu-HU"/>
        </w:rPr>
      </w:pPr>
      <w:r>
        <w:rPr>
          <w:i/>
          <w:iCs/>
          <w:szCs w:val="22"/>
          <w:lang w:val="hu-HU"/>
        </w:rPr>
        <w:t>Irreverzibilis, nem-szelektív MAO-gátlók</w:t>
      </w:r>
    </w:p>
    <w:p w:rsidR="00AF6E51" w:rsidRDefault="000A4EAB">
      <w:pPr>
        <w:autoSpaceDE w:val="0"/>
        <w:autoSpaceDN w:val="0"/>
        <w:adjustRightInd w:val="0"/>
        <w:rPr>
          <w:szCs w:val="22"/>
          <w:lang w:val="hu-HU"/>
        </w:rPr>
      </w:pPr>
      <w:r>
        <w:rPr>
          <w:szCs w:val="22"/>
          <w:lang w:val="hu-HU"/>
        </w:rPr>
        <w:t>Súlyos reakciókat jelentettek SSRI és nem szelektív, irreverzibilis monoaminoxidáz-gátlók (MAOI) együttadása esetén, valamint olyan betegeknél, akiket SSRI-kezelésről átmenet nélkül ilyen MAOI-terápiára állítottak át (lásd 4.3 pont). Egyes esetekben szerotonin szindróma alakult ki (lásd 4.8 pont).</w:t>
      </w:r>
    </w:p>
    <w:p w:rsidR="00AF6E51" w:rsidRDefault="00AF6E51">
      <w:pPr>
        <w:rPr>
          <w:szCs w:val="22"/>
          <w:lang w:val="hu-HU" w:eastAsia="en-US"/>
        </w:rPr>
      </w:pPr>
    </w:p>
    <w:p w:rsidR="00AF6E51" w:rsidRDefault="000A4EAB">
      <w:pPr>
        <w:autoSpaceDE w:val="0"/>
        <w:autoSpaceDN w:val="0"/>
        <w:adjustRightInd w:val="0"/>
        <w:rPr>
          <w:i/>
          <w:iCs/>
          <w:szCs w:val="22"/>
          <w:lang w:val="hu-HU"/>
        </w:rPr>
      </w:pPr>
      <w:r>
        <w:rPr>
          <w:szCs w:val="22"/>
          <w:lang w:val="hu-HU"/>
        </w:rPr>
        <w:t>Az eszcitaloprám és a nem szelektív, irreverzibilis MAO-gátlók együttadása ellenjavallt. Az eszcitaloprám-kezelést 14 nappal az irreverzibilis MAO-gátló-kezelés befejezése után lehet elkezdeni. Az eszcitaloprám-kezelés megszakítása után legalább 7 napnak kell eltelnie a nem-szelektív, irreverzibilis MAOI-kezelés megkezdéséig.</w:t>
      </w:r>
    </w:p>
    <w:p w:rsidR="00AF6E51" w:rsidRDefault="00AF6E51">
      <w:pPr>
        <w:rPr>
          <w:szCs w:val="22"/>
          <w:lang w:val="hu-HU" w:eastAsia="en-US"/>
        </w:rPr>
      </w:pPr>
    </w:p>
    <w:p w:rsidR="00AF6E51" w:rsidRDefault="000A4EAB">
      <w:pPr>
        <w:autoSpaceDE w:val="0"/>
        <w:autoSpaceDN w:val="0"/>
        <w:adjustRightInd w:val="0"/>
        <w:rPr>
          <w:szCs w:val="22"/>
          <w:lang w:val="hu-HU"/>
        </w:rPr>
      </w:pPr>
      <w:r>
        <w:rPr>
          <w:i/>
          <w:iCs/>
          <w:szCs w:val="22"/>
          <w:lang w:val="hu-HU"/>
        </w:rPr>
        <w:t>Reverzibilis, szelektív MAO-A-gátló (moklobemid)</w:t>
      </w:r>
    </w:p>
    <w:p w:rsidR="00AF6E51" w:rsidRDefault="000A4EAB">
      <w:pPr>
        <w:autoSpaceDE w:val="0"/>
        <w:autoSpaceDN w:val="0"/>
        <w:adjustRightInd w:val="0"/>
        <w:rPr>
          <w:szCs w:val="22"/>
          <w:lang w:val="hu-HU"/>
        </w:rPr>
      </w:pPr>
      <w:r>
        <w:rPr>
          <w:szCs w:val="22"/>
          <w:lang w:val="hu-HU"/>
        </w:rPr>
        <w:t>A szerotonin szindróma kialakulásának veszélye miatt az eszcitaloprám és MAO-A-gátló (például moklobemid) együttadása ellenjavallt (lásd 4.3 pont). Amennyiben ez a kombináció szükségesnek bizonyul, a kezelést a legalacsonyabb ajánlott adaggal kell kezdeni és fokozni a beteg klinikai monitorozását.</w:t>
      </w:r>
    </w:p>
    <w:p w:rsidR="00AF6E51" w:rsidRDefault="00AF6E51">
      <w:pPr>
        <w:rPr>
          <w:szCs w:val="22"/>
          <w:lang w:val="hu-HU" w:eastAsia="en-US"/>
        </w:rPr>
      </w:pPr>
    </w:p>
    <w:p w:rsidR="00AF6E51" w:rsidRDefault="000A4EAB">
      <w:pPr>
        <w:autoSpaceDE w:val="0"/>
        <w:autoSpaceDN w:val="0"/>
        <w:adjustRightInd w:val="0"/>
        <w:rPr>
          <w:i/>
          <w:iCs/>
          <w:szCs w:val="22"/>
          <w:lang w:val="hu-HU"/>
        </w:rPr>
      </w:pPr>
      <w:r>
        <w:rPr>
          <w:i/>
          <w:iCs/>
          <w:szCs w:val="22"/>
          <w:lang w:val="hu-HU"/>
        </w:rPr>
        <w:t>Reverzibilis, nem szelektív MAO-gátló (linezolid)</w:t>
      </w:r>
    </w:p>
    <w:p w:rsidR="00AF6E51" w:rsidRDefault="000A4EAB">
      <w:pPr>
        <w:autoSpaceDE w:val="0"/>
        <w:autoSpaceDN w:val="0"/>
        <w:adjustRightInd w:val="0"/>
        <w:rPr>
          <w:szCs w:val="22"/>
          <w:lang w:val="hu-HU"/>
        </w:rPr>
      </w:pPr>
      <w:r>
        <w:rPr>
          <w:szCs w:val="22"/>
          <w:lang w:val="hu-HU"/>
        </w:rPr>
        <w:t>A linezolid reverzibilis, nem szelektív MAO-gátló antibiotikum, ezért nem adható eszcitaloprámmal kezelt betegeknek. Amennyiben az együttadás szükségesnek bizonyul, a legalacsonyabb dózisban kell adni, szoros klinikai ellenőrzés mellett (lásd 4.3 pont).</w:t>
      </w:r>
    </w:p>
    <w:p w:rsidR="00AF6E51" w:rsidRDefault="00AF6E51">
      <w:pPr>
        <w:rPr>
          <w:szCs w:val="22"/>
          <w:u w:val="single"/>
          <w:lang w:val="hu-HU" w:eastAsia="en-US"/>
        </w:rPr>
      </w:pPr>
    </w:p>
    <w:p w:rsidR="00AF6E51" w:rsidRDefault="000A4EAB">
      <w:pPr>
        <w:rPr>
          <w:i/>
          <w:szCs w:val="22"/>
          <w:lang w:val="hu-HU"/>
        </w:rPr>
      </w:pPr>
      <w:r>
        <w:rPr>
          <w:i/>
          <w:szCs w:val="22"/>
          <w:lang w:val="hu-HU"/>
        </w:rPr>
        <w:t>Irreverzibilis, szelektív MAO-B gátló (szelegilin)</w:t>
      </w:r>
    </w:p>
    <w:p w:rsidR="00AF6E51" w:rsidRDefault="000A4EAB">
      <w:pPr>
        <w:rPr>
          <w:szCs w:val="22"/>
          <w:lang w:val="hu-HU"/>
        </w:rPr>
      </w:pPr>
      <w:r>
        <w:rPr>
          <w:szCs w:val="22"/>
          <w:lang w:val="hu-HU"/>
        </w:rPr>
        <w:t>Szerotonin szindróma kialakulásának veszélye miatt szelegilinnel (irreverzibilis MAO-B gátló) való együttadás esetén körültekintés szükséges. A szelegilint napi 10 mg-ig terjedő napi adagban biztonságosan kombinálták racém citaloprámmal.</w:t>
      </w:r>
    </w:p>
    <w:p w:rsidR="00AF6E51" w:rsidRDefault="00AF6E51">
      <w:pPr>
        <w:rPr>
          <w:szCs w:val="22"/>
          <w:u w:val="single"/>
          <w:lang w:val="hu-HU" w:eastAsia="en-US"/>
        </w:rPr>
      </w:pPr>
    </w:p>
    <w:p w:rsidR="00AF6E51" w:rsidRDefault="000A4EAB">
      <w:pPr>
        <w:autoSpaceDE w:val="0"/>
        <w:autoSpaceDN w:val="0"/>
        <w:adjustRightInd w:val="0"/>
        <w:rPr>
          <w:i/>
          <w:iCs/>
          <w:szCs w:val="22"/>
          <w:lang w:val="hu-HU"/>
        </w:rPr>
      </w:pPr>
      <w:r>
        <w:rPr>
          <w:i/>
          <w:iCs/>
          <w:szCs w:val="22"/>
          <w:lang w:val="hu-HU"/>
        </w:rPr>
        <w:t>QT-intervallum-megnyúlás</w:t>
      </w:r>
    </w:p>
    <w:p w:rsidR="00AF6E51" w:rsidRDefault="000A4EAB">
      <w:pPr>
        <w:autoSpaceDE w:val="0"/>
        <w:autoSpaceDN w:val="0"/>
        <w:adjustRightInd w:val="0"/>
        <w:rPr>
          <w:szCs w:val="22"/>
          <w:lang w:val="hu-HU"/>
        </w:rPr>
      </w:pPr>
      <w:r>
        <w:rPr>
          <w:szCs w:val="22"/>
          <w:lang w:val="hu-HU"/>
        </w:rPr>
        <w:t>Az eszcitaloprám és QT</w:t>
      </w:r>
      <w:r>
        <w:rPr>
          <w:szCs w:val="22"/>
          <w:lang w:val="hu-HU"/>
        </w:rPr>
        <w:noBreakHyphen/>
        <w:t>intervallum-megnyúlást okozó gyógyszerek kombinációival nem végeztek farmakokinetikai/farmakodinámiás vizsgálatokat. Az eszcitaloprám és ezen gyógyszerek additív hatása nem zárható ki. Ezért az eszcitaloprám együttadása ellenjavallt a QT</w:t>
      </w:r>
      <w:r>
        <w:rPr>
          <w:szCs w:val="22"/>
          <w:lang w:val="hu-HU"/>
        </w:rPr>
        <w:noBreakHyphen/>
        <w:t xml:space="preserve">intervallumot megnyújtó szerekkel, például I/A és III osztályú antiarrhythmiás szerekkel, antipszichotikumokkal (például fenotiazin származékokkal, pimoziddal, haloperidollal), triciklusos antidepresszánsokkal, bizonyos antimikrobás szerekkel (például sparfloxacinnal, moxifloxacinnal, intravénásan alkalmazott eritromicinnel, pentamidinnel, antimaláriás szerekkel, főként halofantrinnal), bizonyos antihisztaminokkal (asztemizollal, </w:t>
      </w:r>
      <w:r>
        <w:rPr>
          <w:szCs w:val="22"/>
          <w:shd w:val="clear" w:color="auto" w:fill="FFFFFF"/>
          <w:lang w:val="hu-HU"/>
        </w:rPr>
        <w:t>hidroxizin</w:t>
      </w:r>
      <w:r>
        <w:rPr>
          <w:szCs w:val="22"/>
          <w:lang w:val="hu-HU"/>
        </w:rPr>
        <w:t>nel, mizolasztinnal).</w:t>
      </w:r>
    </w:p>
    <w:p w:rsidR="00AF6E51" w:rsidRDefault="00AF6E51">
      <w:pPr>
        <w:rPr>
          <w:szCs w:val="22"/>
          <w:lang w:val="hu-HU" w:eastAsia="en-US"/>
        </w:rPr>
      </w:pPr>
    </w:p>
    <w:p w:rsidR="00AF6E51" w:rsidRDefault="000A4EAB">
      <w:pPr>
        <w:autoSpaceDE w:val="0"/>
        <w:autoSpaceDN w:val="0"/>
        <w:adjustRightInd w:val="0"/>
        <w:rPr>
          <w:szCs w:val="22"/>
          <w:u w:val="single"/>
          <w:lang w:val="hu-HU"/>
        </w:rPr>
      </w:pPr>
      <w:r>
        <w:rPr>
          <w:szCs w:val="22"/>
          <w:u w:val="single"/>
          <w:lang w:val="hu-HU"/>
        </w:rPr>
        <w:t>Elővigyázatossággal alkalmazható kombinációk:</w:t>
      </w:r>
    </w:p>
    <w:p w:rsidR="00AF6E51" w:rsidRDefault="00AF6E51">
      <w:pPr>
        <w:rPr>
          <w:szCs w:val="22"/>
          <w:lang w:val="hu-HU"/>
        </w:rPr>
      </w:pPr>
    </w:p>
    <w:p w:rsidR="00AF6E51" w:rsidRDefault="000A4EAB">
      <w:pPr>
        <w:rPr>
          <w:i/>
          <w:szCs w:val="22"/>
          <w:lang w:val="hu-HU" w:eastAsia="en-US"/>
        </w:rPr>
      </w:pPr>
      <w:r>
        <w:rPr>
          <w:i/>
          <w:szCs w:val="22"/>
          <w:lang w:val="hu-HU" w:eastAsia="en-US"/>
        </w:rPr>
        <w:t>Szerotonerg gyógyszerek</w:t>
      </w:r>
    </w:p>
    <w:p w:rsidR="00AF6E51" w:rsidRDefault="000A4EAB">
      <w:pPr>
        <w:rPr>
          <w:i/>
          <w:szCs w:val="22"/>
          <w:lang w:val="hu-HU" w:eastAsia="en-US"/>
        </w:rPr>
      </w:pPr>
      <w:r>
        <w:rPr>
          <w:szCs w:val="22"/>
          <w:lang w:val="hu-HU" w:eastAsia="en-US"/>
        </w:rPr>
        <w:t>Szerotonerg gyógyszerek, például opioidok (köztük a tramadol) és triptánok (köztük a szumatriptán) együttadása szerotonin szindróma kialakulásához vezethet (lást 4.4 pont).</w:t>
      </w:r>
    </w:p>
    <w:p w:rsidR="00AF6E51" w:rsidRDefault="00AF6E51">
      <w:pPr>
        <w:rPr>
          <w:szCs w:val="22"/>
          <w:lang w:val="hu-HU" w:eastAsia="en-US"/>
        </w:rPr>
      </w:pPr>
    </w:p>
    <w:p w:rsidR="00AF6E51" w:rsidRDefault="000A4EAB">
      <w:pPr>
        <w:rPr>
          <w:szCs w:val="22"/>
          <w:lang w:val="hu-HU" w:eastAsia="en-US"/>
        </w:rPr>
      </w:pPr>
      <w:r>
        <w:rPr>
          <w:i/>
          <w:szCs w:val="22"/>
          <w:lang w:val="hu-HU" w:eastAsia="en-US"/>
        </w:rPr>
        <w:t>A görcsküszöböt csökkentő gyógyszerek</w:t>
      </w:r>
    </w:p>
    <w:p w:rsidR="00AF6E51" w:rsidRDefault="000A4EAB">
      <w:pPr>
        <w:rPr>
          <w:szCs w:val="22"/>
          <w:lang w:val="hu-HU" w:eastAsia="en-US"/>
        </w:rPr>
      </w:pPr>
      <w:r>
        <w:rPr>
          <w:spacing w:val="-2"/>
          <w:szCs w:val="22"/>
          <w:lang w:val="hu-HU" w:eastAsia="en-US"/>
        </w:rPr>
        <w:t>Az SSRI-k csökkenthetik a görcsküszöböt. Óvatosság ajánlott olyan gyógyszerek egyidejű alkalmazása</w:t>
      </w:r>
      <w:r>
        <w:rPr>
          <w:szCs w:val="22"/>
          <w:lang w:val="hu-HU" w:eastAsia="en-US"/>
        </w:rPr>
        <w:t xml:space="preserve"> </w:t>
      </w:r>
      <w:r>
        <w:rPr>
          <w:spacing w:val="-2"/>
          <w:szCs w:val="22"/>
          <w:lang w:val="hu-HU" w:eastAsia="en-US"/>
        </w:rPr>
        <w:t>esetén, amelyek szintén csökkenthetik a görcsküszöböt, ilyenek például az antidepresszánsok (triciklusosak,</w:t>
      </w:r>
      <w:r>
        <w:rPr>
          <w:szCs w:val="22"/>
          <w:lang w:val="hu-HU" w:eastAsia="en-US"/>
        </w:rPr>
        <w:t xml:space="preserve"> SSRI-k), a neuroleptikumok (fenotiazinok, tioxantének és butirofenonok), a meflokin, a bupropion és a tramadol.</w:t>
      </w:r>
    </w:p>
    <w:p w:rsidR="00AF6E51" w:rsidRDefault="00AF6E51">
      <w:pPr>
        <w:rPr>
          <w:szCs w:val="22"/>
          <w:lang w:val="hu-HU" w:eastAsia="en-US"/>
        </w:rPr>
      </w:pPr>
    </w:p>
    <w:p w:rsidR="00AF6E51" w:rsidRDefault="000A4EAB">
      <w:pPr>
        <w:rPr>
          <w:szCs w:val="22"/>
          <w:lang w:val="hu-HU" w:eastAsia="en-US"/>
        </w:rPr>
      </w:pPr>
      <w:r>
        <w:rPr>
          <w:i/>
          <w:szCs w:val="22"/>
          <w:lang w:val="hu-HU" w:eastAsia="en-US"/>
        </w:rPr>
        <w:lastRenderedPageBreak/>
        <w:t>Lítium, triptofán</w:t>
      </w:r>
    </w:p>
    <w:p w:rsidR="00AF6E51" w:rsidRDefault="000A4EAB">
      <w:pPr>
        <w:rPr>
          <w:szCs w:val="22"/>
          <w:lang w:val="hu-HU" w:eastAsia="en-US"/>
        </w:rPr>
      </w:pPr>
      <w:r>
        <w:rPr>
          <w:szCs w:val="22"/>
          <w:lang w:val="hu-HU" w:eastAsia="en-US"/>
        </w:rPr>
        <w:t>SSRI-k és lítium vagy triptofán együttes adásakor a hatások fokozódásáról számoltak be, ezért az SSRI-k és ezen gyógyszerek egyidejű alkalmazása során körültekintően kell eljárni.</w:t>
      </w:r>
    </w:p>
    <w:p w:rsidR="00AF6E51" w:rsidRDefault="00AF6E51">
      <w:pPr>
        <w:rPr>
          <w:szCs w:val="22"/>
          <w:lang w:val="hu-HU" w:eastAsia="en-US"/>
        </w:rPr>
      </w:pPr>
    </w:p>
    <w:p w:rsidR="00AF6E51" w:rsidRDefault="000A4EAB">
      <w:pPr>
        <w:rPr>
          <w:szCs w:val="22"/>
          <w:lang w:val="hu-HU" w:eastAsia="en-US"/>
        </w:rPr>
      </w:pPr>
      <w:r>
        <w:rPr>
          <w:i/>
          <w:szCs w:val="22"/>
          <w:lang w:val="hu-HU" w:eastAsia="en-US"/>
        </w:rPr>
        <w:t>Közönséges orbáncfű</w:t>
      </w:r>
    </w:p>
    <w:p w:rsidR="00AF6E51" w:rsidRDefault="000A4EAB">
      <w:pPr>
        <w:rPr>
          <w:szCs w:val="22"/>
          <w:lang w:val="hu-HU" w:eastAsia="en-US"/>
        </w:rPr>
      </w:pPr>
      <w:r>
        <w:rPr>
          <w:szCs w:val="22"/>
          <w:lang w:val="hu-HU" w:eastAsia="en-US"/>
        </w:rPr>
        <w:t>SSRI-k és közönséges orbáncfű (</w:t>
      </w:r>
      <w:r>
        <w:rPr>
          <w:i/>
          <w:szCs w:val="22"/>
          <w:lang w:val="hu-HU" w:eastAsia="en-US"/>
        </w:rPr>
        <w:t>Hypericum perforatum</w:t>
      </w:r>
      <w:r>
        <w:rPr>
          <w:szCs w:val="22"/>
          <w:lang w:val="hu-HU" w:eastAsia="en-US"/>
        </w:rPr>
        <w:t>) tartalmú gyógynövény készítmények egyidejű alkalmazása a mellékhatások gyakoribb előfordulását eredményezheti (lásd 4.4 pont).</w:t>
      </w:r>
    </w:p>
    <w:p w:rsidR="00AF6E51" w:rsidRDefault="00AF6E51">
      <w:pPr>
        <w:rPr>
          <w:szCs w:val="22"/>
          <w:lang w:val="hu-HU" w:eastAsia="en-US"/>
        </w:rPr>
      </w:pPr>
    </w:p>
    <w:p w:rsidR="00AF6E51" w:rsidRDefault="000A4EAB">
      <w:pPr>
        <w:rPr>
          <w:i/>
          <w:iCs/>
          <w:szCs w:val="22"/>
          <w:lang w:val="hu-HU" w:eastAsia="en-US"/>
        </w:rPr>
      </w:pPr>
      <w:r>
        <w:rPr>
          <w:i/>
          <w:iCs/>
          <w:szCs w:val="22"/>
          <w:lang w:val="hu-HU" w:eastAsia="en-US"/>
        </w:rPr>
        <w:t>Vérzés</w:t>
      </w:r>
    </w:p>
    <w:p w:rsidR="00AF6E51" w:rsidRDefault="000A4EAB">
      <w:pPr>
        <w:rPr>
          <w:iCs/>
          <w:szCs w:val="22"/>
          <w:lang w:val="hu-HU" w:eastAsia="en-US"/>
        </w:rPr>
      </w:pPr>
      <w:r>
        <w:rPr>
          <w:iCs/>
          <w:szCs w:val="22"/>
          <w:lang w:val="hu-HU" w:eastAsia="en-US"/>
        </w:rPr>
        <w:t>Megváltozhat a véralvadásgátló hatás, ha az eszcitaloprámot orális antikoagulánsokkal adják együtt. Az orális véralvadásgátlóval kezelt betegeknél gondosan kell ellenőrizni a véralvadás állapotát, amikor megkezdik, vagy leállítják az eszcitaloprám-kezelést (lásd 4.4 pont).</w:t>
      </w:r>
    </w:p>
    <w:p w:rsidR="00AF6E51" w:rsidRDefault="000A4EAB">
      <w:pPr>
        <w:rPr>
          <w:iCs/>
          <w:szCs w:val="22"/>
          <w:lang w:val="hu-HU" w:eastAsia="en-US"/>
        </w:rPr>
      </w:pPr>
      <w:r>
        <w:rPr>
          <w:iCs/>
          <w:szCs w:val="22"/>
          <w:lang w:val="hu-HU" w:eastAsia="en-US"/>
        </w:rPr>
        <w:t>Nem-szteroid gyulladásgátlók (NSAID-ok) egyidejű alkalmazása fokozhatja a vérzéshajlamot (lásd 4.4 pont)</w:t>
      </w:r>
    </w:p>
    <w:p w:rsidR="00AF6E51" w:rsidRDefault="00AF6E51">
      <w:pPr>
        <w:rPr>
          <w:i/>
          <w:iCs/>
          <w:szCs w:val="22"/>
          <w:lang w:val="hu-HU" w:eastAsia="en-US"/>
        </w:rPr>
      </w:pPr>
    </w:p>
    <w:p w:rsidR="00AF6E51" w:rsidRDefault="000A4EAB">
      <w:pPr>
        <w:rPr>
          <w:szCs w:val="22"/>
          <w:lang w:val="hu-HU" w:eastAsia="en-US"/>
        </w:rPr>
      </w:pPr>
      <w:r>
        <w:rPr>
          <w:i/>
          <w:iCs/>
          <w:szCs w:val="22"/>
          <w:lang w:val="hu-HU" w:eastAsia="en-US"/>
        </w:rPr>
        <w:t>Alkohol</w:t>
      </w:r>
    </w:p>
    <w:p w:rsidR="00AF6E51" w:rsidRDefault="000A4EAB">
      <w:pPr>
        <w:rPr>
          <w:szCs w:val="22"/>
          <w:lang w:val="hu-HU" w:eastAsia="en-US"/>
        </w:rPr>
      </w:pPr>
      <w:r>
        <w:rPr>
          <w:szCs w:val="22"/>
          <w:lang w:val="hu-HU" w:eastAsia="en-US"/>
        </w:rPr>
        <w:t>Az eszcitaloprám és az alkohol között nem várhatók farmakodinámiás, vagy farmakokinetikai kölcsönhatások. Mindazonáltal, más pszichotrop szerekhez hasonlóan, az alkohol fogyasztása sem javasolt.</w:t>
      </w:r>
    </w:p>
    <w:p w:rsidR="00AF6E51" w:rsidRDefault="00AF6E51">
      <w:pPr>
        <w:rPr>
          <w:szCs w:val="22"/>
          <w:lang w:val="hu-HU" w:eastAsia="en-US"/>
        </w:rPr>
      </w:pPr>
    </w:p>
    <w:p w:rsidR="00AF6E51" w:rsidRDefault="000A4EAB">
      <w:pPr>
        <w:rPr>
          <w:i/>
          <w:szCs w:val="22"/>
          <w:lang w:val="hu-HU" w:eastAsia="en-US"/>
        </w:rPr>
      </w:pPr>
      <w:r>
        <w:rPr>
          <w:i/>
          <w:szCs w:val="22"/>
          <w:lang w:val="hu-HU" w:eastAsia="en-US"/>
        </w:rPr>
        <w:t>Hypokalaemiát/hypomagnesaemiát előidéző gyógyszerek</w:t>
      </w:r>
    </w:p>
    <w:p w:rsidR="00AF6E51" w:rsidRDefault="000A4EAB">
      <w:pPr>
        <w:rPr>
          <w:iCs/>
          <w:snapToGrid w:val="0"/>
          <w:color w:val="000000"/>
          <w:szCs w:val="22"/>
          <w:lang w:val="hu-HU"/>
        </w:rPr>
      </w:pPr>
      <w:r>
        <w:rPr>
          <w:iCs/>
          <w:snapToGrid w:val="0"/>
          <w:color w:val="000000"/>
          <w:szCs w:val="22"/>
          <w:lang w:val="hu-HU"/>
        </w:rPr>
        <w:t>Körültekintés szükséges h</w:t>
      </w:r>
      <w:r>
        <w:rPr>
          <w:szCs w:val="22"/>
          <w:lang w:val="hu-HU" w:eastAsia="en-US"/>
        </w:rPr>
        <w:t>ypokalaemiát/hypomagnesaemiát előidéző gyógyszerek egyidejű alkalmazásakor, mivel ezek a kombinációk fokozzák a malignus arrhythmiák kockázatát (lásd 4.4 pont).</w:t>
      </w:r>
    </w:p>
    <w:p w:rsidR="00AF6E51" w:rsidRDefault="00AF6E51">
      <w:pPr>
        <w:rPr>
          <w:szCs w:val="22"/>
          <w:lang w:val="hu-HU" w:eastAsia="en-US"/>
        </w:rPr>
      </w:pPr>
    </w:p>
    <w:p w:rsidR="00AF6E51" w:rsidRDefault="000A4EAB">
      <w:pPr>
        <w:rPr>
          <w:szCs w:val="22"/>
          <w:lang w:val="hu-HU" w:eastAsia="en-US"/>
        </w:rPr>
      </w:pPr>
      <w:r>
        <w:rPr>
          <w:b/>
          <w:bCs/>
          <w:szCs w:val="22"/>
          <w:lang w:val="hu-HU" w:eastAsia="en-US"/>
        </w:rPr>
        <w:t>Farmakokinetikai kölcsönhatások</w:t>
      </w:r>
    </w:p>
    <w:p w:rsidR="00AF6E51" w:rsidRDefault="00AF6E51">
      <w:pPr>
        <w:rPr>
          <w:szCs w:val="22"/>
          <w:u w:val="single"/>
          <w:lang w:val="hu-HU" w:eastAsia="en-US"/>
        </w:rPr>
      </w:pPr>
    </w:p>
    <w:p w:rsidR="00AF6E51" w:rsidRDefault="000A4EAB">
      <w:pPr>
        <w:autoSpaceDE w:val="0"/>
        <w:autoSpaceDN w:val="0"/>
        <w:adjustRightInd w:val="0"/>
        <w:rPr>
          <w:szCs w:val="22"/>
          <w:u w:val="single"/>
          <w:lang w:val="hu-HU"/>
        </w:rPr>
      </w:pPr>
      <w:r>
        <w:rPr>
          <w:szCs w:val="22"/>
          <w:u w:val="single"/>
          <w:lang w:val="hu-HU"/>
        </w:rPr>
        <w:t>Más gyógyszerek hatása az eszcitaloprám farmakokinetikájára</w:t>
      </w:r>
    </w:p>
    <w:p w:rsidR="00AF6E51" w:rsidRDefault="000A4EAB">
      <w:pPr>
        <w:autoSpaceDE w:val="0"/>
        <w:autoSpaceDN w:val="0"/>
        <w:adjustRightInd w:val="0"/>
        <w:rPr>
          <w:szCs w:val="22"/>
          <w:lang w:val="hu-HU"/>
        </w:rPr>
      </w:pPr>
      <w:r>
        <w:rPr>
          <w:szCs w:val="22"/>
          <w:lang w:val="hu-HU"/>
        </w:rPr>
        <w:t>Az eszcitaloprám metabolizmusa főként a CYP2C19 enzim közvetítésével zajlik. Kisebb mértékben bár, de a CYP3A4 és a CYP2D6 enzimek is közreműködhetnek a metabolizmusban. A fő metabolit, az S-DCT (demetilált eszcitaloprám) metabolizmusát úgy tűnik, hogy részben a CYP2D6 katalizálja.</w:t>
      </w:r>
    </w:p>
    <w:p w:rsidR="00AF6E51" w:rsidRDefault="00AF6E51">
      <w:pPr>
        <w:rPr>
          <w:szCs w:val="22"/>
          <w:u w:val="single"/>
          <w:lang w:val="hu-HU" w:eastAsia="en-US"/>
        </w:rPr>
      </w:pPr>
    </w:p>
    <w:p w:rsidR="00AF6E51" w:rsidRDefault="000A4EAB">
      <w:pPr>
        <w:autoSpaceDE w:val="0"/>
        <w:autoSpaceDN w:val="0"/>
        <w:adjustRightInd w:val="0"/>
        <w:rPr>
          <w:szCs w:val="22"/>
          <w:lang w:val="hu-HU"/>
        </w:rPr>
      </w:pPr>
      <w:r>
        <w:rPr>
          <w:spacing w:val="-2"/>
          <w:szCs w:val="22"/>
          <w:lang w:val="hu-HU"/>
        </w:rPr>
        <w:t>Az eszcitaloprám együttes alkalmazása naponta egyszer, 30 mg dózisban adott omeprazollal (CYP2C19</w:t>
      </w:r>
      <w:r>
        <w:rPr>
          <w:szCs w:val="22"/>
          <w:lang w:val="hu-HU"/>
        </w:rPr>
        <w:t xml:space="preserve"> gátló) az eszcitaloprám plazmakoncentrációjának mérsékelt (kb. 50%-os) növekedését eredményezte.</w:t>
      </w:r>
    </w:p>
    <w:p w:rsidR="00AF6E51" w:rsidRDefault="00AF6E51">
      <w:pPr>
        <w:rPr>
          <w:szCs w:val="22"/>
          <w:u w:val="single"/>
          <w:lang w:val="hu-HU" w:eastAsia="en-US"/>
        </w:rPr>
      </w:pPr>
    </w:p>
    <w:p w:rsidR="00AF6E51" w:rsidRDefault="000A4EAB">
      <w:pPr>
        <w:autoSpaceDE w:val="0"/>
        <w:autoSpaceDN w:val="0"/>
        <w:adjustRightInd w:val="0"/>
        <w:rPr>
          <w:szCs w:val="22"/>
          <w:lang w:val="hu-HU"/>
        </w:rPr>
      </w:pPr>
      <w:r>
        <w:rPr>
          <w:szCs w:val="22"/>
          <w:lang w:val="hu-HU"/>
        </w:rPr>
        <w:t>Az eszcitaloprám 2×400 mg/nap cimetidinnel (közepes-erős hatású általános enzim-gátló) történő együtt adása az eszcitaloprám plazmaszintjének mérsékelt (megközelítőleg 70%</w:t>
      </w:r>
      <w:r>
        <w:rPr>
          <w:szCs w:val="22"/>
          <w:lang w:val="hu-HU"/>
        </w:rPr>
        <w:noBreakHyphen/>
        <w:t>os) emelkedéséhez vezetett. Az eszcitaloprám és a cimetidin együttadásakor ajánlott az óvatosság. A dózismódosítás indokolt lehet.</w:t>
      </w:r>
    </w:p>
    <w:p w:rsidR="00AF6E51" w:rsidRDefault="00AF6E51">
      <w:pPr>
        <w:rPr>
          <w:szCs w:val="22"/>
          <w:lang w:val="hu-HU" w:eastAsia="en-US"/>
        </w:rPr>
      </w:pPr>
    </w:p>
    <w:p w:rsidR="00AF6E51" w:rsidRDefault="000A4EAB">
      <w:pPr>
        <w:autoSpaceDE w:val="0"/>
        <w:autoSpaceDN w:val="0"/>
        <w:adjustRightInd w:val="0"/>
        <w:rPr>
          <w:szCs w:val="22"/>
          <w:lang w:val="hu-HU"/>
        </w:rPr>
      </w:pPr>
      <w:r>
        <w:rPr>
          <w:szCs w:val="22"/>
          <w:lang w:val="hu-HU" w:eastAsia="en-US"/>
        </w:rPr>
        <w:t>Ezért körültekintés szükséges</w:t>
      </w:r>
      <w:r>
        <w:rPr>
          <w:szCs w:val="22"/>
          <w:lang w:val="hu-HU"/>
        </w:rPr>
        <w:t>, ha CYP2C19 gátlókkal (például omeprazol, ezomeprazol, flukonazol, fluvoxamin, lanzoprazol, tiklopidin) vagy cimetidinnel együtt alkalmazzák. Az egyidejű kezelés során a mellékhatások monitorozása alapján az eszcitaloprám adagjának csökkentésére lehet szükség (lásd 4.4 pont).</w:t>
      </w:r>
    </w:p>
    <w:p w:rsidR="00AF6E51" w:rsidRDefault="00AF6E51">
      <w:pPr>
        <w:rPr>
          <w:szCs w:val="22"/>
          <w:lang w:val="hu-HU" w:eastAsia="en-US"/>
        </w:rPr>
      </w:pPr>
    </w:p>
    <w:p w:rsidR="00AF6E51" w:rsidRDefault="000A4EAB">
      <w:pPr>
        <w:autoSpaceDE w:val="0"/>
        <w:autoSpaceDN w:val="0"/>
        <w:adjustRightInd w:val="0"/>
        <w:rPr>
          <w:szCs w:val="22"/>
          <w:u w:val="single"/>
          <w:lang w:val="hu-HU"/>
        </w:rPr>
      </w:pPr>
      <w:r>
        <w:rPr>
          <w:szCs w:val="22"/>
          <w:u w:val="single"/>
          <w:lang w:val="hu-HU"/>
        </w:rPr>
        <w:t>Az eszcitaloprám hatása más gyógyszerek farmakokinetikájára</w:t>
      </w:r>
    </w:p>
    <w:p w:rsidR="00AF6E51" w:rsidRDefault="000A4EAB">
      <w:pPr>
        <w:autoSpaceDE w:val="0"/>
        <w:autoSpaceDN w:val="0"/>
        <w:adjustRightInd w:val="0"/>
        <w:rPr>
          <w:szCs w:val="22"/>
          <w:lang w:val="hu-HU"/>
        </w:rPr>
      </w:pPr>
      <w:r>
        <w:rPr>
          <w:spacing w:val="-2"/>
          <w:szCs w:val="22"/>
          <w:lang w:val="hu-HU"/>
        </w:rPr>
        <w:t>Az eszcitaloprám a CYP2D6 enzim inhibitora. Óvatosság ajánlott, ha olyan gyógyszerekkel alkalmazzák</w:t>
      </w:r>
      <w:r>
        <w:rPr>
          <w:szCs w:val="22"/>
          <w:lang w:val="hu-HU"/>
        </w:rPr>
        <w:t xml:space="preserve"> együtt, amelyeket főként ez az enzim metabolizál, és amelyeknek szűk a terápiás indexe, például flekainid, propafenon és metoprolol (szívelégtelenségben alkalmazva), vagy néhány központi idegrendszerre ható készítmény, amelyeket főként a CYP2D6 metabolizál, például az antidepresszánsok (dezipramin, klomipramin és nortriptilin) vagy az antipszichotikumok (például riszperidon, tioridazin és haloperidol). Indokolt lehet a dózismódosítás.</w:t>
      </w:r>
    </w:p>
    <w:p w:rsidR="00AF6E51" w:rsidRDefault="00AF6E51">
      <w:pPr>
        <w:rPr>
          <w:szCs w:val="22"/>
          <w:lang w:val="hu-HU" w:eastAsia="en-US"/>
        </w:rPr>
      </w:pPr>
    </w:p>
    <w:p w:rsidR="00AF6E51" w:rsidRDefault="000A4EAB">
      <w:pPr>
        <w:autoSpaceDE w:val="0"/>
        <w:autoSpaceDN w:val="0"/>
        <w:adjustRightInd w:val="0"/>
        <w:rPr>
          <w:szCs w:val="22"/>
          <w:lang w:val="hu-HU"/>
        </w:rPr>
      </w:pPr>
      <w:r>
        <w:rPr>
          <w:szCs w:val="22"/>
          <w:lang w:val="hu-HU"/>
        </w:rPr>
        <w:t>Dezipraminnal, vagy metoprolollal való együttadás eredményeként kétszeresére emelkedtek ezeknek a CYP2D6 szubsztrátoknak a plazmaszintjei.</w:t>
      </w:r>
    </w:p>
    <w:p w:rsidR="00AF6E51" w:rsidRDefault="000A4EAB">
      <w:pPr>
        <w:autoSpaceDE w:val="0"/>
        <w:autoSpaceDN w:val="0"/>
        <w:adjustRightInd w:val="0"/>
        <w:rPr>
          <w:b/>
          <w:bCs/>
          <w:szCs w:val="22"/>
          <w:lang w:val="hu-HU"/>
        </w:rPr>
      </w:pPr>
      <w:r>
        <w:rPr>
          <w:i/>
          <w:iCs/>
          <w:szCs w:val="22"/>
          <w:lang w:val="hu-HU"/>
        </w:rPr>
        <w:t xml:space="preserve">In vitro </w:t>
      </w:r>
      <w:r>
        <w:rPr>
          <w:szCs w:val="22"/>
          <w:lang w:val="hu-HU"/>
        </w:rPr>
        <w:t>vizsgálatokkal bizonyították, hogy az eszcitaloprám kismértékben gátolhatja a CYP2C19 enzimet is. Óvatosság ajánlott az eszcitaloprám CYP2C19 által metabolizált gyógyszerekkel való együttadása esetén.</w:t>
      </w:r>
    </w:p>
    <w:p w:rsidR="00AF6E51" w:rsidRDefault="00AF6E51">
      <w:pPr>
        <w:tabs>
          <w:tab w:val="left" w:pos="567"/>
        </w:tabs>
        <w:rPr>
          <w:b/>
          <w:szCs w:val="22"/>
          <w:lang w:val="hu-HU" w:eastAsia="en-US"/>
        </w:rPr>
      </w:pPr>
    </w:p>
    <w:p w:rsidR="00AF6E51" w:rsidRDefault="000A4EAB">
      <w:pPr>
        <w:suppressAutoHyphens/>
        <w:ind w:left="567" w:hanging="567"/>
        <w:rPr>
          <w:b/>
          <w:szCs w:val="22"/>
          <w:lang w:val="hu-HU"/>
        </w:rPr>
      </w:pPr>
      <w:r>
        <w:rPr>
          <w:b/>
          <w:szCs w:val="22"/>
          <w:lang w:val="hu-HU"/>
        </w:rPr>
        <w:t>4.6</w:t>
      </w:r>
      <w:r>
        <w:rPr>
          <w:b/>
          <w:szCs w:val="22"/>
          <w:lang w:val="hu-HU"/>
        </w:rPr>
        <w:tab/>
      </w:r>
      <w:r>
        <w:rPr>
          <w:b/>
          <w:szCs w:val="22"/>
          <w:lang w:val="hu-HU" w:eastAsia="en-US"/>
        </w:rPr>
        <w:t>Termékenység, t</w:t>
      </w:r>
      <w:r>
        <w:rPr>
          <w:b/>
          <w:szCs w:val="22"/>
          <w:lang w:val="hu-HU"/>
        </w:rPr>
        <w:t>erhesség és szoptatás</w:t>
      </w:r>
    </w:p>
    <w:p w:rsidR="00AF6E51" w:rsidRDefault="00AF6E51">
      <w:pPr>
        <w:tabs>
          <w:tab w:val="left" w:pos="567"/>
        </w:tabs>
        <w:rPr>
          <w:b/>
          <w:szCs w:val="22"/>
          <w:lang w:val="hu-HU" w:eastAsia="en-US"/>
        </w:rPr>
      </w:pPr>
    </w:p>
    <w:p w:rsidR="00AF6E51" w:rsidRDefault="000A4EAB">
      <w:pPr>
        <w:autoSpaceDE w:val="0"/>
        <w:autoSpaceDN w:val="0"/>
        <w:adjustRightInd w:val="0"/>
        <w:rPr>
          <w:szCs w:val="22"/>
          <w:u w:val="single"/>
          <w:lang w:val="hu-HU"/>
        </w:rPr>
      </w:pPr>
      <w:r>
        <w:rPr>
          <w:szCs w:val="22"/>
          <w:u w:val="single"/>
          <w:lang w:val="hu-HU"/>
        </w:rPr>
        <w:t>Terhesség</w:t>
      </w:r>
    </w:p>
    <w:p w:rsidR="00AF6E51" w:rsidRDefault="000A4EAB">
      <w:pPr>
        <w:autoSpaceDE w:val="0"/>
        <w:autoSpaceDN w:val="0"/>
        <w:adjustRightInd w:val="0"/>
        <w:rPr>
          <w:szCs w:val="22"/>
          <w:lang w:val="hu-HU"/>
        </w:rPr>
      </w:pPr>
      <w:r>
        <w:rPr>
          <w:szCs w:val="22"/>
          <w:lang w:val="hu-HU"/>
        </w:rPr>
        <w:t xml:space="preserve">Kevés klinikai adat áll rendelkezésre az eszcitaloprám terhességben történő alkalmazásáról. </w:t>
      </w:r>
      <w:r>
        <w:rPr>
          <w:szCs w:val="22"/>
          <w:lang w:val="fi-FI"/>
        </w:rPr>
        <w:t xml:space="preserve">Állatkísérletek során reproduktív toxicitást igazoltak </w:t>
      </w:r>
      <w:r>
        <w:rPr>
          <w:szCs w:val="22"/>
          <w:lang w:val="hu-HU"/>
        </w:rPr>
        <w:t xml:space="preserve">(lásd 5.3 pont). Az </w:t>
      </w:r>
      <w:r>
        <w:rPr>
          <w:szCs w:val="22"/>
          <w:lang w:val="hu-HU" w:eastAsia="en-US"/>
        </w:rPr>
        <w:t xml:space="preserve">Elicea Q-Tab-ot </w:t>
      </w:r>
      <w:r>
        <w:rPr>
          <w:szCs w:val="22"/>
          <w:lang w:val="hu-HU"/>
        </w:rPr>
        <w:t>a terhesség alatt nem szabad alkalmazni, csak egyértelműen indokolt esetben és az előny/kockázat gondos mérlegelése után.</w:t>
      </w:r>
    </w:p>
    <w:p w:rsidR="00AF6E51" w:rsidRDefault="00AF6E51">
      <w:pPr>
        <w:rPr>
          <w:szCs w:val="22"/>
          <w:lang w:val="hu-HU" w:eastAsia="en-US"/>
        </w:rPr>
      </w:pPr>
    </w:p>
    <w:p w:rsidR="00AF6E51" w:rsidRDefault="000A4EAB">
      <w:pPr>
        <w:autoSpaceDE w:val="0"/>
        <w:autoSpaceDN w:val="0"/>
        <w:adjustRightInd w:val="0"/>
        <w:rPr>
          <w:szCs w:val="22"/>
          <w:lang w:val="hu-HU"/>
        </w:rPr>
      </w:pPr>
      <w:r>
        <w:rPr>
          <w:szCs w:val="22"/>
          <w:lang w:val="hu-HU"/>
        </w:rPr>
        <w:t xml:space="preserve">Az újszülötteket megfigyelés alatt kell tartani, ha az anya a terhesség késői szakaszában – különösen, ha a harmadik trimeszterben is – </w:t>
      </w:r>
      <w:r>
        <w:rPr>
          <w:szCs w:val="22"/>
          <w:lang w:val="hu-HU" w:eastAsia="en-US"/>
        </w:rPr>
        <w:t>Elicea Q-Tab-</w:t>
      </w:r>
      <w:r>
        <w:rPr>
          <w:szCs w:val="22"/>
          <w:lang w:val="hu-HU"/>
        </w:rPr>
        <w:t>kezelés alatt állt. A kezelés hirtelen megszakítása a terhesség alatt kerülendő.</w:t>
      </w:r>
    </w:p>
    <w:p w:rsidR="00AF6E51" w:rsidRDefault="00AF6E51">
      <w:pPr>
        <w:rPr>
          <w:szCs w:val="22"/>
          <w:lang w:val="hu-HU" w:eastAsia="en-US"/>
        </w:rPr>
      </w:pPr>
    </w:p>
    <w:p w:rsidR="00AF6E51" w:rsidRDefault="000A4EAB">
      <w:pPr>
        <w:autoSpaceDE w:val="0"/>
        <w:autoSpaceDN w:val="0"/>
        <w:adjustRightInd w:val="0"/>
        <w:rPr>
          <w:i/>
          <w:iCs/>
          <w:szCs w:val="22"/>
          <w:lang w:val="hu-HU"/>
        </w:rPr>
      </w:pPr>
      <w:r>
        <w:rPr>
          <w:szCs w:val="22"/>
          <w:lang w:val="hu-HU"/>
        </w:rPr>
        <w:t>Ha az anya a terhesség késői szakaszában SSRI/SNRI-t szedett, az újszülöttön a következő tünetek jelentkezhetnek: respiratorikus distressz, cyanosis, apnoe, görcsök,</w:t>
      </w:r>
      <w:r>
        <w:rPr>
          <w:color w:val="000000"/>
          <w:szCs w:val="22"/>
          <w:lang w:val="hu-HU"/>
        </w:rPr>
        <w:t xml:space="preserve"> testhőmérséklet-ingadozás, táplálkozási nehézség, hányás, hypoglykaemia, izom-</w:t>
      </w:r>
      <w:r>
        <w:rPr>
          <w:szCs w:val="22"/>
          <w:lang w:val="hu-HU"/>
        </w:rPr>
        <w:t xml:space="preserve">hypertonia, izom-hypotonia, hyperreflexia, tremor, kis amplitúdójú és nagy frekvenciájú remegés, ingerlékenység, letargia, állandó sírás, aluszékonyság és alvászavar. Ezeket a tüneteket szerotonerg hatások, vagy megvonási tünetek egyaránt előidézhetik. Az esetek zömében a szövődmények a szülés után azonnal vagy rövid időn </w:t>
      </w:r>
      <w:r>
        <w:rPr>
          <w:color w:val="000000"/>
          <w:szCs w:val="22"/>
          <w:lang w:val="hu-HU"/>
        </w:rPr>
        <w:t xml:space="preserve">(&lt;24 órán) belül </w:t>
      </w:r>
      <w:r>
        <w:rPr>
          <w:szCs w:val="22"/>
          <w:lang w:val="hu-HU"/>
        </w:rPr>
        <w:t>jelentkeznek.</w:t>
      </w:r>
    </w:p>
    <w:p w:rsidR="00AF6E51" w:rsidRDefault="00AF6E51">
      <w:pPr>
        <w:rPr>
          <w:szCs w:val="22"/>
          <w:lang w:val="hu-HU" w:eastAsia="en-US"/>
        </w:rPr>
      </w:pPr>
    </w:p>
    <w:p w:rsidR="00AF6E51" w:rsidRDefault="000A4EAB">
      <w:pPr>
        <w:autoSpaceDE w:val="0"/>
        <w:autoSpaceDN w:val="0"/>
        <w:adjustRightInd w:val="0"/>
        <w:rPr>
          <w:szCs w:val="22"/>
          <w:lang w:val="hu-HU"/>
        </w:rPr>
      </w:pPr>
      <w:r>
        <w:rPr>
          <w:szCs w:val="22"/>
          <w:lang w:val="hu-HU"/>
        </w:rPr>
        <w:t xml:space="preserve">Epidemiológiai adatok szerint az SSRI-k alkalmazása terhességben – különösen annak késői szakaszában – növelheti az újszülöttkori perzisztáló pulmonalis hypertensio (PPHN) kialakulásának </w:t>
      </w:r>
      <w:r>
        <w:rPr>
          <w:spacing w:val="-2"/>
          <w:szCs w:val="22"/>
          <w:lang w:val="hu-HU"/>
        </w:rPr>
        <w:t>kockázatát. A megfigyelt kockázat mintegy 5 eset 1000 terhességre vonatkoztatva. Az átlagnépességben</w:t>
      </w:r>
      <w:r>
        <w:rPr>
          <w:szCs w:val="22"/>
          <w:lang w:val="hu-HU"/>
        </w:rPr>
        <w:t xml:space="preserve"> 1</w:t>
      </w:r>
      <w:r>
        <w:rPr>
          <w:szCs w:val="22"/>
          <w:lang w:val="hu-HU"/>
        </w:rPr>
        <w:noBreakHyphen/>
        <w:t>2 PPHN eset jut 1000 terhességre.</w:t>
      </w:r>
    </w:p>
    <w:p w:rsidR="00AF6E51" w:rsidRDefault="00AF6E51">
      <w:pPr>
        <w:rPr>
          <w:szCs w:val="22"/>
          <w:lang w:val="hu-HU" w:eastAsia="en-US"/>
        </w:rPr>
      </w:pPr>
    </w:p>
    <w:p w:rsidR="00AF6E51" w:rsidRDefault="000A4EAB">
      <w:pPr>
        <w:rPr>
          <w:szCs w:val="22"/>
          <w:lang w:val="hu-HU" w:eastAsia="en-US"/>
        </w:rPr>
      </w:pPr>
      <w:r>
        <w:rPr>
          <w:szCs w:val="22"/>
          <w:lang w:val="hu-HU" w:eastAsia="en-US"/>
        </w:rPr>
        <w:t>A megfigyeléses adatok a poszt partum vérzés fokozott (2-szeresnél kisebb növekedés) kockázatát mutatják az SSRI/SNRI-expozíciót követően a szülést megelőző hónapban (lásd: 4.4, 4.8 pont).</w:t>
      </w:r>
    </w:p>
    <w:p w:rsidR="00AF6E51" w:rsidRDefault="00AF6E51">
      <w:pPr>
        <w:rPr>
          <w:szCs w:val="22"/>
          <w:lang w:val="hu-HU" w:eastAsia="en-US"/>
        </w:rPr>
      </w:pPr>
    </w:p>
    <w:p w:rsidR="00AF6E51" w:rsidRDefault="000A4EAB">
      <w:pPr>
        <w:autoSpaceDE w:val="0"/>
        <w:autoSpaceDN w:val="0"/>
        <w:adjustRightInd w:val="0"/>
        <w:rPr>
          <w:szCs w:val="22"/>
          <w:u w:val="single"/>
          <w:lang w:val="hu-HU"/>
        </w:rPr>
      </w:pPr>
      <w:r>
        <w:rPr>
          <w:szCs w:val="22"/>
          <w:u w:val="single"/>
          <w:lang w:val="hu-HU"/>
        </w:rPr>
        <w:t>Szoptatás</w:t>
      </w:r>
    </w:p>
    <w:p w:rsidR="00AF6E51" w:rsidRDefault="000A4EAB">
      <w:pPr>
        <w:autoSpaceDE w:val="0"/>
        <w:autoSpaceDN w:val="0"/>
        <w:adjustRightInd w:val="0"/>
        <w:rPr>
          <w:szCs w:val="22"/>
          <w:lang w:val="hu-HU"/>
        </w:rPr>
      </w:pPr>
      <w:r>
        <w:rPr>
          <w:szCs w:val="22"/>
          <w:lang w:val="hu-HU"/>
        </w:rPr>
        <w:t>Az eszcitaloprám várhatóan kiválasztódik a humán anyatejbe. Ezért a kezelés során nem javasolt a szoptatás.</w:t>
      </w:r>
    </w:p>
    <w:p w:rsidR="00AF6E51" w:rsidRDefault="00AF6E51">
      <w:pPr>
        <w:outlineLvl w:val="0"/>
        <w:rPr>
          <w:szCs w:val="22"/>
          <w:highlight w:val="yellow"/>
          <w:u w:val="single"/>
          <w:lang w:val="hu-HU" w:eastAsia="en-US"/>
        </w:rPr>
      </w:pPr>
    </w:p>
    <w:p w:rsidR="00AF6E51" w:rsidRDefault="000A4EAB">
      <w:pPr>
        <w:autoSpaceDE w:val="0"/>
        <w:autoSpaceDN w:val="0"/>
        <w:adjustRightInd w:val="0"/>
        <w:rPr>
          <w:szCs w:val="22"/>
          <w:u w:val="single"/>
          <w:lang w:val="hu-HU"/>
        </w:rPr>
      </w:pPr>
      <w:r>
        <w:rPr>
          <w:szCs w:val="22"/>
          <w:u w:val="single"/>
          <w:lang w:val="hu-HU"/>
        </w:rPr>
        <w:t>Termékenység</w:t>
      </w:r>
    </w:p>
    <w:p w:rsidR="00AF6E51" w:rsidRDefault="000A4EAB">
      <w:pPr>
        <w:autoSpaceDE w:val="0"/>
        <w:autoSpaceDN w:val="0"/>
        <w:adjustRightInd w:val="0"/>
        <w:rPr>
          <w:szCs w:val="22"/>
          <w:lang w:val="hu-HU" w:eastAsia="en-US"/>
        </w:rPr>
      </w:pPr>
      <w:r>
        <w:rPr>
          <w:szCs w:val="22"/>
          <w:lang w:val="hu-HU" w:eastAsia="en-US"/>
        </w:rPr>
        <w:t>Állatkísérletes adatok alapján az eszcitaloprám befolyásolhatja az ondó minőségét (lásd 5.3 pont).</w:t>
      </w:r>
    </w:p>
    <w:p w:rsidR="00AF6E51" w:rsidRDefault="000A4EAB">
      <w:pPr>
        <w:autoSpaceDE w:val="0"/>
        <w:autoSpaceDN w:val="0"/>
        <w:adjustRightInd w:val="0"/>
        <w:rPr>
          <w:szCs w:val="22"/>
          <w:lang w:val="hu-HU"/>
        </w:rPr>
      </w:pPr>
      <w:r>
        <w:rPr>
          <w:szCs w:val="22"/>
          <w:lang w:val="hu-HU" w:eastAsia="en-US"/>
        </w:rPr>
        <w:t>Néhány SSRI-vel kapcsolatos humán mellékhatás-bejelentés alapján az ondó minőségére gyakorolt hatás visszafordítható. A termékenységet befolyásoló hatást emberben ezidáig nem figyeltek meg.</w:t>
      </w:r>
    </w:p>
    <w:p w:rsidR="00AF6E51" w:rsidRDefault="00AF6E51">
      <w:pPr>
        <w:outlineLvl w:val="0"/>
        <w:rPr>
          <w:szCs w:val="22"/>
          <w:highlight w:val="yellow"/>
          <w:u w:val="single"/>
          <w:lang w:val="hu-HU" w:eastAsia="en-US"/>
        </w:rPr>
      </w:pPr>
    </w:p>
    <w:p w:rsidR="00AF6E51" w:rsidRDefault="000A4EAB">
      <w:pPr>
        <w:suppressAutoHyphens/>
        <w:ind w:left="567" w:hanging="567"/>
        <w:rPr>
          <w:b/>
          <w:bCs/>
          <w:szCs w:val="22"/>
          <w:lang w:val="hu-HU"/>
        </w:rPr>
      </w:pPr>
      <w:r>
        <w:rPr>
          <w:b/>
          <w:bCs/>
          <w:szCs w:val="22"/>
          <w:lang w:val="hu-HU"/>
        </w:rPr>
        <w:t>4.7</w:t>
      </w:r>
      <w:r>
        <w:rPr>
          <w:b/>
          <w:bCs/>
          <w:szCs w:val="22"/>
          <w:lang w:val="hu-HU"/>
        </w:rPr>
        <w:tab/>
        <w:t>A készítmény hatásai a gépjárművezetéshez és a gépek kezeléséhez szükséges képességekre</w:t>
      </w:r>
    </w:p>
    <w:p w:rsidR="00AF6E51" w:rsidRDefault="00AF6E51">
      <w:pPr>
        <w:tabs>
          <w:tab w:val="left" w:pos="567"/>
        </w:tabs>
        <w:rPr>
          <w:szCs w:val="22"/>
          <w:lang w:val="hu-HU" w:eastAsia="en-US"/>
        </w:rPr>
      </w:pPr>
    </w:p>
    <w:p w:rsidR="00AF6E51" w:rsidRDefault="000A4EAB">
      <w:pPr>
        <w:tabs>
          <w:tab w:val="left" w:pos="567"/>
        </w:tabs>
        <w:rPr>
          <w:i/>
          <w:szCs w:val="22"/>
          <w:lang w:val="hu-HU" w:eastAsia="en-US"/>
        </w:rPr>
      </w:pPr>
      <w:r>
        <w:rPr>
          <w:szCs w:val="22"/>
          <w:lang w:val="hu-HU"/>
        </w:rPr>
        <w:t xml:space="preserve">Elicea Q-Tab alig, vagy egyáltalán nem befolyásolja </w:t>
      </w:r>
      <w:r>
        <w:rPr>
          <w:bCs/>
          <w:szCs w:val="22"/>
          <w:lang w:val="hu-HU"/>
        </w:rPr>
        <w:t>a gépjárművezetéshez és a gépek kezeléséhez szükséges képességeket</w:t>
      </w:r>
      <w:r>
        <w:rPr>
          <w:szCs w:val="22"/>
          <w:lang w:val="hu-HU"/>
        </w:rPr>
        <w:t>.</w:t>
      </w:r>
    </w:p>
    <w:p w:rsidR="00AF6E51" w:rsidRDefault="00AF6E51">
      <w:pPr>
        <w:tabs>
          <w:tab w:val="left" w:pos="567"/>
        </w:tabs>
        <w:rPr>
          <w:szCs w:val="22"/>
          <w:highlight w:val="yellow"/>
          <w:lang w:val="hu-HU" w:eastAsia="en-US"/>
        </w:rPr>
      </w:pPr>
    </w:p>
    <w:p w:rsidR="00AF6E51" w:rsidRDefault="000A4EAB">
      <w:pPr>
        <w:tabs>
          <w:tab w:val="left" w:pos="567"/>
        </w:tabs>
        <w:rPr>
          <w:szCs w:val="22"/>
          <w:lang w:val="hu-HU"/>
        </w:rPr>
      </w:pPr>
      <w:r>
        <w:rPr>
          <w:szCs w:val="22"/>
          <w:lang w:val="hu-HU"/>
        </w:rPr>
        <w:t xml:space="preserve">Bár kimutatták, hogy az eszcitaloprám nem befolyásolja sem az intellektuális működéseket, sem a pszichomotoros teljesítményt, bármelyik pszichoaktív szer károsíthatja az ítélőképességet vagy a </w:t>
      </w:r>
      <w:r>
        <w:rPr>
          <w:spacing w:val="-4"/>
          <w:szCs w:val="22"/>
          <w:lang w:val="hu-HU"/>
        </w:rPr>
        <w:t>készségeket. A betegeket figyelmeztetni kell arra, hogy a gyógyszer befolyásolhatja a gépjárművezetéshez</w:t>
      </w:r>
      <w:r>
        <w:rPr>
          <w:szCs w:val="22"/>
          <w:lang w:val="hu-HU"/>
        </w:rPr>
        <w:t xml:space="preserve"> és gépek kezeléséhez szükséges képességeiket.</w:t>
      </w:r>
    </w:p>
    <w:p w:rsidR="00AF6E51" w:rsidRDefault="00AF6E51">
      <w:pPr>
        <w:tabs>
          <w:tab w:val="left" w:pos="567"/>
        </w:tabs>
        <w:rPr>
          <w:szCs w:val="22"/>
          <w:highlight w:val="yellow"/>
          <w:lang w:val="hu-HU" w:eastAsia="en-US"/>
        </w:rPr>
      </w:pPr>
    </w:p>
    <w:p w:rsidR="00AF6E51" w:rsidRDefault="000A4EAB">
      <w:pPr>
        <w:tabs>
          <w:tab w:val="left" w:pos="708"/>
        </w:tabs>
        <w:autoSpaceDE w:val="0"/>
        <w:autoSpaceDN w:val="0"/>
        <w:adjustRightInd w:val="0"/>
        <w:ind w:left="567" w:hanging="567"/>
        <w:rPr>
          <w:b/>
          <w:bCs/>
          <w:szCs w:val="22"/>
          <w:lang w:val="hu-HU"/>
        </w:rPr>
      </w:pPr>
      <w:r>
        <w:rPr>
          <w:b/>
          <w:bCs/>
          <w:szCs w:val="22"/>
          <w:lang w:val="hu-HU"/>
        </w:rPr>
        <w:t>4.8</w:t>
      </w:r>
      <w:r>
        <w:rPr>
          <w:b/>
          <w:bCs/>
          <w:szCs w:val="22"/>
          <w:lang w:val="hu-HU"/>
        </w:rPr>
        <w:tab/>
        <w:t>Nemkívánatos hatások, mellékhatások</w:t>
      </w:r>
    </w:p>
    <w:p w:rsidR="00AF6E51" w:rsidRDefault="00AF6E51">
      <w:pPr>
        <w:rPr>
          <w:szCs w:val="22"/>
          <w:lang w:val="hu-HU" w:eastAsia="en-US"/>
        </w:rPr>
      </w:pPr>
    </w:p>
    <w:p w:rsidR="00AF6E51" w:rsidRDefault="000A4EAB">
      <w:pPr>
        <w:autoSpaceDE w:val="0"/>
        <w:autoSpaceDN w:val="0"/>
        <w:adjustRightInd w:val="0"/>
        <w:rPr>
          <w:szCs w:val="22"/>
          <w:lang w:val="hu-HU"/>
        </w:rPr>
      </w:pPr>
      <w:r>
        <w:rPr>
          <w:szCs w:val="22"/>
          <w:lang w:val="hu-HU"/>
        </w:rPr>
        <w:t>A mellékhatások a kezelés első-második hetében a leggyakoribbak és a kezelés folytatása során rendszerint csökken az intenzitásuk és a gyakoriságuk.</w:t>
      </w:r>
    </w:p>
    <w:p w:rsidR="00AF6E51" w:rsidRDefault="00AF6E51">
      <w:pPr>
        <w:rPr>
          <w:szCs w:val="22"/>
          <w:lang w:val="hu-HU" w:eastAsia="en-US"/>
        </w:rPr>
      </w:pPr>
    </w:p>
    <w:p w:rsidR="00AF6E51" w:rsidRDefault="000A4EAB">
      <w:pPr>
        <w:rPr>
          <w:szCs w:val="22"/>
          <w:u w:val="single"/>
          <w:lang w:val="hu-HU" w:eastAsia="en-US"/>
        </w:rPr>
      </w:pPr>
      <w:r>
        <w:rPr>
          <w:szCs w:val="22"/>
          <w:u w:val="single"/>
          <w:lang w:val="hu-HU" w:eastAsia="en-US"/>
        </w:rPr>
        <w:t>A nemkívánatos reakciók táblázatos felsorolása</w:t>
      </w:r>
    </w:p>
    <w:p w:rsidR="00AF6E51" w:rsidRDefault="000A4EAB">
      <w:pPr>
        <w:rPr>
          <w:szCs w:val="22"/>
          <w:lang w:val="hu-HU" w:eastAsia="en-US"/>
        </w:rPr>
      </w:pPr>
      <w:r>
        <w:rPr>
          <w:szCs w:val="22"/>
          <w:lang w:val="hu-HU" w:eastAsia="en-US"/>
        </w:rPr>
        <w:t>Az SSRI-k ismert és az eszcitaloprám alkalmazása során is észlelt – akár placebokontrollos klinikai vizsgálatokból, akár a forgalomba hozatalt követően spontán bejelentett – nemkívánatos reakciókat a következőkben szervrendszer szerint csoportosítva és gyakorisági sorrendben soroljuk fel.</w:t>
      </w:r>
    </w:p>
    <w:p w:rsidR="00AF6E51" w:rsidRDefault="000A4EAB">
      <w:pPr>
        <w:autoSpaceDE w:val="0"/>
        <w:autoSpaceDN w:val="0"/>
        <w:adjustRightInd w:val="0"/>
        <w:rPr>
          <w:color w:val="000000"/>
          <w:szCs w:val="22"/>
          <w:lang w:val="hu-HU"/>
        </w:rPr>
      </w:pPr>
      <w:r>
        <w:rPr>
          <w:szCs w:val="22"/>
          <w:lang w:val="hu-HU"/>
        </w:rPr>
        <w:t>A feltüntetett gyakoriságok a klinikai vizsgálatokban tapasztalt</w:t>
      </w:r>
      <w:r>
        <w:rPr>
          <w:color w:val="000000"/>
          <w:szCs w:val="22"/>
          <w:lang w:val="hu-HU"/>
        </w:rPr>
        <w:t>, nem placebokorrigált értékek.</w:t>
      </w:r>
    </w:p>
    <w:p w:rsidR="00AF6E51" w:rsidRDefault="000A4EAB">
      <w:pPr>
        <w:rPr>
          <w:szCs w:val="22"/>
          <w:lang w:val="hu-HU" w:eastAsia="en-US"/>
        </w:rPr>
      </w:pPr>
      <w:r>
        <w:rPr>
          <w:color w:val="000000"/>
          <w:szCs w:val="22"/>
          <w:lang w:val="hu-HU"/>
        </w:rPr>
        <w:lastRenderedPageBreak/>
        <w:t>A gyakoriságokat a következők szerint határozták meg:</w:t>
      </w:r>
    </w:p>
    <w:p w:rsidR="00AF6E51" w:rsidRDefault="000A4EAB">
      <w:pPr>
        <w:numPr>
          <w:ilvl w:val="0"/>
          <w:numId w:val="1"/>
        </w:numPr>
        <w:ind w:left="0" w:firstLine="0"/>
        <w:rPr>
          <w:szCs w:val="22"/>
          <w:lang w:val="hu-HU" w:eastAsia="en-US"/>
        </w:rPr>
      </w:pPr>
      <w:r>
        <w:rPr>
          <w:szCs w:val="22"/>
          <w:lang w:val="hu-HU"/>
        </w:rPr>
        <w:t>Nagyon gyakori (</w:t>
      </w:r>
      <w:r>
        <w:rPr>
          <w:szCs w:val="22"/>
          <w:lang w:val="hu-HU"/>
        </w:rPr>
        <w:sym w:font="Symbol" w:char="F0B3"/>
      </w:r>
      <w:r>
        <w:rPr>
          <w:szCs w:val="22"/>
          <w:lang w:val="hu-HU"/>
        </w:rPr>
        <w:t>1/10)</w:t>
      </w:r>
    </w:p>
    <w:p w:rsidR="00AF6E51" w:rsidRDefault="000A4EAB">
      <w:pPr>
        <w:numPr>
          <w:ilvl w:val="0"/>
          <w:numId w:val="1"/>
        </w:numPr>
        <w:ind w:left="0" w:firstLine="0"/>
        <w:rPr>
          <w:szCs w:val="22"/>
          <w:lang w:val="hu-HU"/>
        </w:rPr>
      </w:pPr>
      <w:r>
        <w:rPr>
          <w:szCs w:val="22"/>
          <w:lang w:val="hu-HU"/>
        </w:rPr>
        <w:t>Gyakori (</w:t>
      </w:r>
      <w:r>
        <w:rPr>
          <w:szCs w:val="22"/>
          <w:lang w:val="hu-HU"/>
        </w:rPr>
        <w:sym w:font="Symbol" w:char="F0B3"/>
      </w:r>
      <w:r>
        <w:rPr>
          <w:szCs w:val="22"/>
          <w:lang w:val="hu-HU"/>
        </w:rPr>
        <w:t>1/100 – &lt;1/10)</w:t>
      </w:r>
    </w:p>
    <w:p w:rsidR="00AF6E51" w:rsidRDefault="000A4EAB">
      <w:pPr>
        <w:numPr>
          <w:ilvl w:val="0"/>
          <w:numId w:val="1"/>
        </w:numPr>
        <w:ind w:left="0" w:firstLine="0"/>
        <w:rPr>
          <w:szCs w:val="22"/>
          <w:lang w:val="hu-HU"/>
        </w:rPr>
      </w:pPr>
      <w:r>
        <w:rPr>
          <w:szCs w:val="22"/>
          <w:lang w:val="hu-HU"/>
        </w:rPr>
        <w:t>Nem gyakori (</w:t>
      </w:r>
      <w:r>
        <w:rPr>
          <w:szCs w:val="22"/>
          <w:lang w:val="hu-HU"/>
        </w:rPr>
        <w:sym w:font="Symbol" w:char="F0B3"/>
      </w:r>
      <w:r>
        <w:rPr>
          <w:szCs w:val="22"/>
          <w:lang w:val="hu-HU"/>
        </w:rPr>
        <w:t>1/1 000 – &lt;1/100)</w:t>
      </w:r>
    </w:p>
    <w:p w:rsidR="00AF6E51" w:rsidRDefault="000A4EAB">
      <w:pPr>
        <w:numPr>
          <w:ilvl w:val="0"/>
          <w:numId w:val="1"/>
        </w:numPr>
        <w:ind w:left="0" w:firstLine="0"/>
        <w:rPr>
          <w:szCs w:val="22"/>
          <w:lang w:val="hu-HU"/>
        </w:rPr>
      </w:pPr>
      <w:r>
        <w:rPr>
          <w:szCs w:val="22"/>
          <w:lang w:val="hu-HU"/>
        </w:rPr>
        <w:t>Ritka (</w:t>
      </w:r>
      <w:r>
        <w:rPr>
          <w:szCs w:val="22"/>
          <w:lang w:val="hu-HU"/>
        </w:rPr>
        <w:sym w:font="Symbol" w:char="F0B3"/>
      </w:r>
      <w:r>
        <w:rPr>
          <w:szCs w:val="22"/>
          <w:lang w:val="hu-HU"/>
        </w:rPr>
        <w:t>1/10 000 – &lt;1/1 000)</w:t>
      </w:r>
    </w:p>
    <w:p w:rsidR="00AF6E51" w:rsidRDefault="000A4EAB">
      <w:pPr>
        <w:numPr>
          <w:ilvl w:val="0"/>
          <w:numId w:val="1"/>
        </w:numPr>
        <w:ind w:left="0" w:firstLine="0"/>
        <w:rPr>
          <w:szCs w:val="22"/>
          <w:lang w:val="hu-HU"/>
        </w:rPr>
      </w:pPr>
      <w:r>
        <w:rPr>
          <w:szCs w:val="22"/>
          <w:lang w:val="hu-HU"/>
        </w:rPr>
        <w:t>Nagyon ritka (&lt;1/10 000)</w:t>
      </w:r>
    </w:p>
    <w:p w:rsidR="00AF6E51" w:rsidRDefault="000A4EAB">
      <w:pPr>
        <w:numPr>
          <w:ilvl w:val="0"/>
          <w:numId w:val="1"/>
        </w:numPr>
        <w:ind w:left="0" w:firstLine="0"/>
        <w:rPr>
          <w:szCs w:val="22"/>
          <w:lang w:val="hu-HU"/>
        </w:rPr>
      </w:pPr>
      <w:r>
        <w:rPr>
          <w:szCs w:val="22"/>
          <w:lang w:val="hu-HU"/>
        </w:rPr>
        <w:t>Nem ismert (a gyakoriság a rendelkezésre álló adatokból nem állapítható meg)</w:t>
      </w:r>
    </w:p>
    <w:p w:rsidR="00AF6E51" w:rsidRDefault="00AF6E51">
      <w:pPr>
        <w:tabs>
          <w:tab w:val="left" w:pos="567"/>
        </w:tabs>
        <w:rPr>
          <w:iCs/>
          <w:szCs w:val="22"/>
          <w:lang w:val="hu-HU" w:eastAsia="en-US"/>
        </w:rPr>
      </w:pP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475"/>
        <w:gridCol w:w="1654"/>
        <w:gridCol w:w="1655"/>
        <w:gridCol w:w="1654"/>
        <w:gridCol w:w="1655"/>
        <w:gridCol w:w="1655"/>
      </w:tblGrid>
      <w:tr w:rsidR="00AF6E51">
        <w:trPr>
          <w:cantSplit/>
          <w:tblHeader/>
        </w:trPr>
        <w:tc>
          <w:tcPr>
            <w:tcW w:w="1475" w:type="dxa"/>
          </w:tcPr>
          <w:p w:rsidR="00AF6E51" w:rsidRDefault="00AF6E51">
            <w:pPr>
              <w:tabs>
                <w:tab w:val="left" w:pos="567"/>
              </w:tabs>
              <w:rPr>
                <w:b/>
                <w:szCs w:val="22"/>
                <w:highlight w:val="yellow"/>
                <w:lang w:val="hu-HU" w:eastAsia="en-US"/>
              </w:rPr>
            </w:pPr>
          </w:p>
        </w:tc>
        <w:tc>
          <w:tcPr>
            <w:tcW w:w="1654" w:type="dxa"/>
          </w:tcPr>
          <w:p w:rsidR="00AF6E51" w:rsidRDefault="000A4EAB">
            <w:pPr>
              <w:rPr>
                <w:b/>
                <w:szCs w:val="22"/>
                <w:lang w:val="hu-HU" w:eastAsia="en-US"/>
              </w:rPr>
            </w:pPr>
            <w:r>
              <w:rPr>
                <w:b/>
                <w:szCs w:val="22"/>
                <w:lang w:val="hu-HU" w:eastAsia="en-US"/>
              </w:rPr>
              <w:t>Nagyon gyakori</w:t>
            </w:r>
          </w:p>
        </w:tc>
        <w:tc>
          <w:tcPr>
            <w:tcW w:w="1655" w:type="dxa"/>
          </w:tcPr>
          <w:p w:rsidR="00AF6E51" w:rsidRDefault="000A4EAB">
            <w:pPr>
              <w:tabs>
                <w:tab w:val="left" w:pos="567"/>
              </w:tabs>
              <w:rPr>
                <w:b/>
                <w:szCs w:val="22"/>
                <w:lang w:val="hu-HU" w:eastAsia="en-US"/>
              </w:rPr>
            </w:pPr>
            <w:r>
              <w:rPr>
                <w:b/>
                <w:szCs w:val="22"/>
                <w:lang w:val="hu-HU" w:eastAsia="en-US"/>
              </w:rPr>
              <w:t xml:space="preserve">Gyakori </w:t>
            </w:r>
          </w:p>
        </w:tc>
        <w:tc>
          <w:tcPr>
            <w:tcW w:w="1654" w:type="dxa"/>
          </w:tcPr>
          <w:p w:rsidR="00AF6E51" w:rsidRDefault="000A4EAB">
            <w:pPr>
              <w:tabs>
                <w:tab w:val="left" w:pos="567"/>
              </w:tabs>
              <w:rPr>
                <w:b/>
                <w:szCs w:val="22"/>
                <w:lang w:val="hu-HU" w:eastAsia="en-US"/>
              </w:rPr>
            </w:pPr>
            <w:r>
              <w:rPr>
                <w:b/>
                <w:szCs w:val="22"/>
                <w:lang w:val="hu-HU" w:eastAsia="en-US"/>
              </w:rPr>
              <w:t>Nem gyakori</w:t>
            </w:r>
          </w:p>
        </w:tc>
        <w:tc>
          <w:tcPr>
            <w:tcW w:w="1655" w:type="dxa"/>
          </w:tcPr>
          <w:p w:rsidR="00AF6E51" w:rsidRDefault="000A4EAB">
            <w:pPr>
              <w:tabs>
                <w:tab w:val="left" w:pos="567"/>
              </w:tabs>
              <w:rPr>
                <w:b/>
                <w:szCs w:val="22"/>
                <w:lang w:val="hu-HU" w:eastAsia="en-US"/>
              </w:rPr>
            </w:pPr>
            <w:r>
              <w:rPr>
                <w:b/>
                <w:szCs w:val="22"/>
                <w:lang w:val="hu-HU" w:eastAsia="en-US"/>
              </w:rPr>
              <w:t>Ritka</w:t>
            </w:r>
          </w:p>
        </w:tc>
        <w:tc>
          <w:tcPr>
            <w:tcW w:w="1655" w:type="dxa"/>
          </w:tcPr>
          <w:p w:rsidR="00AF6E51" w:rsidRDefault="000A4EAB">
            <w:pPr>
              <w:tabs>
                <w:tab w:val="left" w:pos="567"/>
              </w:tabs>
              <w:rPr>
                <w:b/>
                <w:szCs w:val="22"/>
                <w:lang w:val="hu-HU" w:eastAsia="en-US"/>
              </w:rPr>
            </w:pPr>
            <w:r>
              <w:rPr>
                <w:b/>
                <w:szCs w:val="22"/>
                <w:lang w:val="hu-HU" w:eastAsia="en-US"/>
              </w:rPr>
              <w:t>Nem ismert</w:t>
            </w:r>
          </w:p>
        </w:tc>
      </w:tr>
      <w:tr w:rsidR="00AF6E51">
        <w:trPr>
          <w:cantSplit/>
        </w:trPr>
        <w:tc>
          <w:tcPr>
            <w:tcW w:w="1475" w:type="dxa"/>
          </w:tcPr>
          <w:p w:rsidR="00AF6E51" w:rsidRDefault="000A4EAB">
            <w:pPr>
              <w:tabs>
                <w:tab w:val="left" w:pos="567"/>
              </w:tabs>
              <w:rPr>
                <w:szCs w:val="22"/>
                <w:highlight w:val="yellow"/>
                <w:lang w:val="hu-HU" w:eastAsia="en-US"/>
              </w:rPr>
            </w:pPr>
            <w:r>
              <w:rPr>
                <w:szCs w:val="22"/>
                <w:lang w:val="hu-HU"/>
              </w:rPr>
              <w:t>Vérképzőszervi és nyirokrendszeri betegségek és tünetek</w:t>
            </w:r>
          </w:p>
        </w:tc>
        <w:tc>
          <w:tcPr>
            <w:tcW w:w="1654" w:type="dxa"/>
          </w:tcPr>
          <w:p w:rsidR="00AF6E51" w:rsidRDefault="00AF6E51">
            <w:pPr>
              <w:tabs>
                <w:tab w:val="left" w:pos="567"/>
              </w:tabs>
              <w:rPr>
                <w:szCs w:val="22"/>
                <w:lang w:val="hu-HU" w:eastAsia="en-US"/>
              </w:rPr>
            </w:pPr>
          </w:p>
        </w:tc>
        <w:tc>
          <w:tcPr>
            <w:tcW w:w="1655" w:type="dxa"/>
          </w:tcPr>
          <w:p w:rsidR="00AF6E51" w:rsidRDefault="00AF6E51">
            <w:pPr>
              <w:tabs>
                <w:tab w:val="left" w:pos="567"/>
              </w:tabs>
              <w:rPr>
                <w:szCs w:val="22"/>
                <w:lang w:val="hu-HU" w:eastAsia="en-US"/>
              </w:rPr>
            </w:pPr>
          </w:p>
        </w:tc>
        <w:tc>
          <w:tcPr>
            <w:tcW w:w="1654" w:type="dxa"/>
          </w:tcPr>
          <w:p w:rsidR="00AF6E51" w:rsidRDefault="00AF6E51">
            <w:pPr>
              <w:tabs>
                <w:tab w:val="left" w:pos="567"/>
              </w:tabs>
              <w:rPr>
                <w:szCs w:val="22"/>
                <w:lang w:val="hu-HU" w:eastAsia="en-US"/>
              </w:rPr>
            </w:pPr>
          </w:p>
        </w:tc>
        <w:tc>
          <w:tcPr>
            <w:tcW w:w="1655" w:type="dxa"/>
          </w:tcPr>
          <w:p w:rsidR="00AF6E51" w:rsidRDefault="00AF6E51">
            <w:pPr>
              <w:tabs>
                <w:tab w:val="left" w:pos="567"/>
              </w:tabs>
              <w:rPr>
                <w:szCs w:val="22"/>
                <w:lang w:val="hu-HU" w:eastAsia="en-US"/>
              </w:rPr>
            </w:pPr>
          </w:p>
        </w:tc>
        <w:tc>
          <w:tcPr>
            <w:tcW w:w="1655" w:type="dxa"/>
          </w:tcPr>
          <w:p w:rsidR="00AF6E51" w:rsidRDefault="000A4EAB">
            <w:pPr>
              <w:tabs>
                <w:tab w:val="left" w:pos="0"/>
              </w:tabs>
              <w:rPr>
                <w:szCs w:val="22"/>
                <w:lang w:val="hu-HU" w:eastAsia="en-US"/>
              </w:rPr>
            </w:pPr>
            <w:r>
              <w:rPr>
                <w:szCs w:val="22"/>
                <w:lang w:val="hu-HU"/>
              </w:rPr>
              <w:t>thrombocyto-penia</w:t>
            </w:r>
          </w:p>
        </w:tc>
      </w:tr>
      <w:tr w:rsidR="00AF6E51">
        <w:trPr>
          <w:cantSplit/>
        </w:trPr>
        <w:tc>
          <w:tcPr>
            <w:tcW w:w="1475" w:type="dxa"/>
          </w:tcPr>
          <w:p w:rsidR="00AF6E51" w:rsidRDefault="000A4EAB">
            <w:pPr>
              <w:autoSpaceDE w:val="0"/>
              <w:autoSpaceDN w:val="0"/>
              <w:adjustRightInd w:val="0"/>
              <w:rPr>
                <w:szCs w:val="22"/>
                <w:lang w:val="hu-HU"/>
              </w:rPr>
            </w:pPr>
            <w:r>
              <w:rPr>
                <w:szCs w:val="22"/>
                <w:lang w:val="hu-HU"/>
              </w:rPr>
              <w:t>Immunrendszeri betegségek és tünetek</w:t>
            </w:r>
          </w:p>
        </w:tc>
        <w:tc>
          <w:tcPr>
            <w:tcW w:w="1654" w:type="dxa"/>
          </w:tcPr>
          <w:p w:rsidR="00AF6E51" w:rsidRDefault="00AF6E51">
            <w:pPr>
              <w:tabs>
                <w:tab w:val="left" w:pos="567"/>
              </w:tabs>
              <w:rPr>
                <w:szCs w:val="22"/>
                <w:lang w:val="hu-HU" w:eastAsia="en-US"/>
              </w:rPr>
            </w:pPr>
          </w:p>
        </w:tc>
        <w:tc>
          <w:tcPr>
            <w:tcW w:w="1655" w:type="dxa"/>
          </w:tcPr>
          <w:p w:rsidR="00AF6E51" w:rsidRDefault="00AF6E51">
            <w:pPr>
              <w:tabs>
                <w:tab w:val="left" w:pos="567"/>
              </w:tabs>
              <w:rPr>
                <w:szCs w:val="22"/>
                <w:lang w:val="hu-HU" w:eastAsia="en-US"/>
              </w:rPr>
            </w:pPr>
          </w:p>
        </w:tc>
        <w:tc>
          <w:tcPr>
            <w:tcW w:w="1654" w:type="dxa"/>
          </w:tcPr>
          <w:p w:rsidR="00AF6E51" w:rsidRDefault="00AF6E51">
            <w:pPr>
              <w:tabs>
                <w:tab w:val="left" w:pos="567"/>
              </w:tabs>
              <w:rPr>
                <w:szCs w:val="22"/>
                <w:lang w:val="hu-HU" w:eastAsia="en-US"/>
              </w:rPr>
            </w:pPr>
          </w:p>
        </w:tc>
        <w:tc>
          <w:tcPr>
            <w:tcW w:w="1655" w:type="dxa"/>
          </w:tcPr>
          <w:p w:rsidR="00AF6E51" w:rsidRDefault="000A4EAB">
            <w:pPr>
              <w:autoSpaceDE w:val="0"/>
              <w:autoSpaceDN w:val="0"/>
              <w:adjustRightInd w:val="0"/>
              <w:rPr>
                <w:szCs w:val="22"/>
                <w:lang w:val="hu-HU"/>
              </w:rPr>
            </w:pPr>
            <w:r>
              <w:rPr>
                <w:szCs w:val="22"/>
                <w:lang w:val="hu-HU"/>
              </w:rPr>
              <w:t>anafilaxiás reakció</w:t>
            </w:r>
          </w:p>
        </w:tc>
        <w:tc>
          <w:tcPr>
            <w:tcW w:w="1655" w:type="dxa"/>
          </w:tcPr>
          <w:p w:rsidR="00AF6E51" w:rsidRDefault="00AF6E51">
            <w:pPr>
              <w:tabs>
                <w:tab w:val="left" w:pos="567"/>
              </w:tabs>
              <w:rPr>
                <w:szCs w:val="22"/>
                <w:lang w:val="hu-HU" w:eastAsia="en-US"/>
              </w:rPr>
            </w:pPr>
          </w:p>
        </w:tc>
      </w:tr>
      <w:tr w:rsidR="00AF6E51">
        <w:trPr>
          <w:cantSplit/>
        </w:trPr>
        <w:tc>
          <w:tcPr>
            <w:tcW w:w="1475" w:type="dxa"/>
          </w:tcPr>
          <w:p w:rsidR="00AF6E51" w:rsidRDefault="000A4EAB">
            <w:pPr>
              <w:autoSpaceDE w:val="0"/>
              <w:autoSpaceDN w:val="0"/>
              <w:adjustRightInd w:val="0"/>
              <w:rPr>
                <w:szCs w:val="22"/>
                <w:lang w:val="hu-HU"/>
              </w:rPr>
            </w:pPr>
            <w:r>
              <w:rPr>
                <w:szCs w:val="22"/>
                <w:lang w:val="hu-HU"/>
              </w:rPr>
              <w:t>Endokrin betegségek és tünetek</w:t>
            </w:r>
          </w:p>
        </w:tc>
        <w:tc>
          <w:tcPr>
            <w:tcW w:w="1654" w:type="dxa"/>
          </w:tcPr>
          <w:p w:rsidR="00AF6E51" w:rsidRDefault="00AF6E51">
            <w:pPr>
              <w:tabs>
                <w:tab w:val="left" w:pos="567"/>
              </w:tabs>
              <w:rPr>
                <w:szCs w:val="22"/>
                <w:lang w:val="hu-HU" w:eastAsia="en-US"/>
              </w:rPr>
            </w:pPr>
          </w:p>
        </w:tc>
        <w:tc>
          <w:tcPr>
            <w:tcW w:w="1655" w:type="dxa"/>
          </w:tcPr>
          <w:p w:rsidR="00AF6E51" w:rsidRDefault="00AF6E51">
            <w:pPr>
              <w:tabs>
                <w:tab w:val="left" w:pos="567"/>
              </w:tabs>
              <w:rPr>
                <w:szCs w:val="22"/>
                <w:lang w:val="hu-HU" w:eastAsia="en-US"/>
              </w:rPr>
            </w:pPr>
          </w:p>
        </w:tc>
        <w:tc>
          <w:tcPr>
            <w:tcW w:w="1654" w:type="dxa"/>
          </w:tcPr>
          <w:p w:rsidR="00AF6E51" w:rsidRDefault="00AF6E51">
            <w:pPr>
              <w:tabs>
                <w:tab w:val="left" w:pos="567"/>
              </w:tabs>
              <w:rPr>
                <w:szCs w:val="22"/>
                <w:lang w:val="hu-HU" w:eastAsia="en-US"/>
              </w:rPr>
            </w:pPr>
          </w:p>
        </w:tc>
        <w:tc>
          <w:tcPr>
            <w:tcW w:w="1655" w:type="dxa"/>
          </w:tcPr>
          <w:p w:rsidR="00AF6E51" w:rsidRDefault="00AF6E51">
            <w:pPr>
              <w:tabs>
                <w:tab w:val="left" w:pos="567"/>
              </w:tabs>
              <w:rPr>
                <w:szCs w:val="22"/>
                <w:lang w:val="hu-HU" w:eastAsia="en-US"/>
              </w:rPr>
            </w:pPr>
          </w:p>
        </w:tc>
        <w:tc>
          <w:tcPr>
            <w:tcW w:w="1655" w:type="dxa"/>
          </w:tcPr>
          <w:p w:rsidR="00AF6E51" w:rsidRDefault="000A4EAB">
            <w:pPr>
              <w:autoSpaceDE w:val="0"/>
              <w:autoSpaceDN w:val="0"/>
              <w:adjustRightInd w:val="0"/>
              <w:rPr>
                <w:szCs w:val="22"/>
                <w:lang w:val="hu-HU"/>
              </w:rPr>
            </w:pPr>
            <w:r>
              <w:rPr>
                <w:szCs w:val="22"/>
                <w:lang w:val="hu-HU"/>
              </w:rPr>
              <w:t>túlzott ADH-elválasztás,</w:t>
            </w:r>
          </w:p>
          <w:p w:rsidR="00AF6E51" w:rsidRDefault="000A4EAB">
            <w:pPr>
              <w:autoSpaceDE w:val="0"/>
              <w:autoSpaceDN w:val="0"/>
              <w:adjustRightInd w:val="0"/>
              <w:rPr>
                <w:szCs w:val="22"/>
                <w:lang w:val="hu-HU"/>
              </w:rPr>
            </w:pPr>
            <w:r>
              <w:rPr>
                <w:szCs w:val="22"/>
              </w:rPr>
              <w:t>hyperprolactinaemia</w:t>
            </w:r>
          </w:p>
        </w:tc>
      </w:tr>
      <w:tr w:rsidR="00AF6E51">
        <w:trPr>
          <w:cantSplit/>
        </w:trPr>
        <w:tc>
          <w:tcPr>
            <w:tcW w:w="1475" w:type="dxa"/>
          </w:tcPr>
          <w:p w:rsidR="00AF6E51" w:rsidRDefault="000A4EAB">
            <w:pPr>
              <w:autoSpaceDE w:val="0"/>
              <w:autoSpaceDN w:val="0"/>
              <w:adjustRightInd w:val="0"/>
              <w:rPr>
                <w:szCs w:val="22"/>
                <w:lang w:val="hu-HU"/>
              </w:rPr>
            </w:pPr>
            <w:r>
              <w:rPr>
                <w:szCs w:val="22"/>
                <w:lang w:val="hu-HU"/>
              </w:rPr>
              <w:t>Anyagcsere- és táplálkozási betegségek és tünetek</w:t>
            </w:r>
          </w:p>
        </w:tc>
        <w:tc>
          <w:tcPr>
            <w:tcW w:w="1654" w:type="dxa"/>
          </w:tcPr>
          <w:p w:rsidR="00AF6E51" w:rsidRDefault="00AF6E51">
            <w:pPr>
              <w:tabs>
                <w:tab w:val="left" w:pos="567"/>
              </w:tabs>
              <w:rPr>
                <w:szCs w:val="22"/>
                <w:lang w:val="hu-HU" w:eastAsia="en-US"/>
              </w:rPr>
            </w:pPr>
          </w:p>
        </w:tc>
        <w:tc>
          <w:tcPr>
            <w:tcW w:w="1655" w:type="dxa"/>
          </w:tcPr>
          <w:p w:rsidR="00AF6E51" w:rsidRDefault="000A4EAB">
            <w:pPr>
              <w:tabs>
                <w:tab w:val="left" w:pos="567"/>
              </w:tabs>
              <w:rPr>
                <w:szCs w:val="22"/>
                <w:lang w:val="hu-HU" w:eastAsia="en-US"/>
              </w:rPr>
            </w:pPr>
            <w:r>
              <w:rPr>
                <w:szCs w:val="22"/>
                <w:lang w:val="hu-HU"/>
              </w:rPr>
              <w:t>csökkent étvágy, fokozott étvágy, testtömeg-gyarapodás</w:t>
            </w:r>
          </w:p>
        </w:tc>
        <w:tc>
          <w:tcPr>
            <w:tcW w:w="1654" w:type="dxa"/>
          </w:tcPr>
          <w:p w:rsidR="00AF6E51" w:rsidRDefault="000A4EAB">
            <w:pPr>
              <w:tabs>
                <w:tab w:val="left" w:pos="567"/>
              </w:tabs>
              <w:rPr>
                <w:szCs w:val="22"/>
                <w:lang w:val="hu-HU" w:eastAsia="en-US"/>
              </w:rPr>
            </w:pPr>
            <w:r>
              <w:rPr>
                <w:szCs w:val="22"/>
                <w:lang w:val="hu-HU"/>
              </w:rPr>
              <w:t>testtömegcsökkenés</w:t>
            </w:r>
          </w:p>
        </w:tc>
        <w:tc>
          <w:tcPr>
            <w:tcW w:w="1655" w:type="dxa"/>
          </w:tcPr>
          <w:p w:rsidR="00AF6E51" w:rsidRDefault="00AF6E51">
            <w:pPr>
              <w:tabs>
                <w:tab w:val="left" w:pos="567"/>
              </w:tabs>
              <w:rPr>
                <w:szCs w:val="22"/>
                <w:lang w:val="hu-HU" w:eastAsia="en-US"/>
              </w:rPr>
            </w:pPr>
          </w:p>
        </w:tc>
        <w:tc>
          <w:tcPr>
            <w:tcW w:w="1655" w:type="dxa"/>
          </w:tcPr>
          <w:p w:rsidR="00AF6E51" w:rsidRDefault="000A4EAB">
            <w:pPr>
              <w:tabs>
                <w:tab w:val="left" w:pos="567"/>
              </w:tabs>
              <w:rPr>
                <w:szCs w:val="22"/>
                <w:lang w:val="hu-HU" w:eastAsia="en-US"/>
              </w:rPr>
            </w:pPr>
            <w:r>
              <w:rPr>
                <w:szCs w:val="22"/>
                <w:lang w:val="hu-HU"/>
              </w:rPr>
              <w:t>hyponatraemia, anorexia</w:t>
            </w:r>
            <w:r>
              <w:rPr>
                <w:szCs w:val="22"/>
                <w:vertAlign w:val="superscript"/>
                <w:lang w:val="hu-HU"/>
              </w:rPr>
              <w:t>1</w:t>
            </w:r>
          </w:p>
        </w:tc>
      </w:tr>
      <w:tr w:rsidR="00AF6E51">
        <w:trPr>
          <w:cantSplit/>
        </w:trPr>
        <w:tc>
          <w:tcPr>
            <w:tcW w:w="1475" w:type="dxa"/>
          </w:tcPr>
          <w:p w:rsidR="00AF6E51" w:rsidRDefault="000A4EAB">
            <w:pPr>
              <w:autoSpaceDE w:val="0"/>
              <w:autoSpaceDN w:val="0"/>
              <w:adjustRightInd w:val="0"/>
              <w:rPr>
                <w:szCs w:val="22"/>
                <w:lang w:val="hu-HU"/>
              </w:rPr>
            </w:pPr>
            <w:r>
              <w:rPr>
                <w:szCs w:val="22"/>
                <w:lang w:val="hu-HU"/>
              </w:rPr>
              <w:t>Pszichiátriai kórképek</w:t>
            </w:r>
          </w:p>
        </w:tc>
        <w:tc>
          <w:tcPr>
            <w:tcW w:w="1654" w:type="dxa"/>
          </w:tcPr>
          <w:p w:rsidR="00AF6E51" w:rsidRDefault="00AF6E51">
            <w:pPr>
              <w:tabs>
                <w:tab w:val="left" w:pos="567"/>
              </w:tabs>
              <w:rPr>
                <w:szCs w:val="22"/>
                <w:lang w:val="hu-HU" w:eastAsia="en-US"/>
              </w:rPr>
            </w:pPr>
          </w:p>
        </w:tc>
        <w:tc>
          <w:tcPr>
            <w:tcW w:w="1655" w:type="dxa"/>
          </w:tcPr>
          <w:p w:rsidR="00AF6E51" w:rsidRDefault="000A4EAB">
            <w:pPr>
              <w:rPr>
                <w:szCs w:val="22"/>
                <w:lang w:val="hu-HU"/>
              </w:rPr>
            </w:pPr>
            <w:r>
              <w:rPr>
                <w:szCs w:val="22"/>
                <w:lang w:val="hu-HU"/>
              </w:rPr>
              <w:t>szorongás, nyugtalanság, kóros álmok,</w:t>
            </w:r>
          </w:p>
          <w:p w:rsidR="00AF6E51" w:rsidRDefault="000A4EAB">
            <w:pPr>
              <w:rPr>
                <w:szCs w:val="22"/>
                <w:lang w:val="hu-HU"/>
              </w:rPr>
            </w:pPr>
            <w:r>
              <w:rPr>
                <w:szCs w:val="22"/>
                <w:lang w:val="hu-HU"/>
              </w:rPr>
              <w:t>csökkent libido,</w:t>
            </w:r>
          </w:p>
          <w:p w:rsidR="00AF6E51" w:rsidRDefault="000A4EAB">
            <w:pPr>
              <w:rPr>
                <w:szCs w:val="22"/>
                <w:lang w:val="hu-HU" w:eastAsia="en-US"/>
              </w:rPr>
            </w:pPr>
            <w:r>
              <w:rPr>
                <w:szCs w:val="22"/>
                <w:lang w:val="hu-HU"/>
              </w:rPr>
              <w:t xml:space="preserve">nők: orgazmuszavar </w:t>
            </w:r>
          </w:p>
        </w:tc>
        <w:tc>
          <w:tcPr>
            <w:tcW w:w="1654" w:type="dxa"/>
          </w:tcPr>
          <w:p w:rsidR="00AF6E51" w:rsidRDefault="000A4EAB">
            <w:pPr>
              <w:tabs>
                <w:tab w:val="left" w:pos="567"/>
              </w:tabs>
              <w:rPr>
                <w:szCs w:val="22"/>
                <w:lang w:val="hu-HU" w:eastAsia="en-US"/>
              </w:rPr>
            </w:pPr>
            <w:r>
              <w:rPr>
                <w:szCs w:val="22"/>
                <w:lang w:val="hu-HU"/>
              </w:rPr>
              <w:t>fogcsikorgatás, izgatottság, idegesség, pánikroham, zavarodott állapot</w:t>
            </w:r>
          </w:p>
        </w:tc>
        <w:tc>
          <w:tcPr>
            <w:tcW w:w="1655" w:type="dxa"/>
          </w:tcPr>
          <w:p w:rsidR="00AF6E51" w:rsidRDefault="000A4EAB">
            <w:pPr>
              <w:autoSpaceDE w:val="0"/>
              <w:autoSpaceDN w:val="0"/>
              <w:adjustRightInd w:val="0"/>
              <w:rPr>
                <w:szCs w:val="22"/>
                <w:lang w:val="hu-HU" w:eastAsia="en-US"/>
              </w:rPr>
            </w:pPr>
            <w:r>
              <w:rPr>
                <w:szCs w:val="22"/>
                <w:lang w:val="hu-HU"/>
              </w:rPr>
              <w:t>agresszió, deperszonalizáció, hallucináció</w:t>
            </w:r>
          </w:p>
        </w:tc>
        <w:tc>
          <w:tcPr>
            <w:tcW w:w="1655" w:type="dxa"/>
          </w:tcPr>
          <w:p w:rsidR="00AF6E51" w:rsidRDefault="000A4EAB">
            <w:pPr>
              <w:tabs>
                <w:tab w:val="left" w:pos="567"/>
              </w:tabs>
              <w:rPr>
                <w:szCs w:val="22"/>
                <w:lang w:val="hu-HU" w:eastAsia="en-US"/>
              </w:rPr>
            </w:pPr>
            <w:r>
              <w:rPr>
                <w:szCs w:val="22"/>
                <w:lang w:val="hu-HU"/>
              </w:rPr>
              <w:t>mánia, öngyilkossági gondolatok, öngyilkos magatartás</w:t>
            </w:r>
            <w:r>
              <w:rPr>
                <w:szCs w:val="22"/>
                <w:vertAlign w:val="superscript"/>
                <w:lang w:val="hu-HU"/>
              </w:rPr>
              <w:t>2</w:t>
            </w:r>
          </w:p>
        </w:tc>
      </w:tr>
      <w:tr w:rsidR="00AF6E51">
        <w:trPr>
          <w:cantSplit/>
        </w:trPr>
        <w:tc>
          <w:tcPr>
            <w:tcW w:w="1475" w:type="dxa"/>
          </w:tcPr>
          <w:p w:rsidR="00AF6E51" w:rsidRDefault="000A4EAB">
            <w:pPr>
              <w:autoSpaceDE w:val="0"/>
              <w:autoSpaceDN w:val="0"/>
              <w:adjustRightInd w:val="0"/>
              <w:rPr>
                <w:szCs w:val="22"/>
                <w:lang w:val="hu-HU"/>
              </w:rPr>
            </w:pPr>
            <w:r>
              <w:rPr>
                <w:szCs w:val="22"/>
                <w:lang w:val="hu-HU"/>
              </w:rPr>
              <w:t>Idegrendszeri betegségek és tünetek</w:t>
            </w:r>
          </w:p>
        </w:tc>
        <w:tc>
          <w:tcPr>
            <w:tcW w:w="1654" w:type="dxa"/>
          </w:tcPr>
          <w:p w:rsidR="00AF6E51" w:rsidRDefault="000A4EAB">
            <w:pPr>
              <w:tabs>
                <w:tab w:val="left" w:pos="567"/>
              </w:tabs>
              <w:rPr>
                <w:szCs w:val="22"/>
                <w:lang w:val="hu-HU" w:eastAsia="en-US"/>
              </w:rPr>
            </w:pPr>
            <w:r>
              <w:rPr>
                <w:szCs w:val="22"/>
                <w:lang w:val="hu-HU" w:eastAsia="en-US"/>
              </w:rPr>
              <w:t>fejfájás</w:t>
            </w:r>
          </w:p>
        </w:tc>
        <w:tc>
          <w:tcPr>
            <w:tcW w:w="1655" w:type="dxa"/>
          </w:tcPr>
          <w:p w:rsidR="00AF6E51" w:rsidRDefault="000A4EAB">
            <w:pPr>
              <w:tabs>
                <w:tab w:val="left" w:pos="567"/>
              </w:tabs>
              <w:rPr>
                <w:szCs w:val="22"/>
                <w:lang w:val="hu-HU" w:eastAsia="en-US"/>
              </w:rPr>
            </w:pPr>
            <w:r>
              <w:rPr>
                <w:szCs w:val="22"/>
                <w:lang w:val="hu-HU"/>
              </w:rPr>
              <w:t>álmatlanság, aluszékonyság, szédülékenység, fonákérzés, remegés</w:t>
            </w:r>
          </w:p>
        </w:tc>
        <w:tc>
          <w:tcPr>
            <w:tcW w:w="1654" w:type="dxa"/>
          </w:tcPr>
          <w:p w:rsidR="00AF6E51" w:rsidRDefault="000A4EAB">
            <w:pPr>
              <w:tabs>
                <w:tab w:val="left" w:pos="567"/>
              </w:tabs>
              <w:rPr>
                <w:szCs w:val="22"/>
                <w:lang w:val="hu-HU" w:eastAsia="en-US"/>
              </w:rPr>
            </w:pPr>
            <w:r>
              <w:rPr>
                <w:szCs w:val="22"/>
                <w:lang w:val="hu-HU"/>
              </w:rPr>
              <w:t>ízérzékelési zavar, alvászavar, ájulás</w:t>
            </w:r>
          </w:p>
        </w:tc>
        <w:tc>
          <w:tcPr>
            <w:tcW w:w="1655" w:type="dxa"/>
          </w:tcPr>
          <w:p w:rsidR="00AF6E51" w:rsidRDefault="000A4EAB">
            <w:pPr>
              <w:autoSpaceDE w:val="0"/>
              <w:autoSpaceDN w:val="0"/>
              <w:adjustRightInd w:val="0"/>
              <w:rPr>
                <w:szCs w:val="22"/>
                <w:lang w:val="hu-HU"/>
              </w:rPr>
            </w:pPr>
            <w:r>
              <w:rPr>
                <w:szCs w:val="22"/>
                <w:lang w:val="hu-HU"/>
              </w:rPr>
              <w:t>szerotonin szindróma</w:t>
            </w:r>
          </w:p>
        </w:tc>
        <w:tc>
          <w:tcPr>
            <w:tcW w:w="1655" w:type="dxa"/>
          </w:tcPr>
          <w:p w:rsidR="00AF6E51" w:rsidRDefault="000A4EAB">
            <w:pPr>
              <w:tabs>
                <w:tab w:val="left" w:pos="567"/>
              </w:tabs>
              <w:rPr>
                <w:szCs w:val="22"/>
                <w:lang w:val="hu-HU" w:eastAsia="en-US"/>
              </w:rPr>
            </w:pPr>
            <w:r>
              <w:rPr>
                <w:szCs w:val="22"/>
                <w:lang w:val="hu-HU"/>
              </w:rPr>
              <w:t>dyskinesia, mozgászavar, görcsroham, pszichomotoros nyugtalanság/akathisia</w:t>
            </w:r>
            <w:r>
              <w:rPr>
                <w:szCs w:val="22"/>
                <w:vertAlign w:val="superscript"/>
                <w:lang w:val="hu-HU"/>
              </w:rPr>
              <w:t>1</w:t>
            </w:r>
          </w:p>
        </w:tc>
      </w:tr>
      <w:tr w:rsidR="00AF6E51">
        <w:trPr>
          <w:cantSplit/>
        </w:trPr>
        <w:tc>
          <w:tcPr>
            <w:tcW w:w="1475" w:type="dxa"/>
          </w:tcPr>
          <w:p w:rsidR="00AF6E51" w:rsidRDefault="000A4EAB">
            <w:pPr>
              <w:autoSpaceDE w:val="0"/>
              <w:autoSpaceDN w:val="0"/>
              <w:adjustRightInd w:val="0"/>
              <w:rPr>
                <w:szCs w:val="22"/>
                <w:lang w:val="hu-HU"/>
              </w:rPr>
            </w:pPr>
            <w:r>
              <w:rPr>
                <w:szCs w:val="22"/>
                <w:lang w:val="hu-HU"/>
              </w:rPr>
              <w:t>Szembetegségek és szemészeti tünetek</w:t>
            </w:r>
          </w:p>
        </w:tc>
        <w:tc>
          <w:tcPr>
            <w:tcW w:w="1654" w:type="dxa"/>
          </w:tcPr>
          <w:p w:rsidR="00AF6E51" w:rsidRDefault="00AF6E51">
            <w:pPr>
              <w:tabs>
                <w:tab w:val="left" w:pos="567"/>
              </w:tabs>
              <w:rPr>
                <w:szCs w:val="22"/>
                <w:lang w:val="hu-HU" w:eastAsia="en-US"/>
              </w:rPr>
            </w:pPr>
          </w:p>
        </w:tc>
        <w:tc>
          <w:tcPr>
            <w:tcW w:w="1655" w:type="dxa"/>
          </w:tcPr>
          <w:p w:rsidR="00AF6E51" w:rsidRDefault="00AF6E51">
            <w:pPr>
              <w:tabs>
                <w:tab w:val="left" w:pos="567"/>
              </w:tabs>
              <w:rPr>
                <w:szCs w:val="22"/>
                <w:lang w:val="hu-HU" w:eastAsia="en-US"/>
              </w:rPr>
            </w:pPr>
          </w:p>
        </w:tc>
        <w:tc>
          <w:tcPr>
            <w:tcW w:w="1654" w:type="dxa"/>
          </w:tcPr>
          <w:p w:rsidR="00AF6E51" w:rsidRDefault="000A4EAB">
            <w:pPr>
              <w:autoSpaceDE w:val="0"/>
              <w:autoSpaceDN w:val="0"/>
              <w:adjustRightInd w:val="0"/>
              <w:rPr>
                <w:szCs w:val="22"/>
                <w:lang w:val="hu-HU"/>
              </w:rPr>
            </w:pPr>
            <w:r>
              <w:rPr>
                <w:szCs w:val="22"/>
                <w:lang w:val="hu-HU"/>
              </w:rPr>
              <w:t>mydriasis, látászavar</w:t>
            </w:r>
          </w:p>
        </w:tc>
        <w:tc>
          <w:tcPr>
            <w:tcW w:w="1655" w:type="dxa"/>
          </w:tcPr>
          <w:p w:rsidR="00AF6E51" w:rsidRDefault="00AF6E51">
            <w:pPr>
              <w:tabs>
                <w:tab w:val="left" w:pos="567"/>
              </w:tabs>
              <w:rPr>
                <w:szCs w:val="22"/>
                <w:lang w:val="hu-HU" w:eastAsia="en-US"/>
              </w:rPr>
            </w:pPr>
          </w:p>
        </w:tc>
        <w:tc>
          <w:tcPr>
            <w:tcW w:w="1655" w:type="dxa"/>
          </w:tcPr>
          <w:p w:rsidR="00AF6E51" w:rsidRDefault="00AF6E51">
            <w:pPr>
              <w:tabs>
                <w:tab w:val="left" w:pos="567"/>
              </w:tabs>
              <w:rPr>
                <w:szCs w:val="22"/>
                <w:lang w:val="hu-HU" w:eastAsia="en-US"/>
              </w:rPr>
            </w:pPr>
          </w:p>
        </w:tc>
      </w:tr>
      <w:tr w:rsidR="00AF6E51">
        <w:trPr>
          <w:cantSplit/>
        </w:trPr>
        <w:tc>
          <w:tcPr>
            <w:tcW w:w="1475" w:type="dxa"/>
          </w:tcPr>
          <w:p w:rsidR="00AF6E51" w:rsidRDefault="000A4EAB">
            <w:pPr>
              <w:autoSpaceDE w:val="0"/>
              <w:autoSpaceDN w:val="0"/>
              <w:adjustRightInd w:val="0"/>
              <w:rPr>
                <w:szCs w:val="22"/>
                <w:lang w:val="hu-HU"/>
              </w:rPr>
            </w:pPr>
            <w:r>
              <w:rPr>
                <w:szCs w:val="22"/>
                <w:lang w:val="hu-HU"/>
              </w:rPr>
              <w:t>A fül és az egyensúly-érzékelő szerv betegségei és tünetei</w:t>
            </w:r>
          </w:p>
        </w:tc>
        <w:tc>
          <w:tcPr>
            <w:tcW w:w="1654" w:type="dxa"/>
          </w:tcPr>
          <w:p w:rsidR="00AF6E51" w:rsidRDefault="00AF6E51">
            <w:pPr>
              <w:tabs>
                <w:tab w:val="left" w:pos="567"/>
              </w:tabs>
              <w:rPr>
                <w:szCs w:val="22"/>
                <w:lang w:val="hu-HU" w:eastAsia="en-US"/>
              </w:rPr>
            </w:pPr>
          </w:p>
        </w:tc>
        <w:tc>
          <w:tcPr>
            <w:tcW w:w="1655" w:type="dxa"/>
          </w:tcPr>
          <w:p w:rsidR="00AF6E51" w:rsidRDefault="00AF6E51">
            <w:pPr>
              <w:tabs>
                <w:tab w:val="left" w:pos="567"/>
              </w:tabs>
              <w:rPr>
                <w:szCs w:val="22"/>
                <w:lang w:val="hu-HU" w:eastAsia="en-US"/>
              </w:rPr>
            </w:pPr>
          </w:p>
        </w:tc>
        <w:tc>
          <w:tcPr>
            <w:tcW w:w="1654" w:type="dxa"/>
          </w:tcPr>
          <w:p w:rsidR="00AF6E51" w:rsidRDefault="000A4EAB">
            <w:pPr>
              <w:tabs>
                <w:tab w:val="left" w:pos="567"/>
              </w:tabs>
              <w:rPr>
                <w:szCs w:val="22"/>
                <w:lang w:val="hu-HU" w:eastAsia="en-US"/>
              </w:rPr>
            </w:pPr>
            <w:r>
              <w:rPr>
                <w:szCs w:val="22"/>
                <w:lang w:val="hu-HU"/>
              </w:rPr>
              <w:t>fülcsengés</w:t>
            </w:r>
          </w:p>
        </w:tc>
        <w:tc>
          <w:tcPr>
            <w:tcW w:w="1655" w:type="dxa"/>
          </w:tcPr>
          <w:p w:rsidR="00AF6E51" w:rsidRDefault="00AF6E51">
            <w:pPr>
              <w:tabs>
                <w:tab w:val="left" w:pos="567"/>
              </w:tabs>
              <w:rPr>
                <w:szCs w:val="22"/>
                <w:lang w:val="hu-HU" w:eastAsia="en-US"/>
              </w:rPr>
            </w:pPr>
          </w:p>
        </w:tc>
        <w:tc>
          <w:tcPr>
            <w:tcW w:w="1655" w:type="dxa"/>
          </w:tcPr>
          <w:p w:rsidR="00AF6E51" w:rsidRDefault="00AF6E51">
            <w:pPr>
              <w:tabs>
                <w:tab w:val="left" w:pos="567"/>
              </w:tabs>
              <w:rPr>
                <w:szCs w:val="22"/>
                <w:lang w:val="hu-HU" w:eastAsia="en-US"/>
              </w:rPr>
            </w:pPr>
          </w:p>
        </w:tc>
      </w:tr>
      <w:tr w:rsidR="00AF6E51">
        <w:trPr>
          <w:cantSplit/>
        </w:trPr>
        <w:tc>
          <w:tcPr>
            <w:tcW w:w="1475" w:type="dxa"/>
          </w:tcPr>
          <w:p w:rsidR="00AF6E51" w:rsidRDefault="000A4EAB">
            <w:pPr>
              <w:autoSpaceDE w:val="0"/>
              <w:autoSpaceDN w:val="0"/>
              <w:adjustRightInd w:val="0"/>
              <w:rPr>
                <w:szCs w:val="22"/>
                <w:lang w:val="hu-HU"/>
              </w:rPr>
            </w:pPr>
            <w:r>
              <w:rPr>
                <w:szCs w:val="22"/>
                <w:lang w:val="hu-HU"/>
              </w:rPr>
              <w:t>Szívbetegségek és a szívvel kapcsolatos tünetek</w:t>
            </w:r>
          </w:p>
        </w:tc>
        <w:tc>
          <w:tcPr>
            <w:tcW w:w="1654" w:type="dxa"/>
          </w:tcPr>
          <w:p w:rsidR="00AF6E51" w:rsidRDefault="00AF6E51">
            <w:pPr>
              <w:tabs>
                <w:tab w:val="left" w:pos="567"/>
              </w:tabs>
              <w:rPr>
                <w:szCs w:val="22"/>
                <w:lang w:val="hu-HU" w:eastAsia="en-US"/>
              </w:rPr>
            </w:pPr>
          </w:p>
        </w:tc>
        <w:tc>
          <w:tcPr>
            <w:tcW w:w="1655" w:type="dxa"/>
          </w:tcPr>
          <w:p w:rsidR="00AF6E51" w:rsidRDefault="00AF6E51">
            <w:pPr>
              <w:tabs>
                <w:tab w:val="left" w:pos="567"/>
              </w:tabs>
              <w:rPr>
                <w:szCs w:val="22"/>
                <w:lang w:val="hu-HU" w:eastAsia="en-US"/>
              </w:rPr>
            </w:pPr>
          </w:p>
        </w:tc>
        <w:tc>
          <w:tcPr>
            <w:tcW w:w="1654" w:type="dxa"/>
          </w:tcPr>
          <w:p w:rsidR="00AF6E51" w:rsidRDefault="000A4EAB">
            <w:pPr>
              <w:tabs>
                <w:tab w:val="left" w:pos="567"/>
              </w:tabs>
              <w:rPr>
                <w:szCs w:val="22"/>
                <w:lang w:val="hu-HU" w:eastAsia="en-US"/>
              </w:rPr>
            </w:pPr>
            <w:r>
              <w:rPr>
                <w:szCs w:val="22"/>
                <w:lang w:val="hu-HU"/>
              </w:rPr>
              <w:t>tachycardia</w:t>
            </w:r>
          </w:p>
        </w:tc>
        <w:tc>
          <w:tcPr>
            <w:tcW w:w="1655" w:type="dxa"/>
          </w:tcPr>
          <w:p w:rsidR="00AF6E51" w:rsidRDefault="000A4EAB">
            <w:pPr>
              <w:tabs>
                <w:tab w:val="left" w:pos="567"/>
              </w:tabs>
              <w:rPr>
                <w:szCs w:val="22"/>
                <w:lang w:val="hu-HU" w:eastAsia="en-US"/>
              </w:rPr>
            </w:pPr>
            <w:r>
              <w:rPr>
                <w:szCs w:val="22"/>
                <w:lang w:val="hu-HU"/>
              </w:rPr>
              <w:t>bradycardia</w:t>
            </w:r>
          </w:p>
        </w:tc>
        <w:tc>
          <w:tcPr>
            <w:tcW w:w="1655" w:type="dxa"/>
          </w:tcPr>
          <w:p w:rsidR="00AF6E51" w:rsidRDefault="000A4EAB">
            <w:pPr>
              <w:tabs>
                <w:tab w:val="left" w:pos="-7"/>
              </w:tabs>
              <w:rPr>
                <w:szCs w:val="22"/>
                <w:lang w:val="hu-HU" w:eastAsia="en-US"/>
              </w:rPr>
            </w:pPr>
            <w:r>
              <w:rPr>
                <w:szCs w:val="22"/>
                <w:lang w:val="hu-HU"/>
              </w:rPr>
              <w:t xml:space="preserve">EKG: QT-szakasz megnyúlt, kamrai ritmuszavar például </w:t>
            </w:r>
            <w:r>
              <w:rPr>
                <w:i/>
                <w:szCs w:val="22"/>
                <w:lang w:val="hu-HU"/>
              </w:rPr>
              <w:t>torsade de pointes</w:t>
            </w:r>
          </w:p>
        </w:tc>
      </w:tr>
      <w:tr w:rsidR="00AF6E51">
        <w:trPr>
          <w:cantSplit/>
        </w:trPr>
        <w:tc>
          <w:tcPr>
            <w:tcW w:w="1475" w:type="dxa"/>
          </w:tcPr>
          <w:p w:rsidR="00AF6E51" w:rsidRDefault="000A4EAB">
            <w:pPr>
              <w:autoSpaceDE w:val="0"/>
              <w:autoSpaceDN w:val="0"/>
              <w:adjustRightInd w:val="0"/>
              <w:rPr>
                <w:szCs w:val="22"/>
                <w:lang w:val="hu-HU"/>
              </w:rPr>
            </w:pPr>
            <w:r>
              <w:rPr>
                <w:szCs w:val="22"/>
                <w:lang w:val="hu-HU"/>
              </w:rPr>
              <w:t>Érbetegségek és tünetek</w:t>
            </w:r>
          </w:p>
        </w:tc>
        <w:tc>
          <w:tcPr>
            <w:tcW w:w="1654" w:type="dxa"/>
          </w:tcPr>
          <w:p w:rsidR="00AF6E51" w:rsidRDefault="00AF6E51">
            <w:pPr>
              <w:tabs>
                <w:tab w:val="left" w:pos="567"/>
              </w:tabs>
              <w:rPr>
                <w:szCs w:val="22"/>
                <w:lang w:val="hu-HU" w:eastAsia="en-US"/>
              </w:rPr>
            </w:pPr>
          </w:p>
        </w:tc>
        <w:tc>
          <w:tcPr>
            <w:tcW w:w="1655" w:type="dxa"/>
          </w:tcPr>
          <w:p w:rsidR="00AF6E51" w:rsidRDefault="00AF6E51">
            <w:pPr>
              <w:tabs>
                <w:tab w:val="left" w:pos="567"/>
              </w:tabs>
              <w:rPr>
                <w:szCs w:val="22"/>
                <w:lang w:val="hu-HU" w:eastAsia="en-US"/>
              </w:rPr>
            </w:pPr>
          </w:p>
        </w:tc>
        <w:tc>
          <w:tcPr>
            <w:tcW w:w="1654" w:type="dxa"/>
          </w:tcPr>
          <w:p w:rsidR="00AF6E51" w:rsidRDefault="00AF6E51">
            <w:pPr>
              <w:tabs>
                <w:tab w:val="left" w:pos="567"/>
              </w:tabs>
              <w:rPr>
                <w:szCs w:val="22"/>
                <w:lang w:val="hu-HU" w:eastAsia="en-US"/>
              </w:rPr>
            </w:pPr>
          </w:p>
        </w:tc>
        <w:tc>
          <w:tcPr>
            <w:tcW w:w="1655" w:type="dxa"/>
          </w:tcPr>
          <w:p w:rsidR="00AF6E51" w:rsidRDefault="00AF6E51">
            <w:pPr>
              <w:tabs>
                <w:tab w:val="left" w:pos="567"/>
              </w:tabs>
              <w:rPr>
                <w:szCs w:val="22"/>
                <w:lang w:val="hu-HU" w:eastAsia="en-US"/>
              </w:rPr>
            </w:pPr>
          </w:p>
        </w:tc>
        <w:tc>
          <w:tcPr>
            <w:tcW w:w="1655" w:type="dxa"/>
          </w:tcPr>
          <w:p w:rsidR="00AF6E51" w:rsidRDefault="000A4EAB">
            <w:pPr>
              <w:tabs>
                <w:tab w:val="left" w:pos="567"/>
              </w:tabs>
              <w:rPr>
                <w:szCs w:val="22"/>
                <w:lang w:val="hu-HU" w:eastAsia="en-US"/>
              </w:rPr>
            </w:pPr>
            <w:r>
              <w:rPr>
                <w:szCs w:val="22"/>
                <w:lang w:val="hu-HU"/>
              </w:rPr>
              <w:t>orthostaticus hypotonia</w:t>
            </w:r>
          </w:p>
        </w:tc>
      </w:tr>
      <w:tr w:rsidR="00AF6E51">
        <w:trPr>
          <w:cantSplit/>
        </w:trPr>
        <w:tc>
          <w:tcPr>
            <w:tcW w:w="1475" w:type="dxa"/>
          </w:tcPr>
          <w:p w:rsidR="00AF6E51" w:rsidRDefault="000A4EAB">
            <w:pPr>
              <w:autoSpaceDE w:val="0"/>
              <w:autoSpaceDN w:val="0"/>
              <w:adjustRightInd w:val="0"/>
              <w:rPr>
                <w:szCs w:val="22"/>
                <w:lang w:val="hu-HU"/>
              </w:rPr>
            </w:pPr>
            <w:r>
              <w:rPr>
                <w:szCs w:val="22"/>
                <w:lang w:val="hu-HU"/>
              </w:rPr>
              <w:t>Légzőrend-szeri, mellkasi és mediastinalis betegségek és tünetek</w:t>
            </w:r>
          </w:p>
        </w:tc>
        <w:tc>
          <w:tcPr>
            <w:tcW w:w="1654" w:type="dxa"/>
          </w:tcPr>
          <w:p w:rsidR="00AF6E51" w:rsidRDefault="00AF6E51">
            <w:pPr>
              <w:tabs>
                <w:tab w:val="left" w:pos="567"/>
              </w:tabs>
              <w:rPr>
                <w:szCs w:val="22"/>
                <w:lang w:val="hu-HU" w:eastAsia="en-US"/>
              </w:rPr>
            </w:pPr>
          </w:p>
        </w:tc>
        <w:tc>
          <w:tcPr>
            <w:tcW w:w="1655" w:type="dxa"/>
          </w:tcPr>
          <w:p w:rsidR="00AF6E51" w:rsidRDefault="000A4EAB">
            <w:pPr>
              <w:tabs>
                <w:tab w:val="left" w:pos="567"/>
              </w:tabs>
              <w:rPr>
                <w:szCs w:val="22"/>
                <w:lang w:val="hu-HU" w:eastAsia="en-US"/>
              </w:rPr>
            </w:pPr>
            <w:r>
              <w:rPr>
                <w:szCs w:val="22"/>
                <w:lang w:val="hu-HU"/>
              </w:rPr>
              <w:t>sinusitis, ásítozás</w:t>
            </w:r>
          </w:p>
        </w:tc>
        <w:tc>
          <w:tcPr>
            <w:tcW w:w="1654" w:type="dxa"/>
          </w:tcPr>
          <w:p w:rsidR="00AF6E51" w:rsidRDefault="000A4EAB">
            <w:pPr>
              <w:tabs>
                <w:tab w:val="left" w:pos="567"/>
              </w:tabs>
              <w:rPr>
                <w:szCs w:val="22"/>
                <w:lang w:val="hu-HU" w:eastAsia="en-US"/>
              </w:rPr>
            </w:pPr>
            <w:r>
              <w:rPr>
                <w:szCs w:val="22"/>
                <w:lang w:val="hu-HU"/>
              </w:rPr>
              <w:t>orrvérzés</w:t>
            </w:r>
          </w:p>
        </w:tc>
        <w:tc>
          <w:tcPr>
            <w:tcW w:w="1655" w:type="dxa"/>
          </w:tcPr>
          <w:p w:rsidR="00AF6E51" w:rsidRDefault="00AF6E51">
            <w:pPr>
              <w:tabs>
                <w:tab w:val="left" w:pos="567"/>
              </w:tabs>
              <w:rPr>
                <w:szCs w:val="22"/>
                <w:lang w:val="hu-HU" w:eastAsia="en-US"/>
              </w:rPr>
            </w:pPr>
          </w:p>
        </w:tc>
        <w:tc>
          <w:tcPr>
            <w:tcW w:w="1655" w:type="dxa"/>
          </w:tcPr>
          <w:p w:rsidR="00AF6E51" w:rsidRDefault="00AF6E51">
            <w:pPr>
              <w:tabs>
                <w:tab w:val="left" w:pos="567"/>
              </w:tabs>
              <w:rPr>
                <w:szCs w:val="22"/>
                <w:lang w:val="hu-HU" w:eastAsia="en-US"/>
              </w:rPr>
            </w:pPr>
          </w:p>
        </w:tc>
      </w:tr>
      <w:tr w:rsidR="00AF6E51">
        <w:trPr>
          <w:cantSplit/>
        </w:trPr>
        <w:tc>
          <w:tcPr>
            <w:tcW w:w="1475" w:type="dxa"/>
          </w:tcPr>
          <w:p w:rsidR="00AF6E51" w:rsidRDefault="000A4EAB">
            <w:pPr>
              <w:tabs>
                <w:tab w:val="center" w:pos="4536"/>
                <w:tab w:val="right" w:pos="9072"/>
              </w:tabs>
              <w:rPr>
                <w:szCs w:val="22"/>
                <w:highlight w:val="yellow"/>
                <w:lang w:val="hu-HU" w:eastAsia="en-US"/>
              </w:rPr>
            </w:pPr>
            <w:r>
              <w:rPr>
                <w:szCs w:val="22"/>
                <w:lang w:val="hu-HU"/>
              </w:rPr>
              <w:lastRenderedPageBreak/>
              <w:t>Emésztőrendszeri betegségek és tünetek</w:t>
            </w:r>
          </w:p>
        </w:tc>
        <w:tc>
          <w:tcPr>
            <w:tcW w:w="1654" w:type="dxa"/>
          </w:tcPr>
          <w:p w:rsidR="00AF6E51" w:rsidRDefault="000A4EAB">
            <w:pPr>
              <w:tabs>
                <w:tab w:val="left" w:pos="567"/>
              </w:tabs>
              <w:rPr>
                <w:szCs w:val="22"/>
                <w:lang w:val="hu-HU" w:eastAsia="en-US"/>
              </w:rPr>
            </w:pPr>
            <w:r>
              <w:rPr>
                <w:szCs w:val="22"/>
                <w:lang w:val="hu-HU"/>
              </w:rPr>
              <w:t>hányinger</w:t>
            </w:r>
          </w:p>
        </w:tc>
        <w:tc>
          <w:tcPr>
            <w:tcW w:w="1655" w:type="dxa"/>
          </w:tcPr>
          <w:p w:rsidR="00AF6E51" w:rsidRDefault="000A4EAB">
            <w:pPr>
              <w:tabs>
                <w:tab w:val="left" w:pos="567"/>
              </w:tabs>
              <w:rPr>
                <w:szCs w:val="22"/>
                <w:lang w:val="hu-HU" w:eastAsia="en-US"/>
              </w:rPr>
            </w:pPr>
            <w:r>
              <w:rPr>
                <w:szCs w:val="22"/>
                <w:lang w:val="hu-HU"/>
              </w:rPr>
              <w:t xml:space="preserve">hasmenés, székrekedés, hányás, szájszárazság </w:t>
            </w:r>
          </w:p>
        </w:tc>
        <w:tc>
          <w:tcPr>
            <w:tcW w:w="1654" w:type="dxa"/>
          </w:tcPr>
          <w:p w:rsidR="00AF6E51" w:rsidRDefault="000A4EAB">
            <w:pPr>
              <w:tabs>
                <w:tab w:val="left" w:pos="567"/>
              </w:tabs>
              <w:rPr>
                <w:szCs w:val="22"/>
                <w:lang w:val="hu-HU" w:eastAsia="en-US"/>
              </w:rPr>
            </w:pPr>
            <w:r>
              <w:rPr>
                <w:szCs w:val="22"/>
                <w:lang w:val="hu-HU"/>
              </w:rPr>
              <w:t>gastrointestinalis vérzés (végbélvérzés is)</w:t>
            </w:r>
          </w:p>
        </w:tc>
        <w:tc>
          <w:tcPr>
            <w:tcW w:w="1655" w:type="dxa"/>
          </w:tcPr>
          <w:p w:rsidR="00AF6E51" w:rsidRDefault="00AF6E51">
            <w:pPr>
              <w:tabs>
                <w:tab w:val="left" w:pos="567"/>
              </w:tabs>
              <w:rPr>
                <w:szCs w:val="22"/>
                <w:lang w:val="hu-HU" w:eastAsia="en-US"/>
              </w:rPr>
            </w:pPr>
          </w:p>
        </w:tc>
        <w:tc>
          <w:tcPr>
            <w:tcW w:w="1655" w:type="dxa"/>
          </w:tcPr>
          <w:p w:rsidR="00AF6E51" w:rsidRDefault="00AF6E51">
            <w:pPr>
              <w:tabs>
                <w:tab w:val="left" w:pos="567"/>
              </w:tabs>
              <w:rPr>
                <w:szCs w:val="22"/>
                <w:lang w:val="hu-HU" w:eastAsia="en-US"/>
              </w:rPr>
            </w:pPr>
          </w:p>
        </w:tc>
      </w:tr>
      <w:tr w:rsidR="00AF6E51">
        <w:trPr>
          <w:cantSplit/>
        </w:trPr>
        <w:tc>
          <w:tcPr>
            <w:tcW w:w="1475" w:type="dxa"/>
          </w:tcPr>
          <w:p w:rsidR="00AF6E51" w:rsidRDefault="000A4EAB">
            <w:pPr>
              <w:autoSpaceDE w:val="0"/>
              <w:autoSpaceDN w:val="0"/>
              <w:adjustRightInd w:val="0"/>
              <w:rPr>
                <w:szCs w:val="22"/>
                <w:lang w:val="hu-HU"/>
              </w:rPr>
            </w:pPr>
            <w:r>
              <w:rPr>
                <w:szCs w:val="22"/>
                <w:lang w:val="hu-HU"/>
              </w:rPr>
              <w:t>Máj- és epebetegségek, illetve tünetek</w:t>
            </w:r>
          </w:p>
        </w:tc>
        <w:tc>
          <w:tcPr>
            <w:tcW w:w="1654" w:type="dxa"/>
          </w:tcPr>
          <w:p w:rsidR="00AF6E51" w:rsidRDefault="00AF6E51">
            <w:pPr>
              <w:tabs>
                <w:tab w:val="left" w:pos="567"/>
              </w:tabs>
              <w:rPr>
                <w:szCs w:val="22"/>
                <w:lang w:val="hu-HU" w:eastAsia="en-US"/>
              </w:rPr>
            </w:pPr>
          </w:p>
        </w:tc>
        <w:tc>
          <w:tcPr>
            <w:tcW w:w="1655" w:type="dxa"/>
          </w:tcPr>
          <w:p w:rsidR="00AF6E51" w:rsidRDefault="00AF6E51">
            <w:pPr>
              <w:tabs>
                <w:tab w:val="left" w:pos="567"/>
              </w:tabs>
              <w:rPr>
                <w:szCs w:val="22"/>
                <w:lang w:val="hu-HU" w:eastAsia="en-US"/>
              </w:rPr>
            </w:pPr>
          </w:p>
        </w:tc>
        <w:tc>
          <w:tcPr>
            <w:tcW w:w="1654" w:type="dxa"/>
          </w:tcPr>
          <w:p w:rsidR="00AF6E51" w:rsidRDefault="00AF6E51">
            <w:pPr>
              <w:tabs>
                <w:tab w:val="left" w:pos="567"/>
              </w:tabs>
              <w:rPr>
                <w:szCs w:val="22"/>
                <w:lang w:val="hu-HU" w:eastAsia="en-US"/>
              </w:rPr>
            </w:pPr>
          </w:p>
        </w:tc>
        <w:tc>
          <w:tcPr>
            <w:tcW w:w="1655" w:type="dxa"/>
          </w:tcPr>
          <w:p w:rsidR="00AF6E51" w:rsidRDefault="00AF6E51">
            <w:pPr>
              <w:tabs>
                <w:tab w:val="left" w:pos="567"/>
              </w:tabs>
              <w:rPr>
                <w:szCs w:val="22"/>
                <w:lang w:val="hu-HU" w:eastAsia="en-US"/>
              </w:rPr>
            </w:pPr>
          </w:p>
        </w:tc>
        <w:tc>
          <w:tcPr>
            <w:tcW w:w="1655" w:type="dxa"/>
          </w:tcPr>
          <w:p w:rsidR="00AF6E51" w:rsidRDefault="000A4EAB">
            <w:pPr>
              <w:autoSpaceDE w:val="0"/>
              <w:autoSpaceDN w:val="0"/>
              <w:adjustRightInd w:val="0"/>
              <w:rPr>
                <w:szCs w:val="22"/>
                <w:lang w:val="hu-HU"/>
              </w:rPr>
            </w:pPr>
            <w:r>
              <w:rPr>
                <w:szCs w:val="22"/>
                <w:lang w:val="hu-HU"/>
              </w:rPr>
              <w:t xml:space="preserve">hepatitis, kóros májfunkciós értékek </w:t>
            </w:r>
          </w:p>
        </w:tc>
      </w:tr>
      <w:tr w:rsidR="00AF6E51">
        <w:trPr>
          <w:cantSplit/>
        </w:trPr>
        <w:tc>
          <w:tcPr>
            <w:tcW w:w="1475" w:type="dxa"/>
          </w:tcPr>
          <w:p w:rsidR="00AF6E51" w:rsidRDefault="000A4EAB">
            <w:pPr>
              <w:autoSpaceDE w:val="0"/>
              <w:autoSpaceDN w:val="0"/>
              <w:adjustRightInd w:val="0"/>
              <w:rPr>
                <w:szCs w:val="22"/>
                <w:lang w:val="hu-HU"/>
              </w:rPr>
            </w:pPr>
            <w:r>
              <w:rPr>
                <w:szCs w:val="22"/>
                <w:lang w:val="hu-HU"/>
              </w:rPr>
              <w:t>A bőr és a bőr alatti szövet betegségei és tünetei</w:t>
            </w:r>
          </w:p>
        </w:tc>
        <w:tc>
          <w:tcPr>
            <w:tcW w:w="1654" w:type="dxa"/>
          </w:tcPr>
          <w:p w:rsidR="00AF6E51" w:rsidRDefault="00AF6E51">
            <w:pPr>
              <w:tabs>
                <w:tab w:val="left" w:pos="567"/>
              </w:tabs>
              <w:rPr>
                <w:szCs w:val="22"/>
                <w:lang w:val="hu-HU" w:eastAsia="en-US"/>
              </w:rPr>
            </w:pPr>
          </w:p>
        </w:tc>
        <w:tc>
          <w:tcPr>
            <w:tcW w:w="1655" w:type="dxa"/>
          </w:tcPr>
          <w:p w:rsidR="00AF6E51" w:rsidRDefault="000A4EAB">
            <w:pPr>
              <w:autoSpaceDE w:val="0"/>
              <w:autoSpaceDN w:val="0"/>
              <w:adjustRightInd w:val="0"/>
              <w:rPr>
                <w:szCs w:val="22"/>
                <w:lang w:val="hu-HU"/>
              </w:rPr>
            </w:pPr>
            <w:r>
              <w:rPr>
                <w:szCs w:val="22"/>
                <w:lang w:val="hu-HU"/>
              </w:rPr>
              <w:t>fokozott verejtékezés</w:t>
            </w:r>
          </w:p>
        </w:tc>
        <w:tc>
          <w:tcPr>
            <w:tcW w:w="1654" w:type="dxa"/>
          </w:tcPr>
          <w:p w:rsidR="00AF6E51" w:rsidRDefault="000A4EAB">
            <w:pPr>
              <w:autoSpaceDE w:val="0"/>
              <w:autoSpaceDN w:val="0"/>
              <w:adjustRightInd w:val="0"/>
              <w:rPr>
                <w:szCs w:val="22"/>
                <w:lang w:val="hu-HU"/>
              </w:rPr>
            </w:pPr>
            <w:r>
              <w:rPr>
                <w:szCs w:val="22"/>
                <w:lang w:val="hu-HU"/>
              </w:rPr>
              <w:t>urticaria, alopecia, bőrkiütés, pruritus</w:t>
            </w:r>
          </w:p>
        </w:tc>
        <w:tc>
          <w:tcPr>
            <w:tcW w:w="1655" w:type="dxa"/>
          </w:tcPr>
          <w:p w:rsidR="00AF6E51" w:rsidRDefault="00AF6E51">
            <w:pPr>
              <w:tabs>
                <w:tab w:val="left" w:pos="567"/>
              </w:tabs>
              <w:rPr>
                <w:szCs w:val="22"/>
                <w:lang w:val="hu-HU" w:eastAsia="en-US"/>
              </w:rPr>
            </w:pPr>
          </w:p>
        </w:tc>
        <w:tc>
          <w:tcPr>
            <w:tcW w:w="1655" w:type="dxa"/>
          </w:tcPr>
          <w:p w:rsidR="00AF6E51" w:rsidRDefault="000A4EAB">
            <w:pPr>
              <w:tabs>
                <w:tab w:val="left" w:pos="567"/>
              </w:tabs>
              <w:rPr>
                <w:szCs w:val="22"/>
                <w:lang w:val="hu-HU" w:eastAsia="en-US"/>
              </w:rPr>
            </w:pPr>
            <w:r>
              <w:rPr>
                <w:szCs w:val="22"/>
                <w:lang w:val="hu-HU"/>
              </w:rPr>
              <w:t>ecchymosis, angiooedema</w:t>
            </w:r>
          </w:p>
        </w:tc>
      </w:tr>
      <w:tr w:rsidR="00AF6E51">
        <w:trPr>
          <w:cantSplit/>
        </w:trPr>
        <w:tc>
          <w:tcPr>
            <w:tcW w:w="1475" w:type="dxa"/>
          </w:tcPr>
          <w:p w:rsidR="00AF6E51" w:rsidRDefault="000A4EAB">
            <w:pPr>
              <w:autoSpaceDE w:val="0"/>
              <w:autoSpaceDN w:val="0"/>
              <w:adjustRightInd w:val="0"/>
              <w:rPr>
                <w:szCs w:val="22"/>
                <w:lang w:val="hu-HU"/>
              </w:rPr>
            </w:pPr>
            <w:r>
              <w:rPr>
                <w:szCs w:val="22"/>
                <w:lang w:val="hu-HU"/>
              </w:rPr>
              <w:t>A csont- és izomrendszer, valamint a kötőszövet betegségei és tünetei</w:t>
            </w:r>
          </w:p>
        </w:tc>
        <w:tc>
          <w:tcPr>
            <w:tcW w:w="1654" w:type="dxa"/>
          </w:tcPr>
          <w:p w:rsidR="00AF6E51" w:rsidRDefault="00AF6E51">
            <w:pPr>
              <w:tabs>
                <w:tab w:val="left" w:pos="567"/>
              </w:tabs>
              <w:rPr>
                <w:szCs w:val="22"/>
                <w:lang w:val="hu-HU" w:eastAsia="en-US"/>
              </w:rPr>
            </w:pPr>
          </w:p>
        </w:tc>
        <w:tc>
          <w:tcPr>
            <w:tcW w:w="1655" w:type="dxa"/>
          </w:tcPr>
          <w:p w:rsidR="00AF6E51" w:rsidRDefault="000A4EAB">
            <w:pPr>
              <w:tabs>
                <w:tab w:val="left" w:pos="567"/>
              </w:tabs>
              <w:rPr>
                <w:szCs w:val="22"/>
                <w:lang w:val="hu-HU" w:eastAsia="en-US"/>
              </w:rPr>
            </w:pPr>
            <w:r>
              <w:rPr>
                <w:szCs w:val="22"/>
                <w:lang w:val="hu-HU"/>
              </w:rPr>
              <w:t>Ízületi fájdalom, izomfájdalom</w:t>
            </w:r>
          </w:p>
        </w:tc>
        <w:tc>
          <w:tcPr>
            <w:tcW w:w="1654" w:type="dxa"/>
          </w:tcPr>
          <w:p w:rsidR="00AF6E51" w:rsidRDefault="00AF6E51">
            <w:pPr>
              <w:tabs>
                <w:tab w:val="left" w:pos="567"/>
              </w:tabs>
              <w:rPr>
                <w:szCs w:val="22"/>
                <w:lang w:val="hu-HU" w:eastAsia="en-US"/>
              </w:rPr>
            </w:pPr>
          </w:p>
        </w:tc>
        <w:tc>
          <w:tcPr>
            <w:tcW w:w="1655" w:type="dxa"/>
          </w:tcPr>
          <w:p w:rsidR="00AF6E51" w:rsidRDefault="00AF6E51">
            <w:pPr>
              <w:tabs>
                <w:tab w:val="left" w:pos="567"/>
              </w:tabs>
              <w:rPr>
                <w:szCs w:val="22"/>
                <w:lang w:val="hu-HU" w:eastAsia="en-US"/>
              </w:rPr>
            </w:pPr>
          </w:p>
        </w:tc>
        <w:tc>
          <w:tcPr>
            <w:tcW w:w="1655" w:type="dxa"/>
          </w:tcPr>
          <w:p w:rsidR="00AF6E51" w:rsidRDefault="00AF6E51">
            <w:pPr>
              <w:tabs>
                <w:tab w:val="left" w:pos="567"/>
              </w:tabs>
              <w:rPr>
                <w:szCs w:val="22"/>
                <w:lang w:val="hu-HU" w:eastAsia="en-US"/>
              </w:rPr>
            </w:pPr>
          </w:p>
        </w:tc>
      </w:tr>
      <w:tr w:rsidR="00AF6E51">
        <w:trPr>
          <w:cantSplit/>
        </w:trPr>
        <w:tc>
          <w:tcPr>
            <w:tcW w:w="1475" w:type="dxa"/>
          </w:tcPr>
          <w:p w:rsidR="00AF6E51" w:rsidRDefault="000A4EAB">
            <w:pPr>
              <w:autoSpaceDE w:val="0"/>
              <w:autoSpaceDN w:val="0"/>
              <w:adjustRightInd w:val="0"/>
              <w:rPr>
                <w:szCs w:val="22"/>
                <w:lang w:val="hu-HU"/>
              </w:rPr>
            </w:pPr>
            <w:r>
              <w:rPr>
                <w:szCs w:val="22"/>
                <w:lang w:val="hu-HU"/>
              </w:rPr>
              <w:t>Vese- és húgyúti betegségek és tünetek</w:t>
            </w:r>
          </w:p>
        </w:tc>
        <w:tc>
          <w:tcPr>
            <w:tcW w:w="1654" w:type="dxa"/>
          </w:tcPr>
          <w:p w:rsidR="00AF6E51" w:rsidRDefault="00AF6E51">
            <w:pPr>
              <w:tabs>
                <w:tab w:val="left" w:pos="567"/>
              </w:tabs>
              <w:rPr>
                <w:szCs w:val="22"/>
                <w:lang w:val="hu-HU" w:eastAsia="en-US"/>
              </w:rPr>
            </w:pPr>
          </w:p>
        </w:tc>
        <w:tc>
          <w:tcPr>
            <w:tcW w:w="1655" w:type="dxa"/>
          </w:tcPr>
          <w:p w:rsidR="00AF6E51" w:rsidRDefault="00AF6E51">
            <w:pPr>
              <w:tabs>
                <w:tab w:val="left" w:pos="567"/>
              </w:tabs>
              <w:rPr>
                <w:szCs w:val="22"/>
                <w:lang w:val="hu-HU" w:eastAsia="en-US"/>
              </w:rPr>
            </w:pPr>
          </w:p>
        </w:tc>
        <w:tc>
          <w:tcPr>
            <w:tcW w:w="1654" w:type="dxa"/>
          </w:tcPr>
          <w:p w:rsidR="00AF6E51" w:rsidRDefault="00AF6E51">
            <w:pPr>
              <w:tabs>
                <w:tab w:val="left" w:pos="567"/>
              </w:tabs>
              <w:rPr>
                <w:szCs w:val="22"/>
                <w:lang w:val="hu-HU" w:eastAsia="en-US"/>
              </w:rPr>
            </w:pPr>
          </w:p>
        </w:tc>
        <w:tc>
          <w:tcPr>
            <w:tcW w:w="1655" w:type="dxa"/>
          </w:tcPr>
          <w:p w:rsidR="00AF6E51" w:rsidRDefault="00AF6E51">
            <w:pPr>
              <w:tabs>
                <w:tab w:val="left" w:pos="567"/>
              </w:tabs>
              <w:rPr>
                <w:szCs w:val="22"/>
                <w:lang w:val="hu-HU" w:eastAsia="en-US"/>
              </w:rPr>
            </w:pPr>
          </w:p>
        </w:tc>
        <w:tc>
          <w:tcPr>
            <w:tcW w:w="1655" w:type="dxa"/>
          </w:tcPr>
          <w:p w:rsidR="00AF6E51" w:rsidRDefault="000A4EAB">
            <w:pPr>
              <w:tabs>
                <w:tab w:val="left" w:pos="567"/>
              </w:tabs>
              <w:rPr>
                <w:szCs w:val="22"/>
                <w:lang w:val="hu-HU" w:eastAsia="en-US"/>
              </w:rPr>
            </w:pPr>
            <w:r>
              <w:rPr>
                <w:szCs w:val="22"/>
                <w:lang w:val="hu-HU"/>
              </w:rPr>
              <w:t>vizeletretenció</w:t>
            </w:r>
          </w:p>
        </w:tc>
      </w:tr>
      <w:tr w:rsidR="00AF6E51">
        <w:trPr>
          <w:cantSplit/>
        </w:trPr>
        <w:tc>
          <w:tcPr>
            <w:tcW w:w="1475" w:type="dxa"/>
          </w:tcPr>
          <w:p w:rsidR="00AF6E51" w:rsidRDefault="000A4EAB">
            <w:pPr>
              <w:autoSpaceDE w:val="0"/>
              <w:autoSpaceDN w:val="0"/>
              <w:adjustRightInd w:val="0"/>
              <w:rPr>
                <w:szCs w:val="22"/>
                <w:lang w:val="hu-HU"/>
              </w:rPr>
            </w:pPr>
            <w:r>
              <w:rPr>
                <w:szCs w:val="22"/>
                <w:lang w:val="hu-HU"/>
              </w:rPr>
              <w:t>A nemi szervekkel és az emlőkkel kapcsolatos betegségek és tünetek</w:t>
            </w:r>
          </w:p>
        </w:tc>
        <w:tc>
          <w:tcPr>
            <w:tcW w:w="1654" w:type="dxa"/>
          </w:tcPr>
          <w:p w:rsidR="00AF6E51" w:rsidRDefault="00AF6E51">
            <w:pPr>
              <w:tabs>
                <w:tab w:val="left" w:pos="567"/>
              </w:tabs>
              <w:rPr>
                <w:szCs w:val="22"/>
                <w:lang w:val="hu-HU" w:eastAsia="en-US"/>
              </w:rPr>
            </w:pPr>
          </w:p>
        </w:tc>
        <w:tc>
          <w:tcPr>
            <w:tcW w:w="1655" w:type="dxa"/>
          </w:tcPr>
          <w:p w:rsidR="00AF6E51" w:rsidRDefault="000A4EAB">
            <w:pPr>
              <w:tabs>
                <w:tab w:val="left" w:pos="567"/>
              </w:tabs>
              <w:rPr>
                <w:szCs w:val="22"/>
                <w:lang w:val="hu-HU" w:eastAsia="en-US"/>
              </w:rPr>
            </w:pPr>
            <w:r>
              <w:rPr>
                <w:szCs w:val="22"/>
                <w:lang w:val="hu-HU"/>
              </w:rPr>
              <w:t>férfiak: ejakulációs zavar, impotencia</w:t>
            </w:r>
          </w:p>
        </w:tc>
        <w:tc>
          <w:tcPr>
            <w:tcW w:w="1654" w:type="dxa"/>
          </w:tcPr>
          <w:p w:rsidR="00AF6E51" w:rsidRDefault="000A4EAB">
            <w:pPr>
              <w:tabs>
                <w:tab w:val="left" w:pos="567"/>
              </w:tabs>
              <w:rPr>
                <w:szCs w:val="22"/>
                <w:lang w:val="hu-HU" w:eastAsia="en-US"/>
              </w:rPr>
            </w:pPr>
            <w:r>
              <w:rPr>
                <w:szCs w:val="22"/>
                <w:lang w:val="hu-HU"/>
              </w:rPr>
              <w:t>nők: metrorrhagia, menorrhagia</w:t>
            </w:r>
          </w:p>
        </w:tc>
        <w:tc>
          <w:tcPr>
            <w:tcW w:w="1655" w:type="dxa"/>
          </w:tcPr>
          <w:p w:rsidR="00AF6E51" w:rsidRDefault="00AF6E51">
            <w:pPr>
              <w:tabs>
                <w:tab w:val="left" w:pos="567"/>
              </w:tabs>
              <w:rPr>
                <w:szCs w:val="22"/>
                <w:lang w:val="hu-HU" w:eastAsia="en-US"/>
              </w:rPr>
            </w:pPr>
          </w:p>
        </w:tc>
        <w:tc>
          <w:tcPr>
            <w:tcW w:w="1655" w:type="dxa"/>
          </w:tcPr>
          <w:p w:rsidR="00AF6E51" w:rsidRDefault="000A4EAB">
            <w:pPr>
              <w:rPr>
                <w:szCs w:val="22"/>
                <w:lang w:val="hu-HU"/>
              </w:rPr>
            </w:pPr>
            <w:r>
              <w:rPr>
                <w:szCs w:val="22"/>
                <w:lang w:val="hu-HU"/>
              </w:rPr>
              <w:t>tejcsorgás, poszt partum vérzés</w:t>
            </w:r>
            <w:r>
              <w:rPr>
                <w:szCs w:val="22"/>
                <w:vertAlign w:val="superscript"/>
                <w:lang w:val="hu-HU"/>
              </w:rPr>
              <w:t>3</w:t>
            </w:r>
            <w:r>
              <w:rPr>
                <w:szCs w:val="22"/>
                <w:lang w:val="hu-HU"/>
              </w:rPr>
              <w:t>,</w:t>
            </w:r>
          </w:p>
          <w:p w:rsidR="00AF6E51" w:rsidRDefault="000A4EAB">
            <w:pPr>
              <w:tabs>
                <w:tab w:val="left" w:pos="567"/>
              </w:tabs>
              <w:rPr>
                <w:szCs w:val="22"/>
                <w:lang w:val="hu-HU" w:eastAsia="en-US"/>
              </w:rPr>
            </w:pPr>
            <w:r>
              <w:rPr>
                <w:szCs w:val="22"/>
                <w:lang w:val="hu-HU"/>
              </w:rPr>
              <w:t>férfiak: priapismus</w:t>
            </w:r>
          </w:p>
        </w:tc>
      </w:tr>
      <w:tr w:rsidR="00AF6E51">
        <w:trPr>
          <w:cantSplit/>
        </w:trPr>
        <w:tc>
          <w:tcPr>
            <w:tcW w:w="1475" w:type="dxa"/>
          </w:tcPr>
          <w:p w:rsidR="00AF6E51" w:rsidRDefault="000A4EAB">
            <w:pPr>
              <w:autoSpaceDE w:val="0"/>
              <w:autoSpaceDN w:val="0"/>
              <w:adjustRightInd w:val="0"/>
              <w:rPr>
                <w:szCs w:val="22"/>
                <w:highlight w:val="yellow"/>
                <w:lang w:val="hu-HU" w:eastAsia="en-US"/>
              </w:rPr>
            </w:pPr>
            <w:r>
              <w:rPr>
                <w:szCs w:val="22"/>
                <w:lang w:val="hu-HU"/>
              </w:rPr>
              <w:t>Általános tünetek, az alkalmazás helyén fellépő reakciók</w:t>
            </w:r>
          </w:p>
        </w:tc>
        <w:tc>
          <w:tcPr>
            <w:tcW w:w="1654" w:type="dxa"/>
          </w:tcPr>
          <w:p w:rsidR="00AF6E51" w:rsidRDefault="00AF6E51">
            <w:pPr>
              <w:tabs>
                <w:tab w:val="left" w:pos="567"/>
              </w:tabs>
              <w:rPr>
                <w:szCs w:val="22"/>
                <w:lang w:val="hu-HU" w:eastAsia="en-US"/>
              </w:rPr>
            </w:pPr>
          </w:p>
        </w:tc>
        <w:tc>
          <w:tcPr>
            <w:tcW w:w="1655" w:type="dxa"/>
          </w:tcPr>
          <w:p w:rsidR="00AF6E51" w:rsidRDefault="000A4EAB">
            <w:pPr>
              <w:tabs>
                <w:tab w:val="left" w:pos="567"/>
              </w:tabs>
              <w:rPr>
                <w:szCs w:val="22"/>
                <w:lang w:val="hu-HU" w:eastAsia="en-US"/>
              </w:rPr>
            </w:pPr>
            <w:r>
              <w:rPr>
                <w:szCs w:val="22"/>
                <w:lang w:val="hu-HU"/>
              </w:rPr>
              <w:t>kimerültség, láz</w:t>
            </w:r>
          </w:p>
        </w:tc>
        <w:tc>
          <w:tcPr>
            <w:tcW w:w="1654" w:type="dxa"/>
          </w:tcPr>
          <w:p w:rsidR="00AF6E51" w:rsidRDefault="000A4EAB">
            <w:pPr>
              <w:rPr>
                <w:szCs w:val="22"/>
                <w:lang w:val="hu-HU" w:eastAsia="en-US"/>
              </w:rPr>
            </w:pPr>
            <w:r>
              <w:rPr>
                <w:szCs w:val="22"/>
                <w:lang w:val="hu-HU"/>
              </w:rPr>
              <w:t>vizenyő</w:t>
            </w:r>
          </w:p>
        </w:tc>
        <w:tc>
          <w:tcPr>
            <w:tcW w:w="1655" w:type="dxa"/>
          </w:tcPr>
          <w:p w:rsidR="00AF6E51" w:rsidRDefault="00AF6E51">
            <w:pPr>
              <w:tabs>
                <w:tab w:val="left" w:pos="567"/>
              </w:tabs>
              <w:rPr>
                <w:szCs w:val="22"/>
                <w:lang w:val="hu-HU" w:eastAsia="en-US"/>
              </w:rPr>
            </w:pPr>
          </w:p>
        </w:tc>
        <w:tc>
          <w:tcPr>
            <w:tcW w:w="1655" w:type="dxa"/>
          </w:tcPr>
          <w:p w:rsidR="00AF6E51" w:rsidRDefault="00AF6E51">
            <w:pPr>
              <w:tabs>
                <w:tab w:val="left" w:pos="567"/>
              </w:tabs>
              <w:rPr>
                <w:szCs w:val="22"/>
                <w:lang w:val="hu-HU" w:eastAsia="en-US"/>
              </w:rPr>
            </w:pPr>
          </w:p>
        </w:tc>
      </w:tr>
    </w:tbl>
    <w:p w:rsidR="00AF6E51" w:rsidRPr="00557556" w:rsidRDefault="000A4EAB" w:rsidP="00557556">
      <w:pPr>
        <w:autoSpaceDE w:val="0"/>
        <w:autoSpaceDN w:val="0"/>
        <w:adjustRightInd w:val="0"/>
        <w:ind w:left="142" w:hanging="142"/>
        <w:rPr>
          <w:szCs w:val="22"/>
          <w:lang w:val="hu-HU"/>
        </w:rPr>
      </w:pPr>
      <w:r>
        <w:rPr>
          <w:szCs w:val="22"/>
          <w:vertAlign w:val="superscript"/>
          <w:lang w:val="hu-HU"/>
        </w:rPr>
        <w:t>1 </w:t>
      </w:r>
      <w:r>
        <w:rPr>
          <w:szCs w:val="22"/>
          <w:lang w:val="hu-HU"/>
        </w:rPr>
        <w:t>Ezeket az eseményeket az SSRI-k terápiás osztályában jelentették.</w:t>
      </w:r>
    </w:p>
    <w:p w:rsidR="00AF6E51" w:rsidRDefault="000A4EAB">
      <w:pPr>
        <w:ind w:left="142" w:hanging="142"/>
        <w:rPr>
          <w:szCs w:val="22"/>
          <w:lang w:val="hu-HU" w:eastAsia="en-US"/>
        </w:rPr>
      </w:pPr>
      <w:r>
        <w:rPr>
          <w:szCs w:val="22"/>
          <w:vertAlign w:val="superscript"/>
          <w:lang w:val="hu-HU" w:eastAsia="en-US"/>
        </w:rPr>
        <w:t>2</w:t>
      </w:r>
      <w:r>
        <w:rPr>
          <w:szCs w:val="22"/>
          <w:lang w:val="hu-HU" w:eastAsia="en-US"/>
        </w:rPr>
        <w:t> </w:t>
      </w:r>
      <w:r>
        <w:rPr>
          <w:szCs w:val="22"/>
          <w:lang w:val="hu-HU"/>
        </w:rPr>
        <w:t>Öngyilkossági gondolatokról és öngyilkos magatartásról számoltak be az eszcitaloprám-kezelés során, vagy röviddel a kezelés megszakítása után (lásd 4.4 pont).</w:t>
      </w:r>
    </w:p>
    <w:p w:rsidR="00AF6E51" w:rsidRDefault="000A4EAB">
      <w:pPr>
        <w:ind w:left="142" w:hanging="142"/>
        <w:rPr>
          <w:szCs w:val="22"/>
          <w:lang w:val="hu-HU"/>
        </w:rPr>
      </w:pPr>
      <w:r>
        <w:rPr>
          <w:rStyle w:val="Lbjegyzet-hivatkozs"/>
          <w:color w:val="auto"/>
        </w:rPr>
        <w:t>3</w:t>
      </w:r>
      <w:r>
        <w:rPr>
          <w:szCs w:val="22"/>
          <w:lang w:val="hu-HU"/>
        </w:rPr>
        <w:t> Ezt az eseményt az SSRI/SNRI-k teljes terápiás csoportjára vonatkozóan jelentették (lásd: 4.4, 4.6 pont).</w:t>
      </w:r>
    </w:p>
    <w:p w:rsidR="00AF6E51" w:rsidRDefault="00AF6E51">
      <w:pPr>
        <w:tabs>
          <w:tab w:val="left" w:pos="567"/>
        </w:tabs>
        <w:rPr>
          <w:iCs/>
          <w:szCs w:val="22"/>
          <w:highlight w:val="yellow"/>
          <w:u w:val="single"/>
          <w:lang w:val="hu-HU" w:eastAsia="en-US"/>
        </w:rPr>
      </w:pPr>
    </w:p>
    <w:p w:rsidR="00AF6E51" w:rsidRDefault="000A4EAB">
      <w:pPr>
        <w:tabs>
          <w:tab w:val="left" w:pos="567"/>
        </w:tabs>
        <w:rPr>
          <w:iCs/>
          <w:szCs w:val="22"/>
          <w:u w:val="single"/>
          <w:lang w:val="hu-HU" w:eastAsia="en-US"/>
        </w:rPr>
      </w:pPr>
      <w:r>
        <w:rPr>
          <w:iCs/>
          <w:szCs w:val="22"/>
          <w:u w:val="single"/>
          <w:lang w:val="hu-HU" w:eastAsia="en-US"/>
        </w:rPr>
        <w:t>Válogatott nemkívánatos reakciók ismertetése</w:t>
      </w:r>
    </w:p>
    <w:p w:rsidR="00AF6E51" w:rsidRDefault="00AF6E51">
      <w:pPr>
        <w:tabs>
          <w:tab w:val="left" w:pos="567"/>
        </w:tabs>
        <w:rPr>
          <w:iCs/>
          <w:szCs w:val="22"/>
          <w:u w:val="single"/>
          <w:lang w:val="hu-HU" w:eastAsia="en-US"/>
        </w:rPr>
      </w:pPr>
    </w:p>
    <w:p w:rsidR="00AF6E51" w:rsidRDefault="000A4EAB">
      <w:pPr>
        <w:rPr>
          <w:szCs w:val="22"/>
          <w:u w:val="single"/>
          <w:lang w:val="hu-HU"/>
        </w:rPr>
      </w:pPr>
      <w:r>
        <w:rPr>
          <w:szCs w:val="22"/>
          <w:u w:val="single"/>
          <w:lang w:val="hu-HU"/>
        </w:rPr>
        <w:t>A QT-intervallum megnyúlása</w:t>
      </w:r>
    </w:p>
    <w:p w:rsidR="00AF6E51" w:rsidRDefault="000A4EAB">
      <w:pPr>
        <w:rPr>
          <w:szCs w:val="22"/>
          <w:lang w:val="hu-HU" w:eastAsia="en-US"/>
        </w:rPr>
      </w:pPr>
      <w:r>
        <w:rPr>
          <w:szCs w:val="22"/>
          <w:lang w:val="hu-HU"/>
        </w:rPr>
        <w:t xml:space="preserve">A forgalomba hozatalt követő időszakban QT-megnyúlásról és kamrai ritmuszavarról (például </w:t>
      </w:r>
      <w:r>
        <w:rPr>
          <w:i/>
          <w:szCs w:val="22"/>
          <w:lang w:val="hu-HU"/>
        </w:rPr>
        <w:t>torsade de pointes</w:t>
      </w:r>
      <w:r>
        <w:rPr>
          <w:szCs w:val="22"/>
          <w:lang w:val="hu-HU"/>
        </w:rPr>
        <w:t>) számoltak be elsősorban olyan nőknél, akiknél hypokalaemia, illetve a kezelést megelőzően is QT</w:t>
      </w:r>
      <w:r>
        <w:rPr>
          <w:szCs w:val="22"/>
          <w:lang w:val="hu-HU"/>
        </w:rPr>
        <w:noBreakHyphen/>
        <w:t>intervallum-megnyúlás vagy más szívbetegség is fennállt (lásd 4.3, 4.4, 4.5, 4.9 és 5.1 pont).</w:t>
      </w:r>
    </w:p>
    <w:p w:rsidR="00AF6E51" w:rsidRDefault="00AF6E51">
      <w:pPr>
        <w:rPr>
          <w:szCs w:val="22"/>
          <w:lang w:val="hu-HU"/>
        </w:rPr>
      </w:pPr>
    </w:p>
    <w:p w:rsidR="00AF6E51" w:rsidRDefault="000A4EAB">
      <w:pPr>
        <w:rPr>
          <w:szCs w:val="22"/>
          <w:u w:val="single"/>
          <w:lang w:val="hu-HU"/>
        </w:rPr>
      </w:pPr>
      <w:r>
        <w:rPr>
          <w:szCs w:val="22"/>
          <w:u w:val="single"/>
          <w:lang w:val="hu-HU"/>
        </w:rPr>
        <w:t>A gyógyszercsoport egészére jellemző hatások</w:t>
      </w:r>
    </w:p>
    <w:p w:rsidR="00AF6E51" w:rsidRDefault="000A4EAB">
      <w:pPr>
        <w:rPr>
          <w:szCs w:val="22"/>
          <w:lang w:val="hu-HU"/>
        </w:rPr>
      </w:pPr>
      <w:r>
        <w:rPr>
          <w:szCs w:val="22"/>
          <w:lang w:val="hu-HU"/>
        </w:rPr>
        <w:t>A zömmel 50 éves vagy idősebb betegeken elvégzett epidemiológiai vizsgálatok a csonttörések fokozott kockázatát mutatták ki SSRI-ket és TCA-kat szedő betegeknél. A kockázathoz vezető mechanizmus nem ismert.</w:t>
      </w:r>
    </w:p>
    <w:p w:rsidR="00AF6E51" w:rsidRDefault="00AF6E51">
      <w:pPr>
        <w:rPr>
          <w:szCs w:val="22"/>
          <w:lang w:val="hu-HU"/>
        </w:rPr>
      </w:pPr>
    </w:p>
    <w:p w:rsidR="00AF6E51" w:rsidRDefault="000A4EAB">
      <w:pPr>
        <w:autoSpaceDE w:val="0"/>
        <w:autoSpaceDN w:val="0"/>
        <w:adjustRightInd w:val="0"/>
        <w:rPr>
          <w:color w:val="000000"/>
          <w:szCs w:val="22"/>
          <w:u w:val="single"/>
          <w:lang w:val="hu-HU"/>
        </w:rPr>
      </w:pPr>
      <w:r>
        <w:rPr>
          <w:color w:val="000000"/>
          <w:szCs w:val="22"/>
          <w:u w:val="single"/>
          <w:lang w:val="hu-HU"/>
        </w:rPr>
        <w:t xml:space="preserve">A kezelés leállításakor jelentkező </w:t>
      </w:r>
      <w:r>
        <w:rPr>
          <w:szCs w:val="22"/>
          <w:u w:val="single"/>
          <w:lang w:val="hu-HU"/>
        </w:rPr>
        <w:t xml:space="preserve">megvonási tünetek </w:t>
      </w:r>
    </w:p>
    <w:p w:rsidR="00AF6E51" w:rsidRDefault="000A4EAB">
      <w:pPr>
        <w:autoSpaceDE w:val="0"/>
        <w:autoSpaceDN w:val="0"/>
        <w:adjustRightInd w:val="0"/>
        <w:rPr>
          <w:szCs w:val="22"/>
          <w:lang w:val="hu-HU"/>
        </w:rPr>
      </w:pPr>
      <w:r>
        <w:rPr>
          <w:spacing w:val="-2"/>
          <w:szCs w:val="22"/>
          <w:lang w:val="hu-HU"/>
        </w:rPr>
        <w:t>Az SSRI/SNRI-kezelés abbahagyása (főleg, ha ez hirtelen történik) gyakran vezet megvonási tünetekhez.</w:t>
      </w:r>
      <w:r>
        <w:rPr>
          <w:szCs w:val="22"/>
          <w:lang w:val="hu-HU"/>
        </w:rPr>
        <w:t xml:space="preserve"> </w:t>
      </w:r>
      <w:r>
        <w:rPr>
          <w:spacing w:val="-2"/>
          <w:szCs w:val="22"/>
          <w:lang w:val="hu-HU"/>
        </w:rPr>
        <w:t>A leggyakrabban jelentett reakciók: szédülés, érzészavarok (például paraesthesia és áramütésszerű érzések),</w:t>
      </w:r>
      <w:r>
        <w:rPr>
          <w:szCs w:val="22"/>
          <w:lang w:val="hu-HU"/>
        </w:rPr>
        <w:t xml:space="preserve"> alvászavarok (például álmatlanság, és élénk álmok), izgatottság vagy szorongás, hányinger és/vagy hányás, tremor, zavartság, verejtékezés, fejfájás, hasmenés, szívdobogásérzés, emocionális instabilitás, ingerlékenység és látászavarok. Ezek a tünetek általában enyhék vagy mérsékeltek és spontán megszűnnek, de néhány betegnél súlyosak és/vagy elhúzódóak lehetnek. </w:t>
      </w:r>
      <w:r>
        <w:rPr>
          <w:color w:val="000000"/>
          <w:szCs w:val="22"/>
          <w:lang w:val="hu-HU"/>
        </w:rPr>
        <w:t xml:space="preserve">Ezért, ha többé már nem </w:t>
      </w:r>
      <w:r>
        <w:rPr>
          <w:color w:val="000000"/>
          <w:szCs w:val="22"/>
          <w:lang w:val="hu-HU"/>
        </w:rPr>
        <w:lastRenderedPageBreak/>
        <w:t xml:space="preserve">szükséges az eszcitaloprám-kezelés, ajánlatos azt a gyógyszeradag fokozatos csökkentésével abbahagyni (lásd </w:t>
      </w:r>
      <w:r>
        <w:rPr>
          <w:szCs w:val="22"/>
          <w:lang w:val="hu-HU"/>
        </w:rPr>
        <w:t>4.2 és 4.4 pont).</w:t>
      </w:r>
    </w:p>
    <w:p w:rsidR="00AF6E51" w:rsidRDefault="00AF6E51">
      <w:pPr>
        <w:rPr>
          <w:szCs w:val="22"/>
          <w:lang w:val="hu-HU" w:eastAsia="en-US"/>
        </w:rPr>
      </w:pPr>
    </w:p>
    <w:p w:rsidR="00AF6E51" w:rsidRDefault="000A4EAB">
      <w:pPr>
        <w:rPr>
          <w:u w:val="single"/>
          <w:lang w:val="hu-HU"/>
        </w:rPr>
      </w:pPr>
      <w:r>
        <w:rPr>
          <w:u w:val="single"/>
          <w:lang w:val="hu-HU"/>
        </w:rPr>
        <w:t>Feltételezett mellékhatások bejelentése</w:t>
      </w:r>
    </w:p>
    <w:p w:rsidR="00AF6E51" w:rsidRDefault="000A4EAB">
      <w:pPr>
        <w:rPr>
          <w:lang w:val="hu-HU"/>
        </w:rPr>
      </w:pPr>
      <w:r>
        <w:rPr>
          <w:lang w:val="hu-HU"/>
        </w:rPr>
        <w:t xml:space="preserve">A gyógyszer engedélyezését követően lényeges a feltételezett mellékhatások bejelentése, mert ez fontos eszköze annak, hogy a gyógyszer előny/kockázat profilját folyamatosan figyelemmel lehessen kísérni. </w:t>
      </w:r>
    </w:p>
    <w:p w:rsidR="00AF6E51" w:rsidRDefault="000A4EAB">
      <w:pPr>
        <w:rPr>
          <w:szCs w:val="22"/>
          <w:lang w:val="hu-HU"/>
        </w:rPr>
      </w:pPr>
      <w:r>
        <w:rPr>
          <w:szCs w:val="22"/>
          <w:lang w:val="hu-HU"/>
        </w:rPr>
        <w:t xml:space="preserve">Az egészségügyi szakembereket kérjük, hogy jelentsék be a feltételezett mellékhatásokat a hatóság részére az </w:t>
      </w:r>
      <w:hyperlink r:id="rId7" w:history="1">
        <w:r>
          <w:rPr>
            <w:rStyle w:val="Hiperhivatkozs"/>
            <w:sz w:val="22"/>
            <w:szCs w:val="22"/>
            <w:highlight w:val="lightGray"/>
            <w:lang w:val="hu-HU"/>
          </w:rPr>
          <w:t>V. függelékben</w:t>
        </w:r>
      </w:hyperlink>
      <w:r>
        <w:rPr>
          <w:szCs w:val="22"/>
          <w:highlight w:val="lightGray"/>
          <w:lang w:val="hu-HU"/>
        </w:rPr>
        <w:t xml:space="preserve"> található elérhetőségek valamelyikén keresztül</w:t>
      </w:r>
      <w:r>
        <w:rPr>
          <w:color w:val="008000"/>
          <w:szCs w:val="22"/>
          <w:lang w:val="hu-HU"/>
        </w:rPr>
        <w:t>.</w:t>
      </w:r>
    </w:p>
    <w:p w:rsidR="00AF6E51" w:rsidRDefault="00AF6E51">
      <w:pPr>
        <w:tabs>
          <w:tab w:val="left" w:pos="567"/>
        </w:tabs>
        <w:rPr>
          <w:szCs w:val="22"/>
          <w:lang w:val="hu-HU" w:eastAsia="en-US"/>
        </w:rPr>
      </w:pPr>
    </w:p>
    <w:p w:rsidR="00AF6E51" w:rsidRDefault="000A4EAB">
      <w:pPr>
        <w:tabs>
          <w:tab w:val="left" w:pos="567"/>
        </w:tabs>
        <w:rPr>
          <w:szCs w:val="22"/>
          <w:lang w:val="hu-HU" w:eastAsia="en-US"/>
        </w:rPr>
      </w:pPr>
      <w:r>
        <w:rPr>
          <w:b/>
          <w:szCs w:val="22"/>
          <w:lang w:val="hu-HU" w:eastAsia="en-US"/>
        </w:rPr>
        <w:t>4.9</w:t>
      </w:r>
      <w:r>
        <w:rPr>
          <w:b/>
          <w:szCs w:val="22"/>
          <w:lang w:val="hu-HU" w:eastAsia="en-US"/>
        </w:rPr>
        <w:tab/>
        <w:t xml:space="preserve">Túladagolás </w:t>
      </w:r>
    </w:p>
    <w:p w:rsidR="00AF6E51" w:rsidRDefault="00AF6E51">
      <w:pPr>
        <w:tabs>
          <w:tab w:val="left" w:pos="567"/>
        </w:tabs>
        <w:rPr>
          <w:szCs w:val="22"/>
          <w:lang w:val="hu-HU" w:eastAsia="en-US"/>
        </w:rPr>
      </w:pPr>
    </w:p>
    <w:p w:rsidR="00AF6E51" w:rsidRDefault="000A4EAB">
      <w:pPr>
        <w:tabs>
          <w:tab w:val="left" w:pos="567"/>
        </w:tabs>
        <w:rPr>
          <w:iCs/>
          <w:szCs w:val="22"/>
          <w:u w:val="single"/>
          <w:lang w:val="hu-HU" w:eastAsia="en-US"/>
        </w:rPr>
      </w:pPr>
      <w:r>
        <w:rPr>
          <w:iCs/>
          <w:szCs w:val="22"/>
          <w:u w:val="single"/>
          <w:lang w:val="hu-HU" w:eastAsia="en-US"/>
        </w:rPr>
        <w:t>Toxicitás</w:t>
      </w:r>
    </w:p>
    <w:p w:rsidR="00AF6E51" w:rsidRDefault="000A4EAB">
      <w:pPr>
        <w:tabs>
          <w:tab w:val="left" w:pos="567"/>
        </w:tabs>
        <w:rPr>
          <w:szCs w:val="22"/>
          <w:lang w:val="hu-HU" w:eastAsia="en-US"/>
        </w:rPr>
      </w:pPr>
      <w:r>
        <w:rPr>
          <w:szCs w:val="22"/>
          <w:lang w:val="hu-HU" w:eastAsia="en-US"/>
        </w:rPr>
        <w:t>Az eszcitaloprám-túladagolásra vonatkozóan kevés a klinikai adat, és az esetek nagy részében más gyógyszerek együttes túladagolása is előfordult. Az esetek zömében enyhe tünetekről vagy tünetmentességről számoltak be. Egyedül az eszcitaloprám túladagolása után csak ritkán számoltak be fatális esetekről – azok többségénél további gyógyszerek túladagolása is történt. Az eszcitaloprám önmagában, 400 és 800 mg közötti dózisban bevéve semmilyen súlyos tünetet sem okozott.</w:t>
      </w:r>
    </w:p>
    <w:p w:rsidR="00AF6E51" w:rsidRDefault="00AF6E51">
      <w:pPr>
        <w:tabs>
          <w:tab w:val="left" w:pos="567"/>
        </w:tabs>
        <w:rPr>
          <w:szCs w:val="22"/>
          <w:lang w:val="hu-HU" w:eastAsia="en-US"/>
        </w:rPr>
      </w:pPr>
    </w:p>
    <w:p w:rsidR="00AF6E51" w:rsidRDefault="000A4EAB">
      <w:pPr>
        <w:rPr>
          <w:iCs/>
          <w:szCs w:val="22"/>
          <w:u w:val="single"/>
          <w:lang w:val="hu-HU"/>
        </w:rPr>
      </w:pPr>
      <w:r>
        <w:rPr>
          <w:iCs/>
          <w:szCs w:val="22"/>
          <w:u w:val="single"/>
          <w:lang w:val="hu-HU"/>
        </w:rPr>
        <w:t>Tünetek</w:t>
      </w:r>
    </w:p>
    <w:p w:rsidR="00AF6E51" w:rsidRDefault="000A4EAB">
      <w:pPr>
        <w:rPr>
          <w:szCs w:val="22"/>
          <w:lang w:val="hu-HU"/>
        </w:rPr>
      </w:pPr>
      <w:r>
        <w:rPr>
          <w:szCs w:val="22"/>
          <w:lang w:val="hu-HU"/>
        </w:rPr>
        <w:t>Eszcitaloprám túladagolásakor elsősorban központi idegrendszeri (szédülés, tremor, izgatottság, illetve ritkán szerotonin szindróma, görcsroham és kóma), tápcsatornai (hányás/hányinger), szív-érrendszeri (hypotensio, tachycardia, QT-megnyúlás és ritmuszavar), továbbá a só-/vízháztartás egyensúlyzavarára utaló tünetekről (hypokalaemia, hyponatraemia) számoltak be.</w:t>
      </w:r>
    </w:p>
    <w:p w:rsidR="00AF6E51" w:rsidRDefault="00AF6E51">
      <w:pPr>
        <w:rPr>
          <w:szCs w:val="22"/>
          <w:lang w:val="hu-HU"/>
        </w:rPr>
      </w:pPr>
    </w:p>
    <w:p w:rsidR="00AF6E51" w:rsidRDefault="000A4EAB">
      <w:pPr>
        <w:rPr>
          <w:iCs/>
          <w:szCs w:val="22"/>
          <w:u w:val="single"/>
          <w:lang w:val="hu-HU"/>
        </w:rPr>
      </w:pPr>
      <w:r>
        <w:rPr>
          <w:iCs/>
          <w:szCs w:val="22"/>
          <w:u w:val="single"/>
          <w:lang w:val="hu-HU"/>
        </w:rPr>
        <w:t>Kezelés</w:t>
      </w:r>
    </w:p>
    <w:p w:rsidR="00AF6E51" w:rsidRDefault="000A4EAB">
      <w:pPr>
        <w:rPr>
          <w:b/>
          <w:bCs/>
          <w:szCs w:val="22"/>
          <w:lang w:val="hu-HU"/>
        </w:rPr>
      </w:pPr>
      <w:r>
        <w:rPr>
          <w:szCs w:val="22"/>
          <w:lang w:val="hu-HU"/>
        </w:rPr>
        <w:t>Nincs specifikus antidotum. A szabad légutakat kell biztosítani és fenntartani, megfelelő oxigénellátást és légzésfunkciókat biztosítani. A gyomormosás és az aktív szén alkalmazása megfontolandó. A perorális mérgezés után mihamarabb gyomormosást kell végezni. Általános tüneti, szupportív kezelés mellett a szívműködés és a többi életfontosságú működés ellenőrzése ajánlott.</w:t>
      </w:r>
    </w:p>
    <w:p w:rsidR="00AF6E51" w:rsidRDefault="00AF6E51">
      <w:pPr>
        <w:rPr>
          <w:szCs w:val="22"/>
          <w:lang w:val="hu-HU"/>
        </w:rPr>
      </w:pPr>
    </w:p>
    <w:p w:rsidR="00AF6E51" w:rsidRDefault="000A4EAB">
      <w:pPr>
        <w:rPr>
          <w:szCs w:val="22"/>
          <w:lang w:val="hu-HU"/>
        </w:rPr>
      </w:pPr>
      <w:r>
        <w:rPr>
          <w:szCs w:val="22"/>
          <w:lang w:val="hu-HU"/>
        </w:rPr>
        <w:t>EKG monitorozás ajánlott túladagolás esetén pangásos szívelégtelenségen/bradyarrhythmiában, a QT</w:t>
      </w:r>
      <w:r>
        <w:rPr>
          <w:szCs w:val="22"/>
          <w:lang w:val="hu-HU"/>
        </w:rPr>
        <w:noBreakHyphen/>
        <w:t>intervallumot megnyújtó gyógyszerek egyidejű szedése vagy metabolikus rendellenesség (például májkárosodás) esetén.</w:t>
      </w:r>
    </w:p>
    <w:p w:rsidR="00AF6E51" w:rsidRDefault="00AF6E51">
      <w:pPr>
        <w:tabs>
          <w:tab w:val="left" w:pos="567"/>
        </w:tabs>
        <w:rPr>
          <w:szCs w:val="22"/>
          <w:lang w:val="hu-HU" w:eastAsia="en-US"/>
        </w:rPr>
      </w:pPr>
    </w:p>
    <w:p w:rsidR="00AF6E51" w:rsidRDefault="00AF6E51">
      <w:pPr>
        <w:tabs>
          <w:tab w:val="left" w:pos="567"/>
        </w:tabs>
        <w:rPr>
          <w:szCs w:val="22"/>
          <w:lang w:val="hu-HU" w:eastAsia="en-US"/>
        </w:rPr>
      </w:pPr>
    </w:p>
    <w:p w:rsidR="00AF6E51" w:rsidRDefault="000A4EAB">
      <w:pPr>
        <w:rPr>
          <w:b/>
          <w:szCs w:val="22"/>
          <w:lang w:val="hu-HU" w:eastAsia="en-US"/>
        </w:rPr>
      </w:pPr>
      <w:r>
        <w:rPr>
          <w:b/>
          <w:szCs w:val="22"/>
          <w:lang w:val="hu-HU" w:eastAsia="en-US"/>
        </w:rPr>
        <w:t>5.</w:t>
      </w:r>
      <w:r>
        <w:rPr>
          <w:b/>
          <w:szCs w:val="22"/>
          <w:lang w:val="hu-HU" w:eastAsia="en-US"/>
        </w:rPr>
        <w:tab/>
        <w:t>FARMAKOLÓGIAI TULAJDONSÁGOK</w:t>
      </w:r>
    </w:p>
    <w:p w:rsidR="00AF6E51" w:rsidRDefault="00AF6E51">
      <w:pPr>
        <w:rPr>
          <w:b/>
          <w:szCs w:val="22"/>
          <w:lang w:val="hu-HU" w:eastAsia="en-US"/>
        </w:rPr>
      </w:pPr>
    </w:p>
    <w:p w:rsidR="00AF6E51" w:rsidRDefault="000A4EAB">
      <w:pPr>
        <w:rPr>
          <w:b/>
          <w:szCs w:val="22"/>
          <w:lang w:val="hu-HU" w:eastAsia="en-US"/>
        </w:rPr>
      </w:pPr>
      <w:r>
        <w:rPr>
          <w:b/>
          <w:szCs w:val="22"/>
          <w:lang w:val="hu-HU" w:eastAsia="en-US"/>
        </w:rPr>
        <w:t xml:space="preserve">5.1 </w:t>
      </w:r>
      <w:r>
        <w:rPr>
          <w:b/>
          <w:szCs w:val="22"/>
          <w:lang w:val="hu-HU" w:eastAsia="en-US"/>
        </w:rPr>
        <w:tab/>
        <w:t>Farmakodinámiás tulajdonságok</w:t>
      </w:r>
    </w:p>
    <w:p w:rsidR="00AF6E51" w:rsidRDefault="00AF6E51">
      <w:pPr>
        <w:rPr>
          <w:b/>
          <w:szCs w:val="22"/>
          <w:lang w:val="hu-HU" w:eastAsia="en-US"/>
        </w:rPr>
      </w:pPr>
    </w:p>
    <w:p w:rsidR="00AF6E51" w:rsidRDefault="000A4EAB">
      <w:pPr>
        <w:rPr>
          <w:spacing w:val="-2"/>
          <w:szCs w:val="22"/>
          <w:lang w:val="hu-HU" w:eastAsia="en-US"/>
        </w:rPr>
      </w:pPr>
      <w:r>
        <w:rPr>
          <w:iCs/>
          <w:spacing w:val="-2"/>
          <w:szCs w:val="22"/>
          <w:lang w:val="hu-HU" w:eastAsia="en-US"/>
        </w:rPr>
        <w:t>Farmakoterápiás csoport</w:t>
      </w:r>
      <w:r>
        <w:rPr>
          <w:i/>
          <w:spacing w:val="-2"/>
          <w:szCs w:val="22"/>
          <w:lang w:val="hu-HU" w:eastAsia="en-US"/>
        </w:rPr>
        <w:t>:</w:t>
      </w:r>
      <w:r>
        <w:rPr>
          <w:spacing w:val="-2"/>
          <w:szCs w:val="22"/>
          <w:lang w:val="hu-HU" w:eastAsia="en-US"/>
        </w:rPr>
        <w:t xml:space="preserve"> antidepresszánsok, szelektív szerotonin visszavétel-gátlók. ATC: N 06 AB 10.</w:t>
      </w:r>
    </w:p>
    <w:p w:rsidR="00AF6E51" w:rsidRDefault="00AF6E51">
      <w:pPr>
        <w:rPr>
          <w:szCs w:val="22"/>
          <w:lang w:val="hu-HU" w:eastAsia="en-US"/>
        </w:rPr>
      </w:pPr>
    </w:p>
    <w:p w:rsidR="00AF6E51" w:rsidRDefault="000A4EAB">
      <w:pPr>
        <w:rPr>
          <w:iCs/>
          <w:szCs w:val="22"/>
          <w:u w:val="single"/>
          <w:lang w:val="hu-HU" w:eastAsia="en-US"/>
        </w:rPr>
      </w:pPr>
      <w:r>
        <w:rPr>
          <w:iCs/>
          <w:szCs w:val="22"/>
          <w:u w:val="single"/>
          <w:lang w:val="hu-HU" w:eastAsia="en-US"/>
        </w:rPr>
        <w:t>Hatásmechanizmus</w:t>
      </w:r>
    </w:p>
    <w:p w:rsidR="00AF6E51" w:rsidRDefault="000A4EAB">
      <w:pPr>
        <w:rPr>
          <w:szCs w:val="22"/>
          <w:lang w:val="hu-HU" w:eastAsia="en-US"/>
        </w:rPr>
      </w:pPr>
      <w:r>
        <w:rPr>
          <w:szCs w:val="22"/>
          <w:lang w:val="hu-HU" w:eastAsia="en-US"/>
        </w:rPr>
        <w:t>Az eszcitaloprám szelektíven gátolja a szerotonin (5-HT) visszavételét, és nagy affinitással kötődik az elsődleges kötőhelyhez. A szerotonin-transzporter allosztérikus kötőhelyéhez is kötődik, 1000-szer kisebb kötődési affinitással.</w:t>
      </w:r>
    </w:p>
    <w:p w:rsidR="00AF6E51" w:rsidRDefault="00AF6E51">
      <w:pPr>
        <w:rPr>
          <w:szCs w:val="22"/>
          <w:lang w:val="hu-HU" w:eastAsia="en-US"/>
        </w:rPr>
      </w:pPr>
    </w:p>
    <w:p w:rsidR="00AF6E51" w:rsidRDefault="000A4EAB">
      <w:pPr>
        <w:rPr>
          <w:szCs w:val="22"/>
          <w:lang w:val="hu-HU" w:eastAsia="en-US"/>
        </w:rPr>
      </w:pPr>
      <w:r>
        <w:rPr>
          <w:szCs w:val="22"/>
          <w:lang w:val="hu-HU" w:eastAsia="en-US"/>
        </w:rPr>
        <w:t>Az eszcitaloprámnak nincs vagy nagyon kicsi az affinitása számos receptorhoz, például az 5-HT</w:t>
      </w:r>
      <w:r>
        <w:rPr>
          <w:szCs w:val="22"/>
          <w:vertAlign w:val="subscript"/>
          <w:lang w:val="hu-HU" w:eastAsia="en-US"/>
        </w:rPr>
        <w:t>1A</w:t>
      </w:r>
      <w:r>
        <w:rPr>
          <w:szCs w:val="22"/>
          <w:lang w:val="hu-HU" w:eastAsia="en-US"/>
        </w:rPr>
        <w:t>-, 5-HT</w:t>
      </w:r>
      <w:r>
        <w:rPr>
          <w:szCs w:val="22"/>
          <w:vertAlign w:val="subscript"/>
          <w:lang w:val="hu-HU" w:eastAsia="en-US"/>
        </w:rPr>
        <w:t>2</w:t>
      </w:r>
      <w:r>
        <w:rPr>
          <w:szCs w:val="22"/>
          <w:lang w:val="hu-HU" w:eastAsia="en-US"/>
        </w:rPr>
        <w:t>-, DA D</w:t>
      </w:r>
      <w:r>
        <w:rPr>
          <w:szCs w:val="22"/>
          <w:vertAlign w:val="subscript"/>
          <w:lang w:val="hu-HU" w:eastAsia="en-US"/>
        </w:rPr>
        <w:t>1</w:t>
      </w:r>
      <w:r>
        <w:rPr>
          <w:szCs w:val="22"/>
          <w:lang w:val="hu-HU" w:eastAsia="en-US"/>
        </w:rPr>
        <w:t>- és D</w:t>
      </w:r>
      <w:r>
        <w:rPr>
          <w:szCs w:val="22"/>
          <w:vertAlign w:val="subscript"/>
          <w:lang w:val="hu-HU" w:eastAsia="en-US"/>
        </w:rPr>
        <w:t>2</w:t>
      </w:r>
      <w:r>
        <w:rPr>
          <w:szCs w:val="22"/>
          <w:lang w:val="hu-HU" w:eastAsia="en-US"/>
        </w:rPr>
        <w:t>-receptorokhoz, az alfa</w:t>
      </w:r>
      <w:r>
        <w:rPr>
          <w:szCs w:val="22"/>
          <w:vertAlign w:val="subscript"/>
          <w:lang w:val="hu-HU" w:eastAsia="en-US"/>
        </w:rPr>
        <w:t>1</w:t>
      </w:r>
      <w:r>
        <w:rPr>
          <w:szCs w:val="22"/>
          <w:lang w:val="hu-HU" w:eastAsia="en-US"/>
        </w:rPr>
        <w:t>-, alfa</w:t>
      </w:r>
      <w:r>
        <w:rPr>
          <w:szCs w:val="22"/>
          <w:vertAlign w:val="subscript"/>
          <w:lang w:val="hu-HU" w:eastAsia="en-US"/>
        </w:rPr>
        <w:t>2</w:t>
      </w:r>
      <w:r>
        <w:rPr>
          <w:szCs w:val="22"/>
          <w:lang w:val="hu-HU" w:eastAsia="en-US"/>
        </w:rPr>
        <w:t>-, béta-adrenerg receptorokhoz, a hisztamin H</w:t>
      </w:r>
      <w:r>
        <w:rPr>
          <w:szCs w:val="22"/>
          <w:vertAlign w:val="subscript"/>
          <w:lang w:val="hu-HU" w:eastAsia="en-US"/>
        </w:rPr>
        <w:t>1</w:t>
      </w:r>
      <w:r>
        <w:rPr>
          <w:szCs w:val="22"/>
          <w:lang w:val="hu-HU" w:eastAsia="en-US"/>
        </w:rPr>
        <w:t>-, a muszkarin típusú kolinerg-, benzodiazepin- és opiát-receptorokhoz.</w:t>
      </w:r>
    </w:p>
    <w:p w:rsidR="00AF6E51" w:rsidRDefault="00AF6E51">
      <w:pPr>
        <w:rPr>
          <w:szCs w:val="22"/>
          <w:lang w:val="hu-HU" w:eastAsia="en-US"/>
        </w:rPr>
      </w:pPr>
    </w:p>
    <w:p w:rsidR="00AF6E51" w:rsidRDefault="000A4EAB">
      <w:pPr>
        <w:rPr>
          <w:i/>
          <w:szCs w:val="22"/>
          <w:lang w:val="hu-HU" w:eastAsia="en-US"/>
        </w:rPr>
      </w:pPr>
      <w:r>
        <w:rPr>
          <w:spacing w:val="-2"/>
          <w:szCs w:val="22"/>
          <w:lang w:val="hu-HU" w:eastAsia="en-US"/>
        </w:rPr>
        <w:t>Az 5-HT-visszavétel gátlása az egyetlen valószínűsíthető hatásmechanizmus, amellyel az eszcitaloprám</w:t>
      </w:r>
      <w:r>
        <w:rPr>
          <w:szCs w:val="22"/>
          <w:lang w:val="hu-HU" w:eastAsia="en-US"/>
        </w:rPr>
        <w:t xml:space="preserve"> farmakológiai és klinikai hatása magyarázható.</w:t>
      </w:r>
    </w:p>
    <w:p w:rsidR="00AF6E51" w:rsidRDefault="00AF6E51">
      <w:pPr>
        <w:rPr>
          <w:szCs w:val="22"/>
          <w:lang w:val="hu-HU" w:eastAsia="en-US"/>
        </w:rPr>
      </w:pPr>
    </w:p>
    <w:p w:rsidR="00AF6E51" w:rsidRDefault="000A4EAB">
      <w:pPr>
        <w:autoSpaceDE w:val="0"/>
        <w:autoSpaceDN w:val="0"/>
        <w:adjustRightInd w:val="0"/>
        <w:rPr>
          <w:iCs/>
          <w:szCs w:val="22"/>
          <w:u w:val="single"/>
          <w:lang w:val="hu-HU"/>
        </w:rPr>
      </w:pPr>
      <w:r>
        <w:rPr>
          <w:iCs/>
          <w:szCs w:val="22"/>
          <w:u w:val="single"/>
          <w:lang w:val="hu-HU"/>
        </w:rPr>
        <w:t>Farmakodinámiás hatások</w:t>
      </w:r>
    </w:p>
    <w:p w:rsidR="00AF6E51" w:rsidRDefault="000A4EAB">
      <w:pPr>
        <w:autoSpaceDE w:val="0"/>
        <w:autoSpaceDN w:val="0"/>
        <w:adjustRightInd w:val="0"/>
        <w:rPr>
          <w:iCs/>
          <w:szCs w:val="22"/>
          <w:lang w:val="hu-HU"/>
        </w:rPr>
      </w:pPr>
      <w:r>
        <w:rPr>
          <w:iCs/>
          <w:szCs w:val="22"/>
          <w:lang w:val="hu-HU"/>
        </w:rPr>
        <w:lastRenderedPageBreak/>
        <w:t>Egy egészséges egyéneken elvégzett, kettős vak, placebokontrollos EKG-vizsgálatban a (Fridericia szerint korrigált) QTc a kiindulási értékhez viszonyított változása 10 mg-os napi dózis esetén 4,3 ezredmásodperc (90%</w:t>
      </w:r>
      <w:r>
        <w:rPr>
          <w:iCs/>
          <w:szCs w:val="22"/>
          <w:lang w:val="hu-HU"/>
        </w:rPr>
        <w:noBreakHyphen/>
        <w:t>os CI: 2,2</w:t>
      </w:r>
      <w:r>
        <w:rPr>
          <w:iCs/>
          <w:szCs w:val="22"/>
          <w:lang w:val="hu-HU"/>
        </w:rPr>
        <w:noBreakHyphen/>
        <w:t>6,4), míg terápiás szintet meghaladó, 30 mg-os napi dózis esetén 10,7 ezredmásodperc (90%</w:t>
      </w:r>
      <w:r>
        <w:rPr>
          <w:iCs/>
          <w:szCs w:val="22"/>
          <w:lang w:val="hu-HU"/>
        </w:rPr>
        <w:noBreakHyphen/>
        <w:t>os CI: 8,6</w:t>
      </w:r>
      <w:r>
        <w:rPr>
          <w:iCs/>
          <w:szCs w:val="22"/>
          <w:lang w:val="hu-HU"/>
        </w:rPr>
        <w:noBreakHyphen/>
        <w:t>12,8) volt (lásd 4.3, 4.4, 4.5, 4.8 és 4.9 pont).</w:t>
      </w:r>
    </w:p>
    <w:p w:rsidR="00AF6E51" w:rsidRDefault="00AF6E51">
      <w:pPr>
        <w:rPr>
          <w:szCs w:val="22"/>
          <w:lang w:val="hu-HU" w:eastAsia="en-US"/>
        </w:rPr>
      </w:pPr>
    </w:p>
    <w:p w:rsidR="00AF6E51" w:rsidRDefault="000A4EAB">
      <w:pPr>
        <w:autoSpaceDE w:val="0"/>
        <w:autoSpaceDN w:val="0"/>
        <w:adjustRightInd w:val="0"/>
        <w:rPr>
          <w:szCs w:val="22"/>
          <w:u w:val="single"/>
          <w:lang w:val="hu-HU"/>
        </w:rPr>
      </w:pPr>
      <w:r>
        <w:rPr>
          <w:szCs w:val="22"/>
          <w:u w:val="single"/>
          <w:lang w:val="hu-HU"/>
        </w:rPr>
        <w:t>Klinikai hatásosság</w:t>
      </w:r>
    </w:p>
    <w:p w:rsidR="00AF6E51" w:rsidRDefault="000A4EAB">
      <w:pPr>
        <w:autoSpaceDE w:val="0"/>
        <w:autoSpaceDN w:val="0"/>
        <w:adjustRightInd w:val="0"/>
        <w:rPr>
          <w:szCs w:val="22"/>
          <w:lang w:val="hu-HU"/>
        </w:rPr>
      </w:pPr>
      <w:r>
        <w:rPr>
          <w:i/>
          <w:iCs/>
          <w:szCs w:val="22"/>
          <w:lang w:val="hu-HU"/>
        </w:rPr>
        <w:t>Major depressziós epizódok</w:t>
      </w:r>
    </w:p>
    <w:p w:rsidR="00AF6E51" w:rsidRDefault="000A4EAB">
      <w:pPr>
        <w:autoSpaceDE w:val="0"/>
        <w:autoSpaceDN w:val="0"/>
        <w:adjustRightInd w:val="0"/>
        <w:rPr>
          <w:szCs w:val="22"/>
          <w:lang w:val="hu-HU"/>
        </w:rPr>
      </w:pPr>
      <w:r>
        <w:rPr>
          <w:szCs w:val="22"/>
          <w:lang w:val="hu-HU"/>
        </w:rPr>
        <w:t>Négy rövidtávú (8 hetes),</w:t>
      </w:r>
      <w:r>
        <w:rPr>
          <w:i/>
          <w:iCs/>
          <w:szCs w:val="22"/>
          <w:lang w:val="hu-HU"/>
        </w:rPr>
        <w:t xml:space="preserve"> </w:t>
      </w:r>
      <w:r>
        <w:rPr>
          <w:szCs w:val="22"/>
          <w:lang w:val="hu-HU"/>
        </w:rPr>
        <w:t xml:space="preserve">kettős vak, placebokontrollos vizsgálat közül háromban hatásosnak találták az eszcitaloprámot major depressziós epizódok akut kezelésére. Egy hosszú távú, relapszus-prevenciós vizsgálatban 274 – a kezdeti 8 hetes, nyílt kezelési szakaszban 10 vagy 20 mg/nap eszcitaloprámra reagáló – beteget soroltak be random válogatással a 36 hetes, legutóbb alkalmazottal azonos dózisú eszcitaloprám- vagy placebokezelésre. Ebben a vizsgálatban az eszcitaloprámmal kezelt betegek csoportjában a visszaesés bekövetkezéséig eltelt idő szignifikánsan hosszabb volt, mint a placebocsoportban. </w:t>
      </w:r>
    </w:p>
    <w:p w:rsidR="00AF6E51" w:rsidRDefault="00AF6E51">
      <w:pPr>
        <w:rPr>
          <w:szCs w:val="22"/>
          <w:lang w:val="hu-HU" w:eastAsia="en-US"/>
        </w:rPr>
      </w:pPr>
    </w:p>
    <w:p w:rsidR="00AF6E51" w:rsidRDefault="000A4EAB">
      <w:pPr>
        <w:autoSpaceDE w:val="0"/>
        <w:autoSpaceDN w:val="0"/>
        <w:adjustRightInd w:val="0"/>
        <w:rPr>
          <w:i/>
          <w:iCs/>
          <w:szCs w:val="22"/>
          <w:lang w:val="hu-HU"/>
        </w:rPr>
      </w:pPr>
      <w:r>
        <w:rPr>
          <w:i/>
          <w:iCs/>
          <w:szCs w:val="22"/>
          <w:lang w:val="hu-HU"/>
        </w:rPr>
        <w:t>Szociális szorongásos zavar</w:t>
      </w:r>
    </w:p>
    <w:p w:rsidR="00AF6E51" w:rsidRDefault="000A4EAB">
      <w:pPr>
        <w:autoSpaceDE w:val="0"/>
        <w:autoSpaceDN w:val="0"/>
        <w:adjustRightInd w:val="0"/>
        <w:rPr>
          <w:szCs w:val="22"/>
          <w:lang w:val="hu-HU"/>
        </w:rPr>
      </w:pPr>
      <w:r>
        <w:rPr>
          <w:szCs w:val="22"/>
          <w:lang w:val="hu-HU"/>
        </w:rPr>
        <w:t xml:space="preserve">Szociális szorongásos zavarban az eszcitaloprám három rövidtávú (12 hetes) vizsgálatban és egy 6 hónapos relapszus-prevenciós vizsgálat során a kezelésre reagáló résztvevőknél egyaránt hatásos volt. Egy 24 hetes, dózis-meghatározó vizsgálat az 5, 10 és 20 mg eszcitaloprám hatásosságát bizonyította. </w:t>
      </w:r>
    </w:p>
    <w:p w:rsidR="00AF6E51" w:rsidRDefault="00AF6E51">
      <w:pPr>
        <w:rPr>
          <w:szCs w:val="22"/>
          <w:lang w:val="hu-HU"/>
        </w:rPr>
      </w:pPr>
    </w:p>
    <w:p w:rsidR="00AF6E51" w:rsidRDefault="000A4EAB">
      <w:pPr>
        <w:autoSpaceDE w:val="0"/>
        <w:autoSpaceDN w:val="0"/>
        <w:adjustRightInd w:val="0"/>
        <w:rPr>
          <w:szCs w:val="22"/>
          <w:lang w:val="hu-HU"/>
        </w:rPr>
      </w:pPr>
      <w:r>
        <w:rPr>
          <w:i/>
          <w:iCs/>
          <w:szCs w:val="22"/>
          <w:lang w:val="hu-HU"/>
        </w:rPr>
        <w:t>Generalizált szorongás</w:t>
      </w:r>
    </w:p>
    <w:p w:rsidR="00AF6E51" w:rsidRDefault="000A4EAB">
      <w:pPr>
        <w:autoSpaceDE w:val="0"/>
        <w:autoSpaceDN w:val="0"/>
        <w:adjustRightInd w:val="0"/>
        <w:rPr>
          <w:szCs w:val="22"/>
          <w:lang w:val="hu-HU"/>
        </w:rPr>
      </w:pPr>
      <w:r>
        <w:rPr>
          <w:szCs w:val="22"/>
          <w:lang w:val="hu-HU"/>
        </w:rPr>
        <w:t>Az eszcitaloprám 10 és 20 mg/nap adagban mind a négy elvégzett, placebokontrollos vizsgálat során hatásos volt.</w:t>
      </w:r>
    </w:p>
    <w:p w:rsidR="00AF6E51" w:rsidRDefault="000A4EAB">
      <w:pPr>
        <w:autoSpaceDE w:val="0"/>
        <w:autoSpaceDN w:val="0"/>
        <w:adjustRightInd w:val="0"/>
        <w:rPr>
          <w:szCs w:val="22"/>
          <w:lang w:val="hu-HU"/>
        </w:rPr>
      </w:pPr>
      <w:r>
        <w:rPr>
          <w:szCs w:val="22"/>
          <w:lang w:val="hu-HU"/>
        </w:rPr>
        <w:t xml:space="preserve">Három hasonló felépítésű, összesen 421 eszcitaloprámmal és 419 placebóval kezelt betegen elvégzett vizsgálat összevont adatai szerint a kezelésre reagálók aránya 47,5%, illetve 28,9%, míg a visszaesőké </w:t>
      </w:r>
      <w:r>
        <w:rPr>
          <w:spacing w:val="-2"/>
          <w:szCs w:val="22"/>
          <w:lang w:val="hu-HU"/>
        </w:rPr>
        <w:t>37,1%, illetve 20,8% volt a két csoportban. Az első héttől kezdve tartósan érvényesülő hatást észleltek.</w:t>
      </w:r>
    </w:p>
    <w:p w:rsidR="00AF6E51" w:rsidRDefault="000A4EAB">
      <w:pPr>
        <w:autoSpaceDE w:val="0"/>
        <w:autoSpaceDN w:val="0"/>
        <w:adjustRightInd w:val="0"/>
        <w:rPr>
          <w:szCs w:val="22"/>
          <w:lang w:val="hu-HU"/>
        </w:rPr>
      </w:pPr>
      <w:r>
        <w:rPr>
          <w:szCs w:val="22"/>
          <w:lang w:val="hu-HU"/>
        </w:rPr>
        <w:t>A 20 mg/nap eszcitaloprám tartós hatásosságát egy 24</w:t>
      </w:r>
      <w:r>
        <w:rPr>
          <w:szCs w:val="22"/>
          <w:lang w:val="hu-HU"/>
        </w:rPr>
        <w:noBreakHyphen/>
        <w:t>76 hetes, randomizált, a fenntartó kezelés hatásosságát értékelő vizsgálat igazolta 373 olyan beteg esetében, akik már a kezdeti, 12 hetes, nyílt vizsgálati feltételek között alkalmazott kezelésre is reagáltak.</w:t>
      </w:r>
    </w:p>
    <w:p w:rsidR="00AF6E51" w:rsidRDefault="00AF6E51">
      <w:pPr>
        <w:rPr>
          <w:szCs w:val="22"/>
          <w:lang w:val="hu-HU" w:eastAsia="en-US"/>
        </w:rPr>
      </w:pPr>
    </w:p>
    <w:p w:rsidR="00AF6E51" w:rsidRDefault="000A4EAB">
      <w:pPr>
        <w:rPr>
          <w:i/>
          <w:iCs/>
          <w:szCs w:val="22"/>
          <w:lang w:val="hu-HU" w:eastAsia="en-US"/>
        </w:rPr>
      </w:pPr>
      <w:r>
        <w:rPr>
          <w:i/>
          <w:iCs/>
          <w:szCs w:val="22"/>
          <w:lang w:val="hu-HU" w:eastAsia="en-US"/>
        </w:rPr>
        <w:t>Kényszeres-rögeszmés zavar</w:t>
      </w:r>
    </w:p>
    <w:p w:rsidR="00AF6E51" w:rsidRDefault="000A4EAB">
      <w:pPr>
        <w:autoSpaceDE w:val="0"/>
        <w:autoSpaceDN w:val="0"/>
        <w:adjustRightInd w:val="0"/>
        <w:rPr>
          <w:szCs w:val="22"/>
          <w:lang w:val="hu-HU"/>
        </w:rPr>
      </w:pPr>
      <w:r>
        <w:rPr>
          <w:szCs w:val="22"/>
          <w:lang w:val="hu-HU"/>
        </w:rPr>
        <w:t>Egy randomizált, kettős vak klinikai vizsgálatban a 20 mg/nap eszcitaloprámmal végzett, illetve a placebokezelés között 12 hét kezelés után mutatkozott különbség az Y-BOCS skála összpontszáma alapján. 24 hetes kezelés után mind a 10 mg/nap, mind a 20 mg/nap eszcitaloprám felülmúlta a placebót.</w:t>
      </w:r>
    </w:p>
    <w:p w:rsidR="00AF6E51" w:rsidRDefault="000A4EAB">
      <w:pPr>
        <w:autoSpaceDE w:val="0"/>
        <w:autoSpaceDN w:val="0"/>
        <w:adjustRightInd w:val="0"/>
        <w:rPr>
          <w:szCs w:val="22"/>
          <w:lang w:val="hu-HU"/>
        </w:rPr>
      </w:pPr>
      <w:r>
        <w:rPr>
          <w:szCs w:val="22"/>
          <w:lang w:val="hu-HU"/>
        </w:rPr>
        <w:t>A 10 és 20 mg/</w:t>
      </w:r>
      <w:r>
        <w:rPr>
          <w:lang w:val="hu-HU"/>
        </w:rPr>
        <w:t>nap eszcitaloprám</w:t>
      </w:r>
      <w:r>
        <w:rPr>
          <w:szCs w:val="22"/>
          <w:lang w:val="hu-HU"/>
        </w:rPr>
        <w:t xml:space="preserve"> visszaesést megelőző hatását egy, a 16 hetes, nyílt, eszcitaloprám-kezelésre reagáló, majd ezt követően egy 24 hetes, randomizált, kettős vak, placebokontrollos fázisban részt vevő betegeken bizonyították.</w:t>
      </w:r>
    </w:p>
    <w:p w:rsidR="00AF6E51" w:rsidRDefault="00AF6E51">
      <w:pPr>
        <w:rPr>
          <w:i/>
          <w:iCs/>
          <w:szCs w:val="22"/>
          <w:lang w:val="hu-HU" w:eastAsia="en-US"/>
        </w:rPr>
      </w:pPr>
    </w:p>
    <w:p w:rsidR="00AF6E51" w:rsidRDefault="000A4EAB">
      <w:pPr>
        <w:suppressAutoHyphens/>
        <w:ind w:left="567" w:hanging="567"/>
        <w:rPr>
          <w:b/>
          <w:szCs w:val="22"/>
          <w:lang w:val="hu-HU"/>
        </w:rPr>
      </w:pPr>
      <w:r>
        <w:rPr>
          <w:b/>
          <w:szCs w:val="22"/>
          <w:lang w:val="hu-HU"/>
        </w:rPr>
        <w:t>5.2</w:t>
      </w:r>
      <w:r>
        <w:rPr>
          <w:b/>
          <w:szCs w:val="22"/>
          <w:lang w:val="hu-HU"/>
        </w:rPr>
        <w:tab/>
        <w:t>Farmakokinetikai tulajdonságok</w:t>
      </w:r>
    </w:p>
    <w:p w:rsidR="00AF6E51" w:rsidRDefault="00AF6E51">
      <w:pPr>
        <w:tabs>
          <w:tab w:val="left" w:pos="567"/>
        </w:tabs>
        <w:rPr>
          <w:b/>
          <w:szCs w:val="22"/>
          <w:lang w:val="hu-HU" w:eastAsia="en-US"/>
        </w:rPr>
      </w:pPr>
    </w:p>
    <w:p w:rsidR="00AF6E51" w:rsidRDefault="000A4EAB">
      <w:pPr>
        <w:autoSpaceDE w:val="0"/>
        <w:autoSpaceDN w:val="0"/>
        <w:adjustRightInd w:val="0"/>
        <w:rPr>
          <w:szCs w:val="22"/>
          <w:u w:val="single"/>
          <w:lang w:val="hu-HU"/>
        </w:rPr>
      </w:pPr>
      <w:r>
        <w:rPr>
          <w:szCs w:val="22"/>
          <w:u w:val="single"/>
          <w:lang w:val="hu-HU"/>
        </w:rPr>
        <w:t>Felszívódás</w:t>
      </w:r>
    </w:p>
    <w:p w:rsidR="00AF6E51" w:rsidRDefault="000A4EAB">
      <w:pPr>
        <w:autoSpaceDE w:val="0"/>
        <w:autoSpaceDN w:val="0"/>
        <w:adjustRightInd w:val="0"/>
        <w:rPr>
          <w:szCs w:val="22"/>
          <w:lang w:val="hu-HU"/>
        </w:rPr>
      </w:pPr>
      <w:r>
        <w:rPr>
          <w:szCs w:val="22"/>
          <w:lang w:val="hu-HU"/>
        </w:rPr>
        <w:t>A felszívódás majdnem teljes, és független a táplálékbeviteltől. Többszöri adagolás után a plazmaszint tetőzéséhez átlagosan szükséges időtartam (t</w:t>
      </w:r>
      <w:r>
        <w:rPr>
          <w:szCs w:val="22"/>
          <w:vertAlign w:val="subscript"/>
          <w:lang w:val="hu-HU"/>
        </w:rPr>
        <w:t>max</w:t>
      </w:r>
      <w:r>
        <w:rPr>
          <w:szCs w:val="22"/>
          <w:lang w:val="hu-HU"/>
        </w:rPr>
        <w:t>) 4 óra. A racém citaloprámhoz hasonlóan az eszcitaloprám abszolút biohasznosulása is várhatóan kb. 80%-os.</w:t>
      </w:r>
    </w:p>
    <w:p w:rsidR="00AF6E51" w:rsidRDefault="00AF6E51">
      <w:pPr>
        <w:tabs>
          <w:tab w:val="left" w:pos="567"/>
        </w:tabs>
        <w:rPr>
          <w:b/>
          <w:szCs w:val="22"/>
          <w:lang w:val="hu-HU" w:eastAsia="en-US"/>
        </w:rPr>
      </w:pPr>
    </w:p>
    <w:p w:rsidR="00AF6E51" w:rsidRDefault="000A4EAB">
      <w:pPr>
        <w:autoSpaceDE w:val="0"/>
        <w:autoSpaceDN w:val="0"/>
        <w:adjustRightInd w:val="0"/>
        <w:rPr>
          <w:szCs w:val="22"/>
          <w:u w:val="single"/>
          <w:lang w:val="hu-HU"/>
        </w:rPr>
      </w:pPr>
      <w:r>
        <w:rPr>
          <w:szCs w:val="22"/>
          <w:u w:val="single"/>
          <w:lang w:val="hu-HU"/>
        </w:rPr>
        <w:t xml:space="preserve">Eloszlás </w:t>
      </w:r>
    </w:p>
    <w:p w:rsidR="00AF6E51" w:rsidRDefault="000A4EAB">
      <w:pPr>
        <w:autoSpaceDE w:val="0"/>
        <w:autoSpaceDN w:val="0"/>
        <w:adjustRightInd w:val="0"/>
        <w:rPr>
          <w:szCs w:val="22"/>
          <w:lang w:val="hu-HU"/>
        </w:rPr>
      </w:pPr>
      <w:r>
        <w:rPr>
          <w:i/>
          <w:szCs w:val="22"/>
          <w:lang w:val="hu-HU"/>
        </w:rPr>
        <w:t>Per os</w:t>
      </w:r>
      <w:r>
        <w:rPr>
          <w:szCs w:val="22"/>
          <w:lang w:val="hu-HU"/>
        </w:rPr>
        <w:t xml:space="preserve"> alkalmazást követően a látszólagos megoszlási térfogat (V</w:t>
      </w:r>
      <w:r>
        <w:rPr>
          <w:szCs w:val="22"/>
          <w:vertAlign w:val="subscript"/>
          <w:lang w:val="hu-HU"/>
        </w:rPr>
        <w:t>d,béta</w:t>
      </w:r>
      <w:r>
        <w:rPr>
          <w:szCs w:val="22"/>
          <w:lang w:val="hu-HU"/>
        </w:rPr>
        <w:t>/F) 12</w:t>
      </w:r>
      <w:r>
        <w:rPr>
          <w:szCs w:val="22"/>
          <w:lang w:val="hu-HU"/>
        </w:rPr>
        <w:noBreakHyphen/>
        <w:t>26 l/ttkg. Az eszcitaloprám és fontosabb metabolitjainak plazmafehérje-kötődése kisebb 80%-nál.</w:t>
      </w:r>
    </w:p>
    <w:p w:rsidR="00AF6E51" w:rsidRDefault="00AF6E51">
      <w:pPr>
        <w:tabs>
          <w:tab w:val="left" w:pos="567"/>
        </w:tabs>
        <w:rPr>
          <w:b/>
          <w:szCs w:val="22"/>
          <w:lang w:val="hu-HU" w:eastAsia="en-US"/>
        </w:rPr>
      </w:pPr>
    </w:p>
    <w:p w:rsidR="00AF6E51" w:rsidRDefault="000A4EAB">
      <w:pPr>
        <w:autoSpaceDE w:val="0"/>
        <w:autoSpaceDN w:val="0"/>
        <w:adjustRightInd w:val="0"/>
        <w:rPr>
          <w:szCs w:val="22"/>
          <w:u w:val="single"/>
          <w:lang w:val="hu-HU"/>
        </w:rPr>
      </w:pPr>
      <w:r>
        <w:rPr>
          <w:szCs w:val="22"/>
          <w:u w:val="single"/>
          <w:lang w:val="hu-HU"/>
        </w:rPr>
        <w:t>Biotranszformáció</w:t>
      </w:r>
    </w:p>
    <w:p w:rsidR="00AF6E51" w:rsidRDefault="000A4EAB">
      <w:pPr>
        <w:autoSpaceDE w:val="0"/>
        <w:autoSpaceDN w:val="0"/>
        <w:adjustRightInd w:val="0"/>
        <w:rPr>
          <w:szCs w:val="22"/>
          <w:lang w:val="hu-HU"/>
        </w:rPr>
      </w:pPr>
      <w:r>
        <w:rPr>
          <w:szCs w:val="22"/>
          <w:lang w:val="hu-HU"/>
        </w:rPr>
        <w:t>Az eszcitaloprám a májban demetilált és di-demetilált metabolitokra bomlik. Ezek egyike sem hordoz farmakológiai aktivitást. További lehetőség, hogy a nitrogén oxidációjával nitrogén-oxid metabolit képződik. Mind az anyavegyület, mind a metabolitok részben glukuronidok formájában ürülnek. Ismételt adagolás után a demetil- illetve didemetil-metabolitok átlagos koncentrációja általában az eszcitaloprám koncentráció 28</w:t>
      </w:r>
      <w:r>
        <w:rPr>
          <w:szCs w:val="22"/>
          <w:lang w:val="hu-HU"/>
        </w:rPr>
        <w:noBreakHyphen/>
        <w:t>31%-a, illetve kevesebb, mint 5%-a. Az eszcitaloprám demetilált metabolittá történő biotranszformációját főként a CYP2C19 végzi. A CYP3A4 és CYP2D6 enzimek valamelyes közreműködése is lehetséges.</w:t>
      </w:r>
    </w:p>
    <w:p w:rsidR="00AF6E51" w:rsidRDefault="00AF6E51">
      <w:pPr>
        <w:numPr>
          <w:ilvl w:val="12"/>
          <w:numId w:val="0"/>
        </w:numPr>
        <w:tabs>
          <w:tab w:val="left" w:pos="567"/>
        </w:tabs>
        <w:ind w:right="-2"/>
        <w:rPr>
          <w:iCs/>
          <w:szCs w:val="22"/>
          <w:highlight w:val="yellow"/>
          <w:u w:val="single"/>
          <w:lang w:val="hu-HU" w:eastAsia="en-US"/>
        </w:rPr>
      </w:pPr>
    </w:p>
    <w:p w:rsidR="00AF6E51" w:rsidRDefault="000A4EAB">
      <w:pPr>
        <w:autoSpaceDE w:val="0"/>
        <w:autoSpaceDN w:val="0"/>
        <w:adjustRightInd w:val="0"/>
        <w:rPr>
          <w:szCs w:val="22"/>
          <w:u w:val="single"/>
          <w:lang w:val="hu-HU"/>
        </w:rPr>
      </w:pPr>
      <w:r>
        <w:rPr>
          <w:szCs w:val="22"/>
          <w:u w:val="single"/>
          <w:lang w:val="hu-HU"/>
        </w:rPr>
        <w:t>Elimináció</w:t>
      </w:r>
    </w:p>
    <w:p w:rsidR="00AF6E51" w:rsidRDefault="000A4EAB">
      <w:pPr>
        <w:autoSpaceDE w:val="0"/>
        <w:autoSpaceDN w:val="0"/>
        <w:adjustRightInd w:val="0"/>
        <w:rPr>
          <w:szCs w:val="22"/>
          <w:lang w:val="hu-HU"/>
        </w:rPr>
      </w:pPr>
      <w:r>
        <w:rPr>
          <w:szCs w:val="22"/>
          <w:lang w:val="hu-HU"/>
        </w:rPr>
        <w:t>Az eliminációs felezési idő (t</w:t>
      </w:r>
      <w:r>
        <w:rPr>
          <w:szCs w:val="22"/>
          <w:vertAlign w:val="subscript"/>
          <w:lang w:val="hu-HU"/>
        </w:rPr>
        <w:t>1/2 béta</w:t>
      </w:r>
      <w:r>
        <w:rPr>
          <w:szCs w:val="22"/>
          <w:lang w:val="hu-HU"/>
        </w:rPr>
        <w:t>) többszöri adagolás után körülbelül 30 óra, az orális plazma clearance (Cl</w:t>
      </w:r>
      <w:r>
        <w:rPr>
          <w:szCs w:val="22"/>
          <w:vertAlign w:val="subscript"/>
          <w:lang w:val="hu-HU"/>
        </w:rPr>
        <w:t>p.os</w:t>
      </w:r>
      <w:r>
        <w:rPr>
          <w:szCs w:val="22"/>
          <w:lang w:val="hu-HU"/>
        </w:rPr>
        <w:t xml:space="preserve">) körülbelül 0,6 l/perc. A főbb metabolitok felezési ideje jelentősen hosszabb. Az eszcitaloprám </w:t>
      </w:r>
      <w:r>
        <w:rPr>
          <w:spacing w:val="-4"/>
          <w:szCs w:val="22"/>
          <w:lang w:val="hu-HU"/>
        </w:rPr>
        <w:t>és főbb metabolitjai feltehetően mind a májban (metabolizációval), mind a vesén keresztül eliminálódnak</w:t>
      </w:r>
      <w:r>
        <w:rPr>
          <w:szCs w:val="22"/>
          <w:lang w:val="hu-HU"/>
        </w:rPr>
        <w:t xml:space="preserve"> és az adag jelentős hányada metabolitokként a vizelettel ürül.</w:t>
      </w:r>
    </w:p>
    <w:p w:rsidR="00AF6E51" w:rsidRDefault="00AF6E51">
      <w:pPr>
        <w:autoSpaceDE w:val="0"/>
        <w:autoSpaceDN w:val="0"/>
        <w:adjustRightInd w:val="0"/>
        <w:ind w:right="-1"/>
        <w:rPr>
          <w:szCs w:val="22"/>
          <w:lang w:val="hu-HU"/>
        </w:rPr>
      </w:pPr>
    </w:p>
    <w:p w:rsidR="00AF6E51" w:rsidRDefault="000A4EAB">
      <w:pPr>
        <w:autoSpaceDE w:val="0"/>
        <w:autoSpaceDN w:val="0"/>
        <w:adjustRightInd w:val="0"/>
        <w:ind w:right="-1"/>
        <w:rPr>
          <w:szCs w:val="22"/>
          <w:lang w:val="hu-HU"/>
        </w:rPr>
      </w:pPr>
      <w:r>
        <w:rPr>
          <w:noProof/>
          <w:szCs w:val="24"/>
          <w:u w:val="single"/>
          <w:lang w:val="hu-HU"/>
        </w:rPr>
        <w:t>Linearitás</w:t>
      </w:r>
      <w:r w:rsidR="00321BAD">
        <w:rPr>
          <w:noProof/>
          <w:szCs w:val="24"/>
          <w:u w:val="single"/>
          <w:lang w:val="hu-HU"/>
        </w:rPr>
        <w:t>/nem-linearitás</w:t>
      </w:r>
    </w:p>
    <w:p w:rsidR="00AF6E51" w:rsidRDefault="000A4EAB">
      <w:pPr>
        <w:autoSpaceDE w:val="0"/>
        <w:autoSpaceDN w:val="0"/>
        <w:adjustRightInd w:val="0"/>
        <w:ind w:right="-1"/>
        <w:rPr>
          <w:szCs w:val="22"/>
          <w:lang w:val="hu-HU"/>
        </w:rPr>
      </w:pPr>
      <w:r>
        <w:rPr>
          <w:szCs w:val="22"/>
          <w:lang w:val="hu-HU"/>
        </w:rPr>
        <w:t>A farmakokinetika lineáris. A dinamikus egyensúlyi (steady state) plazmaszintek kb. 1 hét alatt alakulnak ki. A 10 mg-os napi dózissal átlagosan 50 nmol/l (20-tól-125 nmol/l-ig terjedő) steady state plazmakoncentráció érhető el.</w:t>
      </w:r>
    </w:p>
    <w:p w:rsidR="00AF6E51" w:rsidRDefault="00AF6E51">
      <w:pPr>
        <w:autoSpaceDE w:val="0"/>
        <w:autoSpaceDN w:val="0"/>
        <w:adjustRightInd w:val="0"/>
        <w:ind w:right="-1"/>
        <w:rPr>
          <w:szCs w:val="22"/>
          <w:lang w:val="hu-HU"/>
        </w:rPr>
      </w:pPr>
    </w:p>
    <w:p w:rsidR="00AF6E51" w:rsidRDefault="000A4EAB">
      <w:pPr>
        <w:autoSpaceDE w:val="0"/>
        <w:autoSpaceDN w:val="0"/>
        <w:adjustRightInd w:val="0"/>
        <w:rPr>
          <w:szCs w:val="22"/>
          <w:u w:val="single"/>
          <w:lang w:val="hu-HU"/>
        </w:rPr>
      </w:pPr>
      <w:r>
        <w:rPr>
          <w:szCs w:val="22"/>
          <w:u w:val="single"/>
          <w:lang w:val="hu-HU"/>
        </w:rPr>
        <w:t>Idősek (65 éves kor felett)</w:t>
      </w:r>
    </w:p>
    <w:p w:rsidR="00AF6E51" w:rsidRDefault="000A4EAB">
      <w:pPr>
        <w:autoSpaceDE w:val="0"/>
        <w:autoSpaceDN w:val="0"/>
        <w:adjustRightInd w:val="0"/>
        <w:rPr>
          <w:szCs w:val="22"/>
          <w:lang w:val="hu-HU"/>
        </w:rPr>
      </w:pPr>
      <w:r>
        <w:rPr>
          <w:szCs w:val="22"/>
          <w:lang w:val="hu-HU"/>
        </w:rPr>
        <w:t xml:space="preserve">Az eszcitaloprám eliminációja idős betegekben lassúbbnak tűnik, mint fiatalokban. A szisztémás </w:t>
      </w:r>
      <w:r>
        <w:rPr>
          <w:spacing w:val="-2"/>
          <w:szCs w:val="22"/>
          <w:lang w:val="hu-HU"/>
        </w:rPr>
        <w:t>expozíció (AUC) időseknél kb. 50%-kal nagyobb, mint egészséges fiatal önkénteseknél (lásd 4.2 pont).</w:t>
      </w:r>
    </w:p>
    <w:p w:rsidR="00AF6E51" w:rsidRDefault="00AF6E51">
      <w:pPr>
        <w:autoSpaceDE w:val="0"/>
        <w:autoSpaceDN w:val="0"/>
        <w:adjustRightInd w:val="0"/>
        <w:ind w:right="-1"/>
        <w:rPr>
          <w:szCs w:val="22"/>
          <w:lang w:val="hu-HU"/>
        </w:rPr>
      </w:pPr>
    </w:p>
    <w:p w:rsidR="00AF6E51" w:rsidRDefault="000A4EAB">
      <w:pPr>
        <w:autoSpaceDE w:val="0"/>
        <w:autoSpaceDN w:val="0"/>
        <w:adjustRightInd w:val="0"/>
        <w:rPr>
          <w:szCs w:val="22"/>
          <w:u w:val="single"/>
          <w:lang w:val="hu-HU"/>
        </w:rPr>
      </w:pPr>
      <w:r>
        <w:rPr>
          <w:szCs w:val="22"/>
          <w:u w:val="single"/>
          <w:lang w:val="hu-HU"/>
        </w:rPr>
        <w:t>Májkárosodás</w:t>
      </w:r>
    </w:p>
    <w:p w:rsidR="00AF6E51" w:rsidRDefault="000A4EAB">
      <w:pPr>
        <w:autoSpaceDE w:val="0"/>
        <w:autoSpaceDN w:val="0"/>
        <w:adjustRightInd w:val="0"/>
        <w:rPr>
          <w:szCs w:val="22"/>
          <w:lang w:val="hu-HU"/>
        </w:rPr>
      </w:pPr>
      <w:r>
        <w:rPr>
          <w:szCs w:val="22"/>
          <w:lang w:val="hu-HU"/>
        </w:rPr>
        <w:t>Enyhe-mérsékelt (Child-Pugh A és B stádiumú) májkárosodásban szenvedő betegek esetében az eszcitaloprám felezési ideje kb. kétszer hosszabb és az expozíció kb. 60%-kal nagyobb, mint normális májműködésűek esetében (lásd 4.2 pont).</w:t>
      </w:r>
    </w:p>
    <w:p w:rsidR="00AF6E51" w:rsidRDefault="00AF6E51">
      <w:pPr>
        <w:rPr>
          <w:szCs w:val="22"/>
          <w:lang w:val="hu-HU" w:eastAsia="en-US"/>
        </w:rPr>
      </w:pPr>
    </w:p>
    <w:p w:rsidR="00AF6E51" w:rsidRDefault="000A4EAB">
      <w:pPr>
        <w:autoSpaceDE w:val="0"/>
        <w:autoSpaceDN w:val="0"/>
        <w:adjustRightInd w:val="0"/>
        <w:rPr>
          <w:szCs w:val="22"/>
          <w:u w:val="single"/>
          <w:lang w:val="hu-HU"/>
        </w:rPr>
      </w:pPr>
      <w:r>
        <w:rPr>
          <w:szCs w:val="22"/>
          <w:u w:val="single"/>
          <w:lang w:val="hu-HU"/>
        </w:rPr>
        <w:t>Vesekárosodás</w:t>
      </w:r>
    </w:p>
    <w:p w:rsidR="00AF6E51" w:rsidRDefault="000A4EAB">
      <w:pPr>
        <w:autoSpaceDE w:val="0"/>
        <w:autoSpaceDN w:val="0"/>
        <w:adjustRightInd w:val="0"/>
        <w:rPr>
          <w:szCs w:val="22"/>
          <w:lang w:val="hu-HU"/>
        </w:rPr>
      </w:pPr>
      <w:r>
        <w:rPr>
          <w:szCs w:val="22"/>
          <w:lang w:val="hu-HU"/>
        </w:rPr>
        <w:t>Racém citaloprám adásakor hosszabb felezési időt és az expozíció csekély növekedését figyelték meg vesekárosodásban szenvedő betegeknél (CL</w:t>
      </w:r>
      <w:r>
        <w:rPr>
          <w:szCs w:val="22"/>
          <w:vertAlign w:val="subscript"/>
          <w:lang w:val="hu-HU"/>
        </w:rPr>
        <w:t>CR</w:t>
      </w:r>
      <w:r>
        <w:rPr>
          <w:szCs w:val="22"/>
          <w:lang w:val="hu-HU"/>
        </w:rPr>
        <w:t xml:space="preserve"> 10</w:t>
      </w:r>
      <w:r>
        <w:rPr>
          <w:szCs w:val="22"/>
          <w:lang w:val="hu-HU"/>
        </w:rPr>
        <w:noBreakHyphen/>
        <w:t>53 ml/perc). Bár ezt nem vizsgálták, a metabolitok plazmaszintjei magasabbak lehetnek (lásd 4.2 pont).</w:t>
      </w:r>
    </w:p>
    <w:p w:rsidR="00AF6E51" w:rsidRDefault="00AF6E51">
      <w:pPr>
        <w:autoSpaceDE w:val="0"/>
        <w:autoSpaceDN w:val="0"/>
        <w:adjustRightInd w:val="0"/>
        <w:rPr>
          <w:szCs w:val="22"/>
          <w:lang w:val="hu-HU"/>
        </w:rPr>
      </w:pPr>
    </w:p>
    <w:p w:rsidR="00AF6E51" w:rsidRDefault="000A4EAB">
      <w:pPr>
        <w:autoSpaceDE w:val="0"/>
        <w:autoSpaceDN w:val="0"/>
        <w:adjustRightInd w:val="0"/>
        <w:rPr>
          <w:szCs w:val="22"/>
          <w:lang w:val="hu-HU"/>
        </w:rPr>
      </w:pPr>
      <w:r>
        <w:rPr>
          <w:szCs w:val="22"/>
          <w:u w:val="single"/>
          <w:lang w:val="hu-HU"/>
        </w:rPr>
        <w:t>Polimorfizmus</w:t>
      </w:r>
    </w:p>
    <w:p w:rsidR="00AF6E51" w:rsidRDefault="000A4EAB">
      <w:pPr>
        <w:autoSpaceDE w:val="0"/>
        <w:autoSpaceDN w:val="0"/>
        <w:adjustRightInd w:val="0"/>
        <w:rPr>
          <w:szCs w:val="22"/>
          <w:lang w:val="hu-HU"/>
        </w:rPr>
      </w:pPr>
      <w:r>
        <w:rPr>
          <w:szCs w:val="22"/>
          <w:lang w:val="hu-HU"/>
        </w:rPr>
        <w:t>Megfigyelték, hogy gyenge CYP2C19 metabolizálóknál az eszcitaloprám plazmaszintje kétszer magasabb, mint gyors metabolizálóknál. Gyenge CYP2D6 metabolizálóknál nem észlelték az expozíció jelentős változását (lásd 4.2 pont).</w:t>
      </w:r>
    </w:p>
    <w:p w:rsidR="00AF6E51" w:rsidRDefault="00AF6E51">
      <w:pPr>
        <w:numPr>
          <w:ilvl w:val="12"/>
          <w:numId w:val="0"/>
        </w:numPr>
        <w:tabs>
          <w:tab w:val="left" w:pos="567"/>
        </w:tabs>
        <w:ind w:right="-2"/>
        <w:rPr>
          <w:iCs/>
          <w:szCs w:val="22"/>
          <w:highlight w:val="yellow"/>
          <w:u w:val="single"/>
          <w:lang w:val="hu-HU" w:eastAsia="en-US"/>
        </w:rPr>
      </w:pPr>
    </w:p>
    <w:p w:rsidR="00AF6E51" w:rsidRDefault="000A4EAB">
      <w:pPr>
        <w:suppressAutoHyphens/>
        <w:ind w:left="567" w:hanging="567"/>
        <w:rPr>
          <w:b/>
          <w:szCs w:val="22"/>
          <w:lang w:val="hu-HU"/>
        </w:rPr>
      </w:pPr>
      <w:r>
        <w:rPr>
          <w:b/>
          <w:szCs w:val="22"/>
          <w:lang w:val="hu-HU"/>
        </w:rPr>
        <w:t>5.3</w:t>
      </w:r>
      <w:r>
        <w:rPr>
          <w:b/>
          <w:szCs w:val="22"/>
          <w:lang w:val="hu-HU"/>
        </w:rPr>
        <w:tab/>
        <w:t>A preklinikai biztonságossági vizsgálatok eredményei</w:t>
      </w:r>
    </w:p>
    <w:p w:rsidR="00AF6E51" w:rsidRDefault="00AF6E51">
      <w:pPr>
        <w:tabs>
          <w:tab w:val="left" w:pos="567"/>
        </w:tabs>
        <w:rPr>
          <w:szCs w:val="22"/>
          <w:lang w:val="hu-HU" w:eastAsia="en-US"/>
        </w:rPr>
      </w:pPr>
    </w:p>
    <w:p w:rsidR="00AF6E51" w:rsidRDefault="000A4EAB">
      <w:pPr>
        <w:autoSpaceDE w:val="0"/>
        <w:autoSpaceDN w:val="0"/>
        <w:adjustRightInd w:val="0"/>
        <w:rPr>
          <w:szCs w:val="22"/>
          <w:lang w:val="hu-HU"/>
        </w:rPr>
      </w:pPr>
      <w:r>
        <w:rPr>
          <w:spacing w:val="-2"/>
          <w:szCs w:val="22"/>
          <w:lang w:val="hu-HU"/>
        </w:rPr>
        <w:t>Az eszcitaloprámmal nem végezték el a konvencionális preklinikai vizsgálatokat, mert a citaloprámmal</w:t>
      </w:r>
      <w:r>
        <w:rPr>
          <w:szCs w:val="22"/>
          <w:lang w:val="hu-HU"/>
        </w:rPr>
        <w:t xml:space="preserve"> és az eszcitaloprámmal patkányban végzett toxikokinetikai és toxikológiai vizsgálatok hasonló jellemzőket mutattak. Ezért a citaloprámra vonatkozó információk teljes mértékben extrapolálhatók az eszcitaloprámra.</w:t>
      </w:r>
    </w:p>
    <w:p w:rsidR="00AF6E51" w:rsidRDefault="00AF6E51">
      <w:pPr>
        <w:rPr>
          <w:szCs w:val="22"/>
          <w:lang w:val="hu-HU" w:eastAsia="en-US"/>
        </w:rPr>
      </w:pPr>
    </w:p>
    <w:p w:rsidR="00AF6E51" w:rsidRDefault="000A4EAB">
      <w:pPr>
        <w:autoSpaceDE w:val="0"/>
        <w:autoSpaceDN w:val="0"/>
        <w:adjustRightInd w:val="0"/>
        <w:rPr>
          <w:szCs w:val="22"/>
          <w:lang w:val="hu-HU"/>
        </w:rPr>
      </w:pPr>
      <w:r>
        <w:rPr>
          <w:szCs w:val="22"/>
          <w:lang w:val="hu-HU"/>
        </w:rPr>
        <w:t xml:space="preserve">Patkányokon végzett összehasonlító toxikológiai vizsgálatokban néhány hetes kezelést követően az általános toxicitást okozó adagokban alkalmazott eszcitaloprám és citaloprám kardiotoxicitást, például pangásos szívelégtelenséget okozott. A kardiotoxicitás inkább a plazma csúcskoncentrációval látszott összefüggeni, mint a szisztémás expozícióval (AUC). A hatás nélküli szint mellett mért plazma csúcskoncentrációk 8-szorosan meghaladták a klinikai alkalmazás során mért értékeket, míg az </w:t>
      </w:r>
      <w:r>
        <w:rPr>
          <w:spacing w:val="-2"/>
          <w:szCs w:val="22"/>
          <w:lang w:val="hu-HU"/>
        </w:rPr>
        <w:t>eszcitaloprám AUC-értéke csupán 3</w:t>
      </w:r>
      <w:r>
        <w:rPr>
          <w:spacing w:val="-2"/>
          <w:szCs w:val="22"/>
          <w:lang w:val="hu-HU"/>
        </w:rPr>
        <w:noBreakHyphen/>
        <w:t>4-szerese volt a normál klinikai használat során elért expozíciónak.</w:t>
      </w:r>
      <w:r>
        <w:rPr>
          <w:szCs w:val="22"/>
          <w:lang w:val="hu-HU"/>
        </w:rPr>
        <w:t xml:space="preserve"> A citaloprám S-enantiomerének AUC értékei 6</w:t>
      </w:r>
      <w:r>
        <w:rPr>
          <w:szCs w:val="22"/>
          <w:lang w:val="hu-HU"/>
        </w:rPr>
        <w:noBreakHyphen/>
        <w:t>7-szer nagyobbak voltak a normál klinikai használat során mért értékeknél. Ezek az eredmények valószínűleg a biogén aminokra gyakorolt túlzott hatásra, vagyis az elsődleges farmakológiai hatásokhoz képest másodlagos hatásokra vezethetők vissza, amelyek hemodinamikai hatásokat (a koszorúerek véráramlásának csökkenését) és ischaemiát váltanak ki. Mindazonáltal a patkányokban észlelt kardiotoxicitás pontos mechanizmusa nem tisztázott. A citaloprámmal szerzett klinikai tapasztalatok és az eszcitaloprám klinikai vizsgálataiból származó adatok nem utalnak arra, hogy ezeknek a hatásoknak létezne bármiféle klinikai megfelelője.</w:t>
      </w:r>
    </w:p>
    <w:p w:rsidR="00AF6E51" w:rsidRDefault="00AF6E51">
      <w:pPr>
        <w:autoSpaceDE w:val="0"/>
        <w:autoSpaceDN w:val="0"/>
        <w:adjustRightInd w:val="0"/>
        <w:rPr>
          <w:szCs w:val="22"/>
          <w:lang w:val="hu-HU"/>
        </w:rPr>
      </w:pPr>
    </w:p>
    <w:p w:rsidR="00AF6E51" w:rsidRDefault="000A4EAB">
      <w:pPr>
        <w:autoSpaceDE w:val="0"/>
        <w:autoSpaceDN w:val="0"/>
        <w:adjustRightInd w:val="0"/>
        <w:rPr>
          <w:szCs w:val="22"/>
          <w:lang w:val="hu-HU"/>
        </w:rPr>
      </w:pPr>
      <w:r>
        <w:rPr>
          <w:szCs w:val="22"/>
          <w:lang w:val="hu-HU"/>
        </w:rPr>
        <w:t xml:space="preserve">Patkányban, hosszú távú eszcitaloprám- és citaloprám-kezelés után egyes szövetekben (például tüdő, mellékhere és máj) a megnövekedett foszfolipid tartalmat mutattak ki. A mellékherében és a májban megfigyelt hatásokat a humán alkalmazáshoz hasonló expozíció mellett észlelték. Ez a hatás a kezelés megszakítása után reverzibilis. A foszfolipidek felhalmozódását (foszfolipoidózis) állatokban számos </w:t>
      </w:r>
      <w:r>
        <w:rPr>
          <w:szCs w:val="22"/>
          <w:lang w:val="hu-HU"/>
        </w:rPr>
        <w:lastRenderedPageBreak/>
        <w:t>kationos, amfifil gyógyszer esetében megfigyelték. Nem ismert, hogy ennek a jelenségnek van-e bármilyen jelentősége az emberre nézve.</w:t>
      </w:r>
    </w:p>
    <w:p w:rsidR="00AF6E51" w:rsidRDefault="00AF6E51">
      <w:pPr>
        <w:rPr>
          <w:szCs w:val="22"/>
          <w:lang w:val="hu-HU" w:eastAsia="en-US"/>
        </w:rPr>
      </w:pPr>
    </w:p>
    <w:p w:rsidR="00AF6E51" w:rsidRDefault="000A4EAB">
      <w:pPr>
        <w:autoSpaceDE w:val="0"/>
        <w:autoSpaceDN w:val="0"/>
        <w:adjustRightInd w:val="0"/>
        <w:rPr>
          <w:b/>
          <w:bCs/>
          <w:szCs w:val="22"/>
          <w:lang w:val="hu-HU"/>
        </w:rPr>
      </w:pPr>
      <w:r>
        <w:rPr>
          <w:szCs w:val="22"/>
          <w:lang w:val="hu-HU"/>
        </w:rPr>
        <w:t>A patkányon elvégzett reprodukciós toxicitási vizsgálatokban a normál klinikai használat során elértnél (az AUC alapján ítélve) nagyobb expozíció mellett embryotoxikus hatást figyeltek meg (csökkent magzati súly, a csontosodás reverzibilis késése). A malformációk nagyobb gyakoriságát nem észlelték. Egy pre- és postnatális vizsgálatban a normál klinikai használat során elértnél (az AUC alapján) nagyobb expozíció mellett csökkent túlélést mutatott ki a szoptatási időszakban.</w:t>
      </w:r>
    </w:p>
    <w:p w:rsidR="00AF6E51" w:rsidRDefault="00AF6E51">
      <w:pPr>
        <w:rPr>
          <w:szCs w:val="22"/>
          <w:lang w:val="hu-HU" w:eastAsia="en-US"/>
        </w:rPr>
      </w:pPr>
    </w:p>
    <w:p w:rsidR="00AF6E51" w:rsidRDefault="000A4EAB">
      <w:pPr>
        <w:autoSpaceDE w:val="0"/>
        <w:autoSpaceDN w:val="0"/>
        <w:adjustRightInd w:val="0"/>
        <w:rPr>
          <w:szCs w:val="22"/>
          <w:lang w:val="hu-HU"/>
        </w:rPr>
      </w:pPr>
      <w:r>
        <w:rPr>
          <w:szCs w:val="22"/>
          <w:lang w:val="hu-HU" w:eastAsia="en-US"/>
        </w:rPr>
        <w:t>Az állatkísérletes adatok alapján, a humán expozíciót jelentősen meghaladó dózisok alkalmazása esetén a citaloprám csökkenti a termékenységi és a terhességi indexet, valamint a beágyazódások számát, és növeli a rendellenes hímivarsejtek számát. Az eszcitaloprámra vonatkozóan nem áll rendelkezésre erre vonatkozó állatkísérletes adat.</w:t>
      </w:r>
    </w:p>
    <w:p w:rsidR="00AF6E51" w:rsidRDefault="00AF6E51">
      <w:pPr>
        <w:rPr>
          <w:szCs w:val="22"/>
          <w:lang w:val="hu-HU" w:eastAsia="en-US"/>
        </w:rPr>
      </w:pPr>
    </w:p>
    <w:p w:rsidR="00AF6E51" w:rsidRDefault="00AF6E51">
      <w:pPr>
        <w:tabs>
          <w:tab w:val="left" w:pos="567"/>
        </w:tabs>
        <w:rPr>
          <w:b/>
          <w:szCs w:val="22"/>
          <w:lang w:val="hu-HU" w:eastAsia="en-US"/>
        </w:rPr>
      </w:pPr>
    </w:p>
    <w:p w:rsidR="00AF6E51" w:rsidRDefault="000A4EAB">
      <w:pPr>
        <w:autoSpaceDE w:val="0"/>
        <w:autoSpaceDN w:val="0"/>
        <w:adjustRightInd w:val="0"/>
        <w:rPr>
          <w:i/>
          <w:szCs w:val="22"/>
          <w:u w:val="single"/>
          <w:lang w:val="hu-HU"/>
        </w:rPr>
      </w:pPr>
      <w:r>
        <w:rPr>
          <w:b/>
          <w:szCs w:val="22"/>
          <w:lang w:val="hu-HU"/>
        </w:rPr>
        <w:t>6.</w:t>
      </w:r>
      <w:r>
        <w:rPr>
          <w:b/>
          <w:szCs w:val="22"/>
          <w:lang w:val="hu-HU"/>
        </w:rPr>
        <w:tab/>
        <w:t>GYÓGYSZERÉSZETI JELLEMZŐK</w:t>
      </w:r>
    </w:p>
    <w:p w:rsidR="00AF6E51" w:rsidRDefault="00AF6E51">
      <w:pPr>
        <w:autoSpaceDE w:val="0"/>
        <w:autoSpaceDN w:val="0"/>
        <w:adjustRightInd w:val="0"/>
        <w:rPr>
          <w:szCs w:val="22"/>
          <w:lang w:val="hu-HU"/>
        </w:rPr>
      </w:pPr>
    </w:p>
    <w:p w:rsidR="00AF6E51" w:rsidRDefault="000A4EAB">
      <w:pPr>
        <w:tabs>
          <w:tab w:val="left" w:pos="540"/>
        </w:tabs>
        <w:autoSpaceDE w:val="0"/>
        <w:autoSpaceDN w:val="0"/>
        <w:adjustRightInd w:val="0"/>
        <w:rPr>
          <w:b/>
          <w:szCs w:val="22"/>
          <w:lang w:val="hu-HU"/>
        </w:rPr>
      </w:pPr>
      <w:r>
        <w:rPr>
          <w:b/>
          <w:szCs w:val="22"/>
          <w:lang w:val="hu-HU"/>
        </w:rPr>
        <w:t>6.1</w:t>
      </w:r>
      <w:r>
        <w:rPr>
          <w:b/>
          <w:szCs w:val="22"/>
          <w:lang w:val="hu-HU"/>
        </w:rPr>
        <w:tab/>
        <w:t>Segédanyagok felsorolása</w:t>
      </w:r>
    </w:p>
    <w:p w:rsidR="00AF6E51" w:rsidRDefault="00AF6E51">
      <w:pPr>
        <w:tabs>
          <w:tab w:val="left" w:pos="567"/>
        </w:tabs>
        <w:rPr>
          <w:szCs w:val="22"/>
          <w:lang w:val="hu-HU" w:eastAsia="en-US"/>
        </w:rPr>
      </w:pPr>
    </w:p>
    <w:p w:rsidR="00AF6E51" w:rsidRDefault="000A4EAB">
      <w:pPr>
        <w:tabs>
          <w:tab w:val="left" w:pos="567"/>
        </w:tabs>
        <w:rPr>
          <w:szCs w:val="22"/>
          <w:lang w:val="hu-HU" w:eastAsia="en-US"/>
        </w:rPr>
      </w:pPr>
      <w:r>
        <w:rPr>
          <w:szCs w:val="22"/>
          <w:lang w:val="hu-HU" w:eastAsia="en-US"/>
        </w:rPr>
        <w:t>Polakrillin-kálium, tömény sósav, laktóz-monohidrát, mikrokristályos cellulóz, kroszkarmellóz</w:t>
      </w:r>
      <w:r>
        <w:rPr>
          <w:szCs w:val="22"/>
          <w:lang w:val="hu-HU" w:eastAsia="en-US"/>
        </w:rPr>
        <w:noBreakHyphen/>
        <w:t>nátrium, aceszulfám-kálium, neoheszperidin-dihidro</w:t>
      </w:r>
      <w:r>
        <w:rPr>
          <w:szCs w:val="22"/>
          <w:lang w:val="hu-HU" w:eastAsia="en-US"/>
        </w:rPr>
        <w:noBreakHyphen/>
        <w:t xml:space="preserve">kalkon, borsmenta aroma (maltodextrin [kukorica], módosított keményítő </w:t>
      </w:r>
      <w:r>
        <w:rPr>
          <w:szCs w:val="24"/>
        </w:rPr>
        <w:t>(Waxy maize)</w:t>
      </w:r>
      <w:r>
        <w:rPr>
          <w:szCs w:val="22"/>
          <w:lang w:val="hu-HU" w:eastAsia="en-US"/>
        </w:rPr>
        <w:t xml:space="preserve"> [E1450] és borsosmentaolaj [</w:t>
      </w:r>
      <w:r>
        <w:rPr>
          <w:i/>
          <w:szCs w:val="24"/>
        </w:rPr>
        <w:t>Mentha arvensis</w:t>
      </w:r>
      <w:r>
        <w:rPr>
          <w:szCs w:val="22"/>
          <w:lang w:val="hu-HU" w:eastAsia="en-US"/>
        </w:rPr>
        <w:t>]), magnézium-sztearát.</w:t>
      </w:r>
    </w:p>
    <w:p w:rsidR="00AF6E51" w:rsidRDefault="00AF6E51">
      <w:pPr>
        <w:tabs>
          <w:tab w:val="left" w:pos="567"/>
        </w:tabs>
        <w:rPr>
          <w:b/>
          <w:szCs w:val="22"/>
          <w:lang w:val="hu-HU" w:eastAsia="en-US"/>
        </w:rPr>
      </w:pPr>
    </w:p>
    <w:p w:rsidR="00AF6E51" w:rsidRDefault="000A4EAB">
      <w:pPr>
        <w:suppressAutoHyphens/>
        <w:ind w:left="567" w:hanging="567"/>
        <w:rPr>
          <w:b/>
          <w:szCs w:val="22"/>
          <w:lang w:val="hu-HU"/>
        </w:rPr>
      </w:pPr>
      <w:r>
        <w:rPr>
          <w:b/>
          <w:szCs w:val="22"/>
          <w:lang w:val="hu-HU"/>
        </w:rPr>
        <w:t>6.2</w:t>
      </w:r>
      <w:r>
        <w:rPr>
          <w:b/>
          <w:szCs w:val="22"/>
          <w:lang w:val="hu-HU"/>
        </w:rPr>
        <w:tab/>
        <w:t>Inkompatibilitások</w:t>
      </w:r>
    </w:p>
    <w:p w:rsidR="00AF6E51" w:rsidRDefault="00AF6E51">
      <w:pPr>
        <w:autoSpaceDE w:val="0"/>
        <w:autoSpaceDN w:val="0"/>
        <w:adjustRightInd w:val="0"/>
        <w:rPr>
          <w:b/>
          <w:bCs/>
          <w:szCs w:val="22"/>
          <w:lang w:val="hu-HU"/>
        </w:rPr>
      </w:pPr>
    </w:p>
    <w:p w:rsidR="00AF6E51" w:rsidRDefault="000A4EAB">
      <w:pPr>
        <w:autoSpaceDE w:val="0"/>
        <w:autoSpaceDN w:val="0"/>
        <w:adjustRightInd w:val="0"/>
        <w:rPr>
          <w:szCs w:val="22"/>
          <w:lang w:val="hu-HU"/>
        </w:rPr>
      </w:pPr>
      <w:r>
        <w:rPr>
          <w:szCs w:val="22"/>
          <w:lang w:val="hu-HU"/>
        </w:rPr>
        <w:t>Nem értelmezhető.</w:t>
      </w:r>
    </w:p>
    <w:p w:rsidR="00AF6E51" w:rsidRDefault="00AF6E51">
      <w:pPr>
        <w:tabs>
          <w:tab w:val="left" w:pos="567"/>
        </w:tabs>
        <w:rPr>
          <w:szCs w:val="22"/>
          <w:lang w:val="hu-HU" w:eastAsia="en-US"/>
        </w:rPr>
      </w:pPr>
    </w:p>
    <w:p w:rsidR="00AF6E51" w:rsidRDefault="000A4EAB">
      <w:pPr>
        <w:autoSpaceDE w:val="0"/>
        <w:autoSpaceDN w:val="0"/>
        <w:adjustRightInd w:val="0"/>
        <w:ind w:left="567" w:hanging="567"/>
        <w:rPr>
          <w:b/>
          <w:szCs w:val="22"/>
          <w:lang w:val="hu-HU"/>
        </w:rPr>
      </w:pPr>
      <w:r>
        <w:rPr>
          <w:b/>
          <w:szCs w:val="22"/>
          <w:lang w:val="hu-HU"/>
        </w:rPr>
        <w:t>6.3</w:t>
      </w:r>
      <w:r>
        <w:rPr>
          <w:b/>
          <w:szCs w:val="22"/>
          <w:lang w:val="hu-HU"/>
        </w:rPr>
        <w:tab/>
        <w:t>Felhasználhatósági időtartam</w:t>
      </w:r>
    </w:p>
    <w:p w:rsidR="00AF6E51" w:rsidRDefault="00AF6E51">
      <w:pPr>
        <w:tabs>
          <w:tab w:val="left" w:pos="567"/>
        </w:tabs>
        <w:rPr>
          <w:szCs w:val="22"/>
          <w:lang w:val="hu-HU" w:eastAsia="en-US"/>
        </w:rPr>
      </w:pPr>
    </w:p>
    <w:p w:rsidR="00AF6E51" w:rsidRDefault="000A4EAB">
      <w:pPr>
        <w:tabs>
          <w:tab w:val="left" w:pos="567"/>
        </w:tabs>
        <w:rPr>
          <w:szCs w:val="22"/>
          <w:lang w:val="hu-HU" w:eastAsia="en-US"/>
        </w:rPr>
      </w:pPr>
      <w:r>
        <w:rPr>
          <w:szCs w:val="22"/>
          <w:lang w:val="hu-HU" w:eastAsia="en-US"/>
        </w:rPr>
        <w:t>3 év.</w:t>
      </w:r>
    </w:p>
    <w:p w:rsidR="00AF6E51" w:rsidRDefault="00AF6E51">
      <w:pPr>
        <w:tabs>
          <w:tab w:val="left" w:pos="567"/>
        </w:tabs>
        <w:rPr>
          <w:szCs w:val="22"/>
          <w:lang w:val="hu-HU" w:eastAsia="en-US"/>
        </w:rPr>
      </w:pPr>
    </w:p>
    <w:p w:rsidR="00AF6E51" w:rsidRDefault="000A4EAB">
      <w:pPr>
        <w:autoSpaceDE w:val="0"/>
        <w:autoSpaceDN w:val="0"/>
        <w:adjustRightInd w:val="0"/>
        <w:ind w:left="567" w:hanging="567"/>
        <w:rPr>
          <w:b/>
          <w:szCs w:val="22"/>
          <w:lang w:val="hu-HU"/>
        </w:rPr>
      </w:pPr>
      <w:r>
        <w:rPr>
          <w:b/>
          <w:szCs w:val="22"/>
          <w:lang w:val="hu-HU"/>
        </w:rPr>
        <w:t>6.4</w:t>
      </w:r>
      <w:r>
        <w:rPr>
          <w:b/>
          <w:szCs w:val="22"/>
          <w:lang w:val="hu-HU"/>
        </w:rPr>
        <w:tab/>
        <w:t>Különleges tárolási előírások</w:t>
      </w:r>
    </w:p>
    <w:p w:rsidR="00AF6E51" w:rsidRDefault="00AF6E51">
      <w:pPr>
        <w:tabs>
          <w:tab w:val="left" w:pos="567"/>
        </w:tabs>
        <w:rPr>
          <w:i/>
          <w:iCs/>
          <w:szCs w:val="22"/>
          <w:lang w:val="hu-HU" w:eastAsia="en-US"/>
        </w:rPr>
      </w:pPr>
    </w:p>
    <w:p w:rsidR="00AF6E51" w:rsidRDefault="000A4EAB">
      <w:pPr>
        <w:autoSpaceDE w:val="0"/>
        <w:autoSpaceDN w:val="0"/>
        <w:adjustRightInd w:val="0"/>
        <w:ind w:right="-2"/>
        <w:rPr>
          <w:szCs w:val="22"/>
          <w:lang w:val="hu-HU"/>
        </w:rPr>
      </w:pPr>
      <w:r>
        <w:rPr>
          <w:szCs w:val="22"/>
          <w:lang w:val="hu-HU"/>
        </w:rPr>
        <w:t>Ez a gyógyszer nem igényel különleges tárolási hőmérsékletet.</w:t>
      </w:r>
    </w:p>
    <w:p w:rsidR="00AF6E51" w:rsidRDefault="000A4EAB">
      <w:pPr>
        <w:autoSpaceDE w:val="0"/>
        <w:autoSpaceDN w:val="0"/>
        <w:adjustRightInd w:val="0"/>
        <w:rPr>
          <w:szCs w:val="22"/>
          <w:lang w:val="hu-HU"/>
        </w:rPr>
      </w:pPr>
      <w:r>
        <w:rPr>
          <w:szCs w:val="22"/>
          <w:lang w:val="hu-HU"/>
        </w:rPr>
        <w:t>A fénytől és nedvességtől való védelem érdekében az eredeti csomagolásban tárolandó.</w:t>
      </w:r>
    </w:p>
    <w:p w:rsidR="00AF6E51" w:rsidRDefault="00AF6E51">
      <w:pPr>
        <w:tabs>
          <w:tab w:val="left" w:pos="567"/>
        </w:tabs>
        <w:rPr>
          <w:szCs w:val="22"/>
          <w:highlight w:val="yellow"/>
          <w:lang w:val="hu-HU" w:eastAsia="en-US"/>
        </w:rPr>
      </w:pPr>
    </w:p>
    <w:p w:rsidR="00AF6E51" w:rsidRDefault="000A4EAB">
      <w:pPr>
        <w:autoSpaceDE w:val="0"/>
        <w:autoSpaceDN w:val="0"/>
        <w:adjustRightInd w:val="0"/>
        <w:ind w:left="567" w:hanging="567"/>
        <w:rPr>
          <w:b/>
          <w:szCs w:val="22"/>
          <w:lang w:val="hu-HU"/>
        </w:rPr>
      </w:pPr>
      <w:r>
        <w:rPr>
          <w:b/>
          <w:szCs w:val="22"/>
          <w:lang w:val="hu-HU"/>
        </w:rPr>
        <w:t>6.5</w:t>
      </w:r>
      <w:r>
        <w:rPr>
          <w:b/>
          <w:szCs w:val="22"/>
          <w:lang w:val="hu-HU"/>
        </w:rPr>
        <w:tab/>
        <w:t xml:space="preserve">Csomagolás típusa és kiszerelése </w:t>
      </w:r>
    </w:p>
    <w:p w:rsidR="00AF6E51" w:rsidRDefault="00AF6E51">
      <w:pPr>
        <w:tabs>
          <w:tab w:val="left" w:pos="567"/>
        </w:tabs>
        <w:rPr>
          <w:szCs w:val="22"/>
          <w:lang w:val="hu-HU" w:eastAsia="en-US"/>
        </w:rPr>
      </w:pPr>
    </w:p>
    <w:p w:rsidR="00AF6E51" w:rsidRDefault="000A4EAB">
      <w:pPr>
        <w:tabs>
          <w:tab w:val="left" w:pos="1200"/>
          <w:tab w:val="left" w:pos="1245"/>
        </w:tabs>
        <w:ind w:right="-15"/>
        <w:rPr>
          <w:szCs w:val="24"/>
        </w:rPr>
      </w:pPr>
      <w:r>
        <w:rPr>
          <w:szCs w:val="22"/>
          <w:lang w:val="hu-HU" w:eastAsia="en-US"/>
        </w:rPr>
        <w:t>Kiszerelések:</w:t>
      </w:r>
      <w:r>
        <w:rPr>
          <w:color w:val="000000"/>
          <w:szCs w:val="22"/>
          <w:lang w:val="hu-HU"/>
        </w:rPr>
        <w:t xml:space="preserve"> </w:t>
      </w:r>
      <w:r>
        <w:rPr>
          <w:szCs w:val="22"/>
          <w:lang w:val="hu-HU" w:eastAsia="en-US"/>
        </w:rPr>
        <w:t xml:space="preserve">28, 30, 56, 60, 84 vagy 90 db </w:t>
      </w:r>
      <w:r>
        <w:rPr>
          <w:bCs/>
          <w:szCs w:val="22"/>
          <w:lang w:val="hu-HU" w:eastAsia="en-US"/>
        </w:rPr>
        <w:t>szájban diszpergálódó tabletta</w:t>
      </w:r>
      <w:r>
        <w:rPr>
          <w:color w:val="000000"/>
          <w:szCs w:val="22"/>
          <w:lang w:val="hu-HU"/>
        </w:rPr>
        <w:t xml:space="preserve"> </w:t>
      </w:r>
      <w:r>
        <w:rPr>
          <w:szCs w:val="24"/>
        </w:rPr>
        <w:t>OPA/Al/PVC//papír/PET/Al lehúzható buborékcsomagolásban és dobozban.</w:t>
      </w:r>
    </w:p>
    <w:p w:rsidR="00AF6E51" w:rsidRDefault="00AF6E51">
      <w:pPr>
        <w:tabs>
          <w:tab w:val="left" w:pos="567"/>
        </w:tabs>
        <w:rPr>
          <w:lang w:val="hu-HU"/>
        </w:rPr>
      </w:pPr>
    </w:p>
    <w:p w:rsidR="00AF6E51" w:rsidRDefault="000A4EAB">
      <w:pPr>
        <w:tabs>
          <w:tab w:val="left" w:pos="1200"/>
          <w:tab w:val="left" w:pos="1245"/>
        </w:tabs>
        <w:ind w:right="-15"/>
        <w:rPr>
          <w:szCs w:val="24"/>
        </w:rPr>
      </w:pPr>
      <w:r>
        <w:rPr>
          <w:szCs w:val="22"/>
          <w:lang w:val="hu-HU" w:eastAsia="en-US"/>
        </w:rPr>
        <w:t>Kiszerelések:</w:t>
      </w:r>
      <w:r>
        <w:rPr>
          <w:color w:val="000000"/>
          <w:szCs w:val="22"/>
          <w:lang w:val="hu-HU"/>
        </w:rPr>
        <w:t xml:space="preserve"> </w:t>
      </w:r>
      <w:r>
        <w:rPr>
          <w:szCs w:val="22"/>
          <w:lang w:val="hu-HU" w:eastAsia="en-US"/>
        </w:rPr>
        <w:t xml:space="preserve">28, 30, 56, 60, 84 vagy 90 db </w:t>
      </w:r>
      <w:r>
        <w:rPr>
          <w:bCs/>
          <w:szCs w:val="22"/>
          <w:lang w:val="hu-HU" w:eastAsia="en-US"/>
        </w:rPr>
        <w:t>szájban diszpergálódó tabletta</w:t>
      </w:r>
      <w:r>
        <w:rPr>
          <w:color w:val="000000"/>
          <w:szCs w:val="22"/>
          <w:lang w:val="hu-HU"/>
        </w:rPr>
        <w:t xml:space="preserve"> </w:t>
      </w:r>
      <w:r>
        <w:rPr>
          <w:szCs w:val="24"/>
        </w:rPr>
        <w:t>OPA/Al/PVC//PET/Al lehúzható buborékcsomagolásban és dobozban.</w:t>
      </w:r>
    </w:p>
    <w:p w:rsidR="00AF6E51" w:rsidRDefault="00AF6E51">
      <w:pPr>
        <w:tabs>
          <w:tab w:val="left" w:pos="567"/>
        </w:tabs>
        <w:rPr>
          <w:szCs w:val="22"/>
          <w:highlight w:val="yellow"/>
          <w:lang w:val="hu-HU" w:eastAsia="en-US"/>
        </w:rPr>
      </w:pPr>
    </w:p>
    <w:p w:rsidR="00AF6E51" w:rsidRDefault="000A4EAB">
      <w:pPr>
        <w:autoSpaceDE w:val="0"/>
        <w:autoSpaceDN w:val="0"/>
        <w:adjustRightInd w:val="0"/>
        <w:rPr>
          <w:szCs w:val="22"/>
          <w:lang w:val="hu-HU"/>
        </w:rPr>
      </w:pPr>
      <w:r>
        <w:rPr>
          <w:szCs w:val="22"/>
          <w:lang w:val="hu-HU"/>
        </w:rPr>
        <w:t>Nem feltétlenül mindegyik kiszerelés kerül kereskedelmi forgalomba.</w:t>
      </w:r>
    </w:p>
    <w:p w:rsidR="00AF6E51" w:rsidRDefault="00AF6E51">
      <w:pPr>
        <w:tabs>
          <w:tab w:val="left" w:pos="567"/>
        </w:tabs>
        <w:rPr>
          <w:szCs w:val="22"/>
          <w:lang w:val="hu-HU" w:eastAsia="en-US"/>
        </w:rPr>
      </w:pPr>
    </w:p>
    <w:p w:rsidR="00AF6E51" w:rsidRDefault="000A4EAB">
      <w:pPr>
        <w:autoSpaceDE w:val="0"/>
        <w:autoSpaceDN w:val="0"/>
        <w:adjustRightInd w:val="0"/>
        <w:ind w:left="567" w:hanging="567"/>
        <w:rPr>
          <w:b/>
          <w:szCs w:val="22"/>
          <w:lang w:val="hu-HU"/>
        </w:rPr>
      </w:pPr>
      <w:r>
        <w:rPr>
          <w:b/>
          <w:szCs w:val="22"/>
          <w:lang w:val="hu-HU"/>
        </w:rPr>
        <w:t>6.6</w:t>
      </w:r>
      <w:r>
        <w:rPr>
          <w:b/>
          <w:szCs w:val="22"/>
          <w:lang w:val="hu-HU"/>
        </w:rPr>
        <w:tab/>
        <w:t>A megsemmisítésre vonatkozó különleges óvintézkedések és egyéb, a készítmény kezelésével kapcsolatos információk</w:t>
      </w:r>
    </w:p>
    <w:p w:rsidR="00AF6E51" w:rsidRDefault="00AF6E51">
      <w:pPr>
        <w:spacing w:line="260" w:lineRule="atLeast"/>
        <w:rPr>
          <w:szCs w:val="22"/>
          <w:lang w:val="hu-HU"/>
        </w:rPr>
      </w:pPr>
    </w:p>
    <w:p w:rsidR="00AF6E51" w:rsidRDefault="000A4EAB">
      <w:pPr>
        <w:spacing w:line="260" w:lineRule="atLeast"/>
        <w:rPr>
          <w:szCs w:val="22"/>
          <w:lang w:val="hu-HU"/>
        </w:rPr>
      </w:pPr>
      <w:r>
        <w:rPr>
          <w:szCs w:val="22"/>
          <w:lang w:val="hu-HU"/>
        </w:rPr>
        <w:t>Bármilyen fel nem használt gyógyszer, illetve hulladékanyag megsemmisítését a gyógyszerekre vonatkozó előírások szerint kell végrehajtani.</w:t>
      </w:r>
    </w:p>
    <w:p w:rsidR="00AF6E51" w:rsidRDefault="00AF6E51">
      <w:pPr>
        <w:spacing w:line="260" w:lineRule="atLeast"/>
        <w:rPr>
          <w:szCs w:val="22"/>
          <w:lang w:val="hu-HU"/>
        </w:rPr>
      </w:pPr>
    </w:p>
    <w:p w:rsidR="00AF6E51" w:rsidRDefault="000A4EAB">
      <w:pPr>
        <w:rPr>
          <w:szCs w:val="22"/>
        </w:rPr>
      </w:pPr>
      <w:r>
        <w:rPr>
          <w:b/>
          <w:bCs/>
          <w:szCs w:val="22"/>
        </w:rPr>
        <w:t>Megjegyzés:</w:t>
      </w:r>
      <w:r>
        <w:rPr>
          <w:rFonts w:ascii="Wingdings" w:hAnsi="Wingdings" w:cs="Wingdings"/>
          <w:szCs w:val="22"/>
        </w:rPr>
        <w:t></w:t>
      </w:r>
      <w:r>
        <w:rPr>
          <w:szCs w:val="22"/>
        </w:rPr>
        <w:t xml:space="preserve"> (egy keresztes)</w:t>
      </w:r>
    </w:p>
    <w:p w:rsidR="00AF6E51" w:rsidRDefault="000A4EAB">
      <w:pPr>
        <w:rPr>
          <w:b/>
          <w:szCs w:val="22"/>
        </w:rPr>
      </w:pPr>
      <w:r>
        <w:rPr>
          <w:b/>
          <w:bCs/>
          <w:szCs w:val="22"/>
        </w:rPr>
        <w:t>Osztályozás</w:t>
      </w:r>
      <w:r>
        <w:rPr>
          <w:bCs/>
          <w:szCs w:val="22"/>
        </w:rPr>
        <w:t>:</w:t>
      </w:r>
      <w:r>
        <w:rPr>
          <w:szCs w:val="22"/>
        </w:rPr>
        <w:t xml:space="preserve"> </w:t>
      </w:r>
      <w:r>
        <w:rPr>
          <w:b/>
          <w:szCs w:val="22"/>
        </w:rPr>
        <w:t>II. csoport</w:t>
      </w:r>
    </w:p>
    <w:p w:rsidR="00AF6E51" w:rsidRDefault="000A4EAB">
      <w:pPr>
        <w:spacing w:line="260" w:lineRule="atLeast"/>
        <w:rPr>
          <w:szCs w:val="22"/>
          <w:lang w:val="hu-HU"/>
        </w:rPr>
      </w:pPr>
      <w:r>
        <w:t>Kizárólag orvosi rendelvényhez kötött gyógyszer (V).</w:t>
      </w:r>
    </w:p>
    <w:p w:rsidR="00AF6E51" w:rsidRDefault="00AF6E51">
      <w:pPr>
        <w:spacing w:line="260" w:lineRule="atLeast"/>
        <w:rPr>
          <w:szCs w:val="22"/>
          <w:lang w:val="hu-HU"/>
        </w:rPr>
      </w:pPr>
    </w:p>
    <w:p w:rsidR="00AF6E51" w:rsidRDefault="00AF6E51">
      <w:pPr>
        <w:spacing w:line="260" w:lineRule="atLeast"/>
        <w:rPr>
          <w:szCs w:val="22"/>
          <w:lang w:val="hu-HU"/>
        </w:rPr>
      </w:pPr>
    </w:p>
    <w:p w:rsidR="00AF6E51" w:rsidRDefault="000A4EAB">
      <w:pPr>
        <w:spacing w:line="260" w:lineRule="atLeast"/>
        <w:rPr>
          <w:szCs w:val="22"/>
          <w:lang w:val="hu-HU"/>
        </w:rPr>
      </w:pPr>
      <w:r>
        <w:rPr>
          <w:b/>
          <w:szCs w:val="22"/>
          <w:lang w:val="hu-HU"/>
        </w:rPr>
        <w:t>7.</w:t>
      </w:r>
      <w:r>
        <w:rPr>
          <w:b/>
          <w:szCs w:val="22"/>
          <w:lang w:val="hu-HU"/>
        </w:rPr>
        <w:tab/>
        <w:t>A FORGALOMBA HOZATALI ENGEDÉLY JOGOSULTJA</w:t>
      </w:r>
    </w:p>
    <w:p w:rsidR="00AF6E51" w:rsidRDefault="00AF6E51">
      <w:pPr>
        <w:tabs>
          <w:tab w:val="left" w:pos="567"/>
        </w:tabs>
        <w:rPr>
          <w:szCs w:val="22"/>
          <w:lang w:val="hu-HU" w:eastAsia="en-US"/>
        </w:rPr>
      </w:pPr>
    </w:p>
    <w:p w:rsidR="00AF6E51" w:rsidRDefault="000A4EAB">
      <w:pPr>
        <w:tabs>
          <w:tab w:val="left" w:pos="567"/>
        </w:tabs>
        <w:rPr>
          <w:szCs w:val="22"/>
          <w:lang w:val="hu-HU" w:eastAsia="en-US"/>
        </w:rPr>
      </w:pPr>
      <w:r>
        <w:rPr>
          <w:szCs w:val="22"/>
          <w:lang w:val="hu-HU" w:eastAsia="en-US"/>
        </w:rPr>
        <w:t>KRKA, d.d., Novo mesto, Šmarješka cesta 6, 8501 Novo mesto, Szlovénia</w:t>
      </w:r>
    </w:p>
    <w:p w:rsidR="00AF6E51" w:rsidRDefault="00AF6E51">
      <w:pPr>
        <w:tabs>
          <w:tab w:val="left" w:pos="567"/>
        </w:tabs>
        <w:rPr>
          <w:szCs w:val="22"/>
          <w:lang w:val="hu-HU" w:eastAsia="en-US"/>
        </w:rPr>
      </w:pPr>
    </w:p>
    <w:p w:rsidR="00AF6E51" w:rsidRDefault="00AF6E51">
      <w:pPr>
        <w:tabs>
          <w:tab w:val="left" w:pos="567"/>
        </w:tabs>
        <w:rPr>
          <w:szCs w:val="22"/>
          <w:lang w:val="hu-HU" w:eastAsia="en-US"/>
        </w:rPr>
      </w:pPr>
    </w:p>
    <w:p w:rsidR="00AF6E51" w:rsidRDefault="000A4EAB">
      <w:pPr>
        <w:suppressAutoHyphens/>
        <w:ind w:left="567" w:hanging="567"/>
        <w:rPr>
          <w:b/>
          <w:szCs w:val="22"/>
          <w:lang w:val="hu-HU"/>
        </w:rPr>
      </w:pPr>
      <w:r>
        <w:rPr>
          <w:b/>
          <w:szCs w:val="22"/>
          <w:lang w:val="hu-HU"/>
        </w:rPr>
        <w:t>8.</w:t>
      </w:r>
      <w:r>
        <w:rPr>
          <w:b/>
          <w:szCs w:val="22"/>
          <w:lang w:val="hu-HU"/>
        </w:rPr>
        <w:tab/>
        <w:t>A FORGALOMBA HOZATALI ENGEDÉLY SZÁMA(I)</w:t>
      </w:r>
    </w:p>
    <w:p w:rsidR="00AF6E51" w:rsidRDefault="00AF6E51">
      <w:pPr>
        <w:tabs>
          <w:tab w:val="left" w:pos="567"/>
        </w:tabs>
        <w:rPr>
          <w:i/>
          <w:szCs w:val="22"/>
          <w:lang w:val="hu-HU" w:eastAsia="en-US"/>
        </w:rPr>
      </w:pPr>
    </w:p>
    <w:p w:rsidR="00AF6E51" w:rsidRDefault="000A4EAB">
      <w:pPr>
        <w:autoSpaceDE w:val="0"/>
        <w:autoSpaceDN w:val="0"/>
        <w:adjustRightInd w:val="0"/>
        <w:rPr>
          <w:bCs/>
          <w:color w:val="000000"/>
          <w:szCs w:val="22"/>
          <w:u w:val="single"/>
          <w:lang w:val="hu-HU" w:eastAsia="hu-HU"/>
        </w:rPr>
      </w:pPr>
      <w:r>
        <w:rPr>
          <w:bCs/>
          <w:color w:val="000000"/>
          <w:szCs w:val="22"/>
          <w:u w:val="single"/>
          <w:lang w:val="hu-HU" w:eastAsia="hu-HU"/>
        </w:rPr>
        <w:t>Elicea Q-Tab 5 mg szájban diszpergálódó tabletta</w:t>
      </w:r>
    </w:p>
    <w:p w:rsidR="00AF6E51" w:rsidRDefault="000A4EAB">
      <w:pPr>
        <w:tabs>
          <w:tab w:val="left" w:pos="720"/>
          <w:tab w:val="left" w:pos="1440"/>
          <w:tab w:val="left" w:pos="2160"/>
          <w:tab w:val="left" w:pos="2268"/>
          <w:tab w:val="left" w:pos="3119"/>
          <w:tab w:val="left" w:pos="3600"/>
          <w:tab w:val="left" w:pos="6600"/>
        </w:tabs>
        <w:autoSpaceDE w:val="0"/>
        <w:autoSpaceDN w:val="0"/>
        <w:adjustRightInd w:val="0"/>
        <w:rPr>
          <w:bCs/>
          <w:color w:val="000000"/>
          <w:szCs w:val="22"/>
          <w:lang w:val="hu-HU" w:eastAsia="hu-HU"/>
        </w:rPr>
      </w:pPr>
      <w:r>
        <w:rPr>
          <w:bCs/>
          <w:color w:val="000000"/>
          <w:szCs w:val="22"/>
          <w:lang w:val="hu-HU" w:eastAsia="hu-HU"/>
        </w:rPr>
        <w:t>OGYI-T-21108/13</w:t>
      </w:r>
      <w:r>
        <w:rPr>
          <w:bCs/>
          <w:color w:val="000000"/>
          <w:szCs w:val="22"/>
          <w:lang w:val="hu-HU" w:eastAsia="hu-HU"/>
        </w:rPr>
        <w:tab/>
        <w:t>28×</w:t>
      </w:r>
      <w:r>
        <w:rPr>
          <w:bCs/>
          <w:color w:val="000000"/>
          <w:szCs w:val="22"/>
          <w:lang w:val="hu-HU" w:eastAsia="hu-HU"/>
        </w:rPr>
        <w:tab/>
        <w:t>OPA/Al/PVC//papír/PET/Al buborékcsomagolás</w:t>
      </w:r>
    </w:p>
    <w:p w:rsidR="00AF6E51" w:rsidRDefault="000A4EAB">
      <w:pPr>
        <w:tabs>
          <w:tab w:val="left" w:pos="720"/>
          <w:tab w:val="left" w:pos="2160"/>
          <w:tab w:val="left" w:pos="2268"/>
          <w:tab w:val="left" w:pos="3119"/>
          <w:tab w:val="left" w:pos="3600"/>
          <w:tab w:val="left" w:pos="4560"/>
          <w:tab w:val="left" w:pos="6600"/>
        </w:tabs>
        <w:autoSpaceDE w:val="0"/>
        <w:autoSpaceDN w:val="0"/>
        <w:adjustRightInd w:val="0"/>
        <w:rPr>
          <w:bCs/>
          <w:color w:val="000000"/>
          <w:szCs w:val="22"/>
          <w:lang w:val="hu-HU" w:eastAsia="hu-HU"/>
        </w:rPr>
      </w:pPr>
      <w:r>
        <w:rPr>
          <w:bCs/>
          <w:color w:val="000000"/>
          <w:szCs w:val="22"/>
          <w:lang w:val="hu-HU" w:eastAsia="hu-HU"/>
        </w:rPr>
        <w:t>OGYI-T-21108/14</w:t>
      </w:r>
      <w:r>
        <w:rPr>
          <w:bCs/>
          <w:color w:val="000000"/>
          <w:szCs w:val="22"/>
          <w:lang w:val="hu-HU" w:eastAsia="hu-HU"/>
        </w:rPr>
        <w:tab/>
        <w:t>28×</w:t>
      </w:r>
      <w:r>
        <w:rPr>
          <w:bCs/>
          <w:color w:val="000000"/>
          <w:szCs w:val="22"/>
          <w:lang w:val="hu-HU" w:eastAsia="hu-HU"/>
        </w:rPr>
        <w:tab/>
        <w:t>OPA/Al/PVC//PET/Al buborékcsomagolás</w:t>
      </w:r>
    </w:p>
    <w:p w:rsidR="00AF6E51" w:rsidRDefault="000A4EAB">
      <w:pPr>
        <w:tabs>
          <w:tab w:val="left" w:pos="720"/>
          <w:tab w:val="left" w:pos="1440"/>
          <w:tab w:val="left" w:pos="2160"/>
          <w:tab w:val="left" w:pos="2268"/>
          <w:tab w:val="left" w:pos="3119"/>
          <w:tab w:val="left" w:pos="3600"/>
          <w:tab w:val="left" w:pos="4560"/>
          <w:tab w:val="left" w:pos="6600"/>
        </w:tabs>
        <w:autoSpaceDE w:val="0"/>
        <w:autoSpaceDN w:val="0"/>
        <w:adjustRightInd w:val="0"/>
        <w:rPr>
          <w:bCs/>
          <w:color w:val="000000"/>
          <w:szCs w:val="22"/>
          <w:lang w:val="hu-HU" w:eastAsia="hu-HU"/>
        </w:rPr>
      </w:pPr>
      <w:r>
        <w:rPr>
          <w:bCs/>
          <w:color w:val="000000"/>
          <w:szCs w:val="22"/>
          <w:lang w:val="hu-HU" w:eastAsia="hu-HU"/>
        </w:rPr>
        <w:t>OGYI-T-21108/15</w:t>
      </w:r>
      <w:r>
        <w:rPr>
          <w:bCs/>
          <w:color w:val="000000"/>
          <w:szCs w:val="22"/>
          <w:lang w:val="hu-HU" w:eastAsia="hu-HU"/>
        </w:rPr>
        <w:tab/>
        <w:t>30×</w:t>
      </w:r>
      <w:r>
        <w:rPr>
          <w:bCs/>
          <w:color w:val="000000"/>
          <w:szCs w:val="22"/>
          <w:lang w:val="hu-HU" w:eastAsia="hu-HU"/>
        </w:rPr>
        <w:tab/>
        <w:t>OPA/Al/PVC//papír/PET/Al buborékcsomagolás</w:t>
      </w:r>
    </w:p>
    <w:p w:rsidR="00AF6E51" w:rsidRDefault="000A4EAB">
      <w:pPr>
        <w:tabs>
          <w:tab w:val="left" w:pos="720"/>
          <w:tab w:val="left" w:pos="1440"/>
          <w:tab w:val="left" w:pos="2160"/>
          <w:tab w:val="left" w:pos="2268"/>
          <w:tab w:val="left" w:pos="3119"/>
          <w:tab w:val="left" w:pos="3600"/>
          <w:tab w:val="left" w:pos="4560"/>
          <w:tab w:val="left" w:pos="6600"/>
        </w:tabs>
        <w:autoSpaceDE w:val="0"/>
        <w:autoSpaceDN w:val="0"/>
        <w:adjustRightInd w:val="0"/>
        <w:rPr>
          <w:bCs/>
          <w:color w:val="000000"/>
          <w:szCs w:val="22"/>
          <w:lang w:val="hu-HU" w:eastAsia="hu-HU"/>
        </w:rPr>
      </w:pPr>
      <w:r>
        <w:rPr>
          <w:bCs/>
          <w:color w:val="000000"/>
          <w:szCs w:val="22"/>
          <w:lang w:val="hu-HU" w:eastAsia="hu-HU"/>
        </w:rPr>
        <w:t>OGYI-T-21108/16</w:t>
      </w:r>
      <w:r>
        <w:rPr>
          <w:bCs/>
          <w:color w:val="000000"/>
          <w:szCs w:val="22"/>
          <w:lang w:val="hu-HU" w:eastAsia="hu-HU"/>
        </w:rPr>
        <w:tab/>
        <w:t>30×</w:t>
      </w:r>
      <w:r>
        <w:rPr>
          <w:bCs/>
          <w:color w:val="000000"/>
          <w:szCs w:val="22"/>
          <w:lang w:val="hu-HU" w:eastAsia="hu-HU"/>
        </w:rPr>
        <w:tab/>
        <w:t>OPA/Al/PVC//PET/Al buborékcsomagolás</w:t>
      </w:r>
    </w:p>
    <w:p w:rsidR="00AF6E51" w:rsidRDefault="000A4EAB">
      <w:pPr>
        <w:tabs>
          <w:tab w:val="left" w:pos="720"/>
          <w:tab w:val="left" w:pos="1440"/>
          <w:tab w:val="left" w:pos="2160"/>
          <w:tab w:val="left" w:pos="2268"/>
          <w:tab w:val="left" w:pos="3119"/>
          <w:tab w:val="left" w:pos="3600"/>
          <w:tab w:val="left" w:pos="4560"/>
          <w:tab w:val="left" w:pos="6600"/>
        </w:tabs>
        <w:autoSpaceDE w:val="0"/>
        <w:autoSpaceDN w:val="0"/>
        <w:adjustRightInd w:val="0"/>
        <w:rPr>
          <w:bCs/>
          <w:color w:val="000000"/>
          <w:szCs w:val="22"/>
          <w:lang w:val="hu-HU" w:eastAsia="hu-HU"/>
        </w:rPr>
      </w:pPr>
      <w:r>
        <w:rPr>
          <w:bCs/>
          <w:color w:val="000000"/>
          <w:szCs w:val="22"/>
          <w:lang w:val="hu-HU" w:eastAsia="hu-HU"/>
        </w:rPr>
        <w:t>OGYI-T-21108/17</w:t>
      </w:r>
      <w:r>
        <w:rPr>
          <w:bCs/>
          <w:color w:val="000000"/>
          <w:szCs w:val="22"/>
          <w:lang w:val="hu-HU" w:eastAsia="hu-HU"/>
        </w:rPr>
        <w:tab/>
        <w:t>56×</w:t>
      </w:r>
      <w:r>
        <w:rPr>
          <w:bCs/>
          <w:color w:val="000000"/>
          <w:szCs w:val="22"/>
          <w:lang w:val="hu-HU" w:eastAsia="hu-HU"/>
        </w:rPr>
        <w:tab/>
        <w:t>OPA/Al/PVC//papír/PET/Al buborékcsomagolás</w:t>
      </w:r>
    </w:p>
    <w:p w:rsidR="00AF6E51" w:rsidRDefault="000A4EAB">
      <w:pPr>
        <w:tabs>
          <w:tab w:val="left" w:pos="720"/>
          <w:tab w:val="left" w:pos="2160"/>
          <w:tab w:val="left" w:pos="2268"/>
          <w:tab w:val="left" w:pos="3119"/>
          <w:tab w:val="left" w:pos="3600"/>
          <w:tab w:val="left" w:pos="4560"/>
          <w:tab w:val="left" w:pos="6600"/>
        </w:tabs>
        <w:autoSpaceDE w:val="0"/>
        <w:autoSpaceDN w:val="0"/>
        <w:adjustRightInd w:val="0"/>
        <w:rPr>
          <w:bCs/>
          <w:color w:val="000000"/>
          <w:szCs w:val="22"/>
          <w:lang w:val="hu-HU" w:eastAsia="hu-HU"/>
        </w:rPr>
      </w:pPr>
      <w:r>
        <w:rPr>
          <w:bCs/>
          <w:color w:val="000000"/>
          <w:szCs w:val="22"/>
          <w:lang w:val="hu-HU" w:eastAsia="hu-HU"/>
        </w:rPr>
        <w:t>OGYI-T-21108/18</w:t>
      </w:r>
      <w:r>
        <w:rPr>
          <w:bCs/>
          <w:color w:val="000000"/>
          <w:szCs w:val="22"/>
          <w:lang w:val="hu-HU" w:eastAsia="hu-HU"/>
        </w:rPr>
        <w:tab/>
        <w:t>56×</w:t>
      </w:r>
      <w:r>
        <w:rPr>
          <w:bCs/>
          <w:color w:val="000000"/>
          <w:szCs w:val="22"/>
          <w:lang w:val="hu-HU" w:eastAsia="hu-HU"/>
        </w:rPr>
        <w:tab/>
        <w:t>OPA/Al/PVC//PET/Al buborékcsomagolás</w:t>
      </w:r>
    </w:p>
    <w:p w:rsidR="00AF6E51" w:rsidRDefault="000A4EAB">
      <w:pPr>
        <w:tabs>
          <w:tab w:val="left" w:pos="720"/>
          <w:tab w:val="left" w:pos="1440"/>
          <w:tab w:val="left" w:pos="2160"/>
          <w:tab w:val="left" w:pos="2268"/>
          <w:tab w:val="left" w:pos="3119"/>
          <w:tab w:val="left" w:pos="3600"/>
          <w:tab w:val="left" w:pos="4560"/>
          <w:tab w:val="left" w:pos="6600"/>
        </w:tabs>
        <w:autoSpaceDE w:val="0"/>
        <w:autoSpaceDN w:val="0"/>
        <w:adjustRightInd w:val="0"/>
        <w:rPr>
          <w:bCs/>
          <w:color w:val="000000"/>
          <w:szCs w:val="22"/>
          <w:lang w:val="hu-HU" w:eastAsia="hu-HU"/>
        </w:rPr>
      </w:pPr>
      <w:r>
        <w:rPr>
          <w:bCs/>
          <w:color w:val="000000"/>
          <w:szCs w:val="22"/>
          <w:lang w:val="hu-HU" w:eastAsia="hu-HU"/>
        </w:rPr>
        <w:t>OGYI-T-21108/19</w:t>
      </w:r>
      <w:r>
        <w:rPr>
          <w:bCs/>
          <w:color w:val="000000"/>
          <w:szCs w:val="22"/>
          <w:lang w:val="hu-HU" w:eastAsia="hu-HU"/>
        </w:rPr>
        <w:tab/>
        <w:t>60×</w:t>
      </w:r>
      <w:r>
        <w:rPr>
          <w:bCs/>
          <w:color w:val="000000"/>
          <w:szCs w:val="22"/>
          <w:lang w:val="hu-HU" w:eastAsia="hu-HU"/>
        </w:rPr>
        <w:tab/>
        <w:t>OPA/Al/PVC//papír/PET/Al buborékcsomagolás</w:t>
      </w:r>
    </w:p>
    <w:p w:rsidR="00AF6E51" w:rsidRDefault="000A4EAB">
      <w:pPr>
        <w:tabs>
          <w:tab w:val="left" w:pos="720"/>
          <w:tab w:val="left" w:pos="2160"/>
          <w:tab w:val="left" w:pos="2268"/>
          <w:tab w:val="left" w:pos="3119"/>
          <w:tab w:val="left" w:pos="3600"/>
          <w:tab w:val="left" w:pos="4560"/>
          <w:tab w:val="left" w:pos="6600"/>
        </w:tabs>
        <w:autoSpaceDE w:val="0"/>
        <w:autoSpaceDN w:val="0"/>
        <w:adjustRightInd w:val="0"/>
        <w:rPr>
          <w:bCs/>
          <w:color w:val="000000"/>
          <w:szCs w:val="22"/>
          <w:lang w:val="hu-HU" w:eastAsia="hu-HU"/>
        </w:rPr>
      </w:pPr>
      <w:r>
        <w:rPr>
          <w:bCs/>
          <w:color w:val="000000"/>
          <w:szCs w:val="22"/>
          <w:lang w:val="hu-HU" w:eastAsia="hu-HU"/>
        </w:rPr>
        <w:t>OGYI-T-21108/20</w:t>
      </w:r>
      <w:r>
        <w:rPr>
          <w:bCs/>
          <w:color w:val="000000"/>
          <w:szCs w:val="22"/>
          <w:lang w:val="hu-HU" w:eastAsia="hu-HU"/>
        </w:rPr>
        <w:tab/>
        <w:t>60×</w:t>
      </w:r>
      <w:r>
        <w:rPr>
          <w:bCs/>
          <w:color w:val="000000"/>
          <w:szCs w:val="22"/>
          <w:lang w:val="hu-HU" w:eastAsia="hu-HU"/>
        </w:rPr>
        <w:tab/>
        <w:t>OPA/Al/PVC//PET/Al buborékcsomagolás</w:t>
      </w:r>
    </w:p>
    <w:p w:rsidR="00AF6E51" w:rsidRDefault="000A4EAB">
      <w:pPr>
        <w:tabs>
          <w:tab w:val="left" w:pos="720"/>
          <w:tab w:val="left" w:pos="2160"/>
          <w:tab w:val="left" w:pos="2268"/>
          <w:tab w:val="left" w:pos="3119"/>
          <w:tab w:val="left" w:pos="3600"/>
          <w:tab w:val="left" w:pos="4560"/>
          <w:tab w:val="left" w:pos="6600"/>
        </w:tabs>
        <w:autoSpaceDE w:val="0"/>
        <w:autoSpaceDN w:val="0"/>
        <w:adjustRightInd w:val="0"/>
        <w:rPr>
          <w:bCs/>
          <w:color w:val="000000"/>
          <w:szCs w:val="22"/>
          <w:lang w:val="hu-HU" w:eastAsia="hu-HU"/>
        </w:rPr>
      </w:pPr>
      <w:r>
        <w:rPr>
          <w:bCs/>
          <w:color w:val="000000"/>
          <w:szCs w:val="22"/>
          <w:lang w:val="hu-HU" w:eastAsia="hu-HU"/>
        </w:rPr>
        <w:t>OGYI-T-21108/21</w:t>
      </w:r>
      <w:r>
        <w:rPr>
          <w:bCs/>
          <w:color w:val="000000"/>
          <w:szCs w:val="22"/>
          <w:lang w:val="hu-HU" w:eastAsia="hu-HU"/>
        </w:rPr>
        <w:tab/>
        <w:t>84×</w:t>
      </w:r>
      <w:r>
        <w:rPr>
          <w:bCs/>
          <w:color w:val="000000"/>
          <w:szCs w:val="22"/>
          <w:lang w:val="hu-HU" w:eastAsia="hu-HU"/>
        </w:rPr>
        <w:tab/>
        <w:t>OPA/Al/PVC//papír/PET/Al buborékcsomagolás</w:t>
      </w:r>
    </w:p>
    <w:p w:rsidR="00AF6E51" w:rsidRDefault="000A4EAB">
      <w:pPr>
        <w:tabs>
          <w:tab w:val="left" w:pos="720"/>
          <w:tab w:val="left" w:pos="1440"/>
          <w:tab w:val="left" w:pos="2160"/>
          <w:tab w:val="left" w:pos="2268"/>
          <w:tab w:val="left" w:pos="3119"/>
          <w:tab w:val="left" w:pos="3600"/>
          <w:tab w:val="left" w:pos="4560"/>
          <w:tab w:val="left" w:pos="6600"/>
        </w:tabs>
        <w:autoSpaceDE w:val="0"/>
        <w:autoSpaceDN w:val="0"/>
        <w:adjustRightInd w:val="0"/>
        <w:rPr>
          <w:bCs/>
          <w:color w:val="000000"/>
          <w:szCs w:val="22"/>
          <w:lang w:val="hu-HU" w:eastAsia="hu-HU"/>
        </w:rPr>
      </w:pPr>
      <w:r>
        <w:rPr>
          <w:bCs/>
          <w:color w:val="000000"/>
          <w:szCs w:val="22"/>
          <w:lang w:val="hu-HU" w:eastAsia="hu-HU"/>
        </w:rPr>
        <w:t>OGYI-T-21108/22</w:t>
      </w:r>
      <w:r>
        <w:rPr>
          <w:bCs/>
          <w:color w:val="000000"/>
          <w:szCs w:val="22"/>
          <w:lang w:val="hu-HU" w:eastAsia="hu-HU"/>
        </w:rPr>
        <w:tab/>
        <w:t>84×</w:t>
      </w:r>
      <w:r>
        <w:rPr>
          <w:bCs/>
          <w:color w:val="000000"/>
          <w:szCs w:val="22"/>
          <w:lang w:val="hu-HU" w:eastAsia="hu-HU"/>
        </w:rPr>
        <w:tab/>
        <w:t>OPA/Al/PVC//PET/Al buborékcsomagolás</w:t>
      </w:r>
    </w:p>
    <w:p w:rsidR="00AF6E51" w:rsidRDefault="000A4EAB">
      <w:pPr>
        <w:tabs>
          <w:tab w:val="left" w:pos="720"/>
          <w:tab w:val="left" w:pos="2160"/>
          <w:tab w:val="left" w:pos="2268"/>
          <w:tab w:val="left" w:pos="3119"/>
          <w:tab w:val="left" w:pos="3600"/>
          <w:tab w:val="left" w:pos="4560"/>
          <w:tab w:val="left" w:pos="6600"/>
        </w:tabs>
        <w:autoSpaceDE w:val="0"/>
        <w:autoSpaceDN w:val="0"/>
        <w:adjustRightInd w:val="0"/>
        <w:rPr>
          <w:bCs/>
          <w:color w:val="000000"/>
          <w:szCs w:val="22"/>
          <w:lang w:val="hu-HU" w:eastAsia="hu-HU"/>
        </w:rPr>
      </w:pPr>
      <w:r>
        <w:rPr>
          <w:bCs/>
          <w:color w:val="000000"/>
          <w:szCs w:val="22"/>
          <w:lang w:val="hu-HU" w:eastAsia="hu-HU"/>
        </w:rPr>
        <w:t>OGYI-T-21108/23</w:t>
      </w:r>
      <w:r>
        <w:rPr>
          <w:bCs/>
          <w:color w:val="000000"/>
          <w:szCs w:val="22"/>
          <w:lang w:val="hu-HU" w:eastAsia="hu-HU"/>
        </w:rPr>
        <w:tab/>
        <w:t>90×</w:t>
      </w:r>
      <w:r>
        <w:rPr>
          <w:bCs/>
          <w:color w:val="000000"/>
          <w:szCs w:val="22"/>
          <w:lang w:val="hu-HU" w:eastAsia="hu-HU"/>
        </w:rPr>
        <w:tab/>
        <w:t>OPA/Al/PVC//papír/PET/Al buborékcsomagolás</w:t>
      </w:r>
    </w:p>
    <w:p w:rsidR="00AF6E51" w:rsidRDefault="000A4EAB">
      <w:pPr>
        <w:tabs>
          <w:tab w:val="left" w:pos="720"/>
          <w:tab w:val="left" w:pos="2160"/>
          <w:tab w:val="left" w:pos="2268"/>
          <w:tab w:val="left" w:pos="3119"/>
          <w:tab w:val="left" w:pos="3600"/>
          <w:tab w:val="left" w:pos="4560"/>
          <w:tab w:val="left" w:pos="6600"/>
        </w:tabs>
        <w:autoSpaceDE w:val="0"/>
        <w:autoSpaceDN w:val="0"/>
        <w:adjustRightInd w:val="0"/>
        <w:rPr>
          <w:bCs/>
          <w:color w:val="000000"/>
          <w:szCs w:val="22"/>
          <w:lang w:val="hu-HU" w:eastAsia="hu-HU"/>
        </w:rPr>
      </w:pPr>
      <w:r>
        <w:rPr>
          <w:bCs/>
          <w:color w:val="000000"/>
          <w:szCs w:val="22"/>
          <w:lang w:val="hu-HU" w:eastAsia="hu-HU"/>
        </w:rPr>
        <w:t>OGYI-T-21108/24</w:t>
      </w:r>
      <w:r>
        <w:rPr>
          <w:bCs/>
          <w:color w:val="000000"/>
          <w:szCs w:val="22"/>
          <w:lang w:val="hu-HU" w:eastAsia="hu-HU"/>
        </w:rPr>
        <w:tab/>
        <w:t>90×</w:t>
      </w:r>
      <w:r>
        <w:rPr>
          <w:bCs/>
          <w:color w:val="000000"/>
          <w:szCs w:val="22"/>
          <w:lang w:val="hu-HU" w:eastAsia="hu-HU"/>
        </w:rPr>
        <w:tab/>
        <w:t>OPA/Al/PVC//PET/Al buborékcsomagolás</w:t>
      </w:r>
    </w:p>
    <w:p w:rsidR="00AF6E51" w:rsidRDefault="00AF6E51">
      <w:pPr>
        <w:tabs>
          <w:tab w:val="left" w:pos="1440"/>
          <w:tab w:val="left" w:pos="4560"/>
          <w:tab w:val="left" w:pos="6600"/>
        </w:tabs>
        <w:autoSpaceDE w:val="0"/>
        <w:autoSpaceDN w:val="0"/>
        <w:adjustRightInd w:val="0"/>
        <w:rPr>
          <w:b/>
          <w:bCs/>
          <w:color w:val="000000"/>
          <w:szCs w:val="22"/>
          <w:lang w:val="hu-HU" w:eastAsia="hu-HU"/>
        </w:rPr>
      </w:pPr>
    </w:p>
    <w:p w:rsidR="00AF6E51" w:rsidRDefault="000A4EAB">
      <w:pPr>
        <w:autoSpaceDE w:val="0"/>
        <w:autoSpaceDN w:val="0"/>
        <w:adjustRightInd w:val="0"/>
        <w:rPr>
          <w:bCs/>
          <w:color w:val="000000"/>
          <w:szCs w:val="22"/>
          <w:u w:val="single"/>
          <w:lang w:val="hu-HU" w:eastAsia="hu-HU"/>
        </w:rPr>
      </w:pPr>
      <w:r>
        <w:rPr>
          <w:bCs/>
          <w:color w:val="000000"/>
          <w:szCs w:val="22"/>
          <w:u w:val="single"/>
          <w:lang w:val="hu-HU" w:eastAsia="hu-HU"/>
        </w:rPr>
        <w:t>Elicea Q-Tab 10 mg szájban diszpergálódó tabletta</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OGYI-T-21108/25</w:t>
      </w:r>
      <w:r>
        <w:rPr>
          <w:bCs/>
          <w:color w:val="000000"/>
          <w:szCs w:val="22"/>
          <w:lang w:val="hu-HU" w:eastAsia="hu-HU"/>
        </w:rPr>
        <w:tab/>
        <w:t>28×</w:t>
      </w:r>
      <w:r>
        <w:rPr>
          <w:bCs/>
          <w:color w:val="000000"/>
          <w:szCs w:val="22"/>
          <w:lang w:val="hu-HU" w:eastAsia="hu-HU"/>
        </w:rPr>
        <w:tab/>
        <w:t>OPA/Al/PVC//papír/PET/Al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OGYI-T-21108/26</w:t>
      </w:r>
      <w:r>
        <w:rPr>
          <w:bCs/>
          <w:color w:val="000000"/>
          <w:szCs w:val="22"/>
          <w:lang w:val="hu-HU" w:eastAsia="hu-HU"/>
        </w:rPr>
        <w:tab/>
        <w:t>28×</w:t>
      </w:r>
      <w:r>
        <w:rPr>
          <w:bCs/>
          <w:color w:val="000000"/>
          <w:szCs w:val="22"/>
          <w:lang w:val="hu-HU" w:eastAsia="hu-HU"/>
        </w:rPr>
        <w:tab/>
        <w:t>OPA/Al/PVC//PET/Al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OGYI-T-21108/27</w:t>
      </w:r>
      <w:r>
        <w:rPr>
          <w:bCs/>
          <w:color w:val="000000"/>
          <w:szCs w:val="22"/>
          <w:lang w:val="hu-HU" w:eastAsia="hu-HU"/>
        </w:rPr>
        <w:tab/>
        <w:t>30×</w:t>
      </w:r>
      <w:r>
        <w:rPr>
          <w:bCs/>
          <w:color w:val="000000"/>
          <w:szCs w:val="22"/>
          <w:lang w:val="hu-HU" w:eastAsia="hu-HU"/>
        </w:rPr>
        <w:tab/>
        <w:t>OPA/Al/PVC//papír/PET/Al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OGYI-T-21108/28</w:t>
      </w:r>
      <w:r>
        <w:rPr>
          <w:bCs/>
          <w:color w:val="000000"/>
          <w:szCs w:val="22"/>
          <w:lang w:val="hu-HU" w:eastAsia="hu-HU"/>
        </w:rPr>
        <w:tab/>
        <w:t>30×</w:t>
      </w:r>
      <w:r>
        <w:rPr>
          <w:bCs/>
          <w:color w:val="000000"/>
          <w:szCs w:val="22"/>
          <w:lang w:val="hu-HU" w:eastAsia="hu-HU"/>
        </w:rPr>
        <w:tab/>
        <w:t>OPA/Al/PVC//PET/Al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OGYI-T-21108/29</w:t>
      </w:r>
      <w:r>
        <w:rPr>
          <w:bCs/>
          <w:color w:val="000000"/>
          <w:szCs w:val="22"/>
          <w:lang w:val="hu-HU" w:eastAsia="hu-HU"/>
        </w:rPr>
        <w:tab/>
        <w:t>56×</w:t>
      </w:r>
      <w:r>
        <w:rPr>
          <w:bCs/>
          <w:color w:val="000000"/>
          <w:szCs w:val="22"/>
          <w:lang w:val="hu-HU" w:eastAsia="hu-HU"/>
        </w:rPr>
        <w:tab/>
        <w:t>OPA/Al/PVC//papír/PET/Al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OGYI-T-21108/30</w:t>
      </w:r>
      <w:r>
        <w:rPr>
          <w:bCs/>
          <w:color w:val="000000"/>
          <w:szCs w:val="22"/>
          <w:lang w:val="hu-HU" w:eastAsia="hu-HU"/>
        </w:rPr>
        <w:tab/>
        <w:t>56×</w:t>
      </w:r>
      <w:r>
        <w:rPr>
          <w:bCs/>
          <w:color w:val="000000"/>
          <w:szCs w:val="22"/>
          <w:lang w:val="hu-HU" w:eastAsia="hu-HU"/>
        </w:rPr>
        <w:tab/>
        <w:t>OPA/Al/PVC//PET/Al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OGYI-T-21108/31</w:t>
      </w:r>
      <w:r>
        <w:rPr>
          <w:bCs/>
          <w:color w:val="000000"/>
          <w:szCs w:val="22"/>
          <w:lang w:val="hu-HU" w:eastAsia="hu-HU"/>
        </w:rPr>
        <w:tab/>
        <w:t>60×</w:t>
      </w:r>
      <w:r>
        <w:rPr>
          <w:bCs/>
          <w:color w:val="000000"/>
          <w:szCs w:val="22"/>
          <w:lang w:val="hu-HU" w:eastAsia="hu-HU"/>
        </w:rPr>
        <w:tab/>
        <w:t>OPA/Al/PVC//papír/PET/Al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OGYI-T-21108/32</w:t>
      </w:r>
      <w:r>
        <w:rPr>
          <w:bCs/>
          <w:color w:val="000000"/>
          <w:szCs w:val="22"/>
          <w:lang w:val="hu-HU" w:eastAsia="hu-HU"/>
        </w:rPr>
        <w:tab/>
        <w:t>60×</w:t>
      </w:r>
      <w:r>
        <w:rPr>
          <w:bCs/>
          <w:color w:val="000000"/>
          <w:szCs w:val="22"/>
          <w:lang w:val="hu-HU" w:eastAsia="hu-HU"/>
        </w:rPr>
        <w:tab/>
        <w:t>OPA/Al/PVC//PET/Al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OGYI-T-21108/33</w:t>
      </w:r>
      <w:r>
        <w:rPr>
          <w:bCs/>
          <w:color w:val="000000"/>
          <w:szCs w:val="22"/>
          <w:lang w:val="hu-HU" w:eastAsia="hu-HU"/>
        </w:rPr>
        <w:tab/>
        <w:t>84×</w:t>
      </w:r>
      <w:r>
        <w:rPr>
          <w:bCs/>
          <w:color w:val="000000"/>
          <w:szCs w:val="22"/>
          <w:lang w:val="hu-HU" w:eastAsia="hu-HU"/>
        </w:rPr>
        <w:tab/>
        <w:t>OPA/Al/PVC//papír/PET/Al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OGYI-T-21108/34</w:t>
      </w:r>
      <w:r>
        <w:rPr>
          <w:bCs/>
          <w:color w:val="000000"/>
          <w:szCs w:val="22"/>
          <w:lang w:val="hu-HU" w:eastAsia="hu-HU"/>
        </w:rPr>
        <w:tab/>
        <w:t>84×</w:t>
      </w:r>
      <w:r>
        <w:rPr>
          <w:bCs/>
          <w:color w:val="000000"/>
          <w:szCs w:val="22"/>
          <w:lang w:val="hu-HU" w:eastAsia="hu-HU"/>
        </w:rPr>
        <w:tab/>
        <w:t>OPA/Al/PVC//PET/Al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OGYI-T-21108/35</w:t>
      </w:r>
      <w:r>
        <w:rPr>
          <w:bCs/>
          <w:color w:val="000000"/>
          <w:szCs w:val="22"/>
          <w:lang w:val="hu-HU" w:eastAsia="hu-HU"/>
        </w:rPr>
        <w:tab/>
        <w:t>90×</w:t>
      </w:r>
      <w:r>
        <w:rPr>
          <w:bCs/>
          <w:color w:val="000000"/>
          <w:szCs w:val="22"/>
          <w:lang w:val="hu-HU" w:eastAsia="hu-HU"/>
        </w:rPr>
        <w:tab/>
        <w:t>OPA/Al/PVC//papír/PET/Al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OGYI-T-21108/36</w:t>
      </w:r>
      <w:r>
        <w:rPr>
          <w:bCs/>
          <w:color w:val="000000"/>
          <w:szCs w:val="22"/>
          <w:lang w:val="hu-HU" w:eastAsia="hu-HU"/>
        </w:rPr>
        <w:tab/>
        <w:t>90×</w:t>
      </w:r>
      <w:r>
        <w:rPr>
          <w:bCs/>
          <w:color w:val="000000"/>
          <w:szCs w:val="22"/>
          <w:lang w:val="hu-HU" w:eastAsia="hu-HU"/>
        </w:rPr>
        <w:tab/>
        <w:t>OPA/Al/PVC//PET/Al buborékcsomagolás</w:t>
      </w:r>
    </w:p>
    <w:p w:rsidR="00AF6E51" w:rsidRDefault="00AF6E51">
      <w:pPr>
        <w:tabs>
          <w:tab w:val="left" w:pos="1440"/>
          <w:tab w:val="left" w:pos="4560"/>
          <w:tab w:val="left" w:pos="6600"/>
        </w:tabs>
        <w:autoSpaceDE w:val="0"/>
        <w:autoSpaceDN w:val="0"/>
        <w:adjustRightInd w:val="0"/>
        <w:rPr>
          <w:b/>
          <w:bCs/>
          <w:color w:val="000000"/>
          <w:szCs w:val="22"/>
          <w:lang w:val="hu-HU" w:eastAsia="hu-HU"/>
        </w:rPr>
      </w:pPr>
    </w:p>
    <w:p w:rsidR="00AF6E51" w:rsidRDefault="000A4EAB">
      <w:pPr>
        <w:autoSpaceDE w:val="0"/>
        <w:autoSpaceDN w:val="0"/>
        <w:adjustRightInd w:val="0"/>
        <w:rPr>
          <w:bCs/>
          <w:color w:val="000000"/>
          <w:szCs w:val="22"/>
          <w:u w:val="single"/>
          <w:lang w:val="hu-HU" w:eastAsia="hu-HU"/>
        </w:rPr>
      </w:pPr>
      <w:r>
        <w:rPr>
          <w:bCs/>
          <w:color w:val="000000"/>
          <w:szCs w:val="22"/>
          <w:u w:val="single"/>
          <w:lang w:val="hu-HU" w:eastAsia="hu-HU"/>
        </w:rPr>
        <w:t>Elicea Q-Tab 15 mg szájban diszpergálódó tabletta</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OGYI-T-21108/37</w:t>
      </w:r>
      <w:r>
        <w:rPr>
          <w:bCs/>
          <w:color w:val="000000"/>
          <w:szCs w:val="22"/>
          <w:lang w:val="hu-HU" w:eastAsia="hu-HU"/>
        </w:rPr>
        <w:tab/>
        <w:t>28×</w:t>
      </w:r>
      <w:r>
        <w:rPr>
          <w:bCs/>
          <w:color w:val="000000"/>
          <w:szCs w:val="22"/>
          <w:lang w:val="hu-HU" w:eastAsia="hu-HU"/>
        </w:rPr>
        <w:tab/>
        <w:t>OPA/Al/PVC//papír/PET/Al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OGYI-T-21108/38</w:t>
      </w:r>
      <w:r>
        <w:rPr>
          <w:bCs/>
          <w:color w:val="000000"/>
          <w:szCs w:val="22"/>
          <w:lang w:val="hu-HU" w:eastAsia="hu-HU"/>
        </w:rPr>
        <w:tab/>
        <w:t>28×</w:t>
      </w:r>
      <w:r>
        <w:rPr>
          <w:bCs/>
          <w:color w:val="000000"/>
          <w:szCs w:val="22"/>
          <w:lang w:val="hu-HU" w:eastAsia="hu-HU"/>
        </w:rPr>
        <w:tab/>
        <w:t>OPA/Al/PVC//PET/Al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OGYI-T-21108/39</w:t>
      </w:r>
      <w:r>
        <w:rPr>
          <w:bCs/>
          <w:color w:val="000000"/>
          <w:szCs w:val="22"/>
          <w:lang w:val="hu-HU" w:eastAsia="hu-HU"/>
        </w:rPr>
        <w:tab/>
        <w:t>30×</w:t>
      </w:r>
      <w:r>
        <w:rPr>
          <w:bCs/>
          <w:color w:val="000000"/>
          <w:szCs w:val="22"/>
          <w:lang w:val="hu-HU" w:eastAsia="hu-HU"/>
        </w:rPr>
        <w:tab/>
        <w:t>OPA/Al/PVC//papír/PET/Al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OGYI-T-21108/40</w:t>
      </w:r>
      <w:r>
        <w:rPr>
          <w:bCs/>
          <w:color w:val="000000"/>
          <w:szCs w:val="22"/>
          <w:lang w:val="hu-HU" w:eastAsia="hu-HU"/>
        </w:rPr>
        <w:tab/>
        <w:t>30×</w:t>
      </w:r>
      <w:r>
        <w:rPr>
          <w:bCs/>
          <w:color w:val="000000"/>
          <w:szCs w:val="22"/>
          <w:lang w:val="hu-HU" w:eastAsia="hu-HU"/>
        </w:rPr>
        <w:tab/>
        <w:t>OPA/Al/PVC//PET/Al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OGYI-T-21108/41</w:t>
      </w:r>
      <w:r>
        <w:rPr>
          <w:bCs/>
          <w:color w:val="000000"/>
          <w:szCs w:val="22"/>
          <w:lang w:val="hu-HU" w:eastAsia="hu-HU"/>
        </w:rPr>
        <w:tab/>
        <w:t>56×</w:t>
      </w:r>
      <w:r>
        <w:rPr>
          <w:bCs/>
          <w:color w:val="000000"/>
          <w:szCs w:val="22"/>
          <w:lang w:val="hu-HU" w:eastAsia="hu-HU"/>
        </w:rPr>
        <w:tab/>
        <w:t>OPA/Al/PVC//papír/PET/Al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OGYI-T-21108/42</w:t>
      </w:r>
      <w:r>
        <w:rPr>
          <w:bCs/>
          <w:color w:val="000000"/>
          <w:szCs w:val="22"/>
          <w:lang w:val="hu-HU" w:eastAsia="hu-HU"/>
        </w:rPr>
        <w:tab/>
        <w:t>56×</w:t>
      </w:r>
      <w:r>
        <w:rPr>
          <w:bCs/>
          <w:color w:val="000000"/>
          <w:szCs w:val="22"/>
          <w:lang w:val="hu-HU" w:eastAsia="hu-HU"/>
        </w:rPr>
        <w:tab/>
        <w:t>OPA/Al/PVC//PET/Al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OGYI-T-21108/43</w:t>
      </w:r>
      <w:r>
        <w:rPr>
          <w:bCs/>
          <w:color w:val="000000"/>
          <w:szCs w:val="22"/>
          <w:lang w:val="hu-HU" w:eastAsia="hu-HU"/>
        </w:rPr>
        <w:tab/>
        <w:t>60×</w:t>
      </w:r>
      <w:r>
        <w:rPr>
          <w:bCs/>
          <w:color w:val="000000"/>
          <w:szCs w:val="22"/>
          <w:lang w:val="hu-HU" w:eastAsia="hu-HU"/>
        </w:rPr>
        <w:tab/>
        <w:t>OPA/Al/PVC//papír/PET/Al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OGYI-T-21108/44</w:t>
      </w:r>
      <w:r>
        <w:rPr>
          <w:bCs/>
          <w:color w:val="000000"/>
          <w:szCs w:val="22"/>
          <w:lang w:val="hu-HU" w:eastAsia="hu-HU"/>
        </w:rPr>
        <w:tab/>
        <w:t>60×</w:t>
      </w:r>
      <w:r>
        <w:rPr>
          <w:bCs/>
          <w:color w:val="000000"/>
          <w:szCs w:val="22"/>
          <w:lang w:val="hu-HU" w:eastAsia="hu-HU"/>
        </w:rPr>
        <w:tab/>
        <w:t>OPA/Al/PVC//PET/Al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OGYI-T-21108/45</w:t>
      </w:r>
      <w:r>
        <w:rPr>
          <w:bCs/>
          <w:color w:val="000000"/>
          <w:szCs w:val="22"/>
          <w:lang w:val="hu-HU" w:eastAsia="hu-HU"/>
        </w:rPr>
        <w:tab/>
        <w:t>84×</w:t>
      </w:r>
      <w:r>
        <w:rPr>
          <w:bCs/>
          <w:color w:val="000000"/>
          <w:szCs w:val="22"/>
          <w:lang w:val="hu-HU" w:eastAsia="hu-HU"/>
        </w:rPr>
        <w:tab/>
        <w:t>OPA/Al/PVC//papír/PET/Al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OGYI-T-21108/46</w:t>
      </w:r>
      <w:r>
        <w:rPr>
          <w:bCs/>
          <w:color w:val="000000"/>
          <w:szCs w:val="22"/>
          <w:lang w:val="hu-HU" w:eastAsia="hu-HU"/>
        </w:rPr>
        <w:tab/>
        <w:t>84×</w:t>
      </w:r>
      <w:r>
        <w:rPr>
          <w:bCs/>
          <w:color w:val="000000"/>
          <w:szCs w:val="22"/>
          <w:lang w:val="hu-HU" w:eastAsia="hu-HU"/>
        </w:rPr>
        <w:tab/>
        <w:t>OPA/Al/PVC//PET/Al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OGYI-T-21108/47</w:t>
      </w:r>
      <w:r>
        <w:rPr>
          <w:bCs/>
          <w:color w:val="000000"/>
          <w:szCs w:val="22"/>
          <w:lang w:val="hu-HU" w:eastAsia="hu-HU"/>
        </w:rPr>
        <w:tab/>
        <w:t>90×</w:t>
      </w:r>
      <w:r>
        <w:rPr>
          <w:bCs/>
          <w:color w:val="000000"/>
          <w:szCs w:val="22"/>
          <w:lang w:val="hu-HU" w:eastAsia="hu-HU"/>
        </w:rPr>
        <w:tab/>
        <w:t>OPA/Al/PVC//papír/PET/Al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OGYI-T-21108/48</w:t>
      </w:r>
      <w:r>
        <w:rPr>
          <w:bCs/>
          <w:color w:val="000000"/>
          <w:szCs w:val="22"/>
          <w:lang w:val="hu-HU" w:eastAsia="hu-HU"/>
        </w:rPr>
        <w:tab/>
        <w:t>90×</w:t>
      </w:r>
      <w:r>
        <w:rPr>
          <w:bCs/>
          <w:color w:val="000000"/>
          <w:szCs w:val="22"/>
          <w:lang w:val="hu-HU" w:eastAsia="hu-HU"/>
        </w:rPr>
        <w:tab/>
        <w:t>OPA/Al/PVC//PET/Al buborékcsomagolás</w:t>
      </w:r>
    </w:p>
    <w:p w:rsidR="00AF6E51" w:rsidRDefault="00AF6E51">
      <w:pPr>
        <w:tabs>
          <w:tab w:val="left" w:pos="1440"/>
          <w:tab w:val="left" w:pos="2268"/>
          <w:tab w:val="left" w:pos="3119"/>
        </w:tabs>
        <w:autoSpaceDE w:val="0"/>
        <w:autoSpaceDN w:val="0"/>
        <w:adjustRightInd w:val="0"/>
        <w:rPr>
          <w:b/>
          <w:bCs/>
          <w:color w:val="000000"/>
          <w:szCs w:val="22"/>
          <w:lang w:val="hu-HU" w:eastAsia="hu-HU"/>
        </w:rPr>
      </w:pPr>
    </w:p>
    <w:p w:rsidR="00AF6E51" w:rsidRDefault="000A4EAB">
      <w:pPr>
        <w:autoSpaceDE w:val="0"/>
        <w:autoSpaceDN w:val="0"/>
        <w:adjustRightInd w:val="0"/>
        <w:rPr>
          <w:bCs/>
          <w:color w:val="000000"/>
          <w:szCs w:val="22"/>
          <w:u w:val="single"/>
          <w:lang w:val="hu-HU" w:eastAsia="hu-HU"/>
        </w:rPr>
      </w:pPr>
      <w:r>
        <w:rPr>
          <w:bCs/>
          <w:color w:val="000000"/>
          <w:szCs w:val="22"/>
          <w:u w:val="single"/>
          <w:lang w:val="hu-HU" w:eastAsia="hu-HU"/>
        </w:rPr>
        <w:t>Elicea Q-Tab 20 mg szájban diszpergálódó tabletta</w:t>
      </w:r>
    </w:p>
    <w:p w:rsidR="00AF6E51" w:rsidRDefault="000A4EAB">
      <w:pPr>
        <w:autoSpaceDE w:val="0"/>
        <w:autoSpaceDN w:val="0"/>
        <w:adjustRightInd w:val="0"/>
        <w:rPr>
          <w:bCs/>
          <w:color w:val="000000"/>
          <w:szCs w:val="22"/>
          <w:lang w:val="hu-HU" w:eastAsia="hu-HU"/>
        </w:rPr>
      </w:pPr>
      <w:r>
        <w:rPr>
          <w:bCs/>
          <w:color w:val="000000"/>
          <w:szCs w:val="22"/>
          <w:lang w:val="hu-HU" w:eastAsia="hu-HU"/>
        </w:rPr>
        <w:t>OGYI-T-21108/49</w:t>
      </w:r>
      <w:r>
        <w:rPr>
          <w:bCs/>
          <w:color w:val="000000"/>
          <w:szCs w:val="22"/>
          <w:lang w:val="hu-HU" w:eastAsia="hu-HU"/>
        </w:rPr>
        <w:tab/>
        <w:t>28×</w:t>
      </w:r>
      <w:r>
        <w:rPr>
          <w:bCs/>
          <w:color w:val="000000"/>
          <w:szCs w:val="22"/>
          <w:lang w:val="hu-HU" w:eastAsia="hu-HU"/>
        </w:rPr>
        <w:tab/>
        <w:t>OPA/Al/PVC//papír/PET/Al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OGYI-T-21108/50</w:t>
      </w:r>
      <w:r>
        <w:rPr>
          <w:bCs/>
          <w:color w:val="000000"/>
          <w:szCs w:val="22"/>
          <w:lang w:val="hu-HU" w:eastAsia="hu-HU"/>
        </w:rPr>
        <w:tab/>
        <w:t>28×</w:t>
      </w:r>
      <w:r>
        <w:rPr>
          <w:bCs/>
          <w:color w:val="000000"/>
          <w:szCs w:val="22"/>
          <w:lang w:val="hu-HU" w:eastAsia="hu-HU"/>
        </w:rPr>
        <w:tab/>
        <w:t>OPA/Al/PVC//PET/Al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OGYI-T-21108/51</w:t>
      </w:r>
      <w:r>
        <w:rPr>
          <w:bCs/>
          <w:color w:val="000000"/>
          <w:szCs w:val="22"/>
          <w:lang w:val="hu-HU" w:eastAsia="hu-HU"/>
        </w:rPr>
        <w:tab/>
        <w:t>30×</w:t>
      </w:r>
      <w:r>
        <w:rPr>
          <w:bCs/>
          <w:color w:val="000000"/>
          <w:szCs w:val="22"/>
          <w:lang w:val="hu-HU" w:eastAsia="hu-HU"/>
        </w:rPr>
        <w:tab/>
        <w:t>OPA/Al/PVC//papír/PET/Al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OGYI-T-21108/52</w:t>
      </w:r>
      <w:r>
        <w:rPr>
          <w:bCs/>
          <w:color w:val="000000"/>
          <w:szCs w:val="22"/>
          <w:lang w:val="hu-HU" w:eastAsia="hu-HU"/>
        </w:rPr>
        <w:tab/>
        <w:t>30×</w:t>
      </w:r>
      <w:r>
        <w:rPr>
          <w:bCs/>
          <w:color w:val="000000"/>
          <w:szCs w:val="22"/>
          <w:lang w:val="hu-HU" w:eastAsia="hu-HU"/>
        </w:rPr>
        <w:tab/>
        <w:t>OPA/Al/PVC//PET/Al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OGYI-T-21108/53</w:t>
      </w:r>
      <w:r>
        <w:rPr>
          <w:bCs/>
          <w:color w:val="000000"/>
          <w:szCs w:val="22"/>
          <w:lang w:val="hu-HU" w:eastAsia="hu-HU"/>
        </w:rPr>
        <w:tab/>
        <w:t>56×</w:t>
      </w:r>
      <w:r>
        <w:rPr>
          <w:bCs/>
          <w:color w:val="000000"/>
          <w:szCs w:val="22"/>
          <w:lang w:val="hu-HU" w:eastAsia="hu-HU"/>
        </w:rPr>
        <w:tab/>
        <w:t>OPA/Al/PVC//papír/PET/Al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OGYI-T-21108/54</w:t>
      </w:r>
      <w:r>
        <w:rPr>
          <w:bCs/>
          <w:color w:val="000000"/>
          <w:szCs w:val="22"/>
          <w:lang w:val="hu-HU" w:eastAsia="hu-HU"/>
        </w:rPr>
        <w:tab/>
        <w:t>56×</w:t>
      </w:r>
      <w:r>
        <w:rPr>
          <w:bCs/>
          <w:color w:val="000000"/>
          <w:szCs w:val="22"/>
          <w:lang w:val="hu-HU" w:eastAsia="hu-HU"/>
        </w:rPr>
        <w:tab/>
        <w:t>OPA/Al/PVC//PET/Al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lastRenderedPageBreak/>
        <w:t>OGYI-T-21108/55</w:t>
      </w:r>
      <w:r>
        <w:rPr>
          <w:bCs/>
          <w:color w:val="000000"/>
          <w:szCs w:val="22"/>
          <w:lang w:val="hu-HU" w:eastAsia="hu-HU"/>
        </w:rPr>
        <w:tab/>
        <w:t>60×</w:t>
      </w:r>
      <w:r>
        <w:rPr>
          <w:bCs/>
          <w:color w:val="000000"/>
          <w:szCs w:val="22"/>
          <w:lang w:val="hu-HU" w:eastAsia="hu-HU"/>
        </w:rPr>
        <w:tab/>
        <w:t>OPA/Al/PVC//papír/PET/Al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OGYI-T-21108/56</w:t>
      </w:r>
      <w:r>
        <w:rPr>
          <w:bCs/>
          <w:color w:val="000000"/>
          <w:szCs w:val="22"/>
          <w:lang w:val="hu-HU" w:eastAsia="hu-HU"/>
        </w:rPr>
        <w:tab/>
        <w:t>60×</w:t>
      </w:r>
      <w:r>
        <w:rPr>
          <w:bCs/>
          <w:color w:val="000000"/>
          <w:szCs w:val="22"/>
          <w:lang w:val="hu-HU" w:eastAsia="hu-HU"/>
        </w:rPr>
        <w:tab/>
        <w:t>OPA/Al/PVC//PET/Al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OGYI-T-21108/57</w:t>
      </w:r>
      <w:r>
        <w:rPr>
          <w:bCs/>
          <w:color w:val="000000"/>
          <w:szCs w:val="22"/>
          <w:lang w:val="hu-HU" w:eastAsia="hu-HU"/>
        </w:rPr>
        <w:tab/>
        <w:t>84×</w:t>
      </w:r>
      <w:r>
        <w:rPr>
          <w:bCs/>
          <w:color w:val="000000"/>
          <w:szCs w:val="22"/>
          <w:lang w:val="hu-HU" w:eastAsia="hu-HU"/>
        </w:rPr>
        <w:tab/>
        <w:t>OPA/Al/PVC//papír/PET/Al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OGYI-T-21108/58</w:t>
      </w:r>
      <w:r>
        <w:rPr>
          <w:bCs/>
          <w:color w:val="000000"/>
          <w:szCs w:val="22"/>
          <w:lang w:val="hu-HU" w:eastAsia="hu-HU"/>
        </w:rPr>
        <w:tab/>
        <w:t>84×</w:t>
      </w:r>
      <w:r>
        <w:rPr>
          <w:bCs/>
          <w:color w:val="000000"/>
          <w:szCs w:val="22"/>
          <w:lang w:val="hu-HU" w:eastAsia="hu-HU"/>
        </w:rPr>
        <w:tab/>
        <w:t>OPA/Al/PVC//PET/Al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OGYI-T-21108/59</w:t>
      </w:r>
      <w:r>
        <w:rPr>
          <w:bCs/>
          <w:color w:val="000000"/>
          <w:szCs w:val="22"/>
          <w:lang w:val="hu-HU" w:eastAsia="hu-HU"/>
        </w:rPr>
        <w:tab/>
        <w:t>90×</w:t>
      </w:r>
      <w:r>
        <w:rPr>
          <w:bCs/>
          <w:color w:val="000000"/>
          <w:szCs w:val="22"/>
          <w:lang w:val="hu-HU" w:eastAsia="hu-HU"/>
        </w:rPr>
        <w:tab/>
        <w:t>OPA/Al/PVC//papír/PET/Al buborékcsomagolás</w:t>
      </w:r>
    </w:p>
    <w:p w:rsidR="00AF6E51" w:rsidRDefault="000A4EAB">
      <w:pPr>
        <w:tabs>
          <w:tab w:val="left" w:pos="1440"/>
          <w:tab w:val="left" w:pos="2268"/>
          <w:tab w:val="left" w:pos="3119"/>
        </w:tabs>
        <w:autoSpaceDE w:val="0"/>
        <w:autoSpaceDN w:val="0"/>
        <w:adjustRightInd w:val="0"/>
        <w:rPr>
          <w:bCs/>
          <w:color w:val="000000"/>
          <w:szCs w:val="22"/>
          <w:lang w:val="hu-HU" w:eastAsia="hu-HU"/>
        </w:rPr>
      </w:pPr>
      <w:r>
        <w:rPr>
          <w:bCs/>
          <w:color w:val="000000"/>
          <w:szCs w:val="22"/>
          <w:lang w:val="hu-HU" w:eastAsia="hu-HU"/>
        </w:rPr>
        <w:t>OGYI-T-21108/60</w:t>
      </w:r>
      <w:r>
        <w:rPr>
          <w:bCs/>
          <w:color w:val="000000"/>
          <w:szCs w:val="22"/>
          <w:lang w:val="hu-HU" w:eastAsia="hu-HU"/>
        </w:rPr>
        <w:tab/>
        <w:t>90×</w:t>
      </w:r>
      <w:r>
        <w:rPr>
          <w:bCs/>
          <w:color w:val="000000"/>
          <w:szCs w:val="22"/>
          <w:lang w:val="hu-HU" w:eastAsia="hu-HU"/>
        </w:rPr>
        <w:tab/>
        <w:t>OPA/Al/PVC//PET/Al buborékcsomagolás</w:t>
      </w:r>
    </w:p>
    <w:p w:rsidR="00AF6E51" w:rsidRDefault="00AF6E51">
      <w:pPr>
        <w:tabs>
          <w:tab w:val="left" w:pos="567"/>
        </w:tabs>
        <w:rPr>
          <w:szCs w:val="22"/>
          <w:lang w:val="hu-HU" w:eastAsia="en-US"/>
        </w:rPr>
      </w:pPr>
    </w:p>
    <w:p w:rsidR="00AF6E51" w:rsidRDefault="00AF6E51">
      <w:pPr>
        <w:tabs>
          <w:tab w:val="left" w:pos="567"/>
        </w:tabs>
        <w:rPr>
          <w:szCs w:val="22"/>
          <w:lang w:val="hu-HU" w:eastAsia="en-US"/>
        </w:rPr>
      </w:pPr>
    </w:p>
    <w:p w:rsidR="00AF6E51" w:rsidRDefault="000A4EAB">
      <w:pPr>
        <w:suppressAutoHyphens/>
        <w:ind w:left="567" w:hanging="567"/>
        <w:rPr>
          <w:b/>
          <w:szCs w:val="22"/>
          <w:lang w:val="hu-HU"/>
        </w:rPr>
      </w:pPr>
      <w:r>
        <w:rPr>
          <w:b/>
          <w:szCs w:val="22"/>
          <w:lang w:val="hu-HU"/>
        </w:rPr>
        <w:t>9.</w:t>
      </w:r>
      <w:r>
        <w:rPr>
          <w:b/>
          <w:szCs w:val="22"/>
          <w:lang w:val="hu-HU"/>
        </w:rPr>
        <w:tab/>
        <w:t>A FORGALOMBA HOZATALI ENGEDÉLY ELSŐ KIADÁSÁNAK / MEGÚJÍTÁSÁNAK DÁTUMA</w:t>
      </w:r>
    </w:p>
    <w:p w:rsidR="00AF6E51" w:rsidRDefault="00AF6E51">
      <w:pPr>
        <w:tabs>
          <w:tab w:val="left" w:pos="567"/>
        </w:tabs>
        <w:rPr>
          <w:i/>
          <w:szCs w:val="22"/>
          <w:lang w:val="hu-HU" w:eastAsia="en-US"/>
        </w:rPr>
      </w:pPr>
    </w:p>
    <w:p w:rsidR="00AF6E51" w:rsidRDefault="000A4EAB">
      <w:pPr>
        <w:tabs>
          <w:tab w:val="left" w:pos="567"/>
        </w:tabs>
        <w:autoSpaceDE w:val="0"/>
        <w:autoSpaceDN w:val="0"/>
        <w:adjustRightInd w:val="0"/>
        <w:rPr>
          <w:iCs/>
          <w:color w:val="000000"/>
          <w:szCs w:val="22"/>
          <w:lang w:val="hu-HU" w:eastAsia="en-US"/>
        </w:rPr>
      </w:pPr>
      <w:r>
        <w:rPr>
          <w:szCs w:val="22"/>
          <w:lang w:val="hu-HU" w:eastAsia="en-US"/>
        </w:rPr>
        <w:t>A forgalomba hozatali engedély első kiadásának dátuma</w:t>
      </w:r>
      <w:r>
        <w:rPr>
          <w:iCs/>
          <w:color w:val="000000"/>
          <w:szCs w:val="22"/>
          <w:lang w:val="hu-HU" w:eastAsia="en-US"/>
        </w:rPr>
        <w:t>: 2013. június 14.</w:t>
      </w:r>
    </w:p>
    <w:p w:rsidR="00AF6E51" w:rsidRDefault="00AF6E51">
      <w:pPr>
        <w:tabs>
          <w:tab w:val="left" w:pos="567"/>
        </w:tabs>
        <w:rPr>
          <w:noProof/>
          <w:szCs w:val="22"/>
          <w:lang w:eastAsia="en-US"/>
        </w:rPr>
      </w:pPr>
    </w:p>
    <w:p w:rsidR="00AF6E51" w:rsidRDefault="000A4EAB">
      <w:pPr>
        <w:tabs>
          <w:tab w:val="left" w:pos="567"/>
        </w:tabs>
        <w:rPr>
          <w:szCs w:val="22"/>
          <w:lang w:val="hu-HU" w:eastAsia="en-US"/>
        </w:rPr>
      </w:pPr>
      <w:r>
        <w:rPr>
          <w:noProof/>
          <w:szCs w:val="22"/>
          <w:lang w:eastAsia="en-US"/>
        </w:rPr>
        <w:t>A forgalomba hozatali engedély legutóbbi megújításának dátuma: 2019. október 31.</w:t>
      </w:r>
    </w:p>
    <w:p w:rsidR="00AF6E51" w:rsidRDefault="00AF6E51">
      <w:pPr>
        <w:tabs>
          <w:tab w:val="left" w:pos="567"/>
        </w:tabs>
        <w:rPr>
          <w:szCs w:val="22"/>
          <w:lang w:val="hu-HU" w:eastAsia="en-US"/>
        </w:rPr>
      </w:pPr>
    </w:p>
    <w:p w:rsidR="00AF6E51" w:rsidRDefault="00AF6E51">
      <w:pPr>
        <w:tabs>
          <w:tab w:val="left" w:pos="567"/>
        </w:tabs>
        <w:rPr>
          <w:szCs w:val="22"/>
          <w:lang w:val="hu-HU" w:eastAsia="en-US"/>
        </w:rPr>
      </w:pPr>
    </w:p>
    <w:p w:rsidR="00AF6E51" w:rsidRDefault="000A4EAB">
      <w:pPr>
        <w:suppressAutoHyphens/>
        <w:ind w:left="567" w:hanging="567"/>
        <w:rPr>
          <w:szCs w:val="22"/>
          <w:lang w:val="hu-HU" w:eastAsia="en-US"/>
        </w:rPr>
      </w:pPr>
      <w:r>
        <w:rPr>
          <w:b/>
          <w:szCs w:val="22"/>
          <w:lang w:val="hu-HU"/>
        </w:rPr>
        <w:t>10.</w:t>
      </w:r>
      <w:r>
        <w:rPr>
          <w:b/>
          <w:szCs w:val="22"/>
          <w:lang w:val="hu-HU"/>
        </w:rPr>
        <w:tab/>
        <w:t>A SZÖVEG ELLENŐRZÉSÉNEK DÁTUMA</w:t>
      </w:r>
    </w:p>
    <w:p w:rsidR="00AF6E51" w:rsidRDefault="00AF6E51">
      <w:pPr>
        <w:autoSpaceDE w:val="0"/>
        <w:autoSpaceDN w:val="0"/>
        <w:adjustRightInd w:val="0"/>
        <w:rPr>
          <w:color w:val="000000"/>
          <w:szCs w:val="22"/>
          <w:highlight w:val="yellow"/>
          <w:lang w:val="hu-HU"/>
        </w:rPr>
      </w:pPr>
    </w:p>
    <w:p w:rsidR="00AF6E51" w:rsidRDefault="000A4EAB">
      <w:pPr>
        <w:autoSpaceDE w:val="0"/>
        <w:autoSpaceDN w:val="0"/>
        <w:adjustRightInd w:val="0"/>
        <w:rPr>
          <w:color w:val="000000"/>
          <w:szCs w:val="22"/>
          <w:lang w:val="hu-HU"/>
        </w:rPr>
      </w:pPr>
      <w:r>
        <w:rPr>
          <w:color w:val="000000"/>
          <w:szCs w:val="22"/>
          <w:lang w:val="hu-HU"/>
        </w:rPr>
        <w:t xml:space="preserve">2024. </w:t>
      </w:r>
      <w:r w:rsidR="00951CF7">
        <w:rPr>
          <w:color w:val="000000"/>
          <w:szCs w:val="22"/>
          <w:lang w:val="hu-HU"/>
        </w:rPr>
        <w:t>december 16</w:t>
      </w:r>
      <w:r>
        <w:rPr>
          <w:color w:val="000000"/>
          <w:szCs w:val="22"/>
          <w:lang w:val="hu-HU"/>
        </w:rPr>
        <w:t>.</w:t>
      </w:r>
    </w:p>
    <w:sectPr w:rsidR="00AF6E51">
      <w:headerReference w:type="default" r:id="rId8"/>
      <w:footerReference w:type="even" r:id="rId9"/>
      <w:footerReference w:type="first" r:id="rId10"/>
      <w:type w:val="continuous"/>
      <w:pgSz w:w="11907" w:h="16840" w:code="9"/>
      <w:pgMar w:top="1134" w:right="1418" w:bottom="1134" w:left="1418" w:header="737" w:footer="737"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6E51" w:rsidRDefault="000A4EAB">
      <w:r>
        <w:separator/>
      </w:r>
    </w:p>
  </w:endnote>
  <w:endnote w:type="continuationSeparator" w:id="0">
    <w:p w:rsidR="00AF6E51" w:rsidRDefault="000A4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F6E51" w:rsidRDefault="000A4EAB">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rsidR="00AF6E51" w:rsidRDefault="00AF6E51">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4EAB" w:rsidRPr="000A4EAB" w:rsidRDefault="000A4EAB" w:rsidP="000A4EAB">
    <w:pPr>
      <w:pStyle w:val="llb"/>
      <w:tabs>
        <w:tab w:val="left" w:pos="1965"/>
      </w:tabs>
      <w:rPr>
        <w:sz w:val="18"/>
        <w:szCs w:val="18"/>
        <w:lang w:val="hu-HU"/>
      </w:rPr>
    </w:pPr>
    <w:r w:rsidRPr="000A4EAB">
      <w:rPr>
        <w:sz w:val="18"/>
        <w:szCs w:val="18"/>
        <w:lang w:val="hu-HU"/>
      </w:rPr>
      <w:t>NNGYK/GYSZ/50339/2024</w:t>
    </w:r>
  </w:p>
  <w:p w:rsidR="000A4EAB" w:rsidRPr="000A4EAB" w:rsidRDefault="000A4EAB" w:rsidP="000A4EAB">
    <w:pPr>
      <w:pStyle w:val="llb"/>
      <w:tabs>
        <w:tab w:val="left" w:pos="1965"/>
      </w:tabs>
      <w:rPr>
        <w:sz w:val="18"/>
        <w:szCs w:val="18"/>
        <w:lang w:val="hu-HU"/>
      </w:rPr>
    </w:pPr>
    <w:r w:rsidRPr="000A4EAB">
      <w:rPr>
        <w:sz w:val="18"/>
        <w:szCs w:val="18"/>
        <w:lang w:val="hu-HU"/>
      </w:rPr>
      <w:t>NNGYK/GYSZ/50340/2024</w:t>
    </w:r>
  </w:p>
  <w:p w:rsidR="000A4EAB" w:rsidRPr="000A4EAB" w:rsidRDefault="000A4EAB" w:rsidP="000A4EAB">
    <w:pPr>
      <w:pStyle w:val="llb"/>
      <w:tabs>
        <w:tab w:val="left" w:pos="1965"/>
      </w:tabs>
      <w:rPr>
        <w:sz w:val="18"/>
        <w:szCs w:val="18"/>
        <w:lang w:val="hu-HU"/>
      </w:rPr>
    </w:pPr>
    <w:r w:rsidRPr="000A4EAB">
      <w:rPr>
        <w:sz w:val="18"/>
        <w:szCs w:val="18"/>
        <w:lang w:val="hu-HU"/>
      </w:rPr>
      <w:t>NNGYK/GYSZ/50342/2024</w:t>
    </w:r>
  </w:p>
  <w:p w:rsidR="00AF6E51" w:rsidRDefault="000A4EAB">
    <w:pPr>
      <w:pStyle w:val="llb"/>
      <w:tabs>
        <w:tab w:val="left" w:pos="1965"/>
      </w:tabs>
      <w:rPr>
        <w:sz w:val="18"/>
        <w:szCs w:val="18"/>
        <w:lang w:val="hu-HU"/>
      </w:rPr>
    </w:pPr>
    <w:r w:rsidRPr="000A4EAB">
      <w:rPr>
        <w:sz w:val="18"/>
        <w:szCs w:val="18"/>
        <w:lang w:val="hu-HU"/>
      </w:rPr>
      <w:t>NNGYK/GYSZ/50343/2024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6E51" w:rsidRDefault="000A4EAB">
      <w:r>
        <w:separator/>
      </w:r>
    </w:p>
  </w:footnote>
  <w:footnote w:type="continuationSeparator" w:id="0">
    <w:p w:rsidR="00AF6E51" w:rsidRDefault="000A4E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1" w:name="TableTag1"/>
  <w:bookmarkEnd w:id="1"/>
  <w:p w:rsidR="00AF6E51" w:rsidRDefault="000A4EAB">
    <w:pPr>
      <w:pStyle w:val="lfej"/>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557556" w:rsidRPr="00557556">
      <w:rPr>
        <w:noProof/>
        <w:sz w:val="18"/>
        <w:szCs w:val="18"/>
        <w:lang w:val="hu-HU"/>
      </w:rPr>
      <w:t>7</w:t>
    </w:r>
    <w:r>
      <w:rP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CF18D5"/>
    <w:multiLevelType w:val="hybridMultilevel"/>
    <w:tmpl w:val="CC125756"/>
    <w:lvl w:ilvl="0" w:tplc="512C57C0">
      <w:start w:val="1"/>
      <w:numFmt w:val="bullet"/>
      <w:lvlText w:val="-"/>
      <w:lvlJc w:val="left"/>
      <w:pPr>
        <w:tabs>
          <w:tab w:val="num" w:pos="720"/>
        </w:tabs>
        <w:ind w:left="720"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3A44D85"/>
    <w:multiLevelType w:val="hybridMultilevel"/>
    <w:tmpl w:val="5F90A8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667BAF"/>
    <w:multiLevelType w:val="hybridMultilevel"/>
    <w:tmpl w:val="542CA9B2"/>
    <w:lvl w:ilvl="0" w:tplc="512C57C0">
      <w:start w:val="1"/>
      <w:numFmt w:val="bullet"/>
      <w:lvlText w:val="-"/>
      <w:lvlJc w:val="left"/>
      <w:pPr>
        <w:ind w:left="720" w:hanging="360"/>
      </w:pPr>
      <w:rPr>
        <w:rFonts w:ascii="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 w15:restartNumberingAfterBreak="0">
    <w:nsid w:val="05BE0836"/>
    <w:multiLevelType w:val="hybridMultilevel"/>
    <w:tmpl w:val="4FF84D4E"/>
    <w:lvl w:ilvl="0" w:tplc="7856E124">
      <w:numFmt w:val="bullet"/>
      <w:lvlText w:val=""/>
      <w:lvlJc w:val="left"/>
      <w:pPr>
        <w:tabs>
          <w:tab w:val="num" w:pos="644"/>
        </w:tabs>
        <w:ind w:left="644" w:hanging="284"/>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075B5637"/>
    <w:multiLevelType w:val="hybridMultilevel"/>
    <w:tmpl w:val="6E9CC23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07627922"/>
    <w:multiLevelType w:val="hybridMultilevel"/>
    <w:tmpl w:val="CE3C5C6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7934CDC"/>
    <w:multiLevelType w:val="hybridMultilevel"/>
    <w:tmpl w:val="A3A450AA"/>
    <w:lvl w:ilvl="0" w:tplc="D450914A">
      <w:start w:val="1"/>
      <w:numFmt w:val="bullet"/>
      <w:lvlText w:val="-"/>
      <w:lvlJc w:val="left"/>
      <w:pPr>
        <w:ind w:left="720" w:hanging="360"/>
      </w:pPr>
      <w:rPr>
        <w:rFonts w:ascii="Times New Roman" w:eastAsia="Times New Roman" w:hAnsi="Times New Roman" w:cs="Times New Roman"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0A575667"/>
    <w:multiLevelType w:val="hybridMultilevel"/>
    <w:tmpl w:val="CE2E6D52"/>
    <w:lvl w:ilvl="0" w:tplc="7856E124">
      <w:numFmt w:val="bullet"/>
      <w:lvlText w:val=""/>
      <w:lvlJc w:val="left"/>
      <w:pPr>
        <w:tabs>
          <w:tab w:val="num" w:pos="644"/>
        </w:tabs>
        <w:ind w:left="644" w:hanging="284"/>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0FB95D2C"/>
    <w:multiLevelType w:val="hybridMultilevel"/>
    <w:tmpl w:val="311A05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8507774"/>
    <w:multiLevelType w:val="multilevel"/>
    <w:tmpl w:val="877AB210"/>
    <w:numStyleLink w:val="StyleNumbered11ptLeft0cmHanging1cm"/>
  </w:abstractNum>
  <w:abstractNum w:abstractNumId="11" w15:restartNumberingAfterBreak="0">
    <w:nsid w:val="19B204FE"/>
    <w:multiLevelType w:val="hybridMultilevel"/>
    <w:tmpl w:val="66B21E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A4F0045"/>
    <w:multiLevelType w:val="hybridMultilevel"/>
    <w:tmpl w:val="050E2A5E"/>
    <w:lvl w:ilvl="0" w:tplc="7856E124">
      <w:numFmt w:val="bullet"/>
      <w:lvlText w:val=""/>
      <w:lvlJc w:val="left"/>
      <w:pPr>
        <w:tabs>
          <w:tab w:val="num" w:pos="644"/>
        </w:tabs>
        <w:ind w:left="644" w:hanging="284"/>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209226BF"/>
    <w:multiLevelType w:val="hybridMultilevel"/>
    <w:tmpl w:val="3984D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4478A7"/>
    <w:multiLevelType w:val="hybridMultilevel"/>
    <w:tmpl w:val="EAE03734"/>
    <w:lvl w:ilvl="0" w:tplc="7856E124">
      <w:numFmt w:val="bullet"/>
      <w:lvlText w:val=""/>
      <w:lvlJc w:val="left"/>
      <w:pPr>
        <w:tabs>
          <w:tab w:val="num" w:pos="644"/>
        </w:tabs>
        <w:ind w:left="644" w:hanging="284"/>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21B2B55"/>
    <w:multiLevelType w:val="hybridMultilevel"/>
    <w:tmpl w:val="2B3E6A5E"/>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6" w15:restartNumberingAfterBreak="0">
    <w:nsid w:val="24A63AA0"/>
    <w:multiLevelType w:val="multilevel"/>
    <w:tmpl w:val="877AB210"/>
    <w:styleLink w:val="StyleNumbered11ptLeft0cmHanging1cm"/>
    <w:lvl w:ilvl="0">
      <w:start w:val="1"/>
      <w:numFmt w:val="decimal"/>
      <w:lvlText w:val="%1."/>
      <w:lvlJc w:val="left"/>
      <w:pPr>
        <w:ind w:left="720" w:hanging="360"/>
      </w:pPr>
      <w:rPr>
        <w:sz w:val="22"/>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28C07A72"/>
    <w:multiLevelType w:val="hybridMultilevel"/>
    <w:tmpl w:val="68AC1E96"/>
    <w:lvl w:ilvl="0" w:tplc="7856E124">
      <w:numFmt w:val="bullet"/>
      <w:lvlText w:val=""/>
      <w:lvlJc w:val="left"/>
      <w:pPr>
        <w:tabs>
          <w:tab w:val="num" w:pos="644"/>
        </w:tabs>
        <w:ind w:left="644" w:hanging="284"/>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30E32D41"/>
    <w:multiLevelType w:val="hybridMultilevel"/>
    <w:tmpl w:val="91F85504"/>
    <w:lvl w:ilvl="0" w:tplc="7856E124">
      <w:numFmt w:val="bullet"/>
      <w:lvlText w:val=""/>
      <w:lvlJc w:val="left"/>
      <w:pPr>
        <w:tabs>
          <w:tab w:val="num" w:pos="644"/>
        </w:tabs>
        <w:ind w:left="644" w:hanging="284"/>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329B258D"/>
    <w:multiLevelType w:val="hybridMultilevel"/>
    <w:tmpl w:val="8CDE9DAE"/>
    <w:lvl w:ilvl="0" w:tplc="512C57C0">
      <w:start w:val="1"/>
      <w:numFmt w:val="bullet"/>
      <w:lvlText w:val="-"/>
      <w:lvlJc w:val="left"/>
      <w:pPr>
        <w:tabs>
          <w:tab w:val="num" w:pos="774"/>
        </w:tabs>
        <w:ind w:left="774" w:hanging="360"/>
      </w:pPr>
      <w:rPr>
        <w:rFonts w:ascii="Times New Roman" w:hAnsi="Times New Roman" w:cs="Times New Roman" w:hint="default"/>
      </w:rPr>
    </w:lvl>
    <w:lvl w:ilvl="1" w:tplc="04090003" w:tentative="1">
      <w:start w:val="1"/>
      <w:numFmt w:val="bullet"/>
      <w:lvlText w:val="o"/>
      <w:lvlJc w:val="left"/>
      <w:pPr>
        <w:tabs>
          <w:tab w:val="num" w:pos="1494"/>
        </w:tabs>
        <w:ind w:left="1494" w:hanging="360"/>
      </w:pPr>
      <w:rPr>
        <w:rFonts w:ascii="Courier New" w:hAnsi="Courier New" w:hint="default"/>
      </w:rPr>
    </w:lvl>
    <w:lvl w:ilvl="2" w:tplc="04090005" w:tentative="1">
      <w:start w:val="1"/>
      <w:numFmt w:val="bullet"/>
      <w:lvlText w:val=""/>
      <w:lvlJc w:val="left"/>
      <w:pPr>
        <w:tabs>
          <w:tab w:val="num" w:pos="2214"/>
        </w:tabs>
        <w:ind w:left="2214" w:hanging="360"/>
      </w:pPr>
      <w:rPr>
        <w:rFonts w:ascii="Wingdings" w:hAnsi="Wingdings" w:hint="default"/>
      </w:rPr>
    </w:lvl>
    <w:lvl w:ilvl="3" w:tplc="04090001" w:tentative="1">
      <w:start w:val="1"/>
      <w:numFmt w:val="bullet"/>
      <w:lvlText w:val=""/>
      <w:lvlJc w:val="left"/>
      <w:pPr>
        <w:tabs>
          <w:tab w:val="num" w:pos="2934"/>
        </w:tabs>
        <w:ind w:left="2934" w:hanging="360"/>
      </w:pPr>
      <w:rPr>
        <w:rFonts w:ascii="Symbol" w:hAnsi="Symbol" w:hint="default"/>
      </w:rPr>
    </w:lvl>
    <w:lvl w:ilvl="4" w:tplc="04090003" w:tentative="1">
      <w:start w:val="1"/>
      <w:numFmt w:val="bullet"/>
      <w:lvlText w:val="o"/>
      <w:lvlJc w:val="left"/>
      <w:pPr>
        <w:tabs>
          <w:tab w:val="num" w:pos="3654"/>
        </w:tabs>
        <w:ind w:left="3654" w:hanging="360"/>
      </w:pPr>
      <w:rPr>
        <w:rFonts w:ascii="Courier New" w:hAnsi="Courier New" w:hint="default"/>
      </w:rPr>
    </w:lvl>
    <w:lvl w:ilvl="5" w:tplc="04090005" w:tentative="1">
      <w:start w:val="1"/>
      <w:numFmt w:val="bullet"/>
      <w:lvlText w:val=""/>
      <w:lvlJc w:val="left"/>
      <w:pPr>
        <w:tabs>
          <w:tab w:val="num" w:pos="4374"/>
        </w:tabs>
        <w:ind w:left="4374" w:hanging="360"/>
      </w:pPr>
      <w:rPr>
        <w:rFonts w:ascii="Wingdings" w:hAnsi="Wingdings" w:hint="default"/>
      </w:rPr>
    </w:lvl>
    <w:lvl w:ilvl="6" w:tplc="04090001" w:tentative="1">
      <w:start w:val="1"/>
      <w:numFmt w:val="bullet"/>
      <w:lvlText w:val=""/>
      <w:lvlJc w:val="left"/>
      <w:pPr>
        <w:tabs>
          <w:tab w:val="num" w:pos="5094"/>
        </w:tabs>
        <w:ind w:left="5094" w:hanging="360"/>
      </w:pPr>
      <w:rPr>
        <w:rFonts w:ascii="Symbol" w:hAnsi="Symbol" w:hint="default"/>
      </w:rPr>
    </w:lvl>
    <w:lvl w:ilvl="7" w:tplc="04090003" w:tentative="1">
      <w:start w:val="1"/>
      <w:numFmt w:val="bullet"/>
      <w:lvlText w:val="o"/>
      <w:lvlJc w:val="left"/>
      <w:pPr>
        <w:tabs>
          <w:tab w:val="num" w:pos="5814"/>
        </w:tabs>
        <w:ind w:left="5814" w:hanging="360"/>
      </w:pPr>
      <w:rPr>
        <w:rFonts w:ascii="Courier New" w:hAnsi="Courier New" w:hint="default"/>
      </w:rPr>
    </w:lvl>
    <w:lvl w:ilvl="8" w:tplc="04090005" w:tentative="1">
      <w:start w:val="1"/>
      <w:numFmt w:val="bullet"/>
      <w:lvlText w:val=""/>
      <w:lvlJc w:val="left"/>
      <w:pPr>
        <w:tabs>
          <w:tab w:val="num" w:pos="6534"/>
        </w:tabs>
        <w:ind w:left="6534" w:hanging="360"/>
      </w:pPr>
      <w:rPr>
        <w:rFonts w:ascii="Wingdings" w:hAnsi="Wingdings" w:hint="default"/>
      </w:rPr>
    </w:lvl>
  </w:abstractNum>
  <w:abstractNum w:abstractNumId="20" w15:restartNumberingAfterBreak="0">
    <w:nsid w:val="33FA31A1"/>
    <w:multiLevelType w:val="hybridMultilevel"/>
    <w:tmpl w:val="4314B316"/>
    <w:lvl w:ilvl="0" w:tplc="040E0001">
      <w:start w:val="1"/>
      <w:numFmt w:val="bullet"/>
      <w:lvlText w:val=""/>
      <w:lvlJc w:val="left"/>
      <w:pPr>
        <w:ind w:left="726" w:hanging="360"/>
      </w:pPr>
      <w:rPr>
        <w:rFonts w:ascii="Symbol" w:hAnsi="Symbol" w:hint="default"/>
      </w:rPr>
    </w:lvl>
    <w:lvl w:ilvl="1" w:tplc="040E0003" w:tentative="1">
      <w:start w:val="1"/>
      <w:numFmt w:val="bullet"/>
      <w:lvlText w:val="o"/>
      <w:lvlJc w:val="left"/>
      <w:pPr>
        <w:ind w:left="1446" w:hanging="360"/>
      </w:pPr>
      <w:rPr>
        <w:rFonts w:ascii="Courier New" w:hAnsi="Courier New" w:cs="Courier New" w:hint="default"/>
      </w:rPr>
    </w:lvl>
    <w:lvl w:ilvl="2" w:tplc="040E0005" w:tentative="1">
      <w:start w:val="1"/>
      <w:numFmt w:val="bullet"/>
      <w:lvlText w:val=""/>
      <w:lvlJc w:val="left"/>
      <w:pPr>
        <w:ind w:left="2166" w:hanging="360"/>
      </w:pPr>
      <w:rPr>
        <w:rFonts w:ascii="Wingdings" w:hAnsi="Wingdings" w:hint="default"/>
      </w:rPr>
    </w:lvl>
    <w:lvl w:ilvl="3" w:tplc="040E0001" w:tentative="1">
      <w:start w:val="1"/>
      <w:numFmt w:val="bullet"/>
      <w:lvlText w:val=""/>
      <w:lvlJc w:val="left"/>
      <w:pPr>
        <w:ind w:left="2886" w:hanging="360"/>
      </w:pPr>
      <w:rPr>
        <w:rFonts w:ascii="Symbol" w:hAnsi="Symbol" w:hint="default"/>
      </w:rPr>
    </w:lvl>
    <w:lvl w:ilvl="4" w:tplc="040E0003" w:tentative="1">
      <w:start w:val="1"/>
      <w:numFmt w:val="bullet"/>
      <w:lvlText w:val="o"/>
      <w:lvlJc w:val="left"/>
      <w:pPr>
        <w:ind w:left="3606" w:hanging="360"/>
      </w:pPr>
      <w:rPr>
        <w:rFonts w:ascii="Courier New" w:hAnsi="Courier New" w:cs="Courier New" w:hint="default"/>
      </w:rPr>
    </w:lvl>
    <w:lvl w:ilvl="5" w:tplc="040E0005" w:tentative="1">
      <w:start w:val="1"/>
      <w:numFmt w:val="bullet"/>
      <w:lvlText w:val=""/>
      <w:lvlJc w:val="left"/>
      <w:pPr>
        <w:ind w:left="4326" w:hanging="360"/>
      </w:pPr>
      <w:rPr>
        <w:rFonts w:ascii="Wingdings" w:hAnsi="Wingdings" w:hint="default"/>
      </w:rPr>
    </w:lvl>
    <w:lvl w:ilvl="6" w:tplc="040E0001" w:tentative="1">
      <w:start w:val="1"/>
      <w:numFmt w:val="bullet"/>
      <w:lvlText w:val=""/>
      <w:lvlJc w:val="left"/>
      <w:pPr>
        <w:ind w:left="5046" w:hanging="360"/>
      </w:pPr>
      <w:rPr>
        <w:rFonts w:ascii="Symbol" w:hAnsi="Symbol" w:hint="default"/>
      </w:rPr>
    </w:lvl>
    <w:lvl w:ilvl="7" w:tplc="040E0003" w:tentative="1">
      <w:start w:val="1"/>
      <w:numFmt w:val="bullet"/>
      <w:lvlText w:val="o"/>
      <w:lvlJc w:val="left"/>
      <w:pPr>
        <w:ind w:left="5766" w:hanging="360"/>
      </w:pPr>
      <w:rPr>
        <w:rFonts w:ascii="Courier New" w:hAnsi="Courier New" w:cs="Courier New" w:hint="default"/>
      </w:rPr>
    </w:lvl>
    <w:lvl w:ilvl="8" w:tplc="040E0005" w:tentative="1">
      <w:start w:val="1"/>
      <w:numFmt w:val="bullet"/>
      <w:lvlText w:val=""/>
      <w:lvlJc w:val="left"/>
      <w:pPr>
        <w:ind w:left="6486" w:hanging="360"/>
      </w:pPr>
      <w:rPr>
        <w:rFonts w:ascii="Wingdings" w:hAnsi="Wingdings" w:hint="default"/>
      </w:rPr>
    </w:lvl>
  </w:abstractNum>
  <w:abstractNum w:abstractNumId="21" w15:restartNumberingAfterBreak="0">
    <w:nsid w:val="35194E7D"/>
    <w:multiLevelType w:val="multilevel"/>
    <w:tmpl w:val="877AB210"/>
    <w:numStyleLink w:val="StyleNumbered11ptLeft0cmHanging1cm"/>
  </w:abstractNum>
  <w:abstractNum w:abstractNumId="22" w15:restartNumberingAfterBreak="0">
    <w:nsid w:val="372D6E59"/>
    <w:multiLevelType w:val="hybridMultilevel"/>
    <w:tmpl w:val="2688BA04"/>
    <w:lvl w:ilvl="0" w:tplc="512C57C0">
      <w:start w:val="1"/>
      <w:numFmt w:val="bullet"/>
      <w:lvlText w:val="-"/>
      <w:lvlJc w:val="left"/>
      <w:pPr>
        <w:ind w:left="720" w:hanging="360"/>
      </w:pPr>
      <w:rPr>
        <w:rFonts w:ascii="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3" w15:restartNumberingAfterBreak="0">
    <w:nsid w:val="37586B85"/>
    <w:multiLevelType w:val="multilevel"/>
    <w:tmpl w:val="877AB210"/>
    <w:numStyleLink w:val="StyleNumbered11ptLeft0cmHanging1cm"/>
  </w:abstractNum>
  <w:abstractNum w:abstractNumId="24" w15:restartNumberingAfterBreak="0">
    <w:nsid w:val="3EA3295B"/>
    <w:multiLevelType w:val="hybridMultilevel"/>
    <w:tmpl w:val="877AB210"/>
    <w:lvl w:ilvl="0" w:tplc="F040717A">
      <w:start w:val="1"/>
      <w:numFmt w:val="decimal"/>
      <w:lvlText w:val="%1."/>
      <w:lvlJc w:val="left"/>
      <w:pPr>
        <w:ind w:left="720" w:hanging="360"/>
      </w:pPr>
      <w:rPr>
        <w:rFonts w:cs="Times New Roman" w:hint="default"/>
      </w:rPr>
    </w:lvl>
    <w:lvl w:ilvl="1" w:tplc="04240019">
      <w:start w:val="1"/>
      <w:numFmt w:val="lowerLetter"/>
      <w:lvlText w:val="%2."/>
      <w:lvlJc w:val="left"/>
      <w:pPr>
        <w:ind w:left="1440" w:hanging="360"/>
      </w:pPr>
      <w:rPr>
        <w:rFonts w:cs="Times New Roman"/>
      </w:rPr>
    </w:lvl>
    <w:lvl w:ilvl="2" w:tplc="0424001B">
      <w:start w:val="1"/>
      <w:numFmt w:val="lowerRoman"/>
      <w:lvlText w:val="%3."/>
      <w:lvlJc w:val="right"/>
      <w:pPr>
        <w:ind w:left="2160" w:hanging="180"/>
      </w:pPr>
      <w:rPr>
        <w:rFonts w:cs="Times New Roman"/>
      </w:rPr>
    </w:lvl>
    <w:lvl w:ilvl="3" w:tplc="0424000F">
      <w:start w:val="1"/>
      <w:numFmt w:val="decimal"/>
      <w:lvlText w:val="%4."/>
      <w:lvlJc w:val="left"/>
      <w:pPr>
        <w:ind w:left="2880" w:hanging="360"/>
      </w:pPr>
      <w:rPr>
        <w:rFonts w:cs="Times New Roman"/>
      </w:rPr>
    </w:lvl>
    <w:lvl w:ilvl="4" w:tplc="04240019">
      <w:start w:val="1"/>
      <w:numFmt w:val="lowerLetter"/>
      <w:lvlText w:val="%5."/>
      <w:lvlJc w:val="left"/>
      <w:pPr>
        <w:ind w:left="3600" w:hanging="360"/>
      </w:pPr>
      <w:rPr>
        <w:rFonts w:cs="Times New Roman"/>
      </w:rPr>
    </w:lvl>
    <w:lvl w:ilvl="5" w:tplc="0424001B">
      <w:start w:val="1"/>
      <w:numFmt w:val="lowerRoman"/>
      <w:lvlText w:val="%6."/>
      <w:lvlJc w:val="right"/>
      <w:pPr>
        <w:ind w:left="4320" w:hanging="180"/>
      </w:pPr>
      <w:rPr>
        <w:rFonts w:cs="Times New Roman"/>
      </w:rPr>
    </w:lvl>
    <w:lvl w:ilvl="6" w:tplc="0424000F">
      <w:start w:val="1"/>
      <w:numFmt w:val="decimal"/>
      <w:lvlText w:val="%7."/>
      <w:lvlJc w:val="left"/>
      <w:pPr>
        <w:ind w:left="5040" w:hanging="360"/>
      </w:pPr>
      <w:rPr>
        <w:rFonts w:cs="Times New Roman"/>
      </w:rPr>
    </w:lvl>
    <w:lvl w:ilvl="7" w:tplc="04240019">
      <w:start w:val="1"/>
      <w:numFmt w:val="lowerLetter"/>
      <w:lvlText w:val="%8."/>
      <w:lvlJc w:val="left"/>
      <w:pPr>
        <w:ind w:left="5760" w:hanging="360"/>
      </w:pPr>
      <w:rPr>
        <w:rFonts w:cs="Times New Roman"/>
      </w:rPr>
    </w:lvl>
    <w:lvl w:ilvl="8" w:tplc="0424001B">
      <w:start w:val="1"/>
      <w:numFmt w:val="lowerRoman"/>
      <w:lvlText w:val="%9."/>
      <w:lvlJc w:val="right"/>
      <w:pPr>
        <w:ind w:left="6480" w:hanging="180"/>
      </w:pPr>
      <w:rPr>
        <w:rFonts w:cs="Times New Roman"/>
      </w:rPr>
    </w:lvl>
  </w:abstractNum>
  <w:abstractNum w:abstractNumId="25" w15:restartNumberingAfterBreak="0">
    <w:nsid w:val="3FA55309"/>
    <w:multiLevelType w:val="multilevel"/>
    <w:tmpl w:val="877AB210"/>
    <w:numStyleLink w:val="StyleNumbered11ptLeft0cmHanging1cm"/>
  </w:abstractNum>
  <w:abstractNum w:abstractNumId="26" w15:restartNumberingAfterBreak="0">
    <w:nsid w:val="45D40C9F"/>
    <w:multiLevelType w:val="hybridMultilevel"/>
    <w:tmpl w:val="D16A63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61317B4"/>
    <w:multiLevelType w:val="hybridMultilevel"/>
    <w:tmpl w:val="EFD8F08E"/>
    <w:lvl w:ilvl="0" w:tplc="512C57C0">
      <w:start w:val="1"/>
      <w:numFmt w:val="bullet"/>
      <w:lvlText w:val="-"/>
      <w:lvlJc w:val="left"/>
      <w:pPr>
        <w:ind w:left="720" w:hanging="360"/>
      </w:pPr>
      <w:rPr>
        <w:rFonts w:ascii="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8" w15:restartNumberingAfterBreak="0">
    <w:nsid w:val="469C0A82"/>
    <w:multiLevelType w:val="hybridMultilevel"/>
    <w:tmpl w:val="7ED40ED6"/>
    <w:lvl w:ilvl="0" w:tplc="D450914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7694D2B"/>
    <w:multiLevelType w:val="multilevel"/>
    <w:tmpl w:val="877AB210"/>
    <w:numStyleLink w:val="StyleNumbered11ptLeft0cmHanging1cm"/>
  </w:abstractNum>
  <w:abstractNum w:abstractNumId="30" w15:restartNumberingAfterBreak="0">
    <w:nsid w:val="49D9424F"/>
    <w:multiLevelType w:val="hybridMultilevel"/>
    <w:tmpl w:val="2E2A53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B8B6A1F"/>
    <w:multiLevelType w:val="hybridMultilevel"/>
    <w:tmpl w:val="C618253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04708FD"/>
    <w:multiLevelType w:val="hybridMultilevel"/>
    <w:tmpl w:val="09F6A2A4"/>
    <w:lvl w:ilvl="0" w:tplc="D450914A">
      <w:start w:val="1"/>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15:restartNumberingAfterBreak="0">
    <w:nsid w:val="51015EA0"/>
    <w:multiLevelType w:val="multilevel"/>
    <w:tmpl w:val="877AB210"/>
    <w:numStyleLink w:val="StyleNumbered11ptLeft0cmHanging1cm"/>
  </w:abstractNum>
  <w:abstractNum w:abstractNumId="34" w15:restartNumberingAfterBreak="0">
    <w:nsid w:val="52652EF6"/>
    <w:multiLevelType w:val="multilevel"/>
    <w:tmpl w:val="877AB210"/>
    <w:numStyleLink w:val="StyleNumbered11ptLeft0cmHanging1cm"/>
  </w:abstractNum>
  <w:abstractNum w:abstractNumId="35" w15:restartNumberingAfterBreak="0">
    <w:nsid w:val="56B515E3"/>
    <w:multiLevelType w:val="hybridMultilevel"/>
    <w:tmpl w:val="C12403F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6" w15:restartNumberingAfterBreak="0">
    <w:nsid w:val="59303EAC"/>
    <w:multiLevelType w:val="hybridMultilevel"/>
    <w:tmpl w:val="305CA0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73D6D3B"/>
    <w:multiLevelType w:val="multilevel"/>
    <w:tmpl w:val="877AB210"/>
    <w:numStyleLink w:val="StyleNumbered11ptLeft0cmHanging1cm"/>
  </w:abstractNum>
  <w:abstractNum w:abstractNumId="38" w15:restartNumberingAfterBreak="0">
    <w:nsid w:val="6AB60803"/>
    <w:multiLevelType w:val="hybridMultilevel"/>
    <w:tmpl w:val="17F0B1F0"/>
    <w:lvl w:ilvl="0" w:tplc="D450914A">
      <w:start w:val="1"/>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DE2543D"/>
    <w:multiLevelType w:val="hybridMultilevel"/>
    <w:tmpl w:val="040A6E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E9462E8"/>
    <w:multiLevelType w:val="multilevel"/>
    <w:tmpl w:val="877AB210"/>
    <w:numStyleLink w:val="StyleNumbered11ptLeft0cmHanging1cm"/>
  </w:abstractNum>
  <w:abstractNum w:abstractNumId="41" w15:restartNumberingAfterBreak="0">
    <w:nsid w:val="73514E1D"/>
    <w:multiLevelType w:val="hybridMultilevel"/>
    <w:tmpl w:val="FD58AC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3D036CE"/>
    <w:multiLevelType w:val="hybridMultilevel"/>
    <w:tmpl w:val="85044CA8"/>
    <w:lvl w:ilvl="0" w:tplc="7856E124">
      <w:numFmt w:val="bullet"/>
      <w:lvlText w:val=""/>
      <w:lvlJc w:val="left"/>
      <w:pPr>
        <w:tabs>
          <w:tab w:val="num" w:pos="644"/>
        </w:tabs>
        <w:ind w:left="644" w:hanging="284"/>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74BE73A1"/>
    <w:multiLevelType w:val="hybridMultilevel"/>
    <w:tmpl w:val="877AB210"/>
    <w:lvl w:ilvl="0" w:tplc="F040717A">
      <w:start w:val="1"/>
      <w:numFmt w:val="decimal"/>
      <w:lvlText w:val="%1."/>
      <w:lvlJc w:val="left"/>
      <w:pPr>
        <w:ind w:left="720" w:hanging="360"/>
      </w:pPr>
      <w:rPr>
        <w:rFonts w:cs="Times New Roman" w:hint="default"/>
      </w:rPr>
    </w:lvl>
    <w:lvl w:ilvl="1" w:tplc="04240019">
      <w:start w:val="1"/>
      <w:numFmt w:val="lowerLetter"/>
      <w:lvlText w:val="%2."/>
      <w:lvlJc w:val="left"/>
      <w:pPr>
        <w:ind w:left="1440" w:hanging="360"/>
      </w:pPr>
      <w:rPr>
        <w:rFonts w:cs="Times New Roman"/>
      </w:rPr>
    </w:lvl>
    <w:lvl w:ilvl="2" w:tplc="0424001B">
      <w:start w:val="1"/>
      <w:numFmt w:val="lowerRoman"/>
      <w:lvlText w:val="%3."/>
      <w:lvlJc w:val="right"/>
      <w:pPr>
        <w:ind w:left="2160" w:hanging="180"/>
      </w:pPr>
      <w:rPr>
        <w:rFonts w:cs="Times New Roman"/>
      </w:rPr>
    </w:lvl>
    <w:lvl w:ilvl="3" w:tplc="0424000F">
      <w:start w:val="1"/>
      <w:numFmt w:val="decimal"/>
      <w:lvlText w:val="%4."/>
      <w:lvlJc w:val="left"/>
      <w:pPr>
        <w:ind w:left="2880" w:hanging="360"/>
      </w:pPr>
      <w:rPr>
        <w:rFonts w:cs="Times New Roman"/>
      </w:rPr>
    </w:lvl>
    <w:lvl w:ilvl="4" w:tplc="04240019">
      <w:start w:val="1"/>
      <w:numFmt w:val="lowerLetter"/>
      <w:lvlText w:val="%5."/>
      <w:lvlJc w:val="left"/>
      <w:pPr>
        <w:ind w:left="3600" w:hanging="360"/>
      </w:pPr>
      <w:rPr>
        <w:rFonts w:cs="Times New Roman"/>
      </w:rPr>
    </w:lvl>
    <w:lvl w:ilvl="5" w:tplc="0424001B">
      <w:start w:val="1"/>
      <w:numFmt w:val="lowerRoman"/>
      <w:lvlText w:val="%6."/>
      <w:lvlJc w:val="right"/>
      <w:pPr>
        <w:ind w:left="4320" w:hanging="180"/>
      </w:pPr>
      <w:rPr>
        <w:rFonts w:cs="Times New Roman"/>
      </w:rPr>
    </w:lvl>
    <w:lvl w:ilvl="6" w:tplc="0424000F">
      <w:start w:val="1"/>
      <w:numFmt w:val="decimal"/>
      <w:lvlText w:val="%7."/>
      <w:lvlJc w:val="left"/>
      <w:pPr>
        <w:ind w:left="5040" w:hanging="360"/>
      </w:pPr>
      <w:rPr>
        <w:rFonts w:cs="Times New Roman"/>
      </w:rPr>
    </w:lvl>
    <w:lvl w:ilvl="7" w:tplc="04240019">
      <w:start w:val="1"/>
      <w:numFmt w:val="lowerLetter"/>
      <w:lvlText w:val="%8."/>
      <w:lvlJc w:val="left"/>
      <w:pPr>
        <w:ind w:left="5760" w:hanging="360"/>
      </w:pPr>
      <w:rPr>
        <w:rFonts w:cs="Times New Roman"/>
      </w:rPr>
    </w:lvl>
    <w:lvl w:ilvl="8" w:tplc="0424001B">
      <w:start w:val="1"/>
      <w:numFmt w:val="lowerRoman"/>
      <w:lvlText w:val="%9."/>
      <w:lvlJc w:val="right"/>
      <w:pPr>
        <w:ind w:left="6480" w:hanging="180"/>
      </w:pPr>
      <w:rPr>
        <w:rFonts w:cs="Times New Roman"/>
      </w:rPr>
    </w:lvl>
  </w:abstractNum>
  <w:abstractNum w:abstractNumId="44" w15:restartNumberingAfterBreak="0">
    <w:nsid w:val="74CD26AF"/>
    <w:multiLevelType w:val="multilevel"/>
    <w:tmpl w:val="877AB210"/>
    <w:numStyleLink w:val="StyleNumbered11ptLeft0cmHanging1cm"/>
  </w:abstractNum>
  <w:abstractNum w:abstractNumId="45" w15:restartNumberingAfterBreak="0">
    <w:nsid w:val="7769415B"/>
    <w:multiLevelType w:val="hybridMultilevel"/>
    <w:tmpl w:val="E1AAEA06"/>
    <w:lvl w:ilvl="0" w:tplc="7EB44DF8">
      <w:start w:val="2"/>
      <w:numFmt w:val="bullet"/>
      <w:lvlText w:val="-"/>
      <w:lvlJc w:val="left"/>
      <w:pPr>
        <w:tabs>
          <w:tab w:val="num" w:pos="720"/>
        </w:tabs>
        <w:ind w:left="720" w:hanging="360"/>
      </w:pPr>
      <w:rPr>
        <w:rFonts w:ascii="Times New Roman" w:hAnsi="Times New Roman" w:cs="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9EF204F"/>
    <w:multiLevelType w:val="hybridMultilevel"/>
    <w:tmpl w:val="32DCB2E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8E671C"/>
    <w:multiLevelType w:val="hybridMultilevel"/>
    <w:tmpl w:val="F1C0EE94"/>
    <w:lvl w:ilvl="0" w:tplc="04090001">
      <w:start w:val="1"/>
      <w:numFmt w:val="bullet"/>
      <w:lvlText w:val=""/>
      <w:lvlJc w:val="left"/>
      <w:pPr>
        <w:tabs>
          <w:tab w:val="num" w:pos="774"/>
        </w:tabs>
        <w:ind w:left="774" w:hanging="360"/>
      </w:pPr>
      <w:rPr>
        <w:rFonts w:ascii="Symbol" w:hAnsi="Symbol" w:hint="default"/>
      </w:rPr>
    </w:lvl>
    <w:lvl w:ilvl="1" w:tplc="04090003" w:tentative="1">
      <w:start w:val="1"/>
      <w:numFmt w:val="bullet"/>
      <w:lvlText w:val="o"/>
      <w:lvlJc w:val="left"/>
      <w:pPr>
        <w:tabs>
          <w:tab w:val="num" w:pos="1494"/>
        </w:tabs>
        <w:ind w:left="1494" w:hanging="360"/>
      </w:pPr>
      <w:rPr>
        <w:rFonts w:ascii="Courier New" w:hAnsi="Courier New" w:hint="default"/>
      </w:rPr>
    </w:lvl>
    <w:lvl w:ilvl="2" w:tplc="04090005" w:tentative="1">
      <w:start w:val="1"/>
      <w:numFmt w:val="bullet"/>
      <w:lvlText w:val=""/>
      <w:lvlJc w:val="left"/>
      <w:pPr>
        <w:tabs>
          <w:tab w:val="num" w:pos="2214"/>
        </w:tabs>
        <w:ind w:left="2214" w:hanging="360"/>
      </w:pPr>
      <w:rPr>
        <w:rFonts w:ascii="Wingdings" w:hAnsi="Wingdings" w:hint="default"/>
      </w:rPr>
    </w:lvl>
    <w:lvl w:ilvl="3" w:tplc="04090001" w:tentative="1">
      <w:start w:val="1"/>
      <w:numFmt w:val="bullet"/>
      <w:lvlText w:val=""/>
      <w:lvlJc w:val="left"/>
      <w:pPr>
        <w:tabs>
          <w:tab w:val="num" w:pos="2934"/>
        </w:tabs>
        <w:ind w:left="2934" w:hanging="360"/>
      </w:pPr>
      <w:rPr>
        <w:rFonts w:ascii="Symbol" w:hAnsi="Symbol" w:hint="default"/>
      </w:rPr>
    </w:lvl>
    <w:lvl w:ilvl="4" w:tplc="04090003" w:tentative="1">
      <w:start w:val="1"/>
      <w:numFmt w:val="bullet"/>
      <w:lvlText w:val="o"/>
      <w:lvlJc w:val="left"/>
      <w:pPr>
        <w:tabs>
          <w:tab w:val="num" w:pos="3654"/>
        </w:tabs>
        <w:ind w:left="3654" w:hanging="360"/>
      </w:pPr>
      <w:rPr>
        <w:rFonts w:ascii="Courier New" w:hAnsi="Courier New" w:hint="default"/>
      </w:rPr>
    </w:lvl>
    <w:lvl w:ilvl="5" w:tplc="04090005" w:tentative="1">
      <w:start w:val="1"/>
      <w:numFmt w:val="bullet"/>
      <w:lvlText w:val=""/>
      <w:lvlJc w:val="left"/>
      <w:pPr>
        <w:tabs>
          <w:tab w:val="num" w:pos="4374"/>
        </w:tabs>
        <w:ind w:left="4374" w:hanging="360"/>
      </w:pPr>
      <w:rPr>
        <w:rFonts w:ascii="Wingdings" w:hAnsi="Wingdings" w:hint="default"/>
      </w:rPr>
    </w:lvl>
    <w:lvl w:ilvl="6" w:tplc="04090001" w:tentative="1">
      <w:start w:val="1"/>
      <w:numFmt w:val="bullet"/>
      <w:lvlText w:val=""/>
      <w:lvlJc w:val="left"/>
      <w:pPr>
        <w:tabs>
          <w:tab w:val="num" w:pos="5094"/>
        </w:tabs>
        <w:ind w:left="5094" w:hanging="360"/>
      </w:pPr>
      <w:rPr>
        <w:rFonts w:ascii="Symbol" w:hAnsi="Symbol" w:hint="default"/>
      </w:rPr>
    </w:lvl>
    <w:lvl w:ilvl="7" w:tplc="04090003" w:tentative="1">
      <w:start w:val="1"/>
      <w:numFmt w:val="bullet"/>
      <w:lvlText w:val="o"/>
      <w:lvlJc w:val="left"/>
      <w:pPr>
        <w:tabs>
          <w:tab w:val="num" w:pos="5814"/>
        </w:tabs>
        <w:ind w:left="5814" w:hanging="360"/>
      </w:pPr>
      <w:rPr>
        <w:rFonts w:ascii="Courier New" w:hAnsi="Courier New" w:hint="default"/>
      </w:rPr>
    </w:lvl>
    <w:lvl w:ilvl="8" w:tplc="04090005" w:tentative="1">
      <w:start w:val="1"/>
      <w:numFmt w:val="bullet"/>
      <w:lvlText w:val=""/>
      <w:lvlJc w:val="left"/>
      <w:pPr>
        <w:tabs>
          <w:tab w:val="num" w:pos="6534"/>
        </w:tabs>
        <w:ind w:left="6534" w:hanging="360"/>
      </w:pPr>
      <w:rPr>
        <w:rFonts w:ascii="Wingdings" w:hAnsi="Wingdings" w:hint="default"/>
      </w:rPr>
    </w:lvl>
  </w:abstractNum>
  <w:num w:numId="1">
    <w:abstractNumId w:val="38"/>
  </w:num>
  <w:num w:numId="2">
    <w:abstractNumId w:val="0"/>
    <w:lvlOverride w:ilvl="0">
      <w:lvl w:ilvl="0">
        <w:start w:val="1"/>
        <w:numFmt w:val="bullet"/>
        <w:lvlText w:val="-"/>
        <w:legacy w:legacy="1" w:legacySpace="0" w:legacyIndent="360"/>
        <w:lvlJc w:val="left"/>
        <w:pPr>
          <w:ind w:left="360" w:hanging="360"/>
        </w:pPr>
      </w:lvl>
    </w:lvlOverride>
  </w:num>
  <w:num w:numId="3">
    <w:abstractNumId w:val="35"/>
  </w:num>
  <w:num w:numId="4">
    <w:abstractNumId w:val="32"/>
  </w:num>
  <w:num w:numId="5">
    <w:abstractNumId w:val="15"/>
  </w:num>
  <w:num w:numId="6">
    <w:abstractNumId w:val="45"/>
  </w:num>
  <w:num w:numId="7">
    <w:abstractNumId w:val="31"/>
  </w:num>
  <w:num w:numId="8">
    <w:abstractNumId w:val="9"/>
  </w:num>
  <w:num w:numId="9">
    <w:abstractNumId w:val="47"/>
  </w:num>
  <w:num w:numId="10">
    <w:abstractNumId w:val="5"/>
  </w:num>
  <w:num w:numId="11">
    <w:abstractNumId w:val="43"/>
  </w:num>
  <w:num w:numId="12">
    <w:abstractNumId w:val="36"/>
  </w:num>
  <w:num w:numId="13">
    <w:abstractNumId w:val="11"/>
  </w:num>
  <w:num w:numId="14">
    <w:abstractNumId w:val="26"/>
  </w:num>
  <w:num w:numId="15">
    <w:abstractNumId w:val="30"/>
  </w:num>
  <w:num w:numId="16">
    <w:abstractNumId w:val="2"/>
  </w:num>
  <w:num w:numId="17">
    <w:abstractNumId w:val="46"/>
  </w:num>
  <w:num w:numId="18">
    <w:abstractNumId w:val="41"/>
  </w:num>
  <w:num w:numId="19">
    <w:abstractNumId w:val="24"/>
  </w:num>
  <w:num w:numId="20">
    <w:abstractNumId w:val="27"/>
  </w:num>
  <w:num w:numId="21">
    <w:abstractNumId w:val="7"/>
  </w:num>
  <w:num w:numId="22">
    <w:abstractNumId w:val="28"/>
  </w:num>
  <w:num w:numId="23">
    <w:abstractNumId w:val="19"/>
  </w:num>
  <w:num w:numId="24">
    <w:abstractNumId w:val="22"/>
  </w:num>
  <w:num w:numId="25">
    <w:abstractNumId w:val="1"/>
  </w:num>
  <w:num w:numId="26">
    <w:abstractNumId w:val="3"/>
  </w:num>
  <w:num w:numId="27">
    <w:abstractNumId w:val="16"/>
  </w:num>
  <w:num w:numId="28">
    <w:abstractNumId w:val="44"/>
  </w:num>
  <w:num w:numId="29">
    <w:abstractNumId w:val="34"/>
  </w:num>
  <w:num w:numId="30">
    <w:abstractNumId w:val="29"/>
  </w:num>
  <w:num w:numId="31">
    <w:abstractNumId w:val="25"/>
  </w:num>
  <w:num w:numId="32">
    <w:abstractNumId w:val="33"/>
  </w:num>
  <w:num w:numId="33">
    <w:abstractNumId w:val="40"/>
  </w:num>
  <w:num w:numId="34">
    <w:abstractNumId w:val="23"/>
  </w:num>
  <w:num w:numId="35">
    <w:abstractNumId w:val="10"/>
  </w:num>
  <w:num w:numId="36">
    <w:abstractNumId w:val="37"/>
  </w:num>
  <w:num w:numId="37">
    <w:abstractNumId w:val="21"/>
  </w:num>
  <w:num w:numId="38">
    <w:abstractNumId w:val="39"/>
  </w:num>
  <w:num w:numId="39">
    <w:abstractNumId w:val="4"/>
  </w:num>
  <w:num w:numId="40">
    <w:abstractNumId w:val="13"/>
  </w:num>
  <w:num w:numId="41">
    <w:abstractNumId w:val="12"/>
  </w:num>
  <w:num w:numId="42">
    <w:abstractNumId w:val="14"/>
  </w:num>
  <w:num w:numId="43">
    <w:abstractNumId w:val="17"/>
  </w:num>
  <w:num w:numId="44">
    <w:abstractNumId w:val="42"/>
  </w:num>
  <w:num w:numId="45">
    <w:abstractNumId w:val="20"/>
  </w:num>
  <w:num w:numId="46">
    <w:abstractNumId w:val="18"/>
  </w:num>
  <w:num w:numId="47">
    <w:abstractNumId w:val="8"/>
  </w:num>
  <w:num w:numId="48">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autoHyphenation/>
  <w:hyphenationZone w:val="425"/>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E51"/>
    <w:rsid w:val="000A4EAB"/>
    <w:rsid w:val="00321BAD"/>
    <w:rsid w:val="00557556"/>
    <w:rsid w:val="00951CF7"/>
    <w:rsid w:val="00AF6E5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457"/>
    <o:shapelayout v:ext="edit">
      <o:idmap v:ext="edit" data="1"/>
    </o:shapelayout>
  </w:shapeDefaults>
  <w:decimalSymbol w:val=","/>
  <w:listSeparator w:val=";"/>
  <w15:chartTrackingRefBased/>
  <w15:docId w15:val="{7CAE9F38-5E47-4C62-9682-5AD8D1832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sz w:val="22"/>
      <w:lang w:val="sl-SI" w:eastAsia="sl-SI"/>
    </w:rPr>
  </w:style>
  <w:style w:type="paragraph" w:styleId="Cmsor1">
    <w:name w:val="heading 1"/>
    <w:basedOn w:val="Norml"/>
    <w:next w:val="Norml"/>
    <w:qFormat/>
    <w:pPr>
      <w:keepNext/>
      <w:spacing w:before="240" w:after="60"/>
      <w:outlineLvl w:val="0"/>
    </w:pPr>
    <w:rPr>
      <w:rFonts w:ascii="Arial" w:hAnsi="Arial" w:cs="Arial"/>
      <w:b/>
      <w:bCs/>
      <w:kern w:val="32"/>
      <w:sz w:val="32"/>
      <w:szCs w:val="32"/>
    </w:rPr>
  </w:style>
  <w:style w:type="paragraph" w:styleId="Cmsor2">
    <w:name w:val="heading 2"/>
    <w:basedOn w:val="Norml"/>
    <w:next w:val="Norml"/>
    <w:qFormat/>
    <w:pPr>
      <w:keepNext/>
      <w:tabs>
        <w:tab w:val="left" w:pos="4300"/>
        <w:tab w:val="left" w:pos="5940"/>
        <w:tab w:val="left" w:pos="8180"/>
      </w:tabs>
      <w:spacing w:line="360" w:lineRule="atLeast"/>
      <w:outlineLvl w:val="1"/>
    </w:pPr>
    <w:rPr>
      <w:b/>
      <w:u w:val="single"/>
      <w:lang w:val="en-US"/>
    </w:rPr>
  </w:style>
  <w:style w:type="paragraph" w:styleId="Cmsor3">
    <w:name w:val="heading 3"/>
    <w:basedOn w:val="Norml"/>
    <w:next w:val="Norml"/>
    <w:qFormat/>
    <w:pPr>
      <w:keepNext/>
      <w:tabs>
        <w:tab w:val="decimal" w:pos="6760"/>
      </w:tabs>
      <w:spacing w:line="480" w:lineRule="atLeast"/>
      <w:outlineLvl w:val="2"/>
    </w:pPr>
    <w:rPr>
      <w:b/>
      <w:lang w:val="en-US"/>
    </w:rPr>
  </w:style>
  <w:style w:type="paragraph" w:styleId="Cmsor4">
    <w:name w:val="heading 4"/>
    <w:basedOn w:val="Norml"/>
    <w:next w:val="Norml"/>
    <w:qFormat/>
    <w:pPr>
      <w:keepNext/>
      <w:spacing w:before="240" w:after="60"/>
      <w:outlineLvl w:val="3"/>
    </w:pPr>
    <w:rPr>
      <w:b/>
      <w:bCs/>
      <w:sz w:val="28"/>
      <w:szCs w:val="28"/>
    </w:rPr>
  </w:style>
  <w:style w:type="paragraph" w:styleId="Cmsor6">
    <w:name w:val="heading 6"/>
    <w:basedOn w:val="Norml"/>
    <w:next w:val="Norml"/>
    <w:qFormat/>
    <w:pPr>
      <w:keepNext/>
      <w:keepLines/>
      <w:tabs>
        <w:tab w:val="right" w:pos="4536"/>
        <w:tab w:val="left" w:pos="5180"/>
        <w:tab w:val="left" w:pos="5380"/>
        <w:tab w:val="left" w:pos="8222"/>
      </w:tabs>
      <w:outlineLvl w:val="5"/>
    </w:pPr>
    <w:rPr>
      <w:b/>
      <w:lang w:val="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pPr>
      <w:tabs>
        <w:tab w:val="center" w:pos="4320"/>
        <w:tab w:val="right" w:pos="8640"/>
      </w:tabs>
    </w:pPr>
    <w:rPr>
      <w:sz w:val="24"/>
      <w:lang w:val="x-none" w:eastAsia="x-none"/>
    </w:rPr>
  </w:style>
  <w:style w:type="paragraph" w:styleId="llb">
    <w:name w:val="footer"/>
    <w:basedOn w:val="Norml"/>
    <w:pPr>
      <w:tabs>
        <w:tab w:val="center" w:pos="4320"/>
        <w:tab w:val="right" w:pos="8640"/>
      </w:tabs>
    </w:pPr>
  </w:style>
  <w:style w:type="table" w:styleId="Rcsostblzat">
    <w:name w:val="Table Grid"/>
    <w:basedOn w:val="Normltblz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dalszm">
    <w:name w:val="page number"/>
    <w:basedOn w:val="Bekezdsalapbettpusa"/>
  </w:style>
  <w:style w:type="character" w:styleId="Hiperhivatkozs">
    <w:name w:val="Hyperlink"/>
    <w:rPr>
      <w:rFonts w:ascii="Times New Roman" w:hAnsi="Times New Roman"/>
      <w:color w:val="auto"/>
      <w:sz w:val="24"/>
      <w:szCs w:val="24"/>
      <w:u w:val="single"/>
      <w:lang w:val="en-US"/>
    </w:rPr>
  </w:style>
  <w:style w:type="character" w:styleId="Mrltotthiperhivatkozs">
    <w:name w:val="FollowedHyperlink"/>
    <w:rPr>
      <w:color w:val="800080"/>
      <w:u w:val="single"/>
    </w:rPr>
  </w:style>
  <w:style w:type="paragraph" w:styleId="Csakszveg">
    <w:name w:val="Plain Text"/>
    <w:basedOn w:val="Norml"/>
    <w:rPr>
      <w:rFonts w:ascii="Courier New" w:hAnsi="Courier New"/>
      <w:sz w:val="20"/>
      <w:lang w:val="en-GB"/>
    </w:rPr>
  </w:style>
  <w:style w:type="paragraph" w:styleId="Kpalrs">
    <w:name w:val="caption"/>
    <w:basedOn w:val="Norml"/>
    <w:next w:val="Norml"/>
    <w:qFormat/>
    <w:pPr>
      <w:jc w:val="both"/>
    </w:pPr>
    <w:rPr>
      <w:lang w:val="en-GB"/>
    </w:rPr>
  </w:style>
  <w:style w:type="paragraph" w:customStyle="1" w:styleId="Naslov1">
    <w:name w:val="Naslov1"/>
    <w:basedOn w:val="Cmsor1"/>
    <w:pPr>
      <w:spacing w:before="0" w:after="0"/>
    </w:pPr>
    <w:rPr>
      <w:rFonts w:ascii="Times New Roman" w:hAnsi="Times New Roman" w:cs="Times New Roman"/>
      <w:bCs w:val="0"/>
      <w:kern w:val="0"/>
      <w:sz w:val="22"/>
      <w:szCs w:val="20"/>
      <w:u w:val="single"/>
    </w:rPr>
  </w:style>
  <w:style w:type="paragraph" w:styleId="TJ1">
    <w:name w:val="toc 1"/>
    <w:basedOn w:val="Norml"/>
    <w:next w:val="Norml"/>
    <w:autoRedefine/>
    <w:semiHidden/>
    <w:pPr>
      <w:spacing w:before="120"/>
    </w:pPr>
    <w:rPr>
      <w:b/>
      <w:bCs/>
      <w:i/>
      <w:iCs/>
      <w:szCs w:val="28"/>
    </w:rPr>
  </w:style>
  <w:style w:type="paragraph" w:styleId="Szvegtrzs">
    <w:name w:val="Body Text"/>
    <w:basedOn w:val="Norml"/>
    <w:pPr>
      <w:numPr>
        <w:ilvl w:val="12"/>
      </w:numPr>
      <w:tabs>
        <w:tab w:val="left" w:pos="8505"/>
      </w:tabs>
      <w:ind w:right="-2"/>
    </w:pPr>
  </w:style>
  <w:style w:type="paragraph" w:styleId="Szvegtrzs2">
    <w:name w:val="Body Text 2"/>
    <w:basedOn w:val="Norml"/>
    <w:pPr>
      <w:spacing w:after="120" w:line="480" w:lineRule="auto"/>
    </w:pPr>
  </w:style>
  <w:style w:type="paragraph" w:customStyle="1" w:styleId="EMEAEnBodyText">
    <w:name w:val="EMEA En Body Text"/>
    <w:basedOn w:val="Norml"/>
    <w:pPr>
      <w:spacing w:before="120" w:after="120"/>
      <w:jc w:val="both"/>
    </w:pPr>
    <w:rPr>
      <w:lang w:val="en-US" w:eastAsia="en-US"/>
    </w:rPr>
  </w:style>
  <w:style w:type="paragraph" w:customStyle="1" w:styleId="Default">
    <w:name w:val="Default"/>
    <w:pPr>
      <w:autoSpaceDE w:val="0"/>
      <w:autoSpaceDN w:val="0"/>
      <w:adjustRightInd w:val="0"/>
    </w:pPr>
    <w:rPr>
      <w:color w:val="000000"/>
      <w:sz w:val="24"/>
      <w:szCs w:val="24"/>
      <w:lang w:val="sl-SI" w:eastAsia="sl-SI"/>
    </w:rPr>
  </w:style>
  <w:style w:type="numbering" w:customStyle="1" w:styleId="Brezseznama1">
    <w:name w:val="Brez seznama1"/>
    <w:next w:val="Nemlista"/>
    <w:semiHidden/>
  </w:style>
  <w:style w:type="paragraph" w:styleId="Vgjegyzetszvege">
    <w:name w:val="endnote text"/>
    <w:basedOn w:val="Norml"/>
    <w:semiHidden/>
    <w:pPr>
      <w:tabs>
        <w:tab w:val="left" w:pos="567"/>
      </w:tabs>
    </w:pPr>
    <w:rPr>
      <w:lang w:val="en-GB" w:eastAsia="en-US"/>
    </w:rPr>
  </w:style>
  <w:style w:type="numbering" w:customStyle="1" w:styleId="Brezseznama2">
    <w:name w:val="Brez seznama2"/>
    <w:next w:val="Nemlista"/>
    <w:semiHidden/>
  </w:style>
  <w:style w:type="numbering" w:customStyle="1" w:styleId="Brezseznama3">
    <w:name w:val="Brez seznama3"/>
    <w:next w:val="Nemlista"/>
    <w:semiHidden/>
  </w:style>
  <w:style w:type="paragraph" w:styleId="Cm">
    <w:name w:val="Title"/>
    <w:basedOn w:val="Norml"/>
    <w:qFormat/>
    <w:pPr>
      <w:jc w:val="center"/>
    </w:pPr>
    <w:rPr>
      <w:b/>
      <w:lang w:val="en-GB" w:eastAsia="en-US"/>
    </w:rPr>
  </w:style>
  <w:style w:type="numbering" w:customStyle="1" w:styleId="Brezseznama4">
    <w:name w:val="Brez seznama4"/>
    <w:next w:val="Nemlista"/>
    <w:semiHidden/>
  </w:style>
  <w:style w:type="numbering" w:customStyle="1" w:styleId="Brezseznama5">
    <w:name w:val="Brez seznama5"/>
    <w:next w:val="Nemlista"/>
    <w:uiPriority w:val="99"/>
    <w:semiHidden/>
    <w:unhideWhenUsed/>
  </w:style>
  <w:style w:type="character" w:customStyle="1" w:styleId="lfejChar">
    <w:name w:val="Élőfej Char"/>
    <w:link w:val="lfej"/>
    <w:uiPriority w:val="99"/>
    <w:rPr>
      <w:sz w:val="24"/>
    </w:rPr>
  </w:style>
  <w:style w:type="character" w:styleId="Lbjegyzet-hivatkozs">
    <w:name w:val="footnote reference"/>
    <w:rPr>
      <w:color w:val="0000FF"/>
      <w:vertAlign w:val="superscript"/>
    </w:rPr>
  </w:style>
  <w:style w:type="paragraph" w:customStyle="1" w:styleId="AuthenticateHeading">
    <w:name w:val="Authenticate Heading"/>
    <w:basedOn w:val="Norml"/>
    <w:next w:val="Norml"/>
    <w:pPr>
      <w:keepNext/>
      <w:suppressAutoHyphens/>
      <w:spacing w:before="600" w:after="200"/>
    </w:pPr>
    <w:rPr>
      <w:b/>
      <w:lang w:val="en-GB" w:eastAsia="en-US"/>
    </w:rPr>
  </w:style>
  <w:style w:type="paragraph" w:customStyle="1" w:styleId="Odstavekseznama1">
    <w:name w:val="Odstavek seznama1"/>
    <w:basedOn w:val="Norml"/>
    <w:pPr>
      <w:ind w:left="708"/>
    </w:pPr>
    <w:rPr>
      <w:szCs w:val="24"/>
      <w:lang w:val="en-US" w:eastAsia="en-US"/>
    </w:rPr>
  </w:style>
  <w:style w:type="paragraph" w:styleId="Szvegtrzsbehzssal">
    <w:name w:val="Body Text Indent"/>
    <w:basedOn w:val="Norml"/>
    <w:link w:val="SzvegtrzsbehzssalChar"/>
    <w:pPr>
      <w:spacing w:after="120"/>
      <w:ind w:left="283"/>
    </w:pPr>
    <w:rPr>
      <w:sz w:val="24"/>
      <w:lang w:val="x-none" w:eastAsia="x-none"/>
    </w:rPr>
  </w:style>
  <w:style w:type="character" w:customStyle="1" w:styleId="SzvegtrzsbehzssalChar">
    <w:name w:val="Szövegtörzs behúzással Char"/>
    <w:link w:val="Szvegtrzsbehzssal"/>
    <w:rPr>
      <w:sz w:val="24"/>
    </w:rPr>
  </w:style>
  <w:style w:type="paragraph" w:styleId="Vltozat">
    <w:name w:val="Revision"/>
    <w:hidden/>
    <w:uiPriority w:val="99"/>
    <w:semiHidden/>
    <w:rPr>
      <w:sz w:val="24"/>
      <w:lang w:val="sl-SI" w:eastAsia="sl-SI"/>
    </w:rPr>
  </w:style>
  <w:style w:type="paragraph" w:styleId="Buborkszveg">
    <w:name w:val="Balloon Text"/>
    <w:basedOn w:val="Norml"/>
    <w:link w:val="BuborkszvegChar"/>
    <w:rPr>
      <w:rFonts w:ascii="Tahoma" w:hAnsi="Tahoma"/>
      <w:sz w:val="16"/>
      <w:szCs w:val="16"/>
      <w:lang w:val="x-none" w:eastAsia="x-none"/>
    </w:rPr>
  </w:style>
  <w:style w:type="character" w:customStyle="1" w:styleId="BuborkszvegChar">
    <w:name w:val="Buborékszöveg Char"/>
    <w:link w:val="Buborkszveg"/>
    <w:rPr>
      <w:rFonts w:ascii="Tahoma" w:hAnsi="Tahoma" w:cs="Tahoma"/>
      <w:sz w:val="16"/>
      <w:szCs w:val="16"/>
    </w:rPr>
  </w:style>
  <w:style w:type="numbering" w:customStyle="1" w:styleId="StyleNumbered11ptLeft0cmHanging1cm">
    <w:name w:val="Style Numbered 11 pt Left:  0 cm Hanging:  1 cm"/>
    <w:basedOn w:val="Nemlista"/>
    <w:pPr>
      <w:numPr>
        <w:numId w:val="27"/>
      </w:numPr>
    </w:pPr>
  </w:style>
  <w:style w:type="paragraph" w:styleId="Alcm">
    <w:name w:val="Subtitle"/>
    <w:basedOn w:val="Norml"/>
    <w:next w:val="Szvegtrzs"/>
    <w:qFormat/>
    <w:pPr>
      <w:suppressAutoHyphens/>
      <w:jc w:val="center"/>
    </w:pPr>
    <w:rPr>
      <w:b/>
      <w:sz w:val="28"/>
      <w:lang w:val="hu-HU" w:eastAsia="hu-HU" w:bidi="hu-HU"/>
    </w:rPr>
  </w:style>
  <w:style w:type="character" w:styleId="Jegyzethivatkozs">
    <w:name w:val="annotation reference"/>
    <w:semiHidden/>
    <w:rPr>
      <w:sz w:val="16"/>
      <w:szCs w:val="16"/>
    </w:rPr>
  </w:style>
  <w:style w:type="paragraph" w:styleId="Jegyzetszveg">
    <w:name w:val="annotation text"/>
    <w:basedOn w:val="Norml"/>
    <w:semiHidden/>
    <w:rPr>
      <w:sz w:val="20"/>
    </w:rPr>
  </w:style>
  <w:style w:type="paragraph" w:styleId="Megjegyzstrgya">
    <w:name w:val="annotation subject"/>
    <w:basedOn w:val="Jegyzetszveg"/>
    <w:next w:val="Jegyzetszveg"/>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0427">
      <w:bodyDiv w:val="1"/>
      <w:marLeft w:val="0"/>
      <w:marRight w:val="0"/>
      <w:marTop w:val="0"/>
      <w:marBottom w:val="0"/>
      <w:divBdr>
        <w:top w:val="none" w:sz="0" w:space="0" w:color="auto"/>
        <w:left w:val="none" w:sz="0" w:space="0" w:color="auto"/>
        <w:bottom w:val="none" w:sz="0" w:space="0" w:color="auto"/>
        <w:right w:val="none" w:sz="0" w:space="0" w:color="auto"/>
      </w:divBdr>
    </w:div>
    <w:div w:id="139228378">
      <w:bodyDiv w:val="1"/>
      <w:marLeft w:val="0"/>
      <w:marRight w:val="0"/>
      <w:marTop w:val="0"/>
      <w:marBottom w:val="0"/>
      <w:divBdr>
        <w:top w:val="none" w:sz="0" w:space="0" w:color="auto"/>
        <w:left w:val="none" w:sz="0" w:space="0" w:color="auto"/>
        <w:bottom w:val="none" w:sz="0" w:space="0" w:color="auto"/>
        <w:right w:val="none" w:sz="0" w:space="0" w:color="auto"/>
      </w:divBdr>
    </w:div>
    <w:div w:id="151457291">
      <w:bodyDiv w:val="1"/>
      <w:marLeft w:val="0"/>
      <w:marRight w:val="0"/>
      <w:marTop w:val="0"/>
      <w:marBottom w:val="0"/>
      <w:divBdr>
        <w:top w:val="none" w:sz="0" w:space="0" w:color="auto"/>
        <w:left w:val="none" w:sz="0" w:space="0" w:color="auto"/>
        <w:bottom w:val="none" w:sz="0" w:space="0" w:color="auto"/>
        <w:right w:val="none" w:sz="0" w:space="0" w:color="auto"/>
      </w:divBdr>
    </w:div>
    <w:div w:id="368994759">
      <w:bodyDiv w:val="1"/>
      <w:marLeft w:val="0"/>
      <w:marRight w:val="0"/>
      <w:marTop w:val="0"/>
      <w:marBottom w:val="0"/>
      <w:divBdr>
        <w:top w:val="none" w:sz="0" w:space="0" w:color="auto"/>
        <w:left w:val="none" w:sz="0" w:space="0" w:color="auto"/>
        <w:bottom w:val="none" w:sz="0" w:space="0" w:color="auto"/>
        <w:right w:val="none" w:sz="0" w:space="0" w:color="auto"/>
      </w:divBdr>
    </w:div>
    <w:div w:id="369573413">
      <w:bodyDiv w:val="1"/>
      <w:marLeft w:val="0"/>
      <w:marRight w:val="0"/>
      <w:marTop w:val="0"/>
      <w:marBottom w:val="0"/>
      <w:divBdr>
        <w:top w:val="none" w:sz="0" w:space="0" w:color="auto"/>
        <w:left w:val="none" w:sz="0" w:space="0" w:color="auto"/>
        <w:bottom w:val="none" w:sz="0" w:space="0" w:color="auto"/>
        <w:right w:val="none" w:sz="0" w:space="0" w:color="auto"/>
      </w:divBdr>
    </w:div>
    <w:div w:id="398485353">
      <w:bodyDiv w:val="1"/>
      <w:marLeft w:val="0"/>
      <w:marRight w:val="0"/>
      <w:marTop w:val="0"/>
      <w:marBottom w:val="0"/>
      <w:divBdr>
        <w:top w:val="none" w:sz="0" w:space="0" w:color="auto"/>
        <w:left w:val="none" w:sz="0" w:space="0" w:color="auto"/>
        <w:bottom w:val="none" w:sz="0" w:space="0" w:color="auto"/>
        <w:right w:val="none" w:sz="0" w:space="0" w:color="auto"/>
      </w:divBdr>
    </w:div>
    <w:div w:id="568157416">
      <w:bodyDiv w:val="1"/>
      <w:marLeft w:val="0"/>
      <w:marRight w:val="0"/>
      <w:marTop w:val="0"/>
      <w:marBottom w:val="0"/>
      <w:divBdr>
        <w:top w:val="none" w:sz="0" w:space="0" w:color="auto"/>
        <w:left w:val="none" w:sz="0" w:space="0" w:color="auto"/>
        <w:bottom w:val="none" w:sz="0" w:space="0" w:color="auto"/>
        <w:right w:val="none" w:sz="0" w:space="0" w:color="auto"/>
      </w:divBdr>
    </w:div>
    <w:div w:id="591861431">
      <w:bodyDiv w:val="1"/>
      <w:marLeft w:val="0"/>
      <w:marRight w:val="0"/>
      <w:marTop w:val="0"/>
      <w:marBottom w:val="0"/>
      <w:divBdr>
        <w:top w:val="none" w:sz="0" w:space="0" w:color="auto"/>
        <w:left w:val="none" w:sz="0" w:space="0" w:color="auto"/>
        <w:bottom w:val="none" w:sz="0" w:space="0" w:color="auto"/>
        <w:right w:val="none" w:sz="0" w:space="0" w:color="auto"/>
      </w:divBdr>
    </w:div>
    <w:div w:id="640619203">
      <w:bodyDiv w:val="1"/>
      <w:marLeft w:val="0"/>
      <w:marRight w:val="0"/>
      <w:marTop w:val="0"/>
      <w:marBottom w:val="0"/>
      <w:divBdr>
        <w:top w:val="none" w:sz="0" w:space="0" w:color="auto"/>
        <w:left w:val="none" w:sz="0" w:space="0" w:color="auto"/>
        <w:bottom w:val="none" w:sz="0" w:space="0" w:color="auto"/>
        <w:right w:val="none" w:sz="0" w:space="0" w:color="auto"/>
      </w:divBdr>
    </w:div>
    <w:div w:id="717782947">
      <w:bodyDiv w:val="1"/>
      <w:marLeft w:val="0"/>
      <w:marRight w:val="0"/>
      <w:marTop w:val="0"/>
      <w:marBottom w:val="0"/>
      <w:divBdr>
        <w:top w:val="none" w:sz="0" w:space="0" w:color="auto"/>
        <w:left w:val="none" w:sz="0" w:space="0" w:color="auto"/>
        <w:bottom w:val="none" w:sz="0" w:space="0" w:color="auto"/>
        <w:right w:val="none" w:sz="0" w:space="0" w:color="auto"/>
      </w:divBdr>
    </w:div>
    <w:div w:id="761604756">
      <w:bodyDiv w:val="1"/>
      <w:marLeft w:val="0"/>
      <w:marRight w:val="0"/>
      <w:marTop w:val="0"/>
      <w:marBottom w:val="0"/>
      <w:divBdr>
        <w:top w:val="none" w:sz="0" w:space="0" w:color="auto"/>
        <w:left w:val="none" w:sz="0" w:space="0" w:color="auto"/>
        <w:bottom w:val="none" w:sz="0" w:space="0" w:color="auto"/>
        <w:right w:val="none" w:sz="0" w:space="0" w:color="auto"/>
      </w:divBdr>
    </w:div>
    <w:div w:id="775835281">
      <w:bodyDiv w:val="1"/>
      <w:marLeft w:val="0"/>
      <w:marRight w:val="0"/>
      <w:marTop w:val="0"/>
      <w:marBottom w:val="0"/>
      <w:divBdr>
        <w:top w:val="none" w:sz="0" w:space="0" w:color="auto"/>
        <w:left w:val="none" w:sz="0" w:space="0" w:color="auto"/>
        <w:bottom w:val="none" w:sz="0" w:space="0" w:color="auto"/>
        <w:right w:val="none" w:sz="0" w:space="0" w:color="auto"/>
      </w:divBdr>
    </w:div>
    <w:div w:id="920794092">
      <w:bodyDiv w:val="1"/>
      <w:marLeft w:val="0"/>
      <w:marRight w:val="0"/>
      <w:marTop w:val="0"/>
      <w:marBottom w:val="0"/>
      <w:divBdr>
        <w:top w:val="none" w:sz="0" w:space="0" w:color="auto"/>
        <w:left w:val="none" w:sz="0" w:space="0" w:color="auto"/>
        <w:bottom w:val="none" w:sz="0" w:space="0" w:color="auto"/>
        <w:right w:val="none" w:sz="0" w:space="0" w:color="auto"/>
      </w:divBdr>
    </w:div>
    <w:div w:id="931663948">
      <w:bodyDiv w:val="1"/>
      <w:marLeft w:val="0"/>
      <w:marRight w:val="0"/>
      <w:marTop w:val="0"/>
      <w:marBottom w:val="0"/>
      <w:divBdr>
        <w:top w:val="none" w:sz="0" w:space="0" w:color="auto"/>
        <w:left w:val="none" w:sz="0" w:space="0" w:color="auto"/>
        <w:bottom w:val="none" w:sz="0" w:space="0" w:color="auto"/>
        <w:right w:val="none" w:sz="0" w:space="0" w:color="auto"/>
      </w:divBdr>
    </w:div>
    <w:div w:id="959341689">
      <w:bodyDiv w:val="1"/>
      <w:marLeft w:val="0"/>
      <w:marRight w:val="0"/>
      <w:marTop w:val="0"/>
      <w:marBottom w:val="0"/>
      <w:divBdr>
        <w:top w:val="none" w:sz="0" w:space="0" w:color="auto"/>
        <w:left w:val="none" w:sz="0" w:space="0" w:color="auto"/>
        <w:bottom w:val="none" w:sz="0" w:space="0" w:color="auto"/>
        <w:right w:val="none" w:sz="0" w:space="0" w:color="auto"/>
      </w:divBdr>
    </w:div>
    <w:div w:id="1001352132">
      <w:bodyDiv w:val="1"/>
      <w:marLeft w:val="0"/>
      <w:marRight w:val="0"/>
      <w:marTop w:val="0"/>
      <w:marBottom w:val="0"/>
      <w:divBdr>
        <w:top w:val="none" w:sz="0" w:space="0" w:color="auto"/>
        <w:left w:val="none" w:sz="0" w:space="0" w:color="auto"/>
        <w:bottom w:val="none" w:sz="0" w:space="0" w:color="auto"/>
        <w:right w:val="none" w:sz="0" w:space="0" w:color="auto"/>
      </w:divBdr>
    </w:div>
    <w:div w:id="1005203770">
      <w:bodyDiv w:val="1"/>
      <w:marLeft w:val="0"/>
      <w:marRight w:val="0"/>
      <w:marTop w:val="0"/>
      <w:marBottom w:val="0"/>
      <w:divBdr>
        <w:top w:val="none" w:sz="0" w:space="0" w:color="auto"/>
        <w:left w:val="none" w:sz="0" w:space="0" w:color="auto"/>
        <w:bottom w:val="none" w:sz="0" w:space="0" w:color="auto"/>
        <w:right w:val="none" w:sz="0" w:space="0" w:color="auto"/>
      </w:divBdr>
    </w:div>
    <w:div w:id="1010987990">
      <w:bodyDiv w:val="1"/>
      <w:marLeft w:val="0"/>
      <w:marRight w:val="0"/>
      <w:marTop w:val="0"/>
      <w:marBottom w:val="0"/>
      <w:divBdr>
        <w:top w:val="none" w:sz="0" w:space="0" w:color="auto"/>
        <w:left w:val="none" w:sz="0" w:space="0" w:color="auto"/>
        <w:bottom w:val="none" w:sz="0" w:space="0" w:color="auto"/>
        <w:right w:val="none" w:sz="0" w:space="0" w:color="auto"/>
      </w:divBdr>
    </w:div>
    <w:div w:id="1034041473">
      <w:bodyDiv w:val="1"/>
      <w:marLeft w:val="0"/>
      <w:marRight w:val="0"/>
      <w:marTop w:val="0"/>
      <w:marBottom w:val="0"/>
      <w:divBdr>
        <w:top w:val="none" w:sz="0" w:space="0" w:color="auto"/>
        <w:left w:val="none" w:sz="0" w:space="0" w:color="auto"/>
        <w:bottom w:val="none" w:sz="0" w:space="0" w:color="auto"/>
        <w:right w:val="none" w:sz="0" w:space="0" w:color="auto"/>
      </w:divBdr>
    </w:div>
    <w:div w:id="1043018436">
      <w:bodyDiv w:val="1"/>
      <w:marLeft w:val="0"/>
      <w:marRight w:val="0"/>
      <w:marTop w:val="0"/>
      <w:marBottom w:val="0"/>
      <w:divBdr>
        <w:top w:val="none" w:sz="0" w:space="0" w:color="auto"/>
        <w:left w:val="none" w:sz="0" w:space="0" w:color="auto"/>
        <w:bottom w:val="none" w:sz="0" w:space="0" w:color="auto"/>
        <w:right w:val="none" w:sz="0" w:space="0" w:color="auto"/>
      </w:divBdr>
    </w:div>
    <w:div w:id="1048342318">
      <w:bodyDiv w:val="1"/>
      <w:marLeft w:val="0"/>
      <w:marRight w:val="0"/>
      <w:marTop w:val="0"/>
      <w:marBottom w:val="0"/>
      <w:divBdr>
        <w:top w:val="none" w:sz="0" w:space="0" w:color="auto"/>
        <w:left w:val="none" w:sz="0" w:space="0" w:color="auto"/>
        <w:bottom w:val="none" w:sz="0" w:space="0" w:color="auto"/>
        <w:right w:val="none" w:sz="0" w:space="0" w:color="auto"/>
      </w:divBdr>
    </w:div>
    <w:div w:id="1487287135">
      <w:bodyDiv w:val="1"/>
      <w:marLeft w:val="0"/>
      <w:marRight w:val="0"/>
      <w:marTop w:val="0"/>
      <w:marBottom w:val="0"/>
      <w:divBdr>
        <w:top w:val="none" w:sz="0" w:space="0" w:color="auto"/>
        <w:left w:val="none" w:sz="0" w:space="0" w:color="auto"/>
        <w:bottom w:val="none" w:sz="0" w:space="0" w:color="auto"/>
        <w:right w:val="none" w:sz="0" w:space="0" w:color="auto"/>
      </w:divBdr>
    </w:div>
    <w:div w:id="1587642225">
      <w:bodyDiv w:val="1"/>
      <w:marLeft w:val="0"/>
      <w:marRight w:val="0"/>
      <w:marTop w:val="0"/>
      <w:marBottom w:val="0"/>
      <w:divBdr>
        <w:top w:val="none" w:sz="0" w:space="0" w:color="auto"/>
        <w:left w:val="none" w:sz="0" w:space="0" w:color="auto"/>
        <w:bottom w:val="none" w:sz="0" w:space="0" w:color="auto"/>
        <w:right w:val="none" w:sz="0" w:space="0" w:color="auto"/>
      </w:divBdr>
    </w:div>
    <w:div w:id="1605966232">
      <w:bodyDiv w:val="1"/>
      <w:marLeft w:val="0"/>
      <w:marRight w:val="0"/>
      <w:marTop w:val="0"/>
      <w:marBottom w:val="0"/>
      <w:divBdr>
        <w:top w:val="none" w:sz="0" w:space="0" w:color="auto"/>
        <w:left w:val="none" w:sz="0" w:space="0" w:color="auto"/>
        <w:bottom w:val="none" w:sz="0" w:space="0" w:color="auto"/>
        <w:right w:val="none" w:sz="0" w:space="0" w:color="auto"/>
      </w:divBdr>
    </w:div>
    <w:div w:id="1612857317">
      <w:bodyDiv w:val="1"/>
      <w:marLeft w:val="0"/>
      <w:marRight w:val="0"/>
      <w:marTop w:val="0"/>
      <w:marBottom w:val="0"/>
      <w:divBdr>
        <w:top w:val="none" w:sz="0" w:space="0" w:color="auto"/>
        <w:left w:val="none" w:sz="0" w:space="0" w:color="auto"/>
        <w:bottom w:val="none" w:sz="0" w:space="0" w:color="auto"/>
        <w:right w:val="none" w:sz="0" w:space="0" w:color="auto"/>
      </w:divBdr>
    </w:div>
    <w:div w:id="1643073128">
      <w:bodyDiv w:val="1"/>
      <w:marLeft w:val="0"/>
      <w:marRight w:val="0"/>
      <w:marTop w:val="0"/>
      <w:marBottom w:val="0"/>
      <w:divBdr>
        <w:top w:val="none" w:sz="0" w:space="0" w:color="auto"/>
        <w:left w:val="none" w:sz="0" w:space="0" w:color="auto"/>
        <w:bottom w:val="none" w:sz="0" w:space="0" w:color="auto"/>
        <w:right w:val="none" w:sz="0" w:space="0" w:color="auto"/>
      </w:divBdr>
    </w:div>
    <w:div w:id="1726181581">
      <w:bodyDiv w:val="1"/>
      <w:marLeft w:val="0"/>
      <w:marRight w:val="0"/>
      <w:marTop w:val="0"/>
      <w:marBottom w:val="0"/>
      <w:divBdr>
        <w:top w:val="none" w:sz="0" w:space="0" w:color="auto"/>
        <w:left w:val="none" w:sz="0" w:space="0" w:color="auto"/>
        <w:bottom w:val="none" w:sz="0" w:space="0" w:color="auto"/>
        <w:right w:val="none" w:sz="0" w:space="0" w:color="auto"/>
      </w:divBdr>
    </w:div>
    <w:div w:id="1758399994">
      <w:bodyDiv w:val="1"/>
      <w:marLeft w:val="0"/>
      <w:marRight w:val="0"/>
      <w:marTop w:val="0"/>
      <w:marBottom w:val="0"/>
      <w:divBdr>
        <w:top w:val="none" w:sz="0" w:space="0" w:color="auto"/>
        <w:left w:val="none" w:sz="0" w:space="0" w:color="auto"/>
        <w:bottom w:val="none" w:sz="0" w:space="0" w:color="auto"/>
        <w:right w:val="none" w:sz="0" w:space="0" w:color="auto"/>
      </w:divBdr>
    </w:div>
    <w:div w:id="1778912014">
      <w:bodyDiv w:val="1"/>
      <w:marLeft w:val="0"/>
      <w:marRight w:val="0"/>
      <w:marTop w:val="0"/>
      <w:marBottom w:val="0"/>
      <w:divBdr>
        <w:top w:val="none" w:sz="0" w:space="0" w:color="auto"/>
        <w:left w:val="none" w:sz="0" w:space="0" w:color="auto"/>
        <w:bottom w:val="none" w:sz="0" w:space="0" w:color="auto"/>
        <w:right w:val="none" w:sz="0" w:space="0" w:color="auto"/>
      </w:divBdr>
    </w:div>
    <w:div w:id="1800880210">
      <w:bodyDiv w:val="1"/>
      <w:marLeft w:val="0"/>
      <w:marRight w:val="0"/>
      <w:marTop w:val="0"/>
      <w:marBottom w:val="0"/>
      <w:divBdr>
        <w:top w:val="none" w:sz="0" w:space="0" w:color="auto"/>
        <w:left w:val="none" w:sz="0" w:space="0" w:color="auto"/>
        <w:bottom w:val="none" w:sz="0" w:space="0" w:color="auto"/>
        <w:right w:val="none" w:sz="0" w:space="0" w:color="auto"/>
      </w:divBdr>
    </w:div>
    <w:div w:id="1857306990">
      <w:bodyDiv w:val="1"/>
      <w:marLeft w:val="0"/>
      <w:marRight w:val="0"/>
      <w:marTop w:val="0"/>
      <w:marBottom w:val="0"/>
      <w:divBdr>
        <w:top w:val="none" w:sz="0" w:space="0" w:color="auto"/>
        <w:left w:val="none" w:sz="0" w:space="0" w:color="auto"/>
        <w:bottom w:val="none" w:sz="0" w:space="0" w:color="auto"/>
        <w:right w:val="none" w:sz="0" w:space="0" w:color="auto"/>
      </w:divBdr>
    </w:div>
    <w:div w:id="1910379215">
      <w:bodyDiv w:val="1"/>
      <w:marLeft w:val="0"/>
      <w:marRight w:val="0"/>
      <w:marTop w:val="0"/>
      <w:marBottom w:val="0"/>
      <w:divBdr>
        <w:top w:val="none" w:sz="0" w:space="0" w:color="auto"/>
        <w:left w:val="none" w:sz="0" w:space="0" w:color="auto"/>
        <w:bottom w:val="none" w:sz="0" w:space="0" w:color="auto"/>
        <w:right w:val="none" w:sz="0" w:space="0" w:color="auto"/>
      </w:divBdr>
    </w:div>
    <w:div w:id="1917591829">
      <w:bodyDiv w:val="1"/>
      <w:marLeft w:val="0"/>
      <w:marRight w:val="0"/>
      <w:marTop w:val="0"/>
      <w:marBottom w:val="0"/>
      <w:divBdr>
        <w:top w:val="none" w:sz="0" w:space="0" w:color="auto"/>
        <w:left w:val="none" w:sz="0" w:space="0" w:color="auto"/>
        <w:bottom w:val="none" w:sz="0" w:space="0" w:color="auto"/>
        <w:right w:val="none" w:sz="0" w:space="0" w:color="auto"/>
      </w:divBdr>
    </w:div>
    <w:div w:id="1943563026">
      <w:bodyDiv w:val="1"/>
      <w:marLeft w:val="0"/>
      <w:marRight w:val="0"/>
      <w:marTop w:val="0"/>
      <w:marBottom w:val="0"/>
      <w:divBdr>
        <w:top w:val="none" w:sz="0" w:space="0" w:color="auto"/>
        <w:left w:val="none" w:sz="0" w:space="0" w:color="auto"/>
        <w:bottom w:val="none" w:sz="0" w:space="0" w:color="auto"/>
        <w:right w:val="none" w:sz="0" w:space="0" w:color="auto"/>
      </w:divBdr>
    </w:div>
    <w:div w:id="2017344660">
      <w:bodyDiv w:val="1"/>
      <w:marLeft w:val="0"/>
      <w:marRight w:val="0"/>
      <w:marTop w:val="0"/>
      <w:marBottom w:val="0"/>
      <w:divBdr>
        <w:top w:val="none" w:sz="0" w:space="0" w:color="auto"/>
        <w:left w:val="none" w:sz="0" w:space="0" w:color="auto"/>
        <w:bottom w:val="none" w:sz="0" w:space="0" w:color="auto"/>
        <w:right w:val="none" w:sz="0" w:space="0" w:color="auto"/>
      </w:divBdr>
    </w:div>
    <w:div w:id="207646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5538</Words>
  <Characters>43043</Characters>
  <Application>Microsoft Office Word</Application>
  <DocSecurity>0</DocSecurity>
  <Lines>358</Lines>
  <Paragraphs>96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PARTICULARS TO APPEAR ON &lt;THE OUTER PACKAGING&gt; &lt;AND&gt; &lt;THE IMMEDIATE PACKAGING&gt;</vt:lpstr>
      <vt:lpstr>PARTICULARS TO APPEAR ON &lt;THE OUTER PACKAGING&gt; &lt;AND&gt; &lt;THE IMMEDIATE PACKAGING&gt;</vt:lpstr>
    </vt:vector>
  </TitlesOfParts>
  <Company>Grizli777</Company>
  <LinksUpToDate>false</LinksUpToDate>
  <CharactersWithSpaces>48485</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PARTICULARS TO APPEAR ON &lt;THE OUTER PACKAGING&gt; &lt;AND&gt; &lt;THE IMMEDIATE PACKAGING&gt;</dc:title>
  <dc:subject/>
  <dc:creator>karmen</dc:creator>
  <cp:keywords/>
  <cp:lastModifiedBy>HU_OGYI_50.1</cp:lastModifiedBy>
  <cp:revision>2</cp:revision>
  <dcterms:created xsi:type="dcterms:W3CDTF">2025-01-09T10:14:00Z</dcterms:created>
  <dcterms:modified xsi:type="dcterms:W3CDTF">2025-01-09T10:14:00Z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p_title">
    <vt:lpwstr/>
  </property>
  <property fmtid="{D5CDD505-2E9C-101B-9397-08002B2CF9AE}" pid="3" name="ph_inn_name">
    <vt:lpwstr/>
  </property>
  <property fmtid="{D5CDD505-2E9C-101B-9397-08002B2CF9AE}" pid="4" name="ph_pharm_form">
    <vt:lpwstr/>
  </property>
  <property fmtid="{D5CDD505-2E9C-101B-9397-08002B2CF9AE}" pid="5" name="ph_unit_measure">
    <vt:lpwstr/>
  </property>
  <property fmtid="{D5CDD505-2E9C-101B-9397-08002B2CF9AE}" pid="6" name="mp_first_effective_date">
    <vt:lpwstr/>
  </property>
  <property fmtid="{D5CDD505-2E9C-101B-9397-08002B2CF9AE}" pid="7" name="mp_updated_effective_date">
    <vt:lpwstr/>
  </property>
  <property fmtid="{D5CDD505-2E9C-101B-9397-08002B2CF9AE}" pid="8" name="object_name">
    <vt:lpwstr>PI_Text079330_1</vt:lpwstr>
  </property>
  <property fmtid="{D5CDD505-2E9C-101B-9397-08002B2CF9AE}" pid="9" name="ph_strength_custom">
    <vt:lpwstr/>
  </property>
  <property fmtid="{D5CDD505-2E9C-101B-9397-08002B2CF9AE}" pid="10" name="mp_document_code">
    <vt:lpwstr/>
  </property>
  <property fmtid="{D5CDD505-2E9C-101B-9397-08002B2CF9AE}" pid="11" name="drz1">
    <vt:lpwstr/>
  </property>
  <property fmtid="{D5CDD505-2E9C-101B-9397-08002B2CF9AE}" pid="12" name="drz2">
    <vt:lpwstr/>
  </property>
  <property fmtid="{D5CDD505-2E9C-101B-9397-08002B2CF9AE}" pid="13" name="drz3">
    <vt:lpwstr/>
  </property>
  <property fmtid="{D5CDD505-2E9C-101B-9397-08002B2CF9AE}" pid="14" name="drz4">
    <vt:lpwstr/>
  </property>
  <property fmtid="{D5CDD505-2E9C-101B-9397-08002B2CF9AE}" pid="15" name="drz5">
    <vt:lpwstr/>
  </property>
  <property fmtid="{D5CDD505-2E9C-101B-9397-08002B2CF9AE}" pid="16" name="drz6">
    <vt:lpwstr/>
  </property>
  <property fmtid="{D5CDD505-2E9C-101B-9397-08002B2CF9AE}" pid="17" name="drz7">
    <vt:lpwstr/>
  </property>
  <property fmtid="{D5CDD505-2E9C-101B-9397-08002B2CF9AE}" pid="18" name="drz8">
    <vt:lpwstr/>
  </property>
  <property fmtid="{D5CDD505-2E9C-101B-9397-08002B2CF9AE}" pid="19" name="drz9">
    <vt:lpwstr/>
  </property>
  <property fmtid="{D5CDD505-2E9C-101B-9397-08002B2CF9AE}" pid="20" name="drz10">
    <vt:lpwstr/>
  </property>
  <property fmtid="{D5CDD505-2E9C-101B-9397-08002B2CF9AE}" pid="21" name="RMS_drz1">
    <vt:lpwstr/>
  </property>
  <property fmtid="{D5CDD505-2E9C-101B-9397-08002B2CF9AE}" pid="22" name="RMS_drz2">
    <vt:lpwstr/>
  </property>
  <property fmtid="{D5CDD505-2E9C-101B-9397-08002B2CF9AE}" pid="23" name="RMS_drz3">
    <vt:lpwstr/>
  </property>
  <property fmtid="{D5CDD505-2E9C-101B-9397-08002B2CF9AE}" pid="24" name="RMS_drz4">
    <vt:lpwstr/>
  </property>
  <property fmtid="{D5CDD505-2E9C-101B-9397-08002B2CF9AE}" pid="25" name="RMS_drz5">
    <vt:lpwstr/>
  </property>
</Properties>
</file>