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844CE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1.</w:t>
      </w:r>
      <w:r w:rsidRPr="00F14151">
        <w:rPr>
          <w:b/>
          <w:bCs/>
          <w:sz w:val="22"/>
          <w:szCs w:val="22"/>
          <w:lang w:val="hu-HU"/>
        </w:rPr>
        <w:tab/>
        <w:t>A GYÓGYSZER</w:t>
      </w:r>
      <w:r w:rsidR="005F3425" w:rsidRPr="00F14151">
        <w:rPr>
          <w:b/>
          <w:bCs/>
          <w:sz w:val="22"/>
          <w:szCs w:val="22"/>
          <w:lang w:val="hu-HU"/>
        </w:rPr>
        <w:t xml:space="preserve"> </w:t>
      </w:r>
      <w:r w:rsidRPr="00F14151">
        <w:rPr>
          <w:b/>
          <w:bCs/>
          <w:sz w:val="22"/>
          <w:szCs w:val="22"/>
          <w:lang w:val="hu-HU"/>
        </w:rPr>
        <w:t>NEVE</w:t>
      </w:r>
    </w:p>
    <w:p w14:paraId="1EE46DCD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3C551895" w14:textId="77777777" w:rsidR="005C2DF1" w:rsidRPr="00F14151" w:rsidRDefault="004C2F91" w:rsidP="00D63DC6">
      <w:pPr>
        <w:spacing w:line="260" w:lineRule="exact"/>
        <w:ind w:right="-29"/>
        <w:rPr>
          <w:noProof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Omeprazol-Teva</w:t>
      </w:r>
      <w:r w:rsidR="00E61ABE" w:rsidRPr="00F14151">
        <w:rPr>
          <w:sz w:val="22"/>
          <w:szCs w:val="22"/>
          <w:lang w:val="hu-HU"/>
        </w:rPr>
        <w:t xml:space="preserve"> </w:t>
      </w:r>
      <w:r w:rsidR="005C2DF1" w:rsidRPr="00F14151">
        <w:rPr>
          <w:sz w:val="22"/>
          <w:szCs w:val="22"/>
          <w:lang w:val="hu-HU"/>
        </w:rPr>
        <w:t>10</w:t>
      </w:r>
      <w:r w:rsidR="00A87C69" w:rsidRPr="00F14151">
        <w:rPr>
          <w:sz w:val="22"/>
          <w:szCs w:val="22"/>
          <w:lang w:val="hu-HU"/>
        </w:rPr>
        <w:t> </w:t>
      </w:r>
      <w:r w:rsidR="005C2DF1" w:rsidRPr="00F14151">
        <w:rPr>
          <w:sz w:val="22"/>
          <w:szCs w:val="22"/>
          <w:lang w:val="hu-HU"/>
        </w:rPr>
        <w:t>mg gyomornedv-ellenálló kemény kapszula</w:t>
      </w:r>
    </w:p>
    <w:p w14:paraId="279CCE11" w14:textId="77777777" w:rsidR="00334C5D" w:rsidRPr="00F14151" w:rsidRDefault="004C2F91" w:rsidP="00D63DC6">
      <w:pPr>
        <w:spacing w:line="260" w:lineRule="exact"/>
        <w:ind w:right="-29"/>
        <w:rPr>
          <w:noProof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Omeprazol-Teva</w:t>
      </w:r>
      <w:r w:rsidR="00E61ABE" w:rsidRPr="00F14151">
        <w:rPr>
          <w:sz w:val="22"/>
          <w:szCs w:val="22"/>
          <w:lang w:val="hu-HU"/>
        </w:rPr>
        <w:t xml:space="preserve"> </w:t>
      </w:r>
      <w:r w:rsidR="00334C5D" w:rsidRPr="00F14151">
        <w:rPr>
          <w:sz w:val="22"/>
          <w:szCs w:val="22"/>
          <w:lang w:val="hu-HU"/>
        </w:rPr>
        <w:t>20</w:t>
      </w:r>
      <w:r w:rsidR="00A87C69" w:rsidRPr="00F14151">
        <w:rPr>
          <w:sz w:val="22"/>
          <w:szCs w:val="22"/>
          <w:lang w:val="hu-HU"/>
        </w:rPr>
        <w:t> </w:t>
      </w:r>
      <w:r w:rsidR="00334C5D" w:rsidRPr="00F14151">
        <w:rPr>
          <w:sz w:val="22"/>
          <w:szCs w:val="22"/>
          <w:lang w:val="hu-HU"/>
        </w:rPr>
        <w:t>mg gyomornedv-ellenálló kemény kapszula</w:t>
      </w:r>
    </w:p>
    <w:p w14:paraId="459A3605" w14:textId="77777777" w:rsidR="00334C5D" w:rsidRPr="00F14151" w:rsidRDefault="004C2F91" w:rsidP="00D63DC6">
      <w:pPr>
        <w:spacing w:line="260" w:lineRule="exact"/>
        <w:ind w:right="-29"/>
        <w:rPr>
          <w:noProof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Omeprazol-Teva</w:t>
      </w:r>
      <w:r w:rsidR="00E61ABE" w:rsidRPr="00F14151">
        <w:rPr>
          <w:sz w:val="22"/>
          <w:szCs w:val="22"/>
          <w:lang w:val="hu-HU"/>
        </w:rPr>
        <w:t xml:space="preserve"> </w:t>
      </w:r>
      <w:r w:rsidR="00334C5D" w:rsidRPr="00F14151">
        <w:rPr>
          <w:sz w:val="22"/>
          <w:szCs w:val="22"/>
          <w:lang w:val="hu-HU"/>
        </w:rPr>
        <w:t>40</w:t>
      </w:r>
      <w:r w:rsidR="00A87C69" w:rsidRPr="00F14151">
        <w:rPr>
          <w:sz w:val="22"/>
          <w:szCs w:val="22"/>
          <w:lang w:val="hu-HU"/>
        </w:rPr>
        <w:t> </w:t>
      </w:r>
      <w:r w:rsidR="00334C5D" w:rsidRPr="00F14151">
        <w:rPr>
          <w:sz w:val="22"/>
          <w:szCs w:val="22"/>
          <w:lang w:val="hu-HU"/>
        </w:rPr>
        <w:t>mg gyomornedv-ellenálló kemény kapszula</w:t>
      </w:r>
    </w:p>
    <w:p w14:paraId="48174179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3F3788C3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50867775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2.</w:t>
      </w:r>
      <w:r w:rsidRPr="00F14151">
        <w:rPr>
          <w:b/>
          <w:bCs/>
          <w:sz w:val="22"/>
          <w:szCs w:val="22"/>
          <w:lang w:val="hu-HU"/>
        </w:rPr>
        <w:tab/>
        <w:t>MINŐSÉGI ÉS MENNYISÉGI ÖSSZETÉTEL</w:t>
      </w:r>
    </w:p>
    <w:p w14:paraId="51A19C71" w14:textId="77777777" w:rsidR="00EC0AA0" w:rsidRPr="00F14151" w:rsidRDefault="00EC0AA0" w:rsidP="00840FFA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3FFB8C31" w14:textId="77777777" w:rsidR="005D24D7" w:rsidRDefault="004C2F91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9408BD" w:rsidRPr="00F14151">
        <w:rPr>
          <w:i/>
          <w:sz w:val="22"/>
          <w:szCs w:val="22"/>
          <w:lang w:val="hu-HU"/>
        </w:rPr>
        <w:t xml:space="preserve"> 10 mg gyomornedv-ellenálló kemény kapszula:</w:t>
      </w:r>
      <w:r w:rsidR="009408BD" w:rsidRPr="00F14151">
        <w:rPr>
          <w:sz w:val="22"/>
          <w:szCs w:val="22"/>
          <w:lang w:val="hu-HU"/>
        </w:rPr>
        <w:t xml:space="preserve"> </w:t>
      </w:r>
    </w:p>
    <w:p w14:paraId="303E1848" w14:textId="77777777" w:rsidR="00FA4F40" w:rsidRPr="00F14151" w:rsidRDefault="00FA4F40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10</w:t>
      </w:r>
      <w:r w:rsidR="00A87C69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omeprazol</w:t>
      </w:r>
      <w:r w:rsidR="005D24D7">
        <w:rPr>
          <w:sz w:val="22"/>
          <w:szCs w:val="22"/>
          <w:lang w:val="hu-HU"/>
        </w:rPr>
        <w:t>t tartalmaz</w:t>
      </w:r>
      <w:r w:rsidRPr="00F14151">
        <w:rPr>
          <w:sz w:val="22"/>
          <w:szCs w:val="22"/>
          <w:lang w:val="hu-HU"/>
        </w:rPr>
        <w:t xml:space="preserve"> kapszulánként.</w:t>
      </w:r>
    </w:p>
    <w:p w14:paraId="59364BE2" w14:textId="77777777" w:rsidR="005D24D7" w:rsidRDefault="004C2F91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9408BD" w:rsidRPr="00F14151">
        <w:rPr>
          <w:i/>
          <w:sz w:val="22"/>
          <w:szCs w:val="22"/>
          <w:lang w:val="hu-HU"/>
        </w:rPr>
        <w:t xml:space="preserve"> 20 mg gyomornedv-ellenálló kemény kapszula:</w:t>
      </w:r>
      <w:r w:rsidR="009408BD" w:rsidRPr="00F14151">
        <w:rPr>
          <w:sz w:val="22"/>
          <w:szCs w:val="22"/>
          <w:lang w:val="hu-HU"/>
        </w:rPr>
        <w:t xml:space="preserve"> </w:t>
      </w:r>
    </w:p>
    <w:p w14:paraId="130A131E" w14:textId="77777777" w:rsidR="00334C5D" w:rsidRPr="00F14151" w:rsidRDefault="00334C5D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20</w:t>
      </w:r>
      <w:r w:rsidR="00A87C69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omeprazol</w:t>
      </w:r>
      <w:r w:rsidR="005D24D7">
        <w:rPr>
          <w:sz w:val="22"/>
          <w:szCs w:val="22"/>
          <w:lang w:val="hu-HU"/>
        </w:rPr>
        <w:t xml:space="preserve">t tartalmaz </w:t>
      </w:r>
      <w:r w:rsidRPr="00F14151">
        <w:rPr>
          <w:sz w:val="22"/>
          <w:szCs w:val="22"/>
          <w:lang w:val="hu-HU"/>
        </w:rPr>
        <w:t>kapszulánként.</w:t>
      </w:r>
    </w:p>
    <w:p w14:paraId="048C1C9A" w14:textId="77777777" w:rsidR="005D24D7" w:rsidRDefault="004C2F91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9408BD" w:rsidRPr="00283F89">
        <w:rPr>
          <w:i/>
          <w:sz w:val="22"/>
          <w:szCs w:val="22"/>
          <w:lang w:val="hu-HU"/>
        </w:rPr>
        <w:t xml:space="preserve"> 40 mg</w:t>
      </w:r>
      <w:r w:rsidR="009408BD" w:rsidRPr="00F14151">
        <w:rPr>
          <w:i/>
          <w:sz w:val="22"/>
          <w:szCs w:val="22"/>
          <w:lang w:val="hu-HU"/>
        </w:rPr>
        <w:t xml:space="preserve"> gyomornedv-ellenálló kemény kapszula:</w:t>
      </w:r>
      <w:r w:rsidR="009408BD" w:rsidRPr="00F14151">
        <w:rPr>
          <w:sz w:val="22"/>
          <w:szCs w:val="22"/>
          <w:lang w:val="hu-HU"/>
        </w:rPr>
        <w:t xml:space="preserve"> </w:t>
      </w:r>
    </w:p>
    <w:p w14:paraId="0E31E3FD" w14:textId="77777777" w:rsidR="00334C5D" w:rsidRPr="00F14151" w:rsidRDefault="00334C5D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40</w:t>
      </w:r>
      <w:r w:rsidR="00A87C69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omeprazol</w:t>
      </w:r>
      <w:r w:rsidR="005D24D7">
        <w:rPr>
          <w:sz w:val="22"/>
          <w:szCs w:val="22"/>
          <w:lang w:val="hu-HU"/>
        </w:rPr>
        <w:t>t tartalmaz</w:t>
      </w:r>
      <w:r w:rsidRPr="00F14151">
        <w:rPr>
          <w:sz w:val="22"/>
          <w:szCs w:val="22"/>
          <w:lang w:val="hu-HU"/>
        </w:rPr>
        <w:t xml:space="preserve"> kapszulánként.</w:t>
      </w:r>
    </w:p>
    <w:p w14:paraId="2B04228D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8AE3331" w14:textId="77777777" w:rsidR="00334C5D" w:rsidRPr="00C27EA3" w:rsidRDefault="00E61ABE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C27EA3">
        <w:rPr>
          <w:sz w:val="22"/>
          <w:szCs w:val="22"/>
          <w:u w:val="single"/>
          <w:lang w:val="hu-HU"/>
        </w:rPr>
        <w:t>Ismert hatású s</w:t>
      </w:r>
      <w:r w:rsidR="00FA4F40" w:rsidRPr="00C27EA3">
        <w:rPr>
          <w:sz w:val="22"/>
          <w:szCs w:val="22"/>
          <w:u w:val="single"/>
          <w:lang w:val="hu-HU"/>
        </w:rPr>
        <w:t>egédanyag:</w:t>
      </w:r>
      <w:r w:rsidR="005178D4" w:rsidRPr="00C27EA3">
        <w:rPr>
          <w:sz w:val="22"/>
          <w:szCs w:val="22"/>
          <w:u w:val="single"/>
          <w:lang w:val="hu-HU"/>
        </w:rPr>
        <w:t xml:space="preserve"> </w:t>
      </w:r>
    </w:p>
    <w:p w14:paraId="2DEED2F1" w14:textId="77777777" w:rsidR="005D24D7" w:rsidRDefault="004C2F91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9408BD" w:rsidRPr="00283F89">
        <w:rPr>
          <w:i/>
          <w:sz w:val="22"/>
          <w:szCs w:val="22"/>
          <w:lang w:val="hu-HU"/>
        </w:rPr>
        <w:t xml:space="preserve"> 10</w:t>
      </w:r>
      <w:r w:rsidR="009408BD" w:rsidRPr="00F14151">
        <w:rPr>
          <w:i/>
          <w:sz w:val="22"/>
          <w:szCs w:val="22"/>
          <w:lang w:val="hu-HU"/>
        </w:rPr>
        <w:t> mg gyomornedv-ellenálló kemény kapszula:</w:t>
      </w:r>
      <w:r w:rsidR="009408BD" w:rsidRPr="00F14151">
        <w:rPr>
          <w:sz w:val="22"/>
          <w:szCs w:val="22"/>
          <w:lang w:val="hu-HU"/>
        </w:rPr>
        <w:t xml:space="preserve"> </w:t>
      </w:r>
    </w:p>
    <w:p w14:paraId="3E1F2FDB" w14:textId="77777777" w:rsidR="00FA4F40" w:rsidRPr="00F14151" w:rsidRDefault="00E61ABE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40</w:t>
      </w:r>
      <w:r w:rsidR="00D63DC6" w:rsidRPr="00F14151">
        <w:rPr>
          <w:sz w:val="22"/>
          <w:szCs w:val="22"/>
          <w:lang w:val="hu-HU"/>
        </w:rPr>
        <w:t> </w:t>
      </w:r>
      <w:r w:rsidR="003F3C5F" w:rsidRPr="00F14151">
        <w:rPr>
          <w:sz w:val="22"/>
          <w:szCs w:val="22"/>
          <w:lang w:val="hu-HU"/>
        </w:rPr>
        <w:t xml:space="preserve">mg </w:t>
      </w:r>
      <w:r w:rsidRPr="00F14151">
        <w:rPr>
          <w:sz w:val="22"/>
          <w:szCs w:val="22"/>
          <w:lang w:val="hu-HU"/>
        </w:rPr>
        <w:t>szacharózt tartalmaz</w:t>
      </w:r>
      <w:r w:rsidR="007F44C0" w:rsidRPr="00F14151">
        <w:rPr>
          <w:sz w:val="22"/>
          <w:szCs w:val="22"/>
          <w:lang w:val="hu-HU"/>
        </w:rPr>
        <w:t xml:space="preserve"> kapszulánként</w:t>
      </w:r>
      <w:r w:rsidR="003F3C5F" w:rsidRPr="00F14151">
        <w:rPr>
          <w:sz w:val="22"/>
          <w:szCs w:val="22"/>
          <w:lang w:val="hu-HU"/>
        </w:rPr>
        <w:t>.</w:t>
      </w:r>
    </w:p>
    <w:p w14:paraId="4D7BC943" w14:textId="77777777" w:rsidR="005D24D7" w:rsidRDefault="004C2F91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9408BD" w:rsidRPr="00283F89">
        <w:rPr>
          <w:i/>
          <w:sz w:val="22"/>
          <w:szCs w:val="22"/>
          <w:lang w:val="hu-HU"/>
        </w:rPr>
        <w:t xml:space="preserve"> </w:t>
      </w:r>
      <w:r w:rsidR="00003C77" w:rsidRPr="00283F89">
        <w:rPr>
          <w:i/>
          <w:sz w:val="22"/>
          <w:szCs w:val="22"/>
          <w:lang w:val="hu-HU"/>
        </w:rPr>
        <w:t>20</w:t>
      </w:r>
      <w:r w:rsidR="00003C77" w:rsidRPr="00F14151">
        <w:rPr>
          <w:i/>
          <w:sz w:val="22"/>
          <w:szCs w:val="22"/>
          <w:lang w:val="hu-HU"/>
        </w:rPr>
        <w:t> </w:t>
      </w:r>
      <w:r w:rsidR="009408BD" w:rsidRPr="00F14151">
        <w:rPr>
          <w:i/>
          <w:sz w:val="22"/>
          <w:szCs w:val="22"/>
          <w:lang w:val="hu-HU"/>
        </w:rPr>
        <w:t>mg gyomornedv-ellenálló kemény kapszula:</w:t>
      </w:r>
      <w:r w:rsidR="009408BD" w:rsidRPr="00F14151">
        <w:rPr>
          <w:sz w:val="22"/>
          <w:szCs w:val="22"/>
          <w:lang w:val="hu-HU"/>
        </w:rPr>
        <w:t xml:space="preserve"> </w:t>
      </w:r>
    </w:p>
    <w:p w14:paraId="20E4EDFA" w14:textId="77777777" w:rsidR="00E61ABE" w:rsidRPr="00F14151" w:rsidRDefault="00E61ABE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80</w:t>
      </w:r>
      <w:r w:rsidR="00D63DC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szacharózt tartalmaz</w:t>
      </w:r>
      <w:r w:rsidR="007F44C0" w:rsidRPr="00F14151">
        <w:rPr>
          <w:sz w:val="22"/>
          <w:szCs w:val="22"/>
          <w:lang w:val="hu-HU"/>
        </w:rPr>
        <w:t xml:space="preserve"> kapszulánként</w:t>
      </w:r>
      <w:r w:rsidRPr="00F14151">
        <w:rPr>
          <w:sz w:val="22"/>
          <w:szCs w:val="22"/>
          <w:lang w:val="hu-HU"/>
        </w:rPr>
        <w:t>.</w:t>
      </w:r>
    </w:p>
    <w:p w14:paraId="098A531C" w14:textId="77777777" w:rsidR="005D24D7" w:rsidRDefault="004C2F91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9408BD" w:rsidRPr="00283F89">
        <w:rPr>
          <w:i/>
          <w:sz w:val="22"/>
          <w:szCs w:val="22"/>
          <w:lang w:val="hu-HU"/>
        </w:rPr>
        <w:t xml:space="preserve"> 40</w:t>
      </w:r>
      <w:r w:rsidR="009408BD" w:rsidRPr="00F14151">
        <w:rPr>
          <w:i/>
          <w:sz w:val="22"/>
          <w:szCs w:val="22"/>
          <w:lang w:val="hu-HU"/>
        </w:rPr>
        <w:t> mg gyomornedv-ellenálló kemény kapszula:</w:t>
      </w:r>
      <w:r w:rsidR="009408BD" w:rsidRPr="00F14151">
        <w:rPr>
          <w:sz w:val="22"/>
          <w:szCs w:val="22"/>
          <w:lang w:val="hu-HU"/>
        </w:rPr>
        <w:t xml:space="preserve"> </w:t>
      </w:r>
    </w:p>
    <w:p w14:paraId="1AA310FF" w14:textId="77777777" w:rsidR="00EC0AA0" w:rsidRPr="00F14151" w:rsidRDefault="00E61ABE" w:rsidP="009408BD">
      <w:pPr>
        <w:spacing w:line="260" w:lineRule="exact"/>
        <w:ind w:right="-29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160</w:t>
      </w:r>
      <w:r w:rsidR="00D63DC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szacharózt tartalmaz</w:t>
      </w:r>
      <w:r w:rsidR="007F44C0" w:rsidRPr="00F14151">
        <w:rPr>
          <w:sz w:val="22"/>
          <w:szCs w:val="22"/>
          <w:lang w:val="hu-HU"/>
        </w:rPr>
        <w:t xml:space="preserve"> kapszulánként</w:t>
      </w:r>
      <w:r w:rsidRPr="00F14151">
        <w:rPr>
          <w:sz w:val="22"/>
          <w:szCs w:val="22"/>
          <w:lang w:val="hu-HU"/>
        </w:rPr>
        <w:t>.</w:t>
      </w:r>
    </w:p>
    <w:p w14:paraId="7CCFC679" w14:textId="77777777" w:rsidR="00E61ABE" w:rsidRPr="00F14151" w:rsidRDefault="00E61ABE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9FE06DE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segédanyagok teljes listáját lásd a 6.1</w:t>
      </w:r>
      <w:r w:rsidR="00D63DC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pontban.</w:t>
      </w:r>
    </w:p>
    <w:p w14:paraId="315A56AE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71BC177E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57DE2526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3.</w:t>
      </w:r>
      <w:r w:rsidRPr="00F14151">
        <w:rPr>
          <w:b/>
          <w:bCs/>
          <w:sz w:val="22"/>
          <w:szCs w:val="22"/>
          <w:lang w:val="hu-HU"/>
        </w:rPr>
        <w:tab/>
        <w:t>GYÓGYSZERFORMA</w:t>
      </w:r>
    </w:p>
    <w:p w14:paraId="0043FDB2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4B6855CD" w14:textId="77777777" w:rsidR="005178D4" w:rsidRPr="00F14151" w:rsidRDefault="005178D4" w:rsidP="00D63DC6">
      <w:pPr>
        <w:spacing w:line="260" w:lineRule="exact"/>
        <w:rPr>
          <w:color w:val="454545"/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Gyomornedv-ellenálló kemény kapszula</w:t>
      </w:r>
      <w:r w:rsidR="00E61ABE" w:rsidRPr="00F14151">
        <w:rPr>
          <w:sz w:val="22"/>
          <w:szCs w:val="22"/>
          <w:lang w:val="hu-HU"/>
        </w:rPr>
        <w:t>.</w:t>
      </w:r>
    </w:p>
    <w:p w14:paraId="7CB085E4" w14:textId="77777777" w:rsidR="00DC4D34" w:rsidRPr="00F14151" w:rsidRDefault="00DC4D34" w:rsidP="00D63DC6">
      <w:pPr>
        <w:autoSpaceDE w:val="0"/>
        <w:autoSpaceDN w:val="0"/>
        <w:adjustRightInd w:val="0"/>
        <w:spacing w:line="260" w:lineRule="exact"/>
        <w:rPr>
          <w:color w:val="000000"/>
          <w:sz w:val="22"/>
          <w:szCs w:val="22"/>
          <w:highlight w:val="lightGray"/>
          <w:lang w:val="hu-HU"/>
        </w:rPr>
      </w:pPr>
    </w:p>
    <w:p w14:paraId="1B0D840D" w14:textId="77777777" w:rsidR="00DC4D34" w:rsidRPr="00F14151" w:rsidRDefault="004C2F91" w:rsidP="00977955">
      <w:pPr>
        <w:keepNext/>
        <w:autoSpaceDE w:val="0"/>
        <w:autoSpaceDN w:val="0"/>
        <w:adjustRightInd w:val="0"/>
        <w:spacing w:line="260" w:lineRule="exact"/>
        <w:rPr>
          <w:i/>
          <w:color w:val="000000"/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E61ABE" w:rsidRPr="00283F89">
        <w:rPr>
          <w:i/>
          <w:color w:val="000000"/>
          <w:sz w:val="22"/>
          <w:szCs w:val="22"/>
          <w:lang w:val="hu-HU"/>
        </w:rPr>
        <w:t xml:space="preserve"> </w:t>
      </w:r>
      <w:r w:rsidR="00E61ABE" w:rsidRPr="00F14151">
        <w:rPr>
          <w:i/>
          <w:color w:val="000000"/>
          <w:sz w:val="22"/>
          <w:szCs w:val="22"/>
          <w:lang w:val="hu-HU"/>
        </w:rPr>
        <w:t>10</w:t>
      </w:r>
      <w:r w:rsidR="00D63DC6" w:rsidRPr="00F14151">
        <w:rPr>
          <w:i/>
          <w:color w:val="000000"/>
          <w:sz w:val="22"/>
          <w:szCs w:val="22"/>
          <w:lang w:val="hu-HU"/>
        </w:rPr>
        <w:t> </w:t>
      </w:r>
      <w:r w:rsidR="00E61ABE" w:rsidRPr="00F14151">
        <w:rPr>
          <w:i/>
          <w:color w:val="000000"/>
          <w:sz w:val="22"/>
          <w:szCs w:val="22"/>
          <w:lang w:val="hu-HU"/>
        </w:rPr>
        <w:t>mg gyomornedv-ellenálló kemény kapszula</w:t>
      </w:r>
      <w:r w:rsidR="001A35B9" w:rsidRPr="00F14151">
        <w:rPr>
          <w:i/>
          <w:color w:val="000000"/>
          <w:sz w:val="22"/>
          <w:szCs w:val="22"/>
          <w:lang w:val="hu-HU"/>
        </w:rPr>
        <w:t>:</w:t>
      </w:r>
    </w:p>
    <w:p w14:paraId="708FA2E3" w14:textId="77777777" w:rsidR="00D64804" w:rsidRPr="00F14151" w:rsidRDefault="00FA731D" w:rsidP="00D63DC6">
      <w:pPr>
        <w:autoSpaceDE w:val="0"/>
        <w:autoSpaceDN w:val="0"/>
        <w:adjustRightInd w:val="0"/>
        <w:spacing w:line="260" w:lineRule="exact"/>
        <w:rPr>
          <w:sz w:val="22"/>
          <w:lang w:val="hu-HU"/>
        </w:rPr>
      </w:pPr>
      <w:r>
        <w:rPr>
          <w:sz w:val="22"/>
          <w:lang w:val="hu-HU"/>
        </w:rPr>
        <w:t>N</w:t>
      </w:r>
      <w:r w:rsidR="00D64804" w:rsidRPr="00F14151">
        <w:rPr>
          <w:sz w:val="22"/>
          <w:lang w:val="hu-HU"/>
        </w:rPr>
        <w:t>arancssárga alsó</w:t>
      </w:r>
      <w:r w:rsidR="000F5374">
        <w:rPr>
          <w:sz w:val="22"/>
          <w:lang w:val="hu-HU"/>
        </w:rPr>
        <w:t xml:space="preserve"> </w:t>
      </w:r>
      <w:r w:rsidR="00D64804" w:rsidRPr="00F14151">
        <w:rPr>
          <w:sz w:val="22"/>
          <w:lang w:val="hu-HU"/>
        </w:rPr>
        <w:t>rész</w:t>
      </w:r>
      <w:r w:rsidR="000F5374">
        <w:rPr>
          <w:sz w:val="22"/>
          <w:lang w:val="hu-HU"/>
        </w:rPr>
        <w:t>ből és</w:t>
      </w:r>
      <w:r w:rsidR="00D64804" w:rsidRPr="00F14151">
        <w:rPr>
          <w:sz w:val="22"/>
          <w:lang w:val="hu-HU"/>
        </w:rPr>
        <w:t xml:space="preserve"> vörös felső</w:t>
      </w:r>
      <w:r w:rsidR="000F5374">
        <w:rPr>
          <w:sz w:val="22"/>
          <w:lang w:val="hu-HU"/>
        </w:rPr>
        <w:t xml:space="preserve"> </w:t>
      </w:r>
      <w:r w:rsidR="00D64804" w:rsidRPr="00F14151">
        <w:rPr>
          <w:sz w:val="22"/>
          <w:lang w:val="hu-HU"/>
        </w:rPr>
        <w:t>rész</w:t>
      </w:r>
      <w:r w:rsidR="000F5374">
        <w:rPr>
          <w:sz w:val="22"/>
          <w:lang w:val="hu-HU"/>
        </w:rPr>
        <w:t>ből álló</w:t>
      </w:r>
      <w:r w:rsidR="00D64804" w:rsidRPr="00F14151">
        <w:rPr>
          <w:sz w:val="22"/>
          <w:lang w:val="hu-HU"/>
        </w:rPr>
        <w:t xml:space="preserve"> kapszulák. A kapszulát fehér jelölőfestékkel </w:t>
      </w:r>
      <w:r w:rsidR="00F14151">
        <w:rPr>
          <w:sz w:val="22"/>
          <w:lang w:val="hu-HU"/>
        </w:rPr>
        <w:t>„</w:t>
      </w:r>
      <w:r w:rsidR="00D64804" w:rsidRPr="00F14151">
        <w:rPr>
          <w:sz w:val="22"/>
          <w:lang w:val="hu-HU"/>
        </w:rPr>
        <w:t>O</w:t>
      </w:r>
      <w:r w:rsidR="00F14151">
        <w:rPr>
          <w:sz w:val="22"/>
          <w:lang w:val="hu-HU"/>
        </w:rPr>
        <w:t>”</w:t>
      </w:r>
      <w:r w:rsidR="00D64804" w:rsidRPr="00F14151">
        <w:rPr>
          <w:sz w:val="22"/>
          <w:lang w:val="hu-HU"/>
        </w:rPr>
        <w:t xml:space="preserve"> betűvel jelölték meg a felső részen és </w:t>
      </w:r>
      <w:r w:rsidR="00F14151">
        <w:rPr>
          <w:sz w:val="22"/>
          <w:lang w:val="hu-HU"/>
        </w:rPr>
        <w:t>„</w:t>
      </w:r>
      <w:r w:rsidR="00D64804" w:rsidRPr="00F14151">
        <w:rPr>
          <w:sz w:val="22"/>
          <w:lang w:val="hu-HU"/>
        </w:rPr>
        <w:t>10</w:t>
      </w:r>
      <w:r w:rsidR="00F14151">
        <w:rPr>
          <w:sz w:val="22"/>
          <w:lang w:val="hu-HU"/>
        </w:rPr>
        <w:t>”</w:t>
      </w:r>
      <w:r w:rsidR="00D64804" w:rsidRPr="00F14151">
        <w:rPr>
          <w:sz w:val="22"/>
          <w:lang w:val="hu-HU"/>
        </w:rPr>
        <w:t>-zel az alsó részen. A kapszula fehér</w:t>
      </w:r>
      <w:r w:rsidR="00F14151">
        <w:rPr>
          <w:sz w:val="22"/>
          <w:lang w:val="hu-HU"/>
        </w:rPr>
        <w:noBreakHyphen/>
      </w:r>
      <w:r w:rsidR="00D64804" w:rsidRPr="00F14151">
        <w:rPr>
          <w:sz w:val="22"/>
          <w:lang w:val="hu-HU"/>
        </w:rPr>
        <w:t>csaknem fehér mikropelleteket tartalmaz.</w:t>
      </w:r>
    </w:p>
    <w:p w14:paraId="5168D932" w14:textId="77777777" w:rsidR="003F3C5F" w:rsidRPr="00667C1B" w:rsidRDefault="003F3C5F" w:rsidP="00D63DC6">
      <w:pPr>
        <w:autoSpaceDE w:val="0"/>
        <w:autoSpaceDN w:val="0"/>
        <w:adjustRightInd w:val="0"/>
        <w:spacing w:line="260" w:lineRule="exact"/>
        <w:rPr>
          <w:i/>
          <w:sz w:val="22"/>
          <w:szCs w:val="22"/>
          <w:highlight w:val="yellow"/>
          <w:lang w:val="hu-HU"/>
        </w:rPr>
      </w:pPr>
    </w:p>
    <w:p w14:paraId="3E614162" w14:textId="77777777" w:rsidR="00E61ABE" w:rsidRPr="00F14151" w:rsidRDefault="004C2F91" w:rsidP="00977955">
      <w:pPr>
        <w:keepNext/>
        <w:autoSpaceDE w:val="0"/>
        <w:autoSpaceDN w:val="0"/>
        <w:adjustRightInd w:val="0"/>
        <w:spacing w:line="260" w:lineRule="exact"/>
        <w:rPr>
          <w:i/>
          <w:color w:val="000000"/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E61ABE" w:rsidRPr="00F14151">
        <w:rPr>
          <w:i/>
          <w:color w:val="000000"/>
          <w:sz w:val="22"/>
          <w:szCs w:val="22"/>
          <w:lang w:val="hu-HU"/>
        </w:rPr>
        <w:t xml:space="preserve"> 20</w:t>
      </w:r>
      <w:r w:rsidR="00D63DC6" w:rsidRPr="00F14151">
        <w:rPr>
          <w:i/>
          <w:color w:val="000000"/>
          <w:sz w:val="22"/>
          <w:szCs w:val="22"/>
          <w:lang w:val="hu-HU"/>
        </w:rPr>
        <w:t> </w:t>
      </w:r>
      <w:r w:rsidR="00E61ABE" w:rsidRPr="00F14151">
        <w:rPr>
          <w:i/>
          <w:color w:val="000000"/>
          <w:sz w:val="22"/>
          <w:szCs w:val="22"/>
          <w:lang w:val="hu-HU"/>
        </w:rPr>
        <w:t>mg gyomornedv-ellenálló kemény kapszula</w:t>
      </w:r>
      <w:r w:rsidR="001A35B9" w:rsidRPr="00F14151">
        <w:rPr>
          <w:i/>
          <w:color w:val="000000"/>
          <w:sz w:val="22"/>
          <w:szCs w:val="22"/>
          <w:lang w:val="hu-HU"/>
        </w:rPr>
        <w:t>:</w:t>
      </w:r>
    </w:p>
    <w:p w14:paraId="34162DDC" w14:textId="77777777" w:rsidR="00D64804" w:rsidRPr="00F14151" w:rsidRDefault="00FA731D" w:rsidP="00D64804">
      <w:pPr>
        <w:pStyle w:val="Szvegtrzs"/>
        <w:tabs>
          <w:tab w:val="left" w:pos="709"/>
        </w:tabs>
        <w:spacing w:after="0"/>
        <w:rPr>
          <w:sz w:val="22"/>
          <w:lang w:val="hu-HU"/>
        </w:rPr>
      </w:pPr>
      <w:r>
        <w:rPr>
          <w:sz w:val="22"/>
          <w:lang w:val="hu-HU"/>
        </w:rPr>
        <w:t>N</w:t>
      </w:r>
      <w:r w:rsidR="00D64804" w:rsidRPr="00F14151">
        <w:rPr>
          <w:sz w:val="22"/>
          <w:lang w:val="hu-HU"/>
        </w:rPr>
        <w:t>arancssárga alsó</w:t>
      </w:r>
      <w:r w:rsidR="000F5374">
        <w:rPr>
          <w:sz w:val="22"/>
          <w:lang w:val="hu-HU"/>
        </w:rPr>
        <w:t xml:space="preserve"> </w:t>
      </w:r>
      <w:r w:rsidR="00D64804" w:rsidRPr="00F14151">
        <w:rPr>
          <w:sz w:val="22"/>
          <w:lang w:val="hu-HU"/>
        </w:rPr>
        <w:t>rész</w:t>
      </w:r>
      <w:r w:rsidR="000F5374">
        <w:rPr>
          <w:sz w:val="22"/>
          <w:lang w:val="hu-HU"/>
        </w:rPr>
        <w:t>ből és</w:t>
      </w:r>
      <w:r w:rsidR="00D64804" w:rsidRPr="00F14151">
        <w:rPr>
          <w:sz w:val="22"/>
          <w:lang w:val="hu-HU"/>
        </w:rPr>
        <w:t xml:space="preserve"> kék felső</w:t>
      </w:r>
      <w:r w:rsidR="000F5374">
        <w:rPr>
          <w:sz w:val="22"/>
          <w:lang w:val="hu-HU"/>
        </w:rPr>
        <w:t xml:space="preserve"> </w:t>
      </w:r>
      <w:r w:rsidR="00D64804" w:rsidRPr="00F14151">
        <w:rPr>
          <w:sz w:val="22"/>
          <w:lang w:val="hu-HU"/>
        </w:rPr>
        <w:t>rész</w:t>
      </w:r>
      <w:r w:rsidR="000F5374">
        <w:rPr>
          <w:sz w:val="22"/>
          <w:lang w:val="hu-HU"/>
        </w:rPr>
        <w:t>ből álló</w:t>
      </w:r>
      <w:r w:rsidR="00D64804" w:rsidRPr="00F14151">
        <w:rPr>
          <w:sz w:val="22"/>
          <w:lang w:val="hu-HU"/>
        </w:rPr>
        <w:t xml:space="preserve"> kapszulák. A kapszulát fehér jelölőfestékkel </w:t>
      </w:r>
      <w:r w:rsidR="00F14151">
        <w:rPr>
          <w:sz w:val="22"/>
          <w:lang w:val="hu-HU"/>
        </w:rPr>
        <w:t>„</w:t>
      </w:r>
      <w:r w:rsidR="00D64804" w:rsidRPr="00F14151">
        <w:rPr>
          <w:sz w:val="22"/>
          <w:lang w:val="hu-HU"/>
        </w:rPr>
        <w:t>O</w:t>
      </w:r>
      <w:r w:rsidR="00F14151">
        <w:rPr>
          <w:sz w:val="22"/>
          <w:lang w:val="hu-HU"/>
        </w:rPr>
        <w:t>”</w:t>
      </w:r>
      <w:r w:rsidR="00D64804" w:rsidRPr="00F14151">
        <w:rPr>
          <w:sz w:val="22"/>
          <w:lang w:val="hu-HU"/>
        </w:rPr>
        <w:t xml:space="preserve"> betűvel jelölték meg a felső részen és </w:t>
      </w:r>
      <w:r w:rsidR="00F14151">
        <w:rPr>
          <w:sz w:val="22"/>
          <w:lang w:val="hu-HU"/>
        </w:rPr>
        <w:t>„</w:t>
      </w:r>
      <w:r w:rsidR="00D64804" w:rsidRPr="00F14151">
        <w:rPr>
          <w:sz w:val="22"/>
          <w:lang w:val="hu-HU"/>
        </w:rPr>
        <w:t>20</w:t>
      </w:r>
      <w:r w:rsidR="00F14151">
        <w:rPr>
          <w:sz w:val="22"/>
          <w:lang w:val="hu-HU"/>
        </w:rPr>
        <w:t>”</w:t>
      </w:r>
      <w:r w:rsidR="00D64804" w:rsidRPr="00F14151">
        <w:rPr>
          <w:sz w:val="22"/>
          <w:lang w:val="hu-HU"/>
        </w:rPr>
        <w:t>-szal az alsó részen. A kapszula fehér</w:t>
      </w:r>
      <w:r w:rsidR="00F14151">
        <w:rPr>
          <w:sz w:val="22"/>
          <w:lang w:val="hu-HU"/>
        </w:rPr>
        <w:noBreakHyphen/>
      </w:r>
      <w:r w:rsidR="00D64804" w:rsidRPr="00F14151">
        <w:rPr>
          <w:sz w:val="22"/>
          <w:lang w:val="hu-HU"/>
        </w:rPr>
        <w:t>csaknem fehér mikropelleteket tartalmaz.</w:t>
      </w:r>
    </w:p>
    <w:p w14:paraId="51EA21EB" w14:textId="77777777" w:rsidR="00E61ABE" w:rsidRPr="00F14151" w:rsidRDefault="00E61ABE" w:rsidP="00D63DC6">
      <w:pPr>
        <w:autoSpaceDE w:val="0"/>
        <w:autoSpaceDN w:val="0"/>
        <w:adjustRightInd w:val="0"/>
        <w:spacing w:line="260" w:lineRule="exact"/>
        <w:rPr>
          <w:rStyle w:val="hps"/>
          <w:sz w:val="22"/>
          <w:szCs w:val="22"/>
          <w:lang w:val="hu-HU"/>
        </w:rPr>
      </w:pPr>
    </w:p>
    <w:p w14:paraId="1E241BC6" w14:textId="77777777" w:rsidR="00E61ABE" w:rsidRPr="00F14151" w:rsidRDefault="004C2F91" w:rsidP="00977955">
      <w:pPr>
        <w:keepNext/>
        <w:autoSpaceDE w:val="0"/>
        <w:autoSpaceDN w:val="0"/>
        <w:adjustRightInd w:val="0"/>
        <w:spacing w:line="260" w:lineRule="exact"/>
        <w:rPr>
          <w:i/>
          <w:color w:val="000000"/>
          <w:sz w:val="22"/>
          <w:szCs w:val="22"/>
          <w:lang w:val="hu-HU"/>
        </w:rPr>
      </w:pPr>
      <w:r w:rsidRPr="00667C1B">
        <w:rPr>
          <w:i/>
          <w:sz w:val="22"/>
          <w:szCs w:val="22"/>
          <w:lang w:val="hu-HU"/>
        </w:rPr>
        <w:t>Omeprazol-Teva</w:t>
      </w:r>
      <w:r w:rsidR="00E61ABE" w:rsidRPr="00283F89">
        <w:rPr>
          <w:i/>
          <w:color w:val="000000"/>
          <w:sz w:val="22"/>
          <w:szCs w:val="22"/>
          <w:lang w:val="hu-HU"/>
        </w:rPr>
        <w:t xml:space="preserve"> 40</w:t>
      </w:r>
      <w:r w:rsidR="00D63DC6" w:rsidRPr="00F14151">
        <w:rPr>
          <w:i/>
          <w:color w:val="000000"/>
          <w:sz w:val="22"/>
          <w:szCs w:val="22"/>
          <w:lang w:val="hu-HU"/>
        </w:rPr>
        <w:t> </w:t>
      </w:r>
      <w:r w:rsidR="00E61ABE" w:rsidRPr="00F14151">
        <w:rPr>
          <w:i/>
          <w:color w:val="000000"/>
          <w:sz w:val="22"/>
          <w:szCs w:val="22"/>
          <w:lang w:val="hu-HU"/>
        </w:rPr>
        <w:t>mg gyomornedv-ellenálló kemény kapszula</w:t>
      </w:r>
      <w:r w:rsidR="001A35B9" w:rsidRPr="00F14151">
        <w:rPr>
          <w:i/>
          <w:color w:val="000000"/>
          <w:sz w:val="22"/>
          <w:szCs w:val="22"/>
          <w:lang w:val="hu-HU"/>
        </w:rPr>
        <w:t>:</w:t>
      </w:r>
    </w:p>
    <w:p w14:paraId="6A4A47E1" w14:textId="77777777" w:rsidR="00D64804" w:rsidRPr="00F14151" w:rsidRDefault="00FA731D" w:rsidP="00D64804">
      <w:pPr>
        <w:pStyle w:val="Szvegtrzs"/>
        <w:tabs>
          <w:tab w:val="left" w:pos="709"/>
        </w:tabs>
        <w:spacing w:after="0"/>
        <w:rPr>
          <w:sz w:val="22"/>
          <w:lang w:val="hu-HU"/>
        </w:rPr>
      </w:pPr>
      <w:r>
        <w:rPr>
          <w:sz w:val="22"/>
          <w:lang w:val="hu-HU"/>
        </w:rPr>
        <w:t>N</w:t>
      </w:r>
      <w:r w:rsidR="00D64804" w:rsidRPr="00F14151">
        <w:rPr>
          <w:sz w:val="22"/>
          <w:lang w:val="hu-HU"/>
        </w:rPr>
        <w:t>arancssárga alsó</w:t>
      </w:r>
      <w:r w:rsidR="000F5374">
        <w:rPr>
          <w:sz w:val="22"/>
          <w:lang w:val="hu-HU"/>
        </w:rPr>
        <w:t xml:space="preserve"> </w:t>
      </w:r>
      <w:r w:rsidR="00D64804" w:rsidRPr="00F14151">
        <w:rPr>
          <w:sz w:val="22"/>
          <w:lang w:val="hu-HU"/>
        </w:rPr>
        <w:t>rész</w:t>
      </w:r>
      <w:r w:rsidR="000F5374">
        <w:rPr>
          <w:sz w:val="22"/>
          <w:lang w:val="hu-HU"/>
        </w:rPr>
        <w:t>ből és</w:t>
      </w:r>
      <w:r w:rsidR="00D64804" w:rsidRPr="00F14151">
        <w:rPr>
          <w:sz w:val="22"/>
          <w:lang w:val="hu-HU"/>
        </w:rPr>
        <w:t xml:space="preserve"> kék felső</w:t>
      </w:r>
      <w:r w:rsidR="000F5374">
        <w:rPr>
          <w:sz w:val="22"/>
          <w:lang w:val="hu-HU"/>
        </w:rPr>
        <w:t xml:space="preserve"> </w:t>
      </w:r>
      <w:r w:rsidR="00D64804" w:rsidRPr="00F14151">
        <w:rPr>
          <w:sz w:val="22"/>
          <w:lang w:val="hu-HU"/>
        </w:rPr>
        <w:t>rész</w:t>
      </w:r>
      <w:r w:rsidR="000F5374">
        <w:rPr>
          <w:sz w:val="22"/>
          <w:lang w:val="hu-HU"/>
        </w:rPr>
        <w:t>ből álló</w:t>
      </w:r>
      <w:r w:rsidR="00D64804" w:rsidRPr="00F14151">
        <w:rPr>
          <w:sz w:val="22"/>
          <w:lang w:val="hu-HU"/>
        </w:rPr>
        <w:t xml:space="preserve"> kapszulák. A kapszulát fehér jelölőfestékkel </w:t>
      </w:r>
      <w:r w:rsidR="00F14151">
        <w:rPr>
          <w:sz w:val="22"/>
          <w:lang w:val="hu-HU"/>
        </w:rPr>
        <w:t>„</w:t>
      </w:r>
      <w:r w:rsidR="00D64804" w:rsidRPr="00F14151">
        <w:rPr>
          <w:sz w:val="22"/>
          <w:lang w:val="hu-HU"/>
        </w:rPr>
        <w:t>O</w:t>
      </w:r>
      <w:r w:rsidR="00F14151">
        <w:rPr>
          <w:sz w:val="22"/>
          <w:lang w:val="hu-HU"/>
        </w:rPr>
        <w:t>”</w:t>
      </w:r>
      <w:r w:rsidR="00D64804" w:rsidRPr="00F14151">
        <w:rPr>
          <w:sz w:val="22"/>
          <w:lang w:val="hu-HU"/>
        </w:rPr>
        <w:t xml:space="preserve"> betűvel jelölték meg a felső részen és </w:t>
      </w:r>
      <w:r w:rsidR="00F14151">
        <w:rPr>
          <w:sz w:val="22"/>
          <w:lang w:val="hu-HU"/>
        </w:rPr>
        <w:t>„</w:t>
      </w:r>
      <w:r w:rsidR="00D64804" w:rsidRPr="00F14151">
        <w:rPr>
          <w:sz w:val="22"/>
          <w:lang w:val="hu-HU"/>
        </w:rPr>
        <w:t>40</w:t>
      </w:r>
      <w:r w:rsidR="00F14151">
        <w:rPr>
          <w:sz w:val="22"/>
          <w:lang w:val="hu-HU"/>
        </w:rPr>
        <w:t>”</w:t>
      </w:r>
      <w:r w:rsidR="00D64804" w:rsidRPr="00F14151">
        <w:rPr>
          <w:sz w:val="22"/>
          <w:lang w:val="hu-HU"/>
        </w:rPr>
        <w:t>-nel a az alsó részen. A kapszula fehér</w:t>
      </w:r>
      <w:r w:rsidR="00F14151">
        <w:rPr>
          <w:sz w:val="22"/>
          <w:lang w:val="hu-HU"/>
        </w:rPr>
        <w:noBreakHyphen/>
      </w:r>
      <w:r w:rsidR="00D64804" w:rsidRPr="00F14151">
        <w:rPr>
          <w:sz w:val="22"/>
          <w:lang w:val="hu-HU"/>
        </w:rPr>
        <w:t>csaknem fehér mikropelleteket tartalmaz.</w:t>
      </w:r>
    </w:p>
    <w:p w14:paraId="3EB4717C" w14:textId="77777777" w:rsidR="00DC4D34" w:rsidRPr="00F14151" w:rsidRDefault="00DC4D34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highlight w:val="yellow"/>
          <w:lang w:val="hu-HU"/>
        </w:rPr>
      </w:pPr>
    </w:p>
    <w:p w14:paraId="2B72675B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5EF3E892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</w:t>
      </w:r>
      <w:r w:rsidRPr="00F14151">
        <w:rPr>
          <w:b/>
          <w:bCs/>
          <w:sz w:val="22"/>
          <w:szCs w:val="22"/>
          <w:lang w:val="hu-HU"/>
        </w:rPr>
        <w:tab/>
        <w:t>KLINIKAI JELLEMZŐK</w:t>
      </w:r>
    </w:p>
    <w:p w14:paraId="4E2E1310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589E2779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4.1</w:t>
      </w:r>
      <w:r w:rsidRPr="00F14151">
        <w:rPr>
          <w:b/>
          <w:bCs/>
          <w:sz w:val="22"/>
          <w:szCs w:val="22"/>
          <w:lang w:val="hu-HU"/>
        </w:rPr>
        <w:tab/>
        <w:t>Terápiás javallatok</w:t>
      </w:r>
    </w:p>
    <w:p w14:paraId="465D44EB" w14:textId="77777777" w:rsidR="005178D4" w:rsidRPr="00F14151" w:rsidRDefault="005178D4" w:rsidP="005D4A97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0329BDC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</w:t>
      </w:r>
      <w:r w:rsidR="00DF0BCB" w:rsidRPr="00F14151">
        <w:rPr>
          <w:sz w:val="22"/>
          <w:szCs w:val="22"/>
          <w:lang w:val="hu-HU"/>
        </w:rPr>
        <w:t>z</w:t>
      </w:r>
      <w:r w:rsidRPr="00F14151">
        <w:rPr>
          <w:sz w:val="22"/>
          <w:szCs w:val="22"/>
          <w:lang w:val="hu-HU"/>
        </w:rPr>
        <w:t xml:space="preserve"> </w:t>
      </w:r>
      <w:r w:rsidR="004C2F91">
        <w:rPr>
          <w:sz w:val="22"/>
          <w:szCs w:val="22"/>
          <w:lang w:val="hu-HU"/>
        </w:rPr>
        <w:t>Omeprazol-Teva</w:t>
      </w:r>
      <w:r w:rsidR="009408BD" w:rsidRPr="00F14151">
        <w:rPr>
          <w:sz w:val="22"/>
          <w:szCs w:val="22"/>
          <w:lang w:val="hu-HU"/>
        </w:rPr>
        <w:t xml:space="preserve"> kapszula</w:t>
      </w:r>
      <w:r w:rsidR="008500DA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az alábbi esetekben javall</w:t>
      </w:r>
      <w:r w:rsidR="008500DA" w:rsidRPr="00F14151">
        <w:rPr>
          <w:sz w:val="22"/>
          <w:szCs w:val="22"/>
          <w:lang w:val="hu-HU"/>
        </w:rPr>
        <w:t>ot</w:t>
      </w:r>
      <w:r w:rsidRPr="00F14151">
        <w:rPr>
          <w:sz w:val="22"/>
          <w:szCs w:val="22"/>
          <w:lang w:val="hu-HU"/>
        </w:rPr>
        <w:t>t:</w:t>
      </w:r>
    </w:p>
    <w:p w14:paraId="7362E717" w14:textId="77777777" w:rsidR="00EC0AA0" w:rsidRPr="009514D4" w:rsidRDefault="00EC0AA0" w:rsidP="009514D4">
      <w:pPr>
        <w:rPr>
          <w:sz w:val="22"/>
          <w:szCs w:val="22"/>
          <w:lang w:val="hu-HU"/>
        </w:rPr>
      </w:pPr>
    </w:p>
    <w:p w14:paraId="34484F1A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u w:val="single"/>
          <w:lang w:val="hu-HU"/>
        </w:rPr>
        <w:t>Felnőttek</w:t>
      </w:r>
    </w:p>
    <w:p w14:paraId="550F58A8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Ulcus duodeni kezelésére</w:t>
      </w:r>
    </w:p>
    <w:p w14:paraId="48C9186C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lastRenderedPageBreak/>
        <w:t>Ulcus duodeni relapszusának megelőzésére</w:t>
      </w:r>
    </w:p>
    <w:p w14:paraId="65BAB695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Ulcus ventriculi kezelésére</w:t>
      </w:r>
    </w:p>
    <w:p w14:paraId="46FB59AE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Ulcus ventriculi relapszusának megelőzésére</w:t>
      </w:r>
    </w:p>
    <w:p w14:paraId="33AC431A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Peptikus fekélybetegsé</w:t>
      </w:r>
      <w:r w:rsidR="008500DA" w:rsidRPr="00F14151">
        <w:rPr>
          <w:sz w:val="22"/>
          <w:szCs w:val="22"/>
          <w:lang w:val="hu-HU"/>
        </w:rPr>
        <w:t>gben megfelelő antibiotikumokkal kombinálva a</w:t>
      </w:r>
      <w:r w:rsidRPr="00F14151">
        <w:rPr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>Helicobacter pylori (H</w:t>
      </w:r>
      <w:r w:rsidR="00C55192" w:rsidRPr="00F14151">
        <w:rPr>
          <w:i/>
          <w:iCs/>
          <w:sz w:val="22"/>
          <w:szCs w:val="22"/>
          <w:lang w:val="hu-HU"/>
        </w:rPr>
        <w:t>.</w:t>
      </w:r>
      <w:r w:rsidRPr="00F14151">
        <w:rPr>
          <w:i/>
          <w:iCs/>
          <w:sz w:val="22"/>
          <w:szCs w:val="22"/>
          <w:lang w:val="hu-HU"/>
        </w:rPr>
        <w:t xml:space="preserve"> pylori) </w:t>
      </w:r>
      <w:r w:rsidRPr="00F14151">
        <w:rPr>
          <w:sz w:val="22"/>
          <w:szCs w:val="22"/>
          <w:lang w:val="hu-HU"/>
        </w:rPr>
        <w:t>eradikációjára</w:t>
      </w:r>
    </w:p>
    <w:p w14:paraId="7296FC95" w14:textId="77777777" w:rsidR="008500DA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NSAID alkalmazás</w:t>
      </w:r>
      <w:r w:rsidR="008500DA" w:rsidRPr="00F14151">
        <w:rPr>
          <w:sz w:val="22"/>
          <w:szCs w:val="22"/>
          <w:lang w:val="hu-HU"/>
        </w:rPr>
        <w:t>á</w:t>
      </w:r>
      <w:r w:rsidRPr="00F14151">
        <w:rPr>
          <w:sz w:val="22"/>
          <w:szCs w:val="22"/>
          <w:lang w:val="hu-HU"/>
        </w:rPr>
        <w:t>hoz társuló gyomor- és nyombélfekély kezelésére</w:t>
      </w:r>
    </w:p>
    <w:p w14:paraId="2564CC8D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NSAID alkalmazás</w:t>
      </w:r>
      <w:r w:rsidR="008500DA" w:rsidRPr="00F14151">
        <w:rPr>
          <w:sz w:val="22"/>
          <w:szCs w:val="22"/>
          <w:lang w:val="hu-HU"/>
        </w:rPr>
        <w:t>ához társuló</w:t>
      </w:r>
      <w:r w:rsidRPr="00F14151">
        <w:rPr>
          <w:sz w:val="22"/>
          <w:szCs w:val="22"/>
          <w:lang w:val="hu-HU"/>
        </w:rPr>
        <w:t xml:space="preserve"> gyomor- és nyombélfek</w:t>
      </w:r>
      <w:r w:rsidR="008500DA" w:rsidRPr="00F14151">
        <w:rPr>
          <w:sz w:val="22"/>
          <w:szCs w:val="22"/>
          <w:lang w:val="hu-HU"/>
        </w:rPr>
        <w:t>ély kialakulásának megelőzésére veszélyeztetett betegeknél</w:t>
      </w:r>
    </w:p>
    <w:p w14:paraId="270810C5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Reflux oesophagitis kezelésére</w:t>
      </w:r>
    </w:p>
    <w:p w14:paraId="7B781D58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Gyógyult reflux oesophagitis hosszútávú kezelésére</w:t>
      </w:r>
    </w:p>
    <w:p w14:paraId="4A0AB99F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Tüneteket okozó gastro-oesophagealis reflux betegség kezelésére</w:t>
      </w:r>
    </w:p>
    <w:p w14:paraId="187FDDF5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Zollinger-Ellison szindróma kezelésére</w:t>
      </w:r>
      <w:r w:rsidR="00534CE0" w:rsidRPr="00F14151">
        <w:rPr>
          <w:sz w:val="22"/>
          <w:szCs w:val="22"/>
          <w:lang w:val="hu-HU"/>
        </w:rPr>
        <w:t>.</w:t>
      </w:r>
    </w:p>
    <w:p w14:paraId="7C72C7A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A618491" w14:textId="77777777" w:rsidR="00FA4F40" w:rsidRPr="00F14151" w:rsidRDefault="00E27F5C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A</w:t>
      </w:r>
      <w:r w:rsidR="008500DA" w:rsidRPr="00F14151">
        <w:rPr>
          <w:sz w:val="22"/>
          <w:szCs w:val="22"/>
          <w:u w:val="single"/>
          <w:lang w:val="hu-HU"/>
        </w:rPr>
        <w:t>lkalmazás</w:t>
      </w:r>
      <w:r>
        <w:rPr>
          <w:sz w:val="22"/>
          <w:szCs w:val="22"/>
          <w:u w:val="single"/>
          <w:lang w:val="hu-HU"/>
        </w:rPr>
        <w:t xml:space="preserve"> gyermekeknél</w:t>
      </w:r>
    </w:p>
    <w:p w14:paraId="6A278C1C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1</w:t>
      </w:r>
      <w:r w:rsidR="006050E2" w:rsidRPr="00F14151">
        <w:rPr>
          <w:i/>
          <w:iCs/>
          <w:sz w:val="22"/>
          <w:szCs w:val="22"/>
          <w:lang w:val="hu-HU"/>
        </w:rPr>
        <w:t> </w:t>
      </w:r>
      <w:r w:rsidRPr="00F14151">
        <w:rPr>
          <w:i/>
          <w:iCs/>
          <w:sz w:val="22"/>
          <w:szCs w:val="22"/>
          <w:lang w:val="hu-HU"/>
        </w:rPr>
        <w:t>év</w:t>
      </w:r>
      <w:r w:rsidR="008500DA" w:rsidRPr="00F14151">
        <w:rPr>
          <w:i/>
          <w:iCs/>
          <w:sz w:val="22"/>
          <w:szCs w:val="22"/>
          <w:lang w:val="hu-HU"/>
        </w:rPr>
        <w:t>esnél idősebb és ≥10</w:t>
      </w:r>
      <w:r w:rsidR="006050E2" w:rsidRPr="00F14151">
        <w:rPr>
          <w:i/>
          <w:iCs/>
          <w:sz w:val="22"/>
          <w:szCs w:val="22"/>
          <w:lang w:val="hu-HU"/>
        </w:rPr>
        <w:t> </w:t>
      </w:r>
      <w:r w:rsidR="008500DA" w:rsidRPr="00F14151">
        <w:rPr>
          <w:i/>
          <w:iCs/>
          <w:sz w:val="22"/>
          <w:szCs w:val="22"/>
          <w:lang w:val="hu-HU"/>
        </w:rPr>
        <w:t>kg testtömegű</w:t>
      </w:r>
      <w:r w:rsidRPr="00F14151">
        <w:rPr>
          <w:i/>
          <w:iCs/>
          <w:sz w:val="22"/>
          <w:szCs w:val="22"/>
          <w:lang w:val="hu-HU"/>
        </w:rPr>
        <w:t xml:space="preserve"> gyermekek</w:t>
      </w:r>
    </w:p>
    <w:p w14:paraId="0A36FB6C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Reflux oesophagitis kezelésére</w:t>
      </w:r>
    </w:p>
    <w:p w14:paraId="7A580B43" w14:textId="77777777" w:rsidR="005178D4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Gastro-oesophagealis reflux betegségben a gyomorégés, va</w:t>
      </w:r>
      <w:r w:rsidR="008500DA" w:rsidRPr="00F14151">
        <w:rPr>
          <w:sz w:val="22"/>
          <w:szCs w:val="22"/>
          <w:lang w:val="hu-HU"/>
        </w:rPr>
        <w:t>lamint a gyomorsav regurgitatio</w:t>
      </w:r>
      <w:r w:rsidRPr="00F14151">
        <w:rPr>
          <w:sz w:val="22"/>
          <w:szCs w:val="22"/>
          <w:lang w:val="hu-HU"/>
        </w:rPr>
        <w:t xml:space="preserve"> tüneti kezelésére.</w:t>
      </w:r>
    </w:p>
    <w:p w14:paraId="1EB50FEA" w14:textId="77777777" w:rsidR="005178D4" w:rsidRPr="00F14151" w:rsidRDefault="005178D4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330402D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4</w:t>
      </w:r>
      <w:r w:rsidR="006050E2" w:rsidRPr="00F14151">
        <w:rPr>
          <w:i/>
          <w:iCs/>
          <w:sz w:val="22"/>
          <w:szCs w:val="22"/>
          <w:lang w:val="hu-HU"/>
        </w:rPr>
        <w:t> </w:t>
      </w:r>
      <w:r w:rsidRPr="00F14151">
        <w:rPr>
          <w:i/>
          <w:iCs/>
          <w:sz w:val="22"/>
          <w:szCs w:val="22"/>
          <w:lang w:val="hu-HU"/>
        </w:rPr>
        <w:t xml:space="preserve">éves </w:t>
      </w:r>
      <w:r w:rsidR="008500DA" w:rsidRPr="00F14151">
        <w:rPr>
          <w:i/>
          <w:iCs/>
          <w:sz w:val="22"/>
          <w:szCs w:val="22"/>
          <w:lang w:val="hu-HU"/>
        </w:rPr>
        <w:t>élet</w:t>
      </w:r>
      <w:r w:rsidRPr="00F14151">
        <w:rPr>
          <w:i/>
          <w:iCs/>
          <w:sz w:val="22"/>
          <w:szCs w:val="22"/>
          <w:lang w:val="hu-HU"/>
        </w:rPr>
        <w:t xml:space="preserve">kor feletti gyermekek és </w:t>
      </w:r>
      <w:r w:rsidR="008500DA" w:rsidRPr="00F14151">
        <w:rPr>
          <w:i/>
          <w:iCs/>
          <w:sz w:val="22"/>
          <w:szCs w:val="22"/>
          <w:lang w:val="hu-HU"/>
        </w:rPr>
        <w:t>serdülők</w:t>
      </w:r>
    </w:p>
    <w:p w14:paraId="0D1AD2B8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Antibiotikummal kombinálva </w:t>
      </w:r>
      <w:r w:rsidRPr="00F14151">
        <w:rPr>
          <w:i/>
          <w:iCs/>
          <w:sz w:val="22"/>
          <w:szCs w:val="22"/>
          <w:lang w:val="hu-HU"/>
        </w:rPr>
        <w:t>H</w:t>
      </w:r>
      <w:r w:rsidR="006050E2" w:rsidRPr="00F14151">
        <w:rPr>
          <w:i/>
          <w:iCs/>
          <w:sz w:val="22"/>
          <w:szCs w:val="22"/>
          <w:lang w:val="hu-HU"/>
        </w:rPr>
        <w:t>.</w:t>
      </w:r>
      <w:r w:rsidRPr="00F14151">
        <w:rPr>
          <w:i/>
          <w:iCs/>
          <w:sz w:val="22"/>
          <w:szCs w:val="22"/>
          <w:lang w:val="hu-HU"/>
        </w:rPr>
        <w:t xml:space="preserve"> pylori </w:t>
      </w:r>
      <w:r w:rsidRPr="00F14151">
        <w:rPr>
          <w:sz w:val="22"/>
          <w:szCs w:val="22"/>
          <w:lang w:val="hu-HU"/>
        </w:rPr>
        <w:t>fertőzés okozta nyombélfekély kezelésére.</w:t>
      </w:r>
    </w:p>
    <w:p w14:paraId="5912A48D" w14:textId="77777777" w:rsidR="0098249C" w:rsidRPr="00F14151" w:rsidRDefault="0098249C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3B3F888B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4.2</w:t>
      </w:r>
      <w:r w:rsidRPr="00F14151">
        <w:rPr>
          <w:b/>
          <w:bCs/>
          <w:sz w:val="22"/>
          <w:szCs w:val="22"/>
          <w:lang w:val="hu-HU"/>
        </w:rPr>
        <w:tab/>
        <w:t>Adagolás és alkalmazás</w:t>
      </w:r>
    </w:p>
    <w:p w14:paraId="0F6615BD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5A5CB3F3" w14:textId="77777777" w:rsidR="00FA4F40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Adagolás</w:t>
      </w:r>
    </w:p>
    <w:p w14:paraId="31704546" w14:textId="77777777" w:rsidR="005D24D7" w:rsidRDefault="005D24D7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</w:p>
    <w:p w14:paraId="3B1E59A9" w14:textId="77777777" w:rsidR="005D24D7" w:rsidRPr="00667C1B" w:rsidRDefault="005D24D7" w:rsidP="00977955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u w:val="single"/>
          <w:lang w:val="hu-HU"/>
        </w:rPr>
      </w:pPr>
      <w:r w:rsidRPr="00667C1B">
        <w:rPr>
          <w:i/>
          <w:sz w:val="22"/>
          <w:szCs w:val="22"/>
          <w:u w:val="single"/>
          <w:lang w:val="hu-HU"/>
        </w:rPr>
        <w:t>Felnőttek</w:t>
      </w:r>
    </w:p>
    <w:p w14:paraId="166269F6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5887B35E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Ulcus duodeni kezelése</w:t>
      </w:r>
    </w:p>
    <w:p w14:paraId="68F91568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Aktív nyombélfekélyben szenvedő betegek esetében a javasolt adag naponta egyszer 20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 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legtöbb beteg két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héten belül meggyógyul. Azoknál a betegeknél, akik a </w:t>
      </w:r>
      <w:r w:rsidR="008500DA" w:rsidRPr="00F14151">
        <w:rPr>
          <w:sz w:val="22"/>
          <w:szCs w:val="22"/>
          <w:lang w:val="hu-HU"/>
        </w:rPr>
        <w:t>kezdeti</w:t>
      </w:r>
      <w:r w:rsidRPr="00F14151">
        <w:rPr>
          <w:sz w:val="22"/>
          <w:szCs w:val="22"/>
          <w:lang w:val="hu-HU"/>
        </w:rPr>
        <w:t xml:space="preserve"> kezelést követően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nem gyógyultak meg teljesen, további két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hetes terápia alatt rendszerint bekövetkezik a gyógyulás.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Nehezen gyógyuló nyombélfekélyben szenvedőknek napi egyszeri 40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javasolt, és 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gyógyulás általában négy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 alatt elérhető.</w:t>
      </w:r>
    </w:p>
    <w:p w14:paraId="36B72514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2B163221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Ulcus duodeni relapszusának megelőzése</w:t>
      </w:r>
    </w:p>
    <w:p w14:paraId="0D8DE8DE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Nyombélfekély relapszusának megelőzésére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 xml:space="preserve">negatív betegeknél, vagy amikor </w:t>
      </w:r>
      <w:r w:rsidRPr="00F14151">
        <w:rPr>
          <w:i/>
          <w:iCs/>
          <w:sz w:val="22"/>
          <w:szCs w:val="22"/>
          <w:lang w:val="hu-HU"/>
        </w:rPr>
        <w:t xml:space="preserve">H. </w:t>
      </w:r>
      <w:r w:rsidR="008500DA" w:rsidRPr="00F14151">
        <w:rPr>
          <w:i/>
          <w:iCs/>
          <w:sz w:val="22"/>
          <w:szCs w:val="22"/>
          <w:lang w:val="hu-HU"/>
        </w:rPr>
        <w:t>p</w:t>
      </w:r>
      <w:r w:rsidRPr="00F14151">
        <w:rPr>
          <w:i/>
          <w:iCs/>
          <w:sz w:val="22"/>
          <w:szCs w:val="22"/>
          <w:lang w:val="hu-HU"/>
        </w:rPr>
        <w:t>ylori</w:t>
      </w:r>
      <w:r w:rsidR="005178D4" w:rsidRPr="00F14151">
        <w:rPr>
          <w:i/>
          <w:iCs/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eradikációra nincs lehetőség, a javasolt adag naponta egyszer 20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 Egyes betegeknél a napi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egyszer 10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is elegendő lehet. Eredménytelen terápia esetén a dózis 40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mg-ra emelhető.</w:t>
      </w:r>
    </w:p>
    <w:p w14:paraId="182B4E10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505E853E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Ulcus ventriculi kezelése</w:t>
      </w:r>
    </w:p>
    <w:p w14:paraId="552A75A9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javasolt adag napi egyszer 20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 A legtöbb beteg négy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 belül gyógyul. Azoknál 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betegeknél, akiknél a bevezető kezelést követően a gyógyulás nem teljes, további négy</w:t>
      </w:r>
      <w:r w:rsidR="006050E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hetes terápia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alatt rendszerint gyógyulásra lehet számítani. Nehezen gyógyuló gyomorfekélyben szenvedőknek napi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egyszeri 40</w:t>
      </w:r>
      <w:r w:rsidR="000934E8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javasolt, és a gyógyulás általában nyolc</w:t>
      </w:r>
      <w:r w:rsidR="000934E8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 alatt bekövetkezik.</w:t>
      </w:r>
    </w:p>
    <w:p w14:paraId="58F0C1F0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274D0375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Ulcus ventriculi relapszusának megelőzése</w:t>
      </w:r>
    </w:p>
    <w:p w14:paraId="508A6F3A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Nehezen gyógyuló gyomorfekélyben szenvedőknél a relapszus megelőzésére a javasolt dózis napi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egyszer 20</w:t>
      </w:r>
      <w:r w:rsidR="000934E8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 Szükség esetén a</w:t>
      </w:r>
      <w:r w:rsidR="00131990" w:rsidRPr="00F14151">
        <w:rPr>
          <w:sz w:val="22"/>
          <w:szCs w:val="22"/>
          <w:lang w:val="hu-HU"/>
        </w:rPr>
        <w:t>z</w:t>
      </w:r>
      <w:r w:rsidRPr="00F14151">
        <w:rPr>
          <w:sz w:val="22"/>
          <w:szCs w:val="22"/>
          <w:lang w:val="hu-HU"/>
        </w:rPr>
        <w:t xml:space="preserve">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adagja napi egyszer 40</w:t>
      </w:r>
      <w:r w:rsidR="000934E8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mg-ra emelhető.</w:t>
      </w:r>
    </w:p>
    <w:p w14:paraId="69D9E819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67A9F3BA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H. pylori eradikáció peptikus fekélybetegségben</w:t>
      </w:r>
    </w:p>
    <w:p w14:paraId="7DF80EF1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>eradikáció</w:t>
      </w:r>
      <w:r w:rsidR="008500DA" w:rsidRPr="00F14151">
        <w:rPr>
          <w:sz w:val="22"/>
          <w:szCs w:val="22"/>
          <w:lang w:val="hu-HU"/>
        </w:rPr>
        <w:t>ban az antibiotikum kiválasztásának</w:t>
      </w:r>
      <w:r w:rsidRPr="00F14151">
        <w:rPr>
          <w:sz w:val="22"/>
          <w:szCs w:val="22"/>
          <w:lang w:val="hu-HU"/>
        </w:rPr>
        <w:t xml:space="preserve"> a beteg egyéni gyógyszer-toleranciájának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függvényében, a nemzeti, a regionál</w:t>
      </w:r>
      <w:r w:rsidR="008500DA" w:rsidRPr="00F14151">
        <w:rPr>
          <w:sz w:val="22"/>
          <w:szCs w:val="22"/>
          <w:lang w:val="hu-HU"/>
        </w:rPr>
        <w:t>is és a helyi rezisztencia jellemzők</w:t>
      </w:r>
      <w:r w:rsidRPr="00F14151">
        <w:rPr>
          <w:sz w:val="22"/>
          <w:szCs w:val="22"/>
          <w:lang w:val="hu-HU"/>
        </w:rPr>
        <w:t xml:space="preserve"> figyelembevételével, valamint a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terápiás irányelveknek megfelelően </w:t>
      </w:r>
      <w:r w:rsidR="008500DA" w:rsidRPr="00F14151">
        <w:rPr>
          <w:sz w:val="22"/>
          <w:szCs w:val="22"/>
          <w:lang w:val="hu-HU"/>
        </w:rPr>
        <w:t>kell történnie</w:t>
      </w:r>
      <w:r w:rsidRPr="00F14151">
        <w:rPr>
          <w:sz w:val="22"/>
          <w:szCs w:val="22"/>
          <w:lang w:val="hu-HU"/>
        </w:rPr>
        <w:t>.</w:t>
      </w:r>
    </w:p>
    <w:p w14:paraId="306234BA" w14:textId="77777777" w:rsidR="00EC0AA0" w:rsidRPr="00F14151" w:rsidRDefault="00EC0AA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28DA31B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lastRenderedPageBreak/>
        <w:t>20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+ 500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klaritromicin + 1000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amoxicillin kombináció naponta kétszer egy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 keresztül</w:t>
      </w:r>
      <w:r w:rsidR="008500DA" w:rsidRPr="00F14151">
        <w:rPr>
          <w:sz w:val="22"/>
          <w:szCs w:val="22"/>
          <w:lang w:val="hu-HU"/>
        </w:rPr>
        <w:t>, vagy</w:t>
      </w:r>
    </w:p>
    <w:p w14:paraId="4EB70CFD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20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+ 250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klaritromicin (</w:t>
      </w:r>
      <w:r w:rsidR="008500DA" w:rsidRPr="00F14151">
        <w:rPr>
          <w:sz w:val="22"/>
          <w:szCs w:val="22"/>
          <w:lang w:val="hu-HU"/>
        </w:rPr>
        <w:t>alternatívaként</w:t>
      </w:r>
      <w:r w:rsidRPr="00F14151">
        <w:rPr>
          <w:sz w:val="22"/>
          <w:szCs w:val="22"/>
          <w:lang w:val="hu-HU"/>
        </w:rPr>
        <w:t xml:space="preserve">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mg) + 400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metronidazol (vagy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CB1E41" w:rsidRPr="00F14151">
        <w:rPr>
          <w:sz w:val="22"/>
          <w:szCs w:val="22"/>
          <w:lang w:val="hu-HU"/>
        </w:rPr>
        <w:t xml:space="preserve"> metronidazol</w:t>
      </w:r>
      <w:r w:rsidRPr="00F14151">
        <w:rPr>
          <w:sz w:val="22"/>
          <w:szCs w:val="22"/>
          <w:lang w:val="hu-HU"/>
        </w:rPr>
        <w:t>, vagy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tinidazol) kombináció naponta kétszer egy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 keresztül, vagy</w:t>
      </w:r>
    </w:p>
    <w:p w14:paraId="5F7A1901" w14:textId="77777777" w:rsidR="00FA4F40" w:rsidRPr="00F14151" w:rsidRDefault="00FA4F40" w:rsidP="00D63DC6">
      <w:pPr>
        <w:numPr>
          <w:ilvl w:val="0"/>
          <w:numId w:val="5"/>
        </w:numPr>
        <w:tabs>
          <w:tab w:val="clear" w:pos="180"/>
        </w:tabs>
        <w:autoSpaceDE w:val="0"/>
        <w:autoSpaceDN w:val="0"/>
        <w:adjustRightInd w:val="0"/>
        <w:spacing w:line="260" w:lineRule="exact"/>
        <w:ind w:left="420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napi egyszer 40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+ napi 3-szor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amoxicillin + napi 3-szor 400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metronidazol (vagy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CB1E41" w:rsidRPr="00F14151">
        <w:rPr>
          <w:sz w:val="22"/>
          <w:szCs w:val="22"/>
          <w:lang w:val="hu-HU"/>
        </w:rPr>
        <w:t xml:space="preserve"> metronidazol</w:t>
      </w:r>
      <w:r w:rsidRPr="00F14151">
        <w:rPr>
          <w:sz w:val="22"/>
          <w:szCs w:val="22"/>
          <w:lang w:val="hu-HU"/>
        </w:rPr>
        <w:t>, vagy 500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tinidazol) egy</w:t>
      </w:r>
      <w:r w:rsidR="0013199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 keresztül.</w:t>
      </w:r>
    </w:p>
    <w:p w14:paraId="6A1E260F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1A70077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Bármely kezelési séma esetében, ha a beteg még mindig </w:t>
      </w:r>
      <w:r w:rsidRPr="00F14151">
        <w:rPr>
          <w:i/>
          <w:iCs/>
          <w:sz w:val="22"/>
          <w:szCs w:val="22"/>
          <w:lang w:val="hu-HU"/>
        </w:rPr>
        <w:t>H.</w:t>
      </w:r>
      <w:r w:rsidR="00CB1E41" w:rsidRPr="00F14151">
        <w:rPr>
          <w:i/>
          <w:iCs/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 xml:space="preserve">pylori </w:t>
      </w:r>
      <w:r w:rsidRPr="00F14151">
        <w:rPr>
          <w:sz w:val="22"/>
          <w:szCs w:val="22"/>
          <w:lang w:val="hu-HU"/>
        </w:rPr>
        <w:t>pozitív, a kezelést meg lehet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ismételni.</w:t>
      </w:r>
    </w:p>
    <w:p w14:paraId="1EC9A81A" w14:textId="77777777" w:rsidR="00EC0AA0" w:rsidRPr="00F14151" w:rsidRDefault="00EC0AA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942C33D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NSAID alkalmazás</w:t>
      </w:r>
      <w:r w:rsidR="00CB1E41" w:rsidRPr="00F14151">
        <w:rPr>
          <w:i/>
          <w:iCs/>
          <w:sz w:val="22"/>
          <w:szCs w:val="22"/>
          <w:lang w:val="hu-HU"/>
        </w:rPr>
        <w:t>á</w:t>
      </w:r>
      <w:r w:rsidRPr="00F14151">
        <w:rPr>
          <w:i/>
          <w:iCs/>
          <w:sz w:val="22"/>
          <w:szCs w:val="22"/>
          <w:lang w:val="hu-HU"/>
        </w:rPr>
        <w:t>hoz társuló gyomor- és nyombélfekély kezelése</w:t>
      </w:r>
    </w:p>
    <w:p w14:paraId="5148D42D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NSAID alkalmazáshoz társuló gyomor- és nyombélfekély kezelésében az ajánlott adag napi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egyszer 20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 xml:space="preserve">. A betegek nagy többsége </w:t>
      </w:r>
      <w:r w:rsidR="00E84349" w:rsidRPr="00F14151">
        <w:rPr>
          <w:sz w:val="22"/>
          <w:szCs w:val="22"/>
          <w:lang w:val="hu-HU"/>
        </w:rPr>
        <w:t>négy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 belül gyógyul. Azoknál a betegeknél, akiknél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bevezető kezelést követően a gyógyulás nem teljes, további négy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hetes terápia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alatt rendszerint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gyógyulásra lehet számítani.</w:t>
      </w:r>
    </w:p>
    <w:p w14:paraId="72009417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1B3E3D14" w14:textId="77777777" w:rsidR="00FA4F40" w:rsidRPr="00F14151" w:rsidRDefault="00E84349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NSAID alkalmazásához társuló</w:t>
      </w:r>
      <w:r w:rsidR="00FA4F40" w:rsidRPr="00F14151">
        <w:rPr>
          <w:i/>
          <w:iCs/>
          <w:sz w:val="22"/>
          <w:szCs w:val="22"/>
          <w:lang w:val="hu-HU"/>
        </w:rPr>
        <w:t xml:space="preserve"> gyomor- és nyombélf</w:t>
      </w:r>
      <w:r w:rsidRPr="00F14151">
        <w:rPr>
          <w:i/>
          <w:iCs/>
          <w:sz w:val="22"/>
          <w:szCs w:val="22"/>
          <w:lang w:val="hu-HU"/>
        </w:rPr>
        <w:t>ekély kialakulásának megelőzése</w:t>
      </w:r>
      <w:r w:rsidR="00FA4F40" w:rsidRPr="00F14151">
        <w:rPr>
          <w:i/>
          <w:iCs/>
          <w:sz w:val="22"/>
          <w:szCs w:val="22"/>
          <w:lang w:val="hu-HU"/>
        </w:rPr>
        <w:t xml:space="preserve"> veszélyeztetett</w:t>
      </w:r>
      <w:r w:rsidR="005178D4" w:rsidRPr="00F14151">
        <w:rPr>
          <w:i/>
          <w:iCs/>
          <w:sz w:val="22"/>
          <w:szCs w:val="22"/>
          <w:lang w:val="hu-HU"/>
        </w:rPr>
        <w:t xml:space="preserve"> </w:t>
      </w:r>
      <w:r w:rsidR="00FA4F40" w:rsidRPr="00F14151">
        <w:rPr>
          <w:i/>
          <w:iCs/>
          <w:sz w:val="22"/>
          <w:szCs w:val="22"/>
          <w:lang w:val="hu-HU"/>
        </w:rPr>
        <w:t>betegeknél</w:t>
      </w:r>
    </w:p>
    <w:p w14:paraId="3DB9F285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Veszélyeztetett betegeknél (60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évnél idősebb </w:t>
      </w:r>
      <w:r w:rsidR="00E84349" w:rsidRPr="00F14151">
        <w:rPr>
          <w:sz w:val="22"/>
          <w:szCs w:val="22"/>
          <w:lang w:val="hu-HU"/>
        </w:rPr>
        <w:t>élet</w:t>
      </w:r>
      <w:r w:rsidRPr="00F14151">
        <w:rPr>
          <w:sz w:val="22"/>
          <w:szCs w:val="22"/>
          <w:lang w:val="hu-HU"/>
        </w:rPr>
        <w:t>kor, az anamnézisben gyomor- és nyombélfekély, illetve</w:t>
      </w:r>
      <w:r w:rsidR="005178D4" w:rsidRPr="00F14151">
        <w:rPr>
          <w:sz w:val="22"/>
          <w:szCs w:val="22"/>
          <w:lang w:val="hu-HU"/>
        </w:rPr>
        <w:t xml:space="preserve"> </w:t>
      </w:r>
      <w:r w:rsidR="00E84349" w:rsidRPr="00F14151">
        <w:rPr>
          <w:sz w:val="22"/>
          <w:szCs w:val="22"/>
          <w:lang w:val="hu-HU"/>
        </w:rPr>
        <w:t>a gyomor-bélrendszer felső</w:t>
      </w:r>
      <w:r w:rsidRPr="00F14151">
        <w:rPr>
          <w:sz w:val="22"/>
          <w:szCs w:val="22"/>
          <w:lang w:val="hu-HU"/>
        </w:rPr>
        <w:t xml:space="preserve"> szakaszából eredő vérzés) az NSAID alkalmazáshoz társuló gyomor</w:t>
      </w:r>
      <w:r w:rsidR="00E84349" w:rsidRPr="00F14151">
        <w:rPr>
          <w:sz w:val="22"/>
          <w:szCs w:val="22"/>
          <w:lang w:val="hu-HU"/>
        </w:rPr>
        <w:t xml:space="preserve">, </w:t>
      </w:r>
      <w:r w:rsidRPr="00F14151">
        <w:rPr>
          <w:sz w:val="22"/>
          <w:szCs w:val="22"/>
          <w:lang w:val="hu-HU"/>
        </w:rPr>
        <w:t>illetve nyombélfekély megelőzésére az ajánlott adag naponta egyszer 20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</w:t>
      </w:r>
    </w:p>
    <w:p w14:paraId="2199B26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205D19D1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Reflux oesophagitis kezelése</w:t>
      </w:r>
    </w:p>
    <w:p w14:paraId="2EB433F4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ajánlott adag 20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naponta egyszer. A legtöbb beteg négy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 belül gyógyul. Azoknál 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betegeknél, akiknél a bevezető kezelést követően a gyógyulás nem teljes, további négy</w:t>
      </w:r>
      <w:r w:rsidR="00CB1E4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hetes terápia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alatt rendszerint gyógyulásra lehet számítani.</w:t>
      </w:r>
    </w:p>
    <w:p w14:paraId="5239E6FD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Súlyos oesophagitisben szenvedő betegeknél napi egyszeri 40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javasolt, és a gyógyulás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általában nyolc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 alatt bekövetkezik.</w:t>
      </w:r>
    </w:p>
    <w:p w14:paraId="125F5F77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6FDE0CC1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Gyógyult reflux oesophagitis hosszútávú kezelése</w:t>
      </w:r>
    </w:p>
    <w:p w14:paraId="349C2E9E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Gyógyult reflux oesophagitis hosszútávú kezelésére javasolt dózis napi egyszer 10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 Szükség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esetén az adag napi egyszeri 20</w:t>
      </w:r>
      <w:r w:rsidR="000A10E4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40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E84349" w:rsidRPr="00F14151">
        <w:rPr>
          <w:sz w:val="22"/>
          <w:szCs w:val="22"/>
          <w:lang w:val="hu-HU"/>
        </w:rPr>
        <w:t>omeprazolra</w:t>
      </w:r>
      <w:r w:rsidRPr="00F14151">
        <w:rPr>
          <w:sz w:val="22"/>
          <w:szCs w:val="22"/>
          <w:lang w:val="hu-HU"/>
        </w:rPr>
        <w:t xml:space="preserve"> emelhető.</w:t>
      </w:r>
    </w:p>
    <w:p w14:paraId="66B52974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4F0440F9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A tünetekkel járó gastro-oesophagealis reflux betegség kezelése</w:t>
      </w:r>
    </w:p>
    <w:p w14:paraId="713D77A1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javasolt adag 20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naponta. A betegek már napi 10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mg-ra is megfelelően reagálhatnak, ezért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az egyéni adagolás megfontolása szükséges.</w:t>
      </w:r>
    </w:p>
    <w:p w14:paraId="5E23604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Ha négy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 után, napi 20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kezeléssel nem sikerül elérni</w:t>
      </w:r>
      <w:r w:rsidR="00E84349" w:rsidRPr="00F14151">
        <w:rPr>
          <w:sz w:val="22"/>
          <w:szCs w:val="22"/>
          <w:lang w:val="hu-HU"/>
        </w:rPr>
        <w:t xml:space="preserve"> a tünetek kontrollálását</w:t>
      </w:r>
      <w:r w:rsidRPr="00F14151">
        <w:rPr>
          <w:sz w:val="22"/>
          <w:szCs w:val="22"/>
          <w:lang w:val="hu-HU"/>
        </w:rPr>
        <w:t>, további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kivizsgálás javasolt.</w:t>
      </w:r>
    </w:p>
    <w:p w14:paraId="0E30BF16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7F1F732C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Zollinger-Ellison szindróma kezelése</w:t>
      </w:r>
    </w:p>
    <w:p w14:paraId="74926A6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Zollinger-Ellison szindrómában szenvedő betegeknél az adagolást egyénre szabottan kell</w:t>
      </w:r>
      <w:r w:rsidR="00E84349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megállapítani és addig kell folytatni, amíg az klinikailag indokolt. Az ajánlott kezdőadag naponta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60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>omeprazol</w:t>
      </w:r>
      <w:r w:rsidRPr="00F14151">
        <w:rPr>
          <w:sz w:val="22"/>
          <w:szCs w:val="22"/>
          <w:lang w:val="hu-HU"/>
        </w:rPr>
        <w:t>. A súlyos, és korábban más kezelésre nem reagáló betegeket sikerült hatékonyan kezelni,</w:t>
      </w:r>
      <w:r w:rsidR="00EC0AA0" w:rsidRPr="00F14151">
        <w:rPr>
          <w:sz w:val="22"/>
          <w:szCs w:val="22"/>
          <w:lang w:val="hu-HU"/>
        </w:rPr>
        <w:t xml:space="preserve"> </w:t>
      </w:r>
      <w:r w:rsidR="00E84349" w:rsidRPr="00F14151">
        <w:rPr>
          <w:sz w:val="22"/>
          <w:szCs w:val="22"/>
          <w:lang w:val="hu-HU"/>
        </w:rPr>
        <w:t>a betegek több mint 90</w:t>
      </w:r>
      <w:r w:rsidRPr="00F14151">
        <w:rPr>
          <w:sz w:val="22"/>
          <w:szCs w:val="22"/>
          <w:lang w:val="hu-HU"/>
        </w:rPr>
        <w:t>%-a napi 20</w:t>
      </w:r>
      <w:r w:rsidR="000A10E4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120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mg </w:t>
      </w:r>
      <w:r w:rsidR="005178D4" w:rsidRPr="00F14151">
        <w:rPr>
          <w:sz w:val="22"/>
          <w:szCs w:val="22"/>
          <w:lang w:val="hu-HU"/>
        </w:rPr>
        <w:t xml:space="preserve">omeprazol </w:t>
      </w:r>
      <w:r w:rsidRPr="00F14151">
        <w:rPr>
          <w:sz w:val="22"/>
          <w:szCs w:val="22"/>
          <w:lang w:val="hu-HU"/>
        </w:rPr>
        <w:t>fenntartó terápiában részesült. Napi 80</w:t>
      </w:r>
      <w:r w:rsidR="000A10E4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feletti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adagolás esetén a napi adagot két részre elosztva kell bevenni.</w:t>
      </w:r>
    </w:p>
    <w:p w14:paraId="3009B2C9" w14:textId="77777777" w:rsidR="003136A9" w:rsidRPr="00F14151" w:rsidRDefault="003136A9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F1CA51A" w14:textId="77777777" w:rsidR="00FA4F40" w:rsidRPr="00430CBA" w:rsidRDefault="003F5FE3" w:rsidP="00977955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lang w:val="hu-HU"/>
        </w:rPr>
      </w:pPr>
      <w:r w:rsidRPr="00430CBA">
        <w:rPr>
          <w:i/>
          <w:sz w:val="22"/>
          <w:szCs w:val="22"/>
          <w:lang w:val="hu-HU"/>
        </w:rPr>
        <w:lastRenderedPageBreak/>
        <w:t>Gyermek</w:t>
      </w:r>
      <w:r>
        <w:rPr>
          <w:i/>
          <w:sz w:val="22"/>
          <w:szCs w:val="22"/>
          <w:lang w:val="hu-HU"/>
        </w:rPr>
        <w:t>ek</w:t>
      </w:r>
      <w:r w:rsidR="005D24D7">
        <w:rPr>
          <w:i/>
          <w:sz w:val="22"/>
          <w:szCs w:val="22"/>
          <w:lang w:val="hu-HU"/>
        </w:rPr>
        <w:t xml:space="preserve"> és serdülők</w:t>
      </w:r>
    </w:p>
    <w:p w14:paraId="08F6DFB8" w14:textId="77777777" w:rsidR="005178D4" w:rsidRPr="00F14151" w:rsidRDefault="005178D4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01F14055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u w:val="single"/>
          <w:lang w:val="hu-HU"/>
        </w:rPr>
      </w:pPr>
      <w:r w:rsidRPr="00F14151">
        <w:rPr>
          <w:i/>
          <w:iCs/>
          <w:sz w:val="22"/>
          <w:szCs w:val="22"/>
          <w:u w:val="single"/>
          <w:lang w:val="hu-HU"/>
        </w:rPr>
        <w:t>1</w:t>
      </w:r>
      <w:r w:rsidR="000A10E4" w:rsidRPr="00F14151">
        <w:rPr>
          <w:i/>
          <w:iCs/>
          <w:sz w:val="22"/>
          <w:szCs w:val="22"/>
          <w:u w:val="single"/>
          <w:lang w:val="hu-HU"/>
        </w:rPr>
        <w:t> </w:t>
      </w:r>
      <w:r w:rsidRPr="00F14151">
        <w:rPr>
          <w:i/>
          <w:iCs/>
          <w:sz w:val="22"/>
          <w:szCs w:val="22"/>
          <w:u w:val="single"/>
          <w:lang w:val="hu-HU"/>
        </w:rPr>
        <w:t>év</w:t>
      </w:r>
      <w:r w:rsidR="00E84349" w:rsidRPr="00F14151">
        <w:rPr>
          <w:i/>
          <w:iCs/>
          <w:sz w:val="22"/>
          <w:szCs w:val="22"/>
          <w:u w:val="single"/>
          <w:lang w:val="hu-HU"/>
        </w:rPr>
        <w:t>es</w:t>
      </w:r>
      <w:r w:rsidRPr="00F14151">
        <w:rPr>
          <w:i/>
          <w:iCs/>
          <w:sz w:val="22"/>
          <w:szCs w:val="22"/>
          <w:u w:val="single"/>
          <w:lang w:val="hu-HU"/>
        </w:rPr>
        <w:t>nél idősebb és ≥10</w:t>
      </w:r>
      <w:r w:rsidR="000A10E4" w:rsidRPr="00F14151">
        <w:rPr>
          <w:i/>
          <w:iCs/>
          <w:sz w:val="22"/>
          <w:szCs w:val="22"/>
          <w:u w:val="single"/>
          <w:lang w:val="hu-HU"/>
        </w:rPr>
        <w:t> </w:t>
      </w:r>
      <w:r w:rsidRPr="00F14151">
        <w:rPr>
          <w:i/>
          <w:iCs/>
          <w:sz w:val="22"/>
          <w:szCs w:val="22"/>
          <w:u w:val="single"/>
          <w:lang w:val="hu-HU"/>
        </w:rPr>
        <w:t>kg súlyú gyermekek</w:t>
      </w:r>
    </w:p>
    <w:p w14:paraId="1F3DAFFB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Reflux oesophagitis kezelése</w:t>
      </w:r>
    </w:p>
    <w:p w14:paraId="1C950562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Gastro-oesophagealis reflux betegségben a gyomorégés, valamint a gyomorsav regurgitatio tüneti</w:t>
      </w:r>
      <w:r w:rsidR="005178D4" w:rsidRPr="00F14151">
        <w:rPr>
          <w:i/>
          <w:iCs/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>kezelése</w:t>
      </w:r>
    </w:p>
    <w:p w14:paraId="1BFC38E0" w14:textId="77777777" w:rsidR="005178D4" w:rsidRPr="00F14151" w:rsidRDefault="005178D4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61EACA9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adagolási javaslat a következő:</w:t>
      </w:r>
    </w:p>
    <w:p w14:paraId="51D2AD94" w14:textId="77777777" w:rsidR="00EC0AA0" w:rsidRPr="00F14151" w:rsidRDefault="00EC0AA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tbl>
      <w:tblPr>
        <w:tblW w:w="0" w:type="auto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8"/>
        <w:gridCol w:w="1194"/>
        <w:gridCol w:w="6233"/>
      </w:tblGrid>
      <w:tr w:rsidR="001C44E6" w:rsidRPr="00F14151" w14:paraId="15586816" w14:textId="77777777">
        <w:tc>
          <w:tcPr>
            <w:tcW w:w="1368" w:type="dxa"/>
          </w:tcPr>
          <w:p w14:paraId="1A59ECF8" w14:textId="77777777" w:rsidR="001C44E6" w:rsidRPr="00F14151" w:rsidRDefault="00E84349" w:rsidP="00977955">
            <w:pPr>
              <w:keepNext/>
              <w:autoSpaceDE w:val="0"/>
              <w:autoSpaceDN w:val="0"/>
              <w:adjustRightInd w:val="0"/>
              <w:spacing w:line="260" w:lineRule="exact"/>
              <w:rPr>
                <w:b/>
                <w:sz w:val="22"/>
                <w:szCs w:val="22"/>
                <w:lang w:val="hu-HU"/>
              </w:rPr>
            </w:pPr>
            <w:r w:rsidRPr="00F14151">
              <w:rPr>
                <w:b/>
                <w:sz w:val="22"/>
                <w:szCs w:val="22"/>
                <w:lang w:val="hu-HU"/>
              </w:rPr>
              <w:t>Életk</w:t>
            </w:r>
            <w:r w:rsidR="001C44E6" w:rsidRPr="00F14151">
              <w:rPr>
                <w:b/>
                <w:sz w:val="22"/>
                <w:szCs w:val="22"/>
                <w:lang w:val="hu-HU"/>
              </w:rPr>
              <w:t>or</w:t>
            </w:r>
          </w:p>
        </w:tc>
        <w:tc>
          <w:tcPr>
            <w:tcW w:w="1082" w:type="dxa"/>
          </w:tcPr>
          <w:p w14:paraId="06E4B6A5" w14:textId="77777777" w:rsidR="001C44E6" w:rsidRPr="00F14151" w:rsidRDefault="00E84349" w:rsidP="00977955">
            <w:pPr>
              <w:keepNext/>
              <w:autoSpaceDE w:val="0"/>
              <w:autoSpaceDN w:val="0"/>
              <w:adjustRightInd w:val="0"/>
              <w:spacing w:line="260" w:lineRule="exact"/>
              <w:rPr>
                <w:b/>
                <w:sz w:val="22"/>
                <w:szCs w:val="22"/>
                <w:lang w:val="hu-HU"/>
              </w:rPr>
            </w:pPr>
            <w:r w:rsidRPr="00F14151">
              <w:rPr>
                <w:b/>
                <w:sz w:val="22"/>
                <w:szCs w:val="22"/>
                <w:lang w:val="hu-HU"/>
              </w:rPr>
              <w:t>Testtömeg</w:t>
            </w:r>
          </w:p>
        </w:tc>
        <w:tc>
          <w:tcPr>
            <w:tcW w:w="6355" w:type="dxa"/>
          </w:tcPr>
          <w:p w14:paraId="0F3F9589" w14:textId="77777777" w:rsidR="001C44E6" w:rsidRPr="00F14151" w:rsidRDefault="001C44E6" w:rsidP="00977955">
            <w:pPr>
              <w:keepNext/>
              <w:autoSpaceDE w:val="0"/>
              <w:autoSpaceDN w:val="0"/>
              <w:adjustRightInd w:val="0"/>
              <w:spacing w:line="260" w:lineRule="exact"/>
              <w:rPr>
                <w:b/>
                <w:sz w:val="22"/>
                <w:szCs w:val="22"/>
                <w:lang w:val="hu-HU"/>
              </w:rPr>
            </w:pPr>
            <w:r w:rsidRPr="00F14151">
              <w:rPr>
                <w:b/>
                <w:sz w:val="22"/>
                <w:szCs w:val="22"/>
                <w:lang w:val="hu-HU"/>
              </w:rPr>
              <w:t>Adagolás</w:t>
            </w:r>
          </w:p>
        </w:tc>
      </w:tr>
      <w:tr w:rsidR="001C44E6" w:rsidRPr="00F14151" w14:paraId="413CC361" w14:textId="77777777">
        <w:tc>
          <w:tcPr>
            <w:tcW w:w="1368" w:type="dxa"/>
          </w:tcPr>
          <w:p w14:paraId="7B9DDA1F" w14:textId="77777777" w:rsidR="001C44E6" w:rsidRPr="00F14151" w:rsidRDefault="001C44E6" w:rsidP="000A10E4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≥1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 xml:space="preserve">éves </w:t>
            </w:r>
            <w:r w:rsidR="00E84349" w:rsidRPr="00F14151">
              <w:rPr>
                <w:sz w:val="22"/>
                <w:szCs w:val="22"/>
                <w:lang w:val="hu-HU"/>
              </w:rPr>
              <w:t>élet</w:t>
            </w:r>
            <w:r w:rsidRPr="00F14151">
              <w:rPr>
                <w:sz w:val="22"/>
                <w:szCs w:val="22"/>
                <w:lang w:val="hu-HU"/>
              </w:rPr>
              <w:t>kor</w:t>
            </w:r>
          </w:p>
        </w:tc>
        <w:tc>
          <w:tcPr>
            <w:tcW w:w="1082" w:type="dxa"/>
          </w:tcPr>
          <w:p w14:paraId="71C5D810" w14:textId="77777777" w:rsidR="001C44E6" w:rsidRPr="00F14151" w:rsidRDefault="001C44E6" w:rsidP="000A10E4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10</w:t>
            </w:r>
            <w:r w:rsidR="000A10E4" w:rsidRPr="00F14151">
              <w:rPr>
                <w:sz w:val="22"/>
                <w:szCs w:val="22"/>
                <w:lang w:val="hu-HU"/>
              </w:rPr>
              <w:noBreakHyphen/>
            </w:r>
            <w:r w:rsidRPr="00F14151">
              <w:rPr>
                <w:sz w:val="22"/>
                <w:szCs w:val="22"/>
                <w:lang w:val="hu-HU"/>
              </w:rPr>
              <w:t>20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6355" w:type="dxa"/>
          </w:tcPr>
          <w:p w14:paraId="4DFEC0F1" w14:textId="77777777" w:rsidR="001C44E6" w:rsidRPr="00F14151" w:rsidRDefault="001C44E6" w:rsidP="000A10E4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Napi egyszer 10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mg. Szükség esetén az adagot napi egyszer 20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mg-ra lehet emelni.</w:t>
            </w:r>
          </w:p>
        </w:tc>
      </w:tr>
      <w:tr w:rsidR="001C44E6" w:rsidRPr="00F14151" w14:paraId="73B5DE60" w14:textId="77777777">
        <w:tc>
          <w:tcPr>
            <w:tcW w:w="1368" w:type="dxa"/>
          </w:tcPr>
          <w:p w14:paraId="5320344F" w14:textId="77777777" w:rsidR="001C44E6" w:rsidRPr="00F14151" w:rsidRDefault="001C44E6" w:rsidP="00D63DC6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≥2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 xml:space="preserve">éves </w:t>
            </w:r>
            <w:r w:rsidR="00E84349" w:rsidRPr="00F14151">
              <w:rPr>
                <w:sz w:val="22"/>
                <w:szCs w:val="22"/>
                <w:lang w:val="hu-HU"/>
              </w:rPr>
              <w:t>élet</w:t>
            </w:r>
            <w:r w:rsidRPr="00F14151">
              <w:rPr>
                <w:sz w:val="22"/>
                <w:szCs w:val="22"/>
                <w:lang w:val="hu-HU"/>
              </w:rPr>
              <w:t>kor</w:t>
            </w:r>
          </w:p>
        </w:tc>
        <w:tc>
          <w:tcPr>
            <w:tcW w:w="1082" w:type="dxa"/>
          </w:tcPr>
          <w:p w14:paraId="15838CE6" w14:textId="77777777" w:rsidR="001C44E6" w:rsidRPr="00F14151" w:rsidRDefault="001C44E6" w:rsidP="000A10E4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&gt;</w:t>
            </w:r>
            <w:smartTag w:uri="urn:schemas-microsoft-com:office:smarttags" w:element="metricconverter">
              <w:smartTagPr>
                <w:attr w:name="ProductID" w:val="20ﾠkg"/>
              </w:smartTagPr>
              <w:r w:rsidRPr="00F14151">
                <w:rPr>
                  <w:sz w:val="22"/>
                  <w:szCs w:val="22"/>
                  <w:lang w:val="hu-HU"/>
                </w:rPr>
                <w:t>20</w:t>
              </w:r>
              <w:r w:rsidR="000A10E4" w:rsidRPr="00F14151">
                <w:rPr>
                  <w:sz w:val="22"/>
                  <w:szCs w:val="22"/>
                  <w:lang w:val="hu-HU"/>
                </w:rPr>
                <w:t> </w:t>
              </w:r>
              <w:r w:rsidRPr="00F14151">
                <w:rPr>
                  <w:sz w:val="22"/>
                  <w:szCs w:val="22"/>
                  <w:lang w:val="hu-HU"/>
                </w:rPr>
                <w:t>kg</w:t>
              </w:r>
            </w:smartTag>
          </w:p>
        </w:tc>
        <w:tc>
          <w:tcPr>
            <w:tcW w:w="6355" w:type="dxa"/>
          </w:tcPr>
          <w:p w14:paraId="72C110FE" w14:textId="77777777" w:rsidR="001C44E6" w:rsidRPr="00F14151" w:rsidRDefault="001C44E6" w:rsidP="000A10E4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Napi egyszer 20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mg. Szükség esetén az adagot napi egyszer 40</w:t>
            </w:r>
            <w:r w:rsidR="000A10E4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mg-ra lehet emelni.</w:t>
            </w:r>
          </w:p>
        </w:tc>
      </w:tr>
    </w:tbl>
    <w:p w14:paraId="2320FDB1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3B129AC" w14:textId="77777777" w:rsidR="00E84349" w:rsidRPr="00F14151" w:rsidRDefault="008D3E1C" w:rsidP="00977955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Reflux oesophagitis</w:t>
      </w:r>
    </w:p>
    <w:p w14:paraId="7E987210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kezelés időtartama 4</w:t>
      </w:r>
      <w:r w:rsidR="0023056C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8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hét.</w:t>
      </w:r>
    </w:p>
    <w:p w14:paraId="395CD410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9403438" w14:textId="77777777" w:rsidR="008D3E1C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Gastro-oesophagealis reflux betegségben a gyomorégés, valamint a gyomorsav regurgitatio tüneti</w:t>
      </w:r>
      <w:r w:rsidR="005178D4" w:rsidRPr="00F14151">
        <w:rPr>
          <w:i/>
          <w:iCs/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>kezelése</w:t>
      </w:r>
    </w:p>
    <w:p w14:paraId="6F2009FA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kezelés időtartama 2</w:t>
      </w:r>
      <w:r w:rsidR="0023056C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4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hét. Amennyiben 2</w:t>
      </w:r>
      <w:r w:rsidR="0023056C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4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 után nem sikerül tünetmentességet elérni,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beteg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további kivizsgálása szükséges.</w:t>
      </w:r>
    </w:p>
    <w:p w14:paraId="3B2BC085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8857C2B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u w:val="single"/>
          <w:lang w:val="hu-HU"/>
        </w:rPr>
      </w:pPr>
      <w:r w:rsidRPr="00F14151">
        <w:rPr>
          <w:i/>
          <w:iCs/>
          <w:sz w:val="22"/>
          <w:szCs w:val="22"/>
          <w:u w:val="single"/>
          <w:lang w:val="hu-HU"/>
        </w:rPr>
        <w:t>4</w:t>
      </w:r>
      <w:r w:rsidR="0023056C" w:rsidRPr="00F14151">
        <w:rPr>
          <w:i/>
          <w:iCs/>
          <w:sz w:val="22"/>
          <w:szCs w:val="22"/>
          <w:u w:val="single"/>
          <w:lang w:val="hu-HU"/>
        </w:rPr>
        <w:t> </w:t>
      </w:r>
      <w:r w:rsidRPr="00F14151">
        <w:rPr>
          <w:i/>
          <w:iCs/>
          <w:sz w:val="22"/>
          <w:szCs w:val="22"/>
          <w:u w:val="single"/>
          <w:lang w:val="hu-HU"/>
        </w:rPr>
        <w:t xml:space="preserve">éves </w:t>
      </w:r>
      <w:r w:rsidR="008D3E1C" w:rsidRPr="00F14151">
        <w:rPr>
          <w:i/>
          <w:iCs/>
          <w:sz w:val="22"/>
          <w:szCs w:val="22"/>
          <w:u w:val="single"/>
          <w:lang w:val="hu-HU"/>
        </w:rPr>
        <w:t>élet</w:t>
      </w:r>
      <w:r w:rsidRPr="00F14151">
        <w:rPr>
          <w:i/>
          <w:iCs/>
          <w:sz w:val="22"/>
          <w:szCs w:val="22"/>
          <w:u w:val="single"/>
          <w:lang w:val="hu-HU"/>
        </w:rPr>
        <w:t xml:space="preserve">kor feletti gyermekek és </w:t>
      </w:r>
      <w:r w:rsidR="00E11B80">
        <w:rPr>
          <w:i/>
          <w:iCs/>
          <w:sz w:val="22"/>
          <w:szCs w:val="22"/>
          <w:u w:val="single"/>
          <w:lang w:val="hu-HU"/>
        </w:rPr>
        <w:t>serdülők</w:t>
      </w:r>
    </w:p>
    <w:p w14:paraId="53F94CE5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H. pylori fertőzés okozta ulcus duodeni kezelése</w:t>
      </w:r>
    </w:p>
    <w:p w14:paraId="1E07CDC7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megfelelő kombinációs terápia kiválasztásakor figyelembe kell venni a bakteriális rezisztenciára, a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terápia időtartamára (leggyakrabban 7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nap, de néha 14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nap), és az antibakteriális szerek megfelelő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alkalmazására vonatkozó hivatalos nemzeti, regionális, és helyi irányelveket.</w:t>
      </w:r>
      <w:r w:rsidR="008D3E1C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kezelés</w:t>
      </w:r>
      <w:r w:rsidR="008D3E1C" w:rsidRPr="00F14151">
        <w:rPr>
          <w:sz w:val="22"/>
          <w:szCs w:val="22"/>
          <w:lang w:val="hu-HU"/>
        </w:rPr>
        <w:t>nek</w:t>
      </w:r>
      <w:r w:rsidRPr="00F14151">
        <w:rPr>
          <w:sz w:val="22"/>
          <w:szCs w:val="22"/>
          <w:lang w:val="hu-HU"/>
        </w:rPr>
        <w:t xml:space="preserve"> szakorvos felügyelete </w:t>
      </w:r>
      <w:r w:rsidR="008D3E1C" w:rsidRPr="00F14151">
        <w:rPr>
          <w:sz w:val="22"/>
          <w:szCs w:val="22"/>
          <w:lang w:val="hu-HU"/>
        </w:rPr>
        <w:t>mellett kell</w:t>
      </w:r>
      <w:r w:rsidRPr="00F14151">
        <w:rPr>
          <w:sz w:val="22"/>
          <w:szCs w:val="22"/>
          <w:lang w:val="hu-HU"/>
        </w:rPr>
        <w:t xml:space="preserve"> történ</w:t>
      </w:r>
      <w:r w:rsidR="008D3E1C" w:rsidRPr="00F14151">
        <w:rPr>
          <w:sz w:val="22"/>
          <w:szCs w:val="22"/>
          <w:lang w:val="hu-HU"/>
        </w:rPr>
        <w:t>nie</w:t>
      </w:r>
      <w:r w:rsidRPr="00F14151">
        <w:rPr>
          <w:sz w:val="22"/>
          <w:szCs w:val="22"/>
          <w:lang w:val="hu-HU"/>
        </w:rPr>
        <w:t>.</w:t>
      </w:r>
    </w:p>
    <w:p w14:paraId="2C6E03F1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399F451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adagolási javaslat a következő:</w:t>
      </w:r>
    </w:p>
    <w:p w14:paraId="143E9102" w14:textId="77777777" w:rsidR="005178D4" w:rsidRPr="00F14151" w:rsidRDefault="005178D4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tbl>
      <w:tblPr>
        <w:tblW w:w="0" w:type="auto"/>
        <w:tblInd w:w="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4"/>
        <w:gridCol w:w="7591"/>
      </w:tblGrid>
      <w:tr w:rsidR="001C44E6" w:rsidRPr="00F14151" w14:paraId="78BF85ED" w14:textId="77777777">
        <w:tc>
          <w:tcPr>
            <w:tcW w:w="1050" w:type="dxa"/>
          </w:tcPr>
          <w:p w14:paraId="3F4DBB70" w14:textId="77777777" w:rsidR="001C44E6" w:rsidRPr="00F14151" w:rsidRDefault="008D3E1C" w:rsidP="00977955">
            <w:pPr>
              <w:keepNext/>
              <w:autoSpaceDE w:val="0"/>
              <w:autoSpaceDN w:val="0"/>
              <w:adjustRightInd w:val="0"/>
              <w:spacing w:line="260" w:lineRule="exact"/>
              <w:rPr>
                <w:b/>
                <w:sz w:val="22"/>
                <w:szCs w:val="22"/>
                <w:lang w:val="hu-HU"/>
              </w:rPr>
            </w:pPr>
            <w:r w:rsidRPr="00F14151">
              <w:rPr>
                <w:b/>
                <w:sz w:val="22"/>
                <w:szCs w:val="22"/>
                <w:lang w:val="hu-HU"/>
              </w:rPr>
              <w:t>Testtömeg</w:t>
            </w:r>
          </w:p>
        </w:tc>
        <w:tc>
          <w:tcPr>
            <w:tcW w:w="7755" w:type="dxa"/>
          </w:tcPr>
          <w:p w14:paraId="241C9CFE" w14:textId="77777777" w:rsidR="001C44E6" w:rsidRPr="00F14151" w:rsidRDefault="001C44E6" w:rsidP="00977955">
            <w:pPr>
              <w:keepNext/>
              <w:autoSpaceDE w:val="0"/>
              <w:autoSpaceDN w:val="0"/>
              <w:adjustRightInd w:val="0"/>
              <w:spacing w:line="260" w:lineRule="exact"/>
              <w:rPr>
                <w:b/>
                <w:sz w:val="22"/>
                <w:szCs w:val="22"/>
                <w:lang w:val="hu-HU"/>
              </w:rPr>
            </w:pPr>
            <w:r w:rsidRPr="00F14151">
              <w:rPr>
                <w:b/>
                <w:sz w:val="22"/>
                <w:szCs w:val="22"/>
                <w:lang w:val="hu-HU"/>
              </w:rPr>
              <w:t>Adagolás</w:t>
            </w:r>
          </w:p>
        </w:tc>
      </w:tr>
      <w:tr w:rsidR="001C44E6" w:rsidRPr="00F14151" w14:paraId="2CBAE61D" w14:textId="77777777">
        <w:tc>
          <w:tcPr>
            <w:tcW w:w="1050" w:type="dxa"/>
          </w:tcPr>
          <w:p w14:paraId="6681C424" w14:textId="77777777" w:rsidR="001C44E6" w:rsidRPr="00F14151" w:rsidRDefault="001C44E6" w:rsidP="0023056C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15</w:t>
            </w:r>
            <w:r w:rsidR="0023056C" w:rsidRPr="00F14151">
              <w:rPr>
                <w:sz w:val="22"/>
                <w:szCs w:val="22"/>
                <w:lang w:val="hu-HU"/>
              </w:rPr>
              <w:noBreakHyphen/>
            </w:r>
            <w:r w:rsidRPr="00F14151">
              <w:rPr>
                <w:sz w:val="22"/>
                <w:szCs w:val="22"/>
                <w:lang w:val="hu-HU"/>
              </w:rPr>
              <w:t>30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7755" w:type="dxa"/>
          </w:tcPr>
          <w:p w14:paraId="1B4E7A6A" w14:textId="77777777" w:rsidR="001C44E6" w:rsidRPr="00F14151" w:rsidRDefault="001C44E6" w:rsidP="0023056C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Két antibiotikummal kombinálva: 10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 xml:space="preserve">mg </w:t>
            </w:r>
            <w:r w:rsidR="005178D4" w:rsidRPr="00F14151">
              <w:rPr>
                <w:sz w:val="22"/>
                <w:szCs w:val="22"/>
                <w:lang w:val="hu-HU"/>
              </w:rPr>
              <w:t>omeprazol</w:t>
            </w:r>
            <w:r w:rsidRPr="00F14151">
              <w:rPr>
                <w:sz w:val="22"/>
                <w:szCs w:val="22"/>
                <w:lang w:val="hu-HU"/>
              </w:rPr>
              <w:t>, 25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mg/</w:t>
            </w:r>
            <w:r w:rsidR="008D3E1C" w:rsidRPr="00F14151">
              <w:rPr>
                <w:sz w:val="22"/>
                <w:szCs w:val="22"/>
                <w:lang w:val="hu-HU"/>
              </w:rPr>
              <w:t>te</w:t>
            </w:r>
            <w:r w:rsidR="0023056C" w:rsidRPr="00F14151">
              <w:rPr>
                <w:sz w:val="22"/>
                <w:szCs w:val="22"/>
                <w:lang w:val="hu-HU"/>
              </w:rPr>
              <w:t>s</w:t>
            </w:r>
            <w:r w:rsidR="008D3E1C" w:rsidRPr="00F14151">
              <w:rPr>
                <w:sz w:val="22"/>
                <w:szCs w:val="22"/>
                <w:lang w:val="hu-HU"/>
              </w:rPr>
              <w:t>ttömeg-</w:t>
            </w:r>
            <w:r w:rsidRPr="00F14151">
              <w:rPr>
                <w:sz w:val="22"/>
                <w:szCs w:val="22"/>
                <w:lang w:val="hu-HU"/>
              </w:rPr>
              <w:t>kg amoxicillin, és 7,5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mg/test</w:t>
            </w:r>
            <w:r w:rsidR="008D3E1C" w:rsidRPr="00F14151">
              <w:rPr>
                <w:sz w:val="22"/>
                <w:szCs w:val="22"/>
                <w:lang w:val="hu-HU"/>
              </w:rPr>
              <w:t>tömeg-</w:t>
            </w:r>
            <w:r w:rsidRPr="00F14151">
              <w:rPr>
                <w:sz w:val="22"/>
                <w:szCs w:val="22"/>
                <w:lang w:val="hu-HU"/>
              </w:rPr>
              <w:t>kg klaritromicin együtt adva, nap</w:t>
            </w:r>
            <w:r w:rsidR="008D3E1C" w:rsidRPr="00F14151">
              <w:rPr>
                <w:sz w:val="22"/>
                <w:szCs w:val="22"/>
                <w:lang w:val="hu-HU"/>
              </w:rPr>
              <w:t>onta</w:t>
            </w:r>
            <w:r w:rsidRPr="00F14151">
              <w:rPr>
                <w:sz w:val="22"/>
                <w:szCs w:val="22"/>
                <w:lang w:val="hu-HU"/>
              </w:rPr>
              <w:t xml:space="preserve"> kétszer</w:t>
            </w:r>
            <w:r w:rsidR="008D3E1C" w:rsidRPr="00F14151">
              <w:rPr>
                <w:sz w:val="22"/>
                <w:szCs w:val="22"/>
                <w:lang w:val="hu-HU"/>
              </w:rPr>
              <w:t>,</w:t>
            </w:r>
            <w:r w:rsidRPr="00F14151">
              <w:rPr>
                <w:sz w:val="22"/>
                <w:szCs w:val="22"/>
                <w:lang w:val="hu-HU"/>
              </w:rPr>
              <w:t xml:space="preserve"> egy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héten keresztül</w:t>
            </w:r>
          </w:p>
        </w:tc>
      </w:tr>
      <w:tr w:rsidR="001C44E6" w:rsidRPr="00F14151" w14:paraId="6D50CE73" w14:textId="77777777">
        <w:tc>
          <w:tcPr>
            <w:tcW w:w="1050" w:type="dxa"/>
          </w:tcPr>
          <w:p w14:paraId="191AA374" w14:textId="77777777" w:rsidR="001C44E6" w:rsidRPr="00F14151" w:rsidRDefault="001C44E6" w:rsidP="0023056C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31</w:t>
            </w:r>
            <w:r w:rsidR="0023056C" w:rsidRPr="00F14151">
              <w:rPr>
                <w:sz w:val="22"/>
                <w:szCs w:val="22"/>
                <w:lang w:val="hu-HU"/>
              </w:rPr>
              <w:noBreakHyphen/>
            </w:r>
            <w:r w:rsidRPr="00F14151">
              <w:rPr>
                <w:sz w:val="22"/>
                <w:szCs w:val="22"/>
                <w:lang w:val="hu-HU"/>
              </w:rPr>
              <w:t>40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kg</w:t>
            </w:r>
          </w:p>
        </w:tc>
        <w:tc>
          <w:tcPr>
            <w:tcW w:w="7755" w:type="dxa"/>
          </w:tcPr>
          <w:p w14:paraId="2DFD6678" w14:textId="77777777" w:rsidR="001C44E6" w:rsidRPr="00F14151" w:rsidRDefault="001C44E6" w:rsidP="0023056C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Két antibiotikummal kombinálva: 20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 xml:space="preserve">mg </w:t>
            </w:r>
            <w:r w:rsidR="005178D4" w:rsidRPr="00F14151">
              <w:rPr>
                <w:sz w:val="22"/>
                <w:szCs w:val="22"/>
                <w:lang w:val="hu-HU"/>
              </w:rPr>
              <w:t>omeprazol</w:t>
            </w:r>
            <w:r w:rsidRPr="00F14151">
              <w:rPr>
                <w:sz w:val="22"/>
                <w:szCs w:val="22"/>
                <w:lang w:val="hu-HU"/>
              </w:rPr>
              <w:t>, 750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 amoxicillin, és 7,5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mg/test</w:t>
            </w:r>
            <w:r w:rsidR="008D3E1C" w:rsidRPr="00F14151">
              <w:rPr>
                <w:sz w:val="22"/>
                <w:szCs w:val="22"/>
                <w:lang w:val="hu-HU"/>
              </w:rPr>
              <w:t>tömeg-</w:t>
            </w:r>
            <w:r w:rsidRPr="00F14151">
              <w:rPr>
                <w:sz w:val="22"/>
                <w:szCs w:val="22"/>
                <w:lang w:val="hu-HU"/>
              </w:rPr>
              <w:t>kg klaritromicin együtt adva, nap</w:t>
            </w:r>
            <w:r w:rsidR="008D3E1C" w:rsidRPr="00F14151">
              <w:rPr>
                <w:sz w:val="22"/>
                <w:szCs w:val="22"/>
                <w:lang w:val="hu-HU"/>
              </w:rPr>
              <w:t>onta</w:t>
            </w:r>
            <w:r w:rsidRPr="00F14151">
              <w:rPr>
                <w:sz w:val="22"/>
                <w:szCs w:val="22"/>
                <w:lang w:val="hu-HU"/>
              </w:rPr>
              <w:t xml:space="preserve"> kétszer</w:t>
            </w:r>
            <w:r w:rsidR="008D3E1C" w:rsidRPr="00F14151">
              <w:rPr>
                <w:sz w:val="22"/>
                <w:szCs w:val="22"/>
                <w:lang w:val="hu-HU"/>
              </w:rPr>
              <w:t>,</w:t>
            </w:r>
            <w:r w:rsidRPr="00F14151">
              <w:rPr>
                <w:sz w:val="22"/>
                <w:szCs w:val="22"/>
                <w:lang w:val="hu-HU"/>
              </w:rPr>
              <w:t xml:space="preserve"> egy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héten keresztül</w:t>
            </w:r>
          </w:p>
        </w:tc>
      </w:tr>
      <w:tr w:rsidR="001C44E6" w:rsidRPr="00F14151" w14:paraId="377B6BBC" w14:textId="77777777">
        <w:tc>
          <w:tcPr>
            <w:tcW w:w="1050" w:type="dxa"/>
          </w:tcPr>
          <w:p w14:paraId="500D0F35" w14:textId="77777777" w:rsidR="001C44E6" w:rsidRPr="00F14151" w:rsidRDefault="001C44E6" w:rsidP="0023056C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&gt;</w:t>
            </w:r>
            <w:smartTag w:uri="urn:schemas-microsoft-com:office:smarttags" w:element="metricconverter">
              <w:smartTagPr>
                <w:attr w:name="ProductID" w:val="40ﾠkg"/>
              </w:smartTagPr>
              <w:r w:rsidRPr="00F14151">
                <w:rPr>
                  <w:sz w:val="22"/>
                  <w:szCs w:val="22"/>
                  <w:lang w:val="hu-HU"/>
                </w:rPr>
                <w:t>40</w:t>
              </w:r>
              <w:r w:rsidR="0023056C" w:rsidRPr="00F14151">
                <w:rPr>
                  <w:sz w:val="22"/>
                  <w:szCs w:val="22"/>
                  <w:lang w:val="hu-HU"/>
                </w:rPr>
                <w:t> </w:t>
              </w:r>
              <w:r w:rsidRPr="00F14151">
                <w:rPr>
                  <w:sz w:val="22"/>
                  <w:szCs w:val="22"/>
                  <w:lang w:val="hu-HU"/>
                </w:rPr>
                <w:t>kg</w:t>
              </w:r>
            </w:smartTag>
          </w:p>
        </w:tc>
        <w:tc>
          <w:tcPr>
            <w:tcW w:w="7755" w:type="dxa"/>
          </w:tcPr>
          <w:p w14:paraId="200D40CB" w14:textId="77777777" w:rsidR="001C44E6" w:rsidRPr="00F14151" w:rsidRDefault="001C44E6" w:rsidP="0023056C">
            <w:pPr>
              <w:autoSpaceDE w:val="0"/>
              <w:autoSpaceDN w:val="0"/>
              <w:adjustRightInd w:val="0"/>
              <w:spacing w:line="260" w:lineRule="exact"/>
              <w:rPr>
                <w:sz w:val="22"/>
                <w:szCs w:val="22"/>
                <w:lang w:val="hu-HU"/>
              </w:rPr>
            </w:pPr>
            <w:r w:rsidRPr="00F14151">
              <w:rPr>
                <w:sz w:val="22"/>
                <w:szCs w:val="22"/>
                <w:lang w:val="hu-HU"/>
              </w:rPr>
              <w:t>Két antibiotikummal kombinálva: 20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 xml:space="preserve">mg </w:t>
            </w:r>
            <w:r w:rsidR="005178D4" w:rsidRPr="00F14151">
              <w:rPr>
                <w:sz w:val="22"/>
                <w:szCs w:val="22"/>
                <w:lang w:val="hu-HU"/>
              </w:rPr>
              <w:t>omeprazol</w:t>
            </w:r>
            <w:r w:rsidRPr="00F14151">
              <w:rPr>
                <w:sz w:val="22"/>
                <w:szCs w:val="22"/>
                <w:lang w:val="hu-HU"/>
              </w:rPr>
              <w:t xml:space="preserve">, </w:t>
            </w:r>
            <w:smartTag w:uri="urn:schemas-microsoft-com:office:smarttags" w:element="metricconverter">
              <w:smartTagPr>
                <w:attr w:name="ProductID" w:val="1ﾠg"/>
              </w:smartTagPr>
              <w:r w:rsidRPr="00F14151">
                <w:rPr>
                  <w:sz w:val="22"/>
                  <w:szCs w:val="22"/>
                  <w:lang w:val="hu-HU"/>
                </w:rPr>
                <w:t>1</w:t>
              </w:r>
              <w:r w:rsidR="0023056C" w:rsidRPr="00F14151">
                <w:rPr>
                  <w:sz w:val="22"/>
                  <w:szCs w:val="22"/>
                  <w:lang w:val="hu-HU"/>
                </w:rPr>
                <w:t> </w:t>
              </w:r>
              <w:r w:rsidRPr="00F14151">
                <w:rPr>
                  <w:sz w:val="22"/>
                  <w:szCs w:val="22"/>
                  <w:lang w:val="hu-HU"/>
                </w:rPr>
                <w:t>g</w:t>
              </w:r>
            </w:smartTag>
            <w:r w:rsidRPr="00F14151">
              <w:rPr>
                <w:sz w:val="22"/>
                <w:szCs w:val="22"/>
                <w:lang w:val="hu-HU"/>
              </w:rPr>
              <w:t xml:space="preserve"> amoxicillin, és 500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>mg klaritromicin együtt adva, nap</w:t>
            </w:r>
            <w:r w:rsidR="008D3E1C" w:rsidRPr="00F14151">
              <w:rPr>
                <w:sz w:val="22"/>
                <w:szCs w:val="22"/>
                <w:lang w:val="hu-HU"/>
              </w:rPr>
              <w:t xml:space="preserve">onta </w:t>
            </w:r>
            <w:r w:rsidRPr="00F14151">
              <w:rPr>
                <w:sz w:val="22"/>
                <w:szCs w:val="22"/>
                <w:lang w:val="hu-HU"/>
              </w:rPr>
              <w:t>kétszer</w:t>
            </w:r>
            <w:r w:rsidR="008D3E1C" w:rsidRPr="00F14151">
              <w:rPr>
                <w:sz w:val="22"/>
                <w:szCs w:val="22"/>
                <w:lang w:val="hu-HU"/>
              </w:rPr>
              <w:t>,</w:t>
            </w:r>
            <w:r w:rsidRPr="00F14151">
              <w:rPr>
                <w:sz w:val="22"/>
                <w:szCs w:val="22"/>
                <w:lang w:val="hu-HU"/>
              </w:rPr>
              <w:t xml:space="preserve"> egy</w:t>
            </w:r>
            <w:r w:rsidR="0023056C" w:rsidRPr="00F14151">
              <w:rPr>
                <w:sz w:val="22"/>
                <w:szCs w:val="22"/>
                <w:lang w:val="hu-HU"/>
              </w:rPr>
              <w:t> </w:t>
            </w:r>
            <w:r w:rsidRPr="00F14151">
              <w:rPr>
                <w:sz w:val="22"/>
                <w:szCs w:val="22"/>
                <w:lang w:val="hu-HU"/>
              </w:rPr>
              <w:t xml:space="preserve">héten keresztül </w:t>
            </w:r>
          </w:p>
        </w:tc>
      </w:tr>
    </w:tbl>
    <w:p w14:paraId="14E0E9C9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375795F" w14:textId="77777777" w:rsidR="00D87752" w:rsidRPr="00F14151" w:rsidRDefault="003F5FE3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Különleges</w:t>
      </w:r>
      <w:r w:rsidRPr="00F14151">
        <w:rPr>
          <w:sz w:val="22"/>
          <w:szCs w:val="22"/>
          <w:u w:val="single"/>
          <w:lang w:val="hu-HU"/>
        </w:rPr>
        <w:t xml:space="preserve"> beteg</w:t>
      </w:r>
      <w:r>
        <w:rPr>
          <w:sz w:val="22"/>
          <w:szCs w:val="22"/>
          <w:u w:val="single"/>
          <w:lang w:val="hu-HU"/>
        </w:rPr>
        <w:t>csoportok</w:t>
      </w:r>
    </w:p>
    <w:p w14:paraId="1CBDF194" w14:textId="77777777" w:rsidR="008D3E1C" w:rsidRPr="00F14151" w:rsidRDefault="008D3E1C" w:rsidP="00667C1B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3DE979DB" w14:textId="77777777" w:rsidR="00FA4F40" w:rsidRPr="00F14151" w:rsidRDefault="005D24D7" w:rsidP="00977955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u w:val="single"/>
          <w:lang w:val="hu-HU"/>
        </w:rPr>
      </w:pPr>
      <w:r>
        <w:rPr>
          <w:iCs/>
          <w:sz w:val="22"/>
          <w:szCs w:val="22"/>
          <w:u w:val="single"/>
          <w:lang w:val="hu-HU"/>
        </w:rPr>
        <w:t>Vesekárosodás</w:t>
      </w:r>
    </w:p>
    <w:p w14:paraId="40F49E26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Károsodott vese</w:t>
      </w:r>
      <w:r w:rsidR="00E11B80">
        <w:rPr>
          <w:sz w:val="22"/>
          <w:szCs w:val="22"/>
          <w:lang w:val="hu-HU"/>
        </w:rPr>
        <w:t>működésű</w:t>
      </w:r>
      <w:r w:rsidRPr="00F14151">
        <w:rPr>
          <w:sz w:val="22"/>
          <w:szCs w:val="22"/>
          <w:lang w:val="hu-HU"/>
        </w:rPr>
        <w:t xml:space="preserve"> betegeknél a dózis módosítása nem szükséges (lásd 5.2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pont).</w:t>
      </w:r>
    </w:p>
    <w:p w14:paraId="0363FE9C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2E2B623E" w14:textId="77777777" w:rsidR="00FA4F40" w:rsidRPr="00F14151" w:rsidRDefault="005D24D7" w:rsidP="00977955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u w:val="single"/>
          <w:lang w:val="hu-HU"/>
        </w:rPr>
      </w:pPr>
      <w:r>
        <w:rPr>
          <w:iCs/>
          <w:sz w:val="22"/>
          <w:szCs w:val="22"/>
          <w:u w:val="single"/>
          <w:lang w:val="hu-HU"/>
        </w:rPr>
        <w:t>Májkárosodás</w:t>
      </w:r>
    </w:p>
    <w:p w14:paraId="5164A78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Károsodott májfunkciójú betegeknél a napi 10</w:t>
      </w:r>
      <w:r w:rsidR="0023056C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2</w:t>
      </w:r>
      <w:r w:rsidR="00115A35" w:rsidRPr="00F14151">
        <w:rPr>
          <w:sz w:val="22"/>
          <w:szCs w:val="22"/>
          <w:lang w:val="hu-HU"/>
        </w:rPr>
        <w:t>0</w:t>
      </w:r>
      <w:r w:rsidR="0023056C" w:rsidRPr="00F14151">
        <w:rPr>
          <w:sz w:val="22"/>
          <w:szCs w:val="22"/>
          <w:lang w:val="hu-HU"/>
        </w:rPr>
        <w:t> </w:t>
      </w:r>
      <w:r w:rsidR="00115A35" w:rsidRPr="00F14151">
        <w:rPr>
          <w:sz w:val="22"/>
          <w:szCs w:val="22"/>
          <w:lang w:val="hu-HU"/>
        </w:rPr>
        <w:t>mg-os dózis is elegendő lehet</w:t>
      </w:r>
      <w:r w:rsidRPr="00F14151">
        <w:rPr>
          <w:sz w:val="22"/>
          <w:szCs w:val="22"/>
          <w:lang w:val="hu-HU"/>
        </w:rPr>
        <w:t xml:space="preserve"> (lásd 5.2</w:t>
      </w:r>
      <w:r w:rsidR="0023056C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pont).</w:t>
      </w:r>
    </w:p>
    <w:p w14:paraId="1D7B0EE7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4F7843E" w14:textId="77777777" w:rsidR="00E13A0F" w:rsidRPr="00E13A0F" w:rsidRDefault="003F5FE3" w:rsidP="00667C1B">
      <w:pPr>
        <w:keepNext/>
        <w:suppressAutoHyphens/>
        <w:rPr>
          <w:i/>
          <w:sz w:val="22"/>
          <w:lang w:val="hu-HU"/>
        </w:rPr>
      </w:pPr>
      <w:r w:rsidRPr="00E13A0F">
        <w:rPr>
          <w:i/>
          <w:sz w:val="22"/>
          <w:lang w:val="hu-HU"/>
        </w:rPr>
        <w:t>Idős</w:t>
      </w:r>
      <w:r>
        <w:rPr>
          <w:i/>
          <w:sz w:val="22"/>
          <w:lang w:val="hu-HU"/>
        </w:rPr>
        <w:t>ek</w:t>
      </w:r>
      <w:r w:rsidRPr="00E13A0F">
        <w:rPr>
          <w:i/>
          <w:sz w:val="22"/>
          <w:lang w:val="hu-HU"/>
        </w:rPr>
        <w:t xml:space="preserve"> </w:t>
      </w:r>
      <w:r w:rsidR="00E13A0F" w:rsidRPr="00E13A0F">
        <w:rPr>
          <w:i/>
          <w:sz w:val="22"/>
          <w:lang w:val="hu-HU"/>
        </w:rPr>
        <w:t>(&gt;65</w:t>
      </w:r>
      <w:r w:rsidR="003B010B">
        <w:rPr>
          <w:i/>
          <w:sz w:val="22"/>
          <w:lang w:val="hu-HU"/>
        </w:rPr>
        <w:t> </w:t>
      </w:r>
      <w:r w:rsidR="00E13A0F" w:rsidRPr="00E13A0F">
        <w:rPr>
          <w:i/>
          <w:sz w:val="22"/>
          <w:lang w:val="hu-HU"/>
        </w:rPr>
        <w:t>évesek)</w:t>
      </w:r>
    </w:p>
    <w:p w14:paraId="76990D92" w14:textId="77777777" w:rsidR="00E13A0F" w:rsidRPr="00E13A0F" w:rsidRDefault="00E13A0F" w:rsidP="00E13A0F">
      <w:pPr>
        <w:suppressAutoHyphens/>
        <w:rPr>
          <w:sz w:val="22"/>
          <w:lang w:val="hu-HU"/>
        </w:rPr>
      </w:pPr>
      <w:r w:rsidRPr="00E13A0F">
        <w:rPr>
          <w:sz w:val="22"/>
          <w:lang w:val="hu-HU"/>
        </w:rPr>
        <w:t>Az idős betegek esetében nincsen szükség az adagolás módosítására (lásd 5.2</w:t>
      </w:r>
      <w:r w:rsidR="003B010B">
        <w:rPr>
          <w:sz w:val="22"/>
          <w:lang w:val="hu-HU"/>
        </w:rPr>
        <w:t> </w:t>
      </w:r>
      <w:r w:rsidRPr="00E13A0F">
        <w:rPr>
          <w:sz w:val="22"/>
          <w:lang w:val="hu-HU"/>
        </w:rPr>
        <w:t>pont).</w:t>
      </w:r>
    </w:p>
    <w:p w14:paraId="68AA8C14" w14:textId="77777777" w:rsidR="00E13A0F" w:rsidRDefault="00E13A0F" w:rsidP="00667C1B">
      <w:pPr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</w:p>
    <w:p w14:paraId="71CCC6C9" w14:textId="77777777" w:rsidR="00115A35" w:rsidRPr="00F14151" w:rsidRDefault="00115A35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lastRenderedPageBreak/>
        <w:t>Az alkalmazás módja</w:t>
      </w:r>
    </w:p>
    <w:p w14:paraId="57F2FFF5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</w:t>
      </w:r>
      <w:r w:rsidR="0036779D" w:rsidRPr="00F14151">
        <w:rPr>
          <w:sz w:val="22"/>
          <w:szCs w:val="22"/>
          <w:lang w:val="hu-HU"/>
        </w:rPr>
        <w:t>z</w:t>
      </w:r>
      <w:r w:rsidRPr="00F14151">
        <w:rPr>
          <w:sz w:val="22"/>
          <w:szCs w:val="22"/>
          <w:lang w:val="hu-HU"/>
        </w:rPr>
        <w:t xml:space="preserve"> </w:t>
      </w:r>
      <w:r w:rsidR="004C2F91">
        <w:rPr>
          <w:sz w:val="22"/>
          <w:szCs w:val="22"/>
          <w:lang w:val="hu-HU"/>
        </w:rPr>
        <w:t>Omeprazol-Teva</w:t>
      </w:r>
      <w:r w:rsidR="0036779D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kapszulá</w:t>
      </w:r>
      <w:r w:rsidR="00115A35" w:rsidRPr="00F14151">
        <w:rPr>
          <w:sz w:val="22"/>
          <w:szCs w:val="22"/>
          <w:lang w:val="hu-HU"/>
        </w:rPr>
        <w:t>ka</w:t>
      </w:r>
      <w:r w:rsidRPr="00F14151">
        <w:rPr>
          <w:sz w:val="22"/>
          <w:szCs w:val="22"/>
          <w:lang w:val="hu-HU"/>
        </w:rPr>
        <w:t xml:space="preserve">t javasolt </w:t>
      </w:r>
      <w:smartTag w:uri="urn:schemas-microsoft-com:office:smarttags" w:element="time">
        <w:smartTagPr>
          <w:attr w:name="Minute" w:val="0"/>
          <w:attr w:name="Hour" w:val="9"/>
        </w:smartTagPr>
        <w:r w:rsidRPr="00F14151">
          <w:rPr>
            <w:sz w:val="22"/>
            <w:szCs w:val="22"/>
            <w:lang w:val="hu-HU"/>
          </w:rPr>
          <w:t>reggel,</w:t>
        </w:r>
      </w:smartTag>
      <w:r w:rsidRPr="00F14151">
        <w:rPr>
          <w:sz w:val="22"/>
          <w:szCs w:val="22"/>
          <w:lang w:val="hu-HU"/>
        </w:rPr>
        <w:t xml:space="preserve"> lehetőleg éhgyomorra, egészben, fél pohár vízzel bevenni. A</w:t>
      </w:r>
      <w:r w:rsidR="00EC0AA0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kapszulákat nem szabad szétrágni vagy összetörni.</w:t>
      </w:r>
    </w:p>
    <w:p w14:paraId="20524C6C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104A8CBA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Nyelési</w:t>
      </w:r>
      <w:r w:rsidR="00115A35" w:rsidRPr="00F14151">
        <w:rPr>
          <w:i/>
          <w:iCs/>
          <w:sz w:val="22"/>
          <w:szCs w:val="22"/>
          <w:lang w:val="hu-HU"/>
        </w:rPr>
        <w:t xml:space="preserve"> nehézségekkel küzdő betegeknek</w:t>
      </w:r>
      <w:r w:rsidRPr="00F14151">
        <w:rPr>
          <w:i/>
          <w:iCs/>
          <w:sz w:val="22"/>
          <w:szCs w:val="22"/>
          <w:lang w:val="hu-HU"/>
        </w:rPr>
        <w:t xml:space="preserve"> és gyermekeknek, akik folyadékot vagy félig szilárd</w:t>
      </w:r>
      <w:r w:rsidR="005178D4" w:rsidRPr="00F14151">
        <w:rPr>
          <w:i/>
          <w:iCs/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>táplálékot már tudnak fogyasztani</w:t>
      </w:r>
    </w:p>
    <w:p w14:paraId="1705659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beteg szét tudja nyitni a kapszulát és annak tartalmát fél pohár vízben, vagy enyhén savas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folyadékban pl. gyümölcslében, almapürében vagy szénsavmentes ásványvízben elkeverve is beveheti.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beteg figyelmét fel kell hívni arra, hogy a diszperziót azonnal (vagy 30</w:t>
      </w:r>
      <w:r w:rsidR="0036779D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percen belül) </w:t>
      </w:r>
      <w:r w:rsidR="00115A35" w:rsidRPr="00F14151">
        <w:rPr>
          <w:sz w:val="22"/>
          <w:szCs w:val="22"/>
          <w:lang w:val="hu-HU"/>
        </w:rPr>
        <w:t>be kell venni</w:t>
      </w:r>
      <w:r w:rsidRPr="00F14151">
        <w:rPr>
          <w:sz w:val="22"/>
          <w:szCs w:val="22"/>
          <w:lang w:val="hu-HU"/>
        </w:rPr>
        <w:t>, továbbá, hogy a diszperziót közvetlenül a bevétel előtt mindig fel kell keverni, majd egy</w:t>
      </w:r>
      <w:r w:rsidR="005178D4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fél pohár vízzel leöblíteni.</w:t>
      </w:r>
    </w:p>
    <w:p w14:paraId="4517C154" w14:textId="77777777" w:rsidR="00FA4F40" w:rsidRPr="00F14151" w:rsidRDefault="00115A35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Ennek alternatívájaként</w:t>
      </w:r>
      <w:r w:rsidR="00FA4F40" w:rsidRPr="00F14151">
        <w:rPr>
          <w:sz w:val="22"/>
          <w:szCs w:val="22"/>
          <w:lang w:val="hu-HU"/>
        </w:rPr>
        <w:t xml:space="preserve"> a </w:t>
      </w:r>
      <w:r w:rsidRPr="00F14151">
        <w:rPr>
          <w:sz w:val="22"/>
          <w:szCs w:val="22"/>
          <w:lang w:val="hu-HU"/>
        </w:rPr>
        <w:t xml:space="preserve">beteg elszopogathatja a kapszulát, és a </w:t>
      </w:r>
      <w:r w:rsidR="00FA4F40" w:rsidRPr="00F14151">
        <w:rPr>
          <w:sz w:val="22"/>
          <w:szCs w:val="22"/>
          <w:lang w:val="hu-HU"/>
        </w:rPr>
        <w:t>benne levő pelleteke</w:t>
      </w:r>
      <w:r w:rsidRPr="00F14151">
        <w:rPr>
          <w:sz w:val="22"/>
          <w:szCs w:val="22"/>
          <w:lang w:val="hu-HU"/>
        </w:rPr>
        <w:t>t fél pohár vízzel lenyelheti</w:t>
      </w:r>
      <w:r w:rsidR="00FA4F40" w:rsidRPr="00F14151">
        <w:rPr>
          <w:sz w:val="22"/>
          <w:szCs w:val="22"/>
          <w:lang w:val="hu-HU"/>
        </w:rPr>
        <w:t>. A bélben</w:t>
      </w:r>
      <w:r w:rsidR="005178D4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oldódó pelleteket nem szabad szétrágni.</w:t>
      </w:r>
    </w:p>
    <w:p w14:paraId="3B607B13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7F5E4D48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4.3</w:t>
      </w:r>
      <w:r w:rsidRPr="00F14151">
        <w:rPr>
          <w:b/>
          <w:bCs/>
          <w:sz w:val="22"/>
          <w:szCs w:val="22"/>
          <w:lang w:val="hu-HU"/>
        </w:rPr>
        <w:tab/>
        <w:t>Ellenjavallatok</w:t>
      </w:r>
    </w:p>
    <w:p w14:paraId="5FC7CB00" w14:textId="77777777" w:rsidR="001C44E6" w:rsidRPr="00F14151" w:rsidRDefault="001C44E6" w:rsidP="005D4A97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0EC3A4FB" w14:textId="77777777" w:rsidR="00FA4F40" w:rsidRPr="00F14151" w:rsidRDefault="001056B9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hatóanyaggal</w:t>
      </w:r>
      <w:r w:rsidR="00FA4F40" w:rsidRPr="00F14151">
        <w:rPr>
          <w:sz w:val="22"/>
          <w:szCs w:val="22"/>
          <w:lang w:val="hu-HU"/>
        </w:rPr>
        <w:t>, szubsztituált benzimidazol</w:t>
      </w:r>
      <w:r w:rsidR="009B4586" w:rsidRPr="00F14151">
        <w:rPr>
          <w:sz w:val="22"/>
          <w:szCs w:val="22"/>
          <w:lang w:val="hu-HU"/>
        </w:rPr>
        <w:t>okk</w:t>
      </w:r>
      <w:r w:rsidR="00FA4F40" w:rsidRPr="00F14151">
        <w:rPr>
          <w:sz w:val="22"/>
          <w:szCs w:val="22"/>
          <w:lang w:val="hu-HU"/>
        </w:rPr>
        <w:t xml:space="preserve">al vagy a készítmény </w:t>
      </w:r>
      <w:r w:rsidR="00E13A0F" w:rsidRPr="00E13A0F">
        <w:rPr>
          <w:sz w:val="22"/>
          <w:szCs w:val="22"/>
        </w:rPr>
        <w:t>6.1 pontban felsorolt</w:t>
      </w:r>
      <w:r w:rsidR="00E13A0F" w:rsidRPr="00B351FB">
        <w:t xml:space="preserve"> </w:t>
      </w:r>
      <w:r w:rsidR="00FA4F40" w:rsidRPr="00F14151">
        <w:rPr>
          <w:sz w:val="22"/>
          <w:szCs w:val="22"/>
          <w:lang w:val="hu-HU"/>
        </w:rPr>
        <w:t>bármely segédanyagával szembeni</w:t>
      </w:r>
      <w:r w:rsidR="001C44E6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túlérzékenység.</w:t>
      </w:r>
    </w:p>
    <w:p w14:paraId="029CECD5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9364AF8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omeprazol, a többi proto</w:t>
      </w:r>
      <w:r w:rsidR="00115A35" w:rsidRPr="00F14151">
        <w:rPr>
          <w:sz w:val="22"/>
          <w:szCs w:val="22"/>
          <w:lang w:val="hu-HU"/>
        </w:rPr>
        <w:t>npumpa-gátlóhoz (PPI) hasonlóan</w:t>
      </w:r>
      <w:r w:rsidRPr="00F14151">
        <w:rPr>
          <w:sz w:val="22"/>
          <w:szCs w:val="22"/>
          <w:lang w:val="hu-HU"/>
        </w:rPr>
        <w:t xml:space="preserve"> </w:t>
      </w:r>
      <w:r w:rsidR="00115A35" w:rsidRPr="00F14151">
        <w:rPr>
          <w:sz w:val="22"/>
          <w:szCs w:val="22"/>
          <w:lang w:val="hu-HU"/>
        </w:rPr>
        <w:t>nem adható együtt nelfinavirral</w:t>
      </w:r>
      <w:r w:rsidRPr="00F14151">
        <w:rPr>
          <w:sz w:val="22"/>
          <w:szCs w:val="22"/>
          <w:lang w:val="hu-HU"/>
        </w:rPr>
        <w:t xml:space="preserve"> (lásd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4.5</w:t>
      </w:r>
      <w:r w:rsidR="009B458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</w:t>
      </w:r>
      <w:r w:rsidR="009B4586" w:rsidRPr="00F14151">
        <w:rPr>
          <w:sz w:val="22"/>
          <w:szCs w:val="22"/>
          <w:lang w:val="hu-HU"/>
        </w:rPr>
        <w:t>.</w:t>
      </w:r>
    </w:p>
    <w:p w14:paraId="12E6F0A7" w14:textId="77777777" w:rsidR="004214B9" w:rsidRPr="00F14151" w:rsidRDefault="004214B9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40AAF801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4.4</w:t>
      </w:r>
      <w:r w:rsidRPr="00F14151">
        <w:rPr>
          <w:b/>
          <w:bCs/>
          <w:sz w:val="22"/>
          <w:szCs w:val="22"/>
          <w:lang w:val="hu-HU"/>
        </w:rPr>
        <w:tab/>
        <w:t>Különleges figyelmeztetések és az alkalmazással kapcsolatos óvintézkedések</w:t>
      </w:r>
    </w:p>
    <w:p w14:paraId="79F9272F" w14:textId="77777777" w:rsidR="001C44E6" w:rsidRPr="00F14151" w:rsidRDefault="001C44E6" w:rsidP="005D4A97">
      <w:pPr>
        <w:keepNext/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</w:p>
    <w:p w14:paraId="66613AB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Bármilyen figyelmeztető tünet felléptekor (pl. </w:t>
      </w:r>
      <w:r w:rsidR="00BE514D" w:rsidRPr="00F14151">
        <w:rPr>
          <w:sz w:val="22"/>
          <w:szCs w:val="22"/>
          <w:lang w:val="hu-HU"/>
        </w:rPr>
        <w:t>jelentős mértékű</w:t>
      </w:r>
      <w:r w:rsidRPr="00F14151">
        <w:rPr>
          <w:sz w:val="22"/>
          <w:szCs w:val="22"/>
          <w:lang w:val="hu-HU"/>
        </w:rPr>
        <w:t>, nem szándékos fogyás, visszatérő hányás,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dysphagia, haematemesis vagy melaena) és gyomorfekély gyanúja esetén vagy annak jelenlétekor a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malignitást ki kell zárni, mivel a kezelés elfedheti a tüneteket</w:t>
      </w:r>
      <w:r w:rsidR="00BE514D" w:rsidRPr="00F14151">
        <w:rPr>
          <w:sz w:val="22"/>
          <w:szCs w:val="22"/>
          <w:lang w:val="hu-HU"/>
        </w:rPr>
        <w:t>,</w:t>
      </w:r>
      <w:r w:rsidRPr="00F14151">
        <w:rPr>
          <w:sz w:val="22"/>
          <w:szCs w:val="22"/>
          <w:lang w:val="hu-HU"/>
        </w:rPr>
        <w:t xml:space="preserve"> késleltetve így a diagnózist.</w:t>
      </w:r>
    </w:p>
    <w:p w14:paraId="3B15ABFC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973BCE9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atazanavir protonpumpa-gátlókkal történő együttes alkalmazása nem javasolt (lásd 4.5</w:t>
      </w:r>
      <w:r w:rsidR="009B458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pont).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Amennyiben atazanavir és protonpumpa-gátló együttes alkalmazása megítélés szerint mégis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szükségszerű, szoros klinikai megfigyelés (pl. a szervezetben található vírusszint) javasolt 400</w:t>
      </w:r>
      <w:r w:rsidR="009B458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mg-ra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emelt atazanavir dózis és 100</w:t>
      </w:r>
      <w:r w:rsidR="009B458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ritonavir kombináció alkalmazása mellett; a 20</w:t>
      </w:r>
      <w:r w:rsidR="009B458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mg-os omeprazol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dózist nem szabad túllépni.</w:t>
      </w:r>
    </w:p>
    <w:p w14:paraId="782312BA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49272D6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Mint bármely savtermelést gátló gyógyszer, úgy az omeprazol is csökkentheti a B</w:t>
      </w:r>
      <w:r w:rsidRPr="00F14151">
        <w:rPr>
          <w:sz w:val="22"/>
          <w:szCs w:val="22"/>
          <w:vertAlign w:val="subscript"/>
          <w:lang w:val="hu-HU"/>
        </w:rPr>
        <w:t>12</w:t>
      </w:r>
      <w:r w:rsidR="00270EC4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vitamin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(cianokobalamin) felszívódását, </w:t>
      </w:r>
      <w:r w:rsidR="00BE514D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melynek oka a csökkent gyomorsavtermelés, illetve annak teljes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hiánya. Ezt figyelembe kell venni azoknál a betegeknél, akiknek a szervezetében csökkent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mennyiségben raktározódik a B</w:t>
      </w:r>
      <w:r w:rsidRPr="00F14151">
        <w:rPr>
          <w:sz w:val="22"/>
          <w:szCs w:val="22"/>
          <w:vertAlign w:val="subscript"/>
          <w:lang w:val="hu-HU"/>
        </w:rPr>
        <w:t>12</w:t>
      </w:r>
      <w:r w:rsidR="00270EC4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 xml:space="preserve">vitamin, illetve akiknél fennállnak olyan </w:t>
      </w:r>
      <w:r w:rsidR="00BE514D" w:rsidRPr="00F14151">
        <w:rPr>
          <w:sz w:val="22"/>
          <w:szCs w:val="22"/>
          <w:lang w:val="hu-HU"/>
        </w:rPr>
        <w:t>kockázati tényezők</w:t>
      </w:r>
      <w:r w:rsidRPr="00F14151">
        <w:rPr>
          <w:sz w:val="22"/>
          <w:szCs w:val="22"/>
          <w:lang w:val="hu-HU"/>
        </w:rPr>
        <w:t xml:space="preserve">, </w:t>
      </w:r>
      <w:r w:rsidR="00BE514D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melyek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következtében a hosszútávú terápia során a B</w:t>
      </w:r>
      <w:r w:rsidRPr="00F14151">
        <w:rPr>
          <w:sz w:val="22"/>
          <w:szCs w:val="22"/>
          <w:vertAlign w:val="subscript"/>
          <w:lang w:val="hu-HU"/>
        </w:rPr>
        <w:t>12</w:t>
      </w:r>
      <w:r w:rsidR="00270EC4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vitamin felszívódása nem megfelelő.</w:t>
      </w:r>
    </w:p>
    <w:p w14:paraId="314C72F4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CE2D42E" w14:textId="46BC6720" w:rsidR="001C44E6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egy CYP2C19 inhibitor. Az omeprazollal történő kezelés megkezdésekor és</w:t>
      </w:r>
      <w:r w:rsidR="001C44E6" w:rsidRPr="00F14151">
        <w:rPr>
          <w:sz w:val="22"/>
          <w:szCs w:val="22"/>
          <w:lang w:val="hu-HU"/>
        </w:rPr>
        <w:t xml:space="preserve"> </w:t>
      </w:r>
      <w:r w:rsidR="00BE514D" w:rsidRPr="00F14151">
        <w:rPr>
          <w:sz w:val="22"/>
          <w:szCs w:val="22"/>
          <w:lang w:val="hu-HU"/>
        </w:rPr>
        <w:t>befejezésekor</w:t>
      </w:r>
      <w:r w:rsidRPr="00F14151">
        <w:rPr>
          <w:sz w:val="22"/>
          <w:szCs w:val="22"/>
          <w:lang w:val="hu-HU"/>
        </w:rPr>
        <w:t xml:space="preserve"> a CYP2C19 enzim</w:t>
      </w:r>
      <w:r w:rsidR="00BE514D" w:rsidRPr="00F14151">
        <w:rPr>
          <w:sz w:val="22"/>
          <w:szCs w:val="22"/>
          <w:lang w:val="hu-HU"/>
        </w:rPr>
        <w:t xml:space="preserve"> közreműködésével </w:t>
      </w:r>
      <w:r w:rsidRPr="00F14151">
        <w:rPr>
          <w:sz w:val="22"/>
          <w:szCs w:val="22"/>
          <w:lang w:val="hu-HU"/>
        </w:rPr>
        <w:t>metabolizálódó gyógyszerekkel lehetséges interakciókat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figyelembe kell venni. Az omeprazol és a klopidogr</w:t>
      </w:r>
      <w:r w:rsidR="00947EF3">
        <w:rPr>
          <w:sz w:val="22"/>
          <w:szCs w:val="22"/>
          <w:lang w:val="hu-HU"/>
        </w:rPr>
        <w:t>e</w:t>
      </w:r>
      <w:r w:rsidRPr="00F14151">
        <w:rPr>
          <w:sz w:val="22"/>
          <w:szCs w:val="22"/>
          <w:lang w:val="hu-HU"/>
        </w:rPr>
        <w:t>l között gyógyszer-interakció kialakulását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figyelték meg (lásd 4.5</w:t>
      </w:r>
      <w:r w:rsidR="00761DD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pont). Ennek az interakciónak a klinikai jelentősége még nem tisztázott.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Elővigyázatosságból, az omeprazol és a </w:t>
      </w:r>
      <w:r w:rsidR="00947EF3">
        <w:rPr>
          <w:sz w:val="22"/>
          <w:szCs w:val="22"/>
          <w:lang w:val="hu-HU"/>
        </w:rPr>
        <w:t>klopidorel</w:t>
      </w:r>
      <w:r w:rsidRPr="00F14151">
        <w:rPr>
          <w:sz w:val="22"/>
          <w:szCs w:val="22"/>
          <w:lang w:val="hu-HU"/>
        </w:rPr>
        <w:t xml:space="preserve"> együttadása nem javasolt.</w:t>
      </w:r>
    </w:p>
    <w:p w14:paraId="04F2C4E0" w14:textId="77777777" w:rsidR="00BA153E" w:rsidRPr="00F14151" w:rsidRDefault="00BA153E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07788E2" w14:textId="77777777" w:rsidR="00210E08" w:rsidRPr="00F14151" w:rsidRDefault="00210E08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legalább 3</w:t>
      </w:r>
      <w:r w:rsidR="00496E28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hónapon, és a legtöbb esetben egy</w:t>
      </w:r>
      <w:r w:rsidR="00496E28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 xml:space="preserve">éven keresztül protonpumpa-gátlókkal, mint például omeprazollal kezelt betegekben súlyos </w:t>
      </w:r>
      <w:r w:rsidR="00715C5B" w:rsidRPr="00F14151">
        <w:rPr>
          <w:sz w:val="22"/>
          <w:szCs w:val="22"/>
          <w:lang w:val="hu-HU"/>
        </w:rPr>
        <w:t>hypomagnesaemiá</w:t>
      </w:r>
      <w:r w:rsidRPr="00F14151">
        <w:rPr>
          <w:sz w:val="22"/>
          <w:szCs w:val="22"/>
          <w:lang w:val="hu-HU"/>
        </w:rPr>
        <w:t xml:space="preserve">ról számoltak be. A </w:t>
      </w:r>
      <w:r w:rsidR="00715C5B" w:rsidRPr="00F14151">
        <w:rPr>
          <w:sz w:val="22"/>
          <w:szCs w:val="22"/>
          <w:lang w:val="hu-HU"/>
        </w:rPr>
        <w:t>hypomagnesaemia</w:t>
      </w:r>
      <w:r w:rsidRPr="00F14151">
        <w:rPr>
          <w:sz w:val="22"/>
          <w:szCs w:val="22"/>
          <w:lang w:val="hu-HU"/>
        </w:rPr>
        <w:t xml:space="preserve"> olyan súlyos tünetekkel jelentkezhet, mint például kimerültség, tetánia, delírium, konvulzió, szédülés, kamrai ritmuszavar, mely tünetek gyakran észrevétlenül kezdődnek és eleinte figyelmen kívül hagyják őket. A legtöbb érintett betegben a </w:t>
      </w:r>
      <w:r w:rsidR="00715C5B" w:rsidRPr="00F14151">
        <w:rPr>
          <w:sz w:val="22"/>
          <w:szCs w:val="22"/>
          <w:lang w:val="hu-HU"/>
        </w:rPr>
        <w:t>hypomagnesaemia</w:t>
      </w:r>
      <w:r w:rsidRPr="00F14151">
        <w:rPr>
          <w:sz w:val="22"/>
          <w:szCs w:val="22"/>
          <w:lang w:val="hu-HU"/>
        </w:rPr>
        <w:t xml:space="preserve"> javult a magnéziumpótló terápia, és a protonpumpa-gátlókkal való kezelés abbahagyása hatására.</w:t>
      </w:r>
    </w:p>
    <w:p w14:paraId="34CB3931" w14:textId="77777777" w:rsidR="000D22F0" w:rsidRDefault="000D22F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35DE6A3" w14:textId="77777777" w:rsidR="00210E08" w:rsidRDefault="00210E08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Az orvosnak fontolóra kell venni a magnéziumszint ellenőrzését a kezelés megkezdése előtt és rendszeres időközönként a kezelés során azoknál a betegeknél, akik várhatóan hosszú távú </w:t>
      </w:r>
      <w:r w:rsidRPr="00F14151">
        <w:rPr>
          <w:sz w:val="22"/>
          <w:szCs w:val="22"/>
          <w:lang w:val="hu-HU"/>
        </w:rPr>
        <w:lastRenderedPageBreak/>
        <w:t xml:space="preserve">protonpumpa-gátló terápiában részesülnek, vagy egyidejűleg digoxint, vagy olyan gyógyszereket szednek, melyek </w:t>
      </w:r>
      <w:r w:rsidR="001D30D9" w:rsidRPr="00F14151">
        <w:rPr>
          <w:sz w:val="22"/>
          <w:szCs w:val="22"/>
          <w:lang w:val="hu-HU"/>
        </w:rPr>
        <w:t>hypomagnesaemiá</w:t>
      </w:r>
      <w:r w:rsidRPr="00F14151">
        <w:rPr>
          <w:sz w:val="22"/>
          <w:szCs w:val="22"/>
          <w:lang w:val="hu-HU"/>
        </w:rPr>
        <w:t>t okozhatnak (pl.: diuretikumok).</w:t>
      </w:r>
    </w:p>
    <w:p w14:paraId="7465F33F" w14:textId="77777777" w:rsidR="000D22F0" w:rsidRDefault="000D22F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631B7CB" w14:textId="77777777" w:rsidR="00B94956" w:rsidRDefault="00B94956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B94956">
        <w:rPr>
          <w:sz w:val="22"/>
          <w:szCs w:val="22"/>
          <w:lang w:val="hu-HU"/>
        </w:rPr>
        <w:t>Ritkán, illetve nagyon ritkán súlyos bőrreakciókat (SCAR), beleértve a Stevens−Johnson-szindrómát (SJS), toxikus epidermális nekrolízist (TEN), gyógyszerreakció</w:t>
      </w:r>
      <w:r w:rsidR="00877002">
        <w:rPr>
          <w:sz w:val="22"/>
          <w:szCs w:val="22"/>
          <w:lang w:val="hu-HU"/>
        </w:rPr>
        <w:t>t</w:t>
      </w:r>
      <w:r w:rsidRPr="00B94956">
        <w:rPr>
          <w:sz w:val="22"/>
          <w:szCs w:val="22"/>
          <w:lang w:val="hu-HU"/>
        </w:rPr>
        <w:t xml:space="preserve"> eosinophiliával és szisztémás panaszokkal (DRESS) és acut generalizált exanthemás pustulosis (AGEP) jelentettek omeprazol-kezeléssel összefüggésben, amelyek életveszélyesek vagy halálosak lehetnek.</w:t>
      </w:r>
    </w:p>
    <w:p w14:paraId="3C649C9F" w14:textId="77777777" w:rsidR="00B94956" w:rsidRDefault="00B94956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AD94A3D" w14:textId="77777777" w:rsidR="000D22F0" w:rsidRPr="00F14151" w:rsidRDefault="000D22F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protonpumpa-gátlók - főként nagy adagok és hosszú távú alkalmazás során (több mint 1 év) mérsékelten növelhetik a csípő-, csukló- és gerinctörések kockázatát, főként idősekben, vagy olyan</w:t>
      </w:r>
      <w:r w:rsidR="00840FFA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betegeknél, akiknél egyéb ismert kockázati tényezők is fennállnak. Megfigyeléses vizsgálatok szerint a protonpumpa-gátlók 10</w:t>
      </w:r>
      <w:r w:rsidRPr="00F14151">
        <w:rPr>
          <w:sz w:val="22"/>
          <w:szCs w:val="22"/>
          <w:lang w:val="hu-HU"/>
        </w:rPr>
        <w:noBreakHyphen/>
        <w:t>40%-kal növelik meg a törések kockázatát. A kockázatnövekedéshez részben egyéb kockázati tényezők is hozzájárulhatnak. Az oszteoporózis kockázatának kitett betegek az érvényes klinikai irányelveknek megfelelő ellátásban, valamint megfelelő D-vitamin és kalcium bevitelben kell részesüljenek.</w:t>
      </w:r>
    </w:p>
    <w:p w14:paraId="7D01F520" w14:textId="77777777" w:rsidR="000D22F0" w:rsidRDefault="000D22F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F25CD47" w14:textId="77777777" w:rsidR="00FD5488" w:rsidRPr="00667C1B" w:rsidRDefault="00FD5488" w:rsidP="00C27EA3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u w:val="single"/>
          <w:lang w:val="hu-HU"/>
        </w:rPr>
      </w:pPr>
      <w:r w:rsidRPr="00667C1B">
        <w:rPr>
          <w:i/>
          <w:sz w:val="22"/>
          <w:szCs w:val="22"/>
          <w:u w:val="single"/>
          <w:lang w:val="hu-HU"/>
        </w:rPr>
        <w:t>Suba</w:t>
      </w:r>
      <w:r w:rsidR="00631D06">
        <w:rPr>
          <w:i/>
          <w:sz w:val="22"/>
          <w:szCs w:val="22"/>
          <w:u w:val="single"/>
          <w:lang w:val="hu-HU"/>
        </w:rPr>
        <w:t>c</w:t>
      </w:r>
      <w:r w:rsidRPr="00667C1B">
        <w:rPr>
          <w:i/>
          <w:sz w:val="22"/>
          <w:szCs w:val="22"/>
          <w:u w:val="single"/>
          <w:lang w:val="hu-HU"/>
        </w:rPr>
        <w:t>ut</w:t>
      </w:r>
      <w:r w:rsidR="00631D06">
        <w:rPr>
          <w:i/>
          <w:sz w:val="22"/>
          <w:szCs w:val="22"/>
          <w:u w:val="single"/>
          <w:lang w:val="hu-HU"/>
        </w:rPr>
        <w:t xml:space="preserve"> cutan</w:t>
      </w:r>
      <w:r w:rsidRPr="00667C1B">
        <w:rPr>
          <w:i/>
          <w:sz w:val="22"/>
          <w:szCs w:val="22"/>
          <w:u w:val="single"/>
          <w:lang w:val="hu-HU"/>
        </w:rPr>
        <w:t xml:space="preserve"> lupus er</w:t>
      </w:r>
      <w:r w:rsidR="00B44E73">
        <w:rPr>
          <w:i/>
          <w:sz w:val="22"/>
          <w:szCs w:val="22"/>
          <w:u w:val="single"/>
          <w:lang w:val="hu-HU"/>
        </w:rPr>
        <w:t>y</w:t>
      </w:r>
      <w:r w:rsidRPr="00667C1B">
        <w:rPr>
          <w:i/>
          <w:sz w:val="22"/>
          <w:szCs w:val="22"/>
          <w:u w:val="single"/>
          <w:lang w:val="hu-HU"/>
        </w:rPr>
        <w:t>t</w:t>
      </w:r>
      <w:r w:rsidR="00B44E73">
        <w:rPr>
          <w:i/>
          <w:sz w:val="22"/>
          <w:szCs w:val="22"/>
          <w:u w:val="single"/>
          <w:lang w:val="hu-HU"/>
        </w:rPr>
        <w:t>h</w:t>
      </w:r>
      <w:r w:rsidRPr="00667C1B">
        <w:rPr>
          <w:i/>
          <w:sz w:val="22"/>
          <w:szCs w:val="22"/>
          <w:u w:val="single"/>
          <w:lang w:val="hu-HU"/>
        </w:rPr>
        <w:t>emat</w:t>
      </w:r>
      <w:r w:rsidR="00B44E73">
        <w:rPr>
          <w:i/>
          <w:sz w:val="22"/>
          <w:szCs w:val="22"/>
          <w:u w:val="single"/>
          <w:lang w:val="hu-HU"/>
        </w:rPr>
        <w:t>os</w:t>
      </w:r>
      <w:r w:rsidRPr="00667C1B">
        <w:rPr>
          <w:i/>
          <w:sz w:val="22"/>
          <w:szCs w:val="22"/>
          <w:u w:val="single"/>
          <w:lang w:val="hu-HU"/>
        </w:rPr>
        <w:t>us (SCLE)</w:t>
      </w:r>
    </w:p>
    <w:p w14:paraId="7840F1FC" w14:textId="08094D69" w:rsidR="00FD5488" w:rsidRDefault="00FD5488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D5488">
        <w:rPr>
          <w:sz w:val="22"/>
          <w:szCs w:val="22"/>
          <w:lang w:val="hu-HU"/>
        </w:rPr>
        <w:t>A protonpumpa</w:t>
      </w:r>
      <w:r w:rsidR="00631D06">
        <w:rPr>
          <w:sz w:val="22"/>
          <w:szCs w:val="22"/>
          <w:lang w:val="hu-HU"/>
        </w:rPr>
        <w:t>-</w:t>
      </w:r>
      <w:r w:rsidRPr="00FD5488">
        <w:rPr>
          <w:sz w:val="22"/>
          <w:szCs w:val="22"/>
          <w:lang w:val="hu-HU"/>
        </w:rPr>
        <w:t xml:space="preserve">gátlók használata nagyon ritkán kapcsolatba hozható SCLE esetekkel. Elváltozások esetén, különösen ha ez a bőr napnak kitett területén van, valamint ha ízületi fájdalommal társul, sürgősen orvoshoz kell </w:t>
      </w:r>
      <w:r>
        <w:rPr>
          <w:sz w:val="22"/>
          <w:szCs w:val="22"/>
          <w:lang w:val="hu-HU"/>
        </w:rPr>
        <w:t xml:space="preserve">fordulni és meg kell fontolni az </w:t>
      </w:r>
      <w:r w:rsidR="00B94956">
        <w:rPr>
          <w:sz w:val="22"/>
          <w:szCs w:val="22"/>
          <w:lang w:val="hu-HU"/>
        </w:rPr>
        <w:t>o</w:t>
      </w:r>
      <w:r>
        <w:rPr>
          <w:sz w:val="22"/>
          <w:szCs w:val="22"/>
          <w:lang w:val="hu-HU"/>
        </w:rPr>
        <w:t>meprazo</w:t>
      </w:r>
      <w:r w:rsidR="00877002">
        <w:rPr>
          <w:sz w:val="22"/>
          <w:szCs w:val="22"/>
          <w:lang w:val="hu-HU"/>
        </w:rPr>
        <w:t>l</w:t>
      </w:r>
      <w:r w:rsidRPr="00FD5488">
        <w:rPr>
          <w:sz w:val="22"/>
          <w:szCs w:val="22"/>
          <w:lang w:val="hu-HU"/>
        </w:rPr>
        <w:t xml:space="preserve"> adagolásának leállítását. Az SCLE előfordulása valamely protonpumpa</w:t>
      </w:r>
      <w:r w:rsidR="00631D06">
        <w:rPr>
          <w:sz w:val="22"/>
          <w:szCs w:val="22"/>
          <w:lang w:val="hu-HU"/>
        </w:rPr>
        <w:t>-</w:t>
      </w:r>
      <w:r w:rsidRPr="00FD5488">
        <w:rPr>
          <w:sz w:val="22"/>
          <w:szCs w:val="22"/>
          <w:lang w:val="hu-HU"/>
        </w:rPr>
        <w:t>gátlóval történő korábbi kezelés esetén növelheti az SCLE esélyét más protonpumpa</w:t>
      </w:r>
      <w:r w:rsidR="00631D06">
        <w:rPr>
          <w:sz w:val="22"/>
          <w:szCs w:val="22"/>
          <w:lang w:val="hu-HU"/>
        </w:rPr>
        <w:t>-</w:t>
      </w:r>
      <w:r w:rsidRPr="00FD5488">
        <w:rPr>
          <w:sz w:val="22"/>
          <w:szCs w:val="22"/>
          <w:lang w:val="hu-HU"/>
        </w:rPr>
        <w:t>gátlók használata esetén is.</w:t>
      </w:r>
    </w:p>
    <w:p w14:paraId="6E903E8A" w14:textId="77777777" w:rsidR="00FD5488" w:rsidRPr="00F14151" w:rsidRDefault="00FD5488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EBC26D9" w14:textId="77777777" w:rsidR="00B05EDA" w:rsidRPr="00B05EDA" w:rsidRDefault="00B05EDA" w:rsidP="00B05EDA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u w:val="single"/>
          <w:lang w:val="hu-HU"/>
        </w:rPr>
      </w:pPr>
      <w:r w:rsidRPr="00B05EDA">
        <w:rPr>
          <w:i/>
          <w:sz w:val="22"/>
          <w:szCs w:val="22"/>
          <w:u w:val="single"/>
          <w:lang w:val="hu-HU"/>
        </w:rPr>
        <w:t>Vesekárosodás</w:t>
      </w:r>
    </w:p>
    <w:p w14:paraId="032B3046" w14:textId="77777777" w:rsidR="00B05EDA" w:rsidRPr="000308A6" w:rsidRDefault="00B05EDA" w:rsidP="00B05EDA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  <w:r w:rsidRPr="000308A6">
        <w:rPr>
          <w:iCs/>
          <w:sz w:val="22"/>
          <w:szCs w:val="22"/>
          <w:lang w:val="hu-HU"/>
        </w:rPr>
        <w:t>Omeprazolt szedő betegeknél akut tubulointerstitialis nephritist (TIN) figyeltek meg, amely bármikor előfordulhat az omeprazol-kezelés folyamán (4.8 pont). Az akut tubulointerstitialis nephritis veseelégtelenségbe progrediálhat.</w:t>
      </w:r>
    </w:p>
    <w:p w14:paraId="2AE78DF3" w14:textId="77777777" w:rsidR="00B05EDA" w:rsidRPr="000308A6" w:rsidRDefault="00B05EDA" w:rsidP="00B05EDA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  <w:r w:rsidRPr="000308A6">
        <w:rPr>
          <w:iCs/>
          <w:sz w:val="22"/>
          <w:szCs w:val="22"/>
          <w:lang w:val="hu-HU"/>
        </w:rPr>
        <w:t>TIN gyanúja esetén az omeprazol alkalmazását le kell állítani, és haladéktalanul megfelelő kezelést kell indítani.</w:t>
      </w:r>
    </w:p>
    <w:p w14:paraId="103D76AE" w14:textId="77777777" w:rsidR="00B05EDA" w:rsidRDefault="00B05EDA" w:rsidP="00B05EDA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u w:val="single"/>
          <w:lang w:val="hu-HU"/>
        </w:rPr>
      </w:pPr>
    </w:p>
    <w:p w14:paraId="20FE9BB3" w14:textId="77777777" w:rsidR="000D22F0" w:rsidRPr="00F14151" w:rsidRDefault="000D22F0" w:rsidP="00B05EDA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u w:val="single"/>
          <w:lang w:val="hu-HU"/>
        </w:rPr>
      </w:pPr>
      <w:r w:rsidRPr="00F14151">
        <w:rPr>
          <w:i/>
          <w:sz w:val="22"/>
          <w:szCs w:val="22"/>
          <w:u w:val="single"/>
          <w:lang w:val="hu-HU"/>
        </w:rPr>
        <w:t>Laboratóriumi vizsgálatokkal való kölcsönhatás</w:t>
      </w:r>
    </w:p>
    <w:p w14:paraId="62A7D520" w14:textId="3AF2B8FE" w:rsidR="00BE1F35" w:rsidRPr="00C27EA3" w:rsidRDefault="000D22F0" w:rsidP="00BE1F35">
      <w:pPr>
        <w:pStyle w:val="BodytextAgency"/>
        <w:rPr>
          <w:rFonts w:ascii="Times New Roman" w:hAnsi="Times New Roman" w:cs="Times New Roman"/>
          <w:sz w:val="22"/>
          <w:szCs w:val="22"/>
        </w:rPr>
      </w:pPr>
      <w:r w:rsidRPr="00C27EA3">
        <w:rPr>
          <w:rFonts w:ascii="Times New Roman" w:hAnsi="Times New Roman" w:cs="Times New Roman"/>
          <w:sz w:val="22"/>
          <w:szCs w:val="22"/>
        </w:rPr>
        <w:t xml:space="preserve">A megnövekedett </w:t>
      </w:r>
      <w:r w:rsidR="00840FFA" w:rsidRPr="00C27EA3">
        <w:rPr>
          <w:rFonts w:ascii="Times New Roman" w:hAnsi="Times New Roman" w:cs="Times New Roman"/>
          <w:sz w:val="22"/>
          <w:szCs w:val="22"/>
        </w:rPr>
        <w:t>kromogranin</w:t>
      </w:r>
      <w:r w:rsidR="00BE1F35" w:rsidRPr="00C27EA3">
        <w:rPr>
          <w:rFonts w:ascii="Times New Roman" w:hAnsi="Times New Roman" w:cs="Times New Roman"/>
          <w:sz w:val="22"/>
          <w:szCs w:val="22"/>
        </w:rPr>
        <w:t>-</w:t>
      </w:r>
      <w:r w:rsidR="00840FFA" w:rsidRPr="00C27EA3">
        <w:rPr>
          <w:rFonts w:ascii="Times New Roman" w:hAnsi="Times New Roman" w:cs="Times New Roman"/>
          <w:sz w:val="22"/>
          <w:szCs w:val="22"/>
        </w:rPr>
        <w:t>A (</w:t>
      </w:r>
      <w:r w:rsidRPr="00C27EA3">
        <w:rPr>
          <w:rFonts w:ascii="Times New Roman" w:hAnsi="Times New Roman" w:cs="Times New Roman"/>
          <w:sz w:val="22"/>
          <w:szCs w:val="22"/>
        </w:rPr>
        <w:t>CgA</w:t>
      </w:r>
      <w:r w:rsidR="00840FFA" w:rsidRPr="00C27EA3">
        <w:rPr>
          <w:rFonts w:ascii="Times New Roman" w:hAnsi="Times New Roman" w:cs="Times New Roman"/>
          <w:sz w:val="22"/>
          <w:szCs w:val="22"/>
        </w:rPr>
        <w:t>)</w:t>
      </w:r>
      <w:r w:rsidRPr="00C27EA3">
        <w:rPr>
          <w:rFonts w:ascii="Times New Roman" w:hAnsi="Times New Roman" w:cs="Times New Roman"/>
          <w:sz w:val="22"/>
          <w:szCs w:val="22"/>
        </w:rPr>
        <w:t xml:space="preserve"> szint zavarhatja a neuroendokrin tumorok </w:t>
      </w:r>
      <w:r w:rsidR="00BE1F35" w:rsidRPr="00C27EA3">
        <w:rPr>
          <w:rFonts w:ascii="Times New Roman" w:hAnsi="Times New Roman" w:cs="Times New Roman"/>
          <w:sz w:val="22"/>
          <w:szCs w:val="22"/>
        </w:rPr>
        <w:t>vizsgálatait</w:t>
      </w:r>
      <w:r w:rsidRPr="00C27EA3">
        <w:rPr>
          <w:rFonts w:ascii="Times New Roman" w:hAnsi="Times New Roman" w:cs="Times New Roman"/>
          <w:sz w:val="22"/>
          <w:szCs w:val="22"/>
        </w:rPr>
        <w:t xml:space="preserve">. </w:t>
      </w:r>
      <w:r w:rsidR="00BE1F35" w:rsidRPr="00C27EA3">
        <w:rPr>
          <w:rFonts w:ascii="Times New Roman" w:hAnsi="Times New Roman" w:cs="Times New Roman"/>
          <w:sz w:val="22"/>
          <w:szCs w:val="22"/>
        </w:rPr>
        <w:t>Ezen kölcsönhatások elkerülése érdekében</w:t>
      </w:r>
      <w:r w:rsidR="00E11B80" w:rsidRPr="00C27EA3">
        <w:rPr>
          <w:rFonts w:ascii="Times New Roman" w:hAnsi="Times New Roman" w:cs="Times New Roman"/>
          <w:sz w:val="22"/>
          <w:szCs w:val="22"/>
        </w:rPr>
        <w:t xml:space="preserve"> az </w:t>
      </w:r>
      <w:r w:rsidR="00B94956">
        <w:rPr>
          <w:rFonts w:ascii="Times New Roman" w:hAnsi="Times New Roman" w:cs="Times New Roman"/>
          <w:sz w:val="22"/>
          <w:szCs w:val="22"/>
        </w:rPr>
        <w:t>o</w:t>
      </w:r>
      <w:r w:rsidR="00B94956" w:rsidRPr="00C27EA3">
        <w:rPr>
          <w:rFonts w:ascii="Times New Roman" w:hAnsi="Times New Roman" w:cs="Times New Roman"/>
          <w:sz w:val="22"/>
          <w:szCs w:val="22"/>
        </w:rPr>
        <w:t>meprazol</w:t>
      </w:r>
      <w:r w:rsidR="00E11B80" w:rsidRPr="00C27EA3">
        <w:rPr>
          <w:rFonts w:ascii="Times New Roman" w:hAnsi="Times New Roman" w:cs="Times New Roman"/>
          <w:sz w:val="22"/>
          <w:szCs w:val="22"/>
        </w:rPr>
        <w:t xml:space="preserve">-kezelést legalább 5 nappal a </w:t>
      </w:r>
      <w:r w:rsidR="00BE1F35" w:rsidRPr="00C27EA3">
        <w:rPr>
          <w:rFonts w:ascii="Times New Roman" w:hAnsi="Times New Roman" w:cs="Times New Roman"/>
          <w:sz w:val="22"/>
          <w:szCs w:val="22"/>
        </w:rPr>
        <w:t>a CgA mérés előtt fel kell függeszteni (lásd 5.1 pont). Amennyiben a CgA és gasztrin szintek az eredeti mérés után nem térnek vissza a referencia tartományba, a proton pumpa gátló kezelés felfüggesztése után 14</w:t>
      </w:r>
      <w:r w:rsidR="00877002">
        <w:rPr>
          <w:rFonts w:ascii="Times New Roman" w:hAnsi="Times New Roman" w:cs="Times New Roman"/>
          <w:sz w:val="22"/>
          <w:szCs w:val="22"/>
        </w:rPr>
        <w:t> </w:t>
      </w:r>
      <w:r w:rsidR="00BE1F35" w:rsidRPr="00C27EA3">
        <w:rPr>
          <w:rFonts w:ascii="Times New Roman" w:hAnsi="Times New Roman" w:cs="Times New Roman"/>
          <w:sz w:val="22"/>
          <w:szCs w:val="22"/>
        </w:rPr>
        <w:t>nappal meg kell ismételni a mérést.</w:t>
      </w:r>
    </w:p>
    <w:p w14:paraId="5BA8282E" w14:textId="77777777" w:rsidR="000D22F0" w:rsidRPr="00F14151" w:rsidRDefault="000D22F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Néhány krónikus betegségben szenvedő gyermek esetében hosszú távú kezelés válhat szükségessé, amely azonban nem javasolt.</w:t>
      </w:r>
    </w:p>
    <w:p w14:paraId="5D1A5AB4" w14:textId="77777777" w:rsidR="000D22F0" w:rsidRPr="00F14151" w:rsidRDefault="000D22F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7169E1B" w14:textId="77777777" w:rsidR="000D22F0" w:rsidRPr="00F14151" w:rsidRDefault="000D22F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 protonpumpa-gátlókkal végzett kezelés kismértékben növelheti bizonyos gastrointestinális fertőzések, mint pl. a </w:t>
      </w:r>
      <w:r w:rsidRPr="00F14151">
        <w:rPr>
          <w:i/>
          <w:iCs/>
          <w:sz w:val="22"/>
          <w:szCs w:val="22"/>
          <w:lang w:val="hu-HU"/>
        </w:rPr>
        <w:t xml:space="preserve">Salmonella </w:t>
      </w:r>
      <w:r w:rsidRPr="00F14151">
        <w:rPr>
          <w:sz w:val="22"/>
          <w:szCs w:val="22"/>
          <w:lang w:val="hu-HU"/>
        </w:rPr>
        <w:t xml:space="preserve">vagy a </w:t>
      </w:r>
      <w:r w:rsidRPr="00F14151">
        <w:rPr>
          <w:i/>
          <w:iCs/>
          <w:sz w:val="22"/>
          <w:szCs w:val="22"/>
          <w:lang w:val="hu-HU"/>
        </w:rPr>
        <w:t xml:space="preserve">Campylobacter </w:t>
      </w:r>
      <w:r w:rsidRPr="00F14151">
        <w:rPr>
          <w:sz w:val="22"/>
          <w:szCs w:val="22"/>
          <w:lang w:val="hu-HU"/>
        </w:rPr>
        <w:t>fertőzés kockázatát</w:t>
      </w:r>
      <w:r w:rsidR="00CF3BB0" w:rsidRPr="00CF3BB0">
        <w:rPr>
          <w:sz w:val="22"/>
          <w:szCs w:val="22"/>
          <w:lang w:val="hu-HU"/>
        </w:rPr>
        <w:t xml:space="preserve">, és a kórházi ellátásban részesülő betegeknél esetleg a </w:t>
      </w:r>
      <w:r w:rsidR="00CF3BB0" w:rsidRPr="00910CFC">
        <w:rPr>
          <w:i/>
          <w:sz w:val="22"/>
          <w:szCs w:val="22"/>
          <w:lang w:val="hu-HU"/>
        </w:rPr>
        <w:t>Clostridium difficile</w:t>
      </w:r>
      <w:r w:rsidR="00CF3BB0" w:rsidRPr="00CF3BB0">
        <w:rPr>
          <w:sz w:val="22"/>
          <w:szCs w:val="22"/>
          <w:lang w:val="hu-HU"/>
        </w:rPr>
        <w:t xml:space="preserve"> fertőzés kockázatát is</w:t>
      </w:r>
      <w:r w:rsidRPr="00F14151">
        <w:rPr>
          <w:sz w:val="22"/>
          <w:szCs w:val="22"/>
          <w:lang w:val="hu-HU"/>
        </w:rPr>
        <w:t xml:space="preserve"> (lásd 5.1 pont).</w:t>
      </w:r>
    </w:p>
    <w:p w14:paraId="19BC4F2C" w14:textId="77777777" w:rsidR="000D22F0" w:rsidRDefault="000D22F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8360AE5" w14:textId="77777777" w:rsidR="000D22F0" w:rsidRDefault="000D22F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Bármely hosszútávú kezelés esetén, különösképpen, ha annak időtartama meghaladja az 1 évet, a beteget rendszeres, szoros megfigyelés alatt kell tartani.</w:t>
      </w:r>
    </w:p>
    <w:p w14:paraId="7C4CF111" w14:textId="77777777" w:rsidR="00CF3BB0" w:rsidRPr="00F14151" w:rsidRDefault="00CF3BB0" w:rsidP="000D22F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EC91F60" w14:textId="77777777" w:rsidR="00210E08" w:rsidRPr="00910CFC" w:rsidRDefault="00CF3BB0" w:rsidP="00D63DC6">
      <w:pPr>
        <w:autoSpaceDE w:val="0"/>
        <w:autoSpaceDN w:val="0"/>
        <w:adjustRightInd w:val="0"/>
        <w:spacing w:line="260" w:lineRule="exact"/>
        <w:rPr>
          <w:i/>
          <w:sz w:val="22"/>
          <w:szCs w:val="22"/>
          <w:u w:val="single"/>
          <w:lang w:val="hu-HU"/>
        </w:rPr>
      </w:pPr>
      <w:r w:rsidRPr="00910CFC">
        <w:rPr>
          <w:i/>
          <w:sz w:val="22"/>
          <w:szCs w:val="22"/>
          <w:u w:val="single"/>
          <w:lang w:val="hu-HU"/>
        </w:rPr>
        <w:t>Szacharóz</w:t>
      </w:r>
    </w:p>
    <w:p w14:paraId="74C565A3" w14:textId="77777777" w:rsidR="00BA153E" w:rsidRPr="00F14151" w:rsidRDefault="00E11B8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Omeprazol-Teva</w:t>
      </w:r>
      <w:r w:rsidR="00210E08" w:rsidRPr="00F14151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kapszula </w:t>
      </w:r>
      <w:r w:rsidR="00210E08" w:rsidRPr="00F14151">
        <w:rPr>
          <w:sz w:val="22"/>
          <w:szCs w:val="22"/>
          <w:lang w:val="hu-HU"/>
        </w:rPr>
        <w:t xml:space="preserve">szacharózt </w:t>
      </w:r>
      <w:r w:rsidR="00BA153E" w:rsidRPr="00F14151">
        <w:rPr>
          <w:sz w:val="22"/>
          <w:szCs w:val="22"/>
          <w:lang w:val="hu-HU"/>
        </w:rPr>
        <w:t xml:space="preserve">tartalmaz. </w:t>
      </w:r>
      <w:r w:rsidR="00210E08" w:rsidRPr="00F14151">
        <w:rPr>
          <w:sz w:val="22"/>
          <w:szCs w:val="22"/>
          <w:lang w:val="hu-HU"/>
        </w:rPr>
        <w:t>Ritkán előforduló, örökletes fruktózintoleranciában, glükóz</w:t>
      </w:r>
      <w:r w:rsidR="00270EC4">
        <w:rPr>
          <w:sz w:val="22"/>
          <w:szCs w:val="22"/>
          <w:lang w:val="hu-HU"/>
        </w:rPr>
        <w:noBreakHyphen/>
      </w:r>
      <w:r w:rsidR="00210E08" w:rsidRPr="00F14151">
        <w:rPr>
          <w:sz w:val="22"/>
          <w:szCs w:val="22"/>
          <w:lang w:val="hu-HU"/>
        </w:rPr>
        <w:t>galaktóz malabszorpcióban vagy szacharáz-izomaltázhiányban a készítmény nem szedhető.</w:t>
      </w:r>
    </w:p>
    <w:p w14:paraId="53D90E28" w14:textId="77777777" w:rsidR="001C44E6" w:rsidRDefault="001C44E6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4900FCC2" w14:textId="77777777" w:rsidR="00CF3BB0" w:rsidRPr="00910CFC" w:rsidRDefault="00CF3BB0" w:rsidP="00D63DC6">
      <w:pPr>
        <w:autoSpaceDE w:val="0"/>
        <w:autoSpaceDN w:val="0"/>
        <w:adjustRightInd w:val="0"/>
        <w:spacing w:line="260" w:lineRule="exact"/>
        <w:rPr>
          <w:bCs/>
          <w:i/>
          <w:sz w:val="22"/>
          <w:szCs w:val="22"/>
          <w:u w:val="single"/>
          <w:lang w:val="hu-HU"/>
        </w:rPr>
      </w:pPr>
      <w:r w:rsidRPr="00910CFC">
        <w:rPr>
          <w:bCs/>
          <w:i/>
          <w:sz w:val="22"/>
          <w:szCs w:val="22"/>
          <w:u w:val="single"/>
          <w:lang w:val="hu-HU"/>
        </w:rPr>
        <w:t>Nátrium</w:t>
      </w:r>
    </w:p>
    <w:p w14:paraId="45ED6B5A" w14:textId="0CAFB78D" w:rsidR="00CF3BB0" w:rsidRPr="00910CFC" w:rsidRDefault="00CF3BB0" w:rsidP="00D63DC6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910CFC">
        <w:rPr>
          <w:bCs/>
          <w:sz w:val="22"/>
          <w:szCs w:val="22"/>
          <w:lang w:val="hu-HU"/>
        </w:rPr>
        <w:t>Ez a gyógyszer kevesebb mint 1 mmol (23 mg) per adag nátriumot tartalmaz, azaz gyakorlatilag nátriummentes.</w:t>
      </w:r>
    </w:p>
    <w:p w14:paraId="403C4379" w14:textId="77777777" w:rsidR="00CF3BB0" w:rsidRPr="00F14151" w:rsidRDefault="00CF3BB0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62F54263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lastRenderedPageBreak/>
        <w:t>4.5</w:t>
      </w:r>
      <w:r w:rsidRPr="00F14151">
        <w:rPr>
          <w:b/>
          <w:bCs/>
          <w:sz w:val="22"/>
          <w:szCs w:val="22"/>
          <w:lang w:val="hu-HU"/>
        </w:rPr>
        <w:tab/>
        <w:t>Gyógyszerkölcsönhatások és egyéb interakciók</w:t>
      </w:r>
    </w:p>
    <w:p w14:paraId="7600AA1A" w14:textId="77777777" w:rsidR="001C44E6" w:rsidRPr="005D4A97" w:rsidRDefault="001C44E6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128A94FE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Az omeprazol hatása más hatóanyagok farmakokinetikájára</w:t>
      </w:r>
    </w:p>
    <w:p w14:paraId="69829D54" w14:textId="77777777" w:rsidR="001C44E6" w:rsidRPr="00F14151" w:rsidRDefault="001C44E6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52DA7D2D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u w:val="single"/>
          <w:lang w:val="hu-HU"/>
        </w:rPr>
      </w:pPr>
      <w:r w:rsidRPr="00F14151">
        <w:rPr>
          <w:i/>
          <w:iCs/>
          <w:sz w:val="22"/>
          <w:szCs w:val="22"/>
          <w:u w:val="single"/>
          <w:lang w:val="hu-HU"/>
        </w:rPr>
        <w:t>A pH függvényében felszívódó hatóanyagok</w:t>
      </w:r>
    </w:p>
    <w:p w14:paraId="23010323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omeprazol-kezelés ideje alatt lecsökkent intragasztrikus aciditás miatt, a pH függvényében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felszívódó hatóanyagok abszorpciója növekedhet, vagy csökkenhet.</w:t>
      </w:r>
    </w:p>
    <w:p w14:paraId="78E21CBE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1575ACB9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Nelfinavir, atazanavir</w:t>
      </w:r>
    </w:p>
    <w:p w14:paraId="5E6FE6E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nelfinavir és az atazanavir plazmakoncentrációja omeprazollal történő együttes alkalmazáskor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csökken.</w:t>
      </w:r>
    </w:p>
    <w:p w14:paraId="05F9565B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97283E6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omeprazolnak a nelfinavirral történő együttadása ellenjavallt (lásd 4.3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pont).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(napi 40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mg) együttadásakor a nelfinavir átlag</w:t>
      </w:r>
      <w:r w:rsidR="00945763" w:rsidRPr="00F14151">
        <w:rPr>
          <w:sz w:val="22"/>
          <w:szCs w:val="22"/>
          <w:lang w:val="hu-HU"/>
        </w:rPr>
        <w:t>os</w:t>
      </w:r>
      <w:r w:rsidRPr="00F14151">
        <w:rPr>
          <w:sz w:val="22"/>
          <w:szCs w:val="22"/>
          <w:lang w:val="hu-HU"/>
        </w:rPr>
        <w:t xml:space="preserve"> expozíciója kb. 40%-kal, továbbá a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farmakológiai szempontból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aktív M8 metabolitjának átlag</w:t>
      </w:r>
      <w:r w:rsidR="00945763" w:rsidRPr="00F14151">
        <w:rPr>
          <w:sz w:val="22"/>
          <w:szCs w:val="22"/>
          <w:lang w:val="hu-HU"/>
        </w:rPr>
        <w:t>os</w:t>
      </w:r>
      <w:r w:rsidRPr="00F14151">
        <w:rPr>
          <w:sz w:val="22"/>
          <w:szCs w:val="22"/>
          <w:lang w:val="hu-HU"/>
        </w:rPr>
        <w:t xml:space="preserve"> expozíciója 75</w:t>
      </w:r>
      <w:r w:rsidR="005A3101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90%-kal csökkent. Az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interakcióban a CYP2C19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inhibició is szerepet játszhat.</w:t>
      </w:r>
    </w:p>
    <w:p w14:paraId="493AFA27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69B7DB6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és az atazanavir együttes alkalmazása nem javasolt (lásd 4.4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pont).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Egészséges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önkéntesekben az omeprazolt (naponta egyszer 40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mg) 300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atazanavir/100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ritonavirral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együttadva, az atazanavir expozíciója 75%-kal csökkent. Az atazanavir adagjának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növelése 400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mg-ig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nem kompenzálta az omeprazolnak az atazanavir expozíciójára gyakorolt hatását.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Egészséges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önkénteseknél (napi 20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mg) omeprazol és 400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atazanavir/100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 ritonavir együttes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alkalmazása az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atazanavir expozíció mintegy 30%-os csökkenését eredményezte, a napi 300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atazanavir/100</w:t>
      </w:r>
      <w:r w:rsidR="005A3101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ritonavir alkalmazása mellett megfigyelt expozícióhoz viszonyítva.</w:t>
      </w:r>
    </w:p>
    <w:p w14:paraId="46329D43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1EC7EDC8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Digoxin</w:t>
      </w:r>
    </w:p>
    <w:p w14:paraId="76F9CE58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Omeprazol (napi 20</w:t>
      </w:r>
      <w:r w:rsidR="00743D8A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mg) és digoxin, egészséges alanyokban történő együttes alkalmazásakor a digoxin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biohasznosulása 10%-kal megemelkedett. Digoxin okozta toxikus hatásról ritkán számoltak be.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Azonban idős betegeknél, az omeprazol nagy dózisokban történő alkalmazásakor elővigyázatosság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szükséges. Ilyen esetekben a digoxin terápiás gyógyszerszint-monitorozását kell bevezetni.</w:t>
      </w:r>
    </w:p>
    <w:p w14:paraId="686E0B1D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0AD4F32" w14:textId="4C215671" w:rsidR="00FA4F40" w:rsidRPr="00F14151" w:rsidRDefault="00947EF3" w:rsidP="00977955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Klopidorel</w:t>
      </w:r>
    </w:p>
    <w:p w14:paraId="73C40E13" w14:textId="6E218193" w:rsidR="00E11B80" w:rsidRPr="00AE4B53" w:rsidRDefault="00E11B80" w:rsidP="00E11B8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E4B53">
        <w:rPr>
          <w:sz w:val="22"/>
          <w:szCs w:val="22"/>
          <w:lang w:val="hu-HU"/>
        </w:rPr>
        <w:t xml:space="preserve">Egészséges </w:t>
      </w:r>
      <w:r>
        <w:rPr>
          <w:sz w:val="22"/>
          <w:szCs w:val="22"/>
          <w:lang w:val="hu-HU"/>
        </w:rPr>
        <w:t>önkéntesekkel</w:t>
      </w:r>
      <w:r w:rsidRPr="00AE4B53">
        <w:rPr>
          <w:sz w:val="22"/>
          <w:szCs w:val="22"/>
          <w:lang w:val="hu-HU"/>
        </w:rPr>
        <w:t xml:space="preserve"> végzett vizsgálatok eredményei farmakokinetikai/farmakodinámiás kölcsönhatást mutattak a </w:t>
      </w:r>
      <w:r w:rsidR="00947EF3">
        <w:rPr>
          <w:sz w:val="22"/>
          <w:szCs w:val="22"/>
          <w:lang w:val="hu-HU"/>
        </w:rPr>
        <w:t>klopidorel</w:t>
      </w:r>
      <w:r w:rsidRPr="00AE4B53">
        <w:rPr>
          <w:sz w:val="22"/>
          <w:szCs w:val="22"/>
          <w:lang w:val="hu-HU"/>
        </w:rPr>
        <w:t xml:space="preserve"> (300</w:t>
      </w:r>
      <w:r>
        <w:rPr>
          <w:sz w:val="22"/>
          <w:szCs w:val="22"/>
          <w:lang w:val="hu-HU"/>
        </w:rPr>
        <w:t> </w:t>
      </w:r>
      <w:r w:rsidRPr="00AE4B53">
        <w:rPr>
          <w:sz w:val="22"/>
          <w:szCs w:val="22"/>
          <w:lang w:val="hu-HU"/>
        </w:rPr>
        <w:t>mg</w:t>
      </w:r>
      <w:r>
        <w:rPr>
          <w:sz w:val="22"/>
          <w:szCs w:val="22"/>
          <w:lang w:val="hu-HU"/>
        </w:rPr>
        <w:t>-</w:t>
      </w:r>
      <w:r w:rsidRPr="00AE4B53">
        <w:rPr>
          <w:sz w:val="22"/>
          <w:szCs w:val="22"/>
          <w:lang w:val="hu-HU"/>
        </w:rPr>
        <w:t>os telítő dózis/75</w:t>
      </w:r>
      <w:r>
        <w:rPr>
          <w:sz w:val="22"/>
          <w:szCs w:val="22"/>
          <w:lang w:val="hu-HU"/>
        </w:rPr>
        <w:t> mg-</w:t>
      </w:r>
      <w:r w:rsidRPr="00AE4B53">
        <w:rPr>
          <w:sz w:val="22"/>
          <w:szCs w:val="22"/>
          <w:lang w:val="hu-HU"/>
        </w:rPr>
        <w:t>os napi fenntartó dózis) és az omeprazol (napi 80</w:t>
      </w:r>
      <w:r>
        <w:rPr>
          <w:sz w:val="22"/>
          <w:szCs w:val="22"/>
          <w:lang w:val="hu-HU"/>
        </w:rPr>
        <w:t> </w:t>
      </w:r>
      <w:r w:rsidRPr="00AE4B53">
        <w:rPr>
          <w:sz w:val="22"/>
          <w:szCs w:val="22"/>
          <w:lang w:val="hu-HU"/>
        </w:rPr>
        <w:t xml:space="preserve">mg per os) között, ami a </w:t>
      </w:r>
      <w:r w:rsidR="00947EF3">
        <w:rPr>
          <w:sz w:val="22"/>
          <w:szCs w:val="22"/>
          <w:lang w:val="hu-HU"/>
        </w:rPr>
        <w:t>klopidorel</w:t>
      </w:r>
      <w:r w:rsidRPr="00AE4B53">
        <w:rPr>
          <w:sz w:val="22"/>
          <w:szCs w:val="22"/>
          <w:lang w:val="hu-HU"/>
        </w:rPr>
        <w:t xml:space="preserve"> aktív metabolitj</w:t>
      </w:r>
      <w:r>
        <w:rPr>
          <w:sz w:val="22"/>
          <w:szCs w:val="22"/>
          <w:lang w:val="hu-HU"/>
        </w:rPr>
        <w:t>a expozíciójának átlagosan 46%-</w:t>
      </w:r>
      <w:r w:rsidRPr="00AE4B53">
        <w:rPr>
          <w:sz w:val="22"/>
          <w:szCs w:val="22"/>
          <w:lang w:val="hu-HU"/>
        </w:rPr>
        <w:t>os csök</w:t>
      </w:r>
      <w:r>
        <w:rPr>
          <w:sz w:val="22"/>
          <w:szCs w:val="22"/>
          <w:lang w:val="hu-HU"/>
        </w:rPr>
        <w:t>kenését, valamint a thrombocyta-</w:t>
      </w:r>
      <w:r w:rsidRPr="00AE4B53">
        <w:rPr>
          <w:sz w:val="22"/>
          <w:szCs w:val="22"/>
          <w:lang w:val="hu-HU"/>
        </w:rPr>
        <w:t>aggregáció maximális gátlásán</w:t>
      </w:r>
      <w:r>
        <w:rPr>
          <w:sz w:val="22"/>
          <w:szCs w:val="22"/>
          <w:lang w:val="hu-HU"/>
        </w:rPr>
        <w:t>ak (ADP indukált) átlagosan 16%-</w:t>
      </w:r>
      <w:r w:rsidRPr="00AE4B53">
        <w:rPr>
          <w:sz w:val="22"/>
          <w:szCs w:val="22"/>
          <w:lang w:val="hu-HU"/>
        </w:rPr>
        <w:t>os csökkenését eredményezte.</w:t>
      </w:r>
    </w:p>
    <w:p w14:paraId="435CD1BC" w14:textId="77777777" w:rsidR="00E11B80" w:rsidRDefault="00E11B80" w:rsidP="00E11B8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E4B53">
        <w:rPr>
          <w:sz w:val="22"/>
          <w:szCs w:val="22"/>
          <w:lang w:val="hu-HU"/>
        </w:rPr>
        <w:t xml:space="preserve">Ellentmondásos adatokat jelentettek mind az obszervációs, mind a klinikai vizsgálatok eredményeképpen az omeprazol farmakokinetikai/farmakodinámiás interakciójának a major cardiovascularis eseményekre gyakorolt klinikai hatásáról. </w:t>
      </w:r>
    </w:p>
    <w:p w14:paraId="5AE6E340" w14:textId="1674D459" w:rsidR="00E11B80" w:rsidRDefault="00E11B80" w:rsidP="00E11B8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E4B53">
        <w:rPr>
          <w:sz w:val="22"/>
          <w:szCs w:val="22"/>
          <w:lang w:val="hu-HU"/>
        </w:rPr>
        <w:t xml:space="preserve">Elővigyázatosságból az omeprazol és a </w:t>
      </w:r>
      <w:r w:rsidR="00947EF3">
        <w:rPr>
          <w:sz w:val="22"/>
          <w:szCs w:val="22"/>
          <w:lang w:val="hu-HU"/>
        </w:rPr>
        <w:t>klopidorel</w:t>
      </w:r>
      <w:r w:rsidRPr="00AE4B53">
        <w:rPr>
          <w:sz w:val="22"/>
          <w:szCs w:val="22"/>
          <w:lang w:val="hu-HU"/>
        </w:rPr>
        <w:t xml:space="preserve"> együttadása nem javasolt (lásd 4.4</w:t>
      </w:r>
      <w:r w:rsidR="00784D2A">
        <w:rPr>
          <w:sz w:val="22"/>
          <w:szCs w:val="22"/>
          <w:lang w:val="hu-HU"/>
        </w:rPr>
        <w:t> </w:t>
      </w:r>
      <w:r w:rsidRPr="00AE4B53">
        <w:rPr>
          <w:sz w:val="22"/>
          <w:szCs w:val="22"/>
          <w:lang w:val="hu-HU"/>
        </w:rPr>
        <w:t>pont).</w:t>
      </w:r>
    </w:p>
    <w:p w14:paraId="66A8F2CD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7A779988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Egyéb hatóanyagok</w:t>
      </w:r>
    </w:p>
    <w:p w14:paraId="5949E84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poszakonazol, az erlotinib, a ketokonazol, és az itrakonazol felszívódása jelentősen csökkent, és ílymódon a klinikai hatásosság gyengülhet. A poszakonazollal és az erlotinibbel történő együttes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alkalmazást kerülni kell.</w:t>
      </w:r>
    </w:p>
    <w:p w14:paraId="0361890D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4FD3583E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u w:val="single"/>
          <w:lang w:val="hu-HU"/>
        </w:rPr>
      </w:pPr>
      <w:r w:rsidRPr="00F14151">
        <w:rPr>
          <w:i/>
          <w:iCs/>
          <w:sz w:val="22"/>
          <w:szCs w:val="22"/>
          <w:u w:val="single"/>
          <w:lang w:val="hu-HU"/>
        </w:rPr>
        <w:t>A CYP2C19 enzim által metabolizált hatóanyagok</w:t>
      </w:r>
    </w:p>
    <w:p w14:paraId="79ED15EA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Az omeprazol közepes mértékben gátolja a CYP2C19 aktivitását, </w:t>
      </w:r>
      <w:r w:rsidR="00DA0DB2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 az omeprazol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metabolizmusában fő szerepet játszik. Így, a szintén a CYP2C19 enzim által metabolizált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hatóanyagokkal történő együttadáskor azok metabolizmusa lelassulhat, és szisztémás expozíciójuk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megnövekedh</w:t>
      </w:r>
      <w:r w:rsidR="00DA0DB2" w:rsidRPr="00F14151">
        <w:rPr>
          <w:sz w:val="22"/>
          <w:szCs w:val="22"/>
          <w:lang w:val="hu-HU"/>
        </w:rPr>
        <w:t>et. Ilyen gyógyszerkészítmények</w:t>
      </w:r>
      <w:r w:rsidRPr="00F14151">
        <w:rPr>
          <w:sz w:val="22"/>
          <w:szCs w:val="22"/>
          <w:lang w:val="hu-HU"/>
        </w:rPr>
        <w:t xml:space="preserve"> pl. az R</w:t>
      </w:r>
      <w:r w:rsidR="00044DA2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warfarin, valamint az egyéb K-vitamin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antagonisták, a cilosztazol, a diazepam és a fenitoin.</w:t>
      </w:r>
    </w:p>
    <w:p w14:paraId="176EB895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0DABE84D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lastRenderedPageBreak/>
        <w:t>Cilosztazol</w:t>
      </w:r>
    </w:p>
    <w:p w14:paraId="16FB7FFB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Egy keresztezett vizsgálatban, egészséges alanyoknak 40</w:t>
      </w:r>
      <w:r w:rsidR="00044DA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DA0DB2" w:rsidRPr="00F14151">
        <w:rPr>
          <w:sz w:val="22"/>
          <w:szCs w:val="22"/>
          <w:lang w:val="hu-HU"/>
        </w:rPr>
        <w:t>-os</w:t>
      </w:r>
      <w:r w:rsidRPr="00F14151">
        <w:rPr>
          <w:sz w:val="22"/>
          <w:szCs w:val="22"/>
          <w:lang w:val="hu-HU"/>
        </w:rPr>
        <w:t xml:space="preserve"> dózisokban adott omeprazol hatására a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cilosztazol maximális plazmakoncentrációja (C</w:t>
      </w:r>
      <w:r w:rsidRPr="00F14151">
        <w:rPr>
          <w:sz w:val="22"/>
          <w:szCs w:val="22"/>
          <w:vertAlign w:val="subscript"/>
          <w:lang w:val="hu-HU"/>
        </w:rPr>
        <w:t>max</w:t>
      </w:r>
      <w:r w:rsidRPr="00F14151">
        <w:rPr>
          <w:sz w:val="22"/>
          <w:szCs w:val="22"/>
          <w:lang w:val="hu-HU"/>
        </w:rPr>
        <w:t>) 18%-kal, az idő-plazmakoncentráció görbe alatti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terület (AUC) értéke 26%-kal, továbbá egyik aktív metabolitjának C</w:t>
      </w:r>
      <w:r w:rsidRPr="00F14151">
        <w:rPr>
          <w:sz w:val="22"/>
          <w:szCs w:val="22"/>
          <w:vertAlign w:val="subscript"/>
          <w:lang w:val="hu-HU"/>
        </w:rPr>
        <w:t>max</w:t>
      </w:r>
      <w:r w:rsidRPr="00F14151">
        <w:rPr>
          <w:sz w:val="22"/>
          <w:szCs w:val="22"/>
          <w:lang w:val="hu-HU"/>
        </w:rPr>
        <w:t xml:space="preserve"> értéke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29%-k</w:t>
      </w:r>
      <w:r w:rsidR="00DA0DB2" w:rsidRPr="00F14151">
        <w:rPr>
          <w:sz w:val="22"/>
          <w:szCs w:val="22"/>
          <w:lang w:val="hu-HU"/>
        </w:rPr>
        <w:t xml:space="preserve">al, AUC értéke pedig 69%-kal </w:t>
      </w:r>
      <w:r w:rsidRPr="00F14151">
        <w:rPr>
          <w:sz w:val="22"/>
          <w:szCs w:val="22"/>
          <w:lang w:val="hu-HU"/>
        </w:rPr>
        <w:t>emelkedett</w:t>
      </w:r>
      <w:r w:rsidR="00DA0DB2" w:rsidRPr="00F14151">
        <w:rPr>
          <w:sz w:val="22"/>
          <w:szCs w:val="22"/>
          <w:lang w:val="hu-HU"/>
        </w:rPr>
        <w:t xml:space="preserve"> meg</w:t>
      </w:r>
      <w:r w:rsidRPr="00F14151">
        <w:rPr>
          <w:sz w:val="22"/>
          <w:szCs w:val="22"/>
          <w:lang w:val="hu-HU"/>
        </w:rPr>
        <w:t>.</w:t>
      </w:r>
    </w:p>
    <w:p w14:paraId="496987E4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708F0925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Fenitoin</w:t>
      </w:r>
    </w:p>
    <w:p w14:paraId="3A5ED00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terápia bevezetésekor az első két</w:t>
      </w:r>
      <w:r w:rsidR="00044DA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héten, valamint a fenitoin dózis módosításakor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javasolt </w:t>
      </w:r>
      <w:r w:rsidR="00DA0DB2" w:rsidRPr="00F14151">
        <w:rPr>
          <w:sz w:val="22"/>
          <w:szCs w:val="22"/>
          <w:lang w:val="hu-HU"/>
        </w:rPr>
        <w:t xml:space="preserve">a </w:t>
      </w:r>
      <w:r w:rsidRPr="00F14151">
        <w:rPr>
          <w:sz w:val="22"/>
          <w:szCs w:val="22"/>
          <w:lang w:val="hu-HU"/>
        </w:rPr>
        <w:t>fenitoin plazmakoncentrációjának ellenőrzése. Az omeprazol terápia befejezésekor is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ellenőrzés és újabb dózismódosítás elvégzése szükséges.</w:t>
      </w:r>
    </w:p>
    <w:p w14:paraId="62601CB9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C3AC02C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Ismeretlen mechanizmus</w:t>
      </w:r>
    </w:p>
    <w:p w14:paraId="14EB1F18" w14:textId="77777777" w:rsidR="00BA153E" w:rsidRPr="00F14151" w:rsidRDefault="00BA153E" w:rsidP="00977955">
      <w:pPr>
        <w:keepNext/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1B149DA9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Sz</w:t>
      </w:r>
      <w:r w:rsidR="00044DA2" w:rsidRPr="00F14151">
        <w:rPr>
          <w:i/>
          <w:iCs/>
          <w:sz w:val="22"/>
          <w:szCs w:val="22"/>
          <w:lang w:val="hu-HU"/>
        </w:rPr>
        <w:t>a</w:t>
      </w:r>
      <w:r w:rsidRPr="00F14151">
        <w:rPr>
          <w:i/>
          <w:iCs/>
          <w:sz w:val="22"/>
          <w:szCs w:val="22"/>
          <w:lang w:val="hu-HU"/>
        </w:rPr>
        <w:t>kvinavir</w:t>
      </w:r>
    </w:p>
    <w:p w14:paraId="00F109E1" w14:textId="77777777" w:rsidR="001C44E6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sz</w:t>
      </w:r>
      <w:r w:rsidR="00044DA2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kvinavirral/ritonavirral történő együttadása a sz</w:t>
      </w:r>
      <w:r w:rsidR="00044DA2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kvinavir plazmakoncentrációjának</w:t>
      </w:r>
      <w:r w:rsidR="001C44E6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megközelítőleg 70%-os emelkedését eredményezte, </w:t>
      </w:r>
      <w:r w:rsidR="00DA0DB2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melyet a HIV fertőzött betegek jól toleráltak.</w:t>
      </w:r>
      <w:r w:rsidR="001C44E6" w:rsidRPr="00F14151">
        <w:rPr>
          <w:sz w:val="22"/>
          <w:szCs w:val="22"/>
          <w:lang w:val="hu-HU"/>
        </w:rPr>
        <w:t xml:space="preserve"> </w:t>
      </w:r>
    </w:p>
    <w:p w14:paraId="3A14BA08" w14:textId="77777777" w:rsidR="001C44E6" w:rsidRDefault="001C44E6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48318EB6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Takrolimusz</w:t>
      </w:r>
    </w:p>
    <w:p w14:paraId="303CBE33" w14:textId="77777777" w:rsidR="00E00493" w:rsidRPr="00F14151" w:rsidRDefault="00DA0DB2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Omeprazol alkalmazása mellett</w:t>
      </w:r>
      <w:r w:rsidR="00FA4F40" w:rsidRPr="00F14151">
        <w:rPr>
          <w:sz w:val="22"/>
          <w:szCs w:val="22"/>
          <w:lang w:val="hu-HU"/>
        </w:rPr>
        <w:t xml:space="preserve"> beszámoltak a takrolimusz vérszintjének növekedéséről. A</w:t>
      </w:r>
      <w:r w:rsidR="001C44E6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 xml:space="preserve">takrolimusz plazmakoncentrációját és a vesefunkciót (a </w:t>
      </w:r>
      <w:r w:rsidR="00270EC4">
        <w:rPr>
          <w:sz w:val="22"/>
          <w:szCs w:val="22"/>
          <w:lang w:val="hu-HU"/>
        </w:rPr>
        <w:t>kreatinin</w:t>
      </w:r>
      <w:r w:rsidR="00FA4F40" w:rsidRPr="00F14151">
        <w:rPr>
          <w:sz w:val="22"/>
          <w:szCs w:val="22"/>
          <w:lang w:val="hu-HU"/>
        </w:rPr>
        <w:t>-clearance-t) fokozott mértékben kell</w:t>
      </w:r>
      <w:r w:rsidR="001C44E6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ellenőrizni, és szükség esetén módosítani kell a takrolimusz adagját.</w:t>
      </w:r>
      <w:r w:rsidR="001C44E6" w:rsidRPr="00F14151">
        <w:rPr>
          <w:sz w:val="22"/>
          <w:szCs w:val="22"/>
          <w:lang w:val="hu-HU"/>
        </w:rPr>
        <w:t xml:space="preserve"> </w:t>
      </w:r>
    </w:p>
    <w:p w14:paraId="25597B74" w14:textId="77777777" w:rsidR="004214B9" w:rsidRDefault="004214B9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4E1CB35" w14:textId="77777777" w:rsidR="00E11B80" w:rsidRPr="00C47336" w:rsidRDefault="00E11B80" w:rsidP="00E11B80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C47336">
        <w:rPr>
          <w:i/>
          <w:iCs/>
          <w:sz w:val="22"/>
          <w:szCs w:val="22"/>
          <w:lang w:val="hu-HU"/>
        </w:rPr>
        <w:t>Metotrexát</w:t>
      </w:r>
    </w:p>
    <w:p w14:paraId="153DA7B1" w14:textId="77777777" w:rsidR="00E11B80" w:rsidRPr="00AE4B53" w:rsidRDefault="00E11B80" w:rsidP="00E11B8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E4B53">
        <w:rPr>
          <w:sz w:val="22"/>
          <w:szCs w:val="22"/>
          <w:lang w:val="hu-HU"/>
        </w:rPr>
        <w:t>A metotrexát szintek emelkedéséről számoltak be néhány betegnél, amikor protonpumpa</w:t>
      </w:r>
      <w:r w:rsidRPr="00AE4B53">
        <w:rPr>
          <w:sz w:val="22"/>
          <w:szCs w:val="22"/>
          <w:lang w:val="hu-HU"/>
        </w:rPr>
        <w:noBreakHyphen/>
        <w:t>gátlókkal együtt adták. Magas dózisú metotre</w:t>
      </w:r>
      <w:r>
        <w:rPr>
          <w:sz w:val="22"/>
          <w:szCs w:val="22"/>
          <w:lang w:val="hu-HU"/>
        </w:rPr>
        <w:t>xát alkalmazásakor az omeprazol-</w:t>
      </w:r>
      <w:r w:rsidRPr="00AE4B53">
        <w:rPr>
          <w:sz w:val="22"/>
          <w:szCs w:val="22"/>
          <w:lang w:val="hu-HU"/>
        </w:rPr>
        <w:t>kezelés átmeneti felfüggesztését szükséges lehet megfontolni.</w:t>
      </w:r>
    </w:p>
    <w:p w14:paraId="7956F974" w14:textId="77777777" w:rsidR="00E11B80" w:rsidRPr="00F14151" w:rsidRDefault="00E11B8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8ACD446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Más hatóanyagok hatása az</w:t>
      </w:r>
      <w:r w:rsidR="001B242B" w:rsidRPr="00F14151">
        <w:rPr>
          <w:sz w:val="22"/>
          <w:szCs w:val="22"/>
          <w:u w:val="single"/>
          <w:lang w:val="hu-HU"/>
        </w:rPr>
        <w:t xml:space="preserve"> </w:t>
      </w:r>
      <w:r w:rsidRPr="00F14151">
        <w:rPr>
          <w:sz w:val="22"/>
          <w:szCs w:val="22"/>
          <w:u w:val="single"/>
          <w:lang w:val="hu-HU"/>
        </w:rPr>
        <w:t>omeprazol farmakokinetikájára</w:t>
      </w:r>
    </w:p>
    <w:p w14:paraId="39584218" w14:textId="77777777" w:rsidR="00BA153E" w:rsidRPr="00F14151" w:rsidRDefault="00BA153E" w:rsidP="00977955">
      <w:pPr>
        <w:pStyle w:val="Default"/>
        <w:keepNext/>
        <w:spacing w:line="260" w:lineRule="exact"/>
        <w:ind w:right="-40"/>
        <w:rPr>
          <w:color w:val="auto"/>
          <w:sz w:val="22"/>
          <w:szCs w:val="22"/>
          <w:u w:val="single"/>
          <w:lang w:val="hu-HU"/>
        </w:rPr>
      </w:pPr>
    </w:p>
    <w:p w14:paraId="09EC6332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u w:val="single"/>
          <w:lang w:val="hu-HU"/>
        </w:rPr>
      </w:pPr>
      <w:r w:rsidRPr="00F14151">
        <w:rPr>
          <w:i/>
          <w:iCs/>
          <w:sz w:val="22"/>
          <w:szCs w:val="22"/>
          <w:u w:val="single"/>
          <w:lang w:val="hu-HU"/>
        </w:rPr>
        <w:t>CYP2C19 és/vagy CYP3A4 inhibitorok</w:t>
      </w:r>
    </w:p>
    <w:p w14:paraId="4CA62BC9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Mivel az omeprazol a CYP2C19 és a CYP3A4 enzimek útján metabolizálódik, az ismert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CYP2C19 vagy CYP3A4 inhibitorok (mint pl. a klaritromicin vagy a vorikonazol) az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omeprazol-metabolizmus mértékének csökkentése miatt az omeprazol szérumszintjének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megemelkedését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eredményezhetik. Vorikonazollal történő együttadásakor több</w:t>
      </w:r>
      <w:r w:rsidR="00DA0DB2" w:rsidRPr="00F14151">
        <w:rPr>
          <w:sz w:val="22"/>
          <w:szCs w:val="22"/>
          <w:lang w:val="hu-HU"/>
        </w:rPr>
        <w:t>,</w:t>
      </w:r>
      <w:r w:rsidRPr="00F14151">
        <w:rPr>
          <w:sz w:val="22"/>
          <w:szCs w:val="22"/>
          <w:lang w:val="hu-HU"/>
        </w:rPr>
        <w:t xml:space="preserve"> mint kétszeres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expozíciót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tapasztaltak. Mivel az omeprazol nagy dózisait jól tolerálták, az omeprazol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adagjának módosítása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általában nem szükséges. Ugyanakkor súlyos májkárosodásban szenvedő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betegeknél, illetve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amennyiben hosszútávú kezelés javall</w:t>
      </w:r>
      <w:r w:rsidR="00DA0DB2" w:rsidRPr="00F14151">
        <w:rPr>
          <w:sz w:val="22"/>
          <w:szCs w:val="22"/>
          <w:lang w:val="hu-HU"/>
        </w:rPr>
        <w:t>ot</w:t>
      </w:r>
      <w:r w:rsidRPr="00F14151">
        <w:rPr>
          <w:sz w:val="22"/>
          <w:szCs w:val="22"/>
          <w:lang w:val="hu-HU"/>
        </w:rPr>
        <w:t>t, a dózismódosítás megfontolandó.</w:t>
      </w:r>
    </w:p>
    <w:p w14:paraId="1DEAA7D2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iCs/>
          <w:sz w:val="22"/>
          <w:szCs w:val="22"/>
          <w:lang w:val="hu-HU"/>
        </w:rPr>
      </w:pPr>
    </w:p>
    <w:p w14:paraId="4E34E90C" w14:textId="77777777" w:rsidR="00FA4F40" w:rsidRPr="00F14151" w:rsidRDefault="00FA4F40" w:rsidP="00977955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u w:val="single"/>
          <w:lang w:val="hu-HU"/>
        </w:rPr>
      </w:pPr>
      <w:r w:rsidRPr="00F14151">
        <w:rPr>
          <w:i/>
          <w:iCs/>
          <w:sz w:val="22"/>
          <w:szCs w:val="22"/>
          <w:u w:val="single"/>
          <w:lang w:val="hu-HU"/>
        </w:rPr>
        <w:t>CYP2C19 és/vagy CYP3A4 induktorok</w:t>
      </w:r>
    </w:p>
    <w:p w14:paraId="5EDD4F51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Ismert CYP2C19 vagy CYP3A4 induktorok, vagy mindkét enzim induktora (mint pl. rifampicin és</w:t>
      </w:r>
      <w:r w:rsidR="001B242B" w:rsidRPr="00F14151">
        <w:rPr>
          <w:sz w:val="22"/>
          <w:szCs w:val="22"/>
          <w:lang w:val="hu-HU"/>
        </w:rPr>
        <w:t xml:space="preserve"> </w:t>
      </w:r>
      <w:r w:rsidR="00E53DFA" w:rsidRPr="00F14151">
        <w:rPr>
          <w:sz w:val="22"/>
          <w:szCs w:val="22"/>
          <w:lang w:val="hu-HU"/>
        </w:rPr>
        <w:t xml:space="preserve">közönséges </w:t>
      </w:r>
      <w:r w:rsidRPr="00F14151">
        <w:rPr>
          <w:sz w:val="22"/>
          <w:szCs w:val="22"/>
          <w:lang w:val="hu-HU"/>
        </w:rPr>
        <w:t>orbáncfű) az omeprazol szérumszintjének csökkenését eredményezheti az omeprazol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metabolizmusának felgyorsítása által.</w:t>
      </w:r>
    </w:p>
    <w:p w14:paraId="6B38CE15" w14:textId="77777777" w:rsidR="001C44E6" w:rsidRPr="00F14151" w:rsidRDefault="001C44E6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7D46FEE6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4.6</w:t>
      </w:r>
      <w:r w:rsidRPr="00F14151">
        <w:rPr>
          <w:b/>
          <w:bCs/>
          <w:sz w:val="22"/>
          <w:szCs w:val="22"/>
          <w:lang w:val="hu-HU"/>
        </w:rPr>
        <w:tab/>
      </w:r>
      <w:r w:rsidR="00AF083C" w:rsidRPr="005D4A97">
        <w:rPr>
          <w:b/>
          <w:bCs/>
          <w:sz w:val="22"/>
          <w:szCs w:val="22"/>
          <w:lang w:val="hu-HU"/>
        </w:rPr>
        <w:t>Termékenység, t</w:t>
      </w:r>
      <w:r w:rsidRPr="00F14151">
        <w:rPr>
          <w:b/>
          <w:bCs/>
          <w:sz w:val="22"/>
          <w:szCs w:val="22"/>
          <w:lang w:val="hu-HU"/>
        </w:rPr>
        <w:t>erhesség és szoptatás</w:t>
      </w:r>
    </w:p>
    <w:p w14:paraId="27ADC6C0" w14:textId="77777777" w:rsidR="001B242B" w:rsidRPr="005D4A97" w:rsidRDefault="001B242B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50AE7DB4" w14:textId="77777777" w:rsidR="00C47336" w:rsidRPr="00941AE4" w:rsidRDefault="00C47336" w:rsidP="00667C1B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941AE4">
        <w:rPr>
          <w:sz w:val="22"/>
          <w:szCs w:val="22"/>
          <w:u w:val="single"/>
          <w:lang w:val="hu-HU"/>
        </w:rPr>
        <w:t>Terhesség</w:t>
      </w:r>
    </w:p>
    <w:p w14:paraId="511946F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Három prospektív epidemiológiai vizsgálat adatai (több mint 1000 ismert kimenetel) nem utalnak arra,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hogy az omeprazol káros hatással lenne a terhességre vagy a magzatra/újszülöttre. Az omeprazol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terhesség alatt is alkalmazható.</w:t>
      </w:r>
      <w:r w:rsidR="001B242B" w:rsidRPr="00F14151">
        <w:rPr>
          <w:sz w:val="22"/>
          <w:szCs w:val="22"/>
          <w:lang w:val="hu-HU"/>
        </w:rPr>
        <w:t xml:space="preserve"> </w:t>
      </w:r>
    </w:p>
    <w:p w14:paraId="51C3829C" w14:textId="77777777" w:rsidR="00C47336" w:rsidRDefault="00C4733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4768C90" w14:textId="77777777" w:rsidR="00FA4F40" w:rsidRPr="00941AE4" w:rsidRDefault="00C47336" w:rsidP="00667C1B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941AE4">
        <w:rPr>
          <w:sz w:val="22"/>
          <w:szCs w:val="22"/>
          <w:u w:val="single"/>
          <w:lang w:val="hu-HU"/>
        </w:rPr>
        <w:t>Szoptatás</w:t>
      </w:r>
    </w:p>
    <w:p w14:paraId="62FB4DBF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kiválasztódik az anyatejbe, de terápiás dózisban alkalmazva valószínűleg nincs hatással</w:t>
      </w:r>
      <w:r w:rsidR="001B242B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gyermekre.</w:t>
      </w:r>
    </w:p>
    <w:p w14:paraId="5DE285A1" w14:textId="77777777" w:rsidR="00DA0DB2" w:rsidRDefault="00DA0DB2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62D6B3F" w14:textId="77777777" w:rsidR="00C47336" w:rsidRPr="00941AE4" w:rsidRDefault="00C47336" w:rsidP="00667C1B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941AE4">
        <w:rPr>
          <w:sz w:val="22"/>
          <w:szCs w:val="22"/>
          <w:u w:val="single"/>
          <w:lang w:val="hu-HU"/>
        </w:rPr>
        <w:lastRenderedPageBreak/>
        <w:t>Termékenység</w:t>
      </w:r>
    </w:p>
    <w:p w14:paraId="27783019" w14:textId="77777777" w:rsidR="00E11B80" w:rsidRDefault="00E11B80" w:rsidP="00E11B80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E4B53">
        <w:rPr>
          <w:sz w:val="22"/>
          <w:szCs w:val="22"/>
          <w:lang w:val="hu-HU"/>
        </w:rPr>
        <w:t>Az orálisan adagolt omeprazol racém keverékkel végzett állatkísérletek nem utalnak fertilitásra gyakorolt hatásokra.</w:t>
      </w:r>
    </w:p>
    <w:p w14:paraId="48D9EB40" w14:textId="77777777" w:rsidR="00E11B80" w:rsidRPr="00F14151" w:rsidRDefault="00E11B80" w:rsidP="00E11B80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6B22CA9E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4.7</w:t>
      </w:r>
      <w:r w:rsidRPr="00F14151">
        <w:rPr>
          <w:b/>
          <w:bCs/>
          <w:sz w:val="22"/>
          <w:szCs w:val="22"/>
          <w:lang w:val="hu-HU"/>
        </w:rPr>
        <w:tab/>
        <w:t xml:space="preserve">A készítmény hatásai a gépjárművezetéshez és </w:t>
      </w:r>
      <w:r w:rsidR="002B40C8">
        <w:rPr>
          <w:b/>
          <w:bCs/>
          <w:sz w:val="22"/>
          <w:szCs w:val="22"/>
          <w:lang w:val="hu-HU"/>
        </w:rPr>
        <w:t xml:space="preserve">a </w:t>
      </w:r>
      <w:r w:rsidRPr="00F14151">
        <w:rPr>
          <w:b/>
          <w:bCs/>
          <w:sz w:val="22"/>
          <w:szCs w:val="22"/>
          <w:lang w:val="hu-HU"/>
        </w:rPr>
        <w:t>gépek kezeléséhez szükséges képességekre</w:t>
      </w:r>
    </w:p>
    <w:p w14:paraId="30C3FD78" w14:textId="77777777" w:rsidR="001B242B" w:rsidRPr="005D4A97" w:rsidRDefault="001B242B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69DFB7FD" w14:textId="77777777" w:rsidR="00FA4F40" w:rsidRPr="00F14151" w:rsidRDefault="00D908E9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Az </w:t>
      </w:r>
      <w:r w:rsidR="00CF3BB0">
        <w:rPr>
          <w:sz w:val="22"/>
          <w:szCs w:val="22"/>
          <w:lang w:val="hu-HU"/>
        </w:rPr>
        <w:t>omeprazol</w:t>
      </w:r>
      <w:r w:rsidR="00783922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 xml:space="preserve">valószínűleg nem befolyásolja a gépjárművezetéshez és </w:t>
      </w:r>
      <w:r w:rsidR="006B4424">
        <w:rPr>
          <w:sz w:val="22"/>
          <w:szCs w:val="22"/>
          <w:lang w:val="hu-HU"/>
        </w:rPr>
        <w:t xml:space="preserve">a </w:t>
      </w:r>
      <w:r w:rsidR="00FA4F40" w:rsidRPr="00F14151">
        <w:rPr>
          <w:sz w:val="22"/>
          <w:szCs w:val="22"/>
          <w:lang w:val="hu-HU"/>
        </w:rPr>
        <w:t>gépek kezeléséhez szükséges</w:t>
      </w:r>
      <w:r w:rsidR="001B242B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képességeket. Gyógyszermellékhatások, mint pl. szédülés és látászavarok előfordulhatnak (lásd 4.8</w:t>
      </w:r>
      <w:r w:rsidR="00AC29B9" w:rsidRPr="00F14151">
        <w:rPr>
          <w:sz w:val="22"/>
          <w:szCs w:val="22"/>
          <w:lang w:val="hu-HU"/>
        </w:rPr>
        <w:t> </w:t>
      </w:r>
      <w:r w:rsidR="00FA4F40" w:rsidRPr="00F14151">
        <w:rPr>
          <w:sz w:val="22"/>
          <w:szCs w:val="22"/>
          <w:lang w:val="hu-HU"/>
        </w:rPr>
        <w:t>pont). Amennyiben a beteg ezt tapasztalja, nem szabad gépjárművet vezetnie, illetve gépkezeléssel</w:t>
      </w:r>
      <w:r w:rsidR="001B242B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járó munkát végeznie.</w:t>
      </w:r>
    </w:p>
    <w:p w14:paraId="46A2451E" w14:textId="77777777" w:rsidR="001B242B" w:rsidRPr="00F14151" w:rsidRDefault="001B242B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5A42726E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4.8</w:t>
      </w:r>
      <w:r w:rsidRPr="00F14151">
        <w:rPr>
          <w:b/>
          <w:bCs/>
          <w:sz w:val="22"/>
          <w:szCs w:val="22"/>
          <w:lang w:val="hu-HU"/>
        </w:rPr>
        <w:tab/>
        <w:t>Nemkívánatos hatások, mellékhatások</w:t>
      </w:r>
    </w:p>
    <w:p w14:paraId="422CBA55" w14:textId="77777777" w:rsidR="00920F43" w:rsidRPr="005D4A97" w:rsidRDefault="00920F43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8F51696" w14:textId="77777777" w:rsidR="00E11B80" w:rsidRPr="00AE4B53" w:rsidRDefault="00E11B80" w:rsidP="00E11B80">
      <w:pPr>
        <w:keepNext/>
        <w:suppressAutoHyphens/>
        <w:ind w:left="567" w:hanging="567"/>
        <w:rPr>
          <w:sz w:val="22"/>
          <w:szCs w:val="22"/>
          <w:u w:val="single"/>
          <w:lang w:val="hu-HU" w:eastAsia="hu-HU"/>
        </w:rPr>
      </w:pPr>
      <w:r w:rsidRPr="00AE4B53">
        <w:rPr>
          <w:sz w:val="22"/>
          <w:szCs w:val="22"/>
          <w:u w:val="single"/>
          <w:lang w:val="hu-HU" w:eastAsia="hu-HU"/>
        </w:rPr>
        <w:t>A gyógyszerbiztonsági profil összefoglalása</w:t>
      </w:r>
    </w:p>
    <w:p w14:paraId="7D704BCF" w14:textId="77777777" w:rsidR="00FA4F40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leggyakoribb mellékhatások (a betegek 1</w:t>
      </w:r>
      <w:r w:rsidR="00AC29B9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10%-ánál) a fejfájás, hasi fájdalom, székrekedés,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hasmenés, haspuffadás, és hányinger/hányás.</w:t>
      </w:r>
    </w:p>
    <w:p w14:paraId="581943CD" w14:textId="77777777" w:rsidR="00840FFA" w:rsidRDefault="00840FFA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C4AF633" w14:textId="615D770A" w:rsidR="00B94956" w:rsidRDefault="00B9495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B94956">
        <w:rPr>
          <w:sz w:val="22"/>
          <w:szCs w:val="22"/>
          <w:lang w:val="hu-HU"/>
        </w:rPr>
        <w:t>Súlyos bőrreakciókat (SCAR), beleértve a Stevens</w:t>
      </w:r>
      <w:r w:rsidR="00E83305">
        <w:rPr>
          <w:sz w:val="22"/>
          <w:szCs w:val="22"/>
          <w:lang w:val="hu-HU"/>
        </w:rPr>
        <w:t>–</w:t>
      </w:r>
      <w:r w:rsidRPr="00B94956">
        <w:rPr>
          <w:sz w:val="22"/>
          <w:szCs w:val="22"/>
          <w:lang w:val="hu-HU"/>
        </w:rPr>
        <w:t>Johnson-szindrómát (SJS), toxikus epidermális nekrolízist (TEN), gyógyszerreakció eosinophiliával és systemás panaszokkal (DRESS) és acut generalizált exanthemás pustulosis (AGEP) jelentettek omeprazol-kezeléssel összefüggésben (lásd 4.4</w:t>
      </w:r>
      <w:r w:rsidR="00E83305">
        <w:rPr>
          <w:sz w:val="22"/>
          <w:szCs w:val="22"/>
          <w:lang w:val="hu-HU"/>
        </w:rPr>
        <w:t> </w:t>
      </w:r>
      <w:r w:rsidRPr="00B94956">
        <w:rPr>
          <w:sz w:val="22"/>
          <w:szCs w:val="22"/>
          <w:lang w:val="hu-HU"/>
        </w:rPr>
        <w:t>pont).</w:t>
      </w:r>
    </w:p>
    <w:p w14:paraId="42D3DD7E" w14:textId="77777777" w:rsidR="00B94956" w:rsidRPr="00F14151" w:rsidRDefault="00B9495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54E4F1E1" w14:textId="77777777" w:rsidR="00E11B80" w:rsidRPr="00AE4B53" w:rsidRDefault="00E11B80" w:rsidP="00E11B80">
      <w:pPr>
        <w:keepNext/>
        <w:suppressAutoHyphens/>
        <w:ind w:left="567" w:hanging="567"/>
        <w:rPr>
          <w:sz w:val="22"/>
          <w:szCs w:val="22"/>
          <w:u w:val="single"/>
          <w:lang w:val="hu-HU" w:eastAsia="hu-HU"/>
        </w:rPr>
      </w:pPr>
      <w:r w:rsidRPr="00AE4B53">
        <w:rPr>
          <w:sz w:val="22"/>
          <w:szCs w:val="22"/>
          <w:u w:val="single"/>
          <w:lang w:val="hu-HU" w:eastAsia="hu-HU"/>
        </w:rPr>
        <w:t>A mellékhatások táblázatos felsorolása</w:t>
      </w:r>
    </w:p>
    <w:p w14:paraId="6E202D09" w14:textId="77777777" w:rsidR="00CE0C72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omeprazollal folytatott klinikai vizsgálatokban és a posztmarketing alkalmazás során a következő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gyógyszermellékhatások esetében igazolódott, vagy merült fel annak gyanúja, hogy összefüggésben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vannak a kezeléssel. E</w:t>
      </w:r>
      <w:r w:rsidR="00CE0C72" w:rsidRPr="00F14151">
        <w:rPr>
          <w:sz w:val="22"/>
          <w:szCs w:val="22"/>
          <w:lang w:val="hu-HU"/>
        </w:rPr>
        <w:t>zek e</w:t>
      </w:r>
      <w:r w:rsidRPr="00F14151">
        <w:rPr>
          <w:sz w:val="22"/>
          <w:szCs w:val="22"/>
          <w:lang w:val="hu-HU"/>
        </w:rPr>
        <w:t>gyik</w:t>
      </w:r>
      <w:r w:rsidR="00CE0C72" w:rsidRPr="00F14151">
        <w:rPr>
          <w:sz w:val="22"/>
          <w:szCs w:val="22"/>
          <w:lang w:val="hu-HU"/>
        </w:rPr>
        <w:t>e</w:t>
      </w:r>
      <w:r w:rsidRPr="00F14151">
        <w:rPr>
          <w:sz w:val="22"/>
          <w:szCs w:val="22"/>
          <w:lang w:val="hu-HU"/>
        </w:rPr>
        <w:t xml:space="preserve"> sem volt dózisfüggő. Az alább felsorolt mellékhatásokat a gyakoriság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alapján és a szervrendszerek szerint csoportosították.</w:t>
      </w:r>
    </w:p>
    <w:p w14:paraId="636CAC7A" w14:textId="77777777" w:rsidR="00A30D95" w:rsidRPr="00F14151" w:rsidRDefault="00A30D95" w:rsidP="00A30D95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 gyakorisági kategóriákat az alábbi konvenciók alapján határozták meg: nagyon gyakori (≥1/10), </w:t>
      </w:r>
    </w:p>
    <w:p w14:paraId="5B21A80C" w14:textId="77777777" w:rsidR="00A30D95" w:rsidRPr="00F14151" w:rsidRDefault="00A30D95" w:rsidP="00A30D95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gyakori (≥1/100</w:t>
      </w:r>
      <w:r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&lt;1/10), nem gyakori (≥1/1000</w:t>
      </w:r>
      <w:r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&lt;1/100), ritka (≥1/10 000</w:t>
      </w:r>
      <w:r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 xml:space="preserve">&lt;1/1000), nagyon ritka (&lt;1/10 000), nem ismert (a </w:t>
      </w:r>
      <w:r w:rsidR="00E83305">
        <w:rPr>
          <w:sz w:val="22"/>
          <w:szCs w:val="22"/>
          <w:lang w:val="hu-HU"/>
        </w:rPr>
        <w:t xml:space="preserve">gyakoriság a </w:t>
      </w:r>
      <w:r w:rsidRPr="00F14151">
        <w:rPr>
          <w:sz w:val="22"/>
          <w:szCs w:val="22"/>
          <w:lang w:val="hu-HU"/>
        </w:rPr>
        <w:t>rendelkezésre álló adatokból nem állapítható meg).</w:t>
      </w:r>
    </w:p>
    <w:p w14:paraId="3538CB7F" w14:textId="77777777" w:rsidR="00A30D95" w:rsidRDefault="00A30D95" w:rsidP="00A30D95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tbl>
      <w:tblPr>
        <w:tblW w:w="9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483"/>
      </w:tblGrid>
      <w:tr w:rsidR="00A30D95" w:rsidRPr="00AE4B53" w14:paraId="29F7F9E1" w14:textId="77777777" w:rsidTr="00A30D95">
        <w:trPr>
          <w:trHeight w:val="399"/>
          <w:tblHeader/>
        </w:trPr>
        <w:tc>
          <w:tcPr>
            <w:tcW w:w="2802" w:type="dxa"/>
          </w:tcPr>
          <w:p w14:paraId="5EE399A2" w14:textId="77777777" w:rsidR="00A30D95" w:rsidRPr="00AE4B53" w:rsidRDefault="00A30D95" w:rsidP="00587235">
            <w:pPr>
              <w:keepNext/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Szervrendszer/gyakoriság</w:t>
            </w:r>
          </w:p>
        </w:tc>
        <w:tc>
          <w:tcPr>
            <w:tcW w:w="6483" w:type="dxa"/>
          </w:tcPr>
          <w:p w14:paraId="5C89B52A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Mellékhatás</w:t>
            </w:r>
          </w:p>
        </w:tc>
      </w:tr>
      <w:tr w:rsidR="00A30D95" w:rsidRPr="00AE4B53" w14:paraId="309CDEA4" w14:textId="77777777" w:rsidTr="00A30D95">
        <w:trPr>
          <w:cantSplit/>
        </w:trPr>
        <w:tc>
          <w:tcPr>
            <w:tcW w:w="9285" w:type="dxa"/>
            <w:gridSpan w:val="2"/>
          </w:tcPr>
          <w:p w14:paraId="2939FC9D" w14:textId="77777777" w:rsidR="00A30D95" w:rsidRPr="00AE4B53" w:rsidRDefault="00A30D95" w:rsidP="00587235">
            <w:pPr>
              <w:keepNext/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Vérképzőszervi és nyirokrendszeri betegségek és tünetek</w:t>
            </w:r>
          </w:p>
        </w:tc>
      </w:tr>
      <w:tr w:rsidR="00A30D95" w:rsidRPr="00AE4B53" w14:paraId="2C495573" w14:textId="77777777" w:rsidTr="00A30D95">
        <w:tc>
          <w:tcPr>
            <w:tcW w:w="2802" w:type="dxa"/>
          </w:tcPr>
          <w:p w14:paraId="0D15F79F" w14:textId="77777777" w:rsidR="00A30D95" w:rsidRPr="00AE4B53" w:rsidRDefault="00A30D95" w:rsidP="00587235">
            <w:pPr>
              <w:keepNext/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1EC95186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leukopenia, thrombocytopenia</w:t>
            </w:r>
          </w:p>
        </w:tc>
      </w:tr>
      <w:tr w:rsidR="00A30D95" w:rsidRPr="00AE4B53" w14:paraId="22958CC7" w14:textId="77777777" w:rsidTr="00A30D95">
        <w:tc>
          <w:tcPr>
            <w:tcW w:w="2802" w:type="dxa"/>
          </w:tcPr>
          <w:p w14:paraId="145FF977" w14:textId="77777777" w:rsidR="00A30D95" w:rsidRPr="00AE4B53" w:rsidRDefault="00A30D95" w:rsidP="00587235">
            <w:pPr>
              <w:keepNext/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Nagyon ritka:</w:t>
            </w:r>
          </w:p>
        </w:tc>
        <w:tc>
          <w:tcPr>
            <w:tcW w:w="6483" w:type="dxa"/>
          </w:tcPr>
          <w:p w14:paraId="40F21828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agranulocytosis, pancytopenia</w:t>
            </w:r>
          </w:p>
        </w:tc>
      </w:tr>
      <w:tr w:rsidR="00A30D95" w:rsidRPr="00AE4B53" w14:paraId="4D862FB6" w14:textId="77777777" w:rsidTr="00A30D95">
        <w:trPr>
          <w:cantSplit/>
        </w:trPr>
        <w:tc>
          <w:tcPr>
            <w:tcW w:w="9285" w:type="dxa"/>
            <w:gridSpan w:val="2"/>
          </w:tcPr>
          <w:p w14:paraId="5E466464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Immunrendszeri betegségek és tünetek</w:t>
            </w:r>
          </w:p>
        </w:tc>
      </w:tr>
      <w:tr w:rsidR="00A30D95" w:rsidRPr="00AE4B53" w14:paraId="643DD571" w14:textId="77777777" w:rsidTr="00A30D95">
        <w:tc>
          <w:tcPr>
            <w:tcW w:w="2802" w:type="dxa"/>
          </w:tcPr>
          <w:p w14:paraId="2FE13BB9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6EBD038B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túlérzékenységi reakciók, pl. láz, angioedema, anaphilaxiás reakció/shock</w:t>
            </w:r>
          </w:p>
        </w:tc>
      </w:tr>
      <w:tr w:rsidR="00A30D95" w:rsidRPr="00AE4B53" w14:paraId="2B57A9A2" w14:textId="77777777" w:rsidTr="00A30D95">
        <w:trPr>
          <w:cantSplit/>
        </w:trPr>
        <w:tc>
          <w:tcPr>
            <w:tcW w:w="9285" w:type="dxa"/>
            <w:gridSpan w:val="2"/>
          </w:tcPr>
          <w:p w14:paraId="33324A43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Anyagcsere- és táplálkozási betegségek és tünetek</w:t>
            </w:r>
          </w:p>
        </w:tc>
      </w:tr>
      <w:tr w:rsidR="00A30D95" w:rsidRPr="00AE4B53" w14:paraId="590EAD3E" w14:textId="77777777" w:rsidTr="00A30D95">
        <w:tc>
          <w:tcPr>
            <w:tcW w:w="2802" w:type="dxa"/>
          </w:tcPr>
          <w:p w14:paraId="5D1375A8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4E9584A6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hyponatraemia</w:t>
            </w:r>
          </w:p>
        </w:tc>
      </w:tr>
      <w:tr w:rsidR="00A30D95" w:rsidRPr="00AE4B53" w14:paraId="286EC7E4" w14:textId="77777777" w:rsidTr="00A30D95">
        <w:tc>
          <w:tcPr>
            <w:tcW w:w="2802" w:type="dxa"/>
          </w:tcPr>
          <w:p w14:paraId="231914AB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Nem ismert:</w:t>
            </w:r>
          </w:p>
        </w:tc>
        <w:tc>
          <w:tcPr>
            <w:tcW w:w="6483" w:type="dxa"/>
          </w:tcPr>
          <w:p w14:paraId="143AA23D" w14:textId="77777777" w:rsidR="00A30D95" w:rsidRPr="00AE4B53" w:rsidRDefault="00CF3BB0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H</w:t>
            </w:r>
            <w:r w:rsidR="00A30D95" w:rsidRPr="00AE4B53">
              <w:rPr>
                <w:sz w:val="22"/>
                <w:szCs w:val="22"/>
                <w:lang w:val="hu-HU" w:eastAsia="hu-HU"/>
              </w:rPr>
              <w:t>ypomagnesaemia</w:t>
            </w:r>
            <w:r>
              <w:rPr>
                <w:sz w:val="22"/>
                <w:szCs w:val="22"/>
                <w:lang w:val="hu-HU" w:eastAsia="hu-HU"/>
              </w:rPr>
              <w:t xml:space="preserve"> (lásd 4.4 pont)</w:t>
            </w:r>
            <w:r w:rsidR="00A30D95" w:rsidRPr="00AE4B53">
              <w:rPr>
                <w:sz w:val="22"/>
                <w:szCs w:val="22"/>
                <w:lang w:val="hu-HU" w:eastAsia="hu-HU"/>
              </w:rPr>
              <w:t>; a súlyos hypomagnesaemia összefügghet hypocalcaemiával; a hypomagnesaemia hypokalaemiával szintén társulhat</w:t>
            </w:r>
          </w:p>
        </w:tc>
      </w:tr>
      <w:tr w:rsidR="00A30D95" w:rsidRPr="00AE4B53" w14:paraId="75313661" w14:textId="77777777" w:rsidTr="00A30D95">
        <w:trPr>
          <w:cantSplit/>
        </w:trPr>
        <w:tc>
          <w:tcPr>
            <w:tcW w:w="9285" w:type="dxa"/>
            <w:gridSpan w:val="2"/>
          </w:tcPr>
          <w:p w14:paraId="3CF7457A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Pszichiátriai kórképek</w:t>
            </w:r>
          </w:p>
        </w:tc>
      </w:tr>
      <w:tr w:rsidR="00A30D95" w:rsidRPr="00AE4B53" w14:paraId="34BA9C11" w14:textId="77777777" w:rsidTr="00A30D95">
        <w:tc>
          <w:tcPr>
            <w:tcW w:w="2802" w:type="dxa"/>
          </w:tcPr>
          <w:p w14:paraId="7C001801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Nem gyakori:</w:t>
            </w:r>
          </w:p>
        </w:tc>
        <w:tc>
          <w:tcPr>
            <w:tcW w:w="6483" w:type="dxa"/>
          </w:tcPr>
          <w:p w14:paraId="2AA5C671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álmatlanság</w:t>
            </w:r>
          </w:p>
        </w:tc>
      </w:tr>
      <w:tr w:rsidR="00A30D95" w:rsidRPr="00AE4B53" w14:paraId="0DE8C58B" w14:textId="77777777" w:rsidTr="00A30D95">
        <w:tc>
          <w:tcPr>
            <w:tcW w:w="2802" w:type="dxa"/>
          </w:tcPr>
          <w:p w14:paraId="760208CC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47186508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agitáció, zavartság, depresszió</w:t>
            </w:r>
          </w:p>
        </w:tc>
      </w:tr>
      <w:tr w:rsidR="00A30D95" w:rsidRPr="00AE4B53" w14:paraId="1F63BD6C" w14:textId="77777777" w:rsidTr="00A30D95">
        <w:tc>
          <w:tcPr>
            <w:tcW w:w="2802" w:type="dxa"/>
          </w:tcPr>
          <w:p w14:paraId="35EF0C9C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Nagyon ritka:</w:t>
            </w:r>
          </w:p>
        </w:tc>
        <w:tc>
          <w:tcPr>
            <w:tcW w:w="6483" w:type="dxa"/>
          </w:tcPr>
          <w:p w14:paraId="2EC38F78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agresszió, hallucinációk</w:t>
            </w:r>
          </w:p>
        </w:tc>
      </w:tr>
      <w:tr w:rsidR="00A30D95" w:rsidRPr="00AE4B53" w14:paraId="0989111A" w14:textId="77777777" w:rsidTr="00A30D95">
        <w:trPr>
          <w:cantSplit/>
        </w:trPr>
        <w:tc>
          <w:tcPr>
            <w:tcW w:w="9285" w:type="dxa"/>
            <w:gridSpan w:val="2"/>
          </w:tcPr>
          <w:p w14:paraId="50668F02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Idegrendszeri betegségek és tünetek</w:t>
            </w:r>
          </w:p>
        </w:tc>
      </w:tr>
      <w:tr w:rsidR="00A30D95" w:rsidRPr="00AE4B53" w14:paraId="0BA79C86" w14:textId="77777777" w:rsidTr="00A30D95">
        <w:tc>
          <w:tcPr>
            <w:tcW w:w="2802" w:type="dxa"/>
          </w:tcPr>
          <w:p w14:paraId="6A61CFF6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Gyakori:</w:t>
            </w:r>
          </w:p>
        </w:tc>
        <w:tc>
          <w:tcPr>
            <w:tcW w:w="6483" w:type="dxa"/>
          </w:tcPr>
          <w:p w14:paraId="4573EF14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fejfájás</w:t>
            </w:r>
          </w:p>
        </w:tc>
      </w:tr>
      <w:tr w:rsidR="00A30D95" w:rsidRPr="00AE4B53" w14:paraId="7F2885F3" w14:textId="77777777" w:rsidTr="00A30D95">
        <w:tc>
          <w:tcPr>
            <w:tcW w:w="2802" w:type="dxa"/>
          </w:tcPr>
          <w:p w14:paraId="382C7462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Nem gyakori:</w:t>
            </w:r>
          </w:p>
        </w:tc>
        <w:tc>
          <w:tcPr>
            <w:tcW w:w="6483" w:type="dxa"/>
          </w:tcPr>
          <w:p w14:paraId="1C7993D1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szédülés, paraesthesia, somnolentia</w:t>
            </w:r>
          </w:p>
        </w:tc>
      </w:tr>
      <w:tr w:rsidR="00A30D95" w:rsidRPr="00AE4B53" w14:paraId="7836869F" w14:textId="77777777" w:rsidTr="00A30D95">
        <w:tc>
          <w:tcPr>
            <w:tcW w:w="2802" w:type="dxa"/>
          </w:tcPr>
          <w:p w14:paraId="50A7B0FD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4C3DC189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ízérzés zavarai</w:t>
            </w:r>
          </w:p>
        </w:tc>
      </w:tr>
      <w:tr w:rsidR="00A30D95" w:rsidRPr="00AE4B53" w14:paraId="0DE963BD" w14:textId="77777777" w:rsidTr="00A30D95">
        <w:trPr>
          <w:cantSplit/>
        </w:trPr>
        <w:tc>
          <w:tcPr>
            <w:tcW w:w="9285" w:type="dxa"/>
            <w:gridSpan w:val="2"/>
          </w:tcPr>
          <w:p w14:paraId="5ED78A81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Szembetegségek és szemészeti tünetek</w:t>
            </w:r>
          </w:p>
        </w:tc>
      </w:tr>
      <w:tr w:rsidR="00A30D95" w:rsidRPr="00AE4B53" w14:paraId="1CDC029F" w14:textId="77777777" w:rsidTr="00A30D95">
        <w:tc>
          <w:tcPr>
            <w:tcW w:w="2802" w:type="dxa"/>
          </w:tcPr>
          <w:p w14:paraId="4DA3FA37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26C2DE6F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homályos látás</w:t>
            </w:r>
          </w:p>
        </w:tc>
      </w:tr>
      <w:tr w:rsidR="00A30D95" w:rsidRPr="00AE4B53" w14:paraId="796E3DE1" w14:textId="77777777" w:rsidTr="00A30D95">
        <w:trPr>
          <w:cantSplit/>
        </w:trPr>
        <w:tc>
          <w:tcPr>
            <w:tcW w:w="9285" w:type="dxa"/>
            <w:gridSpan w:val="2"/>
          </w:tcPr>
          <w:p w14:paraId="3F5D4D60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A fül és az egyensúly-érzékelő szerv betegségei és tünetei</w:t>
            </w:r>
          </w:p>
        </w:tc>
      </w:tr>
      <w:tr w:rsidR="00A30D95" w:rsidRPr="00AE4B53" w14:paraId="10A14626" w14:textId="77777777" w:rsidTr="00A30D95">
        <w:tc>
          <w:tcPr>
            <w:tcW w:w="2802" w:type="dxa"/>
          </w:tcPr>
          <w:p w14:paraId="1548D10F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Nem gyakori:</w:t>
            </w:r>
          </w:p>
        </w:tc>
        <w:tc>
          <w:tcPr>
            <w:tcW w:w="6483" w:type="dxa"/>
          </w:tcPr>
          <w:p w14:paraId="2588EAB7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vertigo</w:t>
            </w:r>
          </w:p>
        </w:tc>
      </w:tr>
      <w:tr w:rsidR="00A30D95" w:rsidRPr="00AE4B53" w14:paraId="080EE06E" w14:textId="77777777" w:rsidTr="00A30D95">
        <w:trPr>
          <w:cantSplit/>
        </w:trPr>
        <w:tc>
          <w:tcPr>
            <w:tcW w:w="9285" w:type="dxa"/>
            <w:gridSpan w:val="2"/>
          </w:tcPr>
          <w:p w14:paraId="160CE737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lastRenderedPageBreak/>
              <w:t>Légzőrendszeri, mellkasi és mediastinalis betegségek és tünetek</w:t>
            </w:r>
          </w:p>
        </w:tc>
      </w:tr>
      <w:tr w:rsidR="00A30D95" w:rsidRPr="00AE4B53" w14:paraId="79EE8CA1" w14:textId="77777777" w:rsidTr="00A30D95">
        <w:tc>
          <w:tcPr>
            <w:tcW w:w="2802" w:type="dxa"/>
          </w:tcPr>
          <w:p w14:paraId="3DC49F52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3B20F1F1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bronchospasmus</w:t>
            </w:r>
          </w:p>
        </w:tc>
      </w:tr>
      <w:tr w:rsidR="00A30D95" w:rsidRPr="00AE4B53" w14:paraId="46B5D35D" w14:textId="77777777" w:rsidTr="00A30D95">
        <w:trPr>
          <w:cantSplit/>
        </w:trPr>
        <w:tc>
          <w:tcPr>
            <w:tcW w:w="9285" w:type="dxa"/>
            <w:gridSpan w:val="2"/>
          </w:tcPr>
          <w:p w14:paraId="4F95F3C6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Emésztőrendszeri betegségek és tünetek</w:t>
            </w:r>
          </w:p>
        </w:tc>
      </w:tr>
      <w:tr w:rsidR="00A30D95" w:rsidRPr="00AE4B53" w14:paraId="644EB54A" w14:textId="77777777" w:rsidTr="00A30D95">
        <w:tc>
          <w:tcPr>
            <w:tcW w:w="2802" w:type="dxa"/>
          </w:tcPr>
          <w:p w14:paraId="487A67DB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Gyakori:</w:t>
            </w:r>
          </w:p>
        </w:tc>
        <w:tc>
          <w:tcPr>
            <w:tcW w:w="6483" w:type="dxa"/>
          </w:tcPr>
          <w:p w14:paraId="1AEF2AEE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hasi fájdalom, székrekedés, diarrhoea, flatulencia, hányinger/hányás</w:t>
            </w:r>
            <w:r w:rsidR="004C6DA7">
              <w:rPr>
                <w:sz w:val="22"/>
                <w:szCs w:val="22"/>
                <w:lang w:val="hu-HU" w:eastAsia="hu-HU"/>
              </w:rPr>
              <w:t>, f</w:t>
            </w:r>
            <w:r w:rsidR="004C6DA7" w:rsidRPr="004C6DA7">
              <w:rPr>
                <w:sz w:val="22"/>
                <w:szCs w:val="22"/>
                <w:lang w:val="hu-HU" w:eastAsia="hu-HU"/>
              </w:rPr>
              <w:t>undus mirigy polipok (benignus)</w:t>
            </w:r>
          </w:p>
        </w:tc>
      </w:tr>
      <w:tr w:rsidR="00A30D95" w:rsidRPr="00AE4B53" w14:paraId="776F2513" w14:textId="77777777" w:rsidTr="00A30D95">
        <w:tc>
          <w:tcPr>
            <w:tcW w:w="2802" w:type="dxa"/>
          </w:tcPr>
          <w:p w14:paraId="3A8DC701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6C183326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szájszárazság, stomatitis, gastrointestinalis candidiasis</w:t>
            </w:r>
          </w:p>
        </w:tc>
      </w:tr>
      <w:tr w:rsidR="00A30D95" w:rsidRPr="00AE4B53" w14:paraId="2586DC8B" w14:textId="77777777" w:rsidTr="00A30D95">
        <w:tc>
          <w:tcPr>
            <w:tcW w:w="2802" w:type="dxa"/>
          </w:tcPr>
          <w:p w14:paraId="7DEE35DF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Nem ismert:</w:t>
            </w:r>
          </w:p>
        </w:tc>
        <w:tc>
          <w:tcPr>
            <w:tcW w:w="6483" w:type="dxa"/>
          </w:tcPr>
          <w:p w14:paraId="3695A279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mikroszkópos colitis</w:t>
            </w:r>
          </w:p>
        </w:tc>
      </w:tr>
      <w:tr w:rsidR="00A30D95" w:rsidRPr="00AE4B53" w14:paraId="1C7F4035" w14:textId="77777777" w:rsidTr="00A30D95">
        <w:trPr>
          <w:cantSplit/>
        </w:trPr>
        <w:tc>
          <w:tcPr>
            <w:tcW w:w="9285" w:type="dxa"/>
            <w:gridSpan w:val="2"/>
          </w:tcPr>
          <w:p w14:paraId="41C77924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Máj- és epebetegségek, illetve tünetek</w:t>
            </w:r>
          </w:p>
        </w:tc>
      </w:tr>
      <w:tr w:rsidR="00A30D95" w:rsidRPr="00AE4B53" w14:paraId="30CD3872" w14:textId="77777777" w:rsidTr="00A30D95">
        <w:tc>
          <w:tcPr>
            <w:tcW w:w="2802" w:type="dxa"/>
          </w:tcPr>
          <w:p w14:paraId="58CEFAD5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Nem gyakori:</w:t>
            </w:r>
          </w:p>
        </w:tc>
        <w:tc>
          <w:tcPr>
            <w:tcW w:w="6483" w:type="dxa"/>
          </w:tcPr>
          <w:p w14:paraId="1779A575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emelkedett májenzimek</w:t>
            </w:r>
          </w:p>
        </w:tc>
      </w:tr>
      <w:tr w:rsidR="00A30D95" w:rsidRPr="00AE4B53" w14:paraId="64D02386" w14:textId="77777777" w:rsidTr="00A30D95">
        <w:tc>
          <w:tcPr>
            <w:tcW w:w="2802" w:type="dxa"/>
          </w:tcPr>
          <w:p w14:paraId="4BFB3711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7F7C7637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sárgasággal járó vagy anélkül jelentkező hepatitis</w:t>
            </w:r>
          </w:p>
        </w:tc>
      </w:tr>
      <w:tr w:rsidR="00A30D95" w:rsidRPr="00AE4B53" w14:paraId="047C9E49" w14:textId="77777777" w:rsidTr="00A30D95">
        <w:tc>
          <w:tcPr>
            <w:tcW w:w="2802" w:type="dxa"/>
          </w:tcPr>
          <w:p w14:paraId="1FEFBC26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Nagyon ritka:</w:t>
            </w:r>
          </w:p>
        </w:tc>
        <w:tc>
          <w:tcPr>
            <w:tcW w:w="6483" w:type="dxa"/>
          </w:tcPr>
          <w:p w14:paraId="4B11C9EE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>
              <w:rPr>
                <w:sz w:val="22"/>
                <w:szCs w:val="22"/>
                <w:lang w:val="hu-HU" w:eastAsia="hu-HU"/>
              </w:rPr>
              <w:t>m</w:t>
            </w:r>
            <w:r w:rsidRPr="00AE4B53">
              <w:rPr>
                <w:sz w:val="22"/>
                <w:szCs w:val="22"/>
                <w:lang w:val="hu-HU" w:eastAsia="hu-HU"/>
              </w:rPr>
              <w:t>ájelégtelenség, encephalopathia a már fennálló májbetegségben szenvedő betegeknél</w:t>
            </w:r>
          </w:p>
        </w:tc>
      </w:tr>
      <w:tr w:rsidR="00A30D95" w:rsidRPr="00AE4B53" w14:paraId="5B7104B7" w14:textId="77777777" w:rsidTr="00A30D95">
        <w:trPr>
          <w:cantSplit/>
        </w:trPr>
        <w:tc>
          <w:tcPr>
            <w:tcW w:w="9285" w:type="dxa"/>
            <w:gridSpan w:val="2"/>
          </w:tcPr>
          <w:p w14:paraId="3BD0FC6F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A bőr és a bőr alatti szövet betegségei és tünetei</w:t>
            </w:r>
          </w:p>
        </w:tc>
      </w:tr>
      <w:tr w:rsidR="00A30D95" w:rsidRPr="00AE4B53" w14:paraId="08AACB19" w14:textId="77777777" w:rsidTr="00A30D95">
        <w:tc>
          <w:tcPr>
            <w:tcW w:w="2802" w:type="dxa"/>
          </w:tcPr>
          <w:p w14:paraId="19CECAE2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Nem gyakori:</w:t>
            </w:r>
          </w:p>
        </w:tc>
        <w:tc>
          <w:tcPr>
            <w:tcW w:w="6483" w:type="dxa"/>
          </w:tcPr>
          <w:p w14:paraId="2D49F0E2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dermatitis, pruritus, bőrkiütés, urticaria</w:t>
            </w:r>
          </w:p>
        </w:tc>
      </w:tr>
      <w:tr w:rsidR="00A30D95" w:rsidRPr="00AE4B53" w14:paraId="08966D3F" w14:textId="77777777" w:rsidTr="00A30D95">
        <w:tc>
          <w:tcPr>
            <w:tcW w:w="2802" w:type="dxa"/>
          </w:tcPr>
          <w:p w14:paraId="1B3E2C04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3B2B5631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alopecia, fényérzékenység</w:t>
            </w:r>
            <w:r w:rsidR="00BE075C">
              <w:rPr>
                <w:sz w:val="22"/>
                <w:szCs w:val="22"/>
                <w:lang w:val="hu-HU" w:eastAsia="hu-HU"/>
              </w:rPr>
              <w:t xml:space="preserve">, </w:t>
            </w:r>
            <w:r w:rsidR="00BE075C" w:rsidRPr="00BE075C">
              <w:rPr>
                <w:sz w:val="22"/>
                <w:szCs w:val="22"/>
                <w:lang w:val="hu-HU" w:eastAsia="hu-HU"/>
              </w:rPr>
              <w:t>acut generalizált exanthemás pustulosis (AGEP)</w:t>
            </w:r>
            <w:r w:rsidR="00BE075C">
              <w:rPr>
                <w:sz w:val="22"/>
                <w:szCs w:val="22"/>
                <w:lang w:val="hu-HU" w:eastAsia="hu-HU"/>
              </w:rPr>
              <w:t>,</w:t>
            </w:r>
            <w:r w:rsidR="00BE075C" w:rsidRPr="00BE075C">
              <w:rPr>
                <w:sz w:val="22"/>
                <w:szCs w:val="22"/>
                <w:lang w:val="hu-HU" w:eastAsia="hu-HU"/>
              </w:rPr>
              <w:t xml:space="preserve"> gyógyszerreakció eosinophiliával és systemás panaszokkal (DRESS)</w:t>
            </w:r>
          </w:p>
        </w:tc>
      </w:tr>
      <w:tr w:rsidR="00A30D95" w:rsidRPr="00AE4B53" w14:paraId="52F78350" w14:textId="77777777" w:rsidTr="00A30D95">
        <w:tc>
          <w:tcPr>
            <w:tcW w:w="2802" w:type="dxa"/>
          </w:tcPr>
          <w:p w14:paraId="0DE9BC64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Nagyon ritka:</w:t>
            </w:r>
          </w:p>
        </w:tc>
        <w:tc>
          <w:tcPr>
            <w:tcW w:w="6483" w:type="dxa"/>
          </w:tcPr>
          <w:p w14:paraId="5AED0C23" w14:textId="59ACA268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erythema multiforme, Stevens–Johnson</w:t>
            </w:r>
            <w:r w:rsidR="00E83305">
              <w:rPr>
                <w:sz w:val="22"/>
                <w:szCs w:val="22"/>
                <w:lang w:val="hu-HU" w:eastAsia="hu-HU"/>
              </w:rPr>
              <w:t>-</w:t>
            </w:r>
            <w:r w:rsidRPr="00AE4B53">
              <w:rPr>
                <w:sz w:val="22"/>
                <w:szCs w:val="22"/>
                <w:lang w:val="hu-HU" w:eastAsia="hu-HU"/>
              </w:rPr>
              <w:t>szindróma, toxicus epidermalis necrolysis (TEN)</w:t>
            </w:r>
          </w:p>
        </w:tc>
      </w:tr>
      <w:tr w:rsidR="00A30D95" w:rsidRPr="00AE4B53" w14:paraId="434D62D4" w14:textId="77777777" w:rsidTr="00A30D95">
        <w:trPr>
          <w:cantSplit/>
        </w:trPr>
        <w:tc>
          <w:tcPr>
            <w:tcW w:w="9285" w:type="dxa"/>
            <w:gridSpan w:val="2"/>
          </w:tcPr>
          <w:p w14:paraId="7C7583C7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A csont- és izomrendszer, valamint a kötőszövet betegségei és tünetei</w:t>
            </w:r>
          </w:p>
        </w:tc>
      </w:tr>
      <w:tr w:rsidR="00A30D95" w:rsidRPr="00AE4B53" w14:paraId="3FCD74D1" w14:textId="77777777" w:rsidTr="00A30D95">
        <w:tc>
          <w:tcPr>
            <w:tcW w:w="2802" w:type="dxa"/>
          </w:tcPr>
          <w:p w14:paraId="0AD52A79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Nem gyakori:</w:t>
            </w:r>
          </w:p>
        </w:tc>
        <w:tc>
          <w:tcPr>
            <w:tcW w:w="6483" w:type="dxa"/>
          </w:tcPr>
          <w:p w14:paraId="2ECB1410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csípő-, csukló-, vagy gerinctörések</w:t>
            </w:r>
            <w:r w:rsidR="00CF3BB0">
              <w:rPr>
                <w:sz w:val="22"/>
                <w:szCs w:val="22"/>
                <w:lang w:val="hu-HU" w:eastAsia="hu-HU"/>
              </w:rPr>
              <w:t xml:space="preserve"> (lásd 4.4 pont)</w:t>
            </w:r>
          </w:p>
        </w:tc>
      </w:tr>
      <w:tr w:rsidR="00A30D95" w:rsidRPr="00AE4B53" w14:paraId="6DAA3DB6" w14:textId="77777777" w:rsidTr="00A30D95">
        <w:tc>
          <w:tcPr>
            <w:tcW w:w="2802" w:type="dxa"/>
          </w:tcPr>
          <w:p w14:paraId="480748F2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5A864FA4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arthralgia, myalgia</w:t>
            </w:r>
          </w:p>
        </w:tc>
      </w:tr>
      <w:tr w:rsidR="00A30D95" w:rsidRPr="00AE4B53" w14:paraId="2995D4D8" w14:textId="77777777" w:rsidTr="00A30D95">
        <w:tc>
          <w:tcPr>
            <w:tcW w:w="2802" w:type="dxa"/>
          </w:tcPr>
          <w:p w14:paraId="370E67FA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Nagyon ritka:</w:t>
            </w:r>
          </w:p>
        </w:tc>
        <w:tc>
          <w:tcPr>
            <w:tcW w:w="6483" w:type="dxa"/>
          </w:tcPr>
          <w:p w14:paraId="3EB7BB36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izomgyengeség</w:t>
            </w:r>
          </w:p>
        </w:tc>
      </w:tr>
      <w:tr w:rsidR="00A30D95" w:rsidRPr="00AE4B53" w14:paraId="1EE10CB0" w14:textId="77777777" w:rsidTr="00A30D95">
        <w:trPr>
          <w:cantSplit/>
        </w:trPr>
        <w:tc>
          <w:tcPr>
            <w:tcW w:w="9285" w:type="dxa"/>
            <w:gridSpan w:val="2"/>
          </w:tcPr>
          <w:p w14:paraId="74132E38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Vese- és húgyúti betegségek és tünetek</w:t>
            </w:r>
          </w:p>
        </w:tc>
      </w:tr>
      <w:tr w:rsidR="00A30D95" w:rsidRPr="00AE4B53" w14:paraId="391AFE9B" w14:textId="77777777" w:rsidTr="00A30D95">
        <w:tc>
          <w:tcPr>
            <w:tcW w:w="2802" w:type="dxa"/>
          </w:tcPr>
          <w:p w14:paraId="3AB0769B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1EC2FAC4" w14:textId="77777777" w:rsidR="00A30D95" w:rsidRPr="00AE4B53" w:rsidRDefault="00B05EDA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>
              <w:rPr>
                <w:bCs/>
                <w:sz w:val="22"/>
                <w:szCs w:val="22"/>
                <w:lang w:val="hu-HU" w:eastAsia="hu-HU"/>
              </w:rPr>
              <w:t>tubolo</w:t>
            </w:r>
            <w:r w:rsidR="00A30D95" w:rsidRPr="00AE4B53">
              <w:rPr>
                <w:bCs/>
                <w:sz w:val="22"/>
                <w:szCs w:val="22"/>
                <w:lang w:val="hu-HU" w:eastAsia="hu-HU"/>
              </w:rPr>
              <w:t>interstitialis nephritis</w:t>
            </w:r>
            <w:r>
              <w:rPr>
                <w:bCs/>
                <w:sz w:val="22"/>
                <w:szCs w:val="22"/>
                <w:lang w:val="hu-HU" w:eastAsia="hu-HU"/>
              </w:rPr>
              <w:t xml:space="preserve"> </w:t>
            </w:r>
            <w:r w:rsidRPr="00B05EDA">
              <w:rPr>
                <w:bCs/>
                <w:sz w:val="22"/>
                <w:szCs w:val="22"/>
                <w:lang w:val="hu-HU" w:eastAsia="hu-HU"/>
              </w:rPr>
              <w:t>(veseelégtelenségbe progrediálhat)</w:t>
            </w:r>
          </w:p>
        </w:tc>
      </w:tr>
      <w:tr w:rsidR="00A30D95" w:rsidRPr="00AE4B53" w14:paraId="15C3ADAA" w14:textId="77777777" w:rsidTr="00A30D95">
        <w:trPr>
          <w:cantSplit/>
        </w:trPr>
        <w:tc>
          <w:tcPr>
            <w:tcW w:w="9285" w:type="dxa"/>
            <w:gridSpan w:val="2"/>
          </w:tcPr>
          <w:p w14:paraId="5BA64C22" w14:textId="77777777" w:rsidR="00A30D95" w:rsidRPr="00AE4B53" w:rsidRDefault="00A30D95" w:rsidP="00587235">
            <w:pPr>
              <w:suppressAutoHyphens/>
              <w:rPr>
                <w:b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sz w:val="22"/>
                <w:szCs w:val="22"/>
                <w:lang w:val="hu-HU" w:eastAsia="hu-HU"/>
              </w:rPr>
              <w:t>A nemi szervekkel és az emlőkkel kapcsolatos betegségek és tünetek</w:t>
            </w:r>
          </w:p>
        </w:tc>
      </w:tr>
      <w:tr w:rsidR="00A30D95" w:rsidRPr="00AE4B53" w14:paraId="71ABDFB7" w14:textId="77777777" w:rsidTr="00A30D95">
        <w:tc>
          <w:tcPr>
            <w:tcW w:w="2802" w:type="dxa"/>
          </w:tcPr>
          <w:p w14:paraId="0EEA0929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Nagyon ritka:</w:t>
            </w:r>
          </w:p>
        </w:tc>
        <w:tc>
          <w:tcPr>
            <w:tcW w:w="6483" w:type="dxa"/>
          </w:tcPr>
          <w:p w14:paraId="436E186D" w14:textId="77777777" w:rsidR="00A30D95" w:rsidRPr="00AE4B53" w:rsidRDefault="00A30D95" w:rsidP="00587235">
            <w:pPr>
              <w:suppressAutoHyphens/>
              <w:rPr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Cs/>
                <w:sz w:val="22"/>
                <w:szCs w:val="22"/>
                <w:lang w:val="hu-HU" w:eastAsia="hu-HU"/>
              </w:rPr>
              <w:t>gynaecomastia</w:t>
            </w:r>
          </w:p>
        </w:tc>
      </w:tr>
      <w:tr w:rsidR="00A30D95" w:rsidRPr="00AE4B53" w14:paraId="7DE65925" w14:textId="77777777" w:rsidTr="00A30D95">
        <w:trPr>
          <w:cantSplit/>
        </w:trPr>
        <w:tc>
          <w:tcPr>
            <w:tcW w:w="9285" w:type="dxa"/>
            <w:gridSpan w:val="2"/>
          </w:tcPr>
          <w:p w14:paraId="69B272AD" w14:textId="77777777" w:rsidR="00A30D95" w:rsidRPr="00AE4B53" w:rsidRDefault="00A30D95" w:rsidP="00587235">
            <w:pPr>
              <w:suppressAutoHyphens/>
              <w:rPr>
                <w:b/>
                <w:bCs/>
                <w:sz w:val="22"/>
                <w:szCs w:val="22"/>
                <w:lang w:val="hu-HU" w:eastAsia="hu-HU"/>
              </w:rPr>
            </w:pPr>
            <w:r w:rsidRPr="00AE4B53">
              <w:rPr>
                <w:b/>
                <w:bCs/>
                <w:sz w:val="22"/>
                <w:szCs w:val="22"/>
                <w:lang w:val="hu-HU" w:eastAsia="hu-HU"/>
              </w:rPr>
              <w:t>Általános tünetek, az alkalmazás helyén fellépő reakciók</w:t>
            </w:r>
          </w:p>
        </w:tc>
      </w:tr>
      <w:tr w:rsidR="00A30D95" w:rsidRPr="00AE4B53" w14:paraId="77C49C45" w14:textId="77777777" w:rsidTr="00A30D95">
        <w:tc>
          <w:tcPr>
            <w:tcW w:w="2802" w:type="dxa"/>
          </w:tcPr>
          <w:p w14:paraId="08F6DBC7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 xml:space="preserve">Nem gyakori: </w:t>
            </w:r>
          </w:p>
        </w:tc>
        <w:tc>
          <w:tcPr>
            <w:tcW w:w="6483" w:type="dxa"/>
          </w:tcPr>
          <w:p w14:paraId="015A142C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általános rossz közérzet, peripheriás oedema</w:t>
            </w:r>
          </w:p>
        </w:tc>
      </w:tr>
      <w:tr w:rsidR="00A30D95" w:rsidRPr="00AE4B53" w14:paraId="39115788" w14:textId="77777777" w:rsidTr="00A30D95">
        <w:tc>
          <w:tcPr>
            <w:tcW w:w="2802" w:type="dxa"/>
          </w:tcPr>
          <w:p w14:paraId="4CABFD6D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Ritka:</w:t>
            </w:r>
          </w:p>
        </w:tc>
        <w:tc>
          <w:tcPr>
            <w:tcW w:w="6483" w:type="dxa"/>
          </w:tcPr>
          <w:p w14:paraId="7D261570" w14:textId="77777777" w:rsidR="00A30D95" w:rsidRPr="00AE4B53" w:rsidRDefault="00A30D95" w:rsidP="00587235">
            <w:pPr>
              <w:suppressAutoHyphens/>
              <w:rPr>
                <w:sz w:val="22"/>
                <w:szCs w:val="22"/>
                <w:lang w:val="hu-HU" w:eastAsia="hu-HU"/>
              </w:rPr>
            </w:pPr>
            <w:r w:rsidRPr="00AE4B53">
              <w:rPr>
                <w:sz w:val="22"/>
                <w:szCs w:val="22"/>
                <w:lang w:val="hu-HU" w:eastAsia="hu-HU"/>
              </w:rPr>
              <w:t>fokozott izzadás</w:t>
            </w:r>
          </w:p>
        </w:tc>
      </w:tr>
    </w:tbl>
    <w:p w14:paraId="6957E155" w14:textId="77777777" w:rsidR="00FA4F40" w:rsidRPr="00F14151" w:rsidRDefault="003F5FE3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Gyermek</w:t>
      </w:r>
      <w:r>
        <w:rPr>
          <w:sz w:val="22"/>
          <w:szCs w:val="22"/>
          <w:u w:val="single"/>
          <w:lang w:val="hu-HU"/>
        </w:rPr>
        <w:t>ek</w:t>
      </w:r>
      <w:r w:rsidR="00A30D95">
        <w:rPr>
          <w:sz w:val="22"/>
          <w:szCs w:val="22"/>
          <w:u w:val="single"/>
          <w:lang w:val="hu-HU"/>
        </w:rPr>
        <w:t xml:space="preserve"> és serdülők</w:t>
      </w:r>
    </w:p>
    <w:p w14:paraId="6B6C6D6A" w14:textId="77777777" w:rsidR="00FA4F40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biztonságosságát összesen 310, 0</w:t>
      </w:r>
      <w:r w:rsidR="00DE58EF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16</w:t>
      </w:r>
      <w:r w:rsidR="00DE58E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év közötti, gyomorsav-termeléssel összefüggő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betegségben szenvedő gyermeknél vizsgálták. A hosszútávú alkalmazás biztonságosságára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vonatkozóan csak korlátozott számú adat áll rendelkezésre egy olyan klinikai vizsgálatból, </w:t>
      </w:r>
      <w:r w:rsidR="003A4729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melyben 46</w:t>
      </w:r>
      <w:r w:rsidR="00784D2A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súlyos erosiv oesophagitisben szenvedő gyermek 749</w:t>
      </w:r>
      <w:r w:rsidR="00DE58E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napig kapott omeprazol fenntartó terápiát.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nemkívánatos események profilja általánosságban hasonló volt a felnőttek rövid- és hosszútávú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kezelésében tapasztaltakéhoz. Nincsenek hosszútávú adatok az omeprazolnak a pubertásra és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növekedésre kifejtett hatásaira vonatkozóan.</w:t>
      </w:r>
    </w:p>
    <w:p w14:paraId="39AE7F28" w14:textId="77777777" w:rsidR="00D4222D" w:rsidRDefault="00D4222D" w:rsidP="00D4222D">
      <w:pPr>
        <w:tabs>
          <w:tab w:val="left" w:pos="567"/>
        </w:tabs>
        <w:rPr>
          <w:rFonts w:eastAsia="SimSun"/>
          <w:snapToGrid w:val="0"/>
          <w:sz w:val="22"/>
          <w:szCs w:val="20"/>
          <w:u w:val="single"/>
          <w:lang w:val="hu-HU" w:eastAsia="zh-CN"/>
        </w:rPr>
      </w:pPr>
    </w:p>
    <w:p w14:paraId="765100E9" w14:textId="77777777" w:rsidR="00D4222D" w:rsidRPr="00D4222D" w:rsidRDefault="00D4222D" w:rsidP="00667C1B">
      <w:pPr>
        <w:keepNext/>
        <w:tabs>
          <w:tab w:val="left" w:pos="567"/>
        </w:tabs>
        <w:rPr>
          <w:rFonts w:eastAsia="SimSun"/>
          <w:snapToGrid w:val="0"/>
          <w:sz w:val="22"/>
          <w:szCs w:val="20"/>
          <w:u w:val="single"/>
          <w:lang w:val="hu-HU" w:eastAsia="zh-CN"/>
        </w:rPr>
      </w:pPr>
      <w:r w:rsidRPr="00D4222D">
        <w:rPr>
          <w:rFonts w:eastAsia="SimSun"/>
          <w:snapToGrid w:val="0"/>
          <w:sz w:val="22"/>
          <w:szCs w:val="20"/>
          <w:u w:val="single"/>
          <w:lang w:val="hu-HU" w:eastAsia="zh-CN"/>
        </w:rPr>
        <w:t>Feltételezett mellékhatások bejelentése</w:t>
      </w:r>
    </w:p>
    <w:p w14:paraId="1C9CF39E" w14:textId="77777777" w:rsidR="00D4222D" w:rsidRPr="00D4222D" w:rsidRDefault="00D4222D" w:rsidP="00D4222D">
      <w:pPr>
        <w:tabs>
          <w:tab w:val="left" w:pos="567"/>
        </w:tabs>
        <w:rPr>
          <w:rFonts w:eastAsia="SimSun"/>
          <w:snapToGrid w:val="0"/>
          <w:sz w:val="22"/>
          <w:szCs w:val="20"/>
          <w:lang w:val="hu-HU" w:eastAsia="zh-CN"/>
        </w:rPr>
      </w:pPr>
      <w:r w:rsidRPr="00D4222D">
        <w:rPr>
          <w:rFonts w:eastAsia="SimSun"/>
          <w:snapToGrid w:val="0"/>
          <w:sz w:val="22"/>
          <w:szCs w:val="20"/>
          <w:lang w:val="hu-HU" w:eastAsia="zh-CN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C3AA95F" w14:textId="77777777" w:rsidR="00D4222D" w:rsidRPr="00D4222D" w:rsidRDefault="00D4222D" w:rsidP="00D4222D">
      <w:pPr>
        <w:tabs>
          <w:tab w:val="left" w:pos="567"/>
        </w:tabs>
        <w:rPr>
          <w:rFonts w:eastAsia="SimSun"/>
          <w:snapToGrid w:val="0"/>
          <w:sz w:val="22"/>
          <w:szCs w:val="20"/>
          <w:lang w:val="hu-HU" w:eastAsia="zh-CN"/>
        </w:rPr>
      </w:pPr>
      <w:r w:rsidRPr="00D4222D">
        <w:rPr>
          <w:rFonts w:eastAsia="SimSun"/>
          <w:snapToGrid w:val="0"/>
          <w:sz w:val="22"/>
          <w:szCs w:val="20"/>
          <w:lang w:val="hu-HU" w:eastAsia="zh-CN"/>
        </w:rPr>
        <w:t xml:space="preserve">Az egészségügyi szakembereket kérjük, hogy jelentsék be a feltételezett mellékhatásokat a hatóság részére az </w:t>
      </w:r>
      <w:hyperlink r:id="rId7" w:history="1">
        <w:r w:rsidRPr="00D4222D">
          <w:rPr>
            <w:rFonts w:eastAsia="SimSu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Pr="00D4222D">
        <w:rPr>
          <w:rFonts w:eastAsia="SimSun"/>
          <w:snapToGrid w:val="0"/>
          <w:sz w:val="22"/>
          <w:szCs w:val="20"/>
          <w:highlight w:val="lightGray"/>
          <w:lang w:val="hu-HU" w:eastAsia="zh-CN"/>
        </w:rPr>
        <w:t xml:space="preserve"> található elérhetőségek valamelyikén keresztül</w:t>
      </w:r>
      <w:r w:rsidRPr="00D4222D">
        <w:rPr>
          <w:rFonts w:eastAsia="SimSun"/>
          <w:snapToGrid w:val="0"/>
          <w:sz w:val="22"/>
          <w:szCs w:val="20"/>
          <w:lang w:val="hu-HU" w:eastAsia="zh-CN"/>
        </w:rPr>
        <w:t>.</w:t>
      </w:r>
    </w:p>
    <w:p w14:paraId="01808B77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3B730190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4.9</w:t>
      </w:r>
      <w:r w:rsidRPr="00F14151">
        <w:rPr>
          <w:b/>
          <w:bCs/>
          <w:sz w:val="22"/>
          <w:szCs w:val="22"/>
          <w:lang w:val="hu-HU"/>
        </w:rPr>
        <w:tab/>
        <w:t>Túladagolás</w:t>
      </w:r>
    </w:p>
    <w:p w14:paraId="460FC708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66535B6A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Korlátozott számú adat áll rendelkezésre az omeprazol túladagolás hatásairól emberben. Az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irodalomban leírtak 560</w:t>
      </w:r>
      <w:r w:rsidR="00DE58E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mg-ig terjedő adagokat, és az eseti jelentések szerint az egyszeri per os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adagok elérték a 2400</w:t>
      </w:r>
      <w:r w:rsidR="00DE58E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mg-ot (ami a szokásos javasolt klinikai dózis 120</w:t>
      </w:r>
      <w:r w:rsidR="00F90D45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szorosa). Az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túladagolás következményeként jelentkező hányingerről, hányásról, szédülésről, hasi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fájdalmakról, hasmenésről és fejfájásről számoltak be. Néhány esetben apathia, depressio és </w:t>
      </w:r>
      <w:r w:rsidR="00BA153E" w:rsidRPr="00F14151">
        <w:rPr>
          <w:sz w:val="22"/>
          <w:szCs w:val="22"/>
          <w:lang w:val="hu-HU"/>
        </w:rPr>
        <w:t xml:space="preserve">confusio </w:t>
      </w:r>
      <w:r w:rsidRPr="00F14151">
        <w:rPr>
          <w:sz w:val="22"/>
          <w:szCs w:val="22"/>
          <w:lang w:val="hu-HU"/>
        </w:rPr>
        <w:t>is előfordult.</w:t>
      </w:r>
    </w:p>
    <w:p w14:paraId="26E6E5B9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307B97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leírt tünetek átmenetiek voltak, és súlyos kimenetelű esetről nem számoltak be. Az elimináció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mértéke növelt dózisok esetén</w:t>
      </w:r>
      <w:r w:rsidR="00B43BB7" w:rsidRPr="00F14151">
        <w:rPr>
          <w:sz w:val="22"/>
          <w:szCs w:val="22"/>
          <w:lang w:val="hu-HU"/>
        </w:rPr>
        <w:t xml:space="preserve"> változatlan maradt (első</w:t>
      </w:r>
      <w:r w:rsidRPr="00F14151">
        <w:rPr>
          <w:sz w:val="22"/>
          <w:szCs w:val="22"/>
          <w:lang w:val="hu-HU"/>
        </w:rPr>
        <w:t>rendű kinetika). A kezelés, amennyiben arra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szükség van, tüneti.</w:t>
      </w:r>
    </w:p>
    <w:p w14:paraId="5A638444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6D603B7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B595A3F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5.</w:t>
      </w:r>
      <w:r w:rsidRPr="00F14151">
        <w:rPr>
          <w:b/>
          <w:bCs/>
          <w:sz w:val="22"/>
          <w:szCs w:val="22"/>
          <w:lang w:val="hu-HU"/>
        </w:rPr>
        <w:tab/>
        <w:t>FARMAKOLÓGIAI TULAJDONSÁGOK</w:t>
      </w:r>
    </w:p>
    <w:p w14:paraId="3DE809C4" w14:textId="77777777" w:rsidR="00920F43" w:rsidRPr="00F14151" w:rsidRDefault="00920F43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09CB66BE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5.1</w:t>
      </w:r>
      <w:r w:rsidRPr="00F14151">
        <w:rPr>
          <w:b/>
          <w:bCs/>
          <w:sz w:val="22"/>
          <w:szCs w:val="22"/>
          <w:lang w:val="hu-HU"/>
        </w:rPr>
        <w:tab/>
        <w:t>Farmakodinámiás tulajdonságok</w:t>
      </w:r>
    </w:p>
    <w:p w14:paraId="5B3145E3" w14:textId="77777777" w:rsidR="00BA153E" w:rsidRPr="005D4A97" w:rsidRDefault="00BA153E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0C52FE85" w14:textId="77777777" w:rsidR="00FA4F40" w:rsidRPr="00F14151" w:rsidRDefault="00FA4F40" w:rsidP="00667C1B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Farmakoterápiás csoport: </w:t>
      </w:r>
      <w:r w:rsidR="00A30D95" w:rsidRPr="00A73C13">
        <w:rPr>
          <w:sz w:val="22"/>
          <w:szCs w:val="22"/>
          <w:lang w:val="hu-HU"/>
        </w:rPr>
        <w:t>Savtermelés zavarával járó betegségek gyógyszerei,</w:t>
      </w:r>
      <w:r w:rsidR="00A30D95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protonpumpa-gátlók</w:t>
      </w:r>
      <w:r w:rsidR="008B367C" w:rsidRPr="00F14151">
        <w:rPr>
          <w:sz w:val="22"/>
          <w:szCs w:val="22"/>
          <w:lang w:val="hu-HU"/>
        </w:rPr>
        <w:t>.</w:t>
      </w:r>
      <w:r w:rsidR="00840FFA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ATC kód: A02B</w:t>
      </w:r>
      <w:r w:rsidR="00DE58E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C01</w:t>
      </w:r>
    </w:p>
    <w:p w14:paraId="66FADAC1" w14:textId="77777777" w:rsidR="00920F43" w:rsidRPr="00F14151" w:rsidRDefault="00920F43" w:rsidP="00667C1B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0A6FEEC" w14:textId="77777777" w:rsidR="00FA4F40" w:rsidRPr="00F14151" w:rsidRDefault="00FA4F40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Hatásmechanizmus</w:t>
      </w:r>
    </w:p>
    <w:p w14:paraId="618E7149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Az omeprazol, </w:t>
      </w:r>
      <w:r w:rsidR="00CE2C3C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 két enantiom</w:t>
      </w:r>
      <w:r w:rsidR="00CE2C3C" w:rsidRPr="00F14151">
        <w:rPr>
          <w:sz w:val="22"/>
          <w:szCs w:val="22"/>
          <w:lang w:val="hu-HU"/>
        </w:rPr>
        <w:t>e</w:t>
      </w:r>
      <w:r w:rsidRPr="00F14151">
        <w:rPr>
          <w:sz w:val="22"/>
          <w:szCs w:val="22"/>
          <w:lang w:val="hu-HU"/>
        </w:rPr>
        <w:t>r racém elegye, a gyomorsav-szekréciót célzott</w:t>
      </w:r>
      <w:r w:rsidR="00CE2C3C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hatásmechanizmuson keresztül csökkenti. A parietális sejtben lévő protonpumpa speci</w:t>
      </w:r>
      <w:r w:rsidR="00DE58EF" w:rsidRPr="00F14151">
        <w:rPr>
          <w:sz w:val="22"/>
          <w:szCs w:val="22"/>
          <w:lang w:val="hu-HU"/>
        </w:rPr>
        <w:t>fikus</w:t>
      </w:r>
      <w:r w:rsidRPr="00F14151">
        <w:rPr>
          <w:sz w:val="22"/>
          <w:szCs w:val="22"/>
          <w:lang w:val="hu-HU"/>
        </w:rPr>
        <w:t xml:space="preserve"> inhibitora.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Gyorsan hat, </w:t>
      </w:r>
      <w:r w:rsidR="00CE2C3C" w:rsidRPr="00F14151">
        <w:rPr>
          <w:sz w:val="22"/>
          <w:szCs w:val="22"/>
          <w:lang w:val="hu-HU"/>
        </w:rPr>
        <w:t>és a gyomorsav-szekréció reverzí</w:t>
      </w:r>
      <w:r w:rsidRPr="00F14151">
        <w:rPr>
          <w:sz w:val="22"/>
          <w:szCs w:val="22"/>
          <w:lang w:val="hu-HU"/>
        </w:rPr>
        <w:t>bilis gátlásával napi egyszeri adagolás mellett biztosítja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savkontrollt.</w:t>
      </w:r>
    </w:p>
    <w:p w14:paraId="309CD749" w14:textId="77777777" w:rsidR="00A30D95" w:rsidRDefault="00A30D95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BFBD63A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gyenge bázis, ami a parietális sejt intracelluláris canaliculusának savas környezetében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koncentrálódik és aktiválódik, ahol a H</w:t>
      </w:r>
      <w:r w:rsidRPr="00F14151">
        <w:rPr>
          <w:sz w:val="22"/>
          <w:szCs w:val="22"/>
          <w:vertAlign w:val="superscript"/>
          <w:lang w:val="hu-HU"/>
        </w:rPr>
        <w:t>+</w:t>
      </w:r>
      <w:r w:rsidR="00DB01A5" w:rsidRPr="00F14151">
        <w:rPr>
          <w:sz w:val="22"/>
          <w:szCs w:val="22"/>
          <w:lang w:val="hu-HU"/>
        </w:rPr>
        <w:t>/</w:t>
      </w:r>
      <w:r w:rsidRPr="00F14151">
        <w:rPr>
          <w:sz w:val="22"/>
          <w:szCs w:val="22"/>
          <w:lang w:val="hu-HU"/>
        </w:rPr>
        <w:t>K</w:t>
      </w:r>
      <w:r w:rsidRPr="00F14151">
        <w:rPr>
          <w:sz w:val="22"/>
          <w:szCs w:val="22"/>
          <w:vertAlign w:val="superscript"/>
          <w:lang w:val="hu-HU"/>
        </w:rPr>
        <w:t>+</w:t>
      </w:r>
      <w:r w:rsidR="00DB01A5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ATP</w:t>
      </w:r>
      <w:r w:rsidR="00DB01A5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áz enzimet, azaz a protonpumpa működését gátolja.</w:t>
      </w:r>
      <w:r w:rsidR="00920F43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 gyomorsavképződés utolsó fázisára kifejtett hatása dózisfüggő, és igen hatásosan gátolja</w:t>
      </w:r>
      <w:r w:rsidR="00920F43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mind a</w:t>
      </w:r>
      <w:r w:rsidR="00920F43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bazális, mind az inger hatására képződő savtermelést, a stimulációtól függetlenül.</w:t>
      </w:r>
    </w:p>
    <w:p w14:paraId="57562637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F050032" w14:textId="77777777" w:rsidR="00FA4F40" w:rsidRPr="00F14151" w:rsidRDefault="00FA4F40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F14151">
        <w:rPr>
          <w:sz w:val="22"/>
          <w:szCs w:val="22"/>
          <w:u w:val="single"/>
          <w:lang w:val="hu-HU"/>
        </w:rPr>
        <w:t>Farmakodinámiás hatás</w:t>
      </w:r>
    </w:p>
    <w:p w14:paraId="1DE54D71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Minden m</w:t>
      </w:r>
      <w:r w:rsidR="00CE2C3C" w:rsidRPr="00F14151">
        <w:rPr>
          <w:sz w:val="22"/>
          <w:szCs w:val="22"/>
          <w:lang w:val="hu-HU"/>
        </w:rPr>
        <w:t>egfigyelt farmakodinámiás hatás</w:t>
      </w:r>
      <w:r w:rsidRPr="00F14151">
        <w:rPr>
          <w:sz w:val="22"/>
          <w:szCs w:val="22"/>
          <w:lang w:val="hu-HU"/>
        </w:rPr>
        <w:t xml:space="preserve"> megmagyarázható az omeprazolnak a savszekrécióra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kifejtett hatásával.</w:t>
      </w:r>
    </w:p>
    <w:p w14:paraId="00D8A246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1D61014" w14:textId="77777777" w:rsidR="00FA4F40" w:rsidRPr="00F14151" w:rsidRDefault="00FA4F40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A gyomorsav-szekrécióra gyakorolt hatás</w:t>
      </w:r>
    </w:p>
    <w:p w14:paraId="5C338F08" w14:textId="77777777" w:rsidR="00FA4F40" w:rsidRPr="00F14151" w:rsidRDefault="00CE2C3C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napi egyszeri per os adagja gyorsan és hatékonyan gátolja</w:t>
      </w:r>
      <w:r w:rsidR="00FA4F40" w:rsidRPr="00F14151">
        <w:rPr>
          <w:sz w:val="22"/>
          <w:szCs w:val="22"/>
          <w:lang w:val="hu-HU"/>
        </w:rPr>
        <w:t xml:space="preserve"> mind a nappali,</w:t>
      </w:r>
      <w:r w:rsidR="00BA153E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mind pedig az éjjeli gyomorsav szekréciót; a terápia megkezdése után 4</w:t>
      </w:r>
      <w:r w:rsidR="00DB01A5" w:rsidRPr="00F14151">
        <w:rPr>
          <w:sz w:val="22"/>
          <w:szCs w:val="22"/>
          <w:lang w:val="hu-HU"/>
        </w:rPr>
        <w:t> </w:t>
      </w:r>
      <w:r w:rsidR="00FA4F40" w:rsidRPr="00F14151">
        <w:rPr>
          <w:sz w:val="22"/>
          <w:szCs w:val="22"/>
          <w:lang w:val="hu-HU"/>
        </w:rPr>
        <w:t>napon belül eléri a maximális</w:t>
      </w:r>
      <w:r w:rsidR="00BA153E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hatást. 20</w:t>
      </w:r>
      <w:r w:rsidR="00DB01A5" w:rsidRPr="00F14151">
        <w:rPr>
          <w:sz w:val="22"/>
          <w:szCs w:val="22"/>
          <w:lang w:val="hu-HU"/>
        </w:rPr>
        <w:t> </w:t>
      </w:r>
      <w:r w:rsidR="00FA4F40" w:rsidRPr="00F14151">
        <w:rPr>
          <w:sz w:val="22"/>
          <w:szCs w:val="22"/>
          <w:lang w:val="hu-HU"/>
        </w:rPr>
        <w:t>mg omeprazollal 24</w:t>
      </w:r>
      <w:r w:rsidR="00DB01A5" w:rsidRPr="00F14151">
        <w:rPr>
          <w:sz w:val="22"/>
          <w:szCs w:val="22"/>
          <w:lang w:val="hu-HU"/>
        </w:rPr>
        <w:t> </w:t>
      </w:r>
      <w:r w:rsidR="00FA4F40" w:rsidRPr="00F14151">
        <w:rPr>
          <w:sz w:val="22"/>
          <w:szCs w:val="22"/>
          <w:lang w:val="hu-HU"/>
        </w:rPr>
        <w:t>órán k</w:t>
      </w:r>
      <w:r w:rsidRPr="00F14151">
        <w:rPr>
          <w:sz w:val="22"/>
          <w:szCs w:val="22"/>
          <w:lang w:val="hu-HU"/>
        </w:rPr>
        <w:t>eresztül fenntartható a nyombél</w:t>
      </w:r>
      <w:r w:rsidR="00FA4F40" w:rsidRPr="00F14151">
        <w:rPr>
          <w:sz w:val="22"/>
          <w:szCs w:val="22"/>
          <w:lang w:val="hu-HU"/>
        </w:rPr>
        <w:t>fekélyes betegek intragasztrikus</w:t>
      </w:r>
      <w:r w:rsidR="00BA153E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aciditásának átlagosan legalább 80%-os csökkenése. 24</w:t>
      </w:r>
      <w:r w:rsidR="00DB01A5" w:rsidRPr="00F14151">
        <w:rPr>
          <w:sz w:val="22"/>
          <w:szCs w:val="22"/>
          <w:lang w:val="hu-HU"/>
        </w:rPr>
        <w:t> </w:t>
      </w:r>
      <w:r w:rsidR="00FA4F40" w:rsidRPr="00F14151">
        <w:rPr>
          <w:sz w:val="22"/>
          <w:szCs w:val="22"/>
          <w:lang w:val="hu-HU"/>
        </w:rPr>
        <w:t>órával az adag be</w:t>
      </w:r>
      <w:r w:rsidRPr="00F14151">
        <w:rPr>
          <w:sz w:val="22"/>
          <w:szCs w:val="22"/>
          <w:lang w:val="hu-HU"/>
        </w:rPr>
        <w:t>vétele</w:t>
      </w:r>
      <w:r w:rsidR="00FA4F40" w:rsidRPr="00F14151">
        <w:rPr>
          <w:sz w:val="22"/>
          <w:szCs w:val="22"/>
          <w:lang w:val="hu-HU"/>
        </w:rPr>
        <w:t xml:space="preserve"> után a pentagasztrin</w:t>
      </w:r>
      <w:r w:rsidR="00BA153E" w:rsidRPr="00F14151">
        <w:rPr>
          <w:sz w:val="22"/>
          <w:szCs w:val="22"/>
          <w:lang w:val="hu-HU"/>
        </w:rPr>
        <w:t xml:space="preserve"> </w:t>
      </w:r>
      <w:r w:rsidR="00FA4F40" w:rsidRPr="00F14151">
        <w:rPr>
          <w:sz w:val="22"/>
          <w:szCs w:val="22"/>
          <w:lang w:val="hu-HU"/>
        </w:rPr>
        <w:t>stimulációt követő savtermelés csúcsának átlagos csökkenése legalább 70%.</w:t>
      </w:r>
    </w:p>
    <w:p w14:paraId="4102FAFD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A638C3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Duodenalis fekélybetegeknél az omeprazol 20</w:t>
      </w:r>
      <w:r w:rsidR="00DB01A5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mg-os adagja a 24</w:t>
      </w:r>
      <w:r w:rsidR="00DB01A5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órás periódusból átlagosan 17</w:t>
      </w:r>
      <w:r w:rsidR="00DB01A5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órán át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≥</w:t>
      </w:r>
      <w:r w:rsidR="00DB01A5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3 értéken tartja az intragasztrikus pH-t.</w:t>
      </w:r>
    </w:p>
    <w:p w14:paraId="4807A8D9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8E55882" w14:textId="77777777" w:rsidR="00A30D95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lecsökkent savszekréció és intraga</w:t>
      </w:r>
      <w:r w:rsidR="00300166" w:rsidRPr="00F14151">
        <w:rPr>
          <w:sz w:val="22"/>
          <w:szCs w:val="22"/>
          <w:lang w:val="hu-HU"/>
        </w:rPr>
        <w:t>sztrikus aciditás következtében</w:t>
      </w:r>
      <w:r w:rsidRPr="00F14151">
        <w:rPr>
          <w:sz w:val="22"/>
          <w:szCs w:val="22"/>
          <w:lang w:val="hu-HU"/>
        </w:rPr>
        <w:t xml:space="preserve"> az omeprazol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gastro</w:t>
      </w:r>
      <w:r w:rsidR="00AB1C9C" w:rsidRPr="00F14151">
        <w:rPr>
          <w:sz w:val="22"/>
          <w:szCs w:val="22"/>
          <w:lang w:val="hu-HU"/>
        </w:rPr>
        <w:noBreakHyphen/>
      </w:r>
      <w:r w:rsidR="00300166" w:rsidRPr="00F14151">
        <w:rPr>
          <w:sz w:val="22"/>
          <w:szCs w:val="22"/>
          <w:lang w:val="hu-HU"/>
        </w:rPr>
        <w:t>oesophagealis reflux betegekben</w:t>
      </w:r>
      <w:r w:rsidRPr="00F14151">
        <w:rPr>
          <w:sz w:val="22"/>
          <w:szCs w:val="22"/>
          <w:lang w:val="hu-HU"/>
        </w:rPr>
        <w:t xml:space="preserve"> dózisfüggően csökkenti/normalizálja az oesophagus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savexpozícióját. </w:t>
      </w:r>
    </w:p>
    <w:p w14:paraId="41815E99" w14:textId="77777777" w:rsidR="00A30D95" w:rsidRDefault="00A30D95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B16F897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savszekréció gátlása nem a plazmakoncentráció pillanatnyi értékével, hanem az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idő-plazmakoncentráció</w:t>
      </w:r>
      <w:r w:rsidR="00300166" w:rsidRPr="00F14151">
        <w:rPr>
          <w:sz w:val="22"/>
          <w:szCs w:val="22"/>
          <w:lang w:val="hu-HU"/>
        </w:rPr>
        <w:t xml:space="preserve">-idő függvény </w:t>
      </w:r>
      <w:r w:rsidRPr="00F14151">
        <w:rPr>
          <w:sz w:val="22"/>
          <w:szCs w:val="22"/>
          <w:lang w:val="hu-HU"/>
        </w:rPr>
        <w:t>görbe alatti területével (AUC) arányos.</w:t>
      </w:r>
      <w:r w:rsidR="00BA153E" w:rsidRPr="00F14151">
        <w:rPr>
          <w:sz w:val="22"/>
          <w:szCs w:val="22"/>
          <w:lang w:val="hu-HU"/>
        </w:rPr>
        <w:t xml:space="preserve"> </w:t>
      </w:r>
    </w:p>
    <w:p w14:paraId="5B4B66A3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Omeprazol kezelés ideje alatt nem tapasztaltak tachyphylaxiát.</w:t>
      </w:r>
    </w:p>
    <w:p w14:paraId="76AD5460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728AECEB" w14:textId="77777777" w:rsidR="00FA4F40" w:rsidRPr="00F14151" w:rsidRDefault="00FA4F40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A H. pylori-ra gyakorolt hatás</w:t>
      </w:r>
    </w:p>
    <w:p w14:paraId="56AFF1ED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>fertőzés mind a nyombél, mind pedig a gyomor esetében peptikus fekélybetegséggel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társul. A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 xml:space="preserve">jelentős tényező a gastritis kialakulásában. A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>és a gyomorsav együttesen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fontos szerepet játszanak a peptikus fekélybetegség kialakulásában. A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>az atrophiás gastritis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kifejlődésének fő oka, </w:t>
      </w:r>
      <w:r w:rsidR="003A4729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 a gyomorrák kialakulásának megnövekedett kockázatát hordozza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magában.</w:t>
      </w:r>
    </w:p>
    <w:p w14:paraId="36E0E2FF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C711891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Az omeprazollal és antimikrobás szerrel végzett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="00300166" w:rsidRPr="00F14151">
        <w:rPr>
          <w:sz w:val="22"/>
          <w:szCs w:val="22"/>
          <w:lang w:val="hu-HU"/>
        </w:rPr>
        <w:t>eradikáció esetén</w:t>
      </w:r>
      <w:r w:rsidRPr="00F14151">
        <w:rPr>
          <w:sz w:val="22"/>
          <w:szCs w:val="22"/>
          <w:lang w:val="hu-HU"/>
        </w:rPr>
        <w:t xml:space="preserve"> jó gyógyulási arány, és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peptikus fekély hosszútávú remissziója tapasztalható.</w:t>
      </w:r>
    </w:p>
    <w:p w14:paraId="49C85AE7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6541CDF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lastRenderedPageBreak/>
        <w:t>A kettős terápiákat vizsgál</w:t>
      </w:r>
      <w:r w:rsidR="00300166" w:rsidRPr="00F14151">
        <w:rPr>
          <w:sz w:val="22"/>
          <w:szCs w:val="22"/>
          <w:lang w:val="hu-HU"/>
        </w:rPr>
        <w:t>ták és</w:t>
      </w:r>
      <w:r w:rsidRPr="00F14151">
        <w:rPr>
          <w:sz w:val="22"/>
          <w:szCs w:val="22"/>
          <w:lang w:val="hu-HU"/>
        </w:rPr>
        <w:t xml:space="preserve"> azt találták, hogy kevésbé bizonyultak hatásosnak, mint a hármas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kombinációk. Ugyanakkor alkalmazásuk megfontolandó azon esetekben, amikor az ismert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túlérzékenység kizárja bármely hármas kombináció alkalmazását.</w:t>
      </w:r>
    </w:p>
    <w:p w14:paraId="03E45F65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6B2C6AFF" w14:textId="77777777" w:rsidR="00FA4F40" w:rsidRPr="00F14151" w:rsidRDefault="00FA4F40" w:rsidP="00667C1B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Egyéb, a savszekréció-gátlással kapcsolatos hatások</w:t>
      </w:r>
    </w:p>
    <w:p w14:paraId="2211B984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Tartós kezelés során valamivel gyakrabban fordultak elő glandularis cysták a gyomorban. Ezek az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erőteljes savszekréció-gátlás következményeként </w:t>
      </w:r>
      <w:r w:rsidR="00300166" w:rsidRPr="00F14151">
        <w:rPr>
          <w:sz w:val="22"/>
          <w:szCs w:val="22"/>
          <w:lang w:val="hu-HU"/>
        </w:rPr>
        <w:t>kialakuló jóindulatú, és reverzí</w:t>
      </w:r>
      <w:r w:rsidRPr="00F14151">
        <w:rPr>
          <w:sz w:val="22"/>
          <w:szCs w:val="22"/>
          <w:lang w:val="hu-HU"/>
        </w:rPr>
        <w:t>bilisnek tűnő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fiziológiai elváltozások.</w:t>
      </w:r>
    </w:p>
    <w:p w14:paraId="1D06C09E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71821B3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bármely okból bekövetkező gyomorsavcsö</w:t>
      </w:r>
      <w:r w:rsidR="00300166" w:rsidRPr="00F14151">
        <w:rPr>
          <w:sz w:val="22"/>
          <w:szCs w:val="22"/>
          <w:lang w:val="hu-HU"/>
        </w:rPr>
        <w:t>kkenés, beleértve a protonpumpa</w:t>
      </w:r>
      <w:r w:rsidR="0001234F">
        <w:rPr>
          <w:sz w:val="22"/>
          <w:szCs w:val="22"/>
          <w:lang w:val="hu-HU"/>
        </w:rPr>
        <w:t>-</w:t>
      </w:r>
      <w:r w:rsidRPr="00F14151">
        <w:rPr>
          <w:sz w:val="22"/>
          <w:szCs w:val="22"/>
          <w:lang w:val="hu-HU"/>
        </w:rPr>
        <w:t>gátlók alkalmazását is,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azt eredményezi, hogy a gastrointestinalis traktusban normál állapotban is jelenlévő baktériumok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száma megnövekszik a gyomorban. A savcsökkentő terápia kismértékben növelheti bizonyos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gastrointestinalis fertőzések, mint pl. a </w:t>
      </w:r>
      <w:r w:rsidRPr="00F14151">
        <w:rPr>
          <w:i/>
          <w:iCs/>
          <w:sz w:val="22"/>
          <w:szCs w:val="22"/>
          <w:lang w:val="hu-HU"/>
        </w:rPr>
        <w:t xml:space="preserve">Salmonella </w:t>
      </w:r>
      <w:r w:rsidRPr="00F14151">
        <w:rPr>
          <w:sz w:val="22"/>
          <w:szCs w:val="22"/>
          <w:lang w:val="hu-HU"/>
        </w:rPr>
        <w:t xml:space="preserve">vagy a </w:t>
      </w:r>
      <w:r w:rsidRPr="00F14151">
        <w:rPr>
          <w:i/>
          <w:iCs/>
          <w:sz w:val="22"/>
          <w:szCs w:val="22"/>
          <w:lang w:val="hu-HU"/>
        </w:rPr>
        <w:t xml:space="preserve">Campylobacter </w:t>
      </w:r>
      <w:r w:rsidRPr="00F14151">
        <w:rPr>
          <w:sz w:val="22"/>
          <w:szCs w:val="22"/>
          <w:lang w:val="hu-HU"/>
        </w:rPr>
        <w:t>fertőzés kialakulásának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kockázatát</w:t>
      </w:r>
      <w:r w:rsidR="008E5CCB">
        <w:rPr>
          <w:sz w:val="22"/>
          <w:szCs w:val="22"/>
          <w:lang w:val="hu-HU"/>
        </w:rPr>
        <w:t>,</w:t>
      </w:r>
      <w:r w:rsidR="008E5CCB" w:rsidRPr="008E5CCB">
        <w:t xml:space="preserve"> </w:t>
      </w:r>
      <w:r w:rsidR="008E5CCB" w:rsidRPr="008E5CCB">
        <w:rPr>
          <w:sz w:val="22"/>
          <w:szCs w:val="22"/>
          <w:lang w:val="hu-HU"/>
        </w:rPr>
        <w:t xml:space="preserve">és a kórházi ellátásban részesülő betegeknél esetleg a </w:t>
      </w:r>
      <w:r w:rsidR="008E5CCB" w:rsidRPr="00910CFC">
        <w:rPr>
          <w:i/>
          <w:sz w:val="22"/>
          <w:szCs w:val="22"/>
          <w:lang w:val="hu-HU"/>
        </w:rPr>
        <w:t>Clostridium difficile</w:t>
      </w:r>
      <w:r w:rsidR="008E5CCB" w:rsidRPr="008E5CCB">
        <w:rPr>
          <w:sz w:val="22"/>
          <w:szCs w:val="22"/>
          <w:lang w:val="hu-HU"/>
        </w:rPr>
        <w:t xml:space="preserve"> fertőzés kockázatát is</w:t>
      </w:r>
      <w:r w:rsidRPr="00F14151">
        <w:rPr>
          <w:sz w:val="22"/>
          <w:szCs w:val="22"/>
          <w:lang w:val="hu-HU"/>
        </w:rPr>
        <w:t>.</w:t>
      </w:r>
    </w:p>
    <w:p w14:paraId="63D1A19F" w14:textId="77777777" w:rsidR="00300166" w:rsidRPr="00F14151" w:rsidRDefault="00300166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C32498B" w14:textId="77777777" w:rsidR="005057F9" w:rsidRDefault="00A30D95" w:rsidP="00A30D95">
      <w:pPr>
        <w:suppressAutoHyphens/>
        <w:rPr>
          <w:sz w:val="22"/>
          <w:szCs w:val="22"/>
          <w:lang w:val="hu-HU" w:eastAsia="hu-HU"/>
        </w:rPr>
      </w:pPr>
      <w:r w:rsidRPr="002368AA">
        <w:rPr>
          <w:sz w:val="22"/>
          <w:szCs w:val="22"/>
          <w:lang w:val="hu-HU" w:eastAsia="hu-HU"/>
        </w:rPr>
        <w:t>A savszekréciót gátló gyógyszerekkel végzett kezelés alatt a savszekréció csökken</w:t>
      </w:r>
      <w:r w:rsidR="00783922">
        <w:rPr>
          <w:sz w:val="22"/>
          <w:szCs w:val="22"/>
          <w:lang w:val="hu-HU" w:eastAsia="hu-HU"/>
        </w:rPr>
        <w:t xml:space="preserve">ésére adott válaszként a szérum </w:t>
      </w:r>
      <w:r w:rsidRPr="002368AA">
        <w:rPr>
          <w:sz w:val="22"/>
          <w:szCs w:val="22"/>
          <w:lang w:val="hu-HU" w:eastAsia="hu-HU"/>
        </w:rPr>
        <w:t>gasztrinszint</w:t>
      </w:r>
      <w:r w:rsidR="00783922">
        <w:rPr>
          <w:sz w:val="22"/>
          <w:szCs w:val="22"/>
          <w:lang w:val="hu-HU" w:eastAsia="hu-HU"/>
        </w:rPr>
        <w:t>je</w:t>
      </w:r>
      <w:r w:rsidRPr="002368AA">
        <w:rPr>
          <w:sz w:val="22"/>
          <w:szCs w:val="22"/>
          <w:lang w:val="hu-HU" w:eastAsia="hu-HU"/>
        </w:rPr>
        <w:t xml:space="preserve"> emelkedik. A kromogranin</w:t>
      </w:r>
      <w:r w:rsidRPr="002368AA">
        <w:rPr>
          <w:sz w:val="22"/>
          <w:szCs w:val="22"/>
          <w:lang w:val="hu-HU" w:eastAsia="hu-HU"/>
        </w:rPr>
        <w:noBreakHyphen/>
        <w:t>A (CgA) szintje is emelkedik, amit a gasztrikus aciditás csökkenése okoz. A megnövekedett kromogranin</w:t>
      </w:r>
      <w:r w:rsidRPr="002368AA">
        <w:rPr>
          <w:sz w:val="22"/>
          <w:szCs w:val="22"/>
          <w:lang w:val="hu-HU" w:eastAsia="hu-HU"/>
        </w:rPr>
        <w:noBreakHyphen/>
        <w:t xml:space="preserve">A (CgA) szint zavarhatja a neuroendokrin tumorok vizsgálatait. </w:t>
      </w:r>
    </w:p>
    <w:p w14:paraId="303C5235" w14:textId="77777777" w:rsidR="005057F9" w:rsidRDefault="005057F9" w:rsidP="00A30D95">
      <w:pPr>
        <w:suppressAutoHyphens/>
        <w:rPr>
          <w:sz w:val="22"/>
          <w:szCs w:val="22"/>
          <w:lang w:val="hu-HU" w:eastAsia="hu-HU"/>
        </w:rPr>
      </w:pPr>
    </w:p>
    <w:p w14:paraId="152A86B6" w14:textId="77777777" w:rsidR="00BE1F35" w:rsidRPr="00C27EA3" w:rsidRDefault="00BE1F35" w:rsidP="00BE1F35">
      <w:pPr>
        <w:pStyle w:val="BodytextAgency"/>
        <w:keepNext/>
        <w:rPr>
          <w:rFonts w:ascii="Times New Roman" w:hAnsi="Times New Roman" w:cs="Times New Roman"/>
          <w:sz w:val="22"/>
          <w:szCs w:val="22"/>
        </w:rPr>
      </w:pPr>
      <w:r w:rsidRPr="00C27EA3">
        <w:rPr>
          <w:rFonts w:ascii="Times New Roman" w:hAnsi="Times New Roman" w:cs="Times New Roman"/>
          <w:sz w:val="22"/>
          <w:szCs w:val="22"/>
        </w:rPr>
        <w:t>A szekréciót gátló gyógyszerekkel végzett kezelés alatt a savszekréció csökkenésére adott válaszként a szérum gasztrinszint emelkedik. A gyomor csökkent aciditása miatt a CgA is emelkedik. A megnövekedett CgA szint zavarhatja a neuroendokrin tumorok vizsgálatait.</w:t>
      </w:r>
    </w:p>
    <w:p w14:paraId="1B7EA439" w14:textId="77777777" w:rsidR="00BE1F35" w:rsidRPr="00C27EA3" w:rsidRDefault="00BE1F35" w:rsidP="00BE1F35">
      <w:pPr>
        <w:pStyle w:val="BodytextAgency"/>
        <w:rPr>
          <w:rFonts w:ascii="Times New Roman" w:hAnsi="Times New Roman" w:cs="Times New Roman"/>
          <w:sz w:val="22"/>
          <w:szCs w:val="22"/>
        </w:rPr>
      </w:pPr>
      <w:r w:rsidRPr="00C27EA3">
        <w:rPr>
          <w:rFonts w:ascii="Times New Roman" w:hAnsi="Times New Roman" w:cs="Times New Roman"/>
          <w:sz w:val="22"/>
          <w:szCs w:val="22"/>
        </w:rPr>
        <w:t>A rendelkezésre álló, publikált bizonyítékok arra utalnak, hogy a proton pumpa gátlókat a CgA mérések előtt 5-14 nappal fel kell függeszteni. Ez lehetővé teszi, hogy a PPI kezelést követően esetleg hamisan emelkedett CgA szint visszatérjen a referencia tartományba.</w:t>
      </w:r>
    </w:p>
    <w:p w14:paraId="646EE9B5" w14:textId="77777777" w:rsidR="00A30D95" w:rsidRPr="002368AA" w:rsidRDefault="00A30D95" w:rsidP="00A30D95">
      <w:pPr>
        <w:suppressAutoHyphens/>
        <w:rPr>
          <w:sz w:val="22"/>
          <w:szCs w:val="22"/>
          <w:lang w:val="hu-HU" w:eastAsia="hu-HU"/>
        </w:rPr>
      </w:pPr>
      <w:r w:rsidRPr="002368AA">
        <w:rPr>
          <w:sz w:val="22"/>
          <w:szCs w:val="22"/>
          <w:lang w:val="hu-HU" w:eastAsia="hu-HU"/>
        </w:rPr>
        <w:t>A hosszú távú omeprazol</w:t>
      </w:r>
      <w:r w:rsidRPr="002368AA">
        <w:rPr>
          <w:sz w:val="22"/>
          <w:szCs w:val="22"/>
          <w:lang w:val="hu-HU" w:eastAsia="hu-HU"/>
        </w:rPr>
        <w:noBreakHyphen/>
        <w:t>kezelés alatt a betegek egy részénél (mind a gyermekek, mind a felnőttek esetében) az ECL</w:t>
      </w:r>
      <w:r w:rsidRPr="002368AA">
        <w:rPr>
          <w:sz w:val="22"/>
          <w:szCs w:val="22"/>
          <w:lang w:val="hu-HU" w:eastAsia="hu-HU"/>
        </w:rPr>
        <w:noBreakHyphen/>
        <w:t xml:space="preserve"> (</w:t>
      </w:r>
      <w:r w:rsidRPr="002368AA">
        <w:rPr>
          <w:i/>
          <w:iCs/>
          <w:sz w:val="22"/>
          <w:szCs w:val="22"/>
          <w:lang w:val="hu-HU" w:eastAsia="hu-HU"/>
        </w:rPr>
        <w:t>enterochromaffin</w:t>
      </w:r>
      <w:r w:rsidRPr="002368AA">
        <w:rPr>
          <w:sz w:val="22"/>
          <w:szCs w:val="22"/>
          <w:lang w:val="hu-HU" w:eastAsia="hu-HU"/>
        </w:rPr>
        <w:t>-</w:t>
      </w:r>
      <w:r w:rsidRPr="002368AA">
        <w:rPr>
          <w:i/>
          <w:iCs/>
          <w:sz w:val="22"/>
          <w:szCs w:val="22"/>
          <w:lang w:val="hu-HU" w:eastAsia="hu-HU"/>
        </w:rPr>
        <w:t>szerű</w:t>
      </w:r>
      <w:r w:rsidRPr="002368AA">
        <w:rPr>
          <w:sz w:val="22"/>
          <w:szCs w:val="22"/>
          <w:lang w:val="hu-HU" w:eastAsia="hu-HU"/>
        </w:rPr>
        <w:t>) sejtek számának valószínűleg a megemelkedett szérum gasztrinszinttel összefüggő növekedését figyelték meg. Az eredményeknek megítélés szerint nincs klinikai jelentőségük.</w:t>
      </w:r>
    </w:p>
    <w:p w14:paraId="0E08BE24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0732873" w14:textId="77777777" w:rsidR="00FA4F40" w:rsidRPr="00F14151" w:rsidRDefault="003F5FE3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Gyermekek</w:t>
      </w:r>
      <w:r w:rsidR="001A36A3">
        <w:rPr>
          <w:sz w:val="22"/>
          <w:szCs w:val="22"/>
          <w:u w:val="single"/>
          <w:lang w:val="hu-HU"/>
        </w:rPr>
        <w:t xml:space="preserve"> és serdülők</w:t>
      </w:r>
    </w:p>
    <w:p w14:paraId="5CE36E2F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Egy nem kontrol</w:t>
      </w:r>
      <w:r w:rsidR="00300166" w:rsidRPr="00F14151">
        <w:rPr>
          <w:sz w:val="22"/>
          <w:szCs w:val="22"/>
          <w:lang w:val="hu-HU"/>
        </w:rPr>
        <w:t>los</w:t>
      </w:r>
      <w:r w:rsidRPr="00F14151">
        <w:rPr>
          <w:sz w:val="22"/>
          <w:szCs w:val="22"/>
          <w:lang w:val="hu-HU"/>
        </w:rPr>
        <w:t xml:space="preserve"> vizsgálatban, súlyos reflux oesophagitisben szenvedő gyermekeknél (1</w:t>
      </w:r>
      <w:r w:rsidR="00B310D3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16</w:t>
      </w:r>
      <w:r w:rsidR="00B310D3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évig)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0,7</w:t>
      </w:r>
      <w:r w:rsidR="00B310D3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1,4</w:t>
      </w:r>
      <w:r w:rsidR="00B310D3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mg/kg dózisban alkalmazott omeprazol az esetek 90%-ában az oesophagitis javulását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eredményezte, és jelentősen csökkentette a reflux tüneteit. Egy </w:t>
      </w:r>
      <w:r w:rsidR="00300166" w:rsidRPr="00F14151">
        <w:rPr>
          <w:sz w:val="22"/>
          <w:szCs w:val="22"/>
          <w:lang w:val="hu-HU"/>
        </w:rPr>
        <w:t xml:space="preserve">egyszeresen </w:t>
      </w:r>
      <w:r w:rsidRPr="00F14151">
        <w:rPr>
          <w:sz w:val="22"/>
          <w:szCs w:val="22"/>
          <w:lang w:val="hu-HU"/>
        </w:rPr>
        <w:t>vak vizsgálatban,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0</w:t>
      </w:r>
      <w:r w:rsidR="00863940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24</w:t>
      </w:r>
      <w:r w:rsidR="0086394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hónapos, kl</w:t>
      </w:r>
      <w:r w:rsidR="00300166" w:rsidRPr="00F14151">
        <w:rPr>
          <w:sz w:val="22"/>
          <w:szCs w:val="22"/>
          <w:lang w:val="hu-HU"/>
        </w:rPr>
        <w:t>inikailag diagnosztizált gastro</w:t>
      </w:r>
      <w:r w:rsidRPr="00F14151">
        <w:rPr>
          <w:sz w:val="22"/>
          <w:szCs w:val="22"/>
          <w:lang w:val="hu-HU"/>
        </w:rPr>
        <w:t>oesophagealis reflux betegségben szenvedő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gyermekeket kezeltek 0,5</w:t>
      </w:r>
      <w:r w:rsidR="0086394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mg/kg, 1,0</w:t>
      </w:r>
      <w:r w:rsidR="0086394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mg/kg, vagy 1,5</w:t>
      </w:r>
      <w:r w:rsidR="0086394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mg/kg omeprazollal. Az alkalmazott dózis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nagyságától függetlenül, a kezelés 8.</w:t>
      </w:r>
      <w:r w:rsidR="0086394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hetét követően a hányás/regurgitatio gyakorisága 50%-kal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csökkent.</w:t>
      </w:r>
    </w:p>
    <w:p w14:paraId="1C06F9F0" w14:textId="77777777" w:rsidR="00920F43" w:rsidRPr="00F14151" w:rsidRDefault="00920F43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52AF2A9A" w14:textId="77777777" w:rsidR="00FA4F40" w:rsidRPr="00F14151" w:rsidRDefault="00FA4F40" w:rsidP="003F3DC9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F14151">
        <w:rPr>
          <w:i/>
          <w:iCs/>
          <w:sz w:val="22"/>
          <w:szCs w:val="22"/>
          <w:lang w:val="hu-HU"/>
        </w:rPr>
        <w:t>H. pylori eradikációja gyermekekben</w:t>
      </w:r>
    </w:p>
    <w:p w14:paraId="25023B8D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Egy randomizált</w:t>
      </w:r>
      <w:r w:rsidR="00863940" w:rsidRPr="00F14151">
        <w:rPr>
          <w:sz w:val="22"/>
          <w:szCs w:val="22"/>
          <w:lang w:val="hu-HU"/>
        </w:rPr>
        <w:t>,</w:t>
      </w:r>
      <w:r w:rsidRPr="00F14151">
        <w:rPr>
          <w:sz w:val="22"/>
          <w:szCs w:val="22"/>
          <w:lang w:val="hu-HU"/>
        </w:rPr>
        <w:t xml:space="preserve"> </w:t>
      </w:r>
      <w:r w:rsidR="00300166" w:rsidRPr="00F14151">
        <w:rPr>
          <w:sz w:val="22"/>
          <w:szCs w:val="22"/>
          <w:lang w:val="hu-HU"/>
        </w:rPr>
        <w:t>kettős</w:t>
      </w:r>
      <w:r w:rsidRPr="00F14151">
        <w:rPr>
          <w:sz w:val="22"/>
          <w:szCs w:val="22"/>
          <w:lang w:val="hu-HU"/>
        </w:rPr>
        <w:t>vak klinikai vizsgálat (Héliot vizsgálat) megállapította a két antibiotikummal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(amoxicillin és klaritromicin) kombinációban alkalmazott omeprazol hatásosságát és biztonságosságát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 xml:space="preserve">H. pylori </w:t>
      </w:r>
      <w:r w:rsidRPr="00F14151">
        <w:rPr>
          <w:sz w:val="22"/>
          <w:szCs w:val="22"/>
          <w:lang w:val="hu-HU"/>
        </w:rPr>
        <w:t>fertőzés kezelésében 4</w:t>
      </w:r>
      <w:r w:rsidR="0086394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éves, és annál idősebb, gastritisben szenvedő gyermekeknél: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i/>
          <w:iCs/>
          <w:sz w:val="22"/>
          <w:szCs w:val="22"/>
          <w:lang w:val="hu-HU"/>
        </w:rPr>
        <w:t>H</w:t>
      </w:r>
      <w:r w:rsidR="00300166" w:rsidRPr="00F14151">
        <w:rPr>
          <w:i/>
          <w:iCs/>
          <w:sz w:val="22"/>
          <w:szCs w:val="22"/>
          <w:lang w:val="hu-HU"/>
        </w:rPr>
        <w:t>.</w:t>
      </w:r>
      <w:r w:rsidRPr="00F14151">
        <w:rPr>
          <w:i/>
          <w:iCs/>
          <w:sz w:val="22"/>
          <w:szCs w:val="22"/>
          <w:lang w:val="hu-HU"/>
        </w:rPr>
        <w:t xml:space="preserve"> pylori </w:t>
      </w:r>
      <w:r w:rsidRPr="00F14151">
        <w:rPr>
          <w:sz w:val="22"/>
          <w:szCs w:val="22"/>
          <w:lang w:val="hu-HU"/>
        </w:rPr>
        <w:t>eradikációs ráta az omeprazol + amoxicillin + klaritromicin csoportban 74,2% (23/31</w:t>
      </w:r>
      <w:r w:rsidR="00F005C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beteg),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míg az amoxicillin + klaritromicin csoportban 9,4% (3/32</w:t>
      </w:r>
      <w:r w:rsidR="00F005CF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beteg) volt. Azonban dyspepsiás tünetek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tekintetében klinikai előnyt nem bizonyítottak. Ezen vizsgálat eredményei nem vonatkoztathatók négy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év alatti gyermekekre.</w:t>
      </w:r>
    </w:p>
    <w:p w14:paraId="61B34F63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6F96786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lastRenderedPageBreak/>
        <w:t>5.2</w:t>
      </w:r>
      <w:r w:rsidRPr="00F14151">
        <w:rPr>
          <w:b/>
          <w:bCs/>
          <w:sz w:val="22"/>
          <w:szCs w:val="22"/>
          <w:lang w:val="hu-HU"/>
        </w:rPr>
        <w:tab/>
        <w:t>Farmakokinetikai tulajdonságok</w:t>
      </w:r>
    </w:p>
    <w:p w14:paraId="1905625D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7E9B45B9" w14:textId="77777777" w:rsidR="00FA4F40" w:rsidRPr="00F14151" w:rsidRDefault="00D4222D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Felszívódás</w:t>
      </w:r>
    </w:p>
    <w:p w14:paraId="25CED666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és az omeprazol-magnézium sav hatására bomlik, ezért bélben oldódó bevonatú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granulákból álló kapszula vagy tabletta formájában alkalmazzák. Az omeprazol felszívódása gyors,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csúcs-plazmakoncentráció az adagolást követően megközelítőleg 1</w:t>
      </w:r>
      <w:r w:rsidR="00F047A3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2</w:t>
      </w:r>
      <w:r w:rsidR="00F047A3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óra múlva alakul ki. Az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a vékonybélből szívódik fel, általában 3</w:t>
      </w:r>
      <w:r w:rsidR="00F047A3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6</w:t>
      </w:r>
      <w:r w:rsidR="00F047A3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óra időtartam alatt. Egyidejű táplálékfelvétel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biohasznosulást nem befolyásolja. Egyszeri, per os adagot követően az omeprazol szisztémás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hasznosulása (biohasznosulás) kb. 40%. Ismételt, napi egyszeri adagolás után a biohasznosulás kb.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60%-ra emelkedik.</w:t>
      </w:r>
    </w:p>
    <w:p w14:paraId="0B03DB34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2DFD0CB2" w14:textId="77777777" w:rsidR="00FA4F40" w:rsidRPr="00F14151" w:rsidRDefault="00D4222D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Eloszlás</w:t>
      </w:r>
    </w:p>
    <w:p w14:paraId="5FDCC1F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Egészséges egyénekben a látszólagos megoszlási térfogat kb. 0,3</w:t>
      </w:r>
      <w:r w:rsidR="00F047A3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l/tes</w:t>
      </w:r>
      <w:r w:rsidR="001258A9" w:rsidRPr="00F14151">
        <w:rPr>
          <w:sz w:val="22"/>
          <w:szCs w:val="22"/>
          <w:lang w:val="hu-HU"/>
        </w:rPr>
        <w:t>ttömeg-</w:t>
      </w:r>
      <w:r w:rsidRPr="00F14151">
        <w:rPr>
          <w:sz w:val="22"/>
          <w:szCs w:val="22"/>
          <w:lang w:val="hu-HU"/>
        </w:rPr>
        <w:t>kg. Az omeprazol</w:t>
      </w:r>
      <w:r w:rsidR="00BA153E" w:rsidRPr="00F14151">
        <w:rPr>
          <w:sz w:val="22"/>
          <w:szCs w:val="22"/>
          <w:lang w:val="hu-HU"/>
        </w:rPr>
        <w:t xml:space="preserve"> </w:t>
      </w:r>
      <w:r w:rsidR="001258A9" w:rsidRPr="00F14151">
        <w:rPr>
          <w:sz w:val="22"/>
          <w:szCs w:val="22"/>
          <w:lang w:val="hu-HU"/>
        </w:rPr>
        <w:t>plazmafehérje-</w:t>
      </w:r>
      <w:r w:rsidRPr="00F14151">
        <w:rPr>
          <w:sz w:val="22"/>
          <w:szCs w:val="22"/>
          <w:lang w:val="hu-HU"/>
        </w:rPr>
        <w:t>kötődésének mértéke kb. 97%-os.</w:t>
      </w:r>
    </w:p>
    <w:p w14:paraId="330AB8AA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D5B1C9D" w14:textId="77777777" w:rsidR="00FA4F40" w:rsidRPr="00F14151" w:rsidRDefault="00D4222D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 w:rsidRPr="00777F22">
        <w:rPr>
          <w:sz w:val="22"/>
          <w:szCs w:val="22"/>
          <w:u w:val="single"/>
          <w:lang w:val="hu-HU"/>
        </w:rPr>
        <w:t>Biotranszformáció</w:t>
      </w:r>
    </w:p>
    <w:p w14:paraId="6B65781E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teljes mértékben metabolizálódik a citokróm P450 enzimrendszeren (CYP) keresztül.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Metabolizmusának fő része, a plazma fő metabolitjának, a hidroxi-omeprazol kialakulásáért felelős,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polimorf</w:t>
      </w:r>
      <w:r w:rsidR="001258A9" w:rsidRPr="00F14151">
        <w:rPr>
          <w:sz w:val="22"/>
          <w:szCs w:val="22"/>
          <w:lang w:val="hu-HU"/>
        </w:rPr>
        <w:t xml:space="preserve"> módon expresszálódó </w:t>
      </w:r>
      <w:r w:rsidRPr="00F14151">
        <w:rPr>
          <w:sz w:val="22"/>
          <w:szCs w:val="22"/>
          <w:lang w:val="hu-HU"/>
        </w:rPr>
        <w:t>CYP2C19 enzimtől függ. A fennmaradó rész, egy másik specifikus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i</w:t>
      </w:r>
      <w:r w:rsidR="001258A9" w:rsidRPr="00F14151">
        <w:rPr>
          <w:sz w:val="22"/>
          <w:szCs w:val="22"/>
          <w:lang w:val="hu-HU"/>
        </w:rPr>
        <w:t>zoforma</w:t>
      </w:r>
      <w:r w:rsidRPr="00F14151">
        <w:rPr>
          <w:sz w:val="22"/>
          <w:szCs w:val="22"/>
          <w:lang w:val="hu-HU"/>
        </w:rPr>
        <w:t>, az omeprazol-szulfon kialakulásáért felelős CYP3A4 függvénye. Az omeprazolnak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CYP2C19 enzimhez való erős affinitása következményeként, a CYP2C19 enzim egyéb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szubsztrátjaival kompetitív inhibíció, és metabolikus gyógyszer-gyógyszer interakció lehetősége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fennáll. Ugyanakkor a CYP3A4 enzimhez való gyenge kötődése miatt, az omeprazol nem gátolja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CYP3A4 egyéb szubsztrátjainak metabolizmusát. Emellett, az omeprazol nem fejt ki gátló hatást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legfontosabb CYP enzimekre.</w:t>
      </w:r>
    </w:p>
    <w:p w14:paraId="2EBE02DF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4A80F51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 kaukázusi </w:t>
      </w:r>
      <w:r w:rsidR="001258A9" w:rsidRPr="00F14151">
        <w:rPr>
          <w:sz w:val="22"/>
          <w:szCs w:val="22"/>
          <w:lang w:val="hu-HU"/>
        </w:rPr>
        <w:t>populáció</w:t>
      </w:r>
      <w:r w:rsidRPr="00F14151">
        <w:rPr>
          <w:sz w:val="22"/>
          <w:szCs w:val="22"/>
          <w:lang w:val="hu-HU"/>
        </w:rPr>
        <w:t xml:space="preserve"> mintegy 3%-ánál, az ázsiai </w:t>
      </w:r>
      <w:r w:rsidR="001258A9" w:rsidRPr="00F14151">
        <w:rPr>
          <w:sz w:val="22"/>
          <w:szCs w:val="22"/>
          <w:lang w:val="hu-HU"/>
        </w:rPr>
        <w:t>populáció</w:t>
      </w:r>
      <w:r w:rsidRPr="00F14151">
        <w:rPr>
          <w:sz w:val="22"/>
          <w:szCs w:val="22"/>
          <w:lang w:val="hu-HU"/>
        </w:rPr>
        <w:t xml:space="preserve"> megközelítőleg 15</w:t>
      </w:r>
      <w:r w:rsidR="001A36A3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20%-ánál hiányzik a</w:t>
      </w:r>
      <w:r w:rsidR="00BA153E" w:rsidRPr="00F14151">
        <w:rPr>
          <w:sz w:val="22"/>
          <w:szCs w:val="22"/>
          <w:lang w:val="hu-HU"/>
        </w:rPr>
        <w:t xml:space="preserve"> </w:t>
      </w:r>
      <w:r w:rsidR="001258A9" w:rsidRPr="00F14151">
        <w:rPr>
          <w:sz w:val="22"/>
          <w:szCs w:val="22"/>
          <w:lang w:val="hu-HU"/>
        </w:rPr>
        <w:t>működőképes</w:t>
      </w:r>
      <w:r w:rsidRPr="00F14151">
        <w:rPr>
          <w:sz w:val="22"/>
          <w:szCs w:val="22"/>
          <w:lang w:val="hu-HU"/>
        </w:rPr>
        <w:t xml:space="preserve"> CYP2C19 enzim, őket lassú metabolizálóknak nevezzük. Ezeknél az egyéneknél az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metabolizmusát valószínűleg elsősorban a CYP3A4 katalizálja. Napi egyszeri 20</w:t>
      </w:r>
      <w:r w:rsidR="00BE4FD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mg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omeprazol ismételt adása után az átlagos AUC körülbelül 5</w:t>
      </w:r>
      <w:r w:rsidR="00BE4FD2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10-szer volt magasabb a lassú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metabolizálókban, mint a funkcionáló CYP2C19 enzimmel rendelkező egyénekben (gyors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metabolizálók). Az átlagos csúcs-plazmakoncentrációk is mintegy 3</w:t>
      </w:r>
      <w:r w:rsidR="00BE4FD2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5-szörösére növekedtek. Ezeknek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az eredményeknek nincs jelentőségük az omeprazol adagolására vonatkozóan.</w:t>
      </w:r>
    </w:p>
    <w:p w14:paraId="504813AE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7827D240" w14:textId="77777777" w:rsidR="00FA4F40" w:rsidRPr="00F14151" w:rsidRDefault="00D4222D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Elimináció</w:t>
      </w:r>
    </w:p>
    <w:p w14:paraId="2AB9CB80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plazma eliminációs félélet-ideje rendszerint kevesebb, mint egy</w:t>
      </w:r>
      <w:r w:rsidR="00BE4FD2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óra mind egyszeri,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mind napi egyszeri ismételt per os adagolást követően. Az omeprazol az egymást követő adagok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között teljesen kiürül a plazmából, és napi egyszeri alkalmazás mellett nem mutat hajlamot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akkumulációra. Az omeprazol orális adagjának majdnem 80%-a a vizelettel választódik ki metabolitok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formájában, a maradék pedig elsősorban az epekiválasztás útján, széklettel ürül.</w:t>
      </w:r>
    </w:p>
    <w:p w14:paraId="34C0B6DB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033C2BA" w14:textId="77777777" w:rsidR="00A30D95" w:rsidRPr="00A73C13" w:rsidRDefault="00A30D95" w:rsidP="00A30D95">
      <w:pPr>
        <w:keepNext/>
        <w:tabs>
          <w:tab w:val="right" w:pos="8953"/>
        </w:tabs>
        <w:suppressAutoHyphens/>
        <w:rPr>
          <w:iCs/>
          <w:sz w:val="22"/>
          <w:szCs w:val="22"/>
          <w:u w:val="single"/>
          <w:lang w:val="hu-HU" w:eastAsia="hu-HU"/>
        </w:rPr>
      </w:pPr>
      <w:r w:rsidRPr="00A73C13">
        <w:rPr>
          <w:iCs/>
          <w:sz w:val="22"/>
          <w:szCs w:val="22"/>
          <w:u w:val="single"/>
          <w:lang w:val="hu-HU" w:eastAsia="hu-HU"/>
        </w:rPr>
        <w:t>Linearitás/nem-linearitás</w:t>
      </w:r>
    </w:p>
    <w:p w14:paraId="3CC24B3D" w14:textId="77777777" w:rsidR="00906A3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AUC értéke az ismételt alkalmazás során megnövekszik. Ez a növekedés dózisfüggő, és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ismételt adagolás után nem lineáris dózis-AUC emelkedést eredményez. Ez az idő- és dózisfüggés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 xml:space="preserve">first pass metabolizmus és a szisztémás clearance csökkenésének tulajdonítható, </w:t>
      </w:r>
      <w:r w:rsidR="003F0F39" w:rsidRPr="00F14151">
        <w:rPr>
          <w:sz w:val="22"/>
          <w:szCs w:val="22"/>
          <w:lang w:val="hu-HU"/>
        </w:rPr>
        <w:t>a</w:t>
      </w:r>
      <w:r w:rsidRPr="00F14151">
        <w:rPr>
          <w:sz w:val="22"/>
          <w:szCs w:val="22"/>
          <w:lang w:val="hu-HU"/>
        </w:rPr>
        <w:t>melyet valószínűleg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az omeprazol és/vagy annak metabolitjai (pl. a szulfon) okozhatnak a CYP2C19 enzim gátlásával.</w:t>
      </w:r>
    </w:p>
    <w:p w14:paraId="4E11F88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 metabolitok nincsenek hatással a gyomorsav-szekrécióra.</w:t>
      </w:r>
    </w:p>
    <w:p w14:paraId="2278E522" w14:textId="77777777" w:rsidR="00C103F2" w:rsidRPr="00F14151" w:rsidRDefault="00C103F2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2FB0DC4" w14:textId="77777777" w:rsidR="00FA4F40" w:rsidRPr="00F14151" w:rsidRDefault="003F5FE3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Különleges</w:t>
      </w:r>
      <w:r w:rsidRPr="00F14151">
        <w:rPr>
          <w:sz w:val="22"/>
          <w:szCs w:val="22"/>
          <w:u w:val="single"/>
          <w:lang w:val="hu-HU"/>
        </w:rPr>
        <w:t xml:space="preserve"> beteg</w:t>
      </w:r>
      <w:r>
        <w:rPr>
          <w:sz w:val="22"/>
          <w:szCs w:val="22"/>
          <w:u w:val="single"/>
          <w:lang w:val="hu-HU"/>
        </w:rPr>
        <w:t>csoportok</w:t>
      </w:r>
    </w:p>
    <w:p w14:paraId="444BC576" w14:textId="77777777" w:rsidR="00840FFA" w:rsidRDefault="00840FFA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29E30E9E" w14:textId="77777777" w:rsidR="00FA4F40" w:rsidRPr="00C27EA3" w:rsidRDefault="00D4222D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C27EA3">
        <w:rPr>
          <w:i/>
          <w:iCs/>
          <w:sz w:val="22"/>
          <w:szCs w:val="22"/>
          <w:lang w:val="hu-HU"/>
        </w:rPr>
        <w:t>Májkárosodás</w:t>
      </w:r>
    </w:p>
    <w:p w14:paraId="06B4999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metabolizmusa károsodott májműködés esetén csökken, ami az AUC megnövekedését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eredményezi. Az omeprazol napi egyszeri adagolás mellett nem mutat akkumulációra való hajlamot.</w:t>
      </w:r>
    </w:p>
    <w:p w14:paraId="5974252B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57C2C620" w14:textId="77777777" w:rsidR="00FA4F40" w:rsidRPr="00C27EA3" w:rsidRDefault="00D4222D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C27EA3">
        <w:rPr>
          <w:i/>
          <w:iCs/>
          <w:sz w:val="22"/>
          <w:szCs w:val="22"/>
          <w:lang w:val="hu-HU"/>
        </w:rPr>
        <w:lastRenderedPageBreak/>
        <w:t>Vesekárosodás</w:t>
      </w:r>
    </w:p>
    <w:p w14:paraId="66379BDB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Az omeprazol farmakokinetikája, úgymint a szisztémás biohasznosulás, és az elimináció sebessége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nem változik csökkent vesefunkciójú betegeknél.</w:t>
      </w:r>
    </w:p>
    <w:p w14:paraId="7E62FF6A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36ED8410" w14:textId="77777777" w:rsidR="00FA4F40" w:rsidRPr="00C27EA3" w:rsidRDefault="00FA4F40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C27EA3">
        <w:rPr>
          <w:i/>
          <w:iCs/>
          <w:sz w:val="22"/>
          <w:szCs w:val="22"/>
          <w:lang w:val="hu-HU"/>
        </w:rPr>
        <w:t>Idősek</w:t>
      </w:r>
    </w:p>
    <w:p w14:paraId="50F02BB5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Az omeprazol metabolizmusa valamelyest csökken </w:t>
      </w:r>
      <w:r w:rsidR="00D4222D">
        <w:rPr>
          <w:sz w:val="22"/>
          <w:szCs w:val="22"/>
          <w:lang w:val="hu-HU"/>
        </w:rPr>
        <w:t xml:space="preserve">az </w:t>
      </w:r>
      <w:r w:rsidRPr="00F14151">
        <w:rPr>
          <w:sz w:val="22"/>
          <w:szCs w:val="22"/>
          <w:lang w:val="hu-HU"/>
        </w:rPr>
        <w:t>idős</w:t>
      </w:r>
      <w:r w:rsidR="00D4222D">
        <w:rPr>
          <w:sz w:val="22"/>
          <w:szCs w:val="22"/>
          <w:lang w:val="hu-HU"/>
        </w:rPr>
        <w:t>eknél</w:t>
      </w:r>
      <w:r w:rsidRPr="00F14151">
        <w:rPr>
          <w:sz w:val="22"/>
          <w:szCs w:val="22"/>
          <w:lang w:val="hu-HU"/>
        </w:rPr>
        <w:t xml:space="preserve"> (75</w:t>
      </w:r>
      <w:r w:rsidR="00906A30" w:rsidRPr="00F14151">
        <w:rPr>
          <w:sz w:val="22"/>
          <w:szCs w:val="22"/>
          <w:lang w:val="hu-HU"/>
        </w:rPr>
        <w:noBreakHyphen/>
      </w:r>
      <w:r w:rsidRPr="00F14151">
        <w:rPr>
          <w:sz w:val="22"/>
          <w:szCs w:val="22"/>
          <w:lang w:val="hu-HU"/>
        </w:rPr>
        <w:t>79</w:t>
      </w:r>
      <w:r w:rsidR="00906A3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éveseknél).</w:t>
      </w:r>
    </w:p>
    <w:p w14:paraId="28C9AD0D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</w:p>
    <w:p w14:paraId="5C008D95" w14:textId="77777777" w:rsidR="00FA4F40" w:rsidRPr="00C27EA3" w:rsidRDefault="003F5FE3" w:rsidP="00720B92">
      <w:pPr>
        <w:keepNext/>
        <w:autoSpaceDE w:val="0"/>
        <w:autoSpaceDN w:val="0"/>
        <w:adjustRightInd w:val="0"/>
        <w:spacing w:line="260" w:lineRule="exact"/>
        <w:rPr>
          <w:i/>
          <w:iCs/>
          <w:sz w:val="22"/>
          <w:szCs w:val="22"/>
          <w:lang w:val="hu-HU"/>
        </w:rPr>
      </w:pPr>
      <w:r w:rsidRPr="00C27EA3">
        <w:rPr>
          <w:i/>
          <w:iCs/>
          <w:sz w:val="22"/>
          <w:szCs w:val="22"/>
          <w:lang w:val="hu-HU"/>
        </w:rPr>
        <w:t>Gyermekek</w:t>
      </w:r>
    </w:p>
    <w:p w14:paraId="1C44805F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1</w:t>
      </w:r>
      <w:r w:rsidR="00906A3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évnél idősebb gyermekeknél, a gyermekeknek javasolt adagolással végzett terápia során a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felnőttekéhez hasonló plazmakoncentráció alakult ki. 6</w:t>
      </w:r>
      <w:r w:rsidR="00906A30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hónapnál fiatalabb csecsemőknél az omeprazol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clearance alacsony</w:t>
      </w:r>
      <w:r w:rsidR="001258A9" w:rsidRPr="00F14151">
        <w:rPr>
          <w:sz w:val="22"/>
          <w:szCs w:val="22"/>
          <w:lang w:val="hu-HU"/>
        </w:rPr>
        <w:t xml:space="preserve"> az </w:t>
      </w:r>
      <w:r w:rsidRPr="00F14151">
        <w:rPr>
          <w:sz w:val="22"/>
          <w:szCs w:val="22"/>
          <w:lang w:val="hu-HU"/>
        </w:rPr>
        <w:t>omeprazol metabolizmus</w:t>
      </w:r>
      <w:r w:rsidR="001258A9" w:rsidRPr="00F14151">
        <w:rPr>
          <w:sz w:val="22"/>
          <w:szCs w:val="22"/>
          <w:lang w:val="hu-HU"/>
        </w:rPr>
        <w:t>ának kis kapacitása</w:t>
      </w:r>
      <w:r w:rsidRPr="00F14151">
        <w:rPr>
          <w:sz w:val="22"/>
          <w:szCs w:val="22"/>
          <w:lang w:val="hu-HU"/>
        </w:rPr>
        <w:t xml:space="preserve"> miatt.</w:t>
      </w:r>
    </w:p>
    <w:p w14:paraId="0AFD7DED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39D4B687" w14:textId="77777777" w:rsidR="00FA4F40" w:rsidRPr="00F14151" w:rsidRDefault="00FA4F40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5.3</w:t>
      </w:r>
      <w:r w:rsidRPr="00F14151">
        <w:rPr>
          <w:b/>
          <w:bCs/>
          <w:sz w:val="22"/>
          <w:szCs w:val="22"/>
          <w:lang w:val="hu-HU"/>
        </w:rPr>
        <w:tab/>
        <w:t>A preklinikai biztonságossági vizsgálatok eredményei</w:t>
      </w:r>
    </w:p>
    <w:p w14:paraId="306B332F" w14:textId="77777777" w:rsidR="00BC67CD" w:rsidRPr="005D4A97" w:rsidRDefault="00BC67CD" w:rsidP="00840FFA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1B975942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É</w:t>
      </w:r>
      <w:r w:rsidR="001258A9" w:rsidRPr="00F14151">
        <w:rPr>
          <w:sz w:val="22"/>
          <w:szCs w:val="22"/>
          <w:lang w:val="hu-HU"/>
        </w:rPr>
        <w:t>lethosszig tartó vizsgálatokban</w:t>
      </w:r>
      <w:r w:rsidRPr="00F14151">
        <w:rPr>
          <w:sz w:val="22"/>
          <w:szCs w:val="22"/>
          <w:lang w:val="hu-HU"/>
        </w:rPr>
        <w:t xml:space="preserve"> omeprazollal kezelt patkányoknál g</w:t>
      </w:r>
      <w:r w:rsidR="001258A9" w:rsidRPr="00F14151">
        <w:rPr>
          <w:sz w:val="22"/>
          <w:szCs w:val="22"/>
          <w:lang w:val="hu-HU"/>
        </w:rPr>
        <w:t xml:space="preserve">yomor </w:t>
      </w:r>
      <w:r w:rsidRPr="00F14151">
        <w:rPr>
          <w:sz w:val="22"/>
          <w:szCs w:val="22"/>
          <w:lang w:val="hu-HU"/>
        </w:rPr>
        <w:t>ECL-sejt hyperplasia és</w:t>
      </w:r>
      <w:r w:rsidR="00BA153E" w:rsidRPr="00F14151">
        <w:rPr>
          <w:sz w:val="22"/>
          <w:szCs w:val="22"/>
          <w:lang w:val="hu-HU"/>
        </w:rPr>
        <w:t xml:space="preserve"> </w:t>
      </w:r>
      <w:r w:rsidR="001258A9" w:rsidRPr="00F14151">
        <w:rPr>
          <w:sz w:val="22"/>
          <w:szCs w:val="22"/>
          <w:lang w:val="hu-HU"/>
        </w:rPr>
        <w:t xml:space="preserve">a </w:t>
      </w:r>
      <w:r w:rsidRPr="00F14151">
        <w:rPr>
          <w:sz w:val="22"/>
          <w:szCs w:val="22"/>
          <w:lang w:val="hu-HU"/>
        </w:rPr>
        <w:t>carcinoidok megjelenése volt tapasztalható. Ezek az elváltozások a savszekréció-gátlás következtében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kialakult tartós hypergastrinaemia következtében alakulnak ki. H</w:t>
      </w:r>
      <w:r w:rsidRPr="00F14151">
        <w:rPr>
          <w:sz w:val="22"/>
          <w:szCs w:val="22"/>
          <w:vertAlign w:val="subscript"/>
          <w:lang w:val="hu-HU"/>
        </w:rPr>
        <w:t>2</w:t>
      </w:r>
      <w:r w:rsidRPr="00F14151">
        <w:rPr>
          <w:sz w:val="22"/>
          <w:szCs w:val="22"/>
          <w:lang w:val="hu-HU"/>
        </w:rPr>
        <w:t>-receptor antagonistákkal,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protonpumpa inhibitorokkal végzett kezelést és részleges fundectomiát követően hasonló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e</w:t>
      </w:r>
      <w:r w:rsidR="001258A9" w:rsidRPr="00F14151">
        <w:rPr>
          <w:sz w:val="22"/>
          <w:szCs w:val="22"/>
          <w:lang w:val="hu-HU"/>
        </w:rPr>
        <w:t>lváltozásokat tapasztaltak. Így</w:t>
      </w:r>
      <w:r w:rsidRPr="00F14151">
        <w:rPr>
          <w:sz w:val="22"/>
          <w:szCs w:val="22"/>
          <w:lang w:val="hu-HU"/>
        </w:rPr>
        <w:t xml:space="preserve"> ezek az elváltozások nem egy bizonyos </w:t>
      </w:r>
      <w:r w:rsidR="001258A9" w:rsidRPr="00F14151">
        <w:rPr>
          <w:sz w:val="22"/>
          <w:szCs w:val="22"/>
          <w:lang w:val="hu-HU"/>
        </w:rPr>
        <w:t>hatóanyag</w:t>
      </w:r>
      <w:r w:rsidRPr="00F14151">
        <w:rPr>
          <w:sz w:val="22"/>
          <w:szCs w:val="22"/>
          <w:lang w:val="hu-HU"/>
        </w:rPr>
        <w:t xml:space="preserve"> közvetlen hatásának</w:t>
      </w:r>
      <w:r w:rsidR="00BA153E" w:rsidRPr="00F14151">
        <w:rPr>
          <w:sz w:val="22"/>
          <w:szCs w:val="22"/>
          <w:lang w:val="hu-HU"/>
        </w:rPr>
        <w:t xml:space="preserve"> </w:t>
      </w:r>
      <w:r w:rsidRPr="00F14151">
        <w:rPr>
          <w:sz w:val="22"/>
          <w:szCs w:val="22"/>
          <w:lang w:val="hu-HU"/>
        </w:rPr>
        <w:t>következményei.</w:t>
      </w:r>
    </w:p>
    <w:p w14:paraId="184801E2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1D7D0AD4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611524AE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</w:t>
      </w:r>
      <w:r w:rsidRPr="00F14151">
        <w:rPr>
          <w:b/>
          <w:bCs/>
          <w:sz w:val="22"/>
          <w:szCs w:val="22"/>
          <w:lang w:val="hu-HU"/>
        </w:rPr>
        <w:tab/>
        <w:t>GYÓGYSZERÉSZETI JELLEMZŐK</w:t>
      </w:r>
    </w:p>
    <w:p w14:paraId="032D13DC" w14:textId="77777777" w:rsidR="00EC0AA0" w:rsidRPr="00F14151" w:rsidRDefault="00EC0AA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735FA0EE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6.1</w:t>
      </w:r>
      <w:r w:rsidRPr="00F14151">
        <w:rPr>
          <w:b/>
          <w:bCs/>
          <w:sz w:val="22"/>
          <w:szCs w:val="22"/>
          <w:lang w:val="hu-HU"/>
        </w:rPr>
        <w:tab/>
        <w:t>Segédanyagok felsorolása</w:t>
      </w:r>
    </w:p>
    <w:p w14:paraId="36ADCBA4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46A22D4" w14:textId="77777777" w:rsidR="00BE075C" w:rsidRDefault="00BE075C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Kapszula töltet</w:t>
      </w:r>
    </w:p>
    <w:p w14:paraId="36C6E719" w14:textId="4EDF5F93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c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ukorgömbö</w:t>
      </w:r>
      <w:r w:rsidR="000D384D" w:rsidRPr="00F14151">
        <w:rPr>
          <w:rStyle w:val="longtext"/>
          <w:sz w:val="22"/>
          <w:szCs w:val="22"/>
          <w:shd w:val="clear" w:color="auto" w:fill="FFFFFF"/>
          <w:lang w:val="hu-HU"/>
        </w:rPr>
        <w:t>cské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k (</w:t>
      </w:r>
      <w:r w:rsidR="00D7666D" w:rsidRPr="00F14151">
        <w:rPr>
          <w:rStyle w:val="longtext"/>
          <w:sz w:val="22"/>
          <w:szCs w:val="22"/>
          <w:shd w:val="clear" w:color="auto" w:fill="FFFFFF"/>
          <w:lang w:val="hu-HU"/>
        </w:rPr>
        <w:t xml:space="preserve">szacharóz 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és kukoricakeményítő)</w:t>
      </w:r>
    </w:p>
    <w:p w14:paraId="079C79E2" w14:textId="5BB7EFAD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k</w:t>
      </w:r>
      <w:r w:rsidR="00D7666D" w:rsidRPr="00F14151">
        <w:rPr>
          <w:rStyle w:val="longtext"/>
          <w:sz w:val="22"/>
          <w:szCs w:val="22"/>
          <w:shd w:val="clear" w:color="auto" w:fill="FFFFFF"/>
          <w:lang w:val="hu-HU"/>
        </w:rPr>
        <w:t>arboximetil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keményítő-</w:t>
      </w:r>
      <w:r w:rsidR="00D7666D" w:rsidRPr="00F14151">
        <w:rPr>
          <w:rStyle w:val="longtext"/>
          <w:sz w:val="22"/>
          <w:szCs w:val="22"/>
          <w:shd w:val="clear" w:color="auto" w:fill="FFFFFF"/>
          <w:lang w:val="hu-HU"/>
        </w:rPr>
        <w:t>nátrium</w:t>
      </w:r>
    </w:p>
    <w:p w14:paraId="18FC97BD" w14:textId="3A72AF1E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n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átrium-lauril</w:t>
      </w:r>
      <w:r w:rsidR="00B563B1">
        <w:rPr>
          <w:rStyle w:val="longtext"/>
          <w:sz w:val="22"/>
          <w:szCs w:val="22"/>
          <w:shd w:val="clear" w:color="auto" w:fill="FFFFFF"/>
          <w:lang w:val="hu-HU"/>
        </w:rPr>
        <w:t>-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szulfát</w:t>
      </w:r>
    </w:p>
    <w:p w14:paraId="2D55EFD3" w14:textId="5CB4E19F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p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ovidon</w:t>
      </w:r>
    </w:p>
    <w:p w14:paraId="54DE340A" w14:textId="224074CB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t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rinátrium-foszfát-dodekahidrát</w:t>
      </w:r>
    </w:p>
    <w:p w14:paraId="6B7F3AEC" w14:textId="1DCD5608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h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ipromellóz</w:t>
      </w:r>
    </w:p>
    <w:p w14:paraId="0B046108" w14:textId="696A32EA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m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etakrilsav</w:t>
      </w:r>
      <w:r w:rsidR="00D7666D" w:rsidRPr="00F14151">
        <w:rPr>
          <w:rStyle w:val="longtext"/>
          <w:sz w:val="22"/>
          <w:szCs w:val="22"/>
          <w:shd w:val="clear" w:color="auto" w:fill="FFFFFF"/>
          <w:lang w:val="hu-HU"/>
        </w:rPr>
        <w:t>–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etil</w:t>
      </w:r>
      <w:r w:rsidR="00D7666D" w:rsidRPr="00F14151">
        <w:rPr>
          <w:rStyle w:val="longtext"/>
          <w:sz w:val="22"/>
          <w:szCs w:val="22"/>
          <w:shd w:val="clear" w:color="auto" w:fill="FFFFFF"/>
          <w:lang w:val="hu-HU"/>
        </w:rPr>
        <w:t>-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akrilát kopolimer (1:1)</w:t>
      </w:r>
    </w:p>
    <w:p w14:paraId="420B1598" w14:textId="2A303C30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t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rietil-citrát</w:t>
      </w:r>
    </w:p>
    <w:p w14:paraId="3E485012" w14:textId="1781B69C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n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átrium-hidroxid</w:t>
      </w:r>
    </w:p>
    <w:p w14:paraId="773492EF" w14:textId="664748D9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t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itán-dioxid</w:t>
      </w:r>
      <w:r w:rsidR="00872E0C" w:rsidRPr="00F14151">
        <w:rPr>
          <w:rStyle w:val="longtext"/>
          <w:sz w:val="22"/>
          <w:szCs w:val="22"/>
          <w:shd w:val="clear" w:color="auto" w:fill="FFFFFF"/>
          <w:lang w:val="hu-HU"/>
        </w:rPr>
        <w:t xml:space="preserve"> </w:t>
      </w:r>
      <w:r w:rsidR="00872E0C" w:rsidRPr="00F14151">
        <w:rPr>
          <w:rFonts w:eastAsia="TimesNewRoman"/>
          <w:sz w:val="22"/>
          <w:szCs w:val="22"/>
          <w:lang w:val="hu-HU"/>
        </w:rPr>
        <w:t>(E171)</w:t>
      </w:r>
    </w:p>
    <w:p w14:paraId="36F5D735" w14:textId="57C2A64A" w:rsidR="001258A9" w:rsidRPr="00F14151" w:rsidRDefault="007B4812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  <w:r>
        <w:rPr>
          <w:rStyle w:val="longtext"/>
          <w:sz w:val="22"/>
          <w:szCs w:val="22"/>
          <w:shd w:val="clear" w:color="auto" w:fill="FFFFFF"/>
          <w:lang w:val="hu-HU"/>
        </w:rPr>
        <w:t>t</w:t>
      </w:r>
      <w:r w:rsidR="001258A9" w:rsidRPr="00F14151">
        <w:rPr>
          <w:rStyle w:val="longtext"/>
          <w:sz w:val="22"/>
          <w:szCs w:val="22"/>
          <w:shd w:val="clear" w:color="auto" w:fill="FFFFFF"/>
          <w:lang w:val="hu-HU"/>
        </w:rPr>
        <w:t>alkum</w:t>
      </w:r>
    </w:p>
    <w:p w14:paraId="104DD3D0" w14:textId="77777777" w:rsidR="00D7666D" w:rsidRPr="00F14151" w:rsidRDefault="00D7666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shd w:val="clear" w:color="auto" w:fill="FFFFFF"/>
          <w:lang w:val="hu-HU"/>
        </w:rPr>
      </w:pPr>
    </w:p>
    <w:p w14:paraId="14C397F3" w14:textId="77777777" w:rsidR="001258A9" w:rsidRPr="00F14151" w:rsidRDefault="001258A9" w:rsidP="00720B92">
      <w:pPr>
        <w:keepNext/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u w:val="single"/>
          <w:lang w:val="hu-HU"/>
        </w:rPr>
      </w:pPr>
      <w:r w:rsidRPr="00F14151">
        <w:rPr>
          <w:rStyle w:val="longtext"/>
          <w:sz w:val="22"/>
          <w:szCs w:val="22"/>
          <w:u w:val="single"/>
          <w:lang w:val="hu-HU"/>
        </w:rPr>
        <w:t>Kapszula – F</w:t>
      </w:r>
      <w:r w:rsidR="00D7666D" w:rsidRPr="00F14151">
        <w:rPr>
          <w:rStyle w:val="longtext"/>
          <w:sz w:val="22"/>
          <w:szCs w:val="22"/>
          <w:u w:val="single"/>
          <w:lang w:val="hu-HU"/>
        </w:rPr>
        <w:t>első rész</w:t>
      </w:r>
    </w:p>
    <w:p w14:paraId="2EA90066" w14:textId="61724F94" w:rsidR="001258A9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i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v</w:t>
      </w:r>
      <w:r w:rsidR="000469A4" w:rsidRPr="00F14151">
        <w:rPr>
          <w:rStyle w:val="longtext"/>
          <w:sz w:val="22"/>
          <w:szCs w:val="22"/>
          <w:lang w:val="hu-HU"/>
        </w:rPr>
        <w:t>örös vas</w:t>
      </w:r>
      <w:r w:rsidR="005A02E2">
        <w:rPr>
          <w:rStyle w:val="longtext"/>
          <w:sz w:val="22"/>
          <w:szCs w:val="22"/>
          <w:lang w:val="hu-HU"/>
        </w:rPr>
        <w:t>-</w:t>
      </w:r>
      <w:r w:rsidR="000469A4" w:rsidRPr="00F14151">
        <w:rPr>
          <w:rStyle w:val="longtext"/>
          <w:sz w:val="22"/>
          <w:szCs w:val="22"/>
          <w:lang w:val="hu-HU"/>
        </w:rPr>
        <w:t xml:space="preserve">oxid (E172) </w:t>
      </w:r>
      <w:r w:rsidR="000469A4" w:rsidRPr="00F14151">
        <w:rPr>
          <w:rStyle w:val="longtext"/>
          <w:i/>
          <w:sz w:val="22"/>
          <w:szCs w:val="22"/>
          <w:lang w:val="hu-HU"/>
        </w:rPr>
        <w:t>(csak a 10</w:t>
      </w:r>
      <w:r w:rsidR="00D7666D" w:rsidRPr="00F14151">
        <w:rPr>
          <w:rStyle w:val="longtext"/>
          <w:i/>
          <w:sz w:val="22"/>
          <w:szCs w:val="22"/>
          <w:lang w:val="hu-HU"/>
        </w:rPr>
        <w:t> </w:t>
      </w:r>
      <w:r w:rsidR="000469A4" w:rsidRPr="00F14151">
        <w:rPr>
          <w:rStyle w:val="longtext"/>
          <w:i/>
          <w:sz w:val="22"/>
          <w:szCs w:val="22"/>
          <w:lang w:val="hu-HU"/>
        </w:rPr>
        <w:t>mg-os hatáserősség</w:t>
      </w:r>
      <w:r w:rsidR="00D7666D" w:rsidRPr="00F14151">
        <w:rPr>
          <w:rStyle w:val="longtext"/>
          <w:i/>
          <w:sz w:val="22"/>
          <w:szCs w:val="22"/>
          <w:lang w:val="hu-HU"/>
        </w:rPr>
        <w:t>nél</w:t>
      </w:r>
      <w:r w:rsidR="000469A4" w:rsidRPr="00F14151">
        <w:rPr>
          <w:rStyle w:val="longtext"/>
          <w:i/>
          <w:sz w:val="22"/>
          <w:szCs w:val="22"/>
          <w:lang w:val="hu-HU"/>
        </w:rPr>
        <w:t>)</w:t>
      </w:r>
    </w:p>
    <w:p w14:paraId="24810899" w14:textId="7963D3C7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e</w:t>
      </w:r>
      <w:r w:rsidR="000469A4" w:rsidRPr="00F14151">
        <w:rPr>
          <w:rStyle w:val="longtext"/>
          <w:sz w:val="22"/>
          <w:szCs w:val="22"/>
          <w:lang w:val="hu-HU"/>
        </w:rPr>
        <w:t>ritrozin (E127)</w:t>
      </w:r>
    </w:p>
    <w:p w14:paraId="05338A43" w14:textId="05C07288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i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i</w:t>
      </w:r>
      <w:r w:rsidR="000469A4" w:rsidRPr="00F14151">
        <w:rPr>
          <w:rStyle w:val="longtext"/>
          <w:sz w:val="22"/>
          <w:szCs w:val="22"/>
          <w:lang w:val="hu-HU"/>
        </w:rPr>
        <w:t>ndig</w:t>
      </w:r>
      <w:r w:rsidR="00D7666D" w:rsidRPr="00F14151">
        <w:rPr>
          <w:rStyle w:val="longtext"/>
          <w:sz w:val="22"/>
          <w:szCs w:val="22"/>
          <w:lang w:val="hu-HU"/>
        </w:rPr>
        <w:t>ó</w:t>
      </w:r>
      <w:r w:rsidR="000469A4" w:rsidRPr="00F14151">
        <w:rPr>
          <w:rStyle w:val="longtext"/>
          <w:sz w:val="22"/>
          <w:szCs w:val="22"/>
          <w:lang w:val="hu-HU"/>
        </w:rPr>
        <w:t xml:space="preserve">kármin (E132) </w:t>
      </w:r>
      <w:r w:rsidR="000469A4" w:rsidRPr="00F14151">
        <w:rPr>
          <w:rStyle w:val="longtext"/>
          <w:i/>
          <w:sz w:val="22"/>
          <w:szCs w:val="22"/>
          <w:lang w:val="hu-HU"/>
        </w:rPr>
        <w:t>(csak a 20</w:t>
      </w:r>
      <w:r w:rsidR="00D7666D" w:rsidRPr="00F14151">
        <w:rPr>
          <w:rStyle w:val="longtext"/>
          <w:i/>
          <w:sz w:val="22"/>
          <w:szCs w:val="22"/>
          <w:lang w:val="hu-HU"/>
        </w:rPr>
        <w:t> </w:t>
      </w:r>
      <w:r w:rsidR="000469A4" w:rsidRPr="00F14151">
        <w:rPr>
          <w:rStyle w:val="longtext"/>
          <w:i/>
          <w:sz w:val="22"/>
          <w:szCs w:val="22"/>
          <w:lang w:val="hu-HU"/>
        </w:rPr>
        <w:t>mg-os és a 40</w:t>
      </w:r>
      <w:r w:rsidR="00D7666D" w:rsidRPr="00F14151">
        <w:rPr>
          <w:rStyle w:val="longtext"/>
          <w:i/>
          <w:sz w:val="22"/>
          <w:szCs w:val="22"/>
          <w:lang w:val="hu-HU"/>
        </w:rPr>
        <w:t> </w:t>
      </w:r>
      <w:r w:rsidR="000469A4" w:rsidRPr="00F14151">
        <w:rPr>
          <w:rStyle w:val="longtext"/>
          <w:i/>
          <w:sz w:val="22"/>
          <w:szCs w:val="22"/>
          <w:lang w:val="hu-HU"/>
        </w:rPr>
        <w:t xml:space="preserve">mg-os </w:t>
      </w:r>
      <w:r w:rsidR="00D7666D" w:rsidRPr="00F14151">
        <w:rPr>
          <w:rStyle w:val="longtext"/>
          <w:i/>
          <w:sz w:val="22"/>
          <w:szCs w:val="22"/>
          <w:lang w:val="hu-HU"/>
        </w:rPr>
        <w:t>hatáserősségnél</w:t>
      </w:r>
      <w:r w:rsidR="000469A4" w:rsidRPr="00F14151">
        <w:rPr>
          <w:rStyle w:val="longtext"/>
          <w:i/>
          <w:sz w:val="22"/>
          <w:szCs w:val="22"/>
          <w:lang w:val="hu-HU"/>
        </w:rPr>
        <w:t>)</w:t>
      </w:r>
    </w:p>
    <w:p w14:paraId="254BD40E" w14:textId="42F67AFC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t</w:t>
      </w:r>
      <w:r w:rsidR="000469A4" w:rsidRPr="00F14151">
        <w:rPr>
          <w:rStyle w:val="longtext"/>
          <w:sz w:val="22"/>
          <w:szCs w:val="22"/>
          <w:lang w:val="hu-HU"/>
        </w:rPr>
        <w:t>itán-dioxid (E171)</w:t>
      </w:r>
    </w:p>
    <w:p w14:paraId="6912DAE6" w14:textId="04D8FC81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v</w:t>
      </w:r>
      <w:r w:rsidR="000469A4" w:rsidRPr="00F14151">
        <w:rPr>
          <w:rStyle w:val="longtext"/>
          <w:sz w:val="22"/>
          <w:szCs w:val="22"/>
          <w:lang w:val="hu-HU"/>
        </w:rPr>
        <w:t>íz</w:t>
      </w:r>
    </w:p>
    <w:p w14:paraId="1364A424" w14:textId="135B8402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z</w:t>
      </w:r>
      <w:r w:rsidR="000469A4" w:rsidRPr="00F14151">
        <w:rPr>
          <w:rStyle w:val="longtext"/>
          <w:sz w:val="22"/>
          <w:szCs w:val="22"/>
          <w:lang w:val="hu-HU"/>
        </w:rPr>
        <w:t>selatin</w:t>
      </w:r>
    </w:p>
    <w:p w14:paraId="16F9B2DA" w14:textId="77777777" w:rsidR="000469A4" w:rsidRPr="00F14151" w:rsidRDefault="000469A4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</w:p>
    <w:p w14:paraId="044F0A66" w14:textId="77777777" w:rsidR="000469A4" w:rsidRPr="00F14151" w:rsidRDefault="000469A4" w:rsidP="00720B92">
      <w:pPr>
        <w:keepNext/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u w:val="single"/>
          <w:lang w:val="hu-HU"/>
        </w:rPr>
      </w:pPr>
      <w:r w:rsidRPr="00F14151">
        <w:rPr>
          <w:rStyle w:val="longtext"/>
          <w:sz w:val="22"/>
          <w:szCs w:val="22"/>
          <w:u w:val="single"/>
          <w:lang w:val="hu-HU"/>
        </w:rPr>
        <w:t>Kapszula – A</w:t>
      </w:r>
      <w:r w:rsidR="00D7666D" w:rsidRPr="00F14151">
        <w:rPr>
          <w:rStyle w:val="longtext"/>
          <w:sz w:val="22"/>
          <w:szCs w:val="22"/>
          <w:u w:val="single"/>
          <w:lang w:val="hu-HU"/>
        </w:rPr>
        <w:t>lsó rész</w:t>
      </w:r>
    </w:p>
    <w:p w14:paraId="674E9D2E" w14:textId="38E3FB79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k</w:t>
      </w:r>
      <w:r w:rsidR="00D7666D" w:rsidRPr="00F14151">
        <w:rPr>
          <w:rStyle w:val="longtext"/>
          <w:sz w:val="22"/>
          <w:szCs w:val="22"/>
          <w:lang w:val="hu-HU"/>
        </w:rPr>
        <w:t>inolinsárga</w:t>
      </w:r>
      <w:r w:rsidR="000469A4" w:rsidRPr="00F14151">
        <w:rPr>
          <w:rStyle w:val="longtext"/>
          <w:sz w:val="22"/>
          <w:szCs w:val="22"/>
          <w:lang w:val="hu-HU"/>
        </w:rPr>
        <w:t xml:space="preserve"> (E104)</w:t>
      </w:r>
    </w:p>
    <w:p w14:paraId="4DF0DB68" w14:textId="1D331405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e</w:t>
      </w:r>
      <w:r w:rsidR="000469A4" w:rsidRPr="00F14151">
        <w:rPr>
          <w:rStyle w:val="longtext"/>
          <w:sz w:val="22"/>
          <w:szCs w:val="22"/>
          <w:lang w:val="hu-HU"/>
        </w:rPr>
        <w:t>ritrozin (E127)</w:t>
      </w:r>
    </w:p>
    <w:p w14:paraId="2C1DFBA0" w14:textId="4B93CD19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t</w:t>
      </w:r>
      <w:r w:rsidR="000469A4" w:rsidRPr="00F14151">
        <w:rPr>
          <w:rStyle w:val="longtext"/>
          <w:sz w:val="22"/>
          <w:szCs w:val="22"/>
          <w:lang w:val="hu-HU"/>
        </w:rPr>
        <w:t>itán-dioxid (E171)</w:t>
      </w:r>
    </w:p>
    <w:p w14:paraId="154AF09C" w14:textId="0030044A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v</w:t>
      </w:r>
      <w:r w:rsidR="000469A4" w:rsidRPr="00F14151">
        <w:rPr>
          <w:rStyle w:val="longtext"/>
          <w:sz w:val="22"/>
          <w:szCs w:val="22"/>
          <w:lang w:val="hu-HU"/>
        </w:rPr>
        <w:t>íz</w:t>
      </w:r>
    </w:p>
    <w:p w14:paraId="76FD4F16" w14:textId="4D2133F1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z</w:t>
      </w:r>
      <w:r w:rsidR="000469A4" w:rsidRPr="00F14151">
        <w:rPr>
          <w:rStyle w:val="longtext"/>
          <w:sz w:val="22"/>
          <w:szCs w:val="22"/>
          <w:lang w:val="hu-HU"/>
        </w:rPr>
        <w:t>selatin</w:t>
      </w:r>
    </w:p>
    <w:p w14:paraId="6ECFE498" w14:textId="77777777" w:rsidR="00B97738" w:rsidRPr="00F14151" w:rsidRDefault="00B97738" w:rsidP="00D63DC6">
      <w:pPr>
        <w:autoSpaceDE w:val="0"/>
        <w:autoSpaceDN w:val="0"/>
        <w:adjustRightInd w:val="0"/>
        <w:spacing w:line="260" w:lineRule="exact"/>
        <w:rPr>
          <w:rStyle w:val="longtext"/>
          <w:i/>
          <w:sz w:val="22"/>
          <w:szCs w:val="22"/>
          <w:lang w:val="hu-HU"/>
        </w:rPr>
      </w:pPr>
    </w:p>
    <w:p w14:paraId="388180BF" w14:textId="77777777" w:rsidR="00B97738" w:rsidRPr="00F14151" w:rsidRDefault="00DB1BC5" w:rsidP="00720B92">
      <w:pPr>
        <w:keepNext/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u w:val="single"/>
          <w:lang w:val="hu-HU"/>
        </w:rPr>
      </w:pPr>
      <w:r w:rsidRPr="00F14151">
        <w:rPr>
          <w:rStyle w:val="longtext"/>
          <w:sz w:val="22"/>
          <w:szCs w:val="22"/>
          <w:u w:val="single"/>
          <w:lang w:val="hu-HU"/>
        </w:rPr>
        <w:t>Jelölő festék:</w:t>
      </w:r>
    </w:p>
    <w:p w14:paraId="5B34FE05" w14:textId="0DD29313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s</w:t>
      </w:r>
      <w:r w:rsidR="00DB1BC5" w:rsidRPr="00F14151">
        <w:rPr>
          <w:rStyle w:val="longtext"/>
          <w:sz w:val="22"/>
          <w:szCs w:val="22"/>
          <w:lang w:val="hu-HU"/>
        </w:rPr>
        <w:t>ellak</w:t>
      </w:r>
    </w:p>
    <w:p w14:paraId="1B01EF78" w14:textId="2D89B687" w:rsidR="00872E0C" w:rsidRPr="00F14151" w:rsidRDefault="00D2667D" w:rsidP="00D63DC6">
      <w:pPr>
        <w:autoSpaceDE w:val="0"/>
        <w:autoSpaceDN w:val="0"/>
        <w:adjustRightInd w:val="0"/>
        <w:spacing w:line="260" w:lineRule="exact"/>
        <w:rPr>
          <w:rFonts w:eastAsia="TimesNewRoman"/>
          <w:sz w:val="22"/>
          <w:szCs w:val="22"/>
          <w:lang w:val="hu-HU"/>
        </w:rPr>
      </w:pPr>
      <w:r>
        <w:rPr>
          <w:rFonts w:eastAsia="TimesNewRoman"/>
          <w:sz w:val="22"/>
          <w:szCs w:val="22"/>
          <w:lang w:val="hu-HU"/>
        </w:rPr>
        <w:lastRenderedPageBreak/>
        <w:t>p</w:t>
      </w:r>
      <w:r w:rsidR="00872E0C" w:rsidRPr="00F14151">
        <w:rPr>
          <w:rFonts w:eastAsia="TimesNewRoman"/>
          <w:sz w:val="22"/>
          <w:szCs w:val="22"/>
          <w:lang w:val="hu-HU"/>
        </w:rPr>
        <w:t>ovidon)</w:t>
      </w:r>
    </w:p>
    <w:p w14:paraId="344C866B" w14:textId="172C131D" w:rsidR="00B97738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p</w:t>
      </w:r>
      <w:r w:rsidR="00DB1BC5" w:rsidRPr="00F14151">
        <w:rPr>
          <w:rStyle w:val="longtext"/>
          <w:sz w:val="22"/>
          <w:szCs w:val="22"/>
          <w:lang w:val="hu-HU"/>
        </w:rPr>
        <w:t>ropilénglikol</w:t>
      </w:r>
    </w:p>
    <w:p w14:paraId="76CD76B5" w14:textId="10E6109C" w:rsidR="00BA153E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n</w:t>
      </w:r>
      <w:r w:rsidR="000469A4" w:rsidRPr="00F14151">
        <w:rPr>
          <w:rStyle w:val="longtext"/>
          <w:sz w:val="22"/>
          <w:szCs w:val="22"/>
          <w:lang w:val="hu-HU"/>
        </w:rPr>
        <w:t>átrium-hidroxid</w:t>
      </w:r>
    </w:p>
    <w:p w14:paraId="434FF4AA" w14:textId="6517F8AD" w:rsidR="000469A4" w:rsidRPr="00F14151" w:rsidRDefault="00D2667D" w:rsidP="00D63DC6">
      <w:pPr>
        <w:autoSpaceDE w:val="0"/>
        <w:autoSpaceDN w:val="0"/>
        <w:adjustRightInd w:val="0"/>
        <w:spacing w:line="260" w:lineRule="exact"/>
        <w:rPr>
          <w:rStyle w:val="longtext"/>
          <w:sz w:val="22"/>
          <w:szCs w:val="22"/>
          <w:lang w:val="hu-HU"/>
        </w:rPr>
      </w:pPr>
      <w:r>
        <w:rPr>
          <w:rStyle w:val="longtext"/>
          <w:sz w:val="22"/>
          <w:szCs w:val="22"/>
          <w:lang w:val="hu-HU"/>
        </w:rPr>
        <w:t>t</w:t>
      </w:r>
      <w:r w:rsidR="000469A4" w:rsidRPr="00F14151">
        <w:rPr>
          <w:rStyle w:val="longtext"/>
          <w:sz w:val="22"/>
          <w:szCs w:val="22"/>
          <w:lang w:val="hu-HU"/>
        </w:rPr>
        <w:t>itán-dioxid (E171)</w:t>
      </w:r>
    </w:p>
    <w:p w14:paraId="6D6A01C9" w14:textId="77777777" w:rsidR="00DB1BC5" w:rsidRPr="00F14151" w:rsidRDefault="00DB1BC5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6D368AB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6.2</w:t>
      </w:r>
      <w:r w:rsidRPr="00F14151">
        <w:rPr>
          <w:b/>
          <w:bCs/>
          <w:sz w:val="22"/>
          <w:szCs w:val="22"/>
          <w:lang w:val="hu-HU"/>
        </w:rPr>
        <w:tab/>
        <w:t>Inkompatibilitások</w:t>
      </w:r>
    </w:p>
    <w:p w14:paraId="47632A48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259F4E8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Nem értelmezhető.</w:t>
      </w:r>
    </w:p>
    <w:p w14:paraId="10153F93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1A34B555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6.3</w:t>
      </w:r>
      <w:r w:rsidRPr="00F14151">
        <w:rPr>
          <w:b/>
          <w:bCs/>
          <w:sz w:val="22"/>
          <w:szCs w:val="22"/>
          <w:lang w:val="hu-HU"/>
        </w:rPr>
        <w:tab/>
        <w:t>Felhasználhatósági időtartam</w:t>
      </w:r>
    </w:p>
    <w:p w14:paraId="731D49EE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5AA1750" w14:textId="77777777" w:rsidR="00872E0C" w:rsidRPr="00F14151" w:rsidRDefault="00872E0C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pacing w:val="-3"/>
          <w:sz w:val="22"/>
          <w:szCs w:val="22"/>
          <w:lang w:val="hu-HU"/>
        </w:rPr>
        <w:t xml:space="preserve">Buborékcsomagolás és </w:t>
      </w:r>
      <w:r w:rsidR="00A30D95" w:rsidRPr="00F14151">
        <w:rPr>
          <w:spacing w:val="-3"/>
          <w:sz w:val="22"/>
          <w:szCs w:val="22"/>
          <w:lang w:val="hu-HU"/>
        </w:rPr>
        <w:t>H</w:t>
      </w:r>
      <w:r w:rsidR="00A30D95">
        <w:rPr>
          <w:spacing w:val="-3"/>
          <w:sz w:val="22"/>
          <w:szCs w:val="22"/>
          <w:lang w:val="hu-HU"/>
        </w:rPr>
        <w:t>DP</w:t>
      </w:r>
      <w:r w:rsidR="00A30D95" w:rsidRPr="00F14151">
        <w:rPr>
          <w:spacing w:val="-3"/>
          <w:sz w:val="22"/>
          <w:szCs w:val="22"/>
          <w:lang w:val="hu-HU"/>
        </w:rPr>
        <w:t xml:space="preserve">E </w:t>
      </w:r>
      <w:r w:rsidRPr="00F14151">
        <w:rPr>
          <w:spacing w:val="-3"/>
          <w:sz w:val="22"/>
          <w:szCs w:val="22"/>
          <w:lang w:val="hu-HU"/>
        </w:rPr>
        <w:t>tartály: 2</w:t>
      </w:r>
      <w:r w:rsidR="00AF157B">
        <w:rPr>
          <w:spacing w:val="-3"/>
          <w:sz w:val="22"/>
          <w:szCs w:val="22"/>
          <w:lang w:val="hu-HU"/>
        </w:rPr>
        <w:t> </w:t>
      </w:r>
      <w:r w:rsidRPr="00F14151">
        <w:rPr>
          <w:spacing w:val="-3"/>
          <w:sz w:val="22"/>
          <w:szCs w:val="22"/>
          <w:lang w:val="hu-HU"/>
        </w:rPr>
        <w:t>év</w:t>
      </w:r>
      <w:r w:rsidR="00AF157B">
        <w:rPr>
          <w:sz w:val="22"/>
          <w:szCs w:val="22"/>
          <w:lang w:val="hu-HU"/>
        </w:rPr>
        <w:t>.</w:t>
      </w:r>
    </w:p>
    <w:p w14:paraId="294D289D" w14:textId="77777777" w:rsidR="00872E0C" w:rsidRPr="00F14151" w:rsidRDefault="00872E0C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101BCCA1" w14:textId="77777777" w:rsidR="000469A4" w:rsidRPr="00F14151" w:rsidRDefault="00872E0C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HDPE t</w:t>
      </w:r>
      <w:r w:rsidR="000469A4" w:rsidRPr="00F14151">
        <w:rPr>
          <w:sz w:val="22"/>
          <w:szCs w:val="22"/>
          <w:lang w:val="hu-HU"/>
        </w:rPr>
        <w:t>artályok:</w:t>
      </w:r>
    </w:p>
    <w:p w14:paraId="1585FBCE" w14:textId="77777777" w:rsidR="000469A4" w:rsidRPr="00F14151" w:rsidRDefault="000469A4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Felhasználhatósági időtartam az első felnyitás után: </w:t>
      </w:r>
      <w:r w:rsidR="00E86076">
        <w:rPr>
          <w:sz w:val="22"/>
          <w:szCs w:val="22"/>
          <w:lang w:val="hu-HU"/>
        </w:rPr>
        <w:t>90</w:t>
      </w:r>
      <w:r w:rsidR="00E86076" w:rsidRPr="00F14151">
        <w:rPr>
          <w:sz w:val="22"/>
          <w:szCs w:val="22"/>
          <w:lang w:val="hu-HU"/>
        </w:rPr>
        <w:t> </w:t>
      </w:r>
      <w:r w:rsidRPr="00F14151">
        <w:rPr>
          <w:sz w:val="22"/>
          <w:szCs w:val="22"/>
          <w:lang w:val="hu-HU"/>
        </w:rPr>
        <w:t>nap</w:t>
      </w:r>
      <w:r w:rsidR="004B03E9" w:rsidRPr="00F14151">
        <w:rPr>
          <w:sz w:val="22"/>
          <w:szCs w:val="22"/>
          <w:lang w:val="hu-HU"/>
        </w:rPr>
        <w:t>.</w:t>
      </w:r>
    </w:p>
    <w:p w14:paraId="5019D3F8" w14:textId="77777777" w:rsidR="00B630E1" w:rsidRPr="00BA586B" w:rsidRDefault="00B630E1" w:rsidP="00B630E1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9E5AB89" w14:textId="77777777" w:rsidR="00B630E1" w:rsidRPr="00BA586B" w:rsidRDefault="00B630E1" w:rsidP="00B630E1">
      <w:pPr>
        <w:keepNext/>
        <w:autoSpaceDE w:val="0"/>
        <w:autoSpaceDN w:val="0"/>
        <w:adjustRightInd w:val="0"/>
        <w:spacing w:line="260" w:lineRule="exact"/>
        <w:rPr>
          <w:i/>
          <w:sz w:val="22"/>
          <w:szCs w:val="22"/>
          <w:lang w:val="hu-HU"/>
        </w:rPr>
      </w:pPr>
      <w:r w:rsidRPr="00BA586B">
        <w:rPr>
          <w:i/>
          <w:sz w:val="22"/>
          <w:szCs w:val="22"/>
          <w:lang w:val="hu-HU"/>
        </w:rPr>
        <w:t>C</w:t>
      </w:r>
      <w:r>
        <w:rPr>
          <w:i/>
          <w:sz w:val="22"/>
          <w:szCs w:val="22"/>
          <w:lang w:val="hu-HU"/>
        </w:rPr>
        <w:t xml:space="preserve">sak a 20 mg-os hatáserősség, </w:t>
      </w:r>
      <w:r w:rsidRPr="00BA586B">
        <w:rPr>
          <w:i/>
          <w:sz w:val="22"/>
          <w:szCs w:val="22"/>
          <w:lang w:val="hu-HU"/>
        </w:rPr>
        <w:t xml:space="preserve">250 ml-es </w:t>
      </w:r>
      <w:r>
        <w:rPr>
          <w:i/>
          <w:sz w:val="22"/>
          <w:szCs w:val="22"/>
          <w:lang w:val="hu-HU"/>
        </w:rPr>
        <w:t xml:space="preserve">HDPE </w:t>
      </w:r>
      <w:r w:rsidRPr="00BA586B">
        <w:rPr>
          <w:i/>
          <w:sz w:val="22"/>
          <w:szCs w:val="22"/>
          <w:lang w:val="hu-HU"/>
        </w:rPr>
        <w:t>tartály</w:t>
      </w:r>
      <w:r>
        <w:rPr>
          <w:i/>
          <w:sz w:val="22"/>
          <w:szCs w:val="22"/>
          <w:lang w:val="hu-HU"/>
        </w:rPr>
        <w:t xml:space="preserve"> kiszerelése esetén</w:t>
      </w:r>
      <w:r w:rsidRPr="00BA586B">
        <w:rPr>
          <w:i/>
          <w:sz w:val="22"/>
          <w:szCs w:val="22"/>
          <w:lang w:val="hu-HU"/>
        </w:rPr>
        <w:t>:</w:t>
      </w:r>
    </w:p>
    <w:p w14:paraId="4AF26376" w14:textId="77777777" w:rsidR="00B630E1" w:rsidRPr="00F14151" w:rsidRDefault="00B630E1" w:rsidP="00B630E1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Felhasználhatósági idő</w:t>
      </w:r>
      <w:r>
        <w:rPr>
          <w:sz w:val="22"/>
          <w:szCs w:val="22"/>
          <w:lang w:val="hu-HU"/>
        </w:rPr>
        <w:t xml:space="preserve">tartam az első felnyitás után: </w:t>
      </w:r>
      <w:r w:rsidRPr="00F14151">
        <w:rPr>
          <w:sz w:val="22"/>
          <w:szCs w:val="22"/>
          <w:lang w:val="hu-HU"/>
        </w:rPr>
        <w:t>6 </w:t>
      </w:r>
      <w:r>
        <w:rPr>
          <w:sz w:val="22"/>
          <w:szCs w:val="22"/>
          <w:lang w:val="hu-HU"/>
        </w:rPr>
        <w:t>hó</w:t>
      </w:r>
      <w:r w:rsidRPr="00F14151">
        <w:rPr>
          <w:sz w:val="22"/>
          <w:szCs w:val="22"/>
          <w:lang w:val="hu-HU"/>
        </w:rPr>
        <w:t>nap.</w:t>
      </w:r>
    </w:p>
    <w:p w14:paraId="4FDE84A7" w14:textId="77777777" w:rsidR="00B630E1" w:rsidRPr="00F14151" w:rsidRDefault="00B630E1" w:rsidP="00B630E1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2693CBE4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6.4</w:t>
      </w:r>
      <w:r w:rsidRPr="00F14151">
        <w:rPr>
          <w:b/>
          <w:bCs/>
          <w:sz w:val="22"/>
          <w:szCs w:val="22"/>
          <w:lang w:val="hu-HU"/>
        </w:rPr>
        <w:tab/>
        <w:t>Különleges tárolási előírások</w:t>
      </w:r>
    </w:p>
    <w:p w14:paraId="0F01BFC6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5126CF84" w14:textId="77777777" w:rsidR="000469A4" w:rsidRPr="00F14151" w:rsidRDefault="000469A4" w:rsidP="00720B92">
      <w:pPr>
        <w:keepNext/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Buborékcsomagolás:</w:t>
      </w:r>
    </w:p>
    <w:p w14:paraId="58F3EAD2" w14:textId="77777777" w:rsidR="00BA153E" w:rsidRPr="00F14151" w:rsidRDefault="00BA153E" w:rsidP="00D63DC6">
      <w:pPr>
        <w:spacing w:line="260" w:lineRule="exact"/>
        <w:rPr>
          <w:noProof/>
          <w:sz w:val="22"/>
          <w:szCs w:val="22"/>
          <w:lang w:val="hu-HU"/>
        </w:rPr>
      </w:pPr>
      <w:r w:rsidRPr="00F14151">
        <w:rPr>
          <w:noProof/>
          <w:sz w:val="22"/>
          <w:szCs w:val="22"/>
          <w:lang w:val="hu-HU"/>
        </w:rPr>
        <w:t>Legfeljebb 30°C</w:t>
      </w:r>
      <w:r w:rsidR="00720B92" w:rsidRPr="00F14151">
        <w:rPr>
          <w:noProof/>
          <w:sz w:val="22"/>
          <w:szCs w:val="22"/>
          <w:lang w:val="hu-HU"/>
        </w:rPr>
        <w:t>-</w:t>
      </w:r>
      <w:r w:rsidRPr="00F14151">
        <w:rPr>
          <w:noProof/>
          <w:sz w:val="22"/>
          <w:szCs w:val="22"/>
          <w:lang w:val="hu-HU"/>
        </w:rPr>
        <w:t>on tárolandó.</w:t>
      </w:r>
      <w:r w:rsidR="000469A4" w:rsidRPr="00F14151">
        <w:rPr>
          <w:noProof/>
          <w:sz w:val="22"/>
          <w:szCs w:val="22"/>
          <w:lang w:val="hu-HU"/>
        </w:rPr>
        <w:t xml:space="preserve"> A nedvességtől való védelem érdekében az eredeti csomagolásban tárolandó.</w:t>
      </w:r>
    </w:p>
    <w:p w14:paraId="20845B66" w14:textId="77777777" w:rsidR="000469A4" w:rsidRPr="00F14151" w:rsidRDefault="000469A4" w:rsidP="00D63DC6">
      <w:pPr>
        <w:spacing w:line="260" w:lineRule="exact"/>
        <w:rPr>
          <w:noProof/>
          <w:sz w:val="22"/>
          <w:szCs w:val="22"/>
          <w:lang w:val="hu-HU"/>
        </w:rPr>
      </w:pPr>
    </w:p>
    <w:p w14:paraId="10B31B1E" w14:textId="77777777" w:rsidR="000469A4" w:rsidRPr="00F14151" w:rsidRDefault="00872E0C" w:rsidP="00720B92">
      <w:pPr>
        <w:keepNext/>
        <w:spacing w:line="260" w:lineRule="exact"/>
        <w:rPr>
          <w:noProof/>
          <w:sz w:val="22"/>
          <w:szCs w:val="22"/>
          <w:lang w:val="hu-HU"/>
        </w:rPr>
      </w:pPr>
      <w:r w:rsidRPr="00F14151">
        <w:rPr>
          <w:noProof/>
          <w:sz w:val="22"/>
          <w:szCs w:val="22"/>
          <w:lang w:val="hu-HU"/>
        </w:rPr>
        <w:t>HDPE t</w:t>
      </w:r>
      <w:r w:rsidR="000469A4" w:rsidRPr="00F14151">
        <w:rPr>
          <w:noProof/>
          <w:sz w:val="22"/>
          <w:szCs w:val="22"/>
          <w:lang w:val="hu-HU"/>
        </w:rPr>
        <w:t>artályok:</w:t>
      </w:r>
    </w:p>
    <w:p w14:paraId="4224172E" w14:textId="77777777" w:rsidR="00872E0C" w:rsidRPr="00F14151" w:rsidRDefault="000469A4" w:rsidP="00872E0C">
      <w:pPr>
        <w:autoSpaceDE w:val="0"/>
        <w:autoSpaceDN w:val="0"/>
        <w:adjustRightInd w:val="0"/>
        <w:rPr>
          <w:sz w:val="22"/>
          <w:szCs w:val="22"/>
          <w:highlight w:val="yellow"/>
          <w:u w:val="single"/>
          <w:lang w:val="hu-HU"/>
        </w:rPr>
      </w:pPr>
      <w:r w:rsidRPr="00F14151">
        <w:rPr>
          <w:noProof/>
          <w:sz w:val="22"/>
          <w:szCs w:val="22"/>
          <w:lang w:val="hu-HU"/>
        </w:rPr>
        <w:t>Legfeljebb 30°C</w:t>
      </w:r>
      <w:r w:rsidR="00720B92" w:rsidRPr="00F14151">
        <w:rPr>
          <w:noProof/>
          <w:sz w:val="22"/>
          <w:szCs w:val="22"/>
          <w:lang w:val="hu-HU"/>
        </w:rPr>
        <w:t>-</w:t>
      </w:r>
      <w:r w:rsidRPr="00F14151">
        <w:rPr>
          <w:noProof/>
          <w:sz w:val="22"/>
          <w:szCs w:val="22"/>
          <w:lang w:val="hu-HU"/>
        </w:rPr>
        <w:t xml:space="preserve">on tárolandó. </w:t>
      </w:r>
      <w:r w:rsidR="00872E0C" w:rsidRPr="00F14151">
        <w:rPr>
          <w:sz w:val="22"/>
          <w:szCs w:val="22"/>
          <w:lang w:val="hu-HU"/>
        </w:rPr>
        <w:t>A nedvességtől való védelem érdekében a tartályt tartsa jól lezárva.</w:t>
      </w:r>
    </w:p>
    <w:p w14:paraId="7D9A0BE9" w14:textId="77777777" w:rsidR="00EC0AA0" w:rsidRPr="00F14151" w:rsidRDefault="00EC0AA0" w:rsidP="00872E0C">
      <w:pPr>
        <w:spacing w:line="260" w:lineRule="exact"/>
        <w:rPr>
          <w:sz w:val="22"/>
          <w:szCs w:val="22"/>
          <w:lang w:val="hu-HU"/>
        </w:rPr>
      </w:pPr>
    </w:p>
    <w:p w14:paraId="19C7DF6F" w14:textId="77777777" w:rsidR="005C2DF1" w:rsidRPr="005D4A97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6.5</w:t>
      </w:r>
      <w:r w:rsidRPr="00F14151">
        <w:rPr>
          <w:b/>
          <w:bCs/>
          <w:sz w:val="22"/>
          <w:szCs w:val="22"/>
          <w:lang w:val="hu-HU"/>
        </w:rPr>
        <w:tab/>
        <w:t>Csomagolás típusa és kiszerelése</w:t>
      </w:r>
    </w:p>
    <w:p w14:paraId="23D36D7B" w14:textId="77777777" w:rsidR="00BC67CD" w:rsidRPr="005D4A97" w:rsidRDefault="00BC67CD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011BDE74" w14:textId="30F3A00D" w:rsidR="000469A4" w:rsidRPr="00F14151" w:rsidRDefault="000469A4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D3753">
        <w:rPr>
          <w:sz w:val="22"/>
          <w:szCs w:val="22"/>
          <w:lang w:val="hu-HU"/>
        </w:rPr>
        <w:t xml:space="preserve">Az </w:t>
      </w:r>
      <w:r w:rsidR="0022470A" w:rsidRPr="00AD3753">
        <w:rPr>
          <w:sz w:val="22"/>
          <w:szCs w:val="22"/>
          <w:lang w:val="hu-HU"/>
        </w:rPr>
        <w:t>Omeprazol-Teva</w:t>
      </w:r>
      <w:r w:rsidRPr="00AD3753">
        <w:rPr>
          <w:sz w:val="22"/>
          <w:szCs w:val="22"/>
          <w:lang w:val="hu-HU"/>
        </w:rPr>
        <w:t xml:space="preserve"> </w:t>
      </w:r>
      <w:r w:rsidR="00B563B1" w:rsidRPr="00122F15">
        <w:rPr>
          <w:sz w:val="22"/>
          <w:szCs w:val="22"/>
        </w:rPr>
        <w:t xml:space="preserve">fehér, csavaros, gyermekbiztos, garanciazáras, nedvességmegkötővel ellátott, PP </w:t>
      </w:r>
      <w:r w:rsidR="00B563B1" w:rsidRPr="00F97A1A">
        <w:rPr>
          <w:color w:val="000000"/>
          <w:sz w:val="22"/>
          <w:szCs w:val="22"/>
        </w:rPr>
        <w:t>kupakkal lezárt fehér HPDE tartályban és dobozban</w:t>
      </w:r>
      <w:r w:rsidR="000D5818" w:rsidRPr="00B563B1">
        <w:rPr>
          <w:sz w:val="22"/>
          <w:szCs w:val="22"/>
          <w:lang w:val="hu-HU"/>
        </w:rPr>
        <w:t>.</w:t>
      </w:r>
      <w:r w:rsidR="000D5818" w:rsidRPr="00F14151">
        <w:rPr>
          <w:sz w:val="22"/>
          <w:szCs w:val="22"/>
          <w:lang w:val="hu-HU"/>
        </w:rPr>
        <w:t xml:space="preserve"> Kiszerelések: 5, 7, 14, 15, 20, 21, 28, 30, 42, 50,</w:t>
      </w:r>
      <w:r w:rsidR="00AD3753">
        <w:rPr>
          <w:sz w:val="22"/>
          <w:szCs w:val="22"/>
          <w:lang w:val="hu-HU"/>
        </w:rPr>
        <w:t xml:space="preserve"> 56,</w:t>
      </w:r>
      <w:r w:rsidR="000D5818" w:rsidRPr="00F14151">
        <w:rPr>
          <w:sz w:val="22"/>
          <w:szCs w:val="22"/>
          <w:lang w:val="hu-HU"/>
        </w:rPr>
        <w:t xml:space="preserve"> 56 (2x28), 60 (2x30), 84 (2x42), </w:t>
      </w:r>
      <w:r w:rsidR="00E86076">
        <w:rPr>
          <w:sz w:val="22"/>
          <w:szCs w:val="22"/>
          <w:lang w:val="hu-HU"/>
        </w:rPr>
        <w:t xml:space="preserve">90, </w:t>
      </w:r>
      <w:r w:rsidR="000D5818" w:rsidRPr="00F14151">
        <w:rPr>
          <w:sz w:val="22"/>
          <w:szCs w:val="22"/>
          <w:lang w:val="hu-HU"/>
        </w:rPr>
        <w:t>90 (3x30), 98 (</w:t>
      </w:r>
      <w:r w:rsidR="001C5DFD">
        <w:rPr>
          <w:sz w:val="22"/>
          <w:szCs w:val="22"/>
          <w:lang w:val="hu-HU"/>
        </w:rPr>
        <w:t>7x14</w:t>
      </w:r>
      <w:r w:rsidR="000D5818" w:rsidRPr="00F14151">
        <w:rPr>
          <w:sz w:val="22"/>
          <w:szCs w:val="22"/>
          <w:lang w:val="hu-HU"/>
        </w:rPr>
        <w:t xml:space="preserve">), 100 (2x50), 250 (5x50), illetve 500 (10x50) </w:t>
      </w:r>
      <w:r w:rsidR="00E86076">
        <w:rPr>
          <w:sz w:val="22"/>
          <w:szCs w:val="22"/>
          <w:lang w:val="hu-HU"/>
        </w:rPr>
        <w:t xml:space="preserve">db </w:t>
      </w:r>
      <w:r w:rsidR="000D5818" w:rsidRPr="00F14151">
        <w:rPr>
          <w:sz w:val="22"/>
          <w:szCs w:val="22"/>
          <w:lang w:val="hu-HU"/>
        </w:rPr>
        <w:t>kapszula.</w:t>
      </w:r>
    </w:p>
    <w:p w14:paraId="2531C8A8" w14:textId="77777777" w:rsidR="000D5818" w:rsidRDefault="000D5818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01EB9793" w14:textId="77777777" w:rsidR="00B630E1" w:rsidRDefault="00B630E1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20 mg-os hatáserősség esetén: 250 </w:t>
      </w:r>
      <w:r w:rsidR="00E86076">
        <w:rPr>
          <w:sz w:val="22"/>
          <w:szCs w:val="22"/>
          <w:lang w:val="hu-HU"/>
        </w:rPr>
        <w:t xml:space="preserve">db </w:t>
      </w:r>
      <w:r>
        <w:rPr>
          <w:sz w:val="22"/>
          <w:szCs w:val="22"/>
          <w:lang w:val="hu-HU"/>
        </w:rPr>
        <w:t>kapszula.</w:t>
      </w:r>
    </w:p>
    <w:p w14:paraId="46228668" w14:textId="77777777" w:rsidR="00B630E1" w:rsidRPr="00F14151" w:rsidRDefault="00B630E1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358B151F" w14:textId="007ADA48" w:rsidR="000D5818" w:rsidRPr="00F14151" w:rsidRDefault="000D5818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AD3753">
        <w:rPr>
          <w:sz w:val="22"/>
          <w:szCs w:val="22"/>
          <w:lang w:val="hu-HU"/>
        </w:rPr>
        <w:t xml:space="preserve">Az </w:t>
      </w:r>
      <w:r w:rsidR="0022470A" w:rsidRPr="00AD3753">
        <w:rPr>
          <w:sz w:val="22"/>
          <w:szCs w:val="22"/>
          <w:lang w:val="hu-HU"/>
        </w:rPr>
        <w:t>Omeprazol-Teva</w:t>
      </w:r>
      <w:r w:rsidRPr="00AD3753">
        <w:rPr>
          <w:sz w:val="22"/>
          <w:szCs w:val="22"/>
          <w:lang w:val="hu-HU"/>
        </w:rPr>
        <w:t xml:space="preserve"> kapszulák </w:t>
      </w:r>
      <w:r w:rsidR="00B563B1" w:rsidRPr="00122F15">
        <w:rPr>
          <w:sz w:val="22"/>
          <w:szCs w:val="22"/>
        </w:rPr>
        <w:t>OPA/Al/PVC//Al</w:t>
      </w:r>
      <w:r w:rsidR="00B77DE8" w:rsidRPr="00AD3753">
        <w:rPr>
          <w:sz w:val="22"/>
          <w:szCs w:val="22"/>
          <w:lang w:val="hu-HU"/>
        </w:rPr>
        <w:t xml:space="preserve"> buborékcsomagolásban és dobozban</w:t>
      </w:r>
      <w:r w:rsidR="00B77DE8" w:rsidRPr="00AD3753" w:rsidDel="00B77DE8">
        <w:rPr>
          <w:sz w:val="22"/>
          <w:szCs w:val="22"/>
          <w:lang w:val="hu-HU"/>
        </w:rPr>
        <w:t xml:space="preserve"> </w:t>
      </w:r>
      <w:r w:rsidRPr="00AD3753">
        <w:rPr>
          <w:sz w:val="22"/>
          <w:szCs w:val="22"/>
          <w:lang w:val="hu-HU"/>
        </w:rPr>
        <w:t xml:space="preserve">kerülnek </w:t>
      </w:r>
      <w:r w:rsidRPr="00F14151">
        <w:rPr>
          <w:sz w:val="22"/>
          <w:szCs w:val="22"/>
          <w:lang w:val="hu-HU"/>
        </w:rPr>
        <w:t xml:space="preserve">forgalomba. Kiszerelések: 5, 7, 14, 15, 20, 21, 25, 28, 30, 35, 42, 50, 50x1 kórházi csomagolás, 56, 60, 98, illetve 100 </w:t>
      </w:r>
      <w:r w:rsidR="00E86076">
        <w:rPr>
          <w:sz w:val="22"/>
          <w:szCs w:val="22"/>
          <w:lang w:val="hu-HU"/>
        </w:rPr>
        <w:t xml:space="preserve">db </w:t>
      </w:r>
      <w:r w:rsidRPr="00F14151">
        <w:rPr>
          <w:sz w:val="22"/>
          <w:szCs w:val="22"/>
          <w:lang w:val="hu-HU"/>
        </w:rPr>
        <w:t>kapszula.</w:t>
      </w:r>
    </w:p>
    <w:p w14:paraId="33B60414" w14:textId="77777777" w:rsidR="00AD4AF2" w:rsidRPr="00F14151" w:rsidRDefault="00AD4AF2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8C7477C" w14:textId="77777777" w:rsidR="00FA4F40" w:rsidRPr="00F14151" w:rsidRDefault="00FA4F40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>Nem feltétlenül mindegyik kiszerelés kerül kereskedelmi forgalomba.</w:t>
      </w:r>
    </w:p>
    <w:p w14:paraId="400E402E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7DC10045" w14:textId="77777777" w:rsidR="00A30D95" w:rsidRPr="00F14151" w:rsidRDefault="00FA4F40" w:rsidP="00A30D95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6.6</w:t>
      </w:r>
      <w:r w:rsidRPr="00F14151">
        <w:rPr>
          <w:b/>
          <w:bCs/>
          <w:sz w:val="22"/>
          <w:szCs w:val="22"/>
          <w:lang w:val="hu-HU"/>
        </w:rPr>
        <w:tab/>
        <w:t>A megsemmisítésre vonatkozó különleges óvintézkedések</w:t>
      </w:r>
      <w:r w:rsidR="00A30D95">
        <w:rPr>
          <w:b/>
          <w:bCs/>
          <w:sz w:val="22"/>
          <w:szCs w:val="22"/>
          <w:lang w:val="hu-HU"/>
        </w:rPr>
        <w:t xml:space="preserve">, </w:t>
      </w:r>
      <w:r w:rsidR="00A30D95" w:rsidRPr="00F6319E">
        <w:rPr>
          <w:b/>
          <w:bCs/>
          <w:sz w:val="22"/>
          <w:szCs w:val="22"/>
          <w:lang w:val="hu-HU"/>
        </w:rPr>
        <w:t>és egyéb, a készítmény kezelésével kapcsolatos információk</w:t>
      </w:r>
    </w:p>
    <w:p w14:paraId="703455EB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22D10625" w14:textId="77777777" w:rsidR="00BA153E" w:rsidRPr="005D4A97" w:rsidRDefault="00BA153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7E570F7" w14:textId="77777777" w:rsidR="000D384D" w:rsidRPr="00F14151" w:rsidRDefault="000D384D" w:rsidP="000D384D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Bármilyen fel nem használt </w:t>
      </w:r>
      <w:r w:rsidR="00B01056">
        <w:rPr>
          <w:sz w:val="22"/>
          <w:szCs w:val="22"/>
          <w:lang w:val="hu-HU"/>
        </w:rPr>
        <w:t>gyógyszer</w:t>
      </w:r>
      <w:r w:rsidRPr="00F14151">
        <w:rPr>
          <w:sz w:val="22"/>
          <w:szCs w:val="22"/>
          <w:lang w:val="hu-HU"/>
        </w:rPr>
        <w:t xml:space="preserve">, illetve hulladékanyag megsemmisítését a </w:t>
      </w:r>
      <w:r w:rsidR="00B01056">
        <w:rPr>
          <w:sz w:val="22"/>
          <w:szCs w:val="22"/>
          <w:lang w:val="hu-HU"/>
        </w:rPr>
        <w:t>gyógyszerekre vonatkozó</w:t>
      </w:r>
      <w:r w:rsidRPr="00F14151">
        <w:rPr>
          <w:sz w:val="22"/>
          <w:szCs w:val="22"/>
          <w:lang w:val="hu-HU"/>
        </w:rPr>
        <w:t xml:space="preserve"> előírások szerint kell végrehajtani.</w:t>
      </w:r>
    </w:p>
    <w:p w14:paraId="482B7E0F" w14:textId="77777777" w:rsidR="000D384D" w:rsidRPr="00F14151" w:rsidRDefault="000D384D" w:rsidP="000D384D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478FE67B" w14:textId="77777777" w:rsidR="006C6528" w:rsidRPr="00F14151" w:rsidRDefault="008A7D7E" w:rsidP="00D63DC6">
      <w:pPr>
        <w:pStyle w:val="Normal1"/>
        <w:spacing w:line="260" w:lineRule="exact"/>
        <w:rPr>
          <w:bCs/>
          <w:sz w:val="22"/>
          <w:szCs w:val="22"/>
        </w:rPr>
      </w:pPr>
      <w:r w:rsidRPr="00F14151">
        <w:rPr>
          <w:b/>
          <w:sz w:val="22"/>
          <w:szCs w:val="22"/>
        </w:rPr>
        <w:t>Megjegyzés:</w:t>
      </w:r>
      <w:r w:rsidR="006C6528" w:rsidRPr="00F14151">
        <w:rPr>
          <w:b/>
          <w:sz w:val="22"/>
          <w:szCs w:val="22"/>
        </w:rPr>
        <w:t xml:space="preserve"> </w:t>
      </w:r>
      <w:r w:rsidR="009408BD" w:rsidRPr="00F14151">
        <w:rPr>
          <w:b/>
          <w:bCs/>
          <w:sz w:val="22"/>
          <w:szCs w:val="22"/>
        </w:rPr>
        <w:sym w:font="Wingdings" w:char="F058"/>
      </w:r>
      <w:r w:rsidR="006C6528" w:rsidRPr="00F14151">
        <w:rPr>
          <w:b/>
          <w:bCs/>
          <w:sz w:val="22"/>
          <w:szCs w:val="22"/>
        </w:rPr>
        <w:t xml:space="preserve"> </w:t>
      </w:r>
      <w:r w:rsidR="006C6528" w:rsidRPr="00F14151">
        <w:rPr>
          <w:bCs/>
          <w:sz w:val="22"/>
          <w:szCs w:val="22"/>
        </w:rPr>
        <w:t>(egy keresztes)</w:t>
      </w:r>
    </w:p>
    <w:p w14:paraId="7689DF23" w14:textId="77777777" w:rsidR="008A7D7E" w:rsidRPr="00F14151" w:rsidRDefault="008A7D7E" w:rsidP="00D63DC6">
      <w:pPr>
        <w:spacing w:line="260" w:lineRule="exact"/>
        <w:rPr>
          <w:b/>
          <w:sz w:val="22"/>
          <w:szCs w:val="22"/>
          <w:lang w:val="hu-HU"/>
        </w:rPr>
      </w:pPr>
      <w:r w:rsidRPr="00F14151">
        <w:rPr>
          <w:sz w:val="22"/>
          <w:szCs w:val="22"/>
          <w:lang w:val="hu-HU"/>
        </w:rPr>
        <w:t xml:space="preserve">Osztályozás: </w:t>
      </w:r>
      <w:r w:rsidRPr="00F14151">
        <w:rPr>
          <w:b/>
          <w:sz w:val="22"/>
          <w:szCs w:val="22"/>
          <w:lang w:val="hu-HU"/>
        </w:rPr>
        <w:t>II.csoport:</w:t>
      </w:r>
    </w:p>
    <w:p w14:paraId="2242357B" w14:textId="77777777" w:rsidR="008A7D7E" w:rsidRPr="00F14151" w:rsidRDefault="00BF7925" w:rsidP="00D63DC6">
      <w:pPr>
        <w:spacing w:line="260" w:lineRule="exac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Kizárólag o</w:t>
      </w:r>
      <w:r w:rsidRPr="00F14151">
        <w:rPr>
          <w:sz w:val="22"/>
          <w:szCs w:val="22"/>
          <w:lang w:val="hu-HU"/>
        </w:rPr>
        <w:t xml:space="preserve">rvosi </w:t>
      </w:r>
      <w:r w:rsidR="008A7D7E" w:rsidRPr="00F14151">
        <w:rPr>
          <w:sz w:val="22"/>
          <w:szCs w:val="22"/>
          <w:lang w:val="hu-HU"/>
        </w:rPr>
        <w:t>rendelvényhez kötött gyógyszer (V).</w:t>
      </w:r>
    </w:p>
    <w:p w14:paraId="610A7B96" w14:textId="77777777" w:rsidR="008A7D7E" w:rsidRPr="00F14151" w:rsidRDefault="008A7D7E" w:rsidP="00D63DC6">
      <w:pPr>
        <w:autoSpaceDE w:val="0"/>
        <w:autoSpaceDN w:val="0"/>
        <w:adjustRightInd w:val="0"/>
        <w:spacing w:line="260" w:lineRule="exact"/>
        <w:rPr>
          <w:sz w:val="22"/>
          <w:szCs w:val="22"/>
          <w:lang w:val="hu-HU"/>
        </w:rPr>
      </w:pPr>
    </w:p>
    <w:p w14:paraId="6A340367" w14:textId="77777777" w:rsidR="00BC67CD" w:rsidRPr="00F14151" w:rsidRDefault="00BC67CD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6873856B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lastRenderedPageBreak/>
        <w:t>7.</w:t>
      </w:r>
      <w:r w:rsidRPr="00F14151">
        <w:rPr>
          <w:b/>
          <w:bCs/>
          <w:sz w:val="22"/>
          <w:szCs w:val="22"/>
          <w:lang w:val="hu-HU"/>
        </w:rPr>
        <w:tab/>
        <w:t>A FORGALOMBA HOZATALI ENGEDÉLY JOGOSULTJA</w:t>
      </w:r>
    </w:p>
    <w:p w14:paraId="32D25581" w14:textId="77777777" w:rsidR="00BC67CD" w:rsidRPr="00F14151" w:rsidRDefault="00BC67CD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4A270476" w14:textId="77777777" w:rsidR="005A06E7" w:rsidRDefault="005A06E7" w:rsidP="005A06E7">
      <w:pPr>
        <w:keepNext/>
        <w:spacing w:line="260" w:lineRule="exact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Teva Gyógyszergyár Zrt.</w:t>
      </w:r>
    </w:p>
    <w:p w14:paraId="55E31176" w14:textId="77777777" w:rsidR="005A06E7" w:rsidRPr="005A06E7" w:rsidRDefault="005A06E7" w:rsidP="005A06E7">
      <w:pPr>
        <w:keepNext/>
        <w:spacing w:line="260" w:lineRule="exact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4042 Debrecen, Pallagi út 13.</w:t>
      </w:r>
    </w:p>
    <w:p w14:paraId="0321B99B" w14:textId="77777777" w:rsidR="00BA153E" w:rsidRPr="00F14151" w:rsidRDefault="00BA153E" w:rsidP="00D63DC6">
      <w:pPr>
        <w:spacing w:line="260" w:lineRule="exact"/>
        <w:rPr>
          <w:b/>
          <w:bCs/>
          <w:sz w:val="22"/>
          <w:szCs w:val="22"/>
          <w:lang w:val="hu-HU"/>
        </w:rPr>
      </w:pPr>
    </w:p>
    <w:p w14:paraId="3FDA2BB3" w14:textId="77777777" w:rsidR="001258A9" w:rsidRPr="00F14151" w:rsidRDefault="001258A9" w:rsidP="00D63DC6">
      <w:pPr>
        <w:spacing w:line="260" w:lineRule="exact"/>
        <w:rPr>
          <w:b/>
          <w:bCs/>
          <w:sz w:val="22"/>
          <w:szCs w:val="22"/>
          <w:lang w:val="hu-HU"/>
        </w:rPr>
      </w:pPr>
    </w:p>
    <w:p w14:paraId="2FCB5B4E" w14:textId="77777777" w:rsidR="003E3A79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8.</w:t>
      </w:r>
      <w:r w:rsidRPr="00F14151">
        <w:rPr>
          <w:b/>
          <w:bCs/>
          <w:sz w:val="22"/>
          <w:szCs w:val="22"/>
          <w:lang w:val="hu-HU"/>
        </w:rPr>
        <w:tab/>
        <w:t>A FORGALOMBA HOZATALI ENGEDÉLY SZÁMA(I)</w:t>
      </w:r>
    </w:p>
    <w:p w14:paraId="277A91AF" w14:textId="77777777" w:rsidR="008A7D7E" w:rsidRPr="00F14151" w:rsidRDefault="008A7D7E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2433B1F4" w14:textId="77777777" w:rsidR="001258A9" w:rsidRPr="00BF7925" w:rsidRDefault="001A1743" w:rsidP="00D63DC6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BF7925">
        <w:rPr>
          <w:bCs/>
          <w:sz w:val="22"/>
          <w:szCs w:val="22"/>
          <w:lang w:val="hu-HU"/>
        </w:rPr>
        <w:t>OGYI-T</w:t>
      </w:r>
      <w:r w:rsidR="003A16A1" w:rsidRPr="00BF7925">
        <w:rPr>
          <w:bCs/>
          <w:sz w:val="22"/>
          <w:szCs w:val="22"/>
          <w:lang w:val="hu-HU"/>
        </w:rPr>
        <w:t>-22326</w:t>
      </w:r>
      <w:r w:rsidRPr="00BF7925">
        <w:rPr>
          <w:bCs/>
          <w:sz w:val="22"/>
          <w:szCs w:val="22"/>
          <w:lang w:val="hu-HU"/>
        </w:rPr>
        <w:t>/01</w:t>
      </w:r>
      <w:r w:rsidRPr="00BF7925">
        <w:rPr>
          <w:bCs/>
          <w:sz w:val="22"/>
          <w:szCs w:val="22"/>
          <w:lang w:val="hu-HU"/>
        </w:rPr>
        <w:tab/>
      </w:r>
      <w:r w:rsidRPr="00BF7925">
        <w:rPr>
          <w:bCs/>
          <w:sz w:val="22"/>
          <w:szCs w:val="22"/>
          <w:lang w:val="hu-HU"/>
        </w:rPr>
        <w:tab/>
        <w:t>(10 mg, 28</w:t>
      </w:r>
      <w:r w:rsidR="00D211CA" w:rsidRPr="00BF7925">
        <w:rPr>
          <w:bCs/>
          <w:sz w:val="22"/>
          <w:szCs w:val="22"/>
          <w:lang w:val="hu-HU"/>
        </w:rPr>
        <w:t xml:space="preserve"> kapszula</w:t>
      </w:r>
      <w:r w:rsidRPr="00BF7925">
        <w:rPr>
          <w:bCs/>
          <w:sz w:val="22"/>
          <w:szCs w:val="22"/>
          <w:lang w:val="hu-HU"/>
        </w:rPr>
        <w:t xml:space="preserve"> Al//Al buborékcsomagolásban)</w:t>
      </w:r>
    </w:p>
    <w:p w14:paraId="6E3EAD23" w14:textId="77777777" w:rsidR="001A1743" w:rsidRPr="00BF7925" w:rsidRDefault="001A1743" w:rsidP="001A1743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BF7925">
        <w:rPr>
          <w:bCs/>
          <w:sz w:val="22"/>
          <w:szCs w:val="22"/>
          <w:lang w:val="hu-HU"/>
        </w:rPr>
        <w:t>OGYI-T-</w:t>
      </w:r>
      <w:r w:rsidR="003A16A1" w:rsidRPr="000115E5">
        <w:rPr>
          <w:color w:val="000000"/>
          <w:sz w:val="22"/>
          <w:szCs w:val="22"/>
          <w:lang w:val="hu-HU" w:eastAsia="hu-HU"/>
        </w:rPr>
        <w:t>22326</w:t>
      </w:r>
      <w:r w:rsidRPr="00BF7925">
        <w:rPr>
          <w:bCs/>
          <w:sz w:val="22"/>
          <w:szCs w:val="22"/>
          <w:lang w:val="hu-HU"/>
        </w:rPr>
        <w:t>/02</w:t>
      </w:r>
      <w:r w:rsidRPr="00BF7925">
        <w:rPr>
          <w:bCs/>
          <w:sz w:val="22"/>
          <w:szCs w:val="22"/>
          <w:lang w:val="hu-HU"/>
        </w:rPr>
        <w:tab/>
      </w:r>
      <w:r w:rsidRPr="00BF7925">
        <w:rPr>
          <w:bCs/>
          <w:sz w:val="22"/>
          <w:szCs w:val="22"/>
          <w:lang w:val="hu-HU"/>
        </w:rPr>
        <w:tab/>
        <w:t>(20 mg, 28</w:t>
      </w:r>
      <w:r w:rsidR="00D211CA" w:rsidRPr="00BF7925">
        <w:rPr>
          <w:bCs/>
          <w:sz w:val="22"/>
          <w:szCs w:val="22"/>
          <w:lang w:val="hu-HU"/>
        </w:rPr>
        <w:t xml:space="preserve"> kapszula</w:t>
      </w:r>
      <w:r w:rsidRPr="00BF7925">
        <w:rPr>
          <w:bCs/>
          <w:sz w:val="22"/>
          <w:szCs w:val="22"/>
          <w:lang w:val="hu-HU"/>
        </w:rPr>
        <w:t xml:space="preserve"> Al//Al buborékcsomagolásban)</w:t>
      </w:r>
    </w:p>
    <w:p w14:paraId="75850D33" w14:textId="77777777" w:rsidR="001A1743" w:rsidRPr="00F14151" w:rsidRDefault="001A1743" w:rsidP="001A1743">
      <w:pPr>
        <w:autoSpaceDE w:val="0"/>
        <w:autoSpaceDN w:val="0"/>
        <w:adjustRightInd w:val="0"/>
        <w:spacing w:line="260" w:lineRule="exact"/>
        <w:rPr>
          <w:bCs/>
          <w:sz w:val="22"/>
          <w:szCs w:val="22"/>
          <w:lang w:val="hu-HU"/>
        </w:rPr>
      </w:pPr>
      <w:r w:rsidRPr="00BF7925">
        <w:rPr>
          <w:bCs/>
          <w:sz w:val="22"/>
          <w:szCs w:val="22"/>
          <w:lang w:val="hu-HU"/>
        </w:rPr>
        <w:t>OGYI-T-</w:t>
      </w:r>
      <w:r w:rsidR="003A16A1" w:rsidRPr="000115E5">
        <w:rPr>
          <w:color w:val="000000"/>
          <w:sz w:val="22"/>
          <w:szCs w:val="22"/>
          <w:lang w:val="hu-HU" w:eastAsia="hu-HU"/>
        </w:rPr>
        <w:t>22326</w:t>
      </w:r>
      <w:r w:rsidRPr="00BF7925">
        <w:rPr>
          <w:bCs/>
          <w:sz w:val="22"/>
          <w:szCs w:val="22"/>
          <w:lang w:val="hu-HU"/>
        </w:rPr>
        <w:t>/03</w:t>
      </w:r>
      <w:r w:rsidRPr="00BF7925">
        <w:rPr>
          <w:bCs/>
          <w:sz w:val="22"/>
          <w:szCs w:val="22"/>
          <w:lang w:val="hu-HU"/>
        </w:rPr>
        <w:tab/>
      </w:r>
      <w:r w:rsidRPr="00BF7925">
        <w:rPr>
          <w:bCs/>
          <w:sz w:val="22"/>
          <w:szCs w:val="22"/>
          <w:lang w:val="hu-HU"/>
        </w:rPr>
        <w:tab/>
        <w:t>(40 mg, 28</w:t>
      </w:r>
      <w:r w:rsidR="00D211CA" w:rsidRPr="00BF7925">
        <w:rPr>
          <w:bCs/>
          <w:sz w:val="22"/>
          <w:szCs w:val="22"/>
          <w:lang w:val="hu-HU"/>
        </w:rPr>
        <w:t xml:space="preserve"> kapszula</w:t>
      </w:r>
      <w:r w:rsidRPr="00BF7925">
        <w:rPr>
          <w:bCs/>
          <w:sz w:val="22"/>
          <w:szCs w:val="22"/>
          <w:lang w:val="hu-HU"/>
        </w:rPr>
        <w:t xml:space="preserve"> Al//Al buborékcsomagolásban</w:t>
      </w:r>
      <w:r w:rsidRPr="00F14151">
        <w:rPr>
          <w:bCs/>
          <w:sz w:val="22"/>
          <w:szCs w:val="22"/>
          <w:lang w:val="hu-HU"/>
        </w:rPr>
        <w:t>)</w:t>
      </w:r>
    </w:p>
    <w:p w14:paraId="0C58568A" w14:textId="77777777" w:rsidR="001A1743" w:rsidRPr="00F14151" w:rsidRDefault="001A1743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33FCAD19" w14:textId="77777777" w:rsidR="001258A9" w:rsidRPr="00F14151" w:rsidRDefault="001258A9" w:rsidP="00D63DC6">
      <w:pPr>
        <w:autoSpaceDE w:val="0"/>
        <w:autoSpaceDN w:val="0"/>
        <w:adjustRightInd w:val="0"/>
        <w:spacing w:line="260" w:lineRule="exact"/>
        <w:rPr>
          <w:b/>
          <w:bCs/>
          <w:sz w:val="22"/>
          <w:szCs w:val="22"/>
          <w:lang w:val="hu-HU"/>
        </w:rPr>
      </w:pPr>
    </w:p>
    <w:p w14:paraId="7F895E10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9.</w:t>
      </w:r>
      <w:r w:rsidR="00231FA3" w:rsidRPr="00F14151">
        <w:rPr>
          <w:b/>
          <w:bCs/>
          <w:sz w:val="22"/>
          <w:szCs w:val="22"/>
          <w:lang w:val="hu-HU"/>
        </w:rPr>
        <w:tab/>
      </w:r>
      <w:r w:rsidRPr="00F14151">
        <w:rPr>
          <w:b/>
          <w:bCs/>
          <w:sz w:val="22"/>
          <w:szCs w:val="22"/>
          <w:lang w:val="hu-HU"/>
        </w:rPr>
        <w:t>A FORGALOMBA HOZATALI ENGEDÉLY ELSŐ KIADÁSÁNAK/</w:t>
      </w:r>
      <w:r w:rsidR="00BC67CD" w:rsidRPr="00F14151">
        <w:rPr>
          <w:b/>
          <w:bCs/>
          <w:sz w:val="22"/>
          <w:szCs w:val="22"/>
          <w:lang w:val="hu-HU"/>
        </w:rPr>
        <w:t xml:space="preserve"> </w:t>
      </w:r>
      <w:r w:rsidRPr="00F14151">
        <w:rPr>
          <w:b/>
          <w:bCs/>
          <w:sz w:val="22"/>
          <w:szCs w:val="22"/>
          <w:lang w:val="hu-HU"/>
        </w:rPr>
        <w:t>MEGÚJÍTÁSÁNAK DÁTUMA</w:t>
      </w:r>
    </w:p>
    <w:p w14:paraId="53EA7EAD" w14:textId="77777777" w:rsidR="003F7A5B" w:rsidRPr="00F14151" w:rsidRDefault="003F7A5B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660A9E38" w14:textId="77777777" w:rsidR="001258A9" w:rsidRPr="00F14151" w:rsidRDefault="00A30D95" w:rsidP="00D63DC6">
      <w:pPr>
        <w:spacing w:line="260" w:lineRule="exact"/>
        <w:rPr>
          <w:bCs/>
          <w:sz w:val="22"/>
          <w:szCs w:val="22"/>
          <w:lang w:val="hu-HU"/>
        </w:rPr>
      </w:pPr>
      <w:r w:rsidRPr="00F6319E">
        <w:rPr>
          <w:bCs/>
          <w:sz w:val="22"/>
          <w:szCs w:val="22"/>
          <w:lang w:val="hu-HU"/>
        </w:rPr>
        <w:t>A forgalomba hozatali engedély első kiadásának dátuma</w:t>
      </w:r>
      <w:r>
        <w:rPr>
          <w:bCs/>
          <w:sz w:val="22"/>
          <w:szCs w:val="22"/>
          <w:lang w:val="hu-HU"/>
        </w:rPr>
        <w:t xml:space="preserve">: </w:t>
      </w:r>
      <w:r w:rsidR="001A1743" w:rsidRPr="00F14151">
        <w:rPr>
          <w:bCs/>
          <w:sz w:val="22"/>
          <w:szCs w:val="22"/>
          <w:lang w:val="hu-HU"/>
        </w:rPr>
        <w:t>2012.</w:t>
      </w:r>
      <w:r w:rsidR="00B77DE8" w:rsidRPr="00F14151">
        <w:rPr>
          <w:bCs/>
          <w:sz w:val="22"/>
          <w:szCs w:val="22"/>
          <w:lang w:val="hu-HU"/>
        </w:rPr>
        <w:t xml:space="preserve"> </w:t>
      </w:r>
      <w:r w:rsidR="003A16A1">
        <w:rPr>
          <w:bCs/>
          <w:sz w:val="22"/>
          <w:szCs w:val="22"/>
          <w:lang w:val="hu-HU"/>
        </w:rPr>
        <w:t>október 29.</w:t>
      </w:r>
    </w:p>
    <w:p w14:paraId="4064AF59" w14:textId="77777777" w:rsidR="003F7A5B" w:rsidRPr="00910CFC" w:rsidRDefault="008E5CCB" w:rsidP="00D63DC6">
      <w:pPr>
        <w:spacing w:line="260" w:lineRule="exact"/>
        <w:rPr>
          <w:bCs/>
          <w:sz w:val="22"/>
          <w:szCs w:val="22"/>
          <w:lang w:val="hu-HU"/>
        </w:rPr>
      </w:pPr>
      <w:r w:rsidRPr="00910CFC">
        <w:rPr>
          <w:bCs/>
          <w:sz w:val="22"/>
          <w:szCs w:val="22"/>
          <w:lang w:val="hu-HU"/>
        </w:rPr>
        <w:t xml:space="preserve">A forgalomba hozatali engedély legutóbbi megújításának dátuma: </w:t>
      </w:r>
      <w:r>
        <w:rPr>
          <w:bCs/>
          <w:sz w:val="22"/>
          <w:szCs w:val="22"/>
          <w:lang w:val="hu-HU"/>
        </w:rPr>
        <w:t>2018</w:t>
      </w:r>
      <w:r w:rsidRPr="00910CFC">
        <w:rPr>
          <w:bCs/>
          <w:sz w:val="22"/>
          <w:szCs w:val="22"/>
          <w:lang w:val="hu-HU"/>
        </w:rPr>
        <w:t xml:space="preserve">. </w:t>
      </w:r>
      <w:r>
        <w:rPr>
          <w:bCs/>
          <w:sz w:val="22"/>
          <w:szCs w:val="22"/>
          <w:lang w:val="hu-HU"/>
        </w:rPr>
        <w:t>március</w:t>
      </w:r>
      <w:r w:rsidRPr="00910CFC">
        <w:rPr>
          <w:bCs/>
          <w:sz w:val="22"/>
          <w:szCs w:val="22"/>
          <w:lang w:val="hu-HU"/>
        </w:rPr>
        <w:t xml:space="preserve"> </w:t>
      </w:r>
      <w:r>
        <w:rPr>
          <w:bCs/>
          <w:sz w:val="22"/>
          <w:szCs w:val="22"/>
          <w:lang w:val="hu-HU"/>
        </w:rPr>
        <w:t>22</w:t>
      </w:r>
      <w:r w:rsidRPr="00910CFC">
        <w:rPr>
          <w:bCs/>
          <w:sz w:val="22"/>
          <w:szCs w:val="22"/>
          <w:lang w:val="hu-HU"/>
        </w:rPr>
        <w:t>.</w:t>
      </w:r>
    </w:p>
    <w:p w14:paraId="71A7BD79" w14:textId="77777777" w:rsidR="003A16A1" w:rsidRPr="00F14151" w:rsidRDefault="003A16A1" w:rsidP="00D63DC6">
      <w:pPr>
        <w:spacing w:line="260" w:lineRule="exact"/>
        <w:rPr>
          <w:b/>
          <w:bCs/>
          <w:sz w:val="22"/>
          <w:szCs w:val="22"/>
          <w:lang w:val="hu-HU"/>
        </w:rPr>
      </w:pPr>
    </w:p>
    <w:p w14:paraId="4B1CCA7C" w14:textId="77777777" w:rsidR="00FA4F40" w:rsidRPr="00F14151" w:rsidRDefault="00FA4F40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  <w:r w:rsidRPr="00F14151">
        <w:rPr>
          <w:b/>
          <w:bCs/>
          <w:sz w:val="22"/>
          <w:szCs w:val="22"/>
          <w:lang w:val="hu-HU"/>
        </w:rPr>
        <w:t>10.</w:t>
      </w:r>
      <w:r w:rsidR="00231FA3" w:rsidRPr="00F14151">
        <w:rPr>
          <w:b/>
          <w:bCs/>
          <w:sz w:val="22"/>
          <w:szCs w:val="22"/>
          <w:lang w:val="hu-HU"/>
        </w:rPr>
        <w:tab/>
      </w:r>
      <w:r w:rsidRPr="00F14151">
        <w:rPr>
          <w:b/>
          <w:bCs/>
          <w:sz w:val="22"/>
          <w:szCs w:val="22"/>
          <w:lang w:val="hu-HU"/>
        </w:rPr>
        <w:t>A SZÖVEG ELLENŐRZÉSÉNEK DÁTUMA</w:t>
      </w:r>
    </w:p>
    <w:p w14:paraId="2A90D6E2" w14:textId="77777777" w:rsidR="003F7A5B" w:rsidRPr="005D4A97" w:rsidRDefault="003F7A5B" w:rsidP="005D4A97">
      <w:pPr>
        <w:keepNext/>
        <w:autoSpaceDE w:val="0"/>
        <w:autoSpaceDN w:val="0"/>
        <w:adjustRightInd w:val="0"/>
        <w:ind w:left="567" w:hanging="567"/>
        <w:rPr>
          <w:b/>
          <w:bCs/>
          <w:sz w:val="22"/>
          <w:szCs w:val="22"/>
          <w:lang w:val="hu-HU"/>
        </w:rPr>
      </w:pPr>
    </w:p>
    <w:p w14:paraId="11905BCB" w14:textId="3980CB26" w:rsidR="003F7A5B" w:rsidRPr="00F14151" w:rsidRDefault="00D5744E" w:rsidP="00D63DC6">
      <w:pPr>
        <w:spacing w:line="260" w:lineRule="exact"/>
        <w:rPr>
          <w:bCs/>
          <w:sz w:val="22"/>
          <w:szCs w:val="22"/>
          <w:lang w:val="hu-HU"/>
        </w:rPr>
      </w:pPr>
      <w:r>
        <w:rPr>
          <w:bCs/>
          <w:sz w:val="22"/>
          <w:szCs w:val="22"/>
          <w:lang w:val="hu-HU"/>
        </w:rPr>
        <w:t>2025. október 24.</w:t>
      </w:r>
    </w:p>
    <w:sectPr w:rsidR="003F7A5B" w:rsidRPr="00F14151" w:rsidSect="00D648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4CE07" w14:textId="77777777" w:rsidR="00A820D8" w:rsidRDefault="00A820D8">
      <w:r>
        <w:separator/>
      </w:r>
    </w:p>
  </w:endnote>
  <w:endnote w:type="continuationSeparator" w:id="0">
    <w:p w14:paraId="4F99F69A" w14:textId="77777777" w:rsidR="00A820D8" w:rsidRDefault="00A8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">
    <w:altName w:val="Yu Gothic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B7E01" w14:textId="77777777" w:rsidR="00C835AF" w:rsidRDefault="00C835A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15286" w14:textId="77777777" w:rsidR="00C835AF" w:rsidRDefault="00C835A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55E2A" w14:textId="77777777" w:rsidR="00A61AA1" w:rsidRPr="00A61AA1" w:rsidRDefault="00A61AA1" w:rsidP="00A61AA1">
    <w:pPr>
      <w:pStyle w:val="llb"/>
      <w:rPr>
        <w:sz w:val="18"/>
        <w:szCs w:val="18"/>
        <w:lang w:val="hu-HU"/>
      </w:rPr>
    </w:pPr>
    <w:r w:rsidRPr="00A61AA1">
      <w:rPr>
        <w:sz w:val="18"/>
        <w:szCs w:val="18"/>
        <w:lang w:val="hu-HU"/>
      </w:rPr>
      <w:t>NNGYK/ETGY/29203/2025</w:t>
    </w:r>
  </w:p>
  <w:p w14:paraId="427A494C" w14:textId="77777777" w:rsidR="00A61AA1" w:rsidRPr="00A61AA1" w:rsidRDefault="00A61AA1" w:rsidP="00A61AA1">
    <w:pPr>
      <w:pStyle w:val="llb"/>
      <w:rPr>
        <w:sz w:val="18"/>
        <w:szCs w:val="18"/>
        <w:lang w:val="hu-HU"/>
      </w:rPr>
    </w:pPr>
    <w:r w:rsidRPr="00A61AA1">
      <w:rPr>
        <w:sz w:val="18"/>
        <w:szCs w:val="18"/>
        <w:lang w:val="hu-HU"/>
      </w:rPr>
      <w:t>NNGYK/ETGY/29204/2025</w:t>
    </w:r>
  </w:p>
  <w:p w14:paraId="77508AA1" w14:textId="22F11F4D" w:rsidR="009514D4" w:rsidRPr="00D64804" w:rsidRDefault="00A61AA1" w:rsidP="00877002">
    <w:pPr>
      <w:pStyle w:val="llb"/>
      <w:rPr>
        <w:sz w:val="18"/>
        <w:szCs w:val="18"/>
        <w:lang w:val="hu-HU"/>
      </w:rPr>
    </w:pPr>
    <w:r w:rsidRPr="00A61AA1">
      <w:rPr>
        <w:sz w:val="18"/>
        <w:szCs w:val="18"/>
        <w:lang w:val="hu-HU"/>
      </w:rPr>
      <w:t>NNGYK/ETGY/29205/2025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C7981" w14:textId="77777777" w:rsidR="00A820D8" w:rsidRDefault="00A820D8">
      <w:r>
        <w:separator/>
      </w:r>
    </w:p>
  </w:footnote>
  <w:footnote w:type="continuationSeparator" w:id="0">
    <w:p w14:paraId="676D1525" w14:textId="77777777" w:rsidR="00A820D8" w:rsidRDefault="00A82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98AC4" w14:textId="77777777" w:rsidR="00D92ED9" w:rsidRDefault="00D92ED9" w:rsidP="00521C3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4FD3CD8" w14:textId="77777777" w:rsidR="00D92ED9" w:rsidRDefault="00D92ED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475A6" w14:textId="77777777" w:rsidR="00D92ED9" w:rsidRPr="006F6443" w:rsidRDefault="00D92ED9" w:rsidP="00521C31">
    <w:pPr>
      <w:pStyle w:val="lfej"/>
      <w:framePr w:wrap="around" w:vAnchor="text" w:hAnchor="margin" w:xAlign="center" w:y="1"/>
      <w:rPr>
        <w:rStyle w:val="Oldalszm"/>
        <w:sz w:val="20"/>
        <w:szCs w:val="20"/>
      </w:rPr>
    </w:pPr>
    <w:r w:rsidRPr="006F6443">
      <w:rPr>
        <w:rStyle w:val="Oldalszm"/>
        <w:sz w:val="20"/>
        <w:szCs w:val="20"/>
      </w:rPr>
      <w:fldChar w:fldCharType="begin"/>
    </w:r>
    <w:r w:rsidRPr="006F6443">
      <w:rPr>
        <w:rStyle w:val="Oldalszm"/>
        <w:sz w:val="20"/>
        <w:szCs w:val="20"/>
      </w:rPr>
      <w:instrText xml:space="preserve">PAGE  </w:instrText>
    </w:r>
    <w:r w:rsidRPr="006F6443">
      <w:rPr>
        <w:rStyle w:val="Oldalszm"/>
        <w:sz w:val="20"/>
        <w:szCs w:val="20"/>
      </w:rPr>
      <w:fldChar w:fldCharType="separate"/>
    </w:r>
    <w:r w:rsidR="00B563B1">
      <w:rPr>
        <w:rStyle w:val="Oldalszm"/>
        <w:noProof/>
        <w:sz w:val="20"/>
        <w:szCs w:val="20"/>
      </w:rPr>
      <w:t>16</w:t>
    </w:r>
    <w:r w:rsidRPr="006F6443">
      <w:rPr>
        <w:rStyle w:val="Oldalszm"/>
        <w:sz w:val="20"/>
        <w:szCs w:val="20"/>
      </w:rPr>
      <w:fldChar w:fldCharType="end"/>
    </w:r>
  </w:p>
  <w:p w14:paraId="6B3238F8" w14:textId="77777777" w:rsidR="00D92ED9" w:rsidRDefault="00D92ED9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EBF6" w14:textId="77777777" w:rsidR="00C835AF" w:rsidRDefault="00C835A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11AB9"/>
    <w:multiLevelType w:val="hybridMultilevel"/>
    <w:tmpl w:val="9E0E17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04432"/>
    <w:multiLevelType w:val="hybridMultilevel"/>
    <w:tmpl w:val="F1FC0664"/>
    <w:lvl w:ilvl="0" w:tplc="37D098F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497B7C"/>
    <w:multiLevelType w:val="hybridMultilevel"/>
    <w:tmpl w:val="1156784C"/>
    <w:lvl w:ilvl="0" w:tplc="37D098F8">
      <w:start w:val="4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361A345F"/>
    <w:multiLevelType w:val="multilevel"/>
    <w:tmpl w:val="1156784C"/>
    <w:lvl w:ilvl="0">
      <w:start w:val="4"/>
      <w:numFmt w:val="bullet"/>
      <w:lvlText w:val="-"/>
      <w:lvlJc w:val="left"/>
      <w:pPr>
        <w:tabs>
          <w:tab w:val="num" w:pos="180"/>
        </w:tabs>
        <w:ind w:left="18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4" w15:restartNumberingAfterBreak="0">
    <w:nsid w:val="6CCA6268"/>
    <w:multiLevelType w:val="hybridMultilevel"/>
    <w:tmpl w:val="E9CAA42A"/>
    <w:lvl w:ilvl="0" w:tplc="7008856C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 w16cid:durableId="2121685761">
    <w:abstractNumId w:val="0"/>
  </w:num>
  <w:num w:numId="2" w16cid:durableId="2092192221">
    <w:abstractNumId w:val="1"/>
  </w:num>
  <w:num w:numId="3" w16cid:durableId="1482575209">
    <w:abstractNumId w:val="2"/>
  </w:num>
  <w:num w:numId="4" w16cid:durableId="121851508">
    <w:abstractNumId w:val="3"/>
  </w:num>
  <w:num w:numId="5" w16cid:durableId="18167247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F40"/>
    <w:rsid w:val="00003C77"/>
    <w:rsid w:val="000115E5"/>
    <w:rsid w:val="000122E5"/>
    <w:rsid w:val="0001234F"/>
    <w:rsid w:val="000308A6"/>
    <w:rsid w:val="00034DAE"/>
    <w:rsid w:val="00040F8D"/>
    <w:rsid w:val="00043ED0"/>
    <w:rsid w:val="00044DA2"/>
    <w:rsid w:val="000469A4"/>
    <w:rsid w:val="00051AF4"/>
    <w:rsid w:val="00074920"/>
    <w:rsid w:val="00075D50"/>
    <w:rsid w:val="000934E8"/>
    <w:rsid w:val="000A10E4"/>
    <w:rsid w:val="000B1013"/>
    <w:rsid w:val="000C224B"/>
    <w:rsid w:val="000C720A"/>
    <w:rsid w:val="000D22F0"/>
    <w:rsid w:val="000D280E"/>
    <w:rsid w:val="000D384D"/>
    <w:rsid w:val="000D5818"/>
    <w:rsid w:val="000D7F3D"/>
    <w:rsid w:val="000F0CE6"/>
    <w:rsid w:val="000F1F1B"/>
    <w:rsid w:val="000F5374"/>
    <w:rsid w:val="000F6D1A"/>
    <w:rsid w:val="001056B9"/>
    <w:rsid w:val="0010629A"/>
    <w:rsid w:val="0011074C"/>
    <w:rsid w:val="00115A35"/>
    <w:rsid w:val="00116F2D"/>
    <w:rsid w:val="001221DB"/>
    <w:rsid w:val="00122F15"/>
    <w:rsid w:val="001258A9"/>
    <w:rsid w:val="00131990"/>
    <w:rsid w:val="001338BB"/>
    <w:rsid w:val="00137BF7"/>
    <w:rsid w:val="00153E4A"/>
    <w:rsid w:val="001567FA"/>
    <w:rsid w:val="00164828"/>
    <w:rsid w:val="0017419C"/>
    <w:rsid w:val="00177A6E"/>
    <w:rsid w:val="00185E57"/>
    <w:rsid w:val="0019228F"/>
    <w:rsid w:val="001A1743"/>
    <w:rsid w:val="001A2591"/>
    <w:rsid w:val="001A35B9"/>
    <w:rsid w:val="001A36A3"/>
    <w:rsid w:val="001B242B"/>
    <w:rsid w:val="001C44E6"/>
    <w:rsid w:val="001C5DFD"/>
    <w:rsid w:val="001C64F7"/>
    <w:rsid w:val="001D30D9"/>
    <w:rsid w:val="001D5E9B"/>
    <w:rsid w:val="00210E08"/>
    <w:rsid w:val="0022470A"/>
    <w:rsid w:val="00227A03"/>
    <w:rsid w:val="0023056C"/>
    <w:rsid w:val="00231FA3"/>
    <w:rsid w:val="0023369C"/>
    <w:rsid w:val="002437F6"/>
    <w:rsid w:val="00262774"/>
    <w:rsid w:val="00263E40"/>
    <w:rsid w:val="00270EC4"/>
    <w:rsid w:val="00283F89"/>
    <w:rsid w:val="002874E2"/>
    <w:rsid w:val="002958C5"/>
    <w:rsid w:val="002B40C8"/>
    <w:rsid w:val="002B506A"/>
    <w:rsid w:val="002B5D54"/>
    <w:rsid w:val="00300166"/>
    <w:rsid w:val="0030202E"/>
    <w:rsid w:val="003035BF"/>
    <w:rsid w:val="00303E03"/>
    <w:rsid w:val="00306A59"/>
    <w:rsid w:val="003136A9"/>
    <w:rsid w:val="00331698"/>
    <w:rsid w:val="00334C5D"/>
    <w:rsid w:val="00347BAE"/>
    <w:rsid w:val="00363D16"/>
    <w:rsid w:val="0036779D"/>
    <w:rsid w:val="003741BD"/>
    <w:rsid w:val="00374B3A"/>
    <w:rsid w:val="0038295F"/>
    <w:rsid w:val="003A142C"/>
    <w:rsid w:val="003A16A1"/>
    <w:rsid w:val="003A3008"/>
    <w:rsid w:val="003A4729"/>
    <w:rsid w:val="003B010B"/>
    <w:rsid w:val="003B7313"/>
    <w:rsid w:val="003D34FA"/>
    <w:rsid w:val="003D639D"/>
    <w:rsid w:val="003E3A79"/>
    <w:rsid w:val="003F0F39"/>
    <w:rsid w:val="003F3C5F"/>
    <w:rsid w:val="003F3DC9"/>
    <w:rsid w:val="003F5FE3"/>
    <w:rsid w:val="003F628B"/>
    <w:rsid w:val="003F7A5B"/>
    <w:rsid w:val="003F7D34"/>
    <w:rsid w:val="00400FA9"/>
    <w:rsid w:val="004214B9"/>
    <w:rsid w:val="00430CBA"/>
    <w:rsid w:val="004412E1"/>
    <w:rsid w:val="0044393A"/>
    <w:rsid w:val="00444622"/>
    <w:rsid w:val="004549FF"/>
    <w:rsid w:val="004767C6"/>
    <w:rsid w:val="00496E28"/>
    <w:rsid w:val="004B03E9"/>
    <w:rsid w:val="004B0FC0"/>
    <w:rsid w:val="004C2F91"/>
    <w:rsid w:val="004C6DA7"/>
    <w:rsid w:val="004D1184"/>
    <w:rsid w:val="004E5EE3"/>
    <w:rsid w:val="00503B1F"/>
    <w:rsid w:val="005057F9"/>
    <w:rsid w:val="005178D4"/>
    <w:rsid w:val="00521C31"/>
    <w:rsid w:val="00534CE0"/>
    <w:rsid w:val="0054129E"/>
    <w:rsid w:val="00542C22"/>
    <w:rsid w:val="00587235"/>
    <w:rsid w:val="0059143E"/>
    <w:rsid w:val="00594334"/>
    <w:rsid w:val="005A02E2"/>
    <w:rsid w:val="005A06E7"/>
    <w:rsid w:val="005A3101"/>
    <w:rsid w:val="005A63C0"/>
    <w:rsid w:val="005B1377"/>
    <w:rsid w:val="005C2DF1"/>
    <w:rsid w:val="005D24D7"/>
    <w:rsid w:val="005D4A97"/>
    <w:rsid w:val="005E0330"/>
    <w:rsid w:val="005E326D"/>
    <w:rsid w:val="005F28BC"/>
    <w:rsid w:val="005F3425"/>
    <w:rsid w:val="00604124"/>
    <w:rsid w:val="006050B5"/>
    <w:rsid w:val="006050E2"/>
    <w:rsid w:val="0062323E"/>
    <w:rsid w:val="00625731"/>
    <w:rsid w:val="00631D06"/>
    <w:rsid w:val="006338C4"/>
    <w:rsid w:val="006502B5"/>
    <w:rsid w:val="00656523"/>
    <w:rsid w:val="00665A40"/>
    <w:rsid w:val="00666E7B"/>
    <w:rsid w:val="00667C1B"/>
    <w:rsid w:val="006712E0"/>
    <w:rsid w:val="006849E4"/>
    <w:rsid w:val="006B4424"/>
    <w:rsid w:val="006C6381"/>
    <w:rsid w:val="006C6528"/>
    <w:rsid w:val="006C736E"/>
    <w:rsid w:val="006D485C"/>
    <w:rsid w:val="006E0F84"/>
    <w:rsid w:val="006E64D6"/>
    <w:rsid w:val="006F0B79"/>
    <w:rsid w:val="006F6443"/>
    <w:rsid w:val="007015C9"/>
    <w:rsid w:val="00715C5B"/>
    <w:rsid w:val="00720B92"/>
    <w:rsid w:val="00743D8A"/>
    <w:rsid w:val="007460C5"/>
    <w:rsid w:val="00761DD1"/>
    <w:rsid w:val="00777F22"/>
    <w:rsid w:val="00783922"/>
    <w:rsid w:val="00784D2A"/>
    <w:rsid w:val="00796369"/>
    <w:rsid w:val="00796B06"/>
    <w:rsid w:val="007A19E7"/>
    <w:rsid w:val="007B1E70"/>
    <w:rsid w:val="007B4812"/>
    <w:rsid w:val="007D2736"/>
    <w:rsid w:val="007F44C0"/>
    <w:rsid w:val="00827210"/>
    <w:rsid w:val="00836533"/>
    <w:rsid w:val="008367A5"/>
    <w:rsid w:val="00840FFA"/>
    <w:rsid w:val="008500DA"/>
    <w:rsid w:val="00851747"/>
    <w:rsid w:val="00863940"/>
    <w:rsid w:val="00872E0C"/>
    <w:rsid w:val="00877002"/>
    <w:rsid w:val="0088450F"/>
    <w:rsid w:val="00895785"/>
    <w:rsid w:val="00896456"/>
    <w:rsid w:val="008A7D7E"/>
    <w:rsid w:val="008B367C"/>
    <w:rsid w:val="008D06EC"/>
    <w:rsid w:val="008D3E1C"/>
    <w:rsid w:val="008E5CCB"/>
    <w:rsid w:val="00900489"/>
    <w:rsid w:val="00906A30"/>
    <w:rsid w:val="00910448"/>
    <w:rsid w:val="00910CFC"/>
    <w:rsid w:val="00915CBC"/>
    <w:rsid w:val="00920F43"/>
    <w:rsid w:val="009347F3"/>
    <w:rsid w:val="0093789E"/>
    <w:rsid w:val="009408BD"/>
    <w:rsid w:val="00941AE4"/>
    <w:rsid w:val="00941B1E"/>
    <w:rsid w:val="00945763"/>
    <w:rsid w:val="00947C11"/>
    <w:rsid w:val="00947EF3"/>
    <w:rsid w:val="009514D4"/>
    <w:rsid w:val="0096471F"/>
    <w:rsid w:val="009729C4"/>
    <w:rsid w:val="009767BA"/>
    <w:rsid w:val="00977955"/>
    <w:rsid w:val="0098249C"/>
    <w:rsid w:val="009B4586"/>
    <w:rsid w:val="009D0F5D"/>
    <w:rsid w:val="009E2B76"/>
    <w:rsid w:val="009F12D8"/>
    <w:rsid w:val="009F4AC1"/>
    <w:rsid w:val="009F775E"/>
    <w:rsid w:val="00A05690"/>
    <w:rsid w:val="00A30D95"/>
    <w:rsid w:val="00A31ED4"/>
    <w:rsid w:val="00A3660F"/>
    <w:rsid w:val="00A61AA1"/>
    <w:rsid w:val="00A820D8"/>
    <w:rsid w:val="00A86B24"/>
    <w:rsid w:val="00A87C69"/>
    <w:rsid w:val="00A903B8"/>
    <w:rsid w:val="00A91493"/>
    <w:rsid w:val="00A94037"/>
    <w:rsid w:val="00AB1C9C"/>
    <w:rsid w:val="00AC29B9"/>
    <w:rsid w:val="00AC3885"/>
    <w:rsid w:val="00AC414A"/>
    <w:rsid w:val="00AD3753"/>
    <w:rsid w:val="00AD4AF2"/>
    <w:rsid w:val="00AD4DB2"/>
    <w:rsid w:val="00AD73AE"/>
    <w:rsid w:val="00AF05BA"/>
    <w:rsid w:val="00AF083C"/>
    <w:rsid w:val="00AF157B"/>
    <w:rsid w:val="00B01056"/>
    <w:rsid w:val="00B0401E"/>
    <w:rsid w:val="00B05EDA"/>
    <w:rsid w:val="00B310D3"/>
    <w:rsid w:val="00B43BB7"/>
    <w:rsid w:val="00B44E73"/>
    <w:rsid w:val="00B563B1"/>
    <w:rsid w:val="00B62070"/>
    <w:rsid w:val="00B62E38"/>
    <w:rsid w:val="00B630E1"/>
    <w:rsid w:val="00B67144"/>
    <w:rsid w:val="00B77DE8"/>
    <w:rsid w:val="00B94956"/>
    <w:rsid w:val="00B97738"/>
    <w:rsid w:val="00BA153E"/>
    <w:rsid w:val="00BA542A"/>
    <w:rsid w:val="00BB53C0"/>
    <w:rsid w:val="00BC4575"/>
    <w:rsid w:val="00BC67CD"/>
    <w:rsid w:val="00BE075C"/>
    <w:rsid w:val="00BE1F35"/>
    <w:rsid w:val="00BE4FD2"/>
    <w:rsid w:val="00BE514D"/>
    <w:rsid w:val="00BF7925"/>
    <w:rsid w:val="00C103F2"/>
    <w:rsid w:val="00C20A7C"/>
    <w:rsid w:val="00C27EA3"/>
    <w:rsid w:val="00C43EF3"/>
    <w:rsid w:val="00C47336"/>
    <w:rsid w:val="00C55192"/>
    <w:rsid w:val="00C56AA4"/>
    <w:rsid w:val="00C753DB"/>
    <w:rsid w:val="00C835AF"/>
    <w:rsid w:val="00C83660"/>
    <w:rsid w:val="00C93065"/>
    <w:rsid w:val="00C937CD"/>
    <w:rsid w:val="00C94407"/>
    <w:rsid w:val="00CB06F2"/>
    <w:rsid w:val="00CB1E41"/>
    <w:rsid w:val="00CE0C72"/>
    <w:rsid w:val="00CE2C3C"/>
    <w:rsid w:val="00CF0A17"/>
    <w:rsid w:val="00CF3BB0"/>
    <w:rsid w:val="00D211CA"/>
    <w:rsid w:val="00D2667D"/>
    <w:rsid w:val="00D26919"/>
    <w:rsid w:val="00D379F8"/>
    <w:rsid w:val="00D4222D"/>
    <w:rsid w:val="00D5583B"/>
    <w:rsid w:val="00D5744E"/>
    <w:rsid w:val="00D636F8"/>
    <w:rsid w:val="00D63DC6"/>
    <w:rsid w:val="00D63E8E"/>
    <w:rsid w:val="00D64804"/>
    <w:rsid w:val="00D65DCF"/>
    <w:rsid w:val="00D7666D"/>
    <w:rsid w:val="00D8222C"/>
    <w:rsid w:val="00D87752"/>
    <w:rsid w:val="00D908E9"/>
    <w:rsid w:val="00D9146E"/>
    <w:rsid w:val="00D92ED9"/>
    <w:rsid w:val="00D976FF"/>
    <w:rsid w:val="00DA0DB2"/>
    <w:rsid w:val="00DB01A5"/>
    <w:rsid w:val="00DB1BC5"/>
    <w:rsid w:val="00DC4D34"/>
    <w:rsid w:val="00DE0FCC"/>
    <w:rsid w:val="00DE58EF"/>
    <w:rsid w:val="00DF055B"/>
    <w:rsid w:val="00DF0BCB"/>
    <w:rsid w:val="00DF755F"/>
    <w:rsid w:val="00E00493"/>
    <w:rsid w:val="00E11B80"/>
    <w:rsid w:val="00E11D14"/>
    <w:rsid w:val="00E13A0F"/>
    <w:rsid w:val="00E2042C"/>
    <w:rsid w:val="00E25BD5"/>
    <w:rsid w:val="00E27F5C"/>
    <w:rsid w:val="00E3229F"/>
    <w:rsid w:val="00E37AF6"/>
    <w:rsid w:val="00E424FD"/>
    <w:rsid w:val="00E42EDC"/>
    <w:rsid w:val="00E53DFA"/>
    <w:rsid w:val="00E572DE"/>
    <w:rsid w:val="00E61ABE"/>
    <w:rsid w:val="00E645B2"/>
    <w:rsid w:val="00E775CC"/>
    <w:rsid w:val="00E8012C"/>
    <w:rsid w:val="00E82355"/>
    <w:rsid w:val="00E83305"/>
    <w:rsid w:val="00E84349"/>
    <w:rsid w:val="00E86076"/>
    <w:rsid w:val="00EA2309"/>
    <w:rsid w:val="00EB1BD1"/>
    <w:rsid w:val="00EB6B7C"/>
    <w:rsid w:val="00EB7AC0"/>
    <w:rsid w:val="00EC0AA0"/>
    <w:rsid w:val="00EC2C96"/>
    <w:rsid w:val="00EC4514"/>
    <w:rsid w:val="00EE1A17"/>
    <w:rsid w:val="00EE4A95"/>
    <w:rsid w:val="00EF5920"/>
    <w:rsid w:val="00EF7C58"/>
    <w:rsid w:val="00F005CF"/>
    <w:rsid w:val="00F047A3"/>
    <w:rsid w:val="00F14151"/>
    <w:rsid w:val="00F50103"/>
    <w:rsid w:val="00F61820"/>
    <w:rsid w:val="00F66257"/>
    <w:rsid w:val="00F848B4"/>
    <w:rsid w:val="00F87E5A"/>
    <w:rsid w:val="00F90D45"/>
    <w:rsid w:val="00F97A1A"/>
    <w:rsid w:val="00F97C13"/>
    <w:rsid w:val="00FA09D0"/>
    <w:rsid w:val="00FA4F40"/>
    <w:rsid w:val="00FA731D"/>
    <w:rsid w:val="00FB32A0"/>
    <w:rsid w:val="00FD20CC"/>
    <w:rsid w:val="00FD3642"/>
    <w:rsid w:val="00FD5024"/>
    <w:rsid w:val="00FD5488"/>
    <w:rsid w:val="00FF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C7F078"/>
  <w15:chartTrackingRefBased/>
  <w15:docId w15:val="{38E55AF4-D14B-4E3B-88CC-FA1B6621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30E1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1C44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l"/>
    <w:rsid w:val="005C2DF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efault">
    <w:name w:val="Default"/>
    <w:rsid w:val="00BA153E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Szvegtrzsbehzssal3">
    <w:name w:val="Body Text Indent 3"/>
    <w:basedOn w:val="Norml"/>
    <w:rsid w:val="00BA153E"/>
    <w:pPr>
      <w:ind w:firstLine="720"/>
    </w:pPr>
  </w:style>
  <w:style w:type="paragraph" w:styleId="Normlbehzs">
    <w:name w:val="Normal Indent"/>
    <w:basedOn w:val="Norml"/>
    <w:link w:val="NormlbehzsChar"/>
    <w:rsid w:val="00BA153E"/>
    <w:pPr>
      <w:spacing w:after="120"/>
      <w:ind w:left="720"/>
    </w:pPr>
    <w:rPr>
      <w:sz w:val="22"/>
      <w:szCs w:val="20"/>
      <w:lang w:val="en-GB" w:eastAsia="en-GB"/>
    </w:rPr>
  </w:style>
  <w:style w:type="character" w:customStyle="1" w:styleId="NormlbehzsChar">
    <w:name w:val="Normál behúzás Char"/>
    <w:link w:val="Normlbehzs"/>
    <w:rsid w:val="00BA153E"/>
    <w:rPr>
      <w:sz w:val="22"/>
      <w:lang w:val="en-GB" w:eastAsia="en-GB" w:bidi="ar-SA"/>
    </w:rPr>
  </w:style>
  <w:style w:type="character" w:customStyle="1" w:styleId="longtext">
    <w:name w:val="long_text"/>
    <w:basedOn w:val="Bekezdsalapbettpusa"/>
    <w:uiPriority w:val="99"/>
    <w:rsid w:val="00EE4A95"/>
  </w:style>
  <w:style w:type="character" w:customStyle="1" w:styleId="hps">
    <w:name w:val="hps"/>
    <w:basedOn w:val="Bekezdsalapbettpusa"/>
    <w:rsid w:val="00EE4A95"/>
  </w:style>
  <w:style w:type="character" w:customStyle="1" w:styleId="hpsatn">
    <w:name w:val="hps atn"/>
    <w:basedOn w:val="Bekezdsalapbettpusa"/>
    <w:uiPriority w:val="99"/>
    <w:rsid w:val="00EE4A95"/>
  </w:style>
  <w:style w:type="character" w:customStyle="1" w:styleId="atn">
    <w:name w:val="atn"/>
    <w:basedOn w:val="Bekezdsalapbettpusa"/>
    <w:rsid w:val="00EE4A95"/>
  </w:style>
  <w:style w:type="paragraph" w:styleId="Buborkszveg">
    <w:name w:val="Balloon Text"/>
    <w:basedOn w:val="Norml"/>
    <w:semiHidden/>
    <w:rsid w:val="003F3C5F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98249C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98249C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98249C"/>
  </w:style>
  <w:style w:type="paragraph" w:styleId="Trgymutat1">
    <w:name w:val="index 1"/>
    <w:basedOn w:val="Norml"/>
    <w:next w:val="Norml"/>
    <w:autoRedefine/>
    <w:rsid w:val="00075D50"/>
    <w:pPr>
      <w:ind w:left="720"/>
    </w:pPr>
    <w:rPr>
      <w:i/>
      <w:iCs/>
      <w:szCs w:val="20"/>
      <w:u w:val="single"/>
      <w:lang w:val="en-GB" w:eastAsia="fi-FI"/>
    </w:rPr>
  </w:style>
  <w:style w:type="paragraph" w:customStyle="1" w:styleId="Normal1">
    <w:name w:val="Normal1"/>
    <w:basedOn w:val="Norml"/>
    <w:rsid w:val="006C6528"/>
    <w:pPr>
      <w:suppressAutoHyphens/>
    </w:pPr>
    <w:rPr>
      <w:sz w:val="20"/>
      <w:lang w:val="hu-HU"/>
    </w:rPr>
  </w:style>
  <w:style w:type="character" w:styleId="Jegyzethivatkozs">
    <w:name w:val="annotation reference"/>
    <w:rsid w:val="000D5818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D581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D5818"/>
  </w:style>
  <w:style w:type="paragraph" w:styleId="Megjegyzstrgya">
    <w:name w:val="annotation subject"/>
    <w:basedOn w:val="Jegyzetszveg"/>
    <w:next w:val="Jegyzetszveg"/>
    <w:link w:val="MegjegyzstrgyaChar"/>
    <w:rsid w:val="000D5818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0D5818"/>
    <w:rPr>
      <w:b/>
      <w:bCs/>
    </w:rPr>
  </w:style>
  <w:style w:type="paragraph" w:styleId="Szvegtrzs">
    <w:name w:val="Body Text"/>
    <w:basedOn w:val="Norml"/>
    <w:rsid w:val="00D64804"/>
    <w:pPr>
      <w:spacing w:after="120"/>
    </w:pPr>
  </w:style>
  <w:style w:type="paragraph" w:styleId="Vltozat">
    <w:name w:val="Revision"/>
    <w:hidden/>
    <w:uiPriority w:val="99"/>
    <w:semiHidden/>
    <w:rsid w:val="000F5374"/>
    <w:rPr>
      <w:sz w:val="24"/>
      <w:szCs w:val="24"/>
      <w:lang w:val="en-US" w:eastAsia="en-US"/>
    </w:rPr>
  </w:style>
  <w:style w:type="paragraph" w:customStyle="1" w:styleId="BodytextAgency">
    <w:name w:val="Body text (Agency)"/>
    <w:basedOn w:val="Norml"/>
    <w:link w:val="BodytextAgencyChar"/>
    <w:qFormat/>
    <w:rsid w:val="00BE1F35"/>
    <w:pPr>
      <w:spacing w:after="140" w:line="280" w:lineRule="atLeast"/>
    </w:pPr>
    <w:rPr>
      <w:rFonts w:ascii="Verdana" w:eastAsia="Verdana" w:hAnsi="Verdana" w:cs="Verdana"/>
      <w:sz w:val="18"/>
      <w:szCs w:val="18"/>
      <w:lang w:val="hu-HU" w:eastAsia="hu-HU" w:bidi="hu-HU"/>
    </w:rPr>
  </w:style>
  <w:style w:type="character" w:customStyle="1" w:styleId="BodytextAgencyChar">
    <w:name w:val="Body text (Agency) Char"/>
    <w:link w:val="BodytextAgency"/>
    <w:locked/>
    <w:rsid w:val="00BE1F35"/>
    <w:rPr>
      <w:rFonts w:ascii="Verdana" w:eastAsia="Verdana" w:hAnsi="Verdana" w:cs="Verdana"/>
      <w:sz w:val="18"/>
      <w:szCs w:val="18"/>
      <w:lang w:bidi="hu-HU"/>
    </w:rPr>
  </w:style>
  <w:style w:type="character" w:customStyle="1" w:styleId="ui-provider">
    <w:name w:val="ui-provider"/>
    <w:rsid w:val="00947EF3"/>
  </w:style>
  <w:style w:type="character" w:styleId="Hiperhivatkozs">
    <w:name w:val="Hyperlink"/>
    <w:uiPriority w:val="99"/>
    <w:semiHidden/>
    <w:unhideWhenUsed/>
    <w:rsid w:val="00947E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7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5314</Words>
  <Characters>36674</Characters>
  <Application>Microsoft Office Word</Application>
  <DocSecurity>0</DocSecurity>
  <Lines>305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aplrc</Company>
  <LinksUpToDate>false</LinksUpToDate>
  <CharactersWithSpaces>41905</CharactersWithSpaces>
  <SharedDoc>false</SharedDoc>
  <HLinks>
    <vt:vector size="12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458809</vt:i4>
      </vt:variant>
      <vt:variant>
        <vt:i4>0</vt:i4>
      </vt:variant>
      <vt:variant>
        <vt:i4>0</vt:i4>
      </vt:variant>
      <vt:variant>
        <vt:i4>5</vt:i4>
      </vt:variant>
      <vt:variant>
        <vt:lpwstr>https://ogyei.gov.hu/dynamic/2020_2_kozlemeny/Clopidogreli besilas_10_0_kesz.pdf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10678</dc:creator>
  <cp:keywords/>
  <cp:lastModifiedBy>OGYI_62.1</cp:lastModifiedBy>
  <cp:revision>5</cp:revision>
  <dcterms:created xsi:type="dcterms:W3CDTF">2025-10-15T12:26:00Z</dcterms:created>
  <dcterms:modified xsi:type="dcterms:W3CDTF">2026-07-07T12:27:00Z</dcterms:modified>
</cp:coreProperties>
</file>