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F1F64" w14:textId="77777777" w:rsidR="00FB714F" w:rsidRDefault="00913E14">
      <w:pPr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  <w:t>A GYÓGYSZER NEVE</w:t>
      </w:r>
    </w:p>
    <w:p w14:paraId="7D3404EF" w14:textId="77777777" w:rsidR="00FB714F" w:rsidRDefault="00FB714F">
      <w:pPr>
        <w:rPr>
          <w:bCs/>
          <w:sz w:val="22"/>
          <w:szCs w:val="22"/>
        </w:rPr>
      </w:pPr>
    </w:p>
    <w:p w14:paraId="4FAE3B36" w14:textId="77777777" w:rsidR="00FB714F" w:rsidRDefault="00913E14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Losartan Krka </w:t>
      </w:r>
      <w:r>
        <w:rPr>
          <w:bCs/>
          <w:sz w:val="22"/>
          <w:szCs w:val="22"/>
        </w:rPr>
        <w:t>50 mg filmtabletta</w:t>
      </w:r>
    </w:p>
    <w:p w14:paraId="6A226027" w14:textId="77777777" w:rsidR="00FB714F" w:rsidRDefault="00913E14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Losartan Krka </w:t>
      </w:r>
      <w:r>
        <w:rPr>
          <w:bCs/>
          <w:sz w:val="22"/>
          <w:szCs w:val="22"/>
        </w:rPr>
        <w:t>100 mg filmtabletta</w:t>
      </w:r>
    </w:p>
    <w:p w14:paraId="43CFBAB1" w14:textId="77777777" w:rsidR="00FB714F" w:rsidRDefault="00FB714F">
      <w:pPr>
        <w:rPr>
          <w:sz w:val="22"/>
          <w:szCs w:val="22"/>
        </w:rPr>
      </w:pPr>
    </w:p>
    <w:p w14:paraId="133A022D" w14:textId="77777777" w:rsidR="00FB714F" w:rsidRDefault="00FB714F">
      <w:pPr>
        <w:rPr>
          <w:sz w:val="22"/>
          <w:szCs w:val="22"/>
        </w:rPr>
      </w:pPr>
    </w:p>
    <w:p w14:paraId="33724513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  <w:t>MINŐSÉGI ÉS MENNYISÉGI ÖSSZETÉTEL</w:t>
      </w:r>
    </w:p>
    <w:p w14:paraId="41D0C3BE" w14:textId="77777777" w:rsidR="00FB714F" w:rsidRDefault="00FB714F">
      <w:pPr>
        <w:rPr>
          <w:sz w:val="22"/>
          <w:szCs w:val="22"/>
        </w:rPr>
      </w:pPr>
    </w:p>
    <w:p w14:paraId="00F221B3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  <w:u w:val="single"/>
        </w:rPr>
        <w:t>Losartan Krka 50 mg filmtabletta</w:t>
      </w:r>
      <w:r>
        <w:rPr>
          <w:sz w:val="22"/>
          <w:szCs w:val="22"/>
        </w:rPr>
        <w:t>: 50 mg lozartán-káliumot tartalmaz filmtablettánként, ami 45,8 mg lozartánnak felel meg.</w:t>
      </w:r>
    </w:p>
    <w:p w14:paraId="6403830D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  <w:u w:val="single"/>
        </w:rPr>
        <w:t>Losartan Krka 100 mg filmtabletta</w:t>
      </w:r>
      <w:r>
        <w:rPr>
          <w:sz w:val="22"/>
          <w:szCs w:val="22"/>
        </w:rPr>
        <w:t>: 100 mg lozartán-káliumot tartalmaz filmtablettánként, ami 91,5 mg lozartánnak felel meg.</w:t>
      </w:r>
    </w:p>
    <w:p w14:paraId="75C77E4F" w14:textId="77777777" w:rsidR="00FB714F" w:rsidRDefault="00FB714F">
      <w:pPr>
        <w:rPr>
          <w:sz w:val="22"/>
          <w:szCs w:val="22"/>
        </w:rPr>
      </w:pPr>
    </w:p>
    <w:p w14:paraId="01459A48" w14:textId="77777777" w:rsidR="00FB714F" w:rsidRDefault="00913E14">
      <w:pPr>
        <w:rPr>
          <w:sz w:val="22"/>
          <w:szCs w:val="22"/>
        </w:rPr>
      </w:pPr>
      <w:r>
        <w:rPr>
          <w:bCs/>
          <w:noProof/>
          <w:sz w:val="22"/>
          <w:szCs w:val="22"/>
          <w:u w:val="single"/>
        </w:rPr>
        <w:t>Ismert hatású</w:t>
      </w:r>
      <w:r>
        <w:rPr>
          <w:sz w:val="22"/>
          <w:szCs w:val="22"/>
          <w:u w:val="single"/>
        </w:rPr>
        <w:t xml:space="preserve"> segédanyag</w:t>
      </w:r>
      <w:r>
        <w:rPr>
          <w:sz w:val="22"/>
          <w:szCs w:val="22"/>
        </w:rPr>
        <w:t>: laktóz-monohidrát</w:t>
      </w:r>
    </w:p>
    <w:p w14:paraId="663C801D" w14:textId="77777777" w:rsidR="00FB714F" w:rsidRDefault="00FB714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302"/>
        <w:gridCol w:w="2303"/>
      </w:tblGrid>
      <w:tr w:rsidR="00FB714F" w14:paraId="7823FE7A" w14:textId="77777777">
        <w:tc>
          <w:tcPr>
            <w:tcW w:w="2302" w:type="dxa"/>
            <w:shd w:val="clear" w:color="auto" w:fill="auto"/>
          </w:tcPr>
          <w:p w14:paraId="3A0BCF13" w14:textId="77777777" w:rsidR="00FB714F" w:rsidRDefault="00FB714F">
            <w:pPr>
              <w:rPr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auto"/>
          </w:tcPr>
          <w:p w14:paraId="7213D87A" w14:textId="77777777" w:rsidR="00FB714F" w:rsidRDefault="00913E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Losartan Krka 50 mg: filmtabletta</w:t>
            </w:r>
          </w:p>
        </w:tc>
        <w:tc>
          <w:tcPr>
            <w:tcW w:w="2303" w:type="dxa"/>
            <w:shd w:val="clear" w:color="auto" w:fill="auto"/>
          </w:tcPr>
          <w:p w14:paraId="7E64B295" w14:textId="77777777" w:rsidR="00FB714F" w:rsidRDefault="00913E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Losartan Krka 100 mg filmtabletta</w:t>
            </w:r>
          </w:p>
        </w:tc>
      </w:tr>
      <w:tr w:rsidR="00FB714F" w14:paraId="1CFF8DED" w14:textId="77777777">
        <w:tc>
          <w:tcPr>
            <w:tcW w:w="2302" w:type="dxa"/>
            <w:shd w:val="clear" w:color="auto" w:fill="auto"/>
          </w:tcPr>
          <w:p w14:paraId="17E6945F" w14:textId="77777777" w:rsidR="00FB714F" w:rsidRDefault="00913E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laktóz-monohidrát</w:t>
            </w:r>
          </w:p>
        </w:tc>
        <w:tc>
          <w:tcPr>
            <w:tcW w:w="2302" w:type="dxa"/>
            <w:shd w:val="clear" w:color="auto" w:fill="auto"/>
          </w:tcPr>
          <w:p w14:paraId="03D6B258" w14:textId="77777777" w:rsidR="00FB714F" w:rsidRDefault="00913E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54,7 mg</w:t>
            </w:r>
          </w:p>
        </w:tc>
        <w:tc>
          <w:tcPr>
            <w:tcW w:w="2303" w:type="dxa"/>
            <w:shd w:val="clear" w:color="auto" w:fill="auto"/>
          </w:tcPr>
          <w:p w14:paraId="5E84856D" w14:textId="77777777" w:rsidR="00FB714F" w:rsidRDefault="00913E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109,3 mg</w:t>
            </w:r>
          </w:p>
        </w:tc>
      </w:tr>
    </w:tbl>
    <w:p w14:paraId="12F48315" w14:textId="77777777" w:rsidR="00FB714F" w:rsidRDefault="00FB714F">
      <w:pPr>
        <w:rPr>
          <w:sz w:val="22"/>
          <w:szCs w:val="22"/>
        </w:rPr>
      </w:pPr>
    </w:p>
    <w:p w14:paraId="49558921" w14:textId="77777777" w:rsidR="00FB714F" w:rsidRDefault="00913E14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segédanyagok teljes listáját lásd a 6.1 pontban.</w:t>
      </w:r>
    </w:p>
    <w:p w14:paraId="717AA248" w14:textId="77777777" w:rsidR="00FB714F" w:rsidRDefault="00FB714F">
      <w:pPr>
        <w:rPr>
          <w:sz w:val="22"/>
          <w:szCs w:val="22"/>
        </w:rPr>
      </w:pPr>
    </w:p>
    <w:p w14:paraId="08B0A88F" w14:textId="77777777" w:rsidR="00FB714F" w:rsidRDefault="00FB714F">
      <w:pPr>
        <w:rPr>
          <w:sz w:val="22"/>
          <w:szCs w:val="22"/>
        </w:rPr>
      </w:pPr>
    </w:p>
    <w:p w14:paraId="7C3F27EC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b/>
          <w:sz w:val="22"/>
          <w:szCs w:val="22"/>
        </w:rPr>
        <w:tab/>
        <w:t>GYÓGYSZERFORMA</w:t>
      </w:r>
    </w:p>
    <w:p w14:paraId="1DEB8EDC" w14:textId="77777777" w:rsidR="00FB714F" w:rsidRDefault="00FB714F">
      <w:pPr>
        <w:rPr>
          <w:sz w:val="22"/>
          <w:szCs w:val="22"/>
        </w:rPr>
      </w:pPr>
    </w:p>
    <w:p w14:paraId="70D446CA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Filmtabletta.</w:t>
      </w:r>
    </w:p>
    <w:p w14:paraId="1AACAE6B" w14:textId="77777777" w:rsidR="00FB714F" w:rsidRDefault="00FB714F">
      <w:pPr>
        <w:rPr>
          <w:sz w:val="22"/>
          <w:szCs w:val="22"/>
        </w:rPr>
      </w:pPr>
    </w:p>
    <w:p w14:paraId="6DABFC3C" w14:textId="77777777" w:rsidR="00FB714F" w:rsidRDefault="00913E14">
      <w:pPr>
        <w:rPr>
          <w:noProof/>
          <w:sz w:val="22"/>
          <w:szCs w:val="22"/>
        </w:rPr>
      </w:pPr>
      <w:r>
        <w:rPr>
          <w:sz w:val="22"/>
          <w:szCs w:val="22"/>
          <w:u w:val="single"/>
        </w:rPr>
        <w:t>Losartan Krka 50 mg filmtabletta</w:t>
      </w:r>
      <w:r>
        <w:rPr>
          <w:sz w:val="22"/>
          <w:szCs w:val="22"/>
        </w:rPr>
        <w:t xml:space="preserve">: Fehér, kerek </w:t>
      </w:r>
      <w:r>
        <w:rPr>
          <w:sz w:val="22"/>
          <w:szCs w:val="22"/>
          <w:lang w:eastAsia="en-US"/>
        </w:rPr>
        <w:t>(</w:t>
      </w:r>
      <w:r>
        <w:rPr>
          <w:sz w:val="22"/>
          <w:szCs w:val="22"/>
        </w:rPr>
        <w:t>átmérő</w:t>
      </w:r>
      <w:r>
        <w:rPr>
          <w:sz w:val="22"/>
          <w:szCs w:val="22"/>
          <w:lang w:eastAsia="en-US"/>
        </w:rPr>
        <w:t xml:space="preserve">: </w:t>
      </w:r>
      <w:r>
        <w:rPr>
          <w:sz w:val="22"/>
          <w:szCs w:val="22"/>
        </w:rPr>
        <w:t>7,9 mm–8,2</w:t>
      </w:r>
      <w:r>
        <w:rPr>
          <w:sz w:val="22"/>
          <w:szCs w:val="22"/>
          <w:lang w:eastAsia="en-US"/>
        </w:rPr>
        <w:t> mm)</w:t>
      </w:r>
      <w:r>
        <w:rPr>
          <w:sz w:val="22"/>
          <w:szCs w:val="22"/>
        </w:rPr>
        <w:t xml:space="preserve">, mindkét oldalán enyhén domború, metszett élű, egyik oldalán bemetszéssel ellátott tabletta. </w:t>
      </w:r>
      <w:r>
        <w:rPr>
          <w:noProof/>
          <w:sz w:val="22"/>
          <w:szCs w:val="22"/>
          <w:lang w:val="fr-BE" w:eastAsia="en-US"/>
        </w:rPr>
        <w:t>A tablettán lévő bemetszés nem a tabletta széttörésére szolgál.</w:t>
      </w:r>
    </w:p>
    <w:p w14:paraId="79F880EE" w14:textId="77777777" w:rsidR="00FB714F" w:rsidRDefault="00FB714F">
      <w:pPr>
        <w:rPr>
          <w:sz w:val="22"/>
          <w:szCs w:val="22"/>
        </w:rPr>
      </w:pPr>
    </w:p>
    <w:p w14:paraId="4D772378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  <w:u w:val="single"/>
        </w:rPr>
        <w:t>Losartan Krka 100 mg filmtabletta</w:t>
      </w:r>
      <w:r>
        <w:rPr>
          <w:sz w:val="22"/>
          <w:szCs w:val="22"/>
        </w:rPr>
        <w:t xml:space="preserve">: Fehér, ovális </w:t>
      </w:r>
      <w:r>
        <w:rPr>
          <w:sz w:val="22"/>
          <w:szCs w:val="22"/>
          <w:lang w:eastAsia="en-US"/>
        </w:rPr>
        <w:t>(</w:t>
      </w:r>
      <w:r>
        <w:rPr>
          <w:sz w:val="22"/>
          <w:szCs w:val="22"/>
        </w:rPr>
        <w:t>méretei</w:t>
      </w:r>
      <w:r>
        <w:rPr>
          <w:sz w:val="22"/>
          <w:szCs w:val="22"/>
          <w:lang w:eastAsia="en-US"/>
        </w:rPr>
        <w:t>: 15 mm × 8 mm)</w:t>
      </w:r>
      <w:r>
        <w:rPr>
          <w:sz w:val="22"/>
          <w:szCs w:val="22"/>
        </w:rPr>
        <w:t>, mindkét oldalán enyhén domború tabletta.</w:t>
      </w:r>
    </w:p>
    <w:p w14:paraId="6E9899EB" w14:textId="77777777" w:rsidR="00FB714F" w:rsidRDefault="00FB714F">
      <w:pPr>
        <w:rPr>
          <w:sz w:val="22"/>
          <w:szCs w:val="22"/>
        </w:rPr>
      </w:pPr>
    </w:p>
    <w:p w14:paraId="6F55B8B7" w14:textId="77777777" w:rsidR="00FB714F" w:rsidRDefault="00FB714F">
      <w:pPr>
        <w:rPr>
          <w:sz w:val="22"/>
          <w:szCs w:val="22"/>
        </w:rPr>
      </w:pPr>
    </w:p>
    <w:p w14:paraId="469C377F" w14:textId="77777777" w:rsidR="00FB714F" w:rsidRDefault="00913E14">
      <w:pPr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4.</w:t>
      </w:r>
      <w:r>
        <w:rPr>
          <w:b/>
          <w:caps/>
          <w:sz w:val="22"/>
          <w:szCs w:val="22"/>
        </w:rPr>
        <w:tab/>
        <w:t>KLINIKAI JELLEMZŐK</w:t>
      </w:r>
    </w:p>
    <w:p w14:paraId="7209D614" w14:textId="77777777" w:rsidR="00FB714F" w:rsidRDefault="00FB714F">
      <w:pPr>
        <w:rPr>
          <w:sz w:val="22"/>
          <w:szCs w:val="22"/>
        </w:rPr>
      </w:pPr>
    </w:p>
    <w:p w14:paraId="7E66C063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4.1</w:t>
      </w:r>
      <w:r>
        <w:rPr>
          <w:b/>
          <w:sz w:val="22"/>
          <w:szCs w:val="22"/>
        </w:rPr>
        <w:tab/>
        <w:t>Terápiás javallatok</w:t>
      </w:r>
    </w:p>
    <w:p w14:paraId="46EF915F" w14:textId="77777777" w:rsidR="00FB714F" w:rsidRDefault="00FB714F">
      <w:pPr>
        <w:rPr>
          <w:sz w:val="22"/>
          <w:szCs w:val="22"/>
        </w:rPr>
      </w:pPr>
    </w:p>
    <w:p w14:paraId="6FA8C9A4" w14:textId="77777777" w:rsidR="00FB714F" w:rsidRDefault="00913E14">
      <w:pPr>
        <w:numPr>
          <w:ilvl w:val="0"/>
          <w:numId w:val="29"/>
        </w:numPr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Esszenciális hypertonia kezelése felnőttek és 6-18 év közötti gyermekek és serdülők esetén.</w:t>
      </w:r>
    </w:p>
    <w:p w14:paraId="394C9A81" w14:textId="77777777" w:rsidR="00FB714F" w:rsidRDefault="00913E14">
      <w:pPr>
        <w:numPr>
          <w:ilvl w:val="0"/>
          <w:numId w:val="29"/>
        </w:num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Hypertonia-elleni kezelés részeként, hypertoniában, és proteinuriával járó (≥ 0,5 g/nap), 2</w:t>
      </w:r>
      <w:r>
        <w:rPr>
          <w:sz w:val="22"/>
          <w:szCs w:val="22"/>
          <w:lang w:eastAsia="en-US"/>
        </w:rPr>
        <w:noBreakHyphen/>
        <w:t>es típusú diabetes mellitusban szenvedő felnőtt betegek vesebetegségének kezelése (lásd 4.3, 4.4, 4.5 és 5.1 pont).</w:t>
      </w:r>
    </w:p>
    <w:p w14:paraId="4AD01F81" w14:textId="77777777" w:rsidR="00FB714F" w:rsidRDefault="00913E14">
      <w:pPr>
        <w:numPr>
          <w:ilvl w:val="0"/>
          <w:numId w:val="29"/>
        </w:numPr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Krónikus szívelégtelenség kezelése (felnőtt betegek esetén), ahol az ACE</w:t>
      </w:r>
      <w:r>
        <w:rPr>
          <w:sz w:val="22"/>
          <w:szCs w:val="22"/>
          <w:lang w:eastAsia="en-US"/>
        </w:rPr>
        <w:noBreakHyphen/>
        <w:t xml:space="preserve">gátlókkal történő kezelés intolerancia, </w:t>
      </w:r>
      <w:r>
        <w:rPr>
          <w:i/>
          <w:iCs/>
          <w:sz w:val="22"/>
          <w:szCs w:val="22"/>
          <w:lang w:eastAsia="en-US"/>
        </w:rPr>
        <w:t xml:space="preserve">főként köhögés </w:t>
      </w:r>
      <w:r>
        <w:rPr>
          <w:sz w:val="22"/>
          <w:szCs w:val="22"/>
          <w:lang w:eastAsia="en-US"/>
        </w:rPr>
        <w:t>vagy ellenjavallat miatt nem alkalmazható. Azokat a szívelégtelenségben szenvedő betegeket, akiknek az állapotát egy ACE</w:t>
      </w:r>
      <w:r>
        <w:rPr>
          <w:sz w:val="22"/>
          <w:szCs w:val="22"/>
          <w:lang w:eastAsia="en-US"/>
        </w:rPr>
        <w:noBreakHyphen/>
        <w:t>gátlóval stabilizálták, nem szabad lozartánra átállítani. A betegeknek legalább 40%</w:t>
      </w:r>
      <w:r>
        <w:rPr>
          <w:sz w:val="22"/>
          <w:szCs w:val="22"/>
          <w:lang w:eastAsia="en-US"/>
        </w:rPr>
        <w:noBreakHyphen/>
        <w:t>os balkamrai ejekciós frakciójuk kell legyen, és állapotukat a krónikus szívelégtelenség kezelése során stabilizálni kell.</w:t>
      </w:r>
    </w:p>
    <w:p w14:paraId="2D556D22" w14:textId="77777777" w:rsidR="00FB714F" w:rsidRDefault="00913E14">
      <w:pPr>
        <w:numPr>
          <w:ilvl w:val="0"/>
          <w:numId w:val="29"/>
        </w:numPr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stroke kockázatának csökkentése EKG-val igazolt balkamra-hypertrophiában szenvedő hypertoniás felnőtt betegeknél (lásd 5.1 pont, LIFE vizsgálat, Rassz).</w:t>
      </w:r>
    </w:p>
    <w:p w14:paraId="41487FF4" w14:textId="77777777" w:rsidR="00FB714F" w:rsidRDefault="00FB714F">
      <w:pPr>
        <w:rPr>
          <w:sz w:val="22"/>
          <w:szCs w:val="22"/>
        </w:rPr>
      </w:pPr>
    </w:p>
    <w:p w14:paraId="15617BE0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4.2</w:t>
      </w:r>
      <w:r>
        <w:rPr>
          <w:b/>
          <w:sz w:val="22"/>
          <w:szCs w:val="22"/>
        </w:rPr>
        <w:tab/>
        <w:t>Adagolás és alkalmazás</w:t>
      </w:r>
    </w:p>
    <w:p w14:paraId="57D9F7BF" w14:textId="77777777" w:rsidR="00FB714F" w:rsidRDefault="00FB714F">
      <w:pPr>
        <w:rPr>
          <w:sz w:val="22"/>
          <w:szCs w:val="22"/>
        </w:rPr>
      </w:pPr>
    </w:p>
    <w:p w14:paraId="60023D24" w14:textId="77777777" w:rsidR="00FB714F" w:rsidRDefault="00913E14">
      <w:pPr>
        <w:rPr>
          <w:szCs w:val="22"/>
          <w:u w:val="single"/>
          <w:lang w:val="es-ES_tradnl" w:eastAsia="en-US"/>
        </w:rPr>
      </w:pPr>
      <w:r>
        <w:rPr>
          <w:szCs w:val="22"/>
          <w:u w:val="single"/>
          <w:lang w:val="es-ES_tradnl" w:eastAsia="en-US"/>
        </w:rPr>
        <w:t>Adagolás</w:t>
      </w:r>
    </w:p>
    <w:p w14:paraId="50F0775A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41F9967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Hypertonia</w:t>
      </w:r>
    </w:p>
    <w:p w14:paraId="3B4CD8D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A betegek többségénél a szokásos kezdő és fenntartó adag naponta egyszer 50 mg. A maximális vérnyomáscsökkentő hatás a kezelés megkezdése után 3</w:t>
      </w:r>
      <w:r>
        <w:rPr>
          <w:sz w:val="22"/>
          <w:szCs w:val="22"/>
          <w:lang w:eastAsia="en-US"/>
        </w:rPr>
        <w:noBreakHyphen/>
        <w:t>6 héttel érhető el. Egyes betegeknél a hatás tovább fokozható az adag naponta egyszer 100 mg</w:t>
      </w:r>
      <w:r>
        <w:rPr>
          <w:sz w:val="22"/>
          <w:szCs w:val="22"/>
          <w:lang w:eastAsia="en-US"/>
        </w:rPr>
        <w:noBreakHyphen/>
        <w:t xml:space="preserve">ra történő emelésével (reggeli bevétel). </w:t>
      </w:r>
    </w:p>
    <w:p w14:paraId="0E2864F7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EB60091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egyéb vérnyomáscsökkentő szerekkel, főként vízhajtókkal (pl.: hidroklorotiaziddal) együtt adható (lásd 4.3, 4.4, 4.5 és 5.1 pont).</w:t>
      </w:r>
    </w:p>
    <w:p w14:paraId="6740944A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385BE0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Napi ≥ 0,5 g mértékű proteinuriában szenvedő, 2</w:t>
      </w:r>
      <w:r>
        <w:rPr>
          <w:sz w:val="22"/>
          <w:szCs w:val="22"/>
          <w:u w:val="single"/>
          <w:lang w:eastAsia="en-US"/>
        </w:rPr>
        <w:noBreakHyphen/>
        <w:t>es típusú diabeteses és hypertoniás betegek</w:t>
      </w:r>
    </w:p>
    <w:p w14:paraId="2CD75ED8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szokásos kezdő dózis naponta egyszer 50 mg. Az adag a vérnyomás alakulásának megfelelően naponta egyszer 100 mg</w:t>
      </w:r>
      <w:r>
        <w:rPr>
          <w:sz w:val="22"/>
          <w:szCs w:val="22"/>
          <w:lang w:eastAsia="en-US"/>
        </w:rPr>
        <w:noBreakHyphen/>
        <w:t>ra emelhető a terápia bevezetését követő első hónap után. A lozartán együtt adható egyéb vérnyomáscsökkentő készítményekkel (pl. diuretikumokkal, kalciumcsatorna</w:t>
      </w:r>
      <w:r>
        <w:rPr>
          <w:sz w:val="22"/>
          <w:szCs w:val="22"/>
          <w:lang w:eastAsia="en-US"/>
        </w:rPr>
        <w:noBreakHyphen/>
        <w:t>gátlókkal, alfa-, illetve béta</w:t>
      </w:r>
      <w:r>
        <w:rPr>
          <w:sz w:val="22"/>
          <w:szCs w:val="22"/>
          <w:lang w:eastAsia="en-US"/>
        </w:rPr>
        <w:noBreakHyphen/>
        <w:t>blokkolókkal és centrálisan ható szerekkel), valamint inzulinnal és más, általánosan használt orális antidiabetikumokkal (pl. szulfonilureákkal, glitazonokkal, és glükozidáz</w:t>
      </w:r>
      <w:r>
        <w:rPr>
          <w:sz w:val="22"/>
          <w:szCs w:val="22"/>
          <w:lang w:eastAsia="en-US"/>
        </w:rPr>
        <w:noBreakHyphen/>
        <w:t>gátlókkal) (lásd 4.3, 4.4, 4.5 és 5.1 pont).</w:t>
      </w:r>
    </w:p>
    <w:p w14:paraId="5D5E5192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66C245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Szívelégtelenség</w:t>
      </w:r>
    </w:p>
    <w:p w14:paraId="7DBB9A7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Szívelégtelenségben a lozartán szokásos kezdő dózisa naponta egyszer 12,5 mg. A dózist általában egyhetes időközönként kell emelni (azaz napi 12,5 mg, majd napi 25 mg, napi 50 mg, napi 100 mg, a naponta egyszer 150 mg</w:t>
      </w:r>
      <w:r>
        <w:rPr>
          <w:sz w:val="22"/>
          <w:szCs w:val="22"/>
          <w:lang w:eastAsia="en-US"/>
        </w:rPr>
        <w:noBreakHyphen/>
        <w:t>os maximális adag eléréséig), a beteg toleranciájának megfelelően.</w:t>
      </w:r>
    </w:p>
    <w:p w14:paraId="212288A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50 mg-nál kisebb dózisú kezelés ezzel a készítménnyel nem megvalósítható.</w:t>
      </w:r>
    </w:p>
    <w:p w14:paraId="44E2119D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2FCA99CA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 stroke kockázatának csökkentése EKG</w:t>
      </w:r>
      <w:r>
        <w:rPr>
          <w:sz w:val="22"/>
          <w:szCs w:val="22"/>
          <w:u w:val="single"/>
          <w:lang w:eastAsia="en-US"/>
        </w:rPr>
        <w:noBreakHyphen/>
        <w:t>val igazolt balkamra</w:t>
      </w:r>
      <w:r>
        <w:rPr>
          <w:sz w:val="22"/>
          <w:szCs w:val="22"/>
          <w:u w:val="single"/>
          <w:lang w:eastAsia="en-US"/>
        </w:rPr>
        <w:noBreakHyphen/>
        <w:t>hypertrophiában szenvedő hypertoniás betegeknél</w:t>
      </w:r>
    </w:p>
    <w:p w14:paraId="0A7AA77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szokásos kezdő adag naponta egyszer 50 mg. A vérnyomáscsökkentésre adott válasz függvényében alacsony dózisban hidroklorotiazidot is kell adni és/ vagy a lozartán adagját napi egyszer 100 mg</w:t>
      </w:r>
      <w:r>
        <w:rPr>
          <w:sz w:val="22"/>
          <w:szCs w:val="22"/>
          <w:lang w:eastAsia="en-US"/>
        </w:rPr>
        <w:noBreakHyphen/>
        <w:t>ra kell emelni.</w:t>
      </w:r>
    </w:p>
    <w:p w14:paraId="1E78165E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FFED136" w14:textId="77777777" w:rsidR="00FB714F" w:rsidRDefault="00913E14">
      <w:pPr>
        <w:autoSpaceDE w:val="0"/>
        <w:autoSpaceDN w:val="0"/>
        <w:adjustRightInd w:val="0"/>
        <w:rPr>
          <w:i/>
          <w:sz w:val="22"/>
          <w:szCs w:val="22"/>
          <w:u w:val="single"/>
          <w:lang w:eastAsia="en-US"/>
        </w:rPr>
      </w:pPr>
      <w:r>
        <w:rPr>
          <w:i/>
          <w:sz w:val="22"/>
          <w:szCs w:val="22"/>
          <w:u w:val="single"/>
          <w:lang w:eastAsia="en-US"/>
        </w:rPr>
        <w:t>Különleges betegcsoportok:</w:t>
      </w:r>
    </w:p>
    <w:p w14:paraId="6DAD063E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21D55BA8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Intravascularis volumenhiányban szenvedő betegek:</w:t>
      </w:r>
    </w:p>
    <w:p w14:paraId="1129FB80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Intravascularis volumenhiányban szenvedő (pl. magas dózisú vízhajtókkal kezelt) betegeknél a napi egyszer 25 mg</w:t>
      </w:r>
      <w:r>
        <w:rPr>
          <w:sz w:val="22"/>
          <w:szCs w:val="22"/>
          <w:lang w:eastAsia="en-US"/>
        </w:rPr>
        <w:noBreakHyphen/>
        <w:t>os kezdő dózis alkalmazását kell fontolóra venni (lásd 4.4 pont).</w:t>
      </w:r>
    </w:p>
    <w:p w14:paraId="12A20B36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50 mg-nál kisebb dózisú kezelés ezzel a készítménnyel nem megvalósítható.</w:t>
      </w:r>
    </w:p>
    <w:p w14:paraId="6D94C273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EF4999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Vesekárosodásban szenvedő és hemodializált betegek:</w:t>
      </w:r>
    </w:p>
    <w:p w14:paraId="08B4C0E0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vesekárosodásban szenvedő és hemodializált betegeknél nem szükséges a kezdő dózis módosítása.</w:t>
      </w:r>
    </w:p>
    <w:p w14:paraId="1957F977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F0A0486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Májkárosodásban szenvedő betegek:</w:t>
      </w:r>
    </w:p>
    <w:p w14:paraId="1E5C6EA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Azoknál a betegeknél, akiknek kórtörténetében májkárosodás szerepel, alacsonyabb adag alkalmazását kell megfontolni. Súlyos májkárosodásban szenvedő betegekre vonatkozóan nem áll rendelkezésre kezelési tapasztalat. A lozartán ennélfogva ellenjavallt súlyos májkárosodásban szenvedő betegeknél (lásd 4.3 és 4.4 pont).</w:t>
      </w:r>
    </w:p>
    <w:p w14:paraId="5B0E0509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14:paraId="43E41A96" w14:textId="77777777" w:rsidR="00FB714F" w:rsidRDefault="00913E14">
      <w:pPr>
        <w:autoSpaceDE w:val="0"/>
        <w:autoSpaceDN w:val="0"/>
        <w:adjustRightInd w:val="0"/>
        <w:rPr>
          <w:i/>
          <w:sz w:val="22"/>
          <w:szCs w:val="22"/>
          <w:lang w:eastAsia="en-US"/>
        </w:rPr>
      </w:pPr>
      <w:r>
        <w:rPr>
          <w:i/>
          <w:sz w:val="22"/>
          <w:szCs w:val="22"/>
          <w:lang w:eastAsia="en-US"/>
        </w:rPr>
        <w:t>Gyermekek és serdülők</w:t>
      </w:r>
    </w:p>
    <w:p w14:paraId="20DCD10C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24C8A0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6 hónapos - &lt; 6 éves kor</w:t>
      </w:r>
    </w:p>
    <w:p w14:paraId="5D592CFA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biztonságosságot és hatásosságot 6 hónapos - &lt; 6 éves gyermekek esetében nem értékelték. A jelenleg rendelkezésre álló adatok az 5.1 és 5.2 pontban találhatók, de az adagolásra nem tehető javaslat.</w:t>
      </w:r>
    </w:p>
    <w:p w14:paraId="411F5042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956BADB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6</w:t>
      </w:r>
      <w:r>
        <w:rPr>
          <w:sz w:val="22"/>
          <w:szCs w:val="22"/>
          <w:u w:val="single"/>
          <w:lang w:eastAsia="en-US"/>
        </w:rPr>
        <w:noBreakHyphen/>
        <w:t>18 éves kor</w:t>
      </w:r>
    </w:p>
    <w:p w14:paraId="3F4B5D51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Azon 20 kg</w:t>
      </w:r>
      <w:r>
        <w:rPr>
          <w:sz w:val="22"/>
          <w:szCs w:val="22"/>
          <w:lang w:eastAsia="en-US"/>
        </w:rPr>
        <w:noBreakHyphen/>
        <w:t>nál nehezebb, de 50 kg</w:t>
      </w:r>
      <w:r>
        <w:rPr>
          <w:sz w:val="22"/>
          <w:szCs w:val="22"/>
          <w:lang w:eastAsia="en-US"/>
        </w:rPr>
        <w:noBreakHyphen/>
        <w:t>nál könnyebb betegek esetén, akik le tudják nyelni a tablettákat, a javasolt adag naponta egyszer 25 mg. Kivételes esetekben az adag maximum naponta egyszer 50 mg</w:t>
      </w:r>
      <w:r>
        <w:rPr>
          <w:sz w:val="22"/>
          <w:szCs w:val="22"/>
          <w:lang w:eastAsia="en-US"/>
        </w:rPr>
        <w:noBreakHyphen/>
        <w:t>ra emelhető. Az adagolást a vérnyomáscsökkentésre adott válasz függvényében kell módosítani.</w:t>
      </w:r>
    </w:p>
    <w:p w14:paraId="4947CCA2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50 mg-nál kisebb dózisú kezelés ezzel a készítménnyel nem megvalósítható.</w:t>
      </w:r>
    </w:p>
    <w:p w14:paraId="6282456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AAC94F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50 kg</w:t>
      </w:r>
      <w:r>
        <w:rPr>
          <w:sz w:val="22"/>
          <w:szCs w:val="22"/>
          <w:lang w:eastAsia="en-US"/>
        </w:rPr>
        <w:noBreakHyphen/>
        <w:t>nál nehezebb betegeknél a szokásos adag naponta egyszer 50 mg. Kivételes esetekben az adag módosítható maximum naponta egyszer 100 mg</w:t>
      </w:r>
      <w:r>
        <w:rPr>
          <w:sz w:val="22"/>
          <w:szCs w:val="22"/>
          <w:lang w:eastAsia="en-US"/>
        </w:rPr>
        <w:noBreakHyphen/>
        <w:t>ra. Az 1,4 mg/kg (illetve 100 mg) feletti napi adagokat gyermekgyógyászati betegeken nem vizsgálták.</w:t>
      </w:r>
    </w:p>
    <w:p w14:paraId="09DBDC2B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29A0A9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6 évesnél fiatalabb gyermekeknek nem javasolt, mivel e betegcsoportra vonatkozóan korlátozott adat áll rendelkezésre.</w:t>
      </w:r>
    </w:p>
    <w:p w14:paraId="7A94A90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4247204" w14:textId="3C3BBA9E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alatti glomerulus filtrációs rátájú gyermekeknek a lozartán nem javasolt, mivel nem áll rendelkezésre erre vonatkozó adat (lásd még 4.4 pont).</w:t>
      </w:r>
    </w:p>
    <w:p w14:paraId="7536D798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3F9E1B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májkárosodásban szenvedő gyermekeknek nem javasolt (lásd még 4.4 pont).</w:t>
      </w:r>
    </w:p>
    <w:p w14:paraId="34563C39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B511665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Időskorú betegek</w:t>
      </w:r>
    </w:p>
    <w:p w14:paraId="20D509AB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Noha 75 éves kor felett meg kell fontolni a 25 mg</w:t>
      </w:r>
      <w:r>
        <w:rPr>
          <w:sz w:val="22"/>
          <w:szCs w:val="22"/>
          <w:lang w:eastAsia="en-US"/>
        </w:rPr>
        <w:noBreakHyphen/>
        <w:t>os kezdő adag alkalmazását, a dózismódosítás időskorú betegeknél általában nem szükséges.</w:t>
      </w:r>
    </w:p>
    <w:p w14:paraId="27E0AB08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50 mg-nál kisebb dózisú kezelés ezzel a készítménnyel nem megvalósítható.</w:t>
      </w:r>
    </w:p>
    <w:p w14:paraId="710E177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4A6131B" w14:textId="77777777" w:rsidR="00FB714F" w:rsidRDefault="00913E14">
      <w:pPr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Az alkalmazás módja</w:t>
      </w:r>
    </w:p>
    <w:p w14:paraId="3237D08C" w14:textId="77777777" w:rsidR="00FB714F" w:rsidRDefault="00FB714F">
      <w:pPr>
        <w:rPr>
          <w:sz w:val="22"/>
          <w:szCs w:val="22"/>
          <w:u w:val="single"/>
          <w:lang w:eastAsia="en-US"/>
        </w:rPr>
      </w:pPr>
    </w:p>
    <w:p w14:paraId="22484741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tablettákat egy pohár vízzel kell lenyelni.</w:t>
      </w:r>
    </w:p>
    <w:p w14:paraId="49E24B86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bevehető étkezéskor vagy étkezéstől függetlenül.</w:t>
      </w:r>
    </w:p>
    <w:p w14:paraId="09783564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3A4EB68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4.3</w:t>
      </w:r>
      <w:r>
        <w:rPr>
          <w:b/>
          <w:sz w:val="22"/>
          <w:szCs w:val="22"/>
        </w:rPr>
        <w:tab/>
        <w:t>Ellenjavallatok</w:t>
      </w:r>
    </w:p>
    <w:p w14:paraId="48E7E9D2" w14:textId="77777777" w:rsidR="00FB714F" w:rsidRDefault="00FB714F">
      <w:pPr>
        <w:rPr>
          <w:sz w:val="22"/>
          <w:szCs w:val="22"/>
        </w:rPr>
      </w:pPr>
    </w:p>
    <w:p w14:paraId="0401EC7E" w14:textId="77777777" w:rsidR="00FB714F" w:rsidRDefault="00913E14">
      <w:pPr>
        <w:numPr>
          <w:ilvl w:val="0"/>
          <w:numId w:val="30"/>
        </w:numPr>
        <w:autoSpaceDE w:val="0"/>
        <w:autoSpaceDN w:val="0"/>
        <w:adjustRightInd w:val="0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készítmény hatóanyagával vagy a 4.4. pontban és a 6.1 pontban felsorolt bármely segédanyagával szembeni túlérzékenység.</w:t>
      </w:r>
    </w:p>
    <w:p w14:paraId="58DA5106" w14:textId="77777777" w:rsidR="00FB714F" w:rsidRDefault="00913E14">
      <w:pPr>
        <w:numPr>
          <w:ilvl w:val="0"/>
          <w:numId w:val="30"/>
        </w:numPr>
        <w:autoSpaceDE w:val="0"/>
        <w:autoSpaceDN w:val="0"/>
        <w:adjustRightInd w:val="0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terhesség második és harmadik trimesztere (lásd 4.4 és 4.6 pont).</w:t>
      </w:r>
    </w:p>
    <w:p w14:paraId="4A63364F" w14:textId="77777777" w:rsidR="00FB714F" w:rsidRDefault="00913E14">
      <w:pPr>
        <w:numPr>
          <w:ilvl w:val="0"/>
          <w:numId w:val="30"/>
        </w:numPr>
        <w:autoSpaceDE w:val="0"/>
        <w:autoSpaceDN w:val="0"/>
        <w:adjustRightInd w:val="0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Súlyos májkárosodás.</w:t>
      </w:r>
    </w:p>
    <w:p w14:paraId="5B275A73" w14:textId="597783E0" w:rsidR="00FB714F" w:rsidRDefault="00913E14">
      <w:pPr>
        <w:numPr>
          <w:ilvl w:val="0"/>
          <w:numId w:val="30"/>
        </w:numPr>
        <w:autoSpaceDE w:val="0"/>
        <w:autoSpaceDN w:val="0"/>
        <w:adjustRightInd w:val="0"/>
        <w:ind w:hanging="72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Losartan Krka egyidejű alkalmazása aliszkirén tartalmú készítményekkel ellenjavallt diabetes mellitusban szenvedő vagy károsodott veseműködésű betegeknél (GFR &lt; 60 ml/perc/1,73 m</w:t>
      </w:r>
      <w:r w:rsidRPr="00AA1499"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>) (lásd 4.5 és 5.1 pont).</w:t>
      </w:r>
    </w:p>
    <w:p w14:paraId="0FC5E13F" w14:textId="77777777" w:rsidR="00FB714F" w:rsidRDefault="00FB714F">
      <w:pPr>
        <w:rPr>
          <w:sz w:val="22"/>
          <w:szCs w:val="22"/>
        </w:rPr>
      </w:pPr>
    </w:p>
    <w:p w14:paraId="355EDDD8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4.4</w:t>
      </w:r>
      <w:r>
        <w:rPr>
          <w:b/>
          <w:sz w:val="22"/>
          <w:szCs w:val="22"/>
        </w:rPr>
        <w:tab/>
        <w:t>Különleges figyelmeztetések és az alkalmazással kapcsolatos óvintézkedések</w:t>
      </w:r>
    </w:p>
    <w:p w14:paraId="1371648A" w14:textId="77777777" w:rsidR="00FB714F" w:rsidRDefault="00FB714F">
      <w:pPr>
        <w:rPr>
          <w:sz w:val="22"/>
          <w:szCs w:val="22"/>
        </w:rPr>
      </w:pPr>
    </w:p>
    <w:p w14:paraId="002AB70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Túlérzékenység</w:t>
      </w:r>
    </w:p>
    <w:p w14:paraId="01BC90E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 xml:space="preserve">Angiooedema: </w:t>
      </w:r>
      <w:r>
        <w:rPr>
          <w:sz w:val="22"/>
          <w:szCs w:val="22"/>
          <w:lang w:eastAsia="en-US"/>
        </w:rPr>
        <w:t>Azokat a betegeket, akiknek a kórtörténetében angiooedema (az arc, ajkak, torok és/vagy nyelv duzzanata) szerepel, szigorú megfigyelés alatt kell tartani (lásd 4.8 pont).</w:t>
      </w:r>
    </w:p>
    <w:p w14:paraId="3A0F2C48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322A9D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Hypotonia és az elektrolit-/vízháztartás egyensúlyzavara</w:t>
      </w:r>
    </w:p>
    <w:p w14:paraId="13DBC73A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Tünetekkel járó hypotonia fordulhat elő azon betegek esetén, akik nagy dózisú diuretikum</w:t>
      </w:r>
      <w:r>
        <w:rPr>
          <w:sz w:val="22"/>
          <w:szCs w:val="22"/>
          <w:lang w:eastAsia="en-US"/>
        </w:rPr>
        <w:noBreakHyphen/>
        <w:t>kezelés, sószegény étrend, hasmenés vagy hányás miatt intravascularis volumen- és/vagy nátriumhiányban szenvednek, főként az első adag vagy dózisemelés után. A lozartán adagolásának megkezdése előtt ezeket az állapotokat rendezni kell, vagy alacsonyabb kezdő adagot kell alkalmazni (lásd 4.2 pont). Ez a 6</w:t>
      </w:r>
      <w:r>
        <w:rPr>
          <w:sz w:val="22"/>
          <w:szCs w:val="22"/>
          <w:lang w:eastAsia="en-US"/>
        </w:rPr>
        <w:noBreakHyphen/>
        <w:t>18 év közötti gyermekekre is vonatkozik.</w:t>
      </w:r>
    </w:p>
    <w:p w14:paraId="7176AF3E" w14:textId="77777777" w:rsidR="00FB714F" w:rsidRDefault="00FB714F">
      <w:pPr>
        <w:rPr>
          <w:sz w:val="22"/>
          <w:szCs w:val="22"/>
          <w:lang w:eastAsia="en-US"/>
        </w:rPr>
      </w:pPr>
    </w:p>
    <w:p w14:paraId="712DE00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Az elektrolit</w:t>
      </w:r>
      <w:r>
        <w:rPr>
          <w:sz w:val="22"/>
          <w:szCs w:val="22"/>
          <w:u w:val="single"/>
          <w:lang w:eastAsia="en-US"/>
        </w:rPr>
        <w:noBreakHyphen/>
        <w:t>háztartás zavara</w:t>
      </w:r>
    </w:p>
    <w:p w14:paraId="07F91663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elektrolit</w:t>
      </w:r>
      <w:r>
        <w:rPr>
          <w:sz w:val="22"/>
          <w:szCs w:val="22"/>
          <w:lang w:eastAsia="en-US"/>
        </w:rPr>
        <w:noBreakHyphen/>
        <w:t>háztartás zavara – a diabetes meglététől függetlenül – vesekárosodás esetén gyakori, és kezelendő. Egy nephropathiás, 2</w:t>
      </w:r>
      <w:r>
        <w:rPr>
          <w:sz w:val="22"/>
          <w:szCs w:val="22"/>
          <w:lang w:eastAsia="en-US"/>
        </w:rPr>
        <w:noBreakHyphen/>
        <w:t>es típusú diabeteses betegek bevonásával végzett klinikai vizsgálatban a lozartánnal kezelt betegeknél a hyperkalaemia előfordulási gyakorisága nagyobb volt a placebót kapó csoporthoz képest (lásd 4.8 pont). Ennek megfelelően a kálium plazmakoncentrációit és a kreatinin</w:t>
      </w:r>
      <w:r>
        <w:rPr>
          <w:sz w:val="22"/>
          <w:szCs w:val="22"/>
          <w:lang w:eastAsia="en-US"/>
        </w:rPr>
        <w:noBreakHyphen/>
        <w:t>clearance értékeket szigorúan monitorozni kell, főként azon betegeknél, akik szívelégtelenségben szenvednek vagy kreatinin</w:t>
      </w:r>
      <w:r>
        <w:rPr>
          <w:sz w:val="22"/>
          <w:szCs w:val="22"/>
          <w:lang w:eastAsia="en-US"/>
        </w:rPr>
        <w:noBreakHyphen/>
        <w:t>clearance értékük 30</w:t>
      </w:r>
      <w:r>
        <w:rPr>
          <w:sz w:val="22"/>
          <w:szCs w:val="22"/>
          <w:lang w:eastAsia="en-US"/>
        </w:rPr>
        <w:noBreakHyphen/>
        <w:t>50 ml/perc között van.</w:t>
      </w:r>
    </w:p>
    <w:p w14:paraId="79DC8856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C674A2C" w14:textId="590B049C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Lozartán és káliummegtakarító diuretikumok, káliumpótlók, káliumtartalmú sópótlók,</w:t>
      </w:r>
      <w:r>
        <w:t xml:space="preserve"> </w:t>
      </w:r>
      <w:r>
        <w:rPr>
          <w:sz w:val="22"/>
          <w:szCs w:val="22"/>
          <w:lang w:eastAsia="en-US"/>
        </w:rPr>
        <w:t>vagy olyan más gyógyszerek, melyek növelhetik a szérum káliumszintjét (például a trimetoprim-tartalmú készítmények) együttes alkalmazása nem javasolt (lásd 4.5 pont).</w:t>
      </w:r>
    </w:p>
    <w:p w14:paraId="4195486F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708AAF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lastRenderedPageBreak/>
        <w:t>Intestinalis angiooedema</w:t>
      </w:r>
    </w:p>
    <w:p w14:paraId="42944529" w14:textId="62F2218F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Intestinalis angiooedemáról számoltak be angiotenzin II-receptor-blokkolóval (többek között a lozartánnal) kezelt betegek esetén (lásd 4.8 pont). Ezeknél a betegeknél abdominalis fájdalom, hányinger, hányás és hasmenés jelentkezett. A tünetek az angiotenzin II-receptor-blokkolóval végzett kezelés leállítása után megszűntek. Amennyiben intestinalis angiooedemát diagnosztizálnak, a lozartán-kezelést le kell állítani, és a beteget megfelelően monitorozni kell mindaddig, amíg a tünetek teljes mértékben meg nem szűnnek.</w:t>
      </w:r>
    </w:p>
    <w:p w14:paraId="4D2E17E6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C57C2D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Májkárosodás</w:t>
      </w:r>
    </w:p>
    <w:p w14:paraId="4DDBC991" w14:textId="7DFE4529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Májcirrózisban a farmakokinetikai adatok alapján a lozartán plazmakoncentrációja szignifikánsan magasabb, ezért azon betegeknek, akik kórtörténetében májkárosodás szerepel, alacsonyabb adag alkalmazása javasolt. Súlyos májkárosodásban szenvedő betegeknél alkalmazott lozartánra vonatkozóan nem áll rendelkezésre terápiás tapasztalat. Ennélfogva a lozartán súlyos májkárosodásban szenvedő betegeknél nem alkalmazható (lásd. 4.2, 4.3 és 5.2 pont).</w:t>
      </w:r>
    </w:p>
    <w:p w14:paraId="03D09087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3453E2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alkalmazása májkárosodásban szenvedő gyermekeknél sem javasolt (lásd 4.2 pont).</w:t>
      </w:r>
    </w:p>
    <w:p w14:paraId="426DE6A3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D35C2E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Vesekárosodás</w:t>
      </w:r>
    </w:p>
    <w:p w14:paraId="6283AB0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renin</w:t>
      </w:r>
      <w:r>
        <w:rPr>
          <w:sz w:val="22"/>
          <w:szCs w:val="22"/>
          <w:lang w:eastAsia="en-US"/>
        </w:rPr>
        <w:noBreakHyphen/>
        <w:t>angiotenzin</w:t>
      </w:r>
      <w:r>
        <w:rPr>
          <w:sz w:val="22"/>
          <w:szCs w:val="22"/>
          <w:lang w:eastAsia="en-US"/>
        </w:rPr>
        <w:noBreakHyphen/>
        <w:t>rendszer gátlása következtében megváltozott vesefunkcióról (a veseelégtelenséget is beleértve) számoltak be (főként olyan betegek esetén, akiknek a vesefunkciója a renin</w:t>
      </w:r>
      <w:r>
        <w:rPr>
          <w:sz w:val="22"/>
          <w:szCs w:val="22"/>
          <w:lang w:eastAsia="en-US"/>
        </w:rPr>
        <w:noBreakHyphen/>
        <w:t>angiotenzin</w:t>
      </w:r>
      <w:r>
        <w:rPr>
          <w:sz w:val="22"/>
          <w:szCs w:val="22"/>
          <w:lang w:eastAsia="en-US"/>
        </w:rPr>
        <w:noBreakHyphen/>
        <w:t>aldoszteron rendszertől függ, mint pl. súlyos szívelégtelenségben vagy korábban fennálló renális diszfunkcióban szenvedő betegek). A renin</w:t>
      </w:r>
      <w:r>
        <w:rPr>
          <w:sz w:val="22"/>
          <w:szCs w:val="22"/>
          <w:lang w:eastAsia="en-US"/>
        </w:rPr>
        <w:noBreakHyphen/>
        <w:t>angiotenzin</w:t>
      </w:r>
      <w:r>
        <w:rPr>
          <w:sz w:val="22"/>
          <w:szCs w:val="22"/>
          <w:lang w:eastAsia="en-US"/>
        </w:rPr>
        <w:noBreakHyphen/>
        <w:t>aldoszteron rendszert befolyásoló egyéb gyógyszerekhez hasonlóan, a vér karbamid és szérum kreatinin</w:t>
      </w:r>
      <w:r>
        <w:rPr>
          <w:sz w:val="22"/>
          <w:szCs w:val="22"/>
          <w:lang w:eastAsia="en-US"/>
        </w:rPr>
        <w:noBreakHyphen/>
        <w:t>szintjének növekedését jelentették kétoldali veseartéria</w:t>
      </w:r>
      <w:r>
        <w:rPr>
          <w:sz w:val="22"/>
          <w:szCs w:val="22"/>
          <w:lang w:eastAsia="en-US"/>
        </w:rPr>
        <w:noBreakHyphen/>
        <w:t>szűkület és az egy vesével rendelkező betegek veseartériájának szűkülete esetén; ezek a vesefunkciós változások a kezelés abbahagyásával reverzibilisek lehetnek. A lozartán óvatosan alkalmazandó kétoldali veseartéria</w:t>
      </w:r>
      <w:r>
        <w:rPr>
          <w:sz w:val="22"/>
          <w:szCs w:val="22"/>
          <w:lang w:eastAsia="en-US"/>
        </w:rPr>
        <w:noBreakHyphen/>
        <w:t>szűkület vagy egy vesével rendelkező betegek veseartériájának szűkülete esetén.</w:t>
      </w:r>
    </w:p>
    <w:p w14:paraId="70461153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B1383CE" w14:textId="77777777" w:rsidR="00FB714F" w:rsidRDefault="00913E14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Alkalmazása károsodott vesefunkciójú gyermekeknél</w:t>
      </w:r>
    </w:p>
    <w:p w14:paraId="46B449FB" w14:textId="1EB02A69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 &lt; 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glomerulus filtrációs rátájú gyermekeknek a lozartán nem javasolt, mivel nem áll rendelkezésre erre vonatkozó adat (lásd 4.2 pont).</w:t>
      </w:r>
    </w:p>
    <w:p w14:paraId="0D86FB5A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E656505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Lozartán-kezelés mellett a vesefunkciót rendszeresen monitorozni kell, mivel az romlásnak indulhat. Ez főként olyan esetekben fordul elő, amikor a lozartánt a vesefunkció romlását várhatóan előidéző egyéb körülmények (láz, kiszáradás) fennállásával egyidejűleg alkalmazzák.</w:t>
      </w:r>
    </w:p>
    <w:p w14:paraId="62E1229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1F805E4" w14:textId="77777777" w:rsidR="00FB714F" w:rsidRDefault="00913E14">
      <w:pPr>
        <w:autoSpaceDE w:val="0"/>
        <w:autoSpaceDN w:val="0"/>
        <w:adjustRightInd w:val="0"/>
        <w:rPr>
          <w:i/>
          <w:sz w:val="22"/>
          <w:szCs w:val="22"/>
        </w:rPr>
      </w:pPr>
      <w:r>
        <w:rPr>
          <w:sz w:val="22"/>
          <w:szCs w:val="22"/>
          <w:lang w:eastAsia="en-US"/>
        </w:rPr>
        <w:t>Lozartán és ACE</w:t>
      </w:r>
      <w:r>
        <w:rPr>
          <w:sz w:val="22"/>
          <w:szCs w:val="22"/>
          <w:lang w:eastAsia="en-US"/>
        </w:rPr>
        <w:noBreakHyphen/>
        <w:t>gátlók együttes alkalmazása a vesefunkció romlását idézte elő. Ezért az együttes alkalmazás nem javasolt (lásd 4.5 pont).</w:t>
      </w:r>
    </w:p>
    <w:p w14:paraId="5306E746" w14:textId="77777777" w:rsidR="00FB714F" w:rsidRDefault="00FB714F">
      <w:pPr>
        <w:pStyle w:val="MGGTextLeft"/>
        <w:rPr>
          <w:iCs/>
          <w:sz w:val="22"/>
          <w:szCs w:val="22"/>
          <w:u w:val="single"/>
          <w:lang w:val="hu-HU"/>
        </w:rPr>
      </w:pPr>
    </w:p>
    <w:p w14:paraId="4AE3548D" w14:textId="77777777" w:rsidR="00FB714F" w:rsidRDefault="00913E14">
      <w:pPr>
        <w:pStyle w:val="MGGTextLeft"/>
        <w:rPr>
          <w:iCs/>
          <w:sz w:val="22"/>
          <w:szCs w:val="22"/>
          <w:u w:val="single"/>
          <w:lang w:val="hu-HU"/>
        </w:rPr>
      </w:pPr>
      <w:r>
        <w:rPr>
          <w:iCs/>
          <w:sz w:val="22"/>
          <w:szCs w:val="22"/>
          <w:u w:val="single"/>
          <w:lang w:val="hu-HU"/>
        </w:rPr>
        <w:t>Vesetranszplantáció</w:t>
      </w:r>
    </w:p>
    <w:p w14:paraId="0E2F8330" w14:textId="77777777" w:rsidR="00FB714F" w:rsidRDefault="00913E14">
      <w:pPr>
        <w:pStyle w:val="MGGText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Nemrégiben vesetranszplantáción átesett betegek körében nincs tapasztalat.</w:t>
      </w:r>
    </w:p>
    <w:p w14:paraId="4FC8735F" w14:textId="77777777" w:rsidR="00FB714F" w:rsidRDefault="00FB714F">
      <w:pPr>
        <w:rPr>
          <w:i/>
          <w:sz w:val="22"/>
          <w:szCs w:val="22"/>
        </w:rPr>
      </w:pPr>
    </w:p>
    <w:p w14:paraId="57FEE06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Primaer hyperaldosteronismus</w:t>
      </w:r>
    </w:p>
    <w:p w14:paraId="67F47210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primaer hyperaldosteronismusban szenvedő betegek általában nem reagálnak a renin</w:t>
      </w:r>
      <w:r>
        <w:rPr>
          <w:sz w:val="22"/>
          <w:szCs w:val="22"/>
          <w:lang w:eastAsia="en-US"/>
        </w:rPr>
        <w:noBreakHyphen/>
        <w:t>angiotenzin rendszer gátlásán keresztül ható antihipertenzív gyógyszerekre. Ennek megfelelően ilyen esetben a lozartán alkalmazása nem ajánlott.</w:t>
      </w:r>
    </w:p>
    <w:p w14:paraId="27C8C00F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B7CB6A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Szívkoszorúér</w:t>
      </w:r>
      <w:r>
        <w:rPr>
          <w:sz w:val="22"/>
          <w:szCs w:val="22"/>
          <w:u w:val="single"/>
          <w:lang w:eastAsia="en-US"/>
        </w:rPr>
        <w:noBreakHyphen/>
        <w:t>betegség és cerebrovascularis betegség</w:t>
      </w:r>
    </w:p>
    <w:p w14:paraId="5A78B94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Más antihipertenzív szerekhez hasonlóan, a nagymértékű vérnyomás</w:t>
      </w:r>
      <w:r>
        <w:rPr>
          <w:sz w:val="22"/>
          <w:szCs w:val="22"/>
          <w:lang w:eastAsia="en-US"/>
        </w:rPr>
        <w:noBreakHyphen/>
        <w:t>csökkenés ischaemiás cardiovascularis és cerebrovascularis betegségben szenvedő betegeknél myocardialis infarctushoz vagy stroke</w:t>
      </w:r>
      <w:r>
        <w:rPr>
          <w:sz w:val="22"/>
          <w:szCs w:val="22"/>
          <w:lang w:eastAsia="en-US"/>
        </w:rPr>
        <w:noBreakHyphen/>
        <w:t>hoz vezethet.</w:t>
      </w:r>
    </w:p>
    <w:p w14:paraId="6469B07D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5A48C5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Szívelégtelenség</w:t>
      </w:r>
    </w:p>
    <w:p w14:paraId="54A9CDA3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renin</w:t>
      </w:r>
      <w:r>
        <w:rPr>
          <w:sz w:val="22"/>
          <w:szCs w:val="22"/>
          <w:lang w:eastAsia="en-US"/>
        </w:rPr>
        <w:noBreakHyphen/>
        <w:t>angiotenzin rendszeren keresztül ható egyéb gyógyszerekhez hasonlóan, vesekárosodással együtt járó vagy vesekárosodás nélküli szívelégtelenségben szenvedő betegeknél fennáll a súlyos artériás hypotonia és a (gyakran akut) vesekárosodás kockázata.</w:t>
      </w:r>
    </w:p>
    <w:p w14:paraId="1142B7BD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78F991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Nem áll rendelkezésre kielégítő terápiás tapasztalat lozartán alkalmazásával kapcsolatban egyidejűleg szívelégtelenségben és súlyos vesekárosodásban, súlyos szívelégtelenségben (NYHA IV. stádium), valamint szívelégtelenségben és tünetekkel járó, életveszélyes cardialis arrhythmiában szenvedő betegeknél. A lozartán ezen betegcsoportokban tehát óvatosan alkalmazandó. A lozartán béta</w:t>
      </w:r>
      <w:r>
        <w:rPr>
          <w:sz w:val="22"/>
          <w:szCs w:val="22"/>
          <w:lang w:eastAsia="en-US"/>
        </w:rPr>
        <w:noBreakHyphen/>
        <w:t>blokkolóval kombinációban óvatosan alkalmazandó (lásd 5.1 pont).</w:t>
      </w:r>
    </w:p>
    <w:p w14:paraId="6AF1C40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7F9255E" w14:textId="6757C300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Aorta- és mitralis billentyűszűkület, obstruktív hypertrophiás cardiomyopathia</w:t>
      </w:r>
    </w:p>
    <w:p w14:paraId="0C1B5A3F" w14:textId="2CE0D46E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Más vazodilatátorokhoz hasonlóan, fokozott óvatossággal kell eljárni azoknál a betegeknél, akik aorta- vagy mitralis billentyűszűkületben vagy obstruktív hypertrophiás cardiomyopathiában szenvednek.</w:t>
      </w:r>
    </w:p>
    <w:p w14:paraId="1061E739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6F0425D" w14:textId="77777777" w:rsidR="00FB714F" w:rsidRDefault="00913E1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 renin</w:t>
      </w:r>
      <w:r>
        <w:rPr>
          <w:sz w:val="22"/>
          <w:szCs w:val="22"/>
          <w:u w:val="single"/>
        </w:rPr>
        <w:noBreakHyphen/>
        <w:t>angiotenzin</w:t>
      </w:r>
      <w:r>
        <w:rPr>
          <w:sz w:val="22"/>
          <w:szCs w:val="22"/>
          <w:u w:val="single"/>
        </w:rPr>
        <w:noBreakHyphen/>
        <w:t>aldoszteron rendszer kettős blokádja (RAAS)</w:t>
      </w:r>
    </w:p>
    <w:p w14:paraId="1A2E964C" w14:textId="30A6869C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Bizonyíték van rá, hogy az ACE-gátlók, angiotenzin II-receptor-blokkolók vagy aliszkirén egyidejű alkalmazása fokozza a hypotonia, hyperkalaemia és csökkent veseműködés (beleértve az akut veseelégtelenség) kockázatát. A RAAS ACE-gátlók, angiotenzin II-receptor-blokkolók vagy aliszkirén kombinált alkalmazásával történő kettős blokádja ezért nem javasolt (lásd 4.5 és 5.1 pont).</w:t>
      </w:r>
    </w:p>
    <w:p w14:paraId="0848910B" w14:textId="7F86E283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Ha a kettős blokád kezelést abszolút szükségesnek ítélik, ez csak szakorvos felügyeletével, a vesefunkció, elektrolitszintek és a vérnyomás gyakori és szoros ellenőrzése mellett történhet.</w:t>
      </w:r>
    </w:p>
    <w:p w14:paraId="62F105A5" w14:textId="799BCDC0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Az ACE-gátlók és angiotenzin II-receptor-blokkolók nem alkalmazhatók egyidejűleg diabeteses nephropathiában szenvedő betegeknél.</w:t>
      </w:r>
    </w:p>
    <w:p w14:paraId="5372830D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B1A6A1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Segédanyagok</w:t>
      </w:r>
    </w:p>
    <w:p w14:paraId="6F6471BB" w14:textId="69313CC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Ez a gyógyszer laktózt tartalmaz. Ritkán előforduló, örökletes galaktózintoleranciában, teljes laktázhiányban vagy glükóz</w:t>
      </w:r>
      <w:r>
        <w:rPr>
          <w:sz w:val="22"/>
          <w:szCs w:val="22"/>
          <w:lang w:eastAsia="en-US"/>
        </w:rPr>
        <w:noBreakHyphen/>
        <w:t>galaktóz malabszorpcióban a készítmény nem szedhető.</w:t>
      </w:r>
    </w:p>
    <w:p w14:paraId="7B6C057F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A1BCEF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Terhesség</w:t>
      </w:r>
    </w:p>
    <w:p w14:paraId="17E1023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Lozartánnal történő kezelést terhesség alatt nem szabad elkezdeni. Hacsak a lozartánnal történő folyamatos kezelés nem elengedhetetlen, a terhességet tervező betegeket más, olyan antihipertenzív kezelésre kell átállítani, melynek biztonságossága terhességben alátámasztott. A lozartán szedését azonnal abba kell hagyni, amennyiben terhességet állapítottak meg. Szükség esetén más, megfelelő kezelést kell elkezdeni (lásd 4.3 és 4.6 pont).</w:t>
      </w:r>
    </w:p>
    <w:p w14:paraId="2E1E3838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85F801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Egyéb figyelmeztetések és óvintézkedések</w:t>
      </w:r>
    </w:p>
    <w:p w14:paraId="62C160E5" w14:textId="20F58C3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Amint azt az ACE-gátlóknál megfigyelték, úgy tűnik, a lozartán és más angiotenzin</w:t>
      </w:r>
      <w:r>
        <w:rPr>
          <w:sz w:val="22"/>
          <w:szCs w:val="22"/>
          <w:lang w:eastAsia="en-US"/>
        </w:rPr>
        <w:noBreakHyphen/>
        <w:t>antagonisták a vérnyomás csökkentését illetően feketebőrű embereknél kevésbé hatékonyak, mint nem feketebőrű embereknél, lehetséges, hogy azért, mert a feketebőrű, magas vérnyomásban szenvedő populációban gyakrabban fordul elő alacsony reninszint.</w:t>
      </w:r>
    </w:p>
    <w:p w14:paraId="2FAF2508" w14:textId="77777777" w:rsidR="00FB714F" w:rsidRDefault="00FB714F">
      <w:pPr>
        <w:rPr>
          <w:b/>
          <w:sz w:val="22"/>
          <w:szCs w:val="22"/>
        </w:rPr>
      </w:pPr>
    </w:p>
    <w:p w14:paraId="6D2C76B3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4.5</w:t>
      </w:r>
      <w:r>
        <w:rPr>
          <w:b/>
          <w:sz w:val="22"/>
          <w:szCs w:val="22"/>
        </w:rPr>
        <w:tab/>
        <w:t>Gyógyszerkölcsönhatások és egyéb interakciók</w:t>
      </w:r>
    </w:p>
    <w:p w14:paraId="5DD2A637" w14:textId="77777777" w:rsidR="00FB714F" w:rsidRDefault="00FB714F">
      <w:pPr>
        <w:rPr>
          <w:b/>
          <w:sz w:val="22"/>
          <w:szCs w:val="22"/>
        </w:rPr>
      </w:pPr>
    </w:p>
    <w:p w14:paraId="1CB07546" w14:textId="38FF2F68" w:rsidR="00FB714F" w:rsidRDefault="00913E14" w:rsidP="00AA1499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egyéb antihipertenzív szerek növelhetik a lozartán hypotoniát okozó hatását. </w:t>
      </w:r>
      <w:r w:rsidR="008E31D5">
        <w:rPr>
          <w:sz w:val="22"/>
          <w:szCs w:val="22"/>
          <w:lang w:eastAsia="en-US"/>
        </w:rPr>
        <w:t xml:space="preserve">Egyéb, hypotoniát előidéző hatóanyagok, </w:t>
      </w:r>
      <w:r>
        <w:rPr>
          <w:sz w:val="22"/>
          <w:szCs w:val="22"/>
          <w:lang w:eastAsia="en-US"/>
        </w:rPr>
        <w:t>a triciklusos antidepresszánsok, antipszichotikumok, baklofén</w:t>
      </w:r>
      <w:r w:rsidR="00955D71">
        <w:rPr>
          <w:sz w:val="22"/>
          <w:szCs w:val="22"/>
          <w:lang w:eastAsia="en-US"/>
        </w:rPr>
        <w:t xml:space="preserve"> és az</w:t>
      </w:r>
      <w:r>
        <w:rPr>
          <w:sz w:val="22"/>
          <w:szCs w:val="22"/>
          <w:lang w:eastAsia="en-US"/>
        </w:rPr>
        <w:t xml:space="preserve"> amifosztin</w:t>
      </w:r>
      <w:r w:rsidR="00955D71">
        <w:rPr>
          <w:sz w:val="22"/>
          <w:szCs w:val="22"/>
          <w:lang w:eastAsia="en-US"/>
        </w:rPr>
        <w:t xml:space="preserve"> is</w:t>
      </w:r>
      <w:r>
        <w:rPr>
          <w:sz w:val="22"/>
          <w:szCs w:val="22"/>
          <w:lang w:eastAsia="en-US"/>
        </w:rPr>
        <w:t>.</w:t>
      </w:r>
      <w:r w:rsidR="00955D71"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Ezekkel a – fő- vagy mellékhatásként a vérnyomás csökkentését kifejtő – gyógyszerekkel történő együttes alkalmazás növelheti a hypotonia kockázatát.</w:t>
      </w:r>
    </w:p>
    <w:p w14:paraId="388FBC19" w14:textId="77777777" w:rsidR="00FB714F" w:rsidRDefault="00FB714F">
      <w:pPr>
        <w:rPr>
          <w:sz w:val="22"/>
          <w:szCs w:val="22"/>
        </w:rPr>
      </w:pPr>
    </w:p>
    <w:p w14:paraId="7D2FD15D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 lozartán döntően a citokróm P450 (CYP) 2C9 által metabolizálódik aktív karboxisav</w:t>
      </w:r>
      <w:r>
        <w:rPr>
          <w:sz w:val="22"/>
          <w:szCs w:val="22"/>
        </w:rPr>
        <w:noBreakHyphen/>
        <w:t>metabolittá. Egy klinikai vizsgálatban azt tapasztalták, hogy a flukonazol (a CYP2C9 inhibitora) kb. 50%</w:t>
      </w:r>
      <w:r>
        <w:rPr>
          <w:sz w:val="22"/>
          <w:szCs w:val="22"/>
        </w:rPr>
        <w:noBreakHyphen/>
        <w:t>kal csökkenti az aktív metabolit expozíciót. Azt tapasztalták, hogy a lozartánnal és rifampicinnel (a metabolizmust végző enzimek induktora) folytatott egyidejű kezelés 40%</w:t>
      </w:r>
      <w:r>
        <w:rPr>
          <w:sz w:val="22"/>
          <w:szCs w:val="22"/>
        </w:rPr>
        <w:noBreakHyphen/>
        <w:t xml:space="preserve">kal csökkenti az aktív metabolit plazmakoncentrációját. E hatás klinikai jelentősége nem ismert. Fluvasztatinnal (a CYP2C9 gyenge inhibitora) végzett egyidejű kezelés során nem észleltek különbséget az expozícióban. </w:t>
      </w:r>
    </w:p>
    <w:p w14:paraId="2E7FC529" w14:textId="77777777" w:rsidR="00FB714F" w:rsidRDefault="00FB714F">
      <w:pPr>
        <w:rPr>
          <w:sz w:val="22"/>
          <w:szCs w:val="22"/>
        </w:rPr>
      </w:pPr>
    </w:p>
    <w:p w14:paraId="76BB90C8" w14:textId="658EA496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Csakúgy, mint más, az angiotenzin II</w:t>
      </w:r>
      <w:r>
        <w:rPr>
          <w:sz w:val="22"/>
          <w:szCs w:val="22"/>
        </w:rPr>
        <w:noBreakHyphen/>
        <w:t>t vagy annak hatását gátló gyógyszerek esetén, a káliummegtakarító egyéb gyógyszerekkel (pl. káliummegtakarító diuretikumok: amilorid, triamteren, spironolakton) vagy a káliumszintet növelő gyógyszerekkel (pl. heparin, trimetoprim</w:t>
      </w:r>
      <w:r w:rsidR="00955D71">
        <w:rPr>
          <w:sz w:val="22"/>
          <w:szCs w:val="22"/>
        </w:rPr>
        <w:t>-</w:t>
      </w:r>
      <w:r>
        <w:rPr>
          <w:sz w:val="22"/>
          <w:szCs w:val="22"/>
        </w:rPr>
        <w:t xml:space="preserve">tartalmú készítmények), káliumpótlókkal vagy káliumot tartalmazó sópótlókkal történő egyidejű alkalmazása a szérum káliumszint emelkedéséhez vezethet. E gyógyszerek kombinációja nem javasolt. </w:t>
      </w:r>
    </w:p>
    <w:p w14:paraId="14AE2F29" w14:textId="77777777" w:rsidR="00FB714F" w:rsidRDefault="00FB714F">
      <w:pPr>
        <w:rPr>
          <w:sz w:val="22"/>
          <w:szCs w:val="22"/>
        </w:rPr>
      </w:pPr>
    </w:p>
    <w:p w14:paraId="7953FDF3" w14:textId="02CF32AE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Lítium és ACE</w:t>
      </w:r>
      <w:r>
        <w:rPr>
          <w:sz w:val="22"/>
          <w:szCs w:val="22"/>
          <w:lang w:eastAsia="en-US"/>
        </w:rPr>
        <w:noBreakHyphen/>
        <w:t>gátlók együttes alkalmazása során a szérum lítiumszintek és toxicitás reverzibilis emelkedéséről számoltak be. Angiotenzin II</w:t>
      </w:r>
      <w:r>
        <w:rPr>
          <w:sz w:val="22"/>
          <w:szCs w:val="22"/>
          <w:lang w:eastAsia="en-US"/>
        </w:rPr>
        <w:noBreakHyphen/>
        <w:t>receptor</w:t>
      </w:r>
      <w:r>
        <w:rPr>
          <w:sz w:val="22"/>
          <w:szCs w:val="22"/>
          <w:lang w:eastAsia="en-US"/>
        </w:rPr>
        <w:noBreakHyphen/>
        <w:t>antagonisták esetében nagyon ritkán hasonló eseteket jelentettek. Lítiumot és lozartánt óvatosan kell együtt alkalmazni. Ha ez a kombináció elkerülhetetlenül szükséges, az együttes alkalmazás során a szérum lítiumszint monitorozása ajánlott.</w:t>
      </w:r>
    </w:p>
    <w:p w14:paraId="26424D1D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895127F" w14:textId="3627CB5E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Angiotenzin II</w:t>
      </w:r>
      <w:r>
        <w:rPr>
          <w:sz w:val="22"/>
          <w:szCs w:val="22"/>
          <w:lang w:eastAsia="en-US"/>
        </w:rPr>
        <w:noBreakHyphen/>
        <w:t>antagonisták és nem</w:t>
      </w:r>
      <w:r>
        <w:rPr>
          <w:sz w:val="22"/>
          <w:szCs w:val="22"/>
          <w:lang w:eastAsia="en-US"/>
        </w:rPr>
        <w:noBreakHyphen/>
        <w:t>szteroid gyulladáscsökkentő gyógyszerek (NSAID</w:t>
      </w:r>
      <w:r>
        <w:rPr>
          <w:sz w:val="22"/>
          <w:szCs w:val="22"/>
          <w:lang w:eastAsia="en-US"/>
        </w:rPr>
        <w:noBreakHyphen/>
        <w:t>ok, azaz szelektív COX</w:t>
      </w:r>
      <w:r>
        <w:rPr>
          <w:sz w:val="22"/>
          <w:szCs w:val="22"/>
          <w:lang w:eastAsia="en-US"/>
        </w:rPr>
        <w:noBreakHyphen/>
        <w:t>2</w:t>
      </w:r>
      <w:r>
        <w:rPr>
          <w:sz w:val="22"/>
          <w:szCs w:val="22"/>
          <w:lang w:eastAsia="en-US"/>
        </w:rPr>
        <w:noBreakHyphen/>
        <w:t>gátlók, gyulladáscsökkentő dózisban adott acetilszalicilsav vagy nem szelektív NSAID</w:t>
      </w:r>
      <w:r>
        <w:rPr>
          <w:sz w:val="22"/>
          <w:szCs w:val="22"/>
          <w:lang w:eastAsia="en-US"/>
        </w:rPr>
        <w:noBreakHyphen/>
        <w:t>ok) együttes alkalmazásakor az antihipertenzív hatás csökkenése következhet be. Angiotenzin II</w:t>
      </w:r>
      <w:r>
        <w:rPr>
          <w:sz w:val="22"/>
          <w:szCs w:val="22"/>
          <w:lang w:eastAsia="en-US"/>
        </w:rPr>
        <w:noBreakHyphen/>
        <w:t>antagonisták vagy diuretikumok és NSAID együttes alkalmazása a vesefunkció romlásának megnövekedett kockázatához, ezen belül lehetséges akut veseelégtelenséghez és a szérum kálium</w:t>
      </w:r>
      <w:r>
        <w:rPr>
          <w:sz w:val="22"/>
          <w:szCs w:val="22"/>
          <w:lang w:eastAsia="en-US"/>
        </w:rPr>
        <w:noBreakHyphen/>
        <w:t>szint növekedéséhez vezethet, főként már fennálló, elégtelen vesefunkcióval rendelkező betegek esetében. A kombináció óvatosan alkalmazandó, főként időskorú betegeknél. A betegeknek megfelelően hidratált állapotban kell lenniük és az együttes terápia bevezetésekor, illetve ezt követően rendszeres időközönként figyelmet kell fordítani a vesefunkció monitorozására.</w:t>
      </w:r>
    </w:p>
    <w:p w14:paraId="69F37E7B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D48278D" w14:textId="03F84E4A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 klinikai vizsgálati adatok azt mutatták, hogy a renin-angiotenzin-aldoszteron rendszernek (RAAS) ACE-gátlók, angiotenzin II-receptor-blokkolók vagy aliszkirén kombinációjával történő kettős blokádja nagyobb gyakorisággal okoz mellékhatásokat, például hypotoniát, hyperkalaemiát vagy beszűkült veseműködést (többek között akut veseelégtelenséget), mint csak egyféle RAAS-ra ható szer alkalmazása (lásd 4.3, 4.4 és 5.1 pont).</w:t>
      </w:r>
    </w:p>
    <w:p w14:paraId="14221129" w14:textId="77777777" w:rsidR="00FB714F" w:rsidRDefault="00FB714F">
      <w:pPr>
        <w:rPr>
          <w:sz w:val="22"/>
          <w:szCs w:val="22"/>
        </w:rPr>
      </w:pPr>
    </w:p>
    <w:p w14:paraId="79F90990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 grépfrútlé olyan összetevőket tartalmaz, amelyek gátolják a CYP450 enzimeket, és csökkenthetik a lozartán aktív metabolitjának koncentrációját, ami csökkentheti a terápiás hatást. A lozartán tabletta szedése alatt kerülni kell a grépfrútlé fogyasztását.</w:t>
      </w:r>
    </w:p>
    <w:p w14:paraId="61F0D7F1" w14:textId="77777777" w:rsidR="00FB714F" w:rsidRDefault="00FB714F">
      <w:pPr>
        <w:rPr>
          <w:sz w:val="22"/>
          <w:szCs w:val="22"/>
        </w:rPr>
      </w:pPr>
    </w:p>
    <w:p w14:paraId="6F99117D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4.6</w:t>
      </w:r>
      <w:r>
        <w:rPr>
          <w:b/>
          <w:sz w:val="22"/>
          <w:szCs w:val="22"/>
        </w:rPr>
        <w:tab/>
        <w:t>Termékenység, terhesség és szoptatás</w:t>
      </w:r>
    </w:p>
    <w:p w14:paraId="5E40D98D" w14:textId="77777777" w:rsidR="00FB714F" w:rsidRDefault="00FB714F">
      <w:pPr>
        <w:rPr>
          <w:b/>
          <w:i/>
          <w:sz w:val="22"/>
          <w:szCs w:val="22"/>
        </w:rPr>
      </w:pPr>
    </w:p>
    <w:p w14:paraId="78E6DAD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Terhesség</w:t>
      </w:r>
    </w:p>
    <w:p w14:paraId="4B66B4DC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E3549D8" w14:textId="77777777" w:rsidR="00FB714F" w:rsidRDefault="00913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lozartán alkalmazása a terhesség első trimeszterében nem javasolt (lásd 4.4 pont). </w:t>
      </w:r>
    </w:p>
    <w:p w14:paraId="1D5EA8DB" w14:textId="77777777" w:rsidR="00FB714F" w:rsidRDefault="00913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alkalmazása ellenjavallt a terhesség második és harmadik trimeszterében (lásd 4.3 és 4.4 pont).</w:t>
      </w:r>
    </w:p>
    <w:p w14:paraId="538094AD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6D496C1" w14:textId="52811BC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ACE-gátlók első trimeszterben történő szedését követő teratogén kockázatra vonatkozó epidemiológiai adatok nem egyértelműek, a kockázat kismértékű növekedése azonban nem zárható ki. Bár az A</w:t>
      </w:r>
      <w:r w:rsidR="00955D71">
        <w:rPr>
          <w:sz w:val="22"/>
          <w:szCs w:val="22"/>
          <w:lang w:eastAsia="en-US"/>
        </w:rPr>
        <w:t>TII-ant</w:t>
      </w:r>
      <w:r>
        <w:rPr>
          <w:sz w:val="22"/>
          <w:szCs w:val="22"/>
          <w:lang w:eastAsia="en-US"/>
        </w:rPr>
        <w:t>agonisták teratogén kockázatára vonatkozóan nem állnak rendelkezésre kontroll</w:t>
      </w:r>
      <w:r w:rsidR="00955D71">
        <w:rPr>
          <w:sz w:val="22"/>
          <w:szCs w:val="22"/>
          <w:lang w:eastAsia="en-US"/>
        </w:rPr>
        <w:t>os</w:t>
      </w:r>
      <w:r>
        <w:rPr>
          <w:sz w:val="22"/>
          <w:szCs w:val="22"/>
          <w:lang w:eastAsia="en-US"/>
        </w:rPr>
        <w:t xml:space="preserve"> epidemiológiai adatok, feltételezhető, hogy a kockázat erre a gyógyszercsoportra vonatkozóan is hasonló. Hacsak az ATII-receptor</w:t>
      </w:r>
      <w:r w:rsidR="00955D71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 xml:space="preserve">antagonistával történő folyamatos kezelés nem elengedhetetlen, a terhességet tervező betegeket más, olyan antihipertenzív kezelésre kell átállítani, melynek biztonságossága terhességben alátámasztott. A lozartán-kezelést azonnal abba kell hagyni, amennyiben terhességet állapítottak meg. Szükség esetén más, megfelelő kezelést kell elkezdeni. </w:t>
      </w:r>
    </w:p>
    <w:p w14:paraId="24A81ECA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0B1F975" w14:textId="54569766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Ismert, hogy az ATII-receptor</w:t>
      </w:r>
      <w:r w:rsidR="00955D71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 xml:space="preserve">antagonista második és harmadik trimeszterben történő szedése emberen magzatkárosodást (csökkent veseműködés, oligohydramnion, </w:t>
      </w:r>
      <w:r w:rsidR="00955D71">
        <w:rPr>
          <w:sz w:val="22"/>
          <w:szCs w:val="22"/>
          <w:lang w:eastAsia="en-US"/>
        </w:rPr>
        <w:t xml:space="preserve">a </w:t>
      </w:r>
      <w:r>
        <w:rPr>
          <w:sz w:val="22"/>
          <w:szCs w:val="22"/>
          <w:lang w:eastAsia="en-US"/>
        </w:rPr>
        <w:t>koponya csontosodásának visszamaradása) és neonatális toxicitást (veseelégtelenség, hypotonia, hyperkalaemia) okoz (lásd 5.3</w:t>
      </w:r>
      <w:r w:rsidR="00955D71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pont). Amennyiben az ATII-receptor</w:t>
      </w:r>
      <w:r w:rsidR="00955D71">
        <w:rPr>
          <w:sz w:val="22"/>
          <w:szCs w:val="22"/>
          <w:lang w:eastAsia="en-US"/>
        </w:rPr>
        <w:t>-</w:t>
      </w:r>
      <w:r>
        <w:rPr>
          <w:sz w:val="22"/>
          <w:szCs w:val="22"/>
          <w:lang w:eastAsia="en-US"/>
        </w:rPr>
        <w:t xml:space="preserve">antagonista szedése a terhesség második illetve harmadik trimeszterében történt, a vese és a koponya ultrahangos ellenőrzése javasolt. </w:t>
      </w:r>
    </w:p>
    <w:p w14:paraId="26BBE1AF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0CDCAC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lozartánt szedő anyák csecsemőit fokozottan meg kell figyelni hypotonia kialakulása szempontjából (lásd 4.3, 4.4 pont).</w:t>
      </w:r>
    </w:p>
    <w:p w14:paraId="41E9ADE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CC06C4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Szoptatás</w:t>
      </w:r>
    </w:p>
    <w:p w14:paraId="3D079E77" w14:textId="77777777" w:rsidR="00FB714F" w:rsidRDefault="00913E14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Mivel nem áll rendelkezésre adat a lozartán szoptatáskor történő alkalmazására vonatkozóan, a lozartán adása nem javasolt. Szoptatás alatt - különösen az újszülött vagy koraszülött szoptatása esetén - olyan készítményt kell előnyben részesíteni, melynek szoptatására vonatkozó biztonságossági profilja jobban alátámasztott. </w:t>
      </w:r>
    </w:p>
    <w:p w14:paraId="6857028F" w14:textId="77777777" w:rsidR="00FB714F" w:rsidRDefault="00FB714F">
      <w:pPr>
        <w:rPr>
          <w:b/>
          <w:sz w:val="22"/>
          <w:szCs w:val="22"/>
        </w:rPr>
      </w:pPr>
    </w:p>
    <w:p w14:paraId="6D0A2527" w14:textId="77777777" w:rsidR="00FB714F" w:rsidRDefault="00913E14">
      <w:pPr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4.7</w:t>
      </w:r>
      <w:r>
        <w:rPr>
          <w:b/>
          <w:bCs/>
          <w:sz w:val="22"/>
          <w:szCs w:val="22"/>
        </w:rPr>
        <w:tab/>
        <w:t>A készítmény hatásai a gépjárművezetéshez és a gépek kezeléséhez szükséges képességekre</w:t>
      </w:r>
    </w:p>
    <w:p w14:paraId="39403703" w14:textId="77777777" w:rsidR="00FB714F" w:rsidRDefault="00FB714F">
      <w:pPr>
        <w:rPr>
          <w:sz w:val="22"/>
          <w:szCs w:val="22"/>
        </w:rPr>
      </w:pPr>
    </w:p>
    <w:p w14:paraId="6F8B530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gépjárművezetéshez és a gépek kezeléséhez szükséges képességeket befolyásoló hatásokat tanulmányozó vizsgálatot nem végeztek. Gépjárművezetéskor és gépek kezelésekor azonban figyelembe kell venni, hogy néhány esetben szédülés és álmosság jelentkezhet az antihipertenzív kezelés során, különösen a kezelés kezdetén vagy ha dózisemelés történik.</w:t>
      </w:r>
    </w:p>
    <w:p w14:paraId="4EFCB3FE" w14:textId="77777777" w:rsidR="00FB714F" w:rsidRDefault="00FB714F">
      <w:pPr>
        <w:rPr>
          <w:sz w:val="22"/>
          <w:szCs w:val="22"/>
        </w:rPr>
      </w:pPr>
    </w:p>
    <w:p w14:paraId="4F91F4B5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4.8</w:t>
      </w:r>
      <w:r>
        <w:rPr>
          <w:b/>
          <w:sz w:val="22"/>
          <w:szCs w:val="22"/>
        </w:rPr>
        <w:tab/>
        <w:t>Nemkívánatos hatások, mellékhatások</w:t>
      </w:r>
    </w:p>
    <w:p w14:paraId="2D65B100" w14:textId="77777777" w:rsidR="00FB714F" w:rsidRDefault="00FB714F">
      <w:pPr>
        <w:rPr>
          <w:b/>
          <w:sz w:val="22"/>
          <w:szCs w:val="22"/>
        </w:rPr>
      </w:pPr>
    </w:p>
    <w:p w14:paraId="31442065" w14:textId="77777777" w:rsidR="00FB714F" w:rsidRDefault="00913E14">
      <w:pPr>
        <w:keepNext/>
        <w:tabs>
          <w:tab w:val="left" w:pos="600"/>
        </w:tabs>
        <w:ind w:left="567" w:hanging="567"/>
        <w:outlineLvl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A lozartánt a következő klinikai vizsgálatokban értékelték:</w:t>
      </w:r>
    </w:p>
    <w:p w14:paraId="1D9BA2E7" w14:textId="77777777" w:rsidR="00FB714F" w:rsidRDefault="00913E14">
      <w:pPr>
        <w:keepNext/>
        <w:numPr>
          <w:ilvl w:val="0"/>
          <w:numId w:val="31"/>
        </w:numPr>
        <w:tabs>
          <w:tab w:val="clear" w:pos="1080"/>
          <w:tab w:val="num" w:pos="567"/>
        </w:tabs>
        <w:ind w:left="567" w:hanging="567"/>
        <w:outlineLvl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 xml:space="preserve">Esszenciális hypertonia kontrollos klinikai vizsgálatában több mint 3000, 18 éves vagy idősebb, felnőtt beteg részvételével. </w:t>
      </w:r>
    </w:p>
    <w:p w14:paraId="76C53415" w14:textId="18FB175F" w:rsidR="00FB714F" w:rsidRDefault="00913E14">
      <w:pPr>
        <w:keepNext/>
        <w:numPr>
          <w:ilvl w:val="0"/>
          <w:numId w:val="31"/>
        </w:numPr>
        <w:tabs>
          <w:tab w:val="clear" w:pos="1080"/>
          <w:tab w:val="num" w:pos="567"/>
        </w:tabs>
        <w:ind w:left="567" w:hanging="567"/>
        <w:outlineLvl w:val="0"/>
        <w:rPr>
          <w:noProof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177, hypertoniában szenvedő, 6</w:t>
      </w:r>
      <w:r>
        <w:rPr>
          <w:color w:val="000000"/>
          <w:sz w:val="22"/>
          <w:szCs w:val="22"/>
        </w:rPr>
        <w:noBreakHyphen/>
        <w:t>16 éves gyermek beteggel végzett kontroll</w:t>
      </w:r>
      <w:r w:rsidR="00955D71">
        <w:rPr>
          <w:color w:val="000000"/>
          <w:sz w:val="22"/>
          <w:szCs w:val="22"/>
        </w:rPr>
        <w:t>os</w:t>
      </w:r>
      <w:r>
        <w:rPr>
          <w:color w:val="000000"/>
          <w:sz w:val="22"/>
          <w:szCs w:val="22"/>
        </w:rPr>
        <w:t xml:space="preserve"> klinikai vizsgálatban.</w:t>
      </w:r>
    </w:p>
    <w:p w14:paraId="066C045E" w14:textId="73BC5FE4" w:rsidR="00FB714F" w:rsidRDefault="00913E14">
      <w:pPr>
        <w:keepNext/>
        <w:numPr>
          <w:ilvl w:val="0"/>
          <w:numId w:val="31"/>
        </w:numPr>
        <w:tabs>
          <w:tab w:val="clear" w:pos="1080"/>
          <w:tab w:val="num" w:pos="567"/>
        </w:tabs>
        <w:ind w:left="567" w:hanging="567"/>
        <w:outlineLvl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Több mint 9000, 55 és 80 év közötti, hypertoniában és balkamra</w:t>
      </w:r>
      <w:r w:rsidR="00955D71">
        <w:rPr>
          <w:noProof/>
          <w:color w:val="000000"/>
          <w:sz w:val="22"/>
          <w:szCs w:val="22"/>
        </w:rPr>
        <w:t>-</w:t>
      </w:r>
      <w:r>
        <w:rPr>
          <w:noProof/>
          <w:color w:val="000000"/>
          <w:sz w:val="22"/>
          <w:szCs w:val="22"/>
        </w:rPr>
        <w:t>hypertrophiában szenvedő beteggel végzett, kontrollos klinikai vizsgálatban (lásd LIFE vizsgálat, 5.1 pont).</w:t>
      </w:r>
    </w:p>
    <w:p w14:paraId="78F02BA3" w14:textId="77777777" w:rsidR="00FB714F" w:rsidRDefault="00913E14">
      <w:pPr>
        <w:keepNext/>
        <w:numPr>
          <w:ilvl w:val="0"/>
          <w:numId w:val="31"/>
        </w:numPr>
        <w:tabs>
          <w:tab w:val="clear" w:pos="1080"/>
          <w:tab w:val="num" w:pos="567"/>
        </w:tabs>
        <w:ind w:left="567" w:hanging="567"/>
        <w:outlineLvl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 xml:space="preserve">Több mint 7700, krónikus szívelégtelenségben szenvedő 20 éves vagy idősebb, felnőtt beteg részvételével végzett, kontrollos klinikai vizsgálatokban (lásd </w:t>
      </w:r>
      <w:r>
        <w:rPr>
          <w:sz w:val="22"/>
          <w:szCs w:val="22"/>
        </w:rPr>
        <w:t>ELITE I, ELITE II és HEAAL</w:t>
      </w:r>
      <w:r>
        <w:rPr>
          <w:noProof/>
          <w:color w:val="000000"/>
          <w:sz w:val="22"/>
          <w:szCs w:val="22"/>
        </w:rPr>
        <w:t xml:space="preserve"> vizsgálat, 5.1 pont).</w:t>
      </w:r>
    </w:p>
    <w:p w14:paraId="30C713D6" w14:textId="77777777" w:rsidR="00FB714F" w:rsidRDefault="00913E14">
      <w:pPr>
        <w:keepNext/>
        <w:keepLines/>
        <w:numPr>
          <w:ilvl w:val="0"/>
          <w:numId w:val="31"/>
        </w:numPr>
        <w:tabs>
          <w:tab w:val="clear" w:pos="1080"/>
        </w:tabs>
        <w:ind w:left="567" w:hanging="567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Több mint 1500, 31 éves vagy idősebb, proteinuriával járó 2</w:t>
      </w:r>
      <w:r>
        <w:rPr>
          <w:noProof/>
          <w:color w:val="000000"/>
          <w:sz w:val="22"/>
          <w:szCs w:val="22"/>
        </w:rPr>
        <w:noBreakHyphen/>
        <w:t xml:space="preserve">es típusú diabetesben szenvedő beteg részvételével végzett, kontrollos klinikai vizsgálatban (lásd </w:t>
      </w:r>
      <w:r>
        <w:rPr>
          <w:sz w:val="22"/>
          <w:szCs w:val="22"/>
        </w:rPr>
        <w:t>RENAAL</w:t>
      </w:r>
      <w:r>
        <w:rPr>
          <w:noProof/>
          <w:color w:val="000000"/>
          <w:sz w:val="22"/>
          <w:szCs w:val="22"/>
        </w:rPr>
        <w:t xml:space="preserve"> vizsgálat, 5.1 pont).</w:t>
      </w:r>
      <w:r>
        <w:rPr>
          <w:color w:val="000000"/>
          <w:sz w:val="22"/>
          <w:szCs w:val="22"/>
        </w:rPr>
        <w:t xml:space="preserve"> </w:t>
      </w:r>
    </w:p>
    <w:p w14:paraId="6050C9E3" w14:textId="77777777" w:rsidR="00FB714F" w:rsidRDefault="00FB714F">
      <w:pPr>
        <w:keepNext/>
        <w:tabs>
          <w:tab w:val="left" w:pos="600"/>
        </w:tabs>
        <w:outlineLvl w:val="0"/>
        <w:rPr>
          <w:noProof/>
          <w:color w:val="000000"/>
          <w:sz w:val="22"/>
          <w:szCs w:val="22"/>
        </w:rPr>
      </w:pPr>
    </w:p>
    <w:p w14:paraId="165DFECE" w14:textId="77777777" w:rsidR="00FB714F" w:rsidRDefault="00913E14">
      <w:pPr>
        <w:keepNext/>
        <w:tabs>
          <w:tab w:val="left" w:pos="600"/>
        </w:tabs>
        <w:outlineLvl w:val="0"/>
        <w:rPr>
          <w:noProof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Ezen vizsgálatok során a leggyakoribb mellékhatás a szédülés volt.</w:t>
      </w:r>
    </w:p>
    <w:p w14:paraId="2F04E98C" w14:textId="77777777" w:rsidR="00FB714F" w:rsidRDefault="00FB714F">
      <w:pPr>
        <w:rPr>
          <w:sz w:val="22"/>
          <w:szCs w:val="22"/>
        </w:rPr>
      </w:pPr>
    </w:p>
    <w:p w14:paraId="6A8068F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alábbiakban felsorolt nemkívánatos reakciók a következő gyakorisági kategóriákba kerültek besorolásra:</w:t>
      </w:r>
    </w:p>
    <w:p w14:paraId="5B48968A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Nagyon gyakori (≥ 1/10);</w:t>
      </w:r>
    </w:p>
    <w:p w14:paraId="0AC403C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Gyakori (≥ 1/100 - &lt; 1/10);</w:t>
      </w:r>
    </w:p>
    <w:p w14:paraId="1CD296E2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Nem gyakori (≥ 1/1000 - &lt; 1/100);</w:t>
      </w:r>
    </w:p>
    <w:p w14:paraId="55F3138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Ritka (≥ 1/10 000 - &lt; 1/1000);</w:t>
      </w:r>
    </w:p>
    <w:p w14:paraId="6941CB95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Nagyon ritka: (&lt; 1/10 000);</w:t>
      </w:r>
    </w:p>
    <w:p w14:paraId="1C2BF84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Nem ismert (a rendelkezésre álló adatokból a gyakoriság nem állapítható meg).</w:t>
      </w:r>
    </w:p>
    <w:p w14:paraId="5DE0C43C" w14:textId="77777777" w:rsidR="00FB714F" w:rsidRDefault="00FB714F">
      <w:pPr>
        <w:autoSpaceDE w:val="0"/>
        <w:autoSpaceDN w:val="0"/>
        <w:adjustRightInd w:val="0"/>
        <w:rPr>
          <w:b/>
          <w:sz w:val="22"/>
          <w:szCs w:val="22"/>
          <w:lang w:eastAsia="en-US"/>
        </w:rPr>
      </w:pPr>
    </w:p>
    <w:p w14:paraId="12D52916" w14:textId="77777777" w:rsidR="00FB714F" w:rsidRDefault="00913E14">
      <w:pPr>
        <w:autoSpaceDE w:val="0"/>
        <w:autoSpaceDN w:val="0"/>
        <w:adjustRightInd w:val="0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1. táblázat: A placebokontrollos klinikai vizsgálatok során és a forgalomba hozatalt követően tapasztalt mellékhatások gyakorisága</w:t>
      </w:r>
    </w:p>
    <w:tbl>
      <w:tblPr>
        <w:tblW w:w="54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4"/>
        <w:gridCol w:w="1292"/>
        <w:gridCol w:w="1818"/>
        <w:gridCol w:w="1683"/>
        <w:gridCol w:w="1670"/>
        <w:gridCol w:w="1475"/>
      </w:tblGrid>
      <w:tr w:rsidR="00FB714F" w14:paraId="72BC03C9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EB11" w14:textId="77777777" w:rsidR="00FB714F" w:rsidRDefault="00913E14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r>
              <w:rPr>
                <w:b/>
                <w:sz w:val="22"/>
                <w:szCs w:val="22"/>
              </w:rPr>
              <w:t>Mellékhatás</w:t>
            </w:r>
          </w:p>
        </w:tc>
        <w:tc>
          <w:tcPr>
            <w:tcW w:w="3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95E3" w14:textId="77777777" w:rsidR="00FB714F" w:rsidRDefault="00913E14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color w:val="auto"/>
                <w:sz w:val="22"/>
                <w:szCs w:val="22"/>
                <w:lang w:val="hu-HU"/>
              </w:rPr>
              <w:t>A mellékhatás gyakorisága indikáció alapján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ED78" w14:textId="77777777" w:rsidR="00FB714F" w:rsidRDefault="00913E14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color w:val="auto"/>
                <w:sz w:val="22"/>
                <w:szCs w:val="22"/>
                <w:lang w:val="hu-HU"/>
              </w:rPr>
              <w:t>Egyéb</w:t>
            </w:r>
          </w:p>
        </w:tc>
      </w:tr>
      <w:tr w:rsidR="00FB714F" w14:paraId="24C58361" w14:textId="77777777">
        <w:trPr>
          <w:cantSplit/>
          <w:trHeight w:val="860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2524" w14:textId="77777777" w:rsidR="00FB714F" w:rsidRDefault="00FB714F">
            <w:pPr>
              <w:keepNext/>
              <w:jc w:val="center"/>
              <w:rPr>
                <w:sz w:val="22"/>
                <w:szCs w:val="22"/>
                <w:lang w:eastAsia="de-DE"/>
              </w:rPr>
            </w:pP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97F0" w14:textId="77777777" w:rsidR="00FB714F" w:rsidRDefault="00913E14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r>
              <w:rPr>
                <w:b/>
                <w:bCs/>
                <w:sz w:val="22"/>
                <w:szCs w:val="22"/>
              </w:rPr>
              <w:t>Hypertonia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C56D" w14:textId="1CB79981" w:rsidR="00FB714F" w:rsidRDefault="00913E14">
            <w:pPr>
              <w:keepNext/>
              <w:jc w:val="center"/>
              <w:rPr>
                <w:b/>
                <w:sz w:val="22"/>
                <w:szCs w:val="22"/>
                <w:lang w:eastAsia="de-DE"/>
              </w:rPr>
            </w:pPr>
            <w:r>
              <w:rPr>
                <w:b/>
                <w:color w:val="000000"/>
                <w:sz w:val="22"/>
                <w:szCs w:val="22"/>
              </w:rPr>
              <w:t>Balkamra</w:t>
            </w:r>
            <w:r w:rsidR="00E1667C">
              <w:rPr>
                <w:b/>
                <w:color w:val="000000"/>
                <w:sz w:val="22"/>
                <w:szCs w:val="22"/>
              </w:rPr>
              <w:t>-</w:t>
            </w:r>
            <w:r>
              <w:rPr>
                <w:b/>
                <w:color w:val="000000"/>
                <w:sz w:val="22"/>
                <w:szCs w:val="22"/>
              </w:rPr>
              <w:t>hypertrophiában szenvedő hypertoniás betegek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CE86" w14:textId="77777777" w:rsidR="00FB714F" w:rsidRDefault="00913E14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 w:eastAsia="en-US"/>
              </w:rPr>
              <w:t>Krónikus szívelégtelenség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C20B" w14:textId="77777777" w:rsidR="00FB714F" w:rsidRDefault="00913E14">
            <w:pPr>
              <w:pStyle w:val="MGGTextLeft"/>
              <w:keepNext/>
              <w:jc w:val="center"/>
              <w:rPr>
                <w:b/>
                <w:color w:val="000000"/>
                <w:sz w:val="22"/>
                <w:szCs w:val="22"/>
                <w:lang w:val="hu-HU"/>
              </w:rPr>
            </w:pPr>
            <w:r>
              <w:rPr>
                <w:b/>
                <w:color w:val="000000"/>
                <w:sz w:val="22"/>
                <w:szCs w:val="22"/>
                <w:lang w:val="hu-HU"/>
              </w:rPr>
              <w:t>Hypertonia és vesebetegséggel társuló 2</w:t>
            </w:r>
            <w:r>
              <w:rPr>
                <w:b/>
                <w:color w:val="000000"/>
                <w:sz w:val="22"/>
                <w:szCs w:val="22"/>
                <w:lang w:val="hu-HU"/>
              </w:rPr>
              <w:noBreakHyphen/>
              <w:t>es típusú diabetes</w:t>
            </w:r>
          </w:p>
          <w:p w14:paraId="4EDA1841" w14:textId="77777777" w:rsidR="00FB714F" w:rsidRDefault="00FB714F">
            <w:pPr>
              <w:pStyle w:val="Default"/>
              <w:keepNext/>
              <w:tabs>
                <w:tab w:val="left" w:pos="567"/>
              </w:tabs>
              <w:jc w:val="center"/>
              <w:rPr>
                <w:color w:val="auto"/>
                <w:sz w:val="22"/>
                <w:szCs w:val="22"/>
                <w:vertAlign w:val="superscript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63FC" w14:textId="77777777" w:rsidR="00FB714F" w:rsidRDefault="00913E14">
            <w:pPr>
              <w:pStyle w:val="Default"/>
              <w:keepNext/>
              <w:tabs>
                <w:tab w:val="left" w:pos="567"/>
              </w:tabs>
              <w:jc w:val="center"/>
              <w:rPr>
                <w:b/>
                <w:bCs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color w:val="auto"/>
                <w:sz w:val="22"/>
                <w:szCs w:val="22"/>
                <w:lang w:val="hu-HU"/>
              </w:rPr>
              <w:t>Forgalomba hozatalt követő tapasztalatok</w:t>
            </w:r>
          </w:p>
        </w:tc>
      </w:tr>
      <w:tr w:rsidR="00FB714F" w14:paraId="6FF0406C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E8FE" w14:textId="77777777" w:rsidR="00FB714F" w:rsidRDefault="00913E14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highlight w:val="yellow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</w:tr>
      <w:tr w:rsidR="00FB714F" w14:paraId="2B545B60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5B81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anaemia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4FD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94D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DC9E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4B1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0227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3099B2A4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371B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thrombocytopenia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00B8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5AA0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866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65A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9226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7578AFDA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1AB8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Immunrendszeri betegségek és tünetek</w:t>
            </w:r>
          </w:p>
        </w:tc>
      </w:tr>
      <w:tr w:rsidR="00FB714F" w14:paraId="2F39488C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2213" w14:textId="7625A2FB" w:rsidR="00FB714F" w:rsidRDefault="00913E14" w:rsidP="00E1667C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túlérzékenység, ana</w:t>
            </w:r>
            <w:r w:rsidR="00E1667C">
              <w:rPr>
                <w:sz w:val="22"/>
                <w:szCs w:val="22"/>
                <w:lang w:val="hu-HU"/>
              </w:rPr>
              <w:t>phy</w:t>
            </w:r>
            <w:r>
              <w:rPr>
                <w:sz w:val="22"/>
                <w:szCs w:val="22"/>
                <w:lang w:val="hu-HU"/>
              </w:rPr>
              <w:t>la</w:t>
            </w:r>
            <w:r w:rsidR="00E1667C">
              <w:rPr>
                <w:sz w:val="22"/>
                <w:szCs w:val="22"/>
                <w:lang w:val="hu-HU"/>
              </w:rPr>
              <w:t>c</w:t>
            </w:r>
            <w:r>
              <w:rPr>
                <w:sz w:val="22"/>
                <w:szCs w:val="22"/>
                <w:lang w:val="hu-HU"/>
              </w:rPr>
              <w:t>toid reakciók, angiooedema* és vasculitis**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11B0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5E2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20D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F98B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AE5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FB714F" w14:paraId="0E707A37" w14:textId="77777777">
        <w:trPr>
          <w:cantSplit/>
          <w:trHeight w:val="26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E4A6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Pszichiátriai kórképek</w:t>
            </w:r>
          </w:p>
        </w:tc>
      </w:tr>
      <w:tr w:rsidR="00FB714F" w14:paraId="4CD8344D" w14:textId="77777777">
        <w:trPr>
          <w:cantSplit/>
          <w:trHeight w:val="260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558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depresszió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720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9464" w14:textId="77777777" w:rsidR="00FB714F" w:rsidRDefault="00FB714F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highlight w:val="yellow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75E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F3E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248E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523AC418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B4A36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lastRenderedPageBreak/>
              <w:t>Idegrendszeri betegségek és tünetek</w:t>
            </w:r>
          </w:p>
        </w:tc>
      </w:tr>
      <w:tr w:rsidR="00FB714F" w14:paraId="1BF727C5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BBB0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bCs/>
                <w:iCs/>
                <w:sz w:val="22"/>
                <w:szCs w:val="22"/>
                <w:lang w:val="hu-HU"/>
              </w:rPr>
              <w:t>szédülés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2927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8B52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8D93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1081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DF03" w14:textId="77777777" w:rsidR="00FB714F" w:rsidRDefault="00FB714F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69B2F6AA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747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aluszékonyság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4F58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CEA4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441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1060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33E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78E66783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B81E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fejfájás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D2100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7EF7D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7D3C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0CC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586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0895F66C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0A8C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alvászavarok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5D60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EE6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1760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808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E11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797DD1EB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3B6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paraesthesia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40F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5B9D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50A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0BF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475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1D420CC9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18E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iCs/>
                <w:sz w:val="22"/>
                <w:szCs w:val="22"/>
                <w:lang w:val="hu-HU"/>
              </w:rPr>
              <w:t>migrén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815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244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349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CC3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274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361500A4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12D86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ízérzékelési zavarok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317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710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497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6D9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DECB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7C637EEC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66D2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A fül és az egyensúly</w:t>
            </w:r>
            <w:r>
              <w:rPr>
                <w:b/>
                <w:iCs/>
                <w:sz w:val="22"/>
                <w:szCs w:val="22"/>
                <w:lang w:val="hu-HU"/>
              </w:rPr>
              <w:noBreakHyphen/>
              <w:t>érzékelő szerv betegségei és tünetei</w:t>
            </w:r>
          </w:p>
        </w:tc>
      </w:tr>
      <w:tr w:rsidR="00FB714F" w14:paraId="4B188B74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0E8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vertigo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E64EC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877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3F2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EA6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7230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56D7669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D04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tinnitus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5C2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23E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F41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DF6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9CC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3B82F2BC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CF3C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Szívbetegségek és a szívvel kapcsolatos tünetek</w:t>
            </w:r>
          </w:p>
        </w:tc>
      </w:tr>
      <w:tr w:rsidR="00FB714F" w14:paraId="0FEFDF4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EA25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palpitációk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4AB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D81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341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22C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10E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29A58418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A36F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angina pectoris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9045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582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22A4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D02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766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3777AF8C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606A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syncope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983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BB1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43C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963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7D1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4E35288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547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pitvarfibrilláció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50E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D184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95F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C714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1EA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48CE140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1CB8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cerebrovascularis történés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716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40B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3EF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44A8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A53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680C8F5B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5E90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bCs/>
                <w:iCs/>
                <w:sz w:val="22"/>
                <w:szCs w:val="22"/>
                <w:lang w:val="hu-HU"/>
              </w:rPr>
              <w:t>Érbetegségek és tünetek</w:t>
            </w:r>
          </w:p>
        </w:tc>
      </w:tr>
      <w:tr w:rsidR="00FB714F" w14:paraId="5345229A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761E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 xml:space="preserve">(orthostaticus) hypotonia (beleértve a </w:t>
            </w:r>
            <w:r>
              <w:rPr>
                <w:sz w:val="22"/>
                <w:szCs w:val="22"/>
                <w:lang w:val="hu-HU"/>
              </w:rPr>
              <w:t>dózisfüggő orthostaticus hatásokat)</w:t>
            </w:r>
            <w:r>
              <w:rPr>
                <w:sz w:val="22"/>
                <w:szCs w:val="22"/>
                <w:vertAlign w:val="superscript"/>
                <w:lang w:val="hu-HU"/>
              </w:rPr>
              <w:t xml:space="preserve"> ║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317F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8B6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1BEC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F0718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262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157A1F30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45C3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</w:tr>
      <w:tr w:rsidR="00FB714F" w14:paraId="5991AF2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23A5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dyspnoe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350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11D4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3F79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16C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BAD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5AA9A0B9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7930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köhögés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FB7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7DB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B69E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A80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420C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4942E127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B54B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Emésztőrendszeri betegségek és tünetek</w:t>
            </w:r>
          </w:p>
        </w:tc>
      </w:tr>
      <w:tr w:rsidR="00FB714F" w14:paraId="0BCFBD30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660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hasi fájdalom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80EA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8C9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5E6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A8E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3EF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29E9466A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8F0A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székrekedés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39BE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EFF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843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EF4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1A3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25EC27D3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297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hasmenés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5EB8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8B3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94A5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6BB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02E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694D3F4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8871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hányinger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392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9E5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A3B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303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CFA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4AF3EED7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A226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hányás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6D9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EEE8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04D7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555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DA8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7FE70B4B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95BC" w14:textId="77777777" w:rsidR="00FB714F" w:rsidRDefault="00913E14">
            <w:pPr>
              <w:pStyle w:val="Default"/>
              <w:tabs>
                <w:tab w:val="left" w:pos="567"/>
              </w:tabs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intestinalis angiooedema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08C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0FC4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A98A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752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9ED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FB714F" w14:paraId="42DC7E5E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4C2F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Máj</w:t>
            </w:r>
            <w:r>
              <w:rPr>
                <w:b/>
                <w:iCs/>
                <w:sz w:val="22"/>
                <w:szCs w:val="22"/>
                <w:lang w:val="hu-HU"/>
              </w:rPr>
              <w:noBreakHyphen/>
              <w:t xml:space="preserve"> és epebetegségek, illetve tünetek</w:t>
            </w:r>
          </w:p>
        </w:tc>
      </w:tr>
      <w:tr w:rsidR="00FB714F" w14:paraId="58B9FF37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A71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 w:eastAsia="fi-FI"/>
              </w:rPr>
              <w:t>pancreatitis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765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E94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193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242D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39D8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66F9A58E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C29C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hepatitis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CE8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D4A8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4688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A44C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F019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</w:tr>
      <w:tr w:rsidR="00FB714F" w14:paraId="3E87A910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147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iCs/>
                <w:sz w:val="22"/>
                <w:szCs w:val="22"/>
                <w:lang w:val="hu-HU"/>
              </w:rPr>
              <w:t>májfunkciós rendellenességek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4DC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A88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353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EBA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1E6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07448F85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9045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A bőr és a bőr alatti szövet betegségei és tünetei</w:t>
            </w:r>
          </w:p>
        </w:tc>
      </w:tr>
      <w:tr w:rsidR="00FB714F" w14:paraId="3F3F2A59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9CE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urticaria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737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EB9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5136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253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62FC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216F5CC7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8792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pruritus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27A0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255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D94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FB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172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5F25E12C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079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bőrkiütések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5E9A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2FBC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0773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C3E8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8250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7052651E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31F8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fotoszenzitivitás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E0E4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76F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63C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C39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FC27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67438150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20F8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lastRenderedPageBreak/>
              <w:t>A csont- és izomrendszer, valamint a kötőszövet betegségei és tünetei</w:t>
            </w:r>
          </w:p>
        </w:tc>
      </w:tr>
      <w:tr w:rsidR="00FB714F" w14:paraId="7A494E89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4D53F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myalgia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9D0A" w14:textId="77777777" w:rsidR="00FB714F" w:rsidRDefault="00FB714F" w:rsidP="00E1667C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6998" w14:textId="77777777" w:rsidR="00FB714F" w:rsidRDefault="00FB714F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A159" w14:textId="77777777" w:rsidR="00FB714F" w:rsidRDefault="00FB714F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37E7E" w14:textId="77777777" w:rsidR="00FB714F" w:rsidRDefault="00FB714F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733A" w14:textId="77777777" w:rsidR="00FB714F" w:rsidRDefault="00913E14" w:rsidP="00AA1499">
            <w:pPr>
              <w:pStyle w:val="Default"/>
              <w:keepNext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5E5FA9E2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CF2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arthralgia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44C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A3E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57B3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732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686B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683D627A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3B37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rhabdomyolysis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D66F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4EE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A63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C788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6954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5E952490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CD8C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color w:val="auto"/>
                <w:sz w:val="22"/>
                <w:szCs w:val="22"/>
                <w:lang w:val="hu-HU"/>
              </w:rPr>
            </w:pPr>
            <w:r>
              <w:rPr>
                <w:b/>
                <w:iCs/>
                <w:sz w:val="22"/>
                <w:szCs w:val="22"/>
                <w:lang w:val="hu-HU"/>
              </w:rPr>
              <w:t>Vese- és húgyúti betegségek és tünetek</w:t>
            </w:r>
          </w:p>
        </w:tc>
      </w:tr>
      <w:tr w:rsidR="00FB714F" w14:paraId="3B0BF34E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84B4" w14:textId="77777777" w:rsidR="00FB714F" w:rsidRDefault="00913E14">
            <w:pPr>
              <w:pStyle w:val="MGGTextLeft"/>
              <w:rPr>
                <w:iCs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vesekárosodás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9F7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98C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DE54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DC1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F9E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6A7459D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DAFD" w14:textId="77777777" w:rsidR="00FB714F" w:rsidRDefault="00913E14">
            <w:pPr>
              <w:pStyle w:val="Default"/>
              <w:tabs>
                <w:tab w:val="left" w:pos="567"/>
              </w:tabs>
              <w:rPr>
                <w:iCs/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veseelégtelenség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0C1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31E1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840B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64C7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E46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3F5BE13E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B607" w14:textId="77777777" w:rsidR="00FB714F" w:rsidRDefault="00913E14">
            <w:pPr>
              <w:pStyle w:val="Default"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A nemi szervekkel és az emlőkkel kapcsolatos betegségek és tünetek</w:t>
            </w:r>
          </w:p>
        </w:tc>
      </w:tr>
      <w:tr w:rsidR="00FB714F" w14:paraId="511EFA82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CD1ED" w14:textId="77777777" w:rsidR="00FB714F" w:rsidRDefault="00913E14">
            <w:pPr>
              <w:pStyle w:val="Default"/>
              <w:tabs>
                <w:tab w:val="left" w:pos="567"/>
              </w:tabs>
              <w:rPr>
                <w:iCs/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erectilis dysfunctio/impotencia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591A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CF26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C0A6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689C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0D61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5AAF1906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36E1" w14:textId="77777777" w:rsidR="00FB714F" w:rsidRDefault="00913E14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</w:tr>
      <w:tr w:rsidR="00FB714F" w14:paraId="16924E91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D95E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gyengeség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AAF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7C75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7875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062F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FF48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09F8E6F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C940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fáradtság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550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7B0F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D627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6FA2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6F0B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04E23747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6AA0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oedema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597D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D053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D7AC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9AF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68B2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7E6CB21F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64A0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rossz közérzet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330E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6D55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607F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C379" w14:textId="77777777" w:rsidR="00FB714F" w:rsidRDefault="00FB714F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E2E9" w14:textId="77777777" w:rsidR="00FB714F" w:rsidRDefault="00913E14">
            <w:pPr>
              <w:pStyle w:val="Default"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613FE91C" w14:textId="77777777">
        <w:trPr>
          <w:cantSplit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5948" w14:textId="77777777" w:rsidR="00FB714F" w:rsidRDefault="00913E14">
            <w:pPr>
              <w:pStyle w:val="Default"/>
              <w:keepNext/>
              <w:tabs>
                <w:tab w:val="left" w:pos="567"/>
              </w:tabs>
              <w:rPr>
                <w:b/>
                <w:sz w:val="22"/>
                <w:szCs w:val="22"/>
                <w:lang w:val="hu-HU"/>
              </w:rPr>
            </w:pPr>
            <w:r>
              <w:rPr>
                <w:b/>
                <w:sz w:val="22"/>
                <w:szCs w:val="22"/>
                <w:lang w:val="hu-HU"/>
              </w:rPr>
              <w:t>Laboratóriumi és egyéb vizsgálatok eredményei</w:t>
            </w:r>
          </w:p>
        </w:tc>
      </w:tr>
      <w:tr w:rsidR="00FB714F" w14:paraId="1E7C7A91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BBB9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hyperkalaemia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9F44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E5AC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  <w:p w14:paraId="4CEDB586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BECE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gyakori</w:t>
            </w:r>
            <w:r>
              <w:rPr>
                <w:sz w:val="22"/>
                <w:szCs w:val="22"/>
                <w:vertAlign w:val="superscript"/>
                <w:lang w:val="hu-HU"/>
              </w:rPr>
              <w:t>†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B89B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  <w:r>
              <w:rPr>
                <w:sz w:val="22"/>
                <w:szCs w:val="22"/>
                <w:vertAlign w:val="superscript"/>
                <w:lang w:val="hu-HU"/>
              </w:rPr>
              <w:t>‡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EEFF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7336C4EA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BC8F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emelkedett alanin-aminotranszferáz (ALAT vagy GPT)</w:t>
            </w:r>
            <w:r>
              <w:rPr>
                <w:sz w:val="22"/>
                <w:szCs w:val="22"/>
                <w:vertAlign w:val="superscript"/>
                <w:lang w:val="hu-HU"/>
              </w:rPr>
              <w:t xml:space="preserve"> §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700C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ritka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5BBE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6AB3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5DB2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5B7D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719A6EF0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448A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emelkedett vér karbamid-, szérum kreatinin- és szérum-káliumszint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1B9A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EC8FF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C79C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97DE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0493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  <w:tr w:rsidR="00FB714F" w14:paraId="334E4106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EF0D6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hyponatraemia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2121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AB3B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D1C5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5C85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07A6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nem ismert</w:t>
            </w:r>
          </w:p>
        </w:tc>
      </w:tr>
      <w:tr w:rsidR="00FB714F" w14:paraId="178BE9E3" w14:textId="77777777">
        <w:trPr>
          <w:cantSplit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553A" w14:textId="77777777" w:rsidR="00FB714F" w:rsidRDefault="00913E14">
            <w:pPr>
              <w:pStyle w:val="MGGTextLeft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hypoglycemia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67F1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3422D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5F9C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C468" w14:textId="77777777" w:rsidR="00FB714F" w:rsidRDefault="00913E14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  <w:r>
              <w:rPr>
                <w:color w:val="auto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99BD4" w14:textId="77777777" w:rsidR="00FB714F" w:rsidRDefault="00FB714F">
            <w:pPr>
              <w:pStyle w:val="Default"/>
              <w:keepNext/>
              <w:keepLines/>
              <w:tabs>
                <w:tab w:val="left" w:pos="567"/>
              </w:tabs>
              <w:rPr>
                <w:color w:val="auto"/>
                <w:sz w:val="22"/>
                <w:szCs w:val="22"/>
                <w:lang w:val="hu-HU"/>
              </w:rPr>
            </w:pPr>
          </w:p>
        </w:tc>
      </w:tr>
    </w:tbl>
    <w:p w14:paraId="6D986315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*</w:t>
      </w:r>
      <w:r>
        <w:rPr>
          <w:sz w:val="22"/>
          <w:szCs w:val="22"/>
        </w:rPr>
        <w:t xml:space="preserve"> beleértve a gége és a glottis duzzanatát is, amely légúti elzáródást okoz és/vagy az arc, ajkak, garat és/vagy nyelv duzzanatát; e betegek közül néhányan korábban angiooedemát tapasztaltak egyéb készítmények, többek között </w:t>
      </w:r>
      <w:smartTag w:uri="urn:schemas-microsoft-com:office:smarttags" w:element="stockticker">
        <w:r>
          <w:rPr>
            <w:sz w:val="22"/>
            <w:szCs w:val="22"/>
          </w:rPr>
          <w:t>ACE</w:t>
        </w:r>
      </w:smartTag>
      <w:r>
        <w:rPr>
          <w:sz w:val="22"/>
          <w:szCs w:val="22"/>
        </w:rPr>
        <w:noBreakHyphen/>
        <w:t>gátlók szedésekor</w:t>
      </w:r>
    </w:p>
    <w:p w14:paraId="0A1E109F" w14:textId="77777777" w:rsidR="00FB714F" w:rsidRDefault="00913E14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  <w:lang w:eastAsia="en-US"/>
        </w:rPr>
        <w:t>**</w:t>
      </w:r>
      <w:r>
        <w:rPr>
          <w:sz w:val="22"/>
          <w:szCs w:val="22"/>
        </w:rPr>
        <w:t xml:space="preserve"> beleértve a Henoch-Schönlein purpurát</w:t>
      </w:r>
    </w:p>
    <w:p w14:paraId="3E705E22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  <w:vertAlign w:val="superscript"/>
        </w:rPr>
        <w:t>║</w:t>
      </w:r>
      <w:r>
        <w:rPr>
          <w:color w:val="000000"/>
          <w:sz w:val="22"/>
          <w:szCs w:val="22"/>
        </w:rPr>
        <w:t xml:space="preserve"> főként intravascularis volumenhiányban, pl.: súlyos szívelégtelenségben szenvedő vagy magas dózisú diuretikummal kezelt betegeknél</w:t>
      </w:r>
      <w:r>
        <w:rPr>
          <w:sz w:val="22"/>
          <w:szCs w:val="22"/>
        </w:rPr>
        <w:t>.</w:t>
      </w:r>
    </w:p>
    <w:p w14:paraId="77D804EE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  <w:vertAlign w:val="superscript"/>
        </w:rPr>
        <w:t>†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az 50 mg lozartán helyett 150 mg lozartánt szedő betegek között gyakori</w:t>
      </w:r>
    </w:p>
    <w:p w14:paraId="354222B6" w14:textId="77777777" w:rsidR="00FB714F" w:rsidRDefault="00913E14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  <w:vertAlign w:val="superscript"/>
        </w:rPr>
        <w:t>‡</w:t>
      </w:r>
      <w:r>
        <w:rPr>
          <w:bCs/>
          <w:iCs/>
          <w:color w:val="000000"/>
          <w:sz w:val="22"/>
          <w:szCs w:val="22"/>
        </w:rPr>
        <w:t>A nephropathiával járó 2</w:t>
      </w:r>
      <w:r>
        <w:rPr>
          <w:bCs/>
          <w:iCs/>
          <w:color w:val="000000"/>
          <w:sz w:val="22"/>
          <w:szCs w:val="22"/>
        </w:rPr>
        <w:noBreakHyphen/>
        <w:t>es típusú diabetesben szenvedő betegekkel végzett klinikai vizsgálatban hyperkalaemia (&gt;</w:t>
      </w:r>
      <w:r w:rsidR="00C330AB">
        <w:rPr>
          <w:bCs/>
          <w:iCs/>
          <w:color w:val="000000"/>
          <w:sz w:val="22"/>
          <w:szCs w:val="22"/>
        </w:rPr>
        <w:t> </w:t>
      </w:r>
      <w:r>
        <w:rPr>
          <w:bCs/>
          <w:iCs/>
          <w:color w:val="000000"/>
          <w:sz w:val="22"/>
          <w:szCs w:val="22"/>
        </w:rPr>
        <w:t>5,5 mmol/l) mutatkozott a lozartán tablettákkal kezelt betegek 9,9%</w:t>
      </w:r>
      <w:r>
        <w:rPr>
          <w:bCs/>
          <w:iCs/>
          <w:color w:val="000000"/>
          <w:sz w:val="22"/>
          <w:szCs w:val="22"/>
        </w:rPr>
        <w:noBreakHyphen/>
        <w:t>ánál és a placebóval kezelt betegek 3,4%</w:t>
      </w:r>
      <w:r>
        <w:rPr>
          <w:bCs/>
          <w:iCs/>
          <w:color w:val="000000"/>
          <w:sz w:val="22"/>
          <w:szCs w:val="22"/>
        </w:rPr>
        <w:noBreakHyphen/>
        <w:t>ánál</w:t>
      </w:r>
    </w:p>
    <w:p w14:paraId="453A6A85" w14:textId="77777777" w:rsidR="00FB714F" w:rsidRDefault="00913E14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  <w:vertAlign w:val="superscript"/>
        </w:rPr>
        <w:t>§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a kezelés abbahagyása után általában helyreállt</w:t>
      </w:r>
    </w:p>
    <w:p w14:paraId="6D15585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14:paraId="66E9F9C2" w14:textId="77777777" w:rsidR="00FB714F" w:rsidRDefault="00913E14">
      <w:pPr>
        <w:pStyle w:val="MGGTextLeft"/>
        <w:rPr>
          <w:sz w:val="22"/>
          <w:szCs w:val="22"/>
        </w:rPr>
      </w:pPr>
      <w:r>
        <w:rPr>
          <w:color w:val="000000"/>
          <w:sz w:val="22"/>
          <w:szCs w:val="22"/>
          <w:lang w:val="hu-HU"/>
        </w:rPr>
        <w:t xml:space="preserve">Az alábbi mellékhatások a lozartánt szedő betegek körében gyakrabban fordultak elő, mint a placebót szedők körében (gyakorisága nem ismert): </w:t>
      </w:r>
      <w:r>
        <w:rPr>
          <w:sz w:val="22"/>
          <w:szCs w:val="22"/>
          <w:lang w:val="hu-HU"/>
        </w:rPr>
        <w:t>hátfájás, húgyúti infekciók, influenzaszerű tünetek.</w:t>
      </w:r>
    </w:p>
    <w:p w14:paraId="391F7BB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7D9049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Vese</w:t>
      </w:r>
      <w:r>
        <w:rPr>
          <w:i/>
          <w:color w:val="000000"/>
          <w:sz w:val="22"/>
          <w:szCs w:val="22"/>
        </w:rPr>
        <w:t>- és húgyúti betegségek és tünetek</w:t>
      </w:r>
      <w:r>
        <w:rPr>
          <w:sz w:val="22"/>
          <w:szCs w:val="22"/>
          <w:lang w:eastAsia="en-US"/>
        </w:rPr>
        <w:t>:</w:t>
      </w:r>
    </w:p>
    <w:p w14:paraId="2B915BF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renin</w:t>
      </w:r>
      <w:r>
        <w:rPr>
          <w:sz w:val="22"/>
          <w:szCs w:val="22"/>
          <w:lang w:eastAsia="en-US"/>
        </w:rPr>
        <w:noBreakHyphen/>
        <w:t>angiotenzin</w:t>
      </w:r>
      <w:r>
        <w:rPr>
          <w:sz w:val="22"/>
          <w:szCs w:val="22"/>
          <w:lang w:eastAsia="en-US"/>
        </w:rPr>
        <w:noBreakHyphen/>
        <w:t>aldoszteron rendszer gátlása következtében kialakult vesefunkciós változásokról – a veseelégtelenséget is beleértve – számoltak be erre veszélyeztetett betegek esetében. Ezek a vesefunkciós változások a kezelés abbahagyásával reverzibilisek lehetnek (lásd 4.4 pont).</w:t>
      </w:r>
    </w:p>
    <w:p w14:paraId="0282B18F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AE27AB6" w14:textId="1CEA741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Gyermekek</w:t>
      </w:r>
    </w:p>
    <w:p w14:paraId="0D8A8811" w14:textId="77777777" w:rsidR="00FB714F" w:rsidRDefault="00913E14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  <w:lang w:eastAsia="en-US"/>
        </w:rPr>
        <w:t>Gyermekek esetén a mellékhatás</w:t>
      </w:r>
      <w:r>
        <w:rPr>
          <w:sz w:val="22"/>
          <w:szCs w:val="22"/>
          <w:lang w:eastAsia="en-US"/>
        </w:rPr>
        <w:noBreakHyphen/>
        <w:t>profil hasonlónak tűnik a felnőtt betegek között megfigyelthez. A gyermekgyógyászati populációban korlátozott adat áll rendelkezésre.</w:t>
      </w:r>
    </w:p>
    <w:p w14:paraId="1692A69B" w14:textId="77777777" w:rsidR="00FB714F" w:rsidRDefault="00FB714F">
      <w:pPr>
        <w:rPr>
          <w:sz w:val="22"/>
          <w:szCs w:val="22"/>
        </w:rPr>
      </w:pPr>
    </w:p>
    <w:p w14:paraId="130E4527" w14:textId="77777777" w:rsidR="00FB714F" w:rsidRDefault="00913E14" w:rsidP="00AA1499">
      <w:pPr>
        <w:keepNext/>
        <w:rPr>
          <w:sz w:val="22"/>
          <w:u w:val="single"/>
        </w:rPr>
      </w:pPr>
      <w:r>
        <w:rPr>
          <w:sz w:val="22"/>
          <w:u w:val="single"/>
        </w:rPr>
        <w:lastRenderedPageBreak/>
        <w:t>Feltételezett mellékhatások bejelentése</w:t>
      </w:r>
    </w:p>
    <w:p w14:paraId="257FAF87" w14:textId="77777777" w:rsidR="00FB714F" w:rsidRDefault="00913E14">
      <w:pPr>
        <w:rPr>
          <w:sz w:val="22"/>
        </w:rPr>
      </w:pPr>
      <w:r>
        <w:rPr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E7D9706" w14:textId="77777777" w:rsidR="00FB714F" w:rsidRDefault="00913E14">
      <w:pPr>
        <w:rPr>
          <w:sz w:val="22"/>
        </w:rPr>
      </w:pPr>
      <w:r>
        <w:rPr>
          <w:sz w:val="22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 w:val="22"/>
            <w:highlight w:val="lightGray"/>
          </w:rPr>
          <w:t>V. függelékben</w:t>
        </w:r>
      </w:hyperlink>
      <w:r>
        <w:rPr>
          <w:sz w:val="22"/>
          <w:highlight w:val="lightGray"/>
        </w:rPr>
        <w:t xml:space="preserve"> </w:t>
      </w:r>
      <w:r>
        <w:rPr>
          <w:sz w:val="22"/>
        </w:rPr>
        <w:t>található elérhetőségek valamelyikén keresztül.</w:t>
      </w:r>
    </w:p>
    <w:p w14:paraId="231797E0" w14:textId="77777777" w:rsidR="00FB714F" w:rsidRDefault="00FB714F">
      <w:pPr>
        <w:rPr>
          <w:sz w:val="22"/>
          <w:szCs w:val="22"/>
        </w:rPr>
      </w:pPr>
    </w:p>
    <w:p w14:paraId="5B2A25EB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4.9</w:t>
      </w:r>
      <w:r>
        <w:rPr>
          <w:b/>
          <w:sz w:val="22"/>
          <w:szCs w:val="22"/>
        </w:rPr>
        <w:tab/>
        <w:t>Túladagolás</w:t>
      </w:r>
    </w:p>
    <w:p w14:paraId="7AFD9563" w14:textId="77777777" w:rsidR="00FB714F" w:rsidRDefault="00FB714F">
      <w:pPr>
        <w:rPr>
          <w:sz w:val="22"/>
          <w:szCs w:val="22"/>
        </w:rPr>
      </w:pPr>
    </w:p>
    <w:p w14:paraId="6D59022E" w14:textId="77777777" w:rsidR="00FB714F" w:rsidRDefault="00913E14">
      <w:pPr>
        <w:rPr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Az intoxikáció tünetei</w:t>
      </w:r>
    </w:p>
    <w:p w14:paraId="0AB58B6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Korlátozott adat áll rendelkezésre az emberben történő túladagolással kapcsolatban. A túladagolás legvalószínűbb következményei a következők lehetnek: hypotonia és tachycardia. Bradycardia előfordulhat a paraszimpatikus (vagus) ingerlés következtében.</w:t>
      </w:r>
    </w:p>
    <w:p w14:paraId="71B2EA6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7D668E5" w14:textId="77777777" w:rsidR="00FB714F" w:rsidRDefault="00913E14">
      <w:pPr>
        <w:autoSpaceDE w:val="0"/>
        <w:autoSpaceDN w:val="0"/>
        <w:adjustRightInd w:val="0"/>
        <w:rPr>
          <w:iCs/>
          <w:sz w:val="22"/>
          <w:szCs w:val="22"/>
          <w:u w:val="single"/>
          <w:lang w:eastAsia="en-US"/>
        </w:rPr>
      </w:pPr>
      <w:r>
        <w:rPr>
          <w:iCs/>
          <w:sz w:val="22"/>
          <w:szCs w:val="22"/>
          <w:u w:val="single"/>
          <w:lang w:eastAsia="en-US"/>
        </w:rPr>
        <w:t>Az intoxikáció kezelése</w:t>
      </w:r>
    </w:p>
    <w:p w14:paraId="77831B7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color w:val="000000"/>
          <w:sz w:val="22"/>
          <w:szCs w:val="22"/>
        </w:rPr>
        <w:t xml:space="preserve">Amennyiben tüneti hypotonia lépne fel, szupportív kezelést kell elkezdeni. </w:t>
      </w:r>
      <w:r>
        <w:rPr>
          <w:sz w:val="22"/>
          <w:szCs w:val="22"/>
          <w:lang w:eastAsia="en-US"/>
        </w:rPr>
        <w:t>A beavatkozás a gyógyszer bevételének idejétől és a tünetek jellegétől, valamint súlyossági fokától függ. A keringési rendszer stabilizálására kell helyezni a fő hangsúlyt. Szájon át történő bevételt követően megfelelő dózisú aktív orvosi szén alkalmazása javallt. Ezt követően a vitális paramétereket szigorúan monitorozni kell. Szükség esetén el kell végezni a vitális paraméterek biztosítását.</w:t>
      </w:r>
    </w:p>
    <w:p w14:paraId="7BC285D0" w14:textId="77777777" w:rsidR="00FB714F" w:rsidRDefault="00913E14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Sem a lozartán, sem annak aktív metabolitja nem távolítható el hemodialízissel.</w:t>
      </w:r>
    </w:p>
    <w:p w14:paraId="7094830E" w14:textId="77777777" w:rsidR="00FB714F" w:rsidRDefault="00FB714F">
      <w:pPr>
        <w:rPr>
          <w:sz w:val="22"/>
          <w:szCs w:val="22"/>
        </w:rPr>
      </w:pPr>
    </w:p>
    <w:p w14:paraId="0C74B217" w14:textId="77777777" w:rsidR="00FB714F" w:rsidRDefault="00FB714F">
      <w:pPr>
        <w:rPr>
          <w:sz w:val="22"/>
          <w:szCs w:val="22"/>
        </w:rPr>
      </w:pPr>
    </w:p>
    <w:p w14:paraId="73E0D586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>
        <w:rPr>
          <w:b/>
          <w:sz w:val="22"/>
          <w:szCs w:val="22"/>
        </w:rPr>
        <w:tab/>
        <w:t>FARMAKOLÓGIAI TULAJDONSÁGOK</w:t>
      </w:r>
    </w:p>
    <w:p w14:paraId="136C663A" w14:textId="77777777" w:rsidR="00FB714F" w:rsidRDefault="00FB714F">
      <w:pPr>
        <w:rPr>
          <w:b/>
          <w:sz w:val="22"/>
          <w:szCs w:val="22"/>
        </w:rPr>
      </w:pPr>
    </w:p>
    <w:p w14:paraId="409A6BF4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5.1</w:t>
      </w:r>
      <w:r>
        <w:rPr>
          <w:b/>
          <w:sz w:val="22"/>
          <w:szCs w:val="22"/>
        </w:rPr>
        <w:tab/>
        <w:t>Farmakodinámiás tulajdonságok</w:t>
      </w:r>
    </w:p>
    <w:p w14:paraId="7F2C41E9" w14:textId="77777777" w:rsidR="00FB714F" w:rsidRDefault="00FB714F">
      <w:pPr>
        <w:rPr>
          <w:sz w:val="22"/>
          <w:szCs w:val="22"/>
        </w:rPr>
      </w:pPr>
    </w:p>
    <w:p w14:paraId="5FE9726A" w14:textId="69746866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Farmakoterápiás csoport: Angiotenzin II antagonisták, ATC kód: C09CA01.</w:t>
      </w:r>
    </w:p>
    <w:p w14:paraId="19D74692" w14:textId="77777777" w:rsidR="00FB714F" w:rsidRDefault="00FB714F">
      <w:pPr>
        <w:rPr>
          <w:i/>
          <w:noProof/>
          <w:color w:val="008000"/>
          <w:sz w:val="22"/>
          <w:szCs w:val="22"/>
        </w:rPr>
      </w:pPr>
    </w:p>
    <w:p w14:paraId="72BAFE64" w14:textId="2F708725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lozartán egy szintetikus </w:t>
      </w: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>alkalmazható angiotenzin II</w:t>
      </w:r>
      <w:r>
        <w:rPr>
          <w:sz w:val="22"/>
          <w:szCs w:val="22"/>
          <w:lang w:eastAsia="en-US"/>
        </w:rPr>
        <w:noBreakHyphen/>
        <w:t>receptor (AT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>típusú) antagonista. Az angiotenzin II egy potens vazokonstriktor, az elsődleges aktív hormon a renin</w:t>
      </w:r>
      <w:r>
        <w:rPr>
          <w:sz w:val="22"/>
          <w:szCs w:val="22"/>
          <w:lang w:eastAsia="en-US"/>
        </w:rPr>
        <w:noBreakHyphen/>
        <w:t>angiotenzin rendszerben és fontos meghatározója a hypertonia patofiziológiájának. Az angiotenzin II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>receptorhoz kötődik, ami számos szövetben megtalálható (pl. az ér simaizomzatában, a mellékvesében, a vesékben és a szívben), és számos fontos biológiai hatást vált ki, így érszűkületet és aldoszteron</w:t>
      </w:r>
      <w:r>
        <w:rPr>
          <w:sz w:val="22"/>
          <w:szCs w:val="22"/>
          <w:lang w:eastAsia="en-US"/>
        </w:rPr>
        <w:noBreakHyphen/>
        <w:t>kiáramlást. Az angiotenzin II a simaizmok sejtszaporodását is stimulálja.</w:t>
      </w:r>
    </w:p>
    <w:p w14:paraId="0ABE3ABE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EE03A9A" w14:textId="0AFD5D0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szelektíven gátolja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 xml:space="preserve">receptort. </w:t>
      </w:r>
      <w:r>
        <w:rPr>
          <w:i/>
          <w:iCs/>
          <w:sz w:val="22"/>
          <w:szCs w:val="22"/>
          <w:lang w:eastAsia="en-US"/>
        </w:rPr>
        <w:t xml:space="preserve">In vitro </w:t>
      </w:r>
      <w:r>
        <w:rPr>
          <w:sz w:val="22"/>
          <w:szCs w:val="22"/>
          <w:lang w:eastAsia="en-US"/>
        </w:rPr>
        <w:t xml:space="preserve">és </w:t>
      </w:r>
      <w:r>
        <w:rPr>
          <w:i/>
          <w:iCs/>
          <w:sz w:val="22"/>
          <w:szCs w:val="22"/>
          <w:lang w:eastAsia="en-US"/>
        </w:rPr>
        <w:t xml:space="preserve">in vivo </w:t>
      </w:r>
      <w:r>
        <w:rPr>
          <w:sz w:val="22"/>
          <w:szCs w:val="22"/>
          <w:lang w:eastAsia="en-US"/>
        </w:rPr>
        <w:t>mind a lozartán, mind farmakológiailag aktív karboxilsav metabolitja (E</w:t>
      </w:r>
      <w:r>
        <w:rPr>
          <w:sz w:val="22"/>
          <w:szCs w:val="22"/>
          <w:lang w:eastAsia="en-US"/>
        </w:rPr>
        <w:noBreakHyphen/>
        <w:t>3174) gátolja az angiotenzin II összes élettanilag releváns működését, tekintet nélkül a szintézis forrására vagy útjára.</w:t>
      </w:r>
    </w:p>
    <w:p w14:paraId="3B350CE6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D3C9D0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nem agonistája vagy gátlója más olyan hormonreceptoroknak, illetve ioncsatornáknak, amelyek a cardiovascularis szabályozás szempontjából fontosak. Ezen kívül, a lozartán nem gátolja az ACE</w:t>
      </w:r>
      <w:r>
        <w:rPr>
          <w:sz w:val="22"/>
          <w:szCs w:val="22"/>
          <w:lang w:eastAsia="en-US"/>
        </w:rPr>
        <w:noBreakHyphen/>
        <w:t>t (kinináz</w:t>
      </w:r>
      <w:r>
        <w:rPr>
          <w:sz w:val="22"/>
          <w:szCs w:val="22"/>
          <w:lang w:eastAsia="en-US"/>
        </w:rPr>
        <w:noBreakHyphen/>
        <w:t>II), a bradikinint lebontó enzimet. Ennek következtében a bradikinin által mediált nemkívánatos hatások potencírozása nem következik be.</w:t>
      </w:r>
    </w:p>
    <w:p w14:paraId="1962298F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5E11602" w14:textId="4F609795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adagolása során az angiotenzin II reninszekrécióra gyakorolt negatív visszacsatolásának kikapcsolása megnövekedett plazmarenin</w:t>
      </w:r>
      <w:r>
        <w:rPr>
          <w:sz w:val="22"/>
          <w:szCs w:val="22"/>
          <w:lang w:eastAsia="en-US"/>
        </w:rPr>
        <w:noBreakHyphen/>
        <w:t>aktivitáshoz (PRA) vezet. A PRA növekedése a plazma angiotenzin II emelkedését váltja ki. Az említett emelkedések ellenére a vérnyomáscsökkentő hatás és a plazma aldoszteron</w:t>
      </w:r>
      <w:r>
        <w:rPr>
          <w:sz w:val="22"/>
          <w:szCs w:val="22"/>
          <w:lang w:eastAsia="en-US"/>
        </w:rPr>
        <w:noBreakHyphen/>
        <w:t>koncentrációjának szuppressziója megmarad, jelezve ezzel a hatásos angiotenzin II</w:t>
      </w:r>
      <w:r>
        <w:rPr>
          <w:sz w:val="22"/>
          <w:szCs w:val="22"/>
          <w:lang w:eastAsia="en-US"/>
        </w:rPr>
        <w:noBreakHyphen/>
        <w:t>receptor-blokádot. A lozartán</w:t>
      </w:r>
      <w:r>
        <w:rPr>
          <w:sz w:val="22"/>
          <w:szCs w:val="22"/>
          <w:lang w:eastAsia="en-US"/>
        </w:rPr>
        <w:noBreakHyphen/>
        <w:t>terápia befejezése után a PRA és az angiotenzin II értékek 3 napon belül az alapértékre estek vissza.</w:t>
      </w:r>
    </w:p>
    <w:p w14:paraId="07163A6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ACA1AB6" w14:textId="77777777" w:rsidR="00FB714F" w:rsidRDefault="00913E14">
      <w:pPr>
        <w:rPr>
          <w:sz w:val="22"/>
          <w:szCs w:val="22"/>
          <w:u w:val="single"/>
        </w:rPr>
      </w:pPr>
      <w:r>
        <w:rPr>
          <w:sz w:val="22"/>
          <w:szCs w:val="22"/>
          <w:lang w:eastAsia="en-US"/>
        </w:rPr>
        <w:t>Mind a lozartánnak, mind pedig fő aktív metabolitjának sokkal nagyobb affinitása van az AT</w:t>
      </w:r>
      <w:r>
        <w:rPr>
          <w:sz w:val="22"/>
          <w:szCs w:val="22"/>
          <w:vertAlign w:val="subscript"/>
          <w:lang w:eastAsia="en-US"/>
        </w:rPr>
        <w:t>1</w:t>
      </w:r>
      <w:r>
        <w:rPr>
          <w:sz w:val="22"/>
          <w:szCs w:val="22"/>
          <w:lang w:eastAsia="en-US"/>
        </w:rPr>
        <w:noBreakHyphen/>
        <w:t>receptorhoz, mint az AT</w:t>
      </w:r>
      <w:r>
        <w:rPr>
          <w:sz w:val="22"/>
          <w:szCs w:val="22"/>
          <w:vertAlign w:val="subscript"/>
          <w:lang w:eastAsia="en-US"/>
        </w:rPr>
        <w:t>2</w:t>
      </w:r>
      <w:r>
        <w:rPr>
          <w:sz w:val="22"/>
          <w:szCs w:val="22"/>
          <w:lang w:eastAsia="en-US"/>
        </w:rPr>
        <w:noBreakHyphen/>
        <w:t>receptorhoz. Az aktív metabolit tömegszázalék alapon 10</w:t>
      </w:r>
      <w:r>
        <w:rPr>
          <w:sz w:val="22"/>
          <w:szCs w:val="22"/>
          <w:lang w:eastAsia="en-US"/>
        </w:rPr>
        <w:noBreakHyphen/>
        <w:t>40</w:t>
      </w:r>
      <w:r>
        <w:rPr>
          <w:sz w:val="22"/>
          <w:szCs w:val="22"/>
          <w:lang w:eastAsia="en-US"/>
        </w:rPr>
        <w:noBreakHyphen/>
        <w:t>szer aktívabb a lozartánnál.</w:t>
      </w:r>
    </w:p>
    <w:p w14:paraId="366FADE8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14:paraId="756F656F" w14:textId="77777777" w:rsidR="00FB714F" w:rsidRDefault="00913E14" w:rsidP="00AA1499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lastRenderedPageBreak/>
        <w:t>Hypertonia vizsgálatok</w:t>
      </w:r>
    </w:p>
    <w:p w14:paraId="4D935074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</w:p>
    <w:p w14:paraId="2782592B" w14:textId="385E55DD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Kontrollos klinikai vizsgálatokban a napi egyszeri lozartán</w:t>
      </w:r>
      <w:r>
        <w:rPr>
          <w:sz w:val="22"/>
          <w:szCs w:val="22"/>
          <w:lang w:eastAsia="en-US"/>
        </w:rPr>
        <w:noBreakHyphen/>
        <w:t>adagolás az enyhe, vagy mérsékelt fokú esszenciális hypertoniás betegeknél statisztikailag szignifikánsan csökkentette a s</w:t>
      </w:r>
      <w:r w:rsidR="00C330AB">
        <w:rPr>
          <w:sz w:val="22"/>
          <w:szCs w:val="22"/>
          <w:lang w:eastAsia="en-US"/>
        </w:rPr>
        <w:t>zi</w:t>
      </w:r>
      <w:r>
        <w:rPr>
          <w:sz w:val="22"/>
          <w:szCs w:val="22"/>
          <w:lang w:eastAsia="en-US"/>
        </w:rPr>
        <w:t>s</w:t>
      </w:r>
      <w:r w:rsidR="00C330AB">
        <w:rPr>
          <w:sz w:val="22"/>
          <w:szCs w:val="22"/>
          <w:lang w:eastAsia="en-US"/>
        </w:rPr>
        <w:t>z</w:t>
      </w:r>
      <w:r>
        <w:rPr>
          <w:sz w:val="22"/>
          <w:szCs w:val="22"/>
          <w:lang w:eastAsia="en-US"/>
        </w:rPr>
        <w:t>tol</w:t>
      </w:r>
      <w:r w:rsidR="00C330AB">
        <w:rPr>
          <w:sz w:val="22"/>
          <w:szCs w:val="22"/>
          <w:lang w:eastAsia="en-US"/>
        </w:rPr>
        <w:t>é</w:t>
      </w:r>
      <w:r>
        <w:rPr>
          <w:sz w:val="22"/>
          <w:szCs w:val="22"/>
          <w:lang w:eastAsia="en-US"/>
        </w:rPr>
        <w:t>s és d</w:t>
      </w:r>
      <w:r w:rsidR="00C330AB">
        <w:rPr>
          <w:sz w:val="22"/>
          <w:szCs w:val="22"/>
          <w:lang w:eastAsia="en-US"/>
        </w:rPr>
        <w:t>i</w:t>
      </w:r>
      <w:r>
        <w:rPr>
          <w:sz w:val="22"/>
          <w:szCs w:val="22"/>
          <w:lang w:eastAsia="en-US"/>
        </w:rPr>
        <w:t>as</w:t>
      </w:r>
      <w:r w:rsidR="00C330AB">
        <w:rPr>
          <w:sz w:val="22"/>
          <w:szCs w:val="22"/>
          <w:lang w:eastAsia="en-US"/>
        </w:rPr>
        <w:t>z</w:t>
      </w:r>
      <w:r>
        <w:rPr>
          <w:sz w:val="22"/>
          <w:szCs w:val="22"/>
          <w:lang w:eastAsia="en-US"/>
        </w:rPr>
        <w:t>tol</w:t>
      </w:r>
      <w:r w:rsidR="00C330AB">
        <w:rPr>
          <w:sz w:val="22"/>
          <w:szCs w:val="22"/>
          <w:lang w:eastAsia="en-US"/>
        </w:rPr>
        <w:t>é</w:t>
      </w:r>
      <w:r>
        <w:rPr>
          <w:sz w:val="22"/>
          <w:szCs w:val="22"/>
          <w:lang w:eastAsia="en-US"/>
        </w:rPr>
        <w:t>s vérnyomást. 24 órával az adagolást követően elvégzett vérnyomásmérés az 5</w:t>
      </w:r>
      <w:r>
        <w:rPr>
          <w:sz w:val="22"/>
          <w:szCs w:val="22"/>
          <w:lang w:eastAsia="en-US"/>
        </w:rPr>
        <w:noBreakHyphen/>
        <w:t>6 órával az adagolást követően elvégzett vérnyomásméréssel összevetve 24 órán át fennálló vérnyomáscsökkenést mutatott ki; a természetes diurnális ritmus megmaradt. Az adagolási intervallum végén mért vérnyomáscsökkenés az adagolást követő 5</w:t>
      </w:r>
      <w:r>
        <w:rPr>
          <w:sz w:val="22"/>
          <w:szCs w:val="22"/>
          <w:lang w:eastAsia="en-US"/>
        </w:rPr>
        <w:noBreakHyphen/>
        <w:t>6. órában mért hatás 70</w:t>
      </w:r>
      <w:r>
        <w:rPr>
          <w:sz w:val="22"/>
          <w:szCs w:val="22"/>
          <w:lang w:eastAsia="en-US"/>
        </w:rPr>
        <w:noBreakHyphen/>
        <w:t>80%</w:t>
      </w:r>
      <w:r>
        <w:rPr>
          <w:sz w:val="22"/>
          <w:szCs w:val="22"/>
          <w:lang w:eastAsia="en-US"/>
        </w:rPr>
        <w:noBreakHyphen/>
        <w:t>a volt.</w:t>
      </w:r>
    </w:p>
    <w:p w14:paraId="4EA39718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4E850B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adásának felfüggesztése hypertoniás betegeknél nem eredményezte a vérnyomás hirtelen megemelkedését (rebound). A vérnyomás jelentős csökkenése ellenére a lozartán nem gyakorolt klinikailag szignifikáns hatást a szívfrekvenciára.</w:t>
      </w:r>
    </w:p>
    <w:p w14:paraId="0F6CF33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1BA648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egyformán hatásos férfi és nő, valamint (65 évesnél) fiatalabb és idősebb hypertoniás betegek esetében.</w:t>
      </w:r>
    </w:p>
    <w:p w14:paraId="46B09FE9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0F37EF2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LIFE vizsgálat</w:t>
      </w:r>
    </w:p>
    <w:p w14:paraId="1859C077" w14:textId="1610E318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LIFE (</w:t>
      </w:r>
      <w:r w:rsidRPr="00AA1499">
        <w:rPr>
          <w:i/>
          <w:sz w:val="22"/>
          <w:szCs w:val="22"/>
          <w:lang w:eastAsia="en-US"/>
        </w:rPr>
        <w:t>Losartan Intervention For Endpoint Reduction in Hypertension</w:t>
      </w:r>
      <w:r>
        <w:rPr>
          <w:sz w:val="22"/>
          <w:szCs w:val="22"/>
          <w:lang w:eastAsia="en-US"/>
        </w:rPr>
        <w:t>; Lozartánnal elért végponti hypertonia</w:t>
      </w:r>
      <w:r>
        <w:rPr>
          <w:sz w:val="22"/>
          <w:szCs w:val="22"/>
          <w:lang w:eastAsia="en-US"/>
        </w:rPr>
        <w:noBreakHyphen/>
        <w:t>csökkentés) vizsgálat egy randomizált, hármas vak, aktív kontrollos vizsgálat volt, melyet 9193, 55 és 80 év közötti, EKG</w:t>
      </w:r>
      <w:r>
        <w:rPr>
          <w:sz w:val="22"/>
          <w:szCs w:val="22"/>
          <w:lang w:eastAsia="en-US"/>
        </w:rPr>
        <w:noBreakHyphen/>
        <w:t>val igazolt balkamra hypertrophiás, hypertoniában szenvedő beteg bevonásával végeztek el. A betegek a randomizációt követően naponta egyszer 50 mg lozartánt vagy naponta egyszer 50 mg atenololt kaptak. Amennyiben a vérnyomás célértékét (&lt;</w:t>
      </w:r>
      <w:r w:rsidR="00C330AB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140/90 Hgmm) nem sikerült elérni, elsődlegesen hidroklorotiazidot (12,5 mg) adtak a kezeléshez, majd szükség esetén a lozartán, ill. az atenolol adagját naponta egyszer 100 mg-ra emelték. Szükség esetén a vérnyomás célértékének elérése érdekében ACE</w:t>
      </w:r>
      <w:r>
        <w:rPr>
          <w:sz w:val="22"/>
          <w:szCs w:val="22"/>
          <w:lang w:eastAsia="en-US"/>
        </w:rPr>
        <w:noBreakHyphen/>
        <w:t>gátlók, angiotenzin II</w:t>
      </w:r>
      <w:r>
        <w:rPr>
          <w:sz w:val="22"/>
          <w:szCs w:val="22"/>
          <w:lang w:eastAsia="en-US"/>
        </w:rPr>
        <w:noBreakHyphen/>
        <w:t>antagonisták és béta</w:t>
      </w:r>
      <w:r>
        <w:rPr>
          <w:sz w:val="22"/>
          <w:szCs w:val="22"/>
          <w:lang w:eastAsia="en-US"/>
        </w:rPr>
        <w:noBreakHyphen/>
        <w:t>blokkolók kivételével egyéb vérnyomáscsökkentő gyógyszereket is alkalmaztak.</w:t>
      </w:r>
    </w:p>
    <w:p w14:paraId="463951B3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2000156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követés átlagos időtartama 4,8 év volt.</w:t>
      </w:r>
    </w:p>
    <w:p w14:paraId="3E4222FA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A44B5C1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vizsgálat elsődleges végpontja az összetett cardiovascularis morbiditás és mortalitás volt, melyet a cardiovascularis halálesetek, stroke és myocardialis infarctus összesített előfordulási gyakoriságának csökkenése alapján mérték. A vérnyomás szignifikánsan lecsökkent, a két csoportban hasonló szintre. Az elsődleges összetett végpontot elérő betegeknél a lozartán</w:t>
      </w:r>
      <w:r>
        <w:rPr>
          <w:sz w:val="22"/>
          <w:szCs w:val="22"/>
          <w:lang w:eastAsia="en-US"/>
        </w:rPr>
        <w:noBreakHyphen/>
        <w:t>kezelés az atenololhoz képest 13,0%</w:t>
      </w:r>
      <w:r>
        <w:rPr>
          <w:sz w:val="22"/>
          <w:szCs w:val="22"/>
          <w:lang w:eastAsia="en-US"/>
        </w:rPr>
        <w:noBreakHyphen/>
        <w:t>os (p</w:t>
      </w:r>
      <w:r w:rsidR="00C330AB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C330AB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0,021, 95%</w:t>
      </w:r>
      <w:r w:rsidR="00C330AB">
        <w:rPr>
          <w:sz w:val="22"/>
          <w:szCs w:val="22"/>
          <w:lang w:eastAsia="en-US"/>
        </w:rPr>
        <w:t>-os</w:t>
      </w:r>
      <w:r>
        <w:rPr>
          <w:sz w:val="22"/>
          <w:szCs w:val="22"/>
          <w:lang w:eastAsia="en-US"/>
        </w:rPr>
        <w:t> KI: 0,77</w:t>
      </w:r>
      <w:r>
        <w:rPr>
          <w:sz w:val="22"/>
          <w:szCs w:val="22"/>
          <w:lang w:eastAsia="en-US"/>
        </w:rPr>
        <w:noBreakHyphen/>
        <w:t>0,98) kockázatcsökkenést jelentett. Ez főként a stroke előfordulási arányában bekövetkezett csökkenésnek tulajdonítható. A lozartán a stroke kialakulásának kockázatát az atenololhoz képest 25%</w:t>
      </w:r>
      <w:r>
        <w:rPr>
          <w:sz w:val="22"/>
          <w:szCs w:val="22"/>
          <w:lang w:eastAsia="en-US"/>
        </w:rPr>
        <w:noBreakHyphen/>
        <w:t>kal csökkentette (p</w:t>
      </w:r>
      <w:r w:rsidR="00C330AB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=</w:t>
      </w:r>
      <w:r w:rsidR="00C330AB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0,001, 95%</w:t>
      </w:r>
      <w:r w:rsidR="00C330AB">
        <w:rPr>
          <w:sz w:val="22"/>
          <w:szCs w:val="22"/>
          <w:lang w:eastAsia="en-US"/>
        </w:rPr>
        <w:t>-os</w:t>
      </w:r>
      <w:r>
        <w:rPr>
          <w:sz w:val="22"/>
          <w:szCs w:val="22"/>
          <w:lang w:eastAsia="en-US"/>
        </w:rPr>
        <w:t> KI: 0,63</w:t>
      </w:r>
      <w:r>
        <w:rPr>
          <w:sz w:val="22"/>
          <w:szCs w:val="22"/>
          <w:lang w:eastAsia="en-US"/>
        </w:rPr>
        <w:noBreakHyphen/>
        <w:t>0,89). A cardiovascularis halálesetek és a myocardialis infarctus kialakulásának aránya nem különbözött szignifikáns mértékben a kezelési csoportokban.</w:t>
      </w:r>
    </w:p>
    <w:p w14:paraId="08FD53EE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9898861" w14:textId="77777777" w:rsidR="00FB714F" w:rsidRDefault="00913E14">
      <w:pPr>
        <w:autoSpaceDE w:val="0"/>
        <w:autoSpaceDN w:val="0"/>
        <w:adjustRightInd w:val="0"/>
        <w:rPr>
          <w:i/>
          <w:iCs/>
          <w:sz w:val="22"/>
          <w:szCs w:val="22"/>
          <w:u w:val="single"/>
          <w:lang w:eastAsia="en-US"/>
        </w:rPr>
      </w:pPr>
      <w:r>
        <w:rPr>
          <w:i/>
          <w:iCs/>
          <w:sz w:val="22"/>
          <w:szCs w:val="22"/>
          <w:u w:val="single"/>
          <w:lang w:eastAsia="en-US"/>
        </w:rPr>
        <w:t>Rassz</w:t>
      </w:r>
    </w:p>
    <w:p w14:paraId="2C41F6E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LIFE vizsgálatban a lozartánnal kezelt feketebőrű betegeknél az elsődleges összetett végpont, azaz egy cardiovascularis esemény (pl. cardialis infarctus, cardiovascularis halál) és főként a stroke elérésének kockázata nagyobb volt, mint az atenolollal kezelt feketebőrű betegeknél. Ennek értelmében a LIFE vizsgálat során a lozartán alkalmazása mellett megfigyelt, és az atenolollal összehasonlítva vizsgált cardiovascularis morbiditásra/mortalitásra vonatkozó eredmények nem vonatkoztathatóak a balkamra hypertrophiás, hypertoniában szenvedő feketebőrű betegekre.</w:t>
      </w:r>
    </w:p>
    <w:p w14:paraId="79AA2447" w14:textId="77777777" w:rsidR="00FB714F" w:rsidRDefault="00FB714F">
      <w:pPr>
        <w:autoSpaceDE w:val="0"/>
        <w:autoSpaceDN w:val="0"/>
        <w:adjustRightInd w:val="0"/>
        <w:rPr>
          <w:i/>
          <w:sz w:val="22"/>
          <w:szCs w:val="22"/>
        </w:rPr>
      </w:pPr>
    </w:p>
    <w:p w14:paraId="0F3EBD9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RENAAL vizsgálat</w:t>
      </w:r>
    </w:p>
    <w:p w14:paraId="74FD19C2" w14:textId="02D0AA76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RENAAL (</w:t>
      </w:r>
      <w:r w:rsidRPr="00AA1499">
        <w:rPr>
          <w:i/>
          <w:sz w:val="22"/>
          <w:szCs w:val="22"/>
          <w:lang w:eastAsia="en-US"/>
        </w:rPr>
        <w:t>Reduction of Endpoints in NIDDM with the Angiotensin II-receptor Antagonist Losartan</w:t>
      </w:r>
      <w:r>
        <w:rPr>
          <w:sz w:val="22"/>
          <w:szCs w:val="22"/>
          <w:lang w:eastAsia="en-US"/>
        </w:rPr>
        <w:t>; Az angiotenzin II</w:t>
      </w:r>
      <w:r>
        <w:rPr>
          <w:sz w:val="22"/>
          <w:szCs w:val="22"/>
          <w:lang w:eastAsia="en-US"/>
        </w:rPr>
        <w:noBreakHyphen/>
        <w:t>receptor</w:t>
      </w:r>
      <w:r>
        <w:rPr>
          <w:sz w:val="22"/>
          <w:szCs w:val="22"/>
          <w:lang w:eastAsia="en-US"/>
        </w:rPr>
        <w:noBreakHyphen/>
        <w:t>antagonista lozartán végpontcsökkentése nem inzulin</w:t>
      </w:r>
      <w:r>
        <w:rPr>
          <w:sz w:val="22"/>
          <w:szCs w:val="22"/>
          <w:lang w:eastAsia="en-US"/>
        </w:rPr>
        <w:noBreakHyphen/>
        <w:t>dependens diabetes mellitusban) vizsgálat egy kontrollált klinikai vizsgálat volt, amit 1513 proteinuriás, 2</w:t>
      </w:r>
      <w:r>
        <w:rPr>
          <w:sz w:val="22"/>
          <w:szCs w:val="22"/>
          <w:lang w:eastAsia="en-US"/>
        </w:rPr>
        <w:noBreakHyphen/>
        <w:t>es típusú diabeteses (hypertoniás vagy nem hypertoniás) beteg bevonásával végeztek (közülük 751 beteget kezeltek lozartánnal). A vizsgálat célja a vérnyomás csökkentésének előnyein túl és ezek mellett a lozartán</w:t>
      </w:r>
      <w:r>
        <w:rPr>
          <w:sz w:val="22"/>
          <w:szCs w:val="22"/>
          <w:lang w:eastAsia="en-US"/>
        </w:rPr>
        <w:noBreakHyphen/>
        <w:t>kálium renoprotektív hatásának bizonyítása volt.</w:t>
      </w:r>
    </w:p>
    <w:p w14:paraId="2CD20CA2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13B5EB9" w14:textId="1A282432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proteinuriás és 1,3</w:t>
      </w:r>
      <w:r>
        <w:rPr>
          <w:sz w:val="22"/>
          <w:szCs w:val="22"/>
          <w:lang w:eastAsia="en-US"/>
        </w:rPr>
        <w:noBreakHyphen/>
        <w:t>3,0 mg/dl szérum kreatinin szinttel rendelkező betegek a randomizációt követően a hagyományos vérnyomáscsökkentő terápia (ACE</w:t>
      </w:r>
      <w:r>
        <w:rPr>
          <w:sz w:val="22"/>
          <w:szCs w:val="22"/>
          <w:lang w:eastAsia="en-US"/>
        </w:rPr>
        <w:noBreakHyphen/>
        <w:t>gátlók, illetve angiotenzin II</w:t>
      </w:r>
      <w:r>
        <w:rPr>
          <w:sz w:val="22"/>
          <w:szCs w:val="22"/>
          <w:lang w:eastAsia="en-US"/>
        </w:rPr>
        <w:noBreakHyphen/>
        <w:t xml:space="preserve">antagonisták </w:t>
      </w:r>
      <w:r>
        <w:rPr>
          <w:sz w:val="22"/>
          <w:szCs w:val="22"/>
          <w:lang w:eastAsia="en-US"/>
        </w:rPr>
        <w:lastRenderedPageBreak/>
        <w:t>kivételével) mellett vagy naponta egyszer 50 mg lozartánt (szükség esetén a kiváltott vérnyomásválasznak megfelelően titrálva), vagy placebót kaptak.</w:t>
      </w:r>
    </w:p>
    <w:p w14:paraId="2DAD97B4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7A1AC94" w14:textId="110155E8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vizsgálóknak előírták, hogy amennyiben az megfelelő, titrálják a vizsgálati gyógyszert napi egyszer 100 mg</w:t>
      </w:r>
      <w:r>
        <w:rPr>
          <w:sz w:val="22"/>
          <w:szCs w:val="22"/>
          <w:lang w:eastAsia="en-US"/>
        </w:rPr>
        <w:noBreakHyphen/>
        <w:t>os adagig; a betegek 72%</w:t>
      </w:r>
      <w:r>
        <w:rPr>
          <w:sz w:val="22"/>
          <w:szCs w:val="22"/>
          <w:lang w:eastAsia="en-US"/>
        </w:rPr>
        <w:noBreakHyphen/>
        <w:t>a az idő túlnyomó részében a 100 mg</w:t>
      </w:r>
      <w:r>
        <w:rPr>
          <w:sz w:val="22"/>
          <w:szCs w:val="22"/>
          <w:lang w:eastAsia="en-US"/>
        </w:rPr>
        <w:noBreakHyphen/>
        <w:t>os napi adagot kapta. Egyéb vérnyomáscsökkentő készítmények (diuretikumok, kalciumcsatorna</w:t>
      </w:r>
      <w:r>
        <w:rPr>
          <w:sz w:val="22"/>
          <w:szCs w:val="22"/>
          <w:lang w:eastAsia="en-US"/>
        </w:rPr>
        <w:noBreakHyphen/>
        <w:t>blokkolók, alfa- vagy béta</w:t>
      </w:r>
      <w:r>
        <w:rPr>
          <w:sz w:val="22"/>
          <w:szCs w:val="22"/>
          <w:lang w:eastAsia="en-US"/>
        </w:rPr>
        <w:noBreakHyphen/>
        <w:t>receptor-blokkolók, és centrálisan ható vérnyomáscsökkentő szerek) szükség esetén kiegészítő kezelésként mindkét csoportban adhatók voltak. A betegek követése maximum 4,6 évig (átlagosan 3,4 évig) tartott.</w:t>
      </w:r>
    </w:p>
    <w:p w14:paraId="1066A1F4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C5FCE9A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vizsgálat elsődleges végpontja összetett végpont volt: a szérum kreatinin</w:t>
      </w:r>
      <w:r>
        <w:rPr>
          <w:sz w:val="22"/>
          <w:szCs w:val="22"/>
          <w:lang w:eastAsia="en-US"/>
        </w:rPr>
        <w:noBreakHyphen/>
        <w:t>szint megduplázódása, végstádiumú veseelégtelenség (dialízis vagy transzplantáció szükségessége), vagy halál.</w:t>
      </w:r>
    </w:p>
    <w:p w14:paraId="1285D64B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37AC7C0" w14:textId="46BC8936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eredmények azt mutatták, hogy a lozartán</w:t>
      </w:r>
      <w:r>
        <w:rPr>
          <w:sz w:val="22"/>
          <w:szCs w:val="22"/>
          <w:lang w:eastAsia="en-US"/>
        </w:rPr>
        <w:noBreakHyphen/>
        <w:t>kezelés (327 eset) a placebóhoz (359 eset) képest 16,1%</w:t>
      </w:r>
      <w:r>
        <w:rPr>
          <w:sz w:val="22"/>
          <w:szCs w:val="22"/>
          <w:lang w:eastAsia="en-US"/>
        </w:rPr>
        <w:noBreakHyphen/>
        <w:t>os (p = 0,022) kockázatcsökkenést eredményezett az összetett elsődleges végpontot elérő betegek között. A végpont következő elemeinek egyenként, illetve kombináltan történő értékelése is jelentős kockázatcsökkenést mutatott a lozartánnal kezelt betegcsoportban: a szérum kretatininszint megduplázódásának 25,3%</w:t>
      </w:r>
      <w:r>
        <w:rPr>
          <w:sz w:val="22"/>
          <w:szCs w:val="22"/>
          <w:lang w:eastAsia="en-US"/>
        </w:rPr>
        <w:noBreakHyphen/>
        <w:t>os (p = 0,006) kockázatcsökkenése; a végstádiumú veseelégtelenség 28,6%</w:t>
      </w:r>
      <w:r>
        <w:rPr>
          <w:sz w:val="22"/>
          <w:szCs w:val="22"/>
          <w:lang w:eastAsia="en-US"/>
        </w:rPr>
        <w:noBreakHyphen/>
        <w:t>os (p = 0,002) kockázatcsökkenése; a végstádiumú veseelégtelenség vagy halál bekövetkeztének 19,9%</w:t>
      </w:r>
      <w:r>
        <w:rPr>
          <w:sz w:val="22"/>
          <w:szCs w:val="22"/>
          <w:lang w:eastAsia="en-US"/>
        </w:rPr>
        <w:noBreakHyphen/>
        <w:t>os (p = 0,009) kockázatcsökkenése; a szérum kreatininszint és a végstádiumú veseelégtelenség 21,0%</w:t>
      </w:r>
      <w:r>
        <w:rPr>
          <w:sz w:val="22"/>
          <w:szCs w:val="22"/>
          <w:lang w:eastAsia="en-US"/>
        </w:rPr>
        <w:noBreakHyphen/>
        <w:t>os (p = 0,01) kockázatcsökkenése.</w:t>
      </w:r>
    </w:p>
    <w:p w14:paraId="084DD5B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2D0B789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bármilyen okból bekövetkező halálesetek arányában nem volt szignifikáns különbség a két betegcsoport között. Ebben a vizsgálatban a lozartánt a betegek általánosságban jól tolerálták, amit az is mutat, hogy a terápiát a mellékhatások miatt abbahagyó betegek aránya hasonló volt a placebót kapó csoportban megfigyelthez.</w:t>
      </w:r>
    </w:p>
    <w:p w14:paraId="2C1ED0F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5425FFA" w14:textId="77777777" w:rsidR="00FB714F" w:rsidRDefault="00913E14">
      <w:pPr>
        <w:keepLines/>
        <w:widowControl w:val="0"/>
        <w:tabs>
          <w:tab w:val="left" w:pos="567"/>
        </w:tabs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HEAAL vizsgálat</w:t>
      </w:r>
    </w:p>
    <w:p w14:paraId="4E68DD06" w14:textId="49E8B050" w:rsidR="00FB714F" w:rsidRDefault="00913E14">
      <w:pPr>
        <w:keepLines/>
        <w:widowControl w:val="0"/>
        <w:tabs>
          <w:tab w:val="left" w:pos="567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(</w:t>
      </w:r>
      <w:r w:rsidRPr="00AA1499">
        <w:rPr>
          <w:i/>
          <w:color w:val="000000"/>
          <w:sz w:val="22"/>
          <w:szCs w:val="22"/>
        </w:rPr>
        <w:t>Heart Failure Endpoint Evaluation of Angiotensin II Antagonist Losartan</w:t>
      </w:r>
      <w:r>
        <w:rPr>
          <w:color w:val="000000"/>
          <w:sz w:val="22"/>
          <w:szCs w:val="22"/>
        </w:rPr>
        <w:t>, a lozartán angiotenzin II</w:t>
      </w:r>
      <w:r>
        <w:rPr>
          <w:color w:val="000000"/>
          <w:sz w:val="22"/>
          <w:szCs w:val="22"/>
        </w:rPr>
        <w:noBreakHyphen/>
        <w:t>antagonista alkalmazása során a szívelégtelenséggel kapcsolatos végpontokat értékelő) HEAAL vizsgálat egy kontrollos klinikai vizsgálat volt, melyet világszerte 3834, 18</w:t>
      </w:r>
      <w:r>
        <w:rPr>
          <w:color w:val="000000"/>
          <w:sz w:val="22"/>
          <w:szCs w:val="22"/>
        </w:rPr>
        <w:noBreakHyphen/>
        <w:t>98 év közötti, (NYHA II</w:t>
      </w:r>
      <w:r>
        <w:rPr>
          <w:color w:val="000000"/>
          <w:sz w:val="22"/>
          <w:szCs w:val="22"/>
        </w:rPr>
        <w:noBreakHyphen/>
        <w:t>IV. osztályú) szívelégtelenségben szenvedő beteg részvételével folytattak, akik nem tolerálták az ACE</w:t>
      </w:r>
      <w:r>
        <w:rPr>
          <w:color w:val="000000"/>
          <w:sz w:val="22"/>
          <w:szCs w:val="22"/>
        </w:rPr>
        <w:noBreakHyphen/>
        <w:t>gátlóval történő kezelést. A betegeket úgy randomizálták, hogy 50 mg vagy 150 mg lozartánt tartalmazó hagyományos alapkezelést kapjanak, amely mellett nem szedhettek ACE</w:t>
      </w:r>
      <w:r>
        <w:rPr>
          <w:color w:val="000000"/>
          <w:sz w:val="22"/>
          <w:szCs w:val="22"/>
        </w:rPr>
        <w:noBreakHyphen/>
        <w:t>gátlókat.</w:t>
      </w:r>
    </w:p>
    <w:p w14:paraId="27F41BE7" w14:textId="77777777" w:rsidR="00FB714F" w:rsidRDefault="00FB714F">
      <w:pPr>
        <w:keepLines/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5ADF35E6" w14:textId="77777777" w:rsidR="00FB714F" w:rsidRDefault="00913E14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betegeket 4 évig (4,7 év középérték) nyomon</w:t>
      </w:r>
      <w:r w:rsidR="00C330A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követték. A vizsgálat elsődleges végpontja a bármilyen okból létrejövő, szívelégtelenség miatt bekövetkezett elhalálozást vagy kórházi kezelést magában foglaló összetett végpont volt.</w:t>
      </w:r>
    </w:p>
    <w:p w14:paraId="40238F3F" w14:textId="77777777" w:rsidR="00FB714F" w:rsidRDefault="00FB714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2F3B43CC" w14:textId="66418355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color w:val="000000"/>
          <w:sz w:val="22"/>
          <w:szCs w:val="22"/>
        </w:rPr>
        <w:t>Az eredmények azt mutatták, hogy a 150 mg lozartánnal történő kezelés (828 eset) az 50 mg lozartánnal (889 eset) összehasonlítva 10,1%</w:t>
      </w:r>
      <w:r>
        <w:rPr>
          <w:color w:val="000000"/>
          <w:sz w:val="22"/>
          <w:szCs w:val="22"/>
        </w:rPr>
        <w:noBreakHyphen/>
        <w:t>os kockázatcsökkenést (p</w:t>
      </w:r>
      <w:r w:rsidR="00C330AB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=</w:t>
      </w:r>
      <w:r w:rsidR="00C330AB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0,027 95% konfidencia</w:t>
      </w:r>
      <w:r w:rsidR="00C330AB">
        <w:rPr>
          <w:color w:val="000000"/>
          <w:sz w:val="22"/>
          <w:szCs w:val="22"/>
        </w:rPr>
        <w:noBreakHyphen/>
      </w:r>
      <w:r>
        <w:rPr>
          <w:color w:val="000000"/>
          <w:sz w:val="22"/>
          <w:szCs w:val="22"/>
        </w:rPr>
        <w:t>intervallum 0,82</w:t>
      </w:r>
      <w:r w:rsidR="00C330AB">
        <w:rPr>
          <w:color w:val="000000"/>
          <w:sz w:val="22"/>
          <w:szCs w:val="22"/>
        </w:rPr>
        <w:noBreakHyphen/>
      </w:r>
      <w:r>
        <w:rPr>
          <w:color w:val="000000"/>
          <w:sz w:val="22"/>
          <w:szCs w:val="22"/>
        </w:rPr>
        <w:t>0,99) eredményezett az elsődleges összetett végpontot elérő betegek számát illetően. Ez főként a szívelégtelenség miatt bekövetkező kórházi kezelés előfordulási gyakorisága terén mutatkozó csökkenésnek volt tulajdonítható. A 150 mg lozartánnal történő kezelés az 50 mg lozartánnal összehasonlítva 13,5%</w:t>
      </w:r>
      <w:r>
        <w:rPr>
          <w:color w:val="000000"/>
          <w:sz w:val="22"/>
          <w:szCs w:val="22"/>
        </w:rPr>
        <w:noBreakHyphen/>
        <w:t>kal csökkentette a szívelégtelenség miatt bekövetkező kórházi kezelés kockázatát (p</w:t>
      </w:r>
      <w:r w:rsidR="00C330AB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=</w:t>
      </w:r>
      <w:r w:rsidR="00C330AB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0,025 95% konfidencia-intervallum 0,76</w:t>
      </w:r>
      <w:r w:rsidR="00C330AB">
        <w:rPr>
          <w:color w:val="000000"/>
          <w:sz w:val="22"/>
          <w:szCs w:val="22"/>
        </w:rPr>
        <w:noBreakHyphen/>
      </w:r>
      <w:r>
        <w:rPr>
          <w:color w:val="000000"/>
          <w:sz w:val="22"/>
          <w:szCs w:val="22"/>
        </w:rPr>
        <w:t>0,98). A bármilyen oknál fogva bekövetkező elhalálozás aránya a két csoportban nem volt szignifikánsan különböző. A vesekárosodás, hypotonia és hyperkalaemia az 50 mg</w:t>
      </w:r>
      <w:r>
        <w:rPr>
          <w:color w:val="000000"/>
          <w:sz w:val="22"/>
          <w:szCs w:val="22"/>
        </w:rPr>
        <w:noBreakHyphen/>
        <w:t>ot szedő csoporttal összehasonlítva gyakrabban fordult elő a 150 mg</w:t>
      </w:r>
      <w:r>
        <w:rPr>
          <w:color w:val="000000"/>
          <w:sz w:val="22"/>
          <w:szCs w:val="22"/>
        </w:rPr>
        <w:noBreakHyphen/>
        <w:t>ot szedő csoportban, de ezek a mellékhatások a 150 mg-ot szedő csoportban nem vezettek szignifikánsan több esetben a kezelés abbahagyásához.</w:t>
      </w:r>
    </w:p>
    <w:p w14:paraId="0FA4AFC5" w14:textId="77777777" w:rsidR="00FB714F" w:rsidRDefault="00FB714F">
      <w:pPr>
        <w:rPr>
          <w:sz w:val="22"/>
          <w:szCs w:val="22"/>
          <w:u w:val="single"/>
        </w:rPr>
      </w:pPr>
    </w:p>
    <w:p w14:paraId="3BF7D70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ELITE I és ELITE II vizsgálat</w:t>
      </w:r>
    </w:p>
    <w:p w14:paraId="2E0220A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48 hetes ELITE vizsgálatban, amit 722 (NYHA II</w:t>
      </w:r>
      <w:r>
        <w:rPr>
          <w:sz w:val="22"/>
          <w:szCs w:val="22"/>
          <w:lang w:eastAsia="en-US"/>
        </w:rPr>
        <w:noBreakHyphen/>
        <w:t xml:space="preserve">IV. osztályú) szívelégtelenségben szenvedő betegen végeztek, az elsődleges végpontban (tartós változás a vesefunkcióban) nem volt különbség a lozartánnal, illetve a kaptoprillal kezelt betegek között. Az ELITE I vizsgálatban megfigyelték, hogy a </w:t>
      </w:r>
      <w:r>
        <w:rPr>
          <w:sz w:val="22"/>
          <w:szCs w:val="22"/>
          <w:lang w:eastAsia="en-US"/>
        </w:rPr>
        <w:lastRenderedPageBreak/>
        <w:t>lozartán, kaptoprillal összehasonlítva, csökkentette a mortalitás kockázatát, de ezt a megfigyelést az azt követő, alább ismertetett ELITE II vizsgálat nem erősítette meg.</w:t>
      </w:r>
    </w:p>
    <w:p w14:paraId="22ABAE7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2F4FDD9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ELITE II vizsgálatban a napi egyszer 50 mg dózisú lozartán</w:t>
      </w:r>
      <w:r>
        <w:rPr>
          <w:sz w:val="22"/>
          <w:szCs w:val="22"/>
          <w:lang w:eastAsia="en-US"/>
        </w:rPr>
        <w:noBreakHyphen/>
        <w:t>kezelést (kezdő adag naponta egyszer 12,5 mg, 25 mg</w:t>
      </w:r>
      <w:r>
        <w:rPr>
          <w:sz w:val="22"/>
          <w:szCs w:val="22"/>
          <w:lang w:eastAsia="en-US"/>
        </w:rPr>
        <w:noBreakHyphen/>
        <w:t>ra, majd 50 mg</w:t>
      </w:r>
      <w:r>
        <w:rPr>
          <w:sz w:val="22"/>
          <w:szCs w:val="22"/>
          <w:lang w:eastAsia="en-US"/>
        </w:rPr>
        <w:noBreakHyphen/>
        <w:t>ra titrálva) hasonlították össze a napi háromszor 50 mg</w:t>
      </w:r>
      <w:r>
        <w:rPr>
          <w:sz w:val="22"/>
          <w:szCs w:val="22"/>
          <w:lang w:eastAsia="en-US"/>
        </w:rPr>
        <w:noBreakHyphen/>
        <w:t>os dózissal végzett kaptopril kezeléssel (kezdő adag naponta háromszor 12,5 mg, 25 mg</w:t>
      </w:r>
      <w:r>
        <w:rPr>
          <w:sz w:val="22"/>
          <w:szCs w:val="22"/>
          <w:lang w:eastAsia="en-US"/>
        </w:rPr>
        <w:noBreakHyphen/>
        <w:t>ra, majd 50 mg</w:t>
      </w:r>
      <w:r>
        <w:rPr>
          <w:sz w:val="22"/>
          <w:szCs w:val="22"/>
          <w:lang w:eastAsia="en-US"/>
        </w:rPr>
        <w:noBreakHyphen/>
        <w:t>ra titrálva). Ennek a prospektív vizsgálatnak az elsődleges végpontja a bármely okból bekövetkező mortalitás volt.</w:t>
      </w:r>
    </w:p>
    <w:p w14:paraId="25F5FBEC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8CE5A6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Ebben a vizsgálatban 3152 szívelégtelenségben szenvedő betegnél (NYHA II.</w:t>
      </w:r>
      <w:r>
        <w:rPr>
          <w:sz w:val="22"/>
          <w:szCs w:val="22"/>
          <w:lang w:eastAsia="en-US"/>
        </w:rPr>
        <w:noBreakHyphen/>
        <w:t>IV. osztály) majdnem két évig (medián: 1,5 év) alkalmaztak követést annak érdekében, hogy meghatározzák, hogy a lozartán felülmúlja</w:t>
      </w:r>
      <w:r>
        <w:rPr>
          <w:sz w:val="22"/>
          <w:szCs w:val="22"/>
          <w:lang w:eastAsia="en-US"/>
        </w:rPr>
        <w:noBreakHyphen/>
        <w:t>e a kaptoprilt a bármely okból bekövetkező mortalitás csökkentése szempontjából. A végpont nem jelzett statisztikailag szignifikáns különbséget a lozartán és a kaptopril között a bármely okból bekövetkező mortalitás csökkentése szempontjából.</w:t>
      </w:r>
    </w:p>
    <w:p w14:paraId="4F703C06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FBB9B02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szívelégtelenségben szenvedő betegeken végzett mindkét komparátor</w:t>
      </w:r>
      <w:r>
        <w:rPr>
          <w:sz w:val="22"/>
          <w:szCs w:val="22"/>
          <w:lang w:eastAsia="en-US"/>
        </w:rPr>
        <w:noBreakHyphen/>
        <w:t>kontrollos (nem placebokontrollos) klinikai vizsgálatban a lozartán tolerálhatósága felülmúlta a kaptoprilét az alapján, hogy mellékhatások miatt jóval alacsonyabb számban fordult elő a kezelés felfüggesztése, és jelentősen kevesebb volt a köhögés előfordulása.</w:t>
      </w:r>
    </w:p>
    <w:p w14:paraId="7B36539F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E32E7E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ELITE II vizsgálatban növekedett mortalitást figyeltek meg egy kis alcsoportban (az összes szívelégtelenségben szenvedő beteg 22%</w:t>
      </w:r>
      <w:r>
        <w:rPr>
          <w:sz w:val="22"/>
          <w:szCs w:val="22"/>
          <w:lang w:eastAsia="en-US"/>
        </w:rPr>
        <w:noBreakHyphen/>
        <w:t>a), akik a vizsgálat kezdetén béta</w:t>
      </w:r>
      <w:r>
        <w:rPr>
          <w:sz w:val="22"/>
          <w:szCs w:val="22"/>
          <w:lang w:eastAsia="en-US"/>
        </w:rPr>
        <w:noBreakHyphen/>
        <w:t>blokkolókat szedtek.</w:t>
      </w:r>
    </w:p>
    <w:p w14:paraId="31F88854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2692C387" w14:textId="05652DF4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 xml:space="preserve">Két nagy, randomizált, kontrollos vizsgálatban (ONTARGET </w:t>
      </w:r>
      <w:r w:rsidR="00C330AB">
        <w:rPr>
          <w:sz w:val="22"/>
          <w:szCs w:val="22"/>
        </w:rPr>
        <w:t>[</w:t>
      </w:r>
      <w:r w:rsidRPr="00AA1499">
        <w:rPr>
          <w:i/>
          <w:sz w:val="22"/>
          <w:szCs w:val="22"/>
        </w:rPr>
        <w:t>ONgoing Telmisartan Alone and in combination with Ramipril Global Endpoint Trial</w:t>
      </w:r>
      <w:r w:rsidR="00C330AB">
        <w:rPr>
          <w:bCs/>
          <w:sz w:val="22"/>
          <w:szCs w:val="22"/>
        </w:rPr>
        <w:t>]</w:t>
      </w:r>
      <w:r>
        <w:rPr>
          <w:bCs/>
          <w:sz w:val="22"/>
          <w:szCs w:val="22"/>
        </w:rPr>
        <w:t xml:space="preserve"> és</w:t>
      </w:r>
      <w:r>
        <w:rPr>
          <w:sz w:val="22"/>
          <w:szCs w:val="22"/>
        </w:rPr>
        <w:t xml:space="preserve"> VA NEPHRON-D </w:t>
      </w:r>
      <w:r w:rsidR="00C330AB">
        <w:rPr>
          <w:sz w:val="22"/>
          <w:szCs w:val="22"/>
        </w:rPr>
        <w:t>[</w:t>
      </w:r>
      <w:r w:rsidRPr="00AA1499">
        <w:rPr>
          <w:i/>
          <w:sz w:val="22"/>
          <w:szCs w:val="22"/>
        </w:rPr>
        <w:t>The Veterans Affairs Nephropathy in Diabetes</w:t>
      </w:r>
      <w:r w:rsidR="00C330AB">
        <w:rPr>
          <w:bCs/>
          <w:sz w:val="22"/>
          <w:szCs w:val="22"/>
        </w:rPr>
        <w:t>]</w:t>
      </w:r>
      <w:r>
        <w:rPr>
          <w:bCs/>
          <w:sz w:val="22"/>
          <w:szCs w:val="22"/>
        </w:rPr>
        <w:t>)</w:t>
      </w:r>
      <w:r>
        <w:rPr>
          <w:sz w:val="22"/>
          <w:szCs w:val="22"/>
        </w:rPr>
        <w:t xml:space="preserve"> vizsgálták az ACE-gátló és angiotenzin II-receptor-blokkoló kombinált alkalmazását.</w:t>
      </w:r>
    </w:p>
    <w:p w14:paraId="6763D0AE" w14:textId="15A09BEC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 xml:space="preserve">Az ONTARGET vizsgálatot olyan betegeken végezték, akiknek a kórtörténetében kardiovaszkuláris vagy cerebrovaszkuláris betegség, vagy szervkárosodással járó </w:t>
      </w:r>
      <w:r w:rsidR="00C330AB">
        <w:rPr>
          <w:sz w:val="22"/>
          <w:szCs w:val="22"/>
        </w:rPr>
        <w:t>2.</w:t>
      </w:r>
      <w:r>
        <w:rPr>
          <w:sz w:val="22"/>
          <w:szCs w:val="22"/>
        </w:rPr>
        <w:t xml:space="preserve"> típusú diabetes mellitus szerepelt. A VA NEPHRON</w:t>
      </w:r>
      <w:r>
        <w:rPr>
          <w:sz w:val="22"/>
          <w:szCs w:val="22"/>
        </w:rPr>
        <w:noBreakHyphen/>
        <w:t>D vizsgálatot II típusú diabetesben és diabeteses nephropathiában szenvedő betegeken végezték.</w:t>
      </w:r>
    </w:p>
    <w:p w14:paraId="7B499DB7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Ezek a vizsgálatok nem mutattak ki szignifikánsan előnyös hatásokat a renális és/vagy kardiovaszkuláris kimenetel és a mortalitás vonatkozásában, miközben a monoterápia esetén megfigyelthez képest nőtt a hyperkalaemia, akut veseelégtelenség és/vagy hypotonia kockázata.</w:t>
      </w:r>
    </w:p>
    <w:p w14:paraId="52347502" w14:textId="005E304A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 hasonló farmakodinámiás tulajdonságok alapján ezek az eredmények más ACE-gátlók és angiotenzin II-receptor-blokkolók esetében is relevánsak.</w:t>
      </w:r>
    </w:p>
    <w:p w14:paraId="4179AD8F" w14:textId="4AE4FC60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Ezért az ACE-gátlók és angiotenzin II-receptor-blokkolók nem adhatók együtt diabeteses nephropathiában szenvedő betegeknek.</w:t>
      </w:r>
    </w:p>
    <w:p w14:paraId="74042D00" w14:textId="1DF08FBE" w:rsidR="00FB714F" w:rsidRDefault="00913E14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Az ALTITUDE (</w:t>
      </w:r>
      <w:r w:rsidRPr="00AA1499">
        <w:rPr>
          <w:bCs/>
          <w:i/>
          <w:sz w:val="22"/>
          <w:szCs w:val="22"/>
        </w:rPr>
        <w:t>Aliskiren Trial in Type 2 Diabetes Using Cardiovascular and Renal Disease Endpoints</w:t>
      </w:r>
      <w:r>
        <w:rPr>
          <w:bCs/>
          <w:sz w:val="22"/>
          <w:szCs w:val="22"/>
        </w:rPr>
        <w:t xml:space="preserve">) vizsgálat célja az volt, hogy megállapítsák, előnyös-e a standard ACE-gátló vagy angiotenzin II-receptor-blokkoló kezelés kiegészítése aliszkirénnel II típusú diabetesben és krónikus vesebetegségben, illetve </w:t>
      </w:r>
      <w:r w:rsidR="00C330AB">
        <w:rPr>
          <w:bCs/>
          <w:sz w:val="22"/>
          <w:szCs w:val="22"/>
        </w:rPr>
        <w:t>c</w:t>
      </w:r>
      <w:r>
        <w:rPr>
          <w:bCs/>
          <w:sz w:val="22"/>
          <w:szCs w:val="22"/>
        </w:rPr>
        <w:t>ardiovas</w:t>
      </w:r>
      <w:r w:rsidR="00C330AB">
        <w:rPr>
          <w:bCs/>
          <w:sz w:val="22"/>
          <w:szCs w:val="22"/>
        </w:rPr>
        <w:t>c</w:t>
      </w:r>
      <w:r>
        <w:rPr>
          <w:bCs/>
          <w:sz w:val="22"/>
          <w:szCs w:val="22"/>
        </w:rPr>
        <w:t>ul</w:t>
      </w:r>
      <w:r w:rsidR="00C330AB">
        <w:rPr>
          <w:bCs/>
          <w:sz w:val="22"/>
          <w:szCs w:val="22"/>
        </w:rPr>
        <w:t>a</w:t>
      </w:r>
      <w:r>
        <w:rPr>
          <w:bCs/>
          <w:sz w:val="22"/>
          <w:szCs w:val="22"/>
        </w:rPr>
        <w:t xml:space="preserve">ris betegségben vagy mindkettőben szenvedő betegeknél. A vizsgálatot idő előtt leállították, mert nőtt a mellékhatások kockázata. A </w:t>
      </w:r>
      <w:r w:rsidR="00C330AB">
        <w:rPr>
          <w:bCs/>
          <w:sz w:val="22"/>
          <w:szCs w:val="22"/>
        </w:rPr>
        <w:t>c</w:t>
      </w:r>
      <w:r>
        <w:rPr>
          <w:bCs/>
          <w:sz w:val="22"/>
          <w:szCs w:val="22"/>
        </w:rPr>
        <w:t>ardiovas</w:t>
      </w:r>
      <w:r w:rsidR="00C330AB">
        <w:rPr>
          <w:bCs/>
          <w:sz w:val="22"/>
          <w:szCs w:val="22"/>
        </w:rPr>
        <w:t>c</w:t>
      </w:r>
      <w:r>
        <w:rPr>
          <w:bCs/>
          <w:sz w:val="22"/>
          <w:szCs w:val="22"/>
        </w:rPr>
        <w:t>ul</w:t>
      </w:r>
      <w:r w:rsidR="00C330AB">
        <w:rPr>
          <w:bCs/>
          <w:sz w:val="22"/>
          <w:szCs w:val="22"/>
        </w:rPr>
        <w:t>a</w:t>
      </w:r>
      <w:r>
        <w:rPr>
          <w:bCs/>
          <w:sz w:val="22"/>
          <w:szCs w:val="22"/>
        </w:rPr>
        <w:t>ris eredetű halál és a stroke szám szerint gyakoribb volt az aliszkirén-csoportban, mint a placebocsoportban, és a jelentős mellékhatások illetve súlyos mellékhatások (hyperkalaemia, hypotonia és veseműködési zavar) is gyakoribbak voltak az aliszkirén-csoportban, mint a placebocsoportban.</w:t>
      </w:r>
    </w:p>
    <w:p w14:paraId="5F3F41F9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8D2D9BB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Gyermekek</w:t>
      </w:r>
    </w:p>
    <w:p w14:paraId="6BF7A077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Gyermekkori hypertonia</w:t>
      </w:r>
    </w:p>
    <w:p w14:paraId="15D3E4A7" w14:textId="30C72F89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antihypertoniás hatását egy olyan klinikai vizsgálat során állapították meg, amelyben 177, 6 és 16 év közötti, hypertoniában szenvedő gyermekgyógyászati beteg vett részt, akiknek testtömege &gt;</w:t>
      </w:r>
      <w:r w:rsidR="00C330AB">
        <w:rPr>
          <w:sz w:val="22"/>
          <w:szCs w:val="22"/>
          <w:lang w:eastAsia="en-US"/>
        </w:rPr>
        <w:t> </w:t>
      </w:r>
      <w:smartTag w:uri="urn:schemas-microsoft-com:office:smarttags" w:element="metricconverter">
        <w:smartTagPr>
          <w:attr w:name="ProductID" w:val="20 kg"/>
        </w:smartTagPr>
        <w:r>
          <w:rPr>
            <w:sz w:val="22"/>
            <w:szCs w:val="22"/>
            <w:lang w:eastAsia="en-US"/>
          </w:rPr>
          <w:t>20 kg</w:t>
        </w:r>
      </w:smartTag>
      <w:r>
        <w:rPr>
          <w:sz w:val="22"/>
          <w:szCs w:val="22"/>
          <w:lang w:eastAsia="en-US"/>
        </w:rPr>
        <w:t xml:space="preserve"> és glomerulus filtrációs rátája &gt;</w:t>
      </w:r>
      <w:r w:rsidR="00C330AB">
        <w:rPr>
          <w:sz w:val="22"/>
          <w:szCs w:val="22"/>
          <w:lang w:eastAsia="en-US"/>
        </w:rPr>
        <w:t> </w:t>
      </w:r>
      <w:r>
        <w:rPr>
          <w:sz w:val="22"/>
          <w:szCs w:val="22"/>
          <w:lang w:eastAsia="en-US"/>
        </w:rPr>
        <w:t>30 ml/perc/1,73 m</w:t>
      </w:r>
      <w:r>
        <w:rPr>
          <w:sz w:val="22"/>
          <w:szCs w:val="22"/>
          <w:vertAlign w:val="superscript"/>
          <w:lang w:eastAsia="en-US"/>
        </w:rPr>
        <w:t>2</w:t>
      </w:r>
      <w:r>
        <w:rPr>
          <w:sz w:val="22"/>
          <w:szCs w:val="22"/>
          <w:lang w:eastAsia="en-US"/>
        </w:rPr>
        <w:t xml:space="preserve"> volt. A </w:t>
      </w:r>
      <w:smartTag w:uri="urn:schemas-microsoft-com:office:smarttags" w:element="metricconverter">
        <w:smartTagPr>
          <w:attr w:name="ProductID" w:val="20 kg"/>
        </w:smartTagPr>
        <w:r>
          <w:rPr>
            <w:sz w:val="22"/>
            <w:szCs w:val="22"/>
            <w:lang w:eastAsia="en-US"/>
          </w:rPr>
          <w:t>20 kg</w:t>
        </w:r>
      </w:smartTag>
      <w:r>
        <w:rPr>
          <w:sz w:val="22"/>
          <w:szCs w:val="22"/>
          <w:lang w:eastAsia="en-US"/>
        </w:rPr>
        <w:t xml:space="preserve"> és </w:t>
      </w:r>
      <w:smartTag w:uri="urn:schemas-microsoft-com:office:smarttags" w:element="metricconverter">
        <w:smartTagPr>
          <w:attr w:name="ProductID" w:val="50 kg"/>
        </w:smartTagPr>
        <w:r>
          <w:rPr>
            <w:sz w:val="22"/>
            <w:szCs w:val="22"/>
            <w:lang w:eastAsia="en-US"/>
          </w:rPr>
          <w:t>50 kg</w:t>
        </w:r>
      </w:smartTag>
      <w:r>
        <w:rPr>
          <w:sz w:val="22"/>
          <w:szCs w:val="22"/>
          <w:lang w:eastAsia="en-US"/>
        </w:rPr>
        <w:t xml:space="preserve"> közé eső testtömegű betegek napi 2,5 mg, 25 mg vagy 50 mg lozartánt kaptak, az </w:t>
      </w:r>
      <w:smartTag w:uri="urn:schemas-microsoft-com:office:smarttags" w:element="metricconverter">
        <w:smartTagPr>
          <w:attr w:name="ProductID" w:val="50 kg"/>
        </w:smartTagPr>
        <w:r>
          <w:rPr>
            <w:sz w:val="22"/>
            <w:szCs w:val="22"/>
            <w:lang w:eastAsia="en-US"/>
          </w:rPr>
          <w:t>50 kg</w:t>
        </w:r>
      </w:smartTag>
      <w:r>
        <w:rPr>
          <w:sz w:val="22"/>
          <w:szCs w:val="22"/>
          <w:lang w:eastAsia="en-US"/>
        </w:rPr>
        <w:t xml:space="preserve"> feletti testtömegű betegek pedig napi 5 mg, 50 mg vagy 100 mg lozartánt kaptak. A harmadik hét végére a naponta egyszer adagolt lozartán dózisfüggő módon csökkentette a vérnyomást a maradékhatás időpontjában.</w:t>
      </w:r>
    </w:p>
    <w:p w14:paraId="7CF79209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0AA6C63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lastRenderedPageBreak/>
        <w:t>Összességében véve, megfigyelhető volt a dózisfüggő válasz. A dózis</w:t>
      </w:r>
      <w:r>
        <w:rPr>
          <w:sz w:val="22"/>
          <w:szCs w:val="22"/>
          <w:lang w:eastAsia="en-US"/>
        </w:rPr>
        <w:noBreakHyphen/>
        <w:t>hatás összefüggés az alacsony és közepes dózist szedő csoportok összehasonlításakor igen egyértelmű volt (I. periódus: -6,2 Hgmm vs. -11,65 Hgmm), de a közepes és magas dózist szedő csoport összehasonlításakor a dózis</w:t>
      </w:r>
      <w:r>
        <w:rPr>
          <w:sz w:val="22"/>
          <w:szCs w:val="22"/>
          <w:lang w:eastAsia="en-US"/>
        </w:rPr>
        <w:noBreakHyphen/>
        <w:t>hatás összefüggés gyengébbnek bizonyult (I. periódus: -11,65 Hgmm vs. -12,21 Hgmm). A legalacsonyabb vizsgált dózisok, a 2,5 mg és az 5 mg, amelyek 0,07 mg/kg átlagos napi dózisnak felelnek meg, nem biztosítottak következetes vérnyomáscsökkentő hatásosságot.</w:t>
      </w:r>
    </w:p>
    <w:p w14:paraId="650CFB63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E14F49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Ezeket az eredményeket megerősítette a vizsgálat II. periódusa, ahol három hét után a betegek randomizációt követően folytatták a lozartán</w:t>
      </w:r>
      <w:r>
        <w:rPr>
          <w:sz w:val="22"/>
          <w:szCs w:val="22"/>
          <w:lang w:eastAsia="en-US"/>
        </w:rPr>
        <w:noBreakHyphen/>
        <w:t>kezelést, vagy placebót kaptak. A vérnyomás</w:t>
      </w:r>
      <w:r>
        <w:rPr>
          <w:sz w:val="22"/>
          <w:szCs w:val="22"/>
          <w:lang w:eastAsia="en-US"/>
        </w:rPr>
        <w:noBreakHyphen/>
        <w:t>emelkedésben jelentkező különbség a placebóhoz képest a közepes dóziscsoportban volt a legnagyobb (6,70 Hgmm közepes dózis esetén vs. 5,38 Hgmm magas dózis esetén). A maradékhatás időpontjában mért diasztolés vérnyomás emelkedése a placebót kapó és a legalacsonyabb dózisú lozartán</w:t>
      </w:r>
      <w:r>
        <w:rPr>
          <w:sz w:val="22"/>
          <w:szCs w:val="22"/>
          <w:lang w:eastAsia="en-US"/>
        </w:rPr>
        <w:noBreakHyphen/>
        <w:t>kezelést folytató betegek minden csoportjában azonos volt, mely ismét azt jelzi, hogy az egyes csoportokban a legalacsonyabb dózisnak nem volt szignifikáns vérnyomáscsökkentő hatása.</w:t>
      </w:r>
    </w:p>
    <w:p w14:paraId="44F8D0E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871F0CD" w14:textId="77777777" w:rsidR="00FB714F" w:rsidRDefault="00913E14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hosszú távú hatásait a növekedésre, a pubertáskorra és az általános fejlődésre nem vizsgálták. A lozartánnal végzett vérnyomáscsökkentő kezelés hosszú távú gyermekkori hatásosságát a kardiovaszkuláris morbiditás és mortalitás csökkentésére szintén nem állapították meg.</w:t>
      </w:r>
    </w:p>
    <w:p w14:paraId="662FB0A0" w14:textId="77777777" w:rsidR="00FB714F" w:rsidRDefault="00FB714F">
      <w:pPr>
        <w:rPr>
          <w:sz w:val="22"/>
          <w:szCs w:val="22"/>
          <w:lang w:eastAsia="en-US"/>
        </w:rPr>
      </w:pPr>
    </w:p>
    <w:p w14:paraId="4E97E741" w14:textId="6477677F" w:rsidR="00FB714F" w:rsidRDefault="00913E14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>A lozartán proteinuriára kifejtett hatását egy hypertoniás (N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60), illetve proteinuriában szenvedő normotoniás (N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246) gyermekeken végzett 12 hetes, placeb</w:t>
      </w:r>
      <w:r w:rsidR="009D1736">
        <w:rPr>
          <w:color w:val="000000"/>
          <w:sz w:val="22"/>
          <w:szCs w:val="22"/>
          <w:lang w:eastAsia="de-DE"/>
        </w:rPr>
        <w:t>o</w:t>
      </w:r>
      <w:r>
        <w:rPr>
          <w:color w:val="000000"/>
          <w:sz w:val="22"/>
          <w:szCs w:val="22"/>
          <w:lang w:eastAsia="de-DE"/>
        </w:rPr>
        <w:noBreakHyphen/>
        <w:t xml:space="preserve"> és aktív (amlodipin) kontrollos klinikai vizsgálatban értékelték. A proteinuria meghatározása a ≥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0,3 vizelet protein/kreatinin arány volt. A (6</w:t>
      </w:r>
      <w:r>
        <w:rPr>
          <w:color w:val="000000"/>
          <w:sz w:val="22"/>
          <w:szCs w:val="22"/>
          <w:lang w:eastAsia="de-DE"/>
        </w:rPr>
        <w:noBreakHyphen/>
        <w:t>18 éves) hypertoniás betegek a randomizációt követően vagy lozartánt (n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30) vagy amlodipint (n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30) kaptak. A normotoniás betegek (1</w:t>
      </w:r>
      <w:r>
        <w:rPr>
          <w:color w:val="000000"/>
          <w:sz w:val="22"/>
          <w:szCs w:val="22"/>
          <w:lang w:eastAsia="de-DE"/>
        </w:rPr>
        <w:noBreakHyphen/>
        <w:t>18 éves) a randomizációt követően vagy lozartánt (n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122) vagy placebót (n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=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124) kaptak. A lozartán alkalmazott adagja 0,7 mg/kg</w:t>
      </w:r>
      <w:r>
        <w:rPr>
          <w:color w:val="000000"/>
          <w:sz w:val="22"/>
          <w:szCs w:val="22"/>
          <w:lang w:eastAsia="de-DE"/>
        </w:rPr>
        <w:noBreakHyphen/>
        <w:t>tól 1,4 mg/kg</w:t>
      </w:r>
      <w:r>
        <w:rPr>
          <w:color w:val="000000"/>
          <w:sz w:val="22"/>
          <w:szCs w:val="22"/>
          <w:lang w:eastAsia="de-DE"/>
        </w:rPr>
        <w:noBreakHyphen/>
        <w:t>ig (legfeljebb napi maximum 100 mg) terjedt. Az amlodipin alkalmazott adagja 0,05 mg/kg</w:t>
      </w:r>
      <w:r>
        <w:rPr>
          <w:color w:val="000000"/>
          <w:sz w:val="22"/>
          <w:szCs w:val="22"/>
          <w:lang w:eastAsia="de-DE"/>
        </w:rPr>
        <w:noBreakHyphen/>
        <w:t>tól 0,2 mg/kg</w:t>
      </w:r>
      <w:r>
        <w:rPr>
          <w:color w:val="000000"/>
          <w:sz w:val="22"/>
          <w:szCs w:val="22"/>
          <w:lang w:eastAsia="de-DE"/>
        </w:rPr>
        <w:noBreakHyphen/>
        <w:t>ig (legfeljebb napi maximum 5 mg) terjedt.</w:t>
      </w:r>
    </w:p>
    <w:p w14:paraId="348F8F7E" w14:textId="77777777" w:rsidR="00FB714F" w:rsidRDefault="00FB714F">
      <w:pPr>
        <w:rPr>
          <w:color w:val="000000"/>
          <w:sz w:val="22"/>
          <w:szCs w:val="22"/>
          <w:lang w:eastAsia="de-DE"/>
        </w:rPr>
      </w:pPr>
    </w:p>
    <w:p w14:paraId="02809750" w14:textId="53CA4CFA" w:rsidR="00FB714F" w:rsidRDefault="00913E14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>Összességében véve a 12 hetes kezelést követően a lozartánt szedő betegek körében a vizsgálat elején fennálló proteinuria mértékét tekintve statisztikailag szignifikáns, 36%</w:t>
      </w:r>
      <w:r>
        <w:rPr>
          <w:color w:val="000000"/>
          <w:sz w:val="22"/>
          <w:szCs w:val="22"/>
          <w:lang w:eastAsia="de-DE"/>
        </w:rPr>
        <w:noBreakHyphen/>
        <w:t>os csökkenés mutatkozott a placebo</w:t>
      </w:r>
      <w:r w:rsidR="009D1736">
        <w:rPr>
          <w:color w:val="000000"/>
          <w:sz w:val="22"/>
          <w:szCs w:val="22"/>
          <w:lang w:eastAsia="de-DE"/>
        </w:rPr>
        <w:t>-</w:t>
      </w:r>
      <w:r>
        <w:rPr>
          <w:color w:val="000000"/>
          <w:sz w:val="22"/>
          <w:szCs w:val="22"/>
          <w:lang w:eastAsia="de-DE"/>
        </w:rPr>
        <w:t>/amlodipin</w:t>
      </w:r>
      <w:r w:rsidR="009D1736">
        <w:rPr>
          <w:color w:val="000000"/>
          <w:sz w:val="22"/>
          <w:szCs w:val="22"/>
          <w:lang w:eastAsia="de-DE"/>
        </w:rPr>
        <w:t>-</w:t>
      </w:r>
      <w:r>
        <w:rPr>
          <w:color w:val="000000"/>
          <w:sz w:val="22"/>
          <w:szCs w:val="22"/>
          <w:lang w:eastAsia="de-DE"/>
        </w:rPr>
        <w:t>csoportban mért 1%</w:t>
      </w:r>
      <w:r>
        <w:rPr>
          <w:color w:val="000000"/>
          <w:sz w:val="22"/>
          <w:szCs w:val="22"/>
          <w:lang w:eastAsia="de-DE"/>
        </w:rPr>
        <w:noBreakHyphen/>
        <w:t>os növekedéssel szemben (p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>≤</w:t>
      </w:r>
      <w:r w:rsidR="009D1736">
        <w:rPr>
          <w:color w:val="000000"/>
          <w:sz w:val="22"/>
          <w:szCs w:val="22"/>
          <w:lang w:eastAsia="de-DE"/>
        </w:rPr>
        <w:t> </w:t>
      </w:r>
      <w:r>
        <w:rPr>
          <w:color w:val="000000"/>
          <w:sz w:val="22"/>
          <w:szCs w:val="22"/>
          <w:lang w:eastAsia="de-DE"/>
        </w:rPr>
        <w:t xml:space="preserve">0,001). A lozartánt szedő hypertoniás betegeknél a vizsgálat elején fennálló proteinuria mértékét tekintve </w:t>
      </w:r>
      <w:r>
        <w:rPr>
          <w:color w:val="000000"/>
          <w:sz w:val="22"/>
          <w:szCs w:val="22"/>
          <w:lang w:eastAsia="de-DE"/>
        </w:rPr>
        <w:noBreakHyphen/>
        <w:t>41,5%</w:t>
      </w:r>
      <w:r>
        <w:rPr>
          <w:color w:val="000000"/>
          <w:sz w:val="22"/>
          <w:szCs w:val="22"/>
          <w:lang w:eastAsia="de-DE"/>
        </w:rPr>
        <w:noBreakHyphen/>
        <w:t xml:space="preserve">os </w:t>
      </w:r>
      <w:r>
        <w:rPr>
          <w:sz w:val="22"/>
          <w:szCs w:val="22"/>
        </w:rPr>
        <w:t>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noBreakHyphen/>
        <w:t xml:space="preserve">29,9; </w:t>
      </w:r>
      <w:r>
        <w:rPr>
          <w:sz w:val="22"/>
          <w:szCs w:val="22"/>
        </w:rPr>
        <w:noBreakHyphen/>
        <w:t xml:space="preserve">51,1) </w:t>
      </w:r>
      <w:r>
        <w:rPr>
          <w:color w:val="000000"/>
          <w:sz w:val="22"/>
          <w:szCs w:val="22"/>
          <w:lang w:eastAsia="de-DE"/>
        </w:rPr>
        <w:t>csökkenés mutatkozott az amlodipin</w:t>
      </w:r>
      <w:r>
        <w:rPr>
          <w:color w:val="000000"/>
          <w:sz w:val="22"/>
          <w:szCs w:val="22"/>
          <w:lang w:eastAsia="de-DE"/>
        </w:rPr>
        <w:noBreakHyphen/>
        <w:t>csoportban mért +2,4%</w:t>
      </w:r>
      <w:r>
        <w:rPr>
          <w:color w:val="000000"/>
          <w:sz w:val="22"/>
          <w:szCs w:val="22"/>
          <w:lang w:eastAsia="de-DE"/>
        </w:rPr>
        <w:noBreakHyphen/>
        <w:t xml:space="preserve">kal </w:t>
      </w:r>
      <w:r>
        <w:rPr>
          <w:sz w:val="22"/>
          <w:szCs w:val="22"/>
        </w:rPr>
        <w:t>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noBreakHyphen/>
        <w:t xml:space="preserve">22,2; 14,1) </w:t>
      </w:r>
      <w:r>
        <w:rPr>
          <w:color w:val="000000"/>
          <w:sz w:val="22"/>
          <w:szCs w:val="22"/>
          <w:lang w:eastAsia="de-DE"/>
        </w:rPr>
        <w:t>szemben.</w:t>
      </w:r>
    </w:p>
    <w:p w14:paraId="1A3996EE" w14:textId="77777777" w:rsidR="00FB714F" w:rsidRDefault="00913E14">
      <w:pPr>
        <w:rPr>
          <w:color w:val="000000"/>
          <w:sz w:val="22"/>
          <w:szCs w:val="22"/>
          <w:lang w:eastAsia="de-DE"/>
        </w:rPr>
      </w:pPr>
      <w:r>
        <w:rPr>
          <w:color w:val="000000"/>
          <w:sz w:val="22"/>
          <w:szCs w:val="22"/>
          <w:lang w:eastAsia="de-DE"/>
        </w:rPr>
        <w:t>Mind a szisztolés, mind a diasztolés vérnyomás csökkenése nagyobb mértékű volt a lozartán</w:t>
      </w:r>
      <w:r>
        <w:rPr>
          <w:color w:val="000000"/>
          <w:sz w:val="22"/>
          <w:szCs w:val="22"/>
          <w:lang w:eastAsia="de-DE"/>
        </w:rPr>
        <w:noBreakHyphen/>
        <w:t xml:space="preserve">csoportban </w:t>
      </w:r>
      <w:r>
        <w:rPr>
          <w:sz w:val="22"/>
          <w:szCs w:val="22"/>
        </w:rPr>
        <w:t>(</w:t>
      </w:r>
      <w:r>
        <w:rPr>
          <w:sz w:val="22"/>
          <w:szCs w:val="22"/>
        </w:rPr>
        <w:noBreakHyphen/>
        <w:t>5,5/-3,8 Hgmm)</w:t>
      </w:r>
      <w:r>
        <w:rPr>
          <w:color w:val="000000"/>
          <w:sz w:val="22"/>
          <w:szCs w:val="22"/>
          <w:lang w:eastAsia="de-DE"/>
        </w:rPr>
        <w:t>, mint az amlodipin</w:t>
      </w:r>
      <w:r>
        <w:rPr>
          <w:color w:val="000000"/>
          <w:sz w:val="22"/>
          <w:szCs w:val="22"/>
          <w:lang w:eastAsia="de-DE"/>
        </w:rPr>
        <w:noBreakHyphen/>
        <w:t xml:space="preserve">csoportban </w:t>
      </w:r>
      <w:r>
        <w:rPr>
          <w:sz w:val="22"/>
          <w:szCs w:val="22"/>
        </w:rPr>
        <w:t>(</w:t>
      </w:r>
      <w:r>
        <w:rPr>
          <w:sz w:val="22"/>
          <w:szCs w:val="22"/>
        </w:rPr>
        <w:noBreakHyphen/>
        <w:t>0,1/+0,8 Hgmm)</w:t>
      </w:r>
      <w:r>
        <w:rPr>
          <w:color w:val="000000"/>
          <w:sz w:val="22"/>
          <w:szCs w:val="22"/>
          <w:lang w:eastAsia="de-DE"/>
        </w:rPr>
        <w:t>. Normotoniás gyermekeknél a lozartán</w:t>
      </w:r>
      <w:r>
        <w:rPr>
          <w:color w:val="000000"/>
          <w:sz w:val="22"/>
          <w:szCs w:val="22"/>
          <w:lang w:eastAsia="de-DE"/>
        </w:rPr>
        <w:noBreakHyphen/>
        <w:t xml:space="preserve">csoportban a placebóval összehasonlítva kismértékű vérnyomáscsökkenés </w:t>
      </w:r>
      <w:r>
        <w:rPr>
          <w:sz w:val="22"/>
          <w:szCs w:val="22"/>
        </w:rPr>
        <w:t>(</w:t>
      </w:r>
      <w:r>
        <w:rPr>
          <w:sz w:val="22"/>
          <w:szCs w:val="22"/>
        </w:rPr>
        <w:noBreakHyphen/>
        <w:t xml:space="preserve">3,7/-3,4 Hgmm) </w:t>
      </w:r>
      <w:r>
        <w:rPr>
          <w:color w:val="000000"/>
          <w:sz w:val="22"/>
          <w:szCs w:val="22"/>
          <w:lang w:eastAsia="de-DE"/>
        </w:rPr>
        <w:t xml:space="preserve">volt megfigyelhető. A proteinuria és a vérnyomás csökkenése között nem mutatkozott szignifikáns korreláció, azonban lehetséges, hogy a lozartánnal kezelt csoportban megfigyelt vérnyomáscsökkenés részben hozzájárult a proteinuria csökkenéséhez. </w:t>
      </w:r>
    </w:p>
    <w:p w14:paraId="2E5FEB27" w14:textId="77777777" w:rsidR="00FB714F" w:rsidRDefault="00FB714F">
      <w:pPr>
        <w:rPr>
          <w:sz w:val="22"/>
          <w:szCs w:val="22"/>
        </w:rPr>
      </w:pPr>
    </w:p>
    <w:p w14:paraId="30CCF49C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 lozartán hosszútávú hatásait proteinuriában szenvedő gyermekeknél legfeljebb 3 évig vizsgálták ugyanezen vizsgálat nyílt címkés, biztonságossági, kiterjesztett szakaszában, melybe a 12 hetes alapvizsgálatot befejező összes beteget bevonták. Összesen 268 beteget vontak be a nyílt címkés vizsgálat kiterjesztett szakaszába, ahol a betegeket ismét randomizálták lozartánra (N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134) vagy enalaprilra (N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 xml:space="preserve">134), 109 beteget pedig 3 évig vagy ennél hosszabb ideig követték (a kiterjesztett szakasz 3 éves követési idejét teljesített több, mint 100 beteg vizsgálatból történő kilépésének időpontja előre meghatározott volt). A vizsgáló orvos megítélése szerint adagolt lozartán és enalapril dózistartományai külön-külön napi </w:t>
      </w:r>
      <w:r>
        <w:rPr>
          <w:bCs/>
          <w:sz w:val="22"/>
          <w:szCs w:val="22"/>
        </w:rPr>
        <w:t>0,30</w:t>
      </w:r>
      <w:r>
        <w:rPr>
          <w:bCs/>
          <w:sz w:val="22"/>
          <w:szCs w:val="22"/>
        </w:rPr>
        <w:noBreakHyphen/>
        <w:t>4,42 mg/kg és napi 0,02</w:t>
      </w:r>
      <w:r>
        <w:rPr>
          <w:bCs/>
          <w:sz w:val="22"/>
          <w:szCs w:val="22"/>
        </w:rPr>
        <w:noBreakHyphen/>
        <w:t>1,13 mg/kg voltak. Az 50 kg</w:t>
      </w:r>
      <w:r>
        <w:rPr>
          <w:bCs/>
          <w:sz w:val="22"/>
          <w:szCs w:val="22"/>
        </w:rPr>
        <w:noBreakHyphen/>
        <w:t>nál alacsonyabb testsúlyra számolt maximális napi 50 mg</w:t>
      </w:r>
      <w:r>
        <w:rPr>
          <w:bCs/>
          <w:sz w:val="22"/>
          <w:szCs w:val="22"/>
        </w:rPr>
        <w:noBreakHyphen/>
        <w:t>os adagot és az 50 kg</w:t>
      </w:r>
      <w:r>
        <w:rPr>
          <w:bCs/>
          <w:sz w:val="22"/>
          <w:szCs w:val="22"/>
        </w:rPr>
        <w:noBreakHyphen/>
        <w:t>nál magasabb testsúlyra számolt maximális napi 100 mg</w:t>
      </w:r>
      <w:r>
        <w:rPr>
          <w:bCs/>
          <w:sz w:val="22"/>
          <w:szCs w:val="22"/>
        </w:rPr>
        <w:noBreakHyphen/>
        <w:t>os adagot a legtöbb beteg nem lépte túl a vizsgálat kiterjesztett szakaszában.</w:t>
      </w:r>
    </w:p>
    <w:p w14:paraId="41D0DC6A" w14:textId="77777777" w:rsidR="00FB714F" w:rsidRDefault="00FB714F">
      <w:pPr>
        <w:rPr>
          <w:sz w:val="22"/>
          <w:szCs w:val="22"/>
        </w:rPr>
      </w:pPr>
    </w:p>
    <w:p w14:paraId="04A49CE3" w14:textId="6F01ACCF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Összességében véve a kiterjesztett biztonságossági szakasz eredményei azt mutatják, hogy a lozartán jól tolerálható volt és 3 éven át a proteinuria tartós csökkenéséhez vezetett, a glomerulus filtrációs ráta (GFR) számottevő változása nélkül. A normoten</w:t>
      </w:r>
      <w:r w:rsidR="009D1736">
        <w:rPr>
          <w:sz w:val="22"/>
          <w:szCs w:val="22"/>
        </w:rPr>
        <w:t>zí</w:t>
      </w:r>
      <w:r>
        <w:rPr>
          <w:sz w:val="22"/>
          <w:szCs w:val="22"/>
        </w:rPr>
        <w:t>v betegeknél (n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205) az enalaprilnak a lozartánnal összehasonlítva számszerűen nagyobb hatása volt a proteinuriára (-33,0% 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-47,2; </w:t>
      </w:r>
      <w:r>
        <w:rPr>
          <w:sz w:val="22"/>
          <w:szCs w:val="22"/>
        </w:rPr>
        <w:noBreakHyphen/>
        <w:t xml:space="preserve">15,0) </w:t>
      </w:r>
      <w:r>
        <w:rPr>
          <w:sz w:val="22"/>
          <w:szCs w:val="22"/>
        </w:rPr>
        <w:lastRenderedPageBreak/>
        <w:t>szemben a -16,6% 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-34,9; 6,8) értékkel) és a GFR</w:t>
      </w:r>
      <w:r>
        <w:rPr>
          <w:sz w:val="22"/>
          <w:szCs w:val="22"/>
        </w:rPr>
        <w:noBreakHyphen/>
        <w:t>re ( 9,4 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0,4; 18,4) szemben a -4,0 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-13,1; 5,0) ml/perc/1,73 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) értékkel). A hypertoniás betegeknél (n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49) a lozartánnak volt számszerűen nagyobb hatása a proteinuriára (</w:t>
      </w:r>
      <w:r>
        <w:rPr>
          <w:sz w:val="22"/>
          <w:szCs w:val="22"/>
        </w:rPr>
        <w:noBreakHyphen/>
        <w:t>44,5% (95% CI -64,8; -12,4) szemben a -39,5% 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-62,5; -2,2) értékkel) és a GFR</w:t>
      </w:r>
      <w:r>
        <w:rPr>
          <w:sz w:val="22"/>
          <w:szCs w:val="22"/>
        </w:rPr>
        <w:noBreakHyphen/>
        <w:t>re (18,9 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5,2; 32,5) szemben a -13,4 (95%</w:t>
      </w:r>
      <w:r w:rsidR="009D1736">
        <w:rPr>
          <w:sz w:val="22"/>
          <w:szCs w:val="22"/>
        </w:rPr>
        <w:t>-os</w:t>
      </w:r>
      <w:r>
        <w:rPr>
          <w:sz w:val="22"/>
          <w:szCs w:val="22"/>
        </w:rPr>
        <w:t xml:space="preserve"> CI</w:t>
      </w:r>
      <w:r w:rsidR="009D1736">
        <w:rPr>
          <w:sz w:val="22"/>
          <w:szCs w:val="22"/>
        </w:rPr>
        <w:t>:</w:t>
      </w:r>
      <w:r>
        <w:rPr>
          <w:sz w:val="22"/>
          <w:szCs w:val="22"/>
        </w:rPr>
        <w:t xml:space="preserve"> -27,3; 0,6)) ml/perc/1,73 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értékkel).</w:t>
      </w:r>
    </w:p>
    <w:p w14:paraId="3A2363CB" w14:textId="77777777" w:rsidR="00FB714F" w:rsidRDefault="00FB714F">
      <w:pPr>
        <w:rPr>
          <w:sz w:val="22"/>
          <w:szCs w:val="22"/>
        </w:rPr>
      </w:pPr>
    </w:p>
    <w:p w14:paraId="7AB8267A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Egy nyílt címkés, dóziskereső klinikai vizsgálatot végeztek a lozartán biztonságosságának és hatásosságának tanulmányozására 6 hónap és 6 év közötti hypertoniás gyermek betegek esetében. Összesen 101 beteget randomizáltak a nyílt címkés lozartán háromféle kezdő adagjának egyikére: kis dózisra (0,1 mg/ttkg/nap, N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33), közepes dózisra (0,3 mg/ttkg/nap, N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34) vagy nagy dózisra (0,7 mg/ttkg/nap, N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=</w:t>
      </w:r>
      <w:r w:rsidR="009D1736">
        <w:rPr>
          <w:sz w:val="22"/>
          <w:szCs w:val="22"/>
        </w:rPr>
        <w:t> </w:t>
      </w:r>
      <w:r>
        <w:rPr>
          <w:sz w:val="22"/>
          <w:szCs w:val="22"/>
        </w:rPr>
        <w:t>34). Közülük 27 csecsemő (definíció szerint 6</w:t>
      </w:r>
      <w:r>
        <w:rPr>
          <w:sz w:val="22"/>
          <w:szCs w:val="22"/>
        </w:rPr>
        <w:noBreakHyphen/>
        <w:t>23 hónapos gyermek) volt. Azoknál a betegeknél, akik vérnyomása nem érte el a célértéket és még nem a lozartán maximális adagot kapták (1,4 mg/ttkg/nap, maximum 100 mg/nap), a 3., 6. és 9. héten a vizsgálati szert a következő, magasabb dózisszintre titrálták.</w:t>
      </w:r>
    </w:p>
    <w:p w14:paraId="05A91E52" w14:textId="77777777" w:rsidR="00FB714F" w:rsidRDefault="00FB714F">
      <w:pPr>
        <w:rPr>
          <w:sz w:val="22"/>
          <w:szCs w:val="22"/>
        </w:rPr>
      </w:pPr>
    </w:p>
    <w:p w14:paraId="43FCD6FA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 99 vizsgálati gyógyszerrel kezelt beteg közül 90 beteg (90,9%) folytatta a kiterjesztett vizsgálatot háromhavonta kontrolvizsgálattal. A kezelés átlagos időtartama 264 nap volt.</w:t>
      </w:r>
    </w:p>
    <w:p w14:paraId="55D00E95" w14:textId="77777777" w:rsidR="00FB714F" w:rsidRDefault="00FB714F">
      <w:pPr>
        <w:rPr>
          <w:sz w:val="22"/>
          <w:szCs w:val="22"/>
        </w:rPr>
      </w:pPr>
    </w:p>
    <w:p w14:paraId="29CC5B33" w14:textId="15ECADE6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Összességében véve a vérnyomáscsökkenés átlagértéke a kiindulási értékhez képest hasonló volt az összes kezelési csoportban (a 3. héten a s</w:t>
      </w:r>
      <w:r w:rsidR="009D1736">
        <w:rPr>
          <w:sz w:val="22"/>
          <w:szCs w:val="22"/>
        </w:rPr>
        <w:t>zi</w:t>
      </w:r>
      <w:r>
        <w:rPr>
          <w:sz w:val="22"/>
          <w:szCs w:val="22"/>
        </w:rPr>
        <w:t>s</w:t>
      </w:r>
      <w:r w:rsidR="009D1736">
        <w:rPr>
          <w:sz w:val="22"/>
          <w:szCs w:val="22"/>
        </w:rPr>
        <w:t>z</w:t>
      </w:r>
      <w:r>
        <w:rPr>
          <w:sz w:val="22"/>
          <w:szCs w:val="22"/>
        </w:rPr>
        <w:t xml:space="preserve">tolés vérnyomás változása a kiindulási értékhez képest a kis, közepes és nagy dózisú csoportban egyenként </w:t>
      </w:r>
      <w:r>
        <w:rPr>
          <w:sz w:val="22"/>
          <w:szCs w:val="22"/>
        </w:rPr>
        <w:noBreakHyphen/>
        <w:t xml:space="preserve">7,3; </w:t>
      </w:r>
      <w:r>
        <w:rPr>
          <w:sz w:val="22"/>
          <w:szCs w:val="22"/>
        </w:rPr>
        <w:noBreakHyphen/>
        <w:t xml:space="preserve">7,6 és </w:t>
      </w:r>
      <w:r>
        <w:rPr>
          <w:sz w:val="22"/>
          <w:szCs w:val="22"/>
        </w:rPr>
        <w:noBreakHyphen/>
        <w:t>6,7 Hgmm volt; a 3. héten a d</w:t>
      </w:r>
      <w:r w:rsidR="009D1736">
        <w:rPr>
          <w:sz w:val="22"/>
          <w:szCs w:val="22"/>
        </w:rPr>
        <w:t>i</w:t>
      </w:r>
      <w:r>
        <w:rPr>
          <w:sz w:val="22"/>
          <w:szCs w:val="22"/>
        </w:rPr>
        <w:t>as</w:t>
      </w:r>
      <w:r w:rsidR="009D1736">
        <w:rPr>
          <w:sz w:val="22"/>
          <w:szCs w:val="22"/>
        </w:rPr>
        <w:t>z</w:t>
      </w:r>
      <w:r>
        <w:rPr>
          <w:sz w:val="22"/>
          <w:szCs w:val="22"/>
        </w:rPr>
        <w:t xml:space="preserve">tolés vérnyomás változása a kiindulási értékhez képest a kis, közepes és nagy dózisú csoportban </w:t>
      </w:r>
      <w:r>
        <w:rPr>
          <w:sz w:val="22"/>
          <w:szCs w:val="22"/>
        </w:rPr>
        <w:noBreakHyphen/>
        <w:t xml:space="preserve">8,2; </w:t>
      </w:r>
      <w:r>
        <w:rPr>
          <w:sz w:val="22"/>
          <w:szCs w:val="22"/>
        </w:rPr>
        <w:noBreakHyphen/>
        <w:t xml:space="preserve">5,1 és </w:t>
      </w:r>
      <w:r>
        <w:rPr>
          <w:sz w:val="22"/>
          <w:szCs w:val="22"/>
        </w:rPr>
        <w:noBreakHyphen/>
        <w:t>6,7 Hgmm volt); azonban nem volt statisztikailag szignifikáns dózisfüggő válasz a s</w:t>
      </w:r>
      <w:r w:rsidR="009D1736">
        <w:rPr>
          <w:sz w:val="22"/>
          <w:szCs w:val="22"/>
        </w:rPr>
        <w:t>zi</w:t>
      </w:r>
      <w:r>
        <w:rPr>
          <w:sz w:val="22"/>
          <w:szCs w:val="22"/>
        </w:rPr>
        <w:t>s</w:t>
      </w:r>
      <w:r w:rsidR="009D1736">
        <w:rPr>
          <w:sz w:val="22"/>
          <w:szCs w:val="22"/>
        </w:rPr>
        <w:t>z</w:t>
      </w:r>
      <w:r>
        <w:rPr>
          <w:sz w:val="22"/>
          <w:szCs w:val="22"/>
        </w:rPr>
        <w:t>tolés és d</w:t>
      </w:r>
      <w:r w:rsidR="009D1736">
        <w:rPr>
          <w:sz w:val="22"/>
          <w:szCs w:val="22"/>
        </w:rPr>
        <w:t>i</w:t>
      </w:r>
      <w:r>
        <w:rPr>
          <w:sz w:val="22"/>
          <w:szCs w:val="22"/>
        </w:rPr>
        <w:t>as</w:t>
      </w:r>
      <w:r w:rsidR="009D1736">
        <w:rPr>
          <w:sz w:val="22"/>
          <w:szCs w:val="22"/>
        </w:rPr>
        <w:t>z</w:t>
      </w:r>
      <w:r>
        <w:rPr>
          <w:sz w:val="22"/>
          <w:szCs w:val="22"/>
        </w:rPr>
        <w:t>tolés vérnyomás esetében.</w:t>
      </w:r>
    </w:p>
    <w:p w14:paraId="1FD36AAD" w14:textId="77777777" w:rsidR="00FB714F" w:rsidRDefault="00FB714F">
      <w:pPr>
        <w:rPr>
          <w:sz w:val="22"/>
          <w:szCs w:val="22"/>
        </w:rPr>
      </w:pPr>
    </w:p>
    <w:p w14:paraId="0CB03CB4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A kezelés 12 hetét követően a 6 hónap és 6 év közötti hypertoniás gyermekek általában jól tolerálták a lozartán akár olyan nagy dózisát is, mint 1,4 mg/ttkg. Az általános biztonságossági profil hasonló volt az egyes kezelési csoportokban.</w:t>
      </w:r>
    </w:p>
    <w:p w14:paraId="60156E4D" w14:textId="77777777" w:rsidR="00FB714F" w:rsidRDefault="00FB714F">
      <w:pPr>
        <w:rPr>
          <w:sz w:val="22"/>
          <w:szCs w:val="22"/>
        </w:rPr>
      </w:pPr>
    </w:p>
    <w:p w14:paraId="3135608E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5.2</w:t>
      </w:r>
      <w:r>
        <w:rPr>
          <w:b/>
          <w:sz w:val="22"/>
          <w:szCs w:val="22"/>
        </w:rPr>
        <w:tab/>
        <w:t>Farmakokinetikai tulajdonságok</w:t>
      </w:r>
    </w:p>
    <w:p w14:paraId="67C60698" w14:textId="77777777" w:rsidR="00FB714F" w:rsidRDefault="00FB714F">
      <w:pPr>
        <w:rPr>
          <w:sz w:val="22"/>
          <w:szCs w:val="22"/>
          <w:u w:val="single"/>
        </w:rPr>
      </w:pPr>
    </w:p>
    <w:p w14:paraId="32F7DB5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Felszívódás</w:t>
      </w:r>
    </w:p>
    <w:p w14:paraId="69A6AEE9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 xml:space="preserve">adagolást követően a lozartán jól felszívódik, és </w:t>
      </w:r>
      <w:r w:rsidRPr="00AA1499">
        <w:rPr>
          <w:i/>
          <w:sz w:val="22"/>
          <w:szCs w:val="22"/>
          <w:lang w:eastAsia="en-US"/>
        </w:rPr>
        <w:t>first</w:t>
      </w:r>
      <w:r w:rsidRPr="00AA1499">
        <w:rPr>
          <w:i/>
          <w:sz w:val="22"/>
          <w:szCs w:val="22"/>
          <w:lang w:eastAsia="en-US"/>
        </w:rPr>
        <w:noBreakHyphen/>
        <w:t>pass</w:t>
      </w:r>
      <w:r>
        <w:rPr>
          <w:sz w:val="22"/>
          <w:szCs w:val="22"/>
          <w:lang w:eastAsia="en-US"/>
        </w:rPr>
        <w:t xml:space="preserve"> metabolizmuson megy keresztül egy aktív karboxilsav</w:t>
      </w:r>
      <w:r>
        <w:rPr>
          <w:sz w:val="22"/>
          <w:szCs w:val="22"/>
          <w:lang w:eastAsia="en-US"/>
        </w:rPr>
        <w:noBreakHyphen/>
        <w:t>metabolitot és más inaktív metabolitokat képezve. A lozartán tabletták szisztémás biohasznosulása körülbelül 33%</w:t>
      </w:r>
      <w:r>
        <w:rPr>
          <w:sz w:val="22"/>
          <w:szCs w:val="22"/>
          <w:lang w:eastAsia="en-US"/>
        </w:rPr>
        <w:noBreakHyphen/>
        <w:t>nak felel meg. A lozartán és aktív metabolitja átlagos csúcskoncentrációjukat egy órán, illetve 3</w:t>
      </w:r>
      <w:r>
        <w:rPr>
          <w:sz w:val="22"/>
          <w:szCs w:val="22"/>
          <w:lang w:eastAsia="en-US"/>
        </w:rPr>
        <w:noBreakHyphen/>
        <w:t>4 órán belül érik el.</w:t>
      </w:r>
    </w:p>
    <w:p w14:paraId="3A9108B8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69086025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Eloszlás</w:t>
      </w:r>
    </w:p>
    <w:p w14:paraId="015D5B77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Mind a lozartán, mind aktív metabolitja ≥ 99%</w:t>
      </w:r>
      <w:r>
        <w:rPr>
          <w:sz w:val="22"/>
          <w:szCs w:val="22"/>
          <w:lang w:eastAsia="en-US"/>
        </w:rPr>
        <w:noBreakHyphen/>
        <w:t xml:space="preserve">ban kötődik a plazmafehérjékhez, elsősorban az albuminhoz. A lozartán megoszlási térfogata </w:t>
      </w:r>
      <w:smartTag w:uri="urn:schemas-microsoft-com:office:smarttags" w:element="metricconverter">
        <w:smartTagPr>
          <w:attr w:name="ProductID" w:val="34 liter"/>
        </w:smartTagPr>
        <w:r>
          <w:rPr>
            <w:sz w:val="22"/>
            <w:szCs w:val="22"/>
            <w:lang w:eastAsia="en-US"/>
          </w:rPr>
          <w:t>34 liter</w:t>
        </w:r>
      </w:smartTag>
      <w:r>
        <w:rPr>
          <w:sz w:val="22"/>
          <w:szCs w:val="22"/>
          <w:lang w:eastAsia="en-US"/>
        </w:rPr>
        <w:t>.</w:t>
      </w:r>
    </w:p>
    <w:p w14:paraId="758A868B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E588A0B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Biotranszformáció</w:t>
      </w:r>
    </w:p>
    <w:p w14:paraId="05B49DA5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intravénásan vagy szájon át adott lozartán kb. 14%</w:t>
      </w:r>
      <w:r>
        <w:rPr>
          <w:sz w:val="22"/>
          <w:szCs w:val="22"/>
          <w:lang w:eastAsia="en-US"/>
        </w:rPr>
        <w:noBreakHyphen/>
        <w:t>a alakul át aktív metabolittá. A 14C</w:t>
      </w:r>
      <w:r>
        <w:rPr>
          <w:sz w:val="22"/>
          <w:szCs w:val="22"/>
          <w:lang w:eastAsia="en-US"/>
        </w:rPr>
        <w:noBreakHyphen/>
        <w:t>jelzett lozartán</w:t>
      </w:r>
      <w:r>
        <w:rPr>
          <w:sz w:val="22"/>
          <w:szCs w:val="22"/>
          <w:lang w:eastAsia="en-US"/>
        </w:rPr>
        <w:noBreakHyphen/>
        <w:t xml:space="preserve">kálium </w:t>
      </w: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>és intravénás adása után a keringő plazma radioaktivitása elsődlegesen a lozartánnak és aktív metabolitjának tudható be. A lozartán aktív metabolittá való minimális átalakulását a vizsgált személyek mintegy egy százalékánál észlelték.</w:t>
      </w:r>
    </w:p>
    <w:p w14:paraId="7D1067A7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9657204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aktív metaboliton kívül inaktív metabolitok is képződnek.</w:t>
      </w:r>
    </w:p>
    <w:p w14:paraId="43D4098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387D4BB1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Elimináció</w:t>
      </w:r>
    </w:p>
    <w:p w14:paraId="39CD9720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plazma</w:t>
      </w:r>
      <w:r>
        <w:rPr>
          <w:sz w:val="22"/>
          <w:szCs w:val="22"/>
          <w:lang w:eastAsia="en-US"/>
        </w:rPr>
        <w:noBreakHyphen/>
        <w:t>clearance</w:t>
      </w:r>
      <w:r>
        <w:rPr>
          <w:sz w:val="22"/>
          <w:szCs w:val="22"/>
          <w:lang w:eastAsia="en-US"/>
        </w:rPr>
        <w:noBreakHyphen/>
        <w:t>e hozzávetőleg 600 ml/perc, aktív metabolitjáé pedig hozzávetőleg 50 ml/perc. A lozartán, ill. aktív metabolitjának renalis clearance</w:t>
      </w:r>
      <w:r>
        <w:rPr>
          <w:sz w:val="22"/>
          <w:szCs w:val="22"/>
          <w:lang w:eastAsia="en-US"/>
        </w:rPr>
        <w:noBreakHyphen/>
        <w:t>e külön</w:t>
      </w:r>
      <w:r>
        <w:rPr>
          <w:sz w:val="22"/>
          <w:szCs w:val="22"/>
          <w:lang w:eastAsia="en-US"/>
        </w:rPr>
        <w:noBreakHyphen/>
        <w:t xml:space="preserve">külön hozzávetőleg 74 ml/perc, ill. 26 ml/perc. Ha a lozartánt </w:t>
      </w: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>alkalmazzák, a dózis mintegy 4%</w:t>
      </w:r>
      <w:r>
        <w:rPr>
          <w:sz w:val="22"/>
          <w:szCs w:val="22"/>
          <w:lang w:eastAsia="en-US"/>
        </w:rPr>
        <w:noBreakHyphen/>
        <w:t>a ürül változatlan formában a vizelettel, és mintegy 6%</w:t>
      </w:r>
      <w:r>
        <w:rPr>
          <w:sz w:val="22"/>
          <w:szCs w:val="22"/>
          <w:lang w:eastAsia="en-US"/>
        </w:rPr>
        <w:noBreakHyphen/>
        <w:t>a ürül a vizelettel aktív metabolitként. Legfeljebb 200 mg</w:t>
      </w:r>
      <w:r>
        <w:rPr>
          <w:sz w:val="22"/>
          <w:szCs w:val="22"/>
          <w:lang w:eastAsia="en-US"/>
        </w:rPr>
        <w:noBreakHyphen/>
        <w:t xml:space="preserve">os </w:t>
      </w:r>
      <w:r>
        <w:rPr>
          <w:i/>
          <w:iCs/>
          <w:sz w:val="22"/>
          <w:szCs w:val="22"/>
          <w:lang w:eastAsia="en-US"/>
        </w:rPr>
        <w:t xml:space="preserve">per os </w:t>
      </w:r>
      <w:r>
        <w:rPr>
          <w:sz w:val="22"/>
          <w:szCs w:val="22"/>
          <w:lang w:eastAsia="en-US"/>
        </w:rPr>
        <w:t>lozartán</w:t>
      </w:r>
      <w:r>
        <w:rPr>
          <w:sz w:val="22"/>
          <w:szCs w:val="22"/>
          <w:lang w:eastAsia="en-US"/>
        </w:rPr>
        <w:noBreakHyphen/>
        <w:t>kálium adagig a lozartán és aktív metabolitjának farmakokinetikája lineáris.</w:t>
      </w:r>
    </w:p>
    <w:p w14:paraId="1F2B6797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5F31D1D6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lastRenderedPageBreak/>
        <w:t xml:space="preserve">Per os </w:t>
      </w:r>
      <w:r>
        <w:rPr>
          <w:sz w:val="22"/>
          <w:szCs w:val="22"/>
          <w:lang w:eastAsia="en-US"/>
        </w:rPr>
        <w:t>adagolást követően a lozartán és aktív metabolitjának plazmakoncentrációja poliexponenciálisan csökken, a lozartán terminális felezési ideje kb. 2 óra, míg aktív metabolitjáé kb. 6</w:t>
      </w:r>
      <w:r>
        <w:rPr>
          <w:sz w:val="22"/>
          <w:szCs w:val="22"/>
          <w:lang w:eastAsia="en-US"/>
        </w:rPr>
        <w:noBreakHyphen/>
        <w:t>9 óra. Napi egyszer 100 mg</w:t>
      </w:r>
      <w:r>
        <w:rPr>
          <w:sz w:val="22"/>
          <w:szCs w:val="22"/>
          <w:lang w:eastAsia="en-US"/>
        </w:rPr>
        <w:noBreakHyphen/>
        <w:t>os adag esetén sem a lozartán, sem aktív metabolitja nem mutat szignifikáns akkumulációt a plazmában.</w:t>
      </w:r>
    </w:p>
    <w:p w14:paraId="154BF19C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D80B29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Mind az epe-, mind a húgyúti kiválasztódás hozzájárul a lozartán és metabolitjainak kiürüléséhez. Embereknél egy 14C</w:t>
      </w:r>
      <w:r>
        <w:rPr>
          <w:sz w:val="22"/>
          <w:szCs w:val="22"/>
          <w:lang w:eastAsia="en-US"/>
        </w:rPr>
        <w:noBreakHyphen/>
        <w:t xml:space="preserve">jelzett lozartán </w:t>
      </w: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>dózisának beadását</w:t>
      </w:r>
      <w:r>
        <w:rPr>
          <w:i/>
          <w:iCs/>
          <w:sz w:val="22"/>
          <w:szCs w:val="22"/>
          <w:lang w:eastAsia="en-US"/>
        </w:rPr>
        <w:t>/</w:t>
      </w:r>
      <w:r>
        <w:rPr>
          <w:sz w:val="22"/>
          <w:szCs w:val="22"/>
          <w:lang w:eastAsia="en-US"/>
        </w:rPr>
        <w:t>intravénás alkalmazását követően a radioaktivitás kb. 35%/43%-a nyerhető vissza a vizeletből és 58%/50%-a a székletből.</w:t>
      </w:r>
    </w:p>
    <w:p w14:paraId="6D50C257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E3C823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Speciális betegcsoportok</w:t>
      </w:r>
    </w:p>
    <w:p w14:paraId="025D10BE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időskorú hypertoniás betegeknél a lozartán és aktív metabolitjának plazmakoncentrációi alapvetően nem térnek el a fiatal hypertoniás betegeknél tapasztaltaktól.</w:t>
      </w:r>
    </w:p>
    <w:p w14:paraId="4757ED70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133CC62C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Hypertoniás nőbetegeknél a lozartán plazmaszintjei legfeljebb kétszer olyan magasak voltak, mint a hypertoniás férfibetegeknél, míg az aktív metabolit plazmaszintjei nem tértek el férfiak és nők esetén.</w:t>
      </w:r>
    </w:p>
    <w:p w14:paraId="1D8B405B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230A9A5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Enyhe és középsúlyos alkohol</w:t>
      </w:r>
      <w:r>
        <w:rPr>
          <w:sz w:val="22"/>
          <w:szCs w:val="22"/>
          <w:lang w:eastAsia="en-US"/>
        </w:rPr>
        <w:noBreakHyphen/>
        <w:t xml:space="preserve">indukált májcirrózisban </w:t>
      </w: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>adagolást követően a lozartán plazmakoncentrációja a fiatal önként jelentkező férfiak plazmakoncentráció</w:t>
      </w:r>
      <w:r>
        <w:rPr>
          <w:sz w:val="22"/>
          <w:szCs w:val="22"/>
          <w:lang w:eastAsia="en-US"/>
        </w:rPr>
        <w:noBreakHyphen/>
        <w:t>értékeinek 5</w:t>
      </w:r>
      <w:r>
        <w:rPr>
          <w:sz w:val="22"/>
          <w:szCs w:val="22"/>
          <w:lang w:eastAsia="en-US"/>
        </w:rPr>
        <w:noBreakHyphen/>
        <w:t>szöröse, aktív metabolitjának plazmakoncentrációja pedig 1,7</w:t>
      </w:r>
      <w:r>
        <w:rPr>
          <w:sz w:val="22"/>
          <w:szCs w:val="22"/>
          <w:lang w:eastAsia="en-US"/>
        </w:rPr>
        <w:noBreakHyphen/>
        <w:t>szerese volt (lásd 4.2 és 4.4 pont).</w:t>
      </w:r>
    </w:p>
    <w:p w14:paraId="1FE8D677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42785D90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plazmakoncentrációi nem változnak meg azoknál a betegeknél, akiknek kreatinin</w:t>
      </w:r>
      <w:r>
        <w:rPr>
          <w:sz w:val="22"/>
          <w:szCs w:val="22"/>
          <w:lang w:eastAsia="en-US"/>
        </w:rPr>
        <w:noBreakHyphen/>
        <w:t>clearance értéke 10 ml/perc felett van. Összehasonlítva a normál vesefunkcióval rendelkező betegekkel, a lozartán AUC</w:t>
      </w:r>
      <w:r>
        <w:rPr>
          <w:sz w:val="22"/>
          <w:szCs w:val="22"/>
          <w:lang w:eastAsia="en-US"/>
        </w:rPr>
        <w:noBreakHyphen/>
        <w:t>értéke kb. kétszer magasabb hemodializált betegek esetén.</w:t>
      </w:r>
    </w:p>
    <w:p w14:paraId="1EAA2EFD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aktív metabolit plazmakoncentrációja nem változik vesekárosodott vagy hemodializált betegek esetén.</w:t>
      </w:r>
    </w:p>
    <w:p w14:paraId="01D952F1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094F8F6B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Hemodialízissel sem a lozartán, sem aktív metabolitja nem távolítható el.</w:t>
      </w:r>
    </w:p>
    <w:p w14:paraId="4C3DA143" w14:textId="77777777" w:rsidR="00FB714F" w:rsidRDefault="00FB714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14:paraId="73606A4F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Farmakokinetika gyermekgyógyászati betegeknél</w:t>
      </w:r>
    </w:p>
    <w:p w14:paraId="54DB4798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lozartán farmakokinetikáját 50, egy hónaposnál idősebb, de 16 évesnél fiatalabb hypertoniás gyermekgyógyászati betegnél vizsgálták, hozzávetőleg 0,54</w:t>
      </w:r>
      <w:r>
        <w:rPr>
          <w:sz w:val="22"/>
          <w:szCs w:val="22"/>
          <w:lang w:eastAsia="en-US"/>
        </w:rPr>
        <w:noBreakHyphen/>
        <w:t xml:space="preserve">0,77 mg/kg (átlagos dózis) lozartán naponta egyszer történő </w:t>
      </w: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>alkalmazását követően.</w:t>
      </w:r>
    </w:p>
    <w:p w14:paraId="7B566576" w14:textId="77777777" w:rsidR="00FB714F" w:rsidRDefault="00913E14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eredmények azt mutatták, hogy a lozartánból minden korcsoportban aktív metabolit képződik. Az eredmények szerint a </w:t>
      </w:r>
      <w:r>
        <w:rPr>
          <w:i/>
          <w:iCs/>
          <w:sz w:val="22"/>
          <w:szCs w:val="22"/>
          <w:lang w:eastAsia="en-US"/>
        </w:rPr>
        <w:t xml:space="preserve">per os </w:t>
      </w:r>
      <w:r>
        <w:rPr>
          <w:sz w:val="22"/>
          <w:szCs w:val="22"/>
          <w:lang w:eastAsia="en-US"/>
        </w:rPr>
        <w:t>alkalmazást követően a lozartán farmakokinetikai paraméterei nagyjából hasonlóak voltak a csecsemők és kisgyermekek, iskoláskor előtti gyermekek, iskoláskorú gyermekek és serdülők között. A metabolit farmakokinetikai paraméterei nagyobb különbséget mutattak a korcsoportok között. Ezek a különbségek az iskoláskor előtti gyermekeket serdülőkkel összehasonlítva statisztikailag szignifikánsak voltak. Összehasonlításképpen, az expozíció magas volt csecsemőknél/kisgyermekeknél.</w:t>
      </w:r>
    </w:p>
    <w:p w14:paraId="3C7F5881" w14:textId="77777777" w:rsidR="00FB714F" w:rsidRDefault="00FB714F">
      <w:pPr>
        <w:rPr>
          <w:sz w:val="22"/>
          <w:szCs w:val="22"/>
        </w:rPr>
      </w:pPr>
    </w:p>
    <w:p w14:paraId="7C73116B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5.3</w:t>
      </w:r>
      <w:r>
        <w:rPr>
          <w:b/>
          <w:sz w:val="22"/>
          <w:szCs w:val="22"/>
        </w:rPr>
        <w:tab/>
        <w:t>A preklinikai biztonságossági vizsgálatok eredményei</w:t>
      </w:r>
    </w:p>
    <w:p w14:paraId="65703DCA" w14:textId="77777777" w:rsidR="00FB714F" w:rsidRDefault="00FB714F">
      <w:pPr>
        <w:rPr>
          <w:bCs/>
          <w:sz w:val="22"/>
          <w:szCs w:val="22"/>
        </w:rPr>
      </w:pPr>
    </w:p>
    <w:p w14:paraId="1DFF5B68" w14:textId="7FD87141" w:rsidR="00FB714F" w:rsidRDefault="00913E14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Az általános farmakológiai, genotoxicitási és karcinogenitási potenciált vizsgáló hagyományos vizsgálatok alapján a preklinikai adatok azt igazolták, hogy a készítmény nem jelent különleges veszélyt az emberre. Az ismételt dózistoxicitási vizsgálatokban a lozartán alkalmazása a vörösvérsejtek paramétereinek (erythrocyták, hemoglobin, hemato</w:t>
      </w:r>
      <w:r w:rsidR="008E31D5">
        <w:rPr>
          <w:sz w:val="22"/>
          <w:szCs w:val="22"/>
          <w:lang w:eastAsia="en-US"/>
        </w:rPr>
        <w:t>k</w:t>
      </w:r>
      <w:r>
        <w:rPr>
          <w:sz w:val="22"/>
          <w:szCs w:val="22"/>
          <w:lang w:eastAsia="en-US"/>
        </w:rPr>
        <w:t>rit) csökkenését, a szérum karbamid</w:t>
      </w:r>
      <w:r>
        <w:rPr>
          <w:sz w:val="22"/>
          <w:szCs w:val="22"/>
          <w:lang w:eastAsia="en-US"/>
        </w:rPr>
        <w:noBreakHyphen/>
        <w:t>N növekedését, a szérum kreatinin alkalmankénti megemelkedését, a szív tömegének csökkenését (hisztológiai korreláció nélkül) és gastrointestin</w:t>
      </w:r>
      <w:r w:rsidR="008E31D5">
        <w:rPr>
          <w:sz w:val="22"/>
          <w:szCs w:val="22"/>
          <w:lang w:eastAsia="en-US"/>
        </w:rPr>
        <w:t>a</w:t>
      </w:r>
      <w:r>
        <w:rPr>
          <w:sz w:val="22"/>
          <w:szCs w:val="22"/>
          <w:lang w:eastAsia="en-US"/>
        </w:rPr>
        <w:t>lis változásokat (mucosus membránl</w:t>
      </w:r>
      <w:r w:rsidR="008E31D5">
        <w:rPr>
          <w:sz w:val="22"/>
          <w:szCs w:val="22"/>
          <w:lang w:eastAsia="en-US"/>
        </w:rPr>
        <w:t>éz</w:t>
      </w:r>
      <w:r>
        <w:rPr>
          <w:sz w:val="22"/>
          <w:szCs w:val="22"/>
          <w:lang w:eastAsia="en-US"/>
        </w:rPr>
        <w:t>iók, fekélyek, eróziók, haemorrhagia) okozott. Más, a renin</w:t>
      </w:r>
      <w:r>
        <w:rPr>
          <w:sz w:val="22"/>
          <w:szCs w:val="22"/>
          <w:lang w:eastAsia="en-US"/>
        </w:rPr>
        <w:noBreakHyphen/>
        <w:t>angiotenzin rendszerre közvetlenül ható szerekhez hasonlóan a lozartánról is kimutatták, hogy nemkívánatos hatásai vannak a késői magzati fejlődésre, magzati halált és malformációkat okozva.</w:t>
      </w:r>
    </w:p>
    <w:p w14:paraId="68626345" w14:textId="77777777" w:rsidR="00FB714F" w:rsidRDefault="00FB714F">
      <w:pPr>
        <w:rPr>
          <w:bCs/>
          <w:sz w:val="22"/>
          <w:szCs w:val="22"/>
        </w:rPr>
      </w:pPr>
    </w:p>
    <w:p w14:paraId="21873AA4" w14:textId="77777777" w:rsidR="00FB714F" w:rsidRDefault="00FB714F">
      <w:pPr>
        <w:rPr>
          <w:sz w:val="22"/>
          <w:szCs w:val="22"/>
        </w:rPr>
      </w:pPr>
    </w:p>
    <w:p w14:paraId="5BE1609F" w14:textId="77777777" w:rsidR="00FB714F" w:rsidRDefault="00913E14" w:rsidP="00AA1499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6.</w:t>
      </w:r>
      <w:r>
        <w:rPr>
          <w:b/>
          <w:sz w:val="22"/>
          <w:szCs w:val="22"/>
        </w:rPr>
        <w:tab/>
        <w:t>GYÓGYSZERÉSZETI JELLEMZŐK</w:t>
      </w:r>
    </w:p>
    <w:p w14:paraId="704492B1" w14:textId="77777777" w:rsidR="00FB714F" w:rsidRDefault="00FB714F" w:rsidP="00AA1499">
      <w:pPr>
        <w:keepNext/>
        <w:rPr>
          <w:sz w:val="22"/>
          <w:szCs w:val="22"/>
        </w:rPr>
      </w:pPr>
    </w:p>
    <w:p w14:paraId="11BC95D3" w14:textId="77777777" w:rsidR="00FB714F" w:rsidRDefault="00913E14" w:rsidP="00AA1499">
      <w:pPr>
        <w:keepNext/>
        <w:rPr>
          <w:b/>
          <w:sz w:val="22"/>
          <w:szCs w:val="22"/>
        </w:rPr>
      </w:pPr>
      <w:r>
        <w:rPr>
          <w:b/>
          <w:sz w:val="22"/>
          <w:szCs w:val="22"/>
        </w:rPr>
        <w:t>6.1</w:t>
      </w:r>
      <w:r>
        <w:rPr>
          <w:b/>
          <w:sz w:val="22"/>
          <w:szCs w:val="22"/>
        </w:rPr>
        <w:tab/>
        <w:t>Segédanyagok felsorolása</w:t>
      </w:r>
    </w:p>
    <w:p w14:paraId="0ACC8D82" w14:textId="77777777" w:rsidR="00FB714F" w:rsidRDefault="00FB714F" w:rsidP="00AA1499">
      <w:pPr>
        <w:keepNext/>
        <w:rPr>
          <w:sz w:val="22"/>
          <w:szCs w:val="22"/>
        </w:rPr>
      </w:pPr>
    </w:p>
    <w:p w14:paraId="645D5D23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Tablettamag:</w:t>
      </w:r>
    </w:p>
    <w:p w14:paraId="6CCAE84C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cellulóz por</w:t>
      </w:r>
    </w:p>
    <w:p w14:paraId="3F3E8A9E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laktóz-monohidrát</w:t>
      </w:r>
    </w:p>
    <w:p w14:paraId="5D58B586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hidegen duzzadó kukoricakeményítő</w:t>
      </w:r>
    </w:p>
    <w:p w14:paraId="2F38C5A0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kukoricakeményítő</w:t>
      </w:r>
    </w:p>
    <w:p w14:paraId="30024CD7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mikrokristályos cellulóz</w:t>
      </w:r>
    </w:p>
    <w:p w14:paraId="634A930B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vízmentes kolloid szilícium-dioxid (E551)</w:t>
      </w:r>
    </w:p>
    <w:p w14:paraId="3EF7FD04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magnézium-sztearát (E470b)</w:t>
      </w:r>
    </w:p>
    <w:p w14:paraId="4AB24B22" w14:textId="77777777" w:rsidR="00FB714F" w:rsidRDefault="00FB714F">
      <w:pPr>
        <w:tabs>
          <w:tab w:val="left" w:pos="600"/>
        </w:tabs>
        <w:rPr>
          <w:sz w:val="22"/>
          <w:szCs w:val="22"/>
        </w:rPr>
      </w:pPr>
    </w:p>
    <w:p w14:paraId="34F93889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Filmbevonat: </w:t>
      </w:r>
    </w:p>
    <w:p w14:paraId="57FAA9CC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hipromellóz 6 cP (E646)</w:t>
      </w:r>
    </w:p>
    <w:p w14:paraId="4650E2A2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talkum</w:t>
      </w:r>
    </w:p>
    <w:p w14:paraId="28132D6E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propilénglikol</w:t>
      </w:r>
    </w:p>
    <w:p w14:paraId="02C2A0DE" w14:textId="77777777" w:rsidR="00FB714F" w:rsidRDefault="00913E14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titán-dioxid (E171)</w:t>
      </w:r>
    </w:p>
    <w:p w14:paraId="7FA21832" w14:textId="77777777" w:rsidR="00FB714F" w:rsidRDefault="00FB714F">
      <w:pPr>
        <w:rPr>
          <w:sz w:val="22"/>
          <w:szCs w:val="22"/>
        </w:rPr>
      </w:pPr>
    </w:p>
    <w:p w14:paraId="0887352C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6.2</w:t>
      </w:r>
      <w:r>
        <w:rPr>
          <w:b/>
          <w:sz w:val="22"/>
          <w:szCs w:val="22"/>
        </w:rPr>
        <w:tab/>
        <w:t>Inkompatibilitások</w:t>
      </w:r>
    </w:p>
    <w:p w14:paraId="460F9EE4" w14:textId="77777777" w:rsidR="00FB714F" w:rsidRDefault="00FB714F">
      <w:pPr>
        <w:rPr>
          <w:sz w:val="22"/>
          <w:szCs w:val="22"/>
        </w:rPr>
      </w:pPr>
    </w:p>
    <w:p w14:paraId="604F7CB9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14:paraId="6470B4A0" w14:textId="77777777" w:rsidR="00FB714F" w:rsidRDefault="00FB714F">
      <w:pPr>
        <w:rPr>
          <w:sz w:val="22"/>
          <w:szCs w:val="22"/>
        </w:rPr>
      </w:pPr>
    </w:p>
    <w:p w14:paraId="52CE3BC9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6.3</w:t>
      </w:r>
      <w:r>
        <w:rPr>
          <w:b/>
          <w:sz w:val="22"/>
          <w:szCs w:val="22"/>
        </w:rPr>
        <w:tab/>
        <w:t>Felhasználhatósági időtartam</w:t>
      </w:r>
    </w:p>
    <w:p w14:paraId="4CD869CE" w14:textId="77777777" w:rsidR="00FB714F" w:rsidRDefault="00FB714F">
      <w:pPr>
        <w:rPr>
          <w:sz w:val="22"/>
          <w:szCs w:val="22"/>
        </w:rPr>
      </w:pPr>
    </w:p>
    <w:p w14:paraId="255FF13C" w14:textId="77777777" w:rsidR="00FB714F" w:rsidRDefault="00913E14">
      <w:pPr>
        <w:tabs>
          <w:tab w:val="left" w:pos="600"/>
        </w:tabs>
        <w:rPr>
          <w:sz w:val="22"/>
          <w:szCs w:val="22"/>
        </w:rPr>
      </w:pPr>
      <w:r>
        <w:rPr>
          <w:sz w:val="22"/>
          <w:szCs w:val="22"/>
        </w:rPr>
        <w:t>5 év.</w:t>
      </w:r>
    </w:p>
    <w:p w14:paraId="6CB645C3" w14:textId="77777777" w:rsidR="00FB714F" w:rsidRDefault="00FB714F">
      <w:pPr>
        <w:rPr>
          <w:sz w:val="22"/>
          <w:szCs w:val="22"/>
        </w:rPr>
      </w:pPr>
    </w:p>
    <w:p w14:paraId="279F482C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6.4</w:t>
      </w:r>
      <w:r>
        <w:rPr>
          <w:b/>
          <w:sz w:val="22"/>
          <w:szCs w:val="22"/>
        </w:rPr>
        <w:tab/>
        <w:t>Különleges tárolási előírások</w:t>
      </w:r>
    </w:p>
    <w:p w14:paraId="24A07D0E" w14:textId="77777777" w:rsidR="00FB714F" w:rsidRDefault="00FB714F">
      <w:pPr>
        <w:tabs>
          <w:tab w:val="left" w:pos="600"/>
        </w:tabs>
        <w:rPr>
          <w:i/>
          <w:sz w:val="22"/>
          <w:szCs w:val="22"/>
        </w:rPr>
      </w:pPr>
    </w:p>
    <w:p w14:paraId="3BEA36FC" w14:textId="77777777" w:rsidR="00FB714F" w:rsidRDefault="00913E14">
      <w:pPr>
        <w:tabs>
          <w:tab w:val="left" w:pos="600"/>
        </w:tabs>
        <w:rPr>
          <w:sz w:val="22"/>
          <w:szCs w:val="22"/>
        </w:rPr>
      </w:pPr>
      <w:r>
        <w:rPr>
          <w:noProof/>
          <w:sz w:val="22"/>
          <w:szCs w:val="22"/>
        </w:rPr>
        <w:t>Legfeljebb</w:t>
      </w:r>
      <w:r>
        <w:rPr>
          <w:b/>
          <w:noProof/>
          <w:sz w:val="22"/>
          <w:szCs w:val="22"/>
        </w:rPr>
        <w:t xml:space="preserve"> </w:t>
      </w:r>
      <w:r>
        <w:rPr>
          <w:noProof/>
          <w:sz w:val="22"/>
          <w:szCs w:val="22"/>
        </w:rPr>
        <w:t>30 °C</w:t>
      </w:r>
      <w:r>
        <w:rPr>
          <w:noProof/>
          <w:sz w:val="22"/>
          <w:szCs w:val="22"/>
        </w:rPr>
        <w:noBreakHyphen/>
        <w:t>on tárolandó</w:t>
      </w:r>
      <w:r>
        <w:rPr>
          <w:sz w:val="22"/>
          <w:szCs w:val="22"/>
        </w:rPr>
        <w:t>.</w:t>
      </w:r>
    </w:p>
    <w:p w14:paraId="234C4487" w14:textId="77777777" w:rsidR="00FB714F" w:rsidRDefault="00913E14">
      <w:pPr>
        <w:tabs>
          <w:tab w:val="left" w:pos="600"/>
        </w:tabs>
        <w:rPr>
          <w:sz w:val="22"/>
          <w:szCs w:val="22"/>
        </w:rPr>
      </w:pPr>
      <w:r>
        <w:rPr>
          <w:noProof/>
          <w:sz w:val="22"/>
          <w:szCs w:val="22"/>
        </w:rPr>
        <w:t>A nedvességtől való védelem érdekében a buborékcsomagolást tartsa a dobozában.</w:t>
      </w:r>
    </w:p>
    <w:p w14:paraId="3FEDC6DC" w14:textId="77777777" w:rsidR="00FB714F" w:rsidRDefault="00FB714F">
      <w:pPr>
        <w:rPr>
          <w:i/>
          <w:sz w:val="22"/>
          <w:szCs w:val="22"/>
        </w:rPr>
      </w:pPr>
    </w:p>
    <w:p w14:paraId="1FF2BB44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6.5</w:t>
      </w:r>
      <w:r>
        <w:rPr>
          <w:b/>
          <w:sz w:val="22"/>
          <w:szCs w:val="22"/>
        </w:rPr>
        <w:tab/>
        <w:t>Csomagolás típusa és kiszerelése</w:t>
      </w:r>
    </w:p>
    <w:p w14:paraId="3E06F546" w14:textId="77777777" w:rsidR="00FB714F" w:rsidRDefault="00FB714F">
      <w:pPr>
        <w:rPr>
          <w:sz w:val="22"/>
          <w:szCs w:val="22"/>
        </w:rPr>
      </w:pPr>
    </w:p>
    <w:p w14:paraId="2BFC428B" w14:textId="77777777" w:rsidR="00FB714F" w:rsidRDefault="00913E14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Losartan Krka 50 mg filmtabletta: </w:t>
      </w:r>
    </w:p>
    <w:p w14:paraId="0791863F" w14:textId="77777777" w:rsidR="00FB714F" w:rsidRDefault="00913E14">
      <w:pPr>
        <w:tabs>
          <w:tab w:val="left" w:pos="600"/>
        </w:tabs>
        <w:ind w:left="600" w:hanging="600"/>
        <w:rPr>
          <w:i/>
          <w:sz w:val="22"/>
          <w:szCs w:val="22"/>
        </w:rPr>
      </w:pPr>
      <w:r>
        <w:rPr>
          <w:i/>
          <w:sz w:val="22"/>
          <w:szCs w:val="22"/>
        </w:rPr>
        <w:t>Kiszerelés:</w:t>
      </w:r>
    </w:p>
    <w:p w14:paraId="74D7D7C1" w14:textId="77777777" w:rsidR="00FB714F" w:rsidRDefault="00913E14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10, 14, 15, 20, 28, 30, 50, 56, 60, 84, 90, 98, 100 filmtabletta, buborékcsomagolásban (7, 10, 14 vagy 15 db</w:t>
      </w:r>
      <w:r>
        <w:rPr>
          <w:sz w:val="22"/>
          <w:szCs w:val="22"/>
        </w:rPr>
        <w:noBreakHyphen/>
        <w:t>os, PVC/PVDC//Al) és dobozban.</w:t>
      </w:r>
    </w:p>
    <w:p w14:paraId="177D0226" w14:textId="77777777" w:rsidR="00FB714F" w:rsidRDefault="00FB714F">
      <w:pPr>
        <w:tabs>
          <w:tab w:val="left" w:pos="567"/>
        </w:tabs>
        <w:rPr>
          <w:sz w:val="22"/>
          <w:szCs w:val="22"/>
        </w:rPr>
      </w:pPr>
    </w:p>
    <w:p w14:paraId="31C8292C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14:paraId="66E04DC1" w14:textId="77777777" w:rsidR="00FB714F" w:rsidRDefault="00FB714F">
      <w:pPr>
        <w:tabs>
          <w:tab w:val="left" w:pos="567"/>
        </w:tabs>
        <w:rPr>
          <w:sz w:val="22"/>
          <w:szCs w:val="22"/>
        </w:rPr>
      </w:pPr>
    </w:p>
    <w:p w14:paraId="4613DDF9" w14:textId="77777777" w:rsidR="00FB714F" w:rsidRDefault="00913E14">
      <w:pPr>
        <w:tabs>
          <w:tab w:val="left" w:pos="600"/>
        </w:tabs>
        <w:ind w:left="600" w:hanging="60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Losartan Krka 100 mg filmtabletta:</w:t>
      </w:r>
    </w:p>
    <w:p w14:paraId="033772C7" w14:textId="77777777" w:rsidR="00FB714F" w:rsidRDefault="00913E14">
      <w:pPr>
        <w:tabs>
          <w:tab w:val="left" w:pos="600"/>
        </w:tabs>
        <w:ind w:left="600" w:hanging="600"/>
        <w:rPr>
          <w:i/>
          <w:sz w:val="22"/>
          <w:szCs w:val="22"/>
        </w:rPr>
      </w:pPr>
      <w:r>
        <w:rPr>
          <w:i/>
          <w:sz w:val="22"/>
          <w:szCs w:val="22"/>
        </w:rPr>
        <w:t>Kiszerelés:</w:t>
      </w:r>
    </w:p>
    <w:p w14:paraId="013ADD31" w14:textId="77777777" w:rsidR="00FB714F" w:rsidRDefault="00913E14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7, 10, 14, 15, 20, 28, 30, 50, 56, 60, 84, 90, 98, 100 filmtabletta, buborékcsomagolásban (7, 10, 14 vagy 15 db</w:t>
      </w:r>
      <w:r>
        <w:rPr>
          <w:sz w:val="22"/>
          <w:szCs w:val="22"/>
        </w:rPr>
        <w:noBreakHyphen/>
        <w:t>os, PVC/PVDC//Al) és dobozban.</w:t>
      </w:r>
    </w:p>
    <w:p w14:paraId="4A444A50" w14:textId="77777777" w:rsidR="00FB714F" w:rsidRDefault="00FB714F">
      <w:pPr>
        <w:rPr>
          <w:sz w:val="22"/>
          <w:szCs w:val="22"/>
        </w:rPr>
      </w:pPr>
    </w:p>
    <w:p w14:paraId="38E3C1AA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14:paraId="14895EFE" w14:textId="77777777" w:rsidR="00FB714F" w:rsidRDefault="00FB714F">
      <w:pPr>
        <w:rPr>
          <w:sz w:val="22"/>
          <w:szCs w:val="22"/>
        </w:rPr>
      </w:pPr>
    </w:p>
    <w:p w14:paraId="750DEDA4" w14:textId="77777777" w:rsidR="00FB714F" w:rsidRDefault="00913E14">
      <w:pPr>
        <w:ind w:left="567" w:hanging="567"/>
        <w:rPr>
          <w:b/>
          <w:noProof/>
          <w:sz w:val="22"/>
          <w:szCs w:val="22"/>
        </w:rPr>
      </w:pPr>
      <w:r>
        <w:rPr>
          <w:b/>
          <w:sz w:val="22"/>
          <w:szCs w:val="22"/>
        </w:rPr>
        <w:t>6.6</w:t>
      </w:r>
      <w:r>
        <w:rPr>
          <w:b/>
          <w:sz w:val="22"/>
          <w:szCs w:val="22"/>
        </w:rPr>
        <w:tab/>
      </w:r>
      <w:r>
        <w:rPr>
          <w:b/>
          <w:noProof/>
          <w:sz w:val="22"/>
          <w:szCs w:val="22"/>
        </w:rPr>
        <w:t>A megsemmisítésre vonatkozó különleges óvintézkedések</w:t>
      </w:r>
      <w:r>
        <w:rPr>
          <w:b/>
          <w:sz w:val="22"/>
          <w:szCs w:val="22"/>
        </w:rPr>
        <w:t xml:space="preserve"> </w:t>
      </w:r>
      <w:r>
        <w:rPr>
          <w:b/>
          <w:noProof/>
          <w:sz w:val="22"/>
          <w:szCs w:val="22"/>
        </w:rPr>
        <w:t>és egyéb, a készítmény kezelésével kapcsolatos információk</w:t>
      </w:r>
    </w:p>
    <w:p w14:paraId="3262B5B3" w14:textId="77777777" w:rsidR="00FB714F" w:rsidRDefault="00FB714F">
      <w:pPr>
        <w:rPr>
          <w:sz w:val="22"/>
          <w:szCs w:val="22"/>
        </w:rPr>
      </w:pPr>
    </w:p>
    <w:p w14:paraId="0FE15717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52D6D6A2" w14:textId="77777777" w:rsidR="00FB714F" w:rsidRDefault="00FB714F">
      <w:pPr>
        <w:rPr>
          <w:sz w:val="22"/>
          <w:szCs w:val="22"/>
        </w:rPr>
      </w:pPr>
    </w:p>
    <w:p w14:paraId="16F4F76B" w14:textId="77777777" w:rsidR="00FB714F" w:rsidRDefault="00913E14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Megjegyzés: </w:t>
      </w:r>
      <w:r>
        <w:rPr>
          <w:sz w:val="22"/>
          <w:szCs w:val="22"/>
        </w:rPr>
        <w:sym w:font="Wingdings" w:char="F058"/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(</w:t>
      </w:r>
      <w:r>
        <w:rPr>
          <w:sz w:val="22"/>
          <w:szCs w:val="22"/>
        </w:rPr>
        <w:t>egy kereszt)</w:t>
      </w:r>
    </w:p>
    <w:p w14:paraId="4EC4934B" w14:textId="77777777" w:rsidR="00FB714F" w:rsidRDefault="00913E14">
      <w:pPr>
        <w:pStyle w:val="Cmsor2"/>
        <w:numPr>
          <w:ilvl w:val="1"/>
          <w:numId w:val="32"/>
        </w:numPr>
        <w:suppressAutoHyphens/>
        <w:spacing w:before="0" w:after="0"/>
        <w:rPr>
          <w:rFonts w:ascii="Times New Roman" w:hAnsi="Times New Roman" w:cs="Times New Roman"/>
          <w:b w:val="0"/>
          <w:i w:val="0"/>
          <w:sz w:val="22"/>
          <w:szCs w:val="22"/>
          <w:lang w:val="hu-HU"/>
        </w:rPr>
      </w:pPr>
      <w:r>
        <w:rPr>
          <w:rFonts w:ascii="Times New Roman" w:hAnsi="Times New Roman" w:cs="Times New Roman"/>
          <w:b w:val="0"/>
          <w:i w:val="0"/>
          <w:sz w:val="22"/>
          <w:szCs w:val="22"/>
          <w:lang w:val="hu-HU"/>
        </w:rPr>
        <w:t>Osztályozás</w:t>
      </w:r>
      <w:r>
        <w:rPr>
          <w:rFonts w:ascii="Times New Roman" w:hAnsi="Times New Roman" w:cs="Times New Roman"/>
          <w:b w:val="0"/>
          <w:sz w:val="22"/>
          <w:szCs w:val="22"/>
          <w:lang w:val="hu-HU"/>
        </w:rPr>
        <w:t>: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 w:cs="Times New Roman"/>
          <w:i w:val="0"/>
          <w:sz w:val="22"/>
          <w:szCs w:val="22"/>
          <w:lang w:val="hu-HU"/>
        </w:rPr>
        <w:t>II. csoport</w:t>
      </w:r>
    </w:p>
    <w:p w14:paraId="665392C3" w14:textId="77777777" w:rsidR="00FB714F" w:rsidRDefault="00913E14">
      <w:pPr>
        <w:tabs>
          <w:tab w:val="left" w:pos="567"/>
        </w:tabs>
        <w:rPr>
          <w:b/>
          <w:noProof/>
          <w:color w:val="000000"/>
          <w:sz w:val="22"/>
          <w:szCs w:val="22"/>
        </w:rPr>
      </w:pPr>
      <w:r>
        <w:rPr>
          <w:sz w:val="22"/>
          <w:szCs w:val="22"/>
        </w:rPr>
        <w:t xml:space="preserve">Kizárólag orvosi rendelvényhez kötött gyógyszer (V). </w:t>
      </w:r>
    </w:p>
    <w:p w14:paraId="2F323FF9" w14:textId="77777777" w:rsidR="00FB714F" w:rsidRDefault="00FB714F">
      <w:pPr>
        <w:rPr>
          <w:sz w:val="22"/>
          <w:szCs w:val="22"/>
        </w:rPr>
      </w:pPr>
    </w:p>
    <w:p w14:paraId="35CCF3F9" w14:textId="77777777" w:rsidR="00FB714F" w:rsidRDefault="00FB714F">
      <w:pPr>
        <w:rPr>
          <w:sz w:val="22"/>
          <w:szCs w:val="22"/>
        </w:rPr>
      </w:pPr>
    </w:p>
    <w:p w14:paraId="12B859FF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7.</w:t>
      </w:r>
      <w:r>
        <w:rPr>
          <w:b/>
          <w:sz w:val="22"/>
          <w:szCs w:val="22"/>
        </w:rPr>
        <w:tab/>
        <w:t>A FORGALOMBA HOZATALI ENGEDÉLY JOGOSULTJA</w:t>
      </w:r>
    </w:p>
    <w:p w14:paraId="45614A80" w14:textId="77777777" w:rsidR="00FB714F" w:rsidRDefault="00FB714F">
      <w:pPr>
        <w:rPr>
          <w:sz w:val="22"/>
          <w:szCs w:val="22"/>
        </w:rPr>
      </w:pPr>
    </w:p>
    <w:p w14:paraId="4073F98D" w14:textId="77777777" w:rsidR="00FB714F" w:rsidRDefault="00913E14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KRKA, d.d., Novo mesto, Šmarješka cesta 6, 8501 Novo mesto, Szlovénia</w:t>
      </w:r>
    </w:p>
    <w:p w14:paraId="3C396306" w14:textId="77777777" w:rsidR="00FB714F" w:rsidRDefault="00FB714F">
      <w:pPr>
        <w:rPr>
          <w:sz w:val="22"/>
          <w:szCs w:val="22"/>
        </w:rPr>
      </w:pPr>
    </w:p>
    <w:p w14:paraId="0098BDFE" w14:textId="77777777" w:rsidR="00FB714F" w:rsidRDefault="00FB714F">
      <w:pPr>
        <w:rPr>
          <w:sz w:val="22"/>
          <w:szCs w:val="22"/>
        </w:rPr>
      </w:pPr>
    </w:p>
    <w:p w14:paraId="7EBD6075" w14:textId="77777777" w:rsidR="00FB714F" w:rsidRDefault="00913E14">
      <w:pPr>
        <w:rPr>
          <w:b/>
          <w:sz w:val="22"/>
          <w:szCs w:val="22"/>
        </w:rPr>
      </w:pPr>
      <w:r>
        <w:rPr>
          <w:b/>
          <w:sz w:val="22"/>
          <w:szCs w:val="22"/>
        </w:rPr>
        <w:t>8.</w:t>
      </w:r>
      <w:r>
        <w:rPr>
          <w:b/>
          <w:sz w:val="22"/>
          <w:szCs w:val="22"/>
        </w:rPr>
        <w:tab/>
        <w:t>A FORGALOMBA HOZATALI ENGEDÉLY SZÁMA(I)</w:t>
      </w:r>
    </w:p>
    <w:p w14:paraId="422A68A2" w14:textId="77777777" w:rsidR="00FB714F" w:rsidRDefault="00FB714F">
      <w:pPr>
        <w:rPr>
          <w:sz w:val="22"/>
          <w:szCs w:val="22"/>
        </w:rPr>
      </w:pPr>
    </w:p>
    <w:p w14:paraId="6FFCE517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  <w:u w:val="single"/>
        </w:rPr>
        <w:t>Losartan Krka 50 mg filmtabletta</w:t>
      </w:r>
    </w:p>
    <w:p w14:paraId="53EDA62E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/07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14:paraId="5F0D123E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/08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14:paraId="1381C512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/09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56×</w:t>
      </w:r>
    </w:p>
    <w:p w14:paraId="7471F045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14:paraId="521B71C3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84×</w:t>
      </w:r>
    </w:p>
    <w:p w14:paraId="01E838DC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90×</w:t>
      </w:r>
    </w:p>
    <w:p w14:paraId="44D9FC6E" w14:textId="77777777" w:rsidR="00FB714F" w:rsidRDefault="00FB714F">
      <w:pPr>
        <w:rPr>
          <w:sz w:val="22"/>
          <w:szCs w:val="22"/>
        </w:rPr>
      </w:pPr>
    </w:p>
    <w:p w14:paraId="79B5DDC1" w14:textId="77777777" w:rsidR="00FB714F" w:rsidRDefault="00913E14">
      <w:pPr>
        <w:rPr>
          <w:sz w:val="22"/>
          <w:szCs w:val="22"/>
        </w:rPr>
      </w:pPr>
      <w:r>
        <w:rPr>
          <w:sz w:val="22"/>
          <w:szCs w:val="22"/>
          <w:u w:val="single"/>
        </w:rPr>
        <w:t>Losartan Krka 100 mg filmtabletta</w:t>
      </w:r>
    </w:p>
    <w:p w14:paraId="51092521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14:paraId="66E2521B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/14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14:paraId="1374BDF6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56×</w:t>
      </w:r>
    </w:p>
    <w:p w14:paraId="00A84C48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/16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14:paraId="53830553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84×</w:t>
      </w:r>
    </w:p>
    <w:p w14:paraId="64703092" w14:textId="77777777" w:rsidR="00FB714F" w:rsidRDefault="00913E14">
      <w:pPr>
        <w:rPr>
          <w:sz w:val="22"/>
          <w:szCs w:val="22"/>
        </w:rPr>
      </w:pPr>
      <w:r>
        <w:rPr>
          <w:color w:val="000000"/>
          <w:sz w:val="22"/>
          <w:szCs w:val="22"/>
        </w:rPr>
        <w:t>OGYI-T-22063</w:t>
      </w:r>
      <w:r>
        <w:rPr>
          <w:sz w:val="22"/>
          <w:szCs w:val="22"/>
        </w:rPr>
        <w:t>/18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90×</w:t>
      </w:r>
    </w:p>
    <w:p w14:paraId="3F043A2A" w14:textId="77777777" w:rsidR="00FB714F" w:rsidRDefault="00FB714F">
      <w:pPr>
        <w:rPr>
          <w:sz w:val="22"/>
          <w:szCs w:val="22"/>
        </w:rPr>
      </w:pPr>
    </w:p>
    <w:p w14:paraId="20383108" w14:textId="77777777" w:rsidR="00FB714F" w:rsidRDefault="00FB714F">
      <w:pPr>
        <w:rPr>
          <w:sz w:val="22"/>
          <w:szCs w:val="22"/>
        </w:rPr>
      </w:pPr>
    </w:p>
    <w:p w14:paraId="26BDB63B" w14:textId="77777777" w:rsidR="00FB714F" w:rsidRDefault="00913E14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9.</w:t>
      </w:r>
      <w:r>
        <w:rPr>
          <w:b/>
          <w:sz w:val="22"/>
          <w:szCs w:val="22"/>
        </w:rPr>
        <w:tab/>
        <w:t>A FORGALOMBA HOZATALI ENGEDÉLY ELSŐ KIADÁSÁNAK/ MEGÚJÍTÁSÁNAK DÁTUMA</w:t>
      </w:r>
    </w:p>
    <w:p w14:paraId="5704C35C" w14:textId="77777777" w:rsidR="00FB714F" w:rsidRDefault="00FB714F">
      <w:pPr>
        <w:rPr>
          <w:b/>
          <w:sz w:val="22"/>
          <w:szCs w:val="22"/>
        </w:rPr>
      </w:pPr>
    </w:p>
    <w:p w14:paraId="6CC776A9" w14:textId="77777777" w:rsidR="00FB714F" w:rsidRDefault="00913E14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A forgalomba hozatali engedély első kiadásának dátuma: </w:t>
      </w:r>
      <w:r>
        <w:rPr>
          <w:color w:val="000000"/>
          <w:sz w:val="22"/>
          <w:szCs w:val="22"/>
        </w:rPr>
        <w:t>2012. március 14.</w:t>
      </w:r>
    </w:p>
    <w:p w14:paraId="3B203438" w14:textId="77777777" w:rsidR="00FB714F" w:rsidRDefault="00913E14">
      <w:pPr>
        <w:suppressAutoHyphens/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A forgalomba hozatali engedély legutóbbi megújításának dátuma: 2015. január 14.</w:t>
      </w:r>
    </w:p>
    <w:p w14:paraId="5D8027E0" w14:textId="77777777" w:rsidR="00FB714F" w:rsidRDefault="00FB714F">
      <w:pPr>
        <w:rPr>
          <w:i/>
          <w:sz w:val="22"/>
          <w:szCs w:val="22"/>
        </w:rPr>
      </w:pPr>
    </w:p>
    <w:p w14:paraId="1886ACEC" w14:textId="77777777" w:rsidR="00FB714F" w:rsidRDefault="00FB714F">
      <w:pPr>
        <w:rPr>
          <w:i/>
          <w:sz w:val="22"/>
          <w:szCs w:val="22"/>
        </w:rPr>
      </w:pPr>
    </w:p>
    <w:p w14:paraId="01A48678" w14:textId="77777777" w:rsidR="00FB714F" w:rsidRDefault="00913E14">
      <w:pPr>
        <w:numPr>
          <w:ilvl w:val="0"/>
          <w:numId w:val="28"/>
        </w:numPr>
        <w:tabs>
          <w:tab w:val="clear" w:pos="930"/>
        </w:tabs>
        <w:ind w:left="0" w:firstLine="0"/>
        <w:rPr>
          <w:b/>
          <w:sz w:val="22"/>
          <w:szCs w:val="22"/>
        </w:rPr>
      </w:pPr>
      <w:r>
        <w:rPr>
          <w:b/>
          <w:sz w:val="22"/>
          <w:szCs w:val="22"/>
        </w:rPr>
        <w:t>A SZÖVEG ELLENŐRZÉSÉNEK DÁTUMA:</w:t>
      </w:r>
    </w:p>
    <w:p w14:paraId="1FC76DEE" w14:textId="77777777" w:rsidR="00FB714F" w:rsidRDefault="00FB714F">
      <w:pPr>
        <w:rPr>
          <w:noProof/>
          <w:sz w:val="22"/>
          <w:szCs w:val="22"/>
        </w:rPr>
      </w:pPr>
    </w:p>
    <w:p w14:paraId="40D1101D" w14:textId="77777777" w:rsidR="008E31D5" w:rsidRDefault="008E31D5" w:rsidP="008E31D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2025. május 23.</w:t>
      </w:r>
    </w:p>
    <w:p w14:paraId="2F6406E9" w14:textId="2D7DCE6A" w:rsidR="00FB714F" w:rsidRDefault="00FB714F" w:rsidP="008E31D5">
      <w:pPr>
        <w:rPr>
          <w:noProof/>
          <w:sz w:val="22"/>
          <w:szCs w:val="22"/>
        </w:rPr>
      </w:pPr>
    </w:p>
    <w:sectPr w:rsidR="00FB714F">
      <w:headerReference w:type="even" r:id="rId9"/>
      <w:headerReference w:type="default" r:id="rId10"/>
      <w:footerReference w:type="default" r:id="rId11"/>
      <w:footerReference w:type="first" r:id="rId12"/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C7691" w14:textId="77777777" w:rsidR="00913E14" w:rsidRDefault="00913E14">
      <w:r>
        <w:separator/>
      </w:r>
    </w:p>
  </w:endnote>
  <w:endnote w:type="continuationSeparator" w:id="0">
    <w:p w14:paraId="22E52F32" w14:textId="77777777" w:rsidR="00913E14" w:rsidRDefault="00913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BDD5F" w14:textId="77777777" w:rsidR="00913E14" w:rsidRDefault="00913E14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D8DE4" w14:textId="77777777" w:rsidR="00913E14" w:rsidRPr="00913E14" w:rsidRDefault="00913E14" w:rsidP="00913E14">
    <w:pPr>
      <w:pStyle w:val="llb"/>
      <w:rPr>
        <w:rFonts w:ascii="Times New Roman" w:hAnsi="Times New Roman"/>
        <w:sz w:val="18"/>
        <w:szCs w:val="18"/>
      </w:rPr>
    </w:pPr>
    <w:r w:rsidRPr="00913E14">
      <w:rPr>
        <w:rFonts w:ascii="Times New Roman" w:hAnsi="Times New Roman"/>
        <w:sz w:val="18"/>
        <w:szCs w:val="18"/>
      </w:rPr>
      <w:t>NNGYK/ETGY/15656/2025</w:t>
    </w:r>
  </w:p>
  <w:p w14:paraId="49B0C977" w14:textId="7CB5AC3D" w:rsidR="00913E14" w:rsidRDefault="00913E14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913E14">
      <w:rPr>
        <w:rFonts w:ascii="Times New Roman" w:hAnsi="Times New Roman"/>
        <w:sz w:val="18"/>
        <w:szCs w:val="18"/>
      </w:rPr>
      <w:t>NNGYK/ETGY/15658/2025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49863" w14:textId="77777777" w:rsidR="00913E14" w:rsidRDefault="00913E14">
      <w:r>
        <w:separator/>
      </w:r>
    </w:p>
  </w:footnote>
  <w:footnote w:type="continuationSeparator" w:id="0">
    <w:p w14:paraId="411E9639" w14:textId="77777777" w:rsidR="00913E14" w:rsidRDefault="00913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D1838" w14:textId="77777777" w:rsidR="00913E14" w:rsidRDefault="00913E1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916D4C4" w14:textId="77777777" w:rsidR="00913E14" w:rsidRDefault="00913E1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0F8B" w14:textId="1E1C0C15" w:rsidR="00913E14" w:rsidRDefault="00913E14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 w:rsidR="00AA1499">
      <w:rPr>
        <w:noProof/>
        <w:sz w:val="18"/>
        <w:szCs w:val="18"/>
      </w:rPr>
      <w:t>18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 w15:restartNumberingAfterBreak="0">
    <w:nsid w:val="03103477"/>
    <w:multiLevelType w:val="hybridMultilevel"/>
    <w:tmpl w:val="B2CCA8CC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06071BD"/>
    <w:multiLevelType w:val="hybridMultilevel"/>
    <w:tmpl w:val="539E3622"/>
    <w:lvl w:ilvl="0" w:tplc="77463972">
      <w:start w:val="4"/>
      <w:numFmt w:val="bullet"/>
      <w:lvlText w:val="-"/>
      <w:lvlJc w:val="left"/>
      <w:pPr>
        <w:tabs>
          <w:tab w:val="num" w:pos="363"/>
        </w:tabs>
        <w:ind w:left="0" w:firstLine="3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723"/>
        </w:tabs>
        <w:ind w:left="72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3"/>
        </w:tabs>
        <w:ind w:left="144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3"/>
        </w:tabs>
        <w:ind w:left="216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3"/>
        </w:tabs>
        <w:ind w:left="288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3"/>
        </w:tabs>
        <w:ind w:left="432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3"/>
        </w:tabs>
        <w:ind w:left="504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3"/>
        </w:tabs>
        <w:ind w:left="5763" w:hanging="180"/>
      </w:pPr>
    </w:lvl>
  </w:abstractNum>
  <w:abstractNum w:abstractNumId="15" w15:restartNumberingAfterBreak="0">
    <w:nsid w:val="108911F1"/>
    <w:multiLevelType w:val="multilevel"/>
    <w:tmpl w:val="B7AE1A6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1CEA67BB"/>
    <w:multiLevelType w:val="hybridMultilevel"/>
    <w:tmpl w:val="6AA6E9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1B0794"/>
    <w:multiLevelType w:val="hybridMultilevel"/>
    <w:tmpl w:val="B7AE1A6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ACE569E"/>
    <w:multiLevelType w:val="multilevel"/>
    <w:tmpl w:val="EA9CECC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B285DF9"/>
    <w:multiLevelType w:val="hybridMultilevel"/>
    <w:tmpl w:val="EA9CECCC"/>
    <w:lvl w:ilvl="0" w:tplc="B20C003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0D16F5D"/>
    <w:multiLevelType w:val="hybridMultilevel"/>
    <w:tmpl w:val="49245D34"/>
    <w:lvl w:ilvl="0" w:tplc="77463972">
      <w:start w:val="4"/>
      <w:numFmt w:val="bullet"/>
      <w:lvlText w:val="-"/>
      <w:lvlJc w:val="left"/>
      <w:pPr>
        <w:tabs>
          <w:tab w:val="num" w:pos="1200"/>
        </w:tabs>
        <w:ind w:left="837" w:firstLine="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1" w15:restartNumberingAfterBreak="0">
    <w:nsid w:val="386B1F73"/>
    <w:multiLevelType w:val="hybridMultilevel"/>
    <w:tmpl w:val="17EE45D6"/>
    <w:lvl w:ilvl="0" w:tplc="A4722B7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D140EB"/>
    <w:multiLevelType w:val="hybridMultilevel"/>
    <w:tmpl w:val="A5CAC232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FA09D7"/>
    <w:multiLevelType w:val="multilevel"/>
    <w:tmpl w:val="28686E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405813"/>
    <w:multiLevelType w:val="hybridMultilevel"/>
    <w:tmpl w:val="28686E04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90D085D"/>
    <w:multiLevelType w:val="hybridMultilevel"/>
    <w:tmpl w:val="F40CFF9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3E7325"/>
    <w:multiLevelType w:val="hybridMultilevel"/>
    <w:tmpl w:val="4BAEABDE"/>
    <w:lvl w:ilvl="0" w:tplc="DE5AD7D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2D547C3"/>
    <w:multiLevelType w:val="hybridMultilevel"/>
    <w:tmpl w:val="7012F3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D175F"/>
    <w:multiLevelType w:val="hybridMultilevel"/>
    <w:tmpl w:val="352C6B6E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53438D"/>
    <w:multiLevelType w:val="hybridMultilevel"/>
    <w:tmpl w:val="37D0AB2A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4"/>
  </w:num>
  <w:num w:numId="12">
    <w:abstractNumId w:val="13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8"/>
  </w:num>
  <w:num w:numId="15">
    <w:abstractNumId w:val="30"/>
  </w:num>
  <w:num w:numId="16">
    <w:abstractNumId w:val="25"/>
  </w:num>
  <w:num w:numId="17">
    <w:abstractNumId w:val="12"/>
  </w:num>
  <w:num w:numId="18">
    <w:abstractNumId w:val="26"/>
  </w:num>
  <w:num w:numId="19">
    <w:abstractNumId w:val="23"/>
  </w:num>
  <w:num w:numId="20">
    <w:abstractNumId w:val="19"/>
  </w:num>
  <w:num w:numId="21">
    <w:abstractNumId w:val="18"/>
  </w:num>
  <w:num w:numId="22">
    <w:abstractNumId w:val="17"/>
  </w:num>
  <w:num w:numId="23">
    <w:abstractNumId w:val="15"/>
  </w:num>
  <w:num w:numId="24">
    <w:abstractNumId w:val="14"/>
  </w:num>
  <w:num w:numId="25">
    <w:abstractNumId w:val="20"/>
  </w:num>
  <w:num w:numId="26">
    <w:abstractNumId w:val="22"/>
  </w:num>
  <w:num w:numId="27">
    <w:abstractNumId w:val="31"/>
  </w:num>
  <w:num w:numId="28">
    <w:abstractNumId w:val="21"/>
  </w:num>
  <w:num w:numId="29">
    <w:abstractNumId w:val="29"/>
  </w:num>
  <w:num w:numId="30">
    <w:abstractNumId w:val="16"/>
  </w:num>
  <w:num w:numId="31">
    <w:abstractNumId w:val="2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14F"/>
    <w:rsid w:val="008E31D5"/>
    <w:rsid w:val="00913E14"/>
    <w:rsid w:val="00955D71"/>
    <w:rsid w:val="009D1736"/>
    <w:rsid w:val="00AA1499"/>
    <w:rsid w:val="00C330AB"/>
    <w:rsid w:val="00E1667C"/>
    <w:rsid w:val="00EB25B0"/>
    <w:rsid w:val="00FB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metricconverter"/>
  <w:shapeDefaults>
    <o:shapedefaults v:ext="edit" spidmax="27649"/>
    <o:shapelayout v:ext="edit">
      <o:idmap v:ext="edit" data="1"/>
    </o:shapelayout>
  </w:shapeDefaults>
  <w:decimalSymbol w:val=","/>
  <w:listSeparator w:val=";"/>
  <w14:docId w14:val="3694A5C7"/>
  <w15:chartTrackingRefBased/>
  <w15:docId w15:val="{E230C837-8D4D-45E0-947C-413AF848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paragraph" w:styleId="Cmsor2">
    <w:name w:val="heading 2"/>
    <w:aliases w:val="D70AR2"/>
    <w:basedOn w:val="Norml"/>
    <w:next w:val="Norm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pPr>
      <w:spacing w:before="100" w:beforeAutospacing="1" w:after="100" w:afterAutospacing="1"/>
    </w:pPr>
    <w:rPr>
      <w:lang w:val="en-US" w:eastAsia="en-US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Szvegtrzs">
    <w:name w:val="Body Text"/>
    <w:basedOn w:val="Norml"/>
    <w:rPr>
      <w:sz w:val="22"/>
      <w:szCs w:val="20"/>
      <w:lang w:val="en-GB" w:eastAsia="en-US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uppressAutoHyphens/>
      <w:spacing w:line="260" w:lineRule="atLeast"/>
    </w:pPr>
    <w:rPr>
      <w:rFonts w:ascii="Helvetica" w:hAnsi="Helvetica"/>
      <w:sz w:val="16"/>
      <w:szCs w:val="20"/>
    </w:rPr>
  </w:style>
  <w:style w:type="paragraph" w:styleId="Jegyzetszveg">
    <w:name w:val="annotation text"/>
    <w:basedOn w:val="Norml"/>
    <w:semiHidden/>
    <w:pPr>
      <w:suppressAutoHyphens/>
      <w:spacing w:line="260" w:lineRule="exact"/>
    </w:pPr>
    <w:rPr>
      <w:sz w:val="20"/>
      <w:szCs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pPr>
      <w:suppressAutoHyphens w:val="0"/>
      <w:spacing w:line="240" w:lineRule="auto"/>
    </w:pPr>
    <w:rPr>
      <w:b/>
      <w:bCs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customStyle="1" w:styleId="02">
    <w:name w:val="02"/>
    <w:basedOn w:val="Norml"/>
    <w:pPr>
      <w:widowControl w:val="0"/>
      <w:suppressAutoHyphens/>
      <w:spacing w:before="120" w:after="120"/>
      <w:ind w:hanging="426"/>
    </w:pPr>
    <w:rPr>
      <w:rFonts w:eastAsia="HG Mincho Light J"/>
      <w:b/>
      <w:bCs/>
      <w:color w:val="000000"/>
      <w:sz w:val="22"/>
      <w:szCs w:val="22"/>
      <w:lang w:val="en-GB"/>
    </w:rPr>
  </w:style>
  <w:style w:type="paragraph" w:customStyle="1" w:styleId="MGGTextLeft">
    <w:name w:val="MGG Text Left"/>
    <w:basedOn w:val="Szvegtrzs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540E3-EAB1-4876-8554-09049483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6694</Words>
  <Characters>48377</Characters>
  <Application>Microsoft Office Word</Application>
  <DocSecurity>0</DocSecurity>
  <Lines>403</Lines>
  <Paragraphs>109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Lorista</vt:lpstr>
      <vt:lpstr>Lorista</vt:lpstr>
    </vt:vector>
  </TitlesOfParts>
  <Company>Pannon Program Kft</Company>
  <LinksUpToDate>false</LinksUpToDate>
  <CharactersWithSpaces>54962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Lorista</dc:title>
  <dc:subject/>
  <dc:creator>Windows XP</dc:creator>
  <cp:keywords/>
  <dc:description/>
  <cp:lastModifiedBy>HU_OGYEI_16.1.2</cp:lastModifiedBy>
  <cp:revision>3</cp:revision>
  <cp:lastPrinted>2012-10-10T07:46:00Z</cp:lastPrinted>
  <dcterms:created xsi:type="dcterms:W3CDTF">2026-04-10T14:48:00Z</dcterms:created>
  <dcterms:modified xsi:type="dcterms:W3CDTF">2026-04-10T14:48:00Z</dcterms:modified>
</cp:coreProperties>
</file>