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77AD1" w14:textId="77777777" w:rsidR="00D97F23" w:rsidRPr="002D0F02" w:rsidRDefault="00D97F23" w:rsidP="00344C73">
      <w:pPr>
        <w:keepNext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1.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 xml:space="preserve">A GYÓGYSZER </w:t>
      </w:r>
      <w:r w:rsidR="00620472" w:rsidRPr="002D0F02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30FF7CE8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54678B53" w14:textId="77777777" w:rsidR="00D97F23" w:rsidRPr="002822E8" w:rsidRDefault="00D97F23" w:rsidP="002D0F02">
      <w:pPr>
        <w:rPr>
          <w:rFonts w:ascii="Times New Roman" w:hAnsi="Times New Roman"/>
          <w:bCs/>
          <w:sz w:val="22"/>
          <w:szCs w:val="22"/>
          <w:lang w:val="hu-HU"/>
        </w:rPr>
      </w:pPr>
      <w:r w:rsidRPr="002822E8">
        <w:rPr>
          <w:rFonts w:ascii="Times New Roman" w:hAnsi="Times New Roman"/>
          <w:bCs/>
          <w:sz w:val="22"/>
          <w:szCs w:val="22"/>
          <w:lang w:val="hu-HU"/>
        </w:rPr>
        <w:t>Mero</w:t>
      </w:r>
      <w:r w:rsidR="00FE773F" w:rsidRPr="002822E8">
        <w:rPr>
          <w:rFonts w:ascii="Times New Roman" w:hAnsi="Times New Roman"/>
          <w:bCs/>
          <w:sz w:val="22"/>
          <w:szCs w:val="22"/>
          <w:lang w:val="hu-HU"/>
        </w:rPr>
        <w:t>pe</w:t>
      </w:r>
      <w:r w:rsidRPr="002822E8">
        <w:rPr>
          <w:rFonts w:ascii="Times New Roman" w:hAnsi="Times New Roman"/>
          <w:bCs/>
          <w:sz w:val="22"/>
          <w:szCs w:val="22"/>
          <w:lang w:val="hu-HU"/>
        </w:rPr>
        <w:t xml:space="preserve">nem </w:t>
      </w:r>
      <w:r w:rsidR="004D5CDC" w:rsidRPr="002822E8">
        <w:rPr>
          <w:rFonts w:ascii="Times New Roman" w:hAnsi="Times New Roman"/>
          <w:bCs/>
          <w:sz w:val="22"/>
          <w:szCs w:val="22"/>
          <w:lang w:val="hu-HU"/>
        </w:rPr>
        <w:t xml:space="preserve">Kabi </w:t>
      </w:r>
      <w:r w:rsidR="00FE773F" w:rsidRPr="002822E8">
        <w:rPr>
          <w:rFonts w:ascii="Times New Roman" w:hAnsi="Times New Roman"/>
          <w:bCs/>
          <w:sz w:val="22"/>
          <w:szCs w:val="22"/>
          <w:lang w:val="hu-HU"/>
        </w:rPr>
        <w:t>500</w:t>
      </w:r>
      <w:r w:rsidR="00737A21" w:rsidRPr="002822E8">
        <w:rPr>
          <w:rFonts w:ascii="Times New Roman" w:hAnsi="Times New Roman"/>
          <w:bCs/>
          <w:sz w:val="22"/>
          <w:szCs w:val="22"/>
          <w:lang w:val="hu-HU"/>
        </w:rPr>
        <w:t xml:space="preserve"> mg </w:t>
      </w:r>
      <w:r w:rsidRPr="002822E8">
        <w:rPr>
          <w:rFonts w:ascii="Times New Roman" w:hAnsi="Times New Roman"/>
          <w:bCs/>
          <w:sz w:val="22"/>
          <w:szCs w:val="22"/>
          <w:lang w:val="hu-HU"/>
        </w:rPr>
        <w:t>por oldatos injekcióhoz</w:t>
      </w:r>
      <w:r w:rsidR="00BF5BE5" w:rsidRPr="002822E8">
        <w:rPr>
          <w:rFonts w:ascii="Times New Roman" w:hAnsi="Times New Roman"/>
          <w:bCs/>
          <w:sz w:val="22"/>
          <w:szCs w:val="22"/>
          <w:lang w:val="hu-HU"/>
        </w:rPr>
        <w:t xml:space="preserve"> vagy infúzióhoz</w:t>
      </w:r>
    </w:p>
    <w:p w14:paraId="2358CE17" w14:textId="77777777" w:rsidR="00FE773F" w:rsidRPr="002822E8" w:rsidRDefault="00FE773F" w:rsidP="002D0F02">
      <w:pPr>
        <w:rPr>
          <w:rFonts w:ascii="Times New Roman" w:hAnsi="Times New Roman"/>
          <w:bCs/>
          <w:sz w:val="22"/>
          <w:szCs w:val="22"/>
          <w:lang w:val="hu-HU"/>
        </w:rPr>
      </w:pPr>
      <w:r w:rsidRPr="002822E8">
        <w:rPr>
          <w:rFonts w:ascii="Times New Roman" w:hAnsi="Times New Roman"/>
          <w:bCs/>
          <w:sz w:val="22"/>
          <w:szCs w:val="22"/>
          <w:lang w:val="hu-HU"/>
        </w:rPr>
        <w:t xml:space="preserve">Meropenem </w:t>
      </w:r>
      <w:r w:rsidR="004D5CDC" w:rsidRPr="002822E8">
        <w:rPr>
          <w:rFonts w:ascii="Times New Roman" w:hAnsi="Times New Roman"/>
          <w:bCs/>
          <w:sz w:val="22"/>
          <w:szCs w:val="22"/>
          <w:lang w:val="hu-HU"/>
        </w:rPr>
        <w:t xml:space="preserve">Kabi </w:t>
      </w:r>
      <w:smartTag w:uri="urn:schemas-microsoft-com:office:smarttags" w:element="metricconverter">
        <w:smartTagPr>
          <w:attr w:name="ProductID" w:val="1ﾠg"/>
        </w:smartTagPr>
        <w:r w:rsidRPr="002822E8">
          <w:rPr>
            <w:rFonts w:ascii="Times New Roman" w:hAnsi="Times New Roman"/>
            <w:bCs/>
            <w:sz w:val="22"/>
            <w:szCs w:val="22"/>
            <w:lang w:val="hu-HU"/>
          </w:rPr>
          <w:t>1 g</w:t>
        </w:r>
      </w:smartTag>
      <w:r w:rsidRPr="002822E8">
        <w:rPr>
          <w:rFonts w:ascii="Times New Roman" w:hAnsi="Times New Roman"/>
          <w:bCs/>
          <w:sz w:val="22"/>
          <w:szCs w:val="22"/>
          <w:lang w:val="hu-HU"/>
        </w:rPr>
        <w:t xml:space="preserve"> por oldatos injekcióhoz vagy infúzióhoz</w:t>
      </w:r>
    </w:p>
    <w:p w14:paraId="20E70127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92402DE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58EE659" w14:textId="77777777" w:rsidR="00D97F23" w:rsidRPr="002D0F02" w:rsidRDefault="00D97F23" w:rsidP="00344C73">
      <w:pPr>
        <w:keepNext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2.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MINŐSÉGI ÉS MENNYISÉGI ÖSSZETÉTEL</w:t>
      </w:r>
    </w:p>
    <w:p w14:paraId="6627CD28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FF655CB" w14:textId="77777777" w:rsidR="004D5CDC" w:rsidRPr="002D0F02" w:rsidRDefault="004D5CDC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>Meropenem Kabi 500 mg por oldatos injekcióhoz vagy infúzióhoz</w:t>
      </w:r>
    </w:p>
    <w:p w14:paraId="4846138E" w14:textId="77777777" w:rsidR="004D5CDC" w:rsidRPr="002D0F02" w:rsidRDefault="004D5CDC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500</w:t>
      </w:r>
      <w:r w:rsidR="00423122" w:rsidRPr="002D0F02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mg vízmentes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</w:t>
      </w:r>
      <w:r w:rsidR="00642328">
        <w:rPr>
          <w:rFonts w:ascii="Times New Roman" w:hAnsi="Times New Roman"/>
          <w:sz w:val="22"/>
          <w:szCs w:val="22"/>
          <w:lang w:val="hu-HU"/>
        </w:rPr>
        <w:t>et</w:t>
      </w:r>
      <w:proofErr w:type="spellEnd"/>
      <w:r w:rsidR="00642328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(</w:t>
      </w:r>
      <w:r w:rsidR="00D75B23" w:rsidRPr="002D0F02">
        <w:rPr>
          <w:rFonts w:ascii="Times New Roman" w:hAnsi="Times New Roman"/>
          <w:sz w:val="22"/>
          <w:szCs w:val="22"/>
          <w:lang w:val="hu-HU"/>
        </w:rPr>
        <w:t xml:space="preserve">570 mg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meropenem-trihidrát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formájában) injekciós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üvegenként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/infúziós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üvegenként</w:t>
      </w:r>
      <w:r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4368FB03" w14:textId="77777777" w:rsidR="004D5CDC" w:rsidRPr="002D0F02" w:rsidRDefault="004D5CDC" w:rsidP="002D0F02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2D72866C" w14:textId="77777777" w:rsidR="004D5CDC" w:rsidRPr="002D0F02" w:rsidRDefault="004D5CDC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bCs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oldatos injekcióhoz vagy infúzióhoz</w:t>
      </w:r>
    </w:p>
    <w:p w14:paraId="1D9B9908" w14:textId="77777777" w:rsidR="004D5CDC" w:rsidRPr="002D0F02" w:rsidRDefault="004D5CDC" w:rsidP="002D0F02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sz w:val="22"/>
            <w:szCs w:val="22"/>
            <w:lang w:val="hu-HU"/>
          </w:rPr>
          <w:t>1</w:t>
        </w:r>
        <w:r w:rsidR="00423122" w:rsidRPr="002D0F02">
          <w:rPr>
            <w:rFonts w:ascii="Times New Roman" w:hAnsi="Times New Roman"/>
            <w:sz w:val="22"/>
            <w:szCs w:val="22"/>
            <w:lang w:val="hu-HU"/>
          </w:rPr>
          <w:t> </w:t>
        </w:r>
        <w:r w:rsidRPr="002D0F02">
          <w:rPr>
            <w:rFonts w:ascii="Times New Roman" w:hAnsi="Times New Roman"/>
            <w:sz w:val="22"/>
            <w:szCs w:val="22"/>
            <w:lang w:val="hu-HU"/>
          </w:rPr>
          <w:t>g</w:t>
        </w:r>
      </w:smartTag>
      <w:r w:rsidRPr="002D0F02">
        <w:rPr>
          <w:rFonts w:ascii="Times New Roman" w:hAnsi="Times New Roman"/>
          <w:sz w:val="22"/>
          <w:szCs w:val="22"/>
          <w:lang w:val="hu-HU"/>
        </w:rPr>
        <w:t xml:space="preserve"> vízmentes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</w:t>
      </w:r>
      <w:r w:rsidR="00642328">
        <w:rPr>
          <w:rFonts w:ascii="Times New Roman" w:hAnsi="Times New Roman"/>
          <w:sz w:val="22"/>
          <w:szCs w:val="22"/>
          <w:lang w:val="hu-HU"/>
        </w:rPr>
        <w:t>et</w:t>
      </w:r>
      <w:proofErr w:type="spellEnd"/>
      <w:r w:rsidR="00642328">
        <w:rPr>
          <w:rFonts w:ascii="Times New Roman" w:hAnsi="Times New Roman"/>
          <w:sz w:val="22"/>
          <w:szCs w:val="22"/>
          <w:lang w:val="hu-HU"/>
        </w:rPr>
        <w:t xml:space="preserve"> tartalmaz </w:t>
      </w:r>
      <w:r w:rsidRPr="002D0F02">
        <w:rPr>
          <w:rFonts w:ascii="Times New Roman" w:hAnsi="Times New Roman"/>
          <w:sz w:val="22"/>
          <w:szCs w:val="22"/>
          <w:lang w:val="hu-HU"/>
        </w:rPr>
        <w:t>(</w:t>
      </w:r>
      <w:r w:rsidR="00B57F33" w:rsidRPr="002D0F02">
        <w:rPr>
          <w:rFonts w:ascii="Times New Roman" w:hAnsi="Times New Roman"/>
          <w:sz w:val="22"/>
          <w:szCs w:val="22"/>
          <w:lang w:val="hu-HU"/>
        </w:rPr>
        <w:t xml:space="preserve">1140 mg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meropenem-trihidrát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formájában) injekciós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üvegenként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/infúziós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="003D231B" w:rsidRPr="002D0F02">
        <w:rPr>
          <w:rFonts w:ascii="Times New Roman" w:hAnsi="Times New Roman"/>
          <w:sz w:val="22"/>
          <w:szCs w:val="22"/>
          <w:lang w:val="hu-HU"/>
        </w:rPr>
        <w:t>üvege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nként</w:t>
      </w:r>
      <w:r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754A796E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52173A3" w14:textId="77777777" w:rsidR="00BF5BE5" w:rsidRPr="00626924" w:rsidRDefault="000170E8" w:rsidP="00344C7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626924">
        <w:rPr>
          <w:rFonts w:ascii="Times New Roman" w:hAnsi="Times New Roman"/>
          <w:sz w:val="22"/>
          <w:szCs w:val="22"/>
          <w:u w:val="single"/>
          <w:lang w:val="hu-HU"/>
        </w:rPr>
        <w:t>Ismert hatású s</w:t>
      </w:r>
      <w:r w:rsidR="00BF5BE5" w:rsidRPr="00626924">
        <w:rPr>
          <w:rFonts w:ascii="Times New Roman" w:hAnsi="Times New Roman"/>
          <w:sz w:val="22"/>
          <w:szCs w:val="22"/>
          <w:u w:val="single"/>
          <w:lang w:val="hu-HU"/>
        </w:rPr>
        <w:t>egédanyagok:</w:t>
      </w:r>
    </w:p>
    <w:p w14:paraId="2F5E05AA" w14:textId="77777777" w:rsidR="00335C89" w:rsidRDefault="00335C89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>Meropenem Kabi 500 mg por oldatos injekcióhoz vagy infúzióhoz</w:t>
      </w:r>
    </w:p>
    <w:p w14:paraId="450C0F3E" w14:textId="77777777" w:rsidR="00BF5BE5" w:rsidRDefault="00381775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1,96 mmol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(</w:t>
      </w:r>
      <w:r w:rsidR="004242E5">
        <w:rPr>
          <w:rFonts w:ascii="Times New Roman" w:hAnsi="Times New Roman"/>
          <w:sz w:val="22"/>
          <w:szCs w:val="22"/>
          <w:lang w:val="hu-HU"/>
        </w:rPr>
        <w:t>45,13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="004242E5">
        <w:rPr>
          <w:rFonts w:ascii="Times New Roman" w:hAnsi="Times New Roman"/>
          <w:sz w:val="22"/>
          <w:szCs w:val="22"/>
          <w:lang w:val="hu-HU"/>
        </w:rPr>
        <w:t>mg</w:t>
      </w:r>
      <w:r>
        <w:rPr>
          <w:rFonts w:ascii="Times New Roman" w:hAnsi="Times New Roman"/>
          <w:sz w:val="22"/>
          <w:szCs w:val="22"/>
          <w:lang w:val="hu-HU"/>
        </w:rPr>
        <w:t>)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nátriumot tartalmaz injekciós</w:t>
      </w:r>
      <w:r>
        <w:rPr>
          <w:rFonts w:ascii="Times New Roman" w:hAnsi="Times New Roman"/>
          <w:sz w:val="22"/>
          <w:szCs w:val="22"/>
          <w:lang w:val="hu-HU"/>
        </w:rPr>
        <w:t xml:space="preserve"> üvegenként/infúziós </w:t>
      </w:r>
      <w:r w:rsidR="004242E5">
        <w:rPr>
          <w:rFonts w:ascii="Times New Roman" w:hAnsi="Times New Roman"/>
          <w:sz w:val="22"/>
          <w:szCs w:val="22"/>
          <w:lang w:val="hu-HU"/>
        </w:rPr>
        <w:t>üvegenként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7AB1981C" w14:textId="77777777" w:rsidR="004242E5" w:rsidRDefault="004242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A255B2B" w14:textId="77777777" w:rsidR="00335C89" w:rsidRPr="002D0F02" w:rsidRDefault="00335C89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bCs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oldatos injekcióhoz vagy infúzióhoz</w:t>
      </w:r>
    </w:p>
    <w:p w14:paraId="562730CD" w14:textId="64CD76AA" w:rsidR="004242E5" w:rsidRPr="002D0F02" w:rsidRDefault="00381775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3,92 mmol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(</w:t>
      </w:r>
      <w:r w:rsidR="004242E5">
        <w:rPr>
          <w:rFonts w:ascii="Times New Roman" w:hAnsi="Times New Roman"/>
          <w:sz w:val="22"/>
          <w:szCs w:val="22"/>
          <w:lang w:val="hu-HU"/>
        </w:rPr>
        <w:t>90,25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="004242E5">
        <w:rPr>
          <w:rFonts w:ascii="Times New Roman" w:hAnsi="Times New Roman"/>
          <w:sz w:val="22"/>
          <w:szCs w:val="22"/>
          <w:lang w:val="hu-HU"/>
        </w:rPr>
        <w:t>mg</w:t>
      </w:r>
      <w:r>
        <w:rPr>
          <w:rFonts w:ascii="Times New Roman" w:hAnsi="Times New Roman"/>
          <w:sz w:val="22"/>
          <w:szCs w:val="22"/>
          <w:lang w:val="hu-HU"/>
        </w:rPr>
        <w:t>)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nátriumot tartalmaz injekciós</w:t>
      </w:r>
      <w:r w:rsidRPr="0038177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 xml:space="preserve">üvegenként/infúziós </w:t>
      </w:r>
      <w:r w:rsidR="004242E5">
        <w:rPr>
          <w:rFonts w:ascii="Times New Roman" w:hAnsi="Times New Roman"/>
          <w:sz w:val="22"/>
          <w:szCs w:val="22"/>
          <w:lang w:val="hu-HU"/>
        </w:rPr>
        <w:t>üvegenként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3887FA72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39FB650" w14:textId="3631524A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A segédanyagok teljes listáját lásd a 6.1</w:t>
      </w:r>
      <w:r w:rsidR="004F255E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pontban.</w:t>
      </w:r>
    </w:p>
    <w:p w14:paraId="3121FF2B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046E1E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A540C44" w14:textId="77777777" w:rsidR="00D97F23" w:rsidRPr="002D0F02" w:rsidRDefault="00D97F23" w:rsidP="00344C73">
      <w:pPr>
        <w:keepNext/>
        <w:outlineLvl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3.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GYÓGYSZERFORMA</w:t>
      </w:r>
    </w:p>
    <w:p w14:paraId="456767E4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B09803A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Por oldatos injekcióhoz</w:t>
      </w:r>
      <w:r w:rsidR="00BF5BE5" w:rsidRPr="002D0F02">
        <w:rPr>
          <w:rFonts w:ascii="Times New Roman" w:hAnsi="Times New Roman"/>
          <w:sz w:val="22"/>
          <w:szCs w:val="22"/>
          <w:lang w:val="hu-HU"/>
        </w:rPr>
        <w:t xml:space="preserve"> vagy infúzióhoz</w:t>
      </w:r>
      <w:r w:rsidR="00423122"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26890837" w14:textId="77777777" w:rsidR="00423122" w:rsidRPr="002D0F02" w:rsidRDefault="00423122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20CE2F8" w14:textId="394E4381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Fehér vagy </w:t>
      </w:r>
      <w:r w:rsidR="00A4713B">
        <w:rPr>
          <w:rFonts w:ascii="Times New Roman" w:hAnsi="Times New Roman"/>
          <w:sz w:val="22"/>
          <w:szCs w:val="22"/>
          <w:lang w:val="hu-HU"/>
        </w:rPr>
        <w:t>világos</w:t>
      </w:r>
      <w:r w:rsidRPr="002D0F02">
        <w:rPr>
          <w:rFonts w:ascii="Times New Roman" w:hAnsi="Times New Roman"/>
          <w:sz w:val="22"/>
          <w:szCs w:val="22"/>
          <w:lang w:val="hu-HU"/>
        </w:rPr>
        <w:t>sárga por.</w:t>
      </w:r>
    </w:p>
    <w:p w14:paraId="736C3EC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AB032EE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49E8C94" w14:textId="77777777" w:rsidR="00D97F23" w:rsidRPr="002D0F02" w:rsidRDefault="00D97F23" w:rsidP="00344C73">
      <w:pPr>
        <w:keepNext/>
        <w:outlineLvl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KLINIKAI JELLEMZŐK</w:t>
      </w:r>
    </w:p>
    <w:p w14:paraId="01840BD8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41C71D88" w14:textId="77777777" w:rsidR="00D97F23" w:rsidRPr="002D0F02" w:rsidRDefault="00D97F23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4.1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Terápiás javallatok</w:t>
      </w:r>
    </w:p>
    <w:p w14:paraId="0EC4CFDD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F670DFA" w14:textId="1D2EC49D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</w:t>
      </w:r>
      <w:r w:rsidR="004D5CDC" w:rsidRPr="002D0F02">
        <w:rPr>
          <w:rFonts w:ascii="Times New Roman" w:hAnsi="Times New Roman"/>
          <w:sz w:val="22"/>
          <w:szCs w:val="22"/>
          <w:lang w:val="hu-HU" w:eastAsia="hu-HU"/>
        </w:rPr>
        <w:t>pe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nem </w:t>
      </w:r>
      <w:r w:rsidR="004D5CDC" w:rsidRPr="002D0F02">
        <w:rPr>
          <w:rFonts w:ascii="Times New Roman" w:hAnsi="Times New Roman"/>
          <w:sz w:val="22"/>
          <w:szCs w:val="22"/>
          <w:lang w:val="hu-HU" w:eastAsia="hu-HU"/>
        </w:rPr>
        <w:t xml:space="preserve">Kabi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a következő fertőzések kezelésére javallt felnőtteknél</w:t>
      </w:r>
      <w:r w:rsidR="00C956A2">
        <w:rPr>
          <w:rFonts w:ascii="Times New Roman" w:hAnsi="Times New Roman"/>
          <w:sz w:val="22"/>
          <w:szCs w:val="22"/>
          <w:lang w:val="hu-HU" w:eastAsia="hu-HU"/>
        </w:rPr>
        <w:t>, serdülőknél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3 hónaposnál idősebb gyermekeknél (lásd 4.4 és 5.1</w:t>
      </w:r>
      <w:r w:rsidR="0080008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pont):</w:t>
      </w:r>
    </w:p>
    <w:p w14:paraId="1F900E9B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8D2187" w14:textId="77777777" w:rsidR="00BF5BE5" w:rsidRPr="002D0F02" w:rsidRDefault="00A53507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Súlyos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>neumonia</w:t>
      </w:r>
      <w:proofErr w:type="spellEnd"/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, beleértve a </w:t>
      </w:r>
      <w:proofErr w:type="spellStart"/>
      <w:r w:rsidR="004136F9">
        <w:rPr>
          <w:rFonts w:ascii="Times New Roman" w:hAnsi="Times New Roman"/>
          <w:sz w:val="22"/>
          <w:szCs w:val="22"/>
          <w:lang w:val="hu-HU" w:eastAsia="hu-HU"/>
        </w:rPr>
        <w:t>nosocomialis</w:t>
      </w:r>
      <w:proofErr w:type="spellEnd"/>
      <w:r w:rsidR="004136F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és a lélegeztetőgép</w:t>
      </w:r>
      <w:r w:rsidR="002B220C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okozta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>pneumoniát</w:t>
      </w:r>
      <w:proofErr w:type="spellEnd"/>
    </w:p>
    <w:p w14:paraId="654C3459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Bronchopulmonalis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infekciók cisztás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fibrózisban</w:t>
      </w:r>
      <w:proofErr w:type="spellEnd"/>
    </w:p>
    <w:p w14:paraId="3781215C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Szövődményes húgyúti fertőzések</w:t>
      </w:r>
    </w:p>
    <w:p w14:paraId="6FE996E4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E814E3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6F4EAC2D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Szülés alatt és után szerzett fertőzések</w:t>
      </w:r>
    </w:p>
    <w:p w14:paraId="38302439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bőr és a lágyrészek szövődményes fertőzései</w:t>
      </w:r>
    </w:p>
    <w:p w14:paraId="29EA6B83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Akut bakteriális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meningitis</w:t>
      </w:r>
      <w:proofErr w:type="spellEnd"/>
    </w:p>
    <w:p w14:paraId="212B3B09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28495D3" w14:textId="77777777" w:rsidR="00BF5BE5" w:rsidRPr="002D0F02" w:rsidDel="004136F9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CD0B02" w:rsidRPr="002D0F02" w:rsidDel="004136F9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D0B02"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D0B02" w:rsidRPr="002D0F02" w:rsidDel="004136F9">
        <w:rPr>
          <w:rFonts w:ascii="Times New Roman" w:hAnsi="Times New Roman"/>
          <w:sz w:val="22"/>
          <w:szCs w:val="22"/>
          <w:lang w:val="hu-HU" w:eastAsia="hu-HU"/>
        </w:rPr>
        <w:t>Kabi</w:t>
      </w:r>
      <w:proofErr w:type="spellEnd"/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 alkalmazható </w:t>
      </w:r>
      <w:proofErr w:type="spellStart"/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>neutropeniás</w:t>
      </w:r>
      <w:proofErr w:type="spellEnd"/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 betegek lázas állapotainak kezelésére, amelyet feltehetően bakteriális fertőzés okoz.</w:t>
      </w:r>
    </w:p>
    <w:p w14:paraId="0374730F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56EAACB" w14:textId="77777777" w:rsidR="004136F9" w:rsidRPr="002D0F02" w:rsidRDefault="00A53507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fent felsorolt fertőzések valamelyikéhez, vagy feltételezhetően azokhoz társulva fellépő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bacteriaemiában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kezelésére.</w:t>
      </w:r>
    </w:p>
    <w:p w14:paraId="219AE4E5" w14:textId="77777777" w:rsidR="00A53507" w:rsidRPr="002D0F02" w:rsidRDefault="00A53507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E4BF30B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antibakteriális szerek megfelelő alkalmazására vonatkozó hivatalos ajánlásokat figyelembe kell venni.</w:t>
      </w:r>
    </w:p>
    <w:p w14:paraId="52B7BC45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DBE83A6" w14:textId="77777777" w:rsidR="00D97F23" w:rsidRPr="002D0F02" w:rsidRDefault="00D97F23" w:rsidP="00473100">
      <w:pPr>
        <w:keepNext/>
        <w:outlineLvl w:val="1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4.2</w:t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Adagolás és alkalmazás</w:t>
      </w:r>
    </w:p>
    <w:p w14:paraId="40CD5650" w14:textId="77777777" w:rsidR="00D97F23" w:rsidRPr="002D0F02" w:rsidRDefault="00D97F23" w:rsidP="002822E8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0752131" w14:textId="77777777" w:rsidR="00DC147B" w:rsidRPr="002D0F02" w:rsidRDefault="00DC147B" w:rsidP="002822E8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Adagolás</w:t>
      </w:r>
    </w:p>
    <w:p w14:paraId="48871E61" w14:textId="77777777" w:rsidR="00DC147B" w:rsidRPr="002D0F02" w:rsidRDefault="00DC147B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2A55751" w14:textId="26398BCF" w:rsidR="00BF5BE5" w:rsidRPr="002D0F02" w:rsidRDefault="007B2F1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Az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 xml:space="preserve"> alábbi,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1. és 2.</w:t>
      </w:r>
      <w:r w:rsidR="0080008C">
        <w:rPr>
          <w:rFonts w:ascii="Times New Roman" w:hAnsi="Times New Roman"/>
          <w:sz w:val="22"/>
          <w:szCs w:val="22"/>
          <w:lang w:val="hu-HU" w:eastAsia="hu-HU"/>
        </w:rPr>
        <w:t> </w:t>
      </w:r>
      <w:r>
        <w:rPr>
          <w:rFonts w:ascii="Times New Roman" w:hAnsi="Times New Roman"/>
          <w:sz w:val="22"/>
          <w:szCs w:val="22"/>
          <w:lang w:val="hu-HU" w:eastAsia="hu-HU"/>
        </w:rPr>
        <w:t>táblázatok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általános javaslatokat tartalmaz</w:t>
      </w:r>
      <w:r>
        <w:rPr>
          <w:rFonts w:ascii="Times New Roman" w:hAnsi="Times New Roman"/>
          <w:sz w:val="22"/>
          <w:szCs w:val="22"/>
          <w:lang w:val="hu-HU" w:eastAsia="hu-HU"/>
        </w:rPr>
        <w:t>nak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az adagolásra vonatkozóan.</w:t>
      </w:r>
    </w:p>
    <w:p w14:paraId="1C137D5E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alkalmazott meropenem adagjának és a kezelés időtartamának megállapításakor figyelembe kell venni a kezelendő fertőzés típusát, beleértve annak súlyosságát, valamint a klinikai válaszreakciót.</w:t>
      </w:r>
    </w:p>
    <w:p w14:paraId="32BD48CE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29EE686" w14:textId="372A3B71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Felnőtteknek és serdülőkn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 naponta háromszor legfeljebb 2</w:t>
      </w:r>
      <w:r w:rsidR="007F598C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g-os dózis, gyermekeknek naponta háromszor legfeljebb 40</w:t>
      </w:r>
      <w:r w:rsidR="007F598C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mg/ttkg adag különösen megfelelő lehet bizonyos fertőzések, p</w:t>
      </w:r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>éldául a kevésbé érzékeny baktériumfajok (p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l.</w:t>
      </w:r>
      <w:r w:rsidR="0031653F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664236" w:rsidRPr="00344C73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Enterobacterales</w:t>
      </w:r>
      <w:proofErr w:type="spellEnd"/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vagy </w:t>
      </w:r>
      <w:proofErr w:type="spellStart"/>
      <w:r w:rsidRPr="00344C73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Pr="00344C73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proofErr w:type="spellStart"/>
      <w:r w:rsidRPr="00344C73">
        <w:rPr>
          <w:rFonts w:ascii="Times New Roman" w:hAnsi="Times New Roman"/>
          <w:i/>
          <w:sz w:val="22"/>
          <w:szCs w:val="22"/>
          <w:lang w:val="hu-HU" w:eastAsia="hu-HU"/>
        </w:rPr>
        <w:t>spp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>)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által okozott </w:t>
      </w:r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 xml:space="preserve">vagy nagyon súlyos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infekciók kezelésére.</w:t>
      </w:r>
    </w:p>
    <w:p w14:paraId="44FE546F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BF9F12D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adagolás tekintetében további megfontolások szükségesek veseelégtelenségben szenvedő betegek kezelésekor (lásd a továbbiakban lent).</w:t>
      </w:r>
    </w:p>
    <w:p w14:paraId="6EA636CB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7990F5DD" w14:textId="77777777" w:rsidR="00BF5BE5" w:rsidRPr="00626924" w:rsidRDefault="004778B7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4778B7">
        <w:rPr>
          <w:rFonts w:ascii="Times New Roman" w:hAnsi="Times New Roman"/>
          <w:sz w:val="22"/>
          <w:szCs w:val="22"/>
          <w:u w:val="single"/>
          <w:lang w:val="hu-HU"/>
        </w:rPr>
        <w:t>1.</w:t>
      </w:r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7B2F16" w:rsidRPr="00626924">
        <w:rPr>
          <w:rFonts w:ascii="Times New Roman" w:hAnsi="Times New Roman"/>
          <w:sz w:val="22"/>
          <w:szCs w:val="22"/>
          <w:u w:val="single"/>
          <w:lang w:val="hu-HU"/>
        </w:rPr>
        <w:t xml:space="preserve">táblázat: </w:t>
      </w:r>
      <w:r w:rsidR="00BF5BE5" w:rsidRPr="00626924">
        <w:rPr>
          <w:rFonts w:ascii="Times New Roman" w:hAnsi="Times New Roman"/>
          <w:sz w:val="22"/>
          <w:szCs w:val="22"/>
          <w:u w:val="single"/>
          <w:lang w:val="hu-HU"/>
        </w:rPr>
        <w:t>Felnőttek és serdülő</w:t>
      </w:r>
      <w:r w:rsidR="007F598C" w:rsidRPr="00626924">
        <w:rPr>
          <w:rFonts w:ascii="Times New Roman" w:hAnsi="Times New Roman"/>
          <w:sz w:val="22"/>
          <w:szCs w:val="22"/>
          <w:u w:val="single"/>
          <w:lang w:val="hu-HU"/>
        </w:rPr>
        <w:t>k</w:t>
      </w:r>
    </w:p>
    <w:p w14:paraId="493523AF" w14:textId="77777777" w:rsidR="00BF5BE5" w:rsidRPr="002D0F02" w:rsidRDefault="00BF5BE5" w:rsidP="00344C7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BF5BE5" w:rsidRPr="002D0F02" w14:paraId="279F61DC" w14:textId="77777777">
        <w:tc>
          <w:tcPr>
            <w:tcW w:w="5529" w:type="dxa"/>
            <w:tcBorders>
              <w:bottom w:val="single" w:sz="12" w:space="0" w:color="000000"/>
            </w:tcBorders>
          </w:tcPr>
          <w:p w14:paraId="16A6C8EB" w14:textId="77777777" w:rsidR="00BF5BE5" w:rsidRPr="002D0F02" w:rsidRDefault="00BF5BE5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Fertőzés</w:t>
            </w:r>
          </w:p>
          <w:p w14:paraId="177698C5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3BCF764A" w14:textId="77777777" w:rsidR="00BF5BE5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8 óránként alkalmazandó dózis</w:t>
            </w:r>
          </w:p>
          <w:p w14:paraId="20F9BB9E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</w:tr>
      <w:tr w:rsidR="00172333" w:rsidRPr="002D0F02" w14:paraId="7FDBFBA3" w14:textId="77777777">
        <w:tc>
          <w:tcPr>
            <w:tcW w:w="5529" w:type="dxa"/>
            <w:tcBorders>
              <w:top w:val="nil"/>
            </w:tcBorders>
          </w:tcPr>
          <w:p w14:paraId="2879F703" w14:textId="77777777" w:rsidR="00172333" w:rsidRPr="002D0F02" w:rsidRDefault="00A53507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4136F9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2B220C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  <w:tcBorders>
              <w:top w:val="nil"/>
            </w:tcBorders>
          </w:tcPr>
          <w:p w14:paraId="6A05E981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5E1EDA0F" w14:textId="77777777">
        <w:tc>
          <w:tcPr>
            <w:tcW w:w="5529" w:type="dxa"/>
          </w:tcPr>
          <w:p w14:paraId="35518D22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14A02101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2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g</w:t>
              </w:r>
            </w:smartTag>
          </w:p>
        </w:tc>
      </w:tr>
      <w:tr w:rsidR="00172333" w:rsidRPr="002D0F02" w14:paraId="79A5DE84" w14:textId="77777777">
        <w:tc>
          <w:tcPr>
            <w:tcW w:w="5529" w:type="dxa"/>
          </w:tcPr>
          <w:p w14:paraId="60A06237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Szövődményes húgyúti fertőzések</w:t>
            </w:r>
          </w:p>
        </w:tc>
        <w:tc>
          <w:tcPr>
            <w:tcW w:w="3827" w:type="dxa"/>
          </w:tcPr>
          <w:p w14:paraId="03E4BFFC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0999B9B4" w14:textId="77777777">
        <w:tc>
          <w:tcPr>
            <w:tcW w:w="5529" w:type="dxa"/>
          </w:tcPr>
          <w:p w14:paraId="6B566217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6BFDFB2C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32F9A4EE" w14:textId="77777777">
        <w:tc>
          <w:tcPr>
            <w:tcW w:w="5529" w:type="dxa"/>
          </w:tcPr>
          <w:p w14:paraId="6975E576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Szülés alatt és után szerzett fertőzések</w:t>
            </w:r>
          </w:p>
        </w:tc>
        <w:tc>
          <w:tcPr>
            <w:tcW w:w="3827" w:type="dxa"/>
          </w:tcPr>
          <w:p w14:paraId="6AF0CD1C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75B40CED" w14:textId="77777777">
        <w:tc>
          <w:tcPr>
            <w:tcW w:w="5529" w:type="dxa"/>
          </w:tcPr>
          <w:p w14:paraId="2E391EBF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605D4885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79C639FB" w14:textId="77777777">
        <w:tc>
          <w:tcPr>
            <w:tcW w:w="5529" w:type="dxa"/>
          </w:tcPr>
          <w:p w14:paraId="1760CE8B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77E07A71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2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g</w:t>
              </w:r>
            </w:smartTag>
          </w:p>
        </w:tc>
      </w:tr>
      <w:tr w:rsidR="00172333" w:rsidRPr="002D0F02" w14:paraId="0B3F99DB" w14:textId="77777777">
        <w:tc>
          <w:tcPr>
            <w:tcW w:w="5529" w:type="dxa"/>
          </w:tcPr>
          <w:p w14:paraId="44AB58FB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Neutropeniás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lázas állapotának kezelésére</w:t>
            </w:r>
          </w:p>
        </w:tc>
        <w:tc>
          <w:tcPr>
            <w:tcW w:w="3827" w:type="dxa"/>
          </w:tcPr>
          <w:p w14:paraId="7C816654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g</w:t>
              </w:r>
            </w:smartTag>
          </w:p>
        </w:tc>
      </w:tr>
    </w:tbl>
    <w:p w14:paraId="21FE2B6B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ED47EF0" w14:textId="61E9A8B3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általában kb. 15-30</w:t>
      </w:r>
      <w:r w:rsidR="0080008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perces intravénás infúzióban kerül beadásra (lásd 6.2, 6.3 és 6.6</w:t>
      </w:r>
      <w:r w:rsidR="0080008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9169993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30E74D1" w14:textId="77777777" w:rsidR="00D97F2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Lehetséges továbbá az 1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terjedő dózisokat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 perc alatt. Korlátozott számú biztonságossági adat áll rendelkezésre, amely alátámasztja a 2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g-os adag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felnőtteknél.</w:t>
      </w:r>
    </w:p>
    <w:p w14:paraId="3CA45CA7" w14:textId="77777777" w:rsidR="0017233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8834DA2" w14:textId="77777777" w:rsidR="00E42AE5" w:rsidRDefault="00E541CF" w:rsidP="00344C73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Vesekárosodás</w:t>
      </w:r>
    </w:p>
    <w:p w14:paraId="304606F6" w14:textId="77777777" w:rsidR="00172333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Felnőttek és serdülők adagját az alábbiak szerint módosítani kell, ha a kreatinin-clearance kisebb</w:t>
      </w:r>
      <w:r w:rsidR="00E541CF" w:rsidRPr="002D0F02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mint 51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ml/perc. Korlátozott számú adat áll rendelkezésre a 2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g-os dózis-egységre vonatkozó adagmódosítás alkalmazásának alátámasztására.</w:t>
      </w:r>
    </w:p>
    <w:p w14:paraId="0985CD4F" w14:textId="77777777" w:rsidR="007B2F16" w:rsidRPr="002D0F02" w:rsidRDefault="007B2F1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D21FD2E" w14:textId="77777777" w:rsidR="007B2F16" w:rsidRDefault="004778B7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4778B7">
        <w:rPr>
          <w:rFonts w:ascii="Times New Roman" w:hAnsi="Times New Roman"/>
          <w:sz w:val="22"/>
          <w:szCs w:val="22"/>
          <w:u w:val="single"/>
          <w:lang w:val="hu-HU"/>
        </w:rPr>
        <w:t>2.</w:t>
      </w:r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7B2F16" w:rsidRPr="00626924">
        <w:rPr>
          <w:rFonts w:ascii="Times New Roman" w:hAnsi="Times New Roman"/>
          <w:sz w:val="22"/>
          <w:szCs w:val="22"/>
          <w:u w:val="single"/>
          <w:lang w:val="hu-HU"/>
        </w:rPr>
        <w:t>táblázat</w:t>
      </w:r>
    </w:p>
    <w:p w14:paraId="4BFAB15D" w14:textId="77777777" w:rsidR="00335C89" w:rsidRPr="00626924" w:rsidRDefault="00335C89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50"/>
        <w:gridCol w:w="3846"/>
        <w:gridCol w:w="2476"/>
      </w:tblGrid>
      <w:tr w:rsidR="00D97F23" w:rsidRPr="002D0F02" w14:paraId="37251AF2" w14:textId="77777777">
        <w:tc>
          <w:tcPr>
            <w:tcW w:w="2835" w:type="dxa"/>
            <w:tcBorders>
              <w:bottom w:val="single" w:sz="12" w:space="0" w:color="000000"/>
            </w:tcBorders>
          </w:tcPr>
          <w:p w14:paraId="6B732D1A" w14:textId="77777777" w:rsidR="00D97F2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K</w:t>
            </w:r>
            <w:r w:rsidR="00D97F23"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reatinin-clearance</w:t>
            </w:r>
          </w:p>
          <w:p w14:paraId="3C962300" w14:textId="77777777" w:rsidR="00D97F23" w:rsidRPr="002D0F02" w:rsidRDefault="00D97F2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(ml/perc)</w:t>
            </w:r>
          </w:p>
        </w:tc>
        <w:tc>
          <w:tcPr>
            <w:tcW w:w="3969" w:type="dxa"/>
            <w:tcBorders>
              <w:bottom w:val="single" w:sz="12" w:space="0" w:color="000000"/>
            </w:tcBorders>
          </w:tcPr>
          <w:p w14:paraId="66C987D8" w14:textId="77777777" w:rsidR="00172333" w:rsidRPr="002D0F02" w:rsidRDefault="00172333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Adag (500</w:t>
            </w:r>
            <w:r w:rsidR="00406A7A"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mg,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1</w:t>
              </w:r>
              <w:r w:rsidR="00406A7A"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g</w:t>
              </w:r>
            </w:smartTag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és </w:t>
            </w:r>
            <w:smartTag w:uri="urn:schemas-microsoft-com:office:smarttags" w:element="metricconverter">
              <w:smartTagPr>
                <w:attr w:name="ProductID" w:val="2ﾠg"/>
              </w:smartTagP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2</w:t>
              </w:r>
              <w:r w:rsidR="00406A7A"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g</w:t>
              </w:r>
            </w:smartTag>
          </w:p>
          <w:p w14:paraId="5C6D694C" w14:textId="77777777" w:rsidR="00172333" w:rsidRPr="002D0F02" w:rsidRDefault="00172333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dózis-„egységeket” véve alapul, lásd a</w:t>
            </w:r>
          </w:p>
          <w:p w14:paraId="6C6D5DCD" w14:textId="77777777" w:rsidR="00D97F2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fenti</w:t>
            </w:r>
            <w:r w:rsidR="00335C89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, 1.</w:t>
            </w: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táblázatot)</w:t>
            </w:r>
          </w:p>
        </w:tc>
        <w:tc>
          <w:tcPr>
            <w:tcW w:w="2552" w:type="dxa"/>
            <w:tcBorders>
              <w:bottom w:val="single" w:sz="12" w:space="0" w:color="000000"/>
            </w:tcBorders>
          </w:tcPr>
          <w:p w14:paraId="3AB46F78" w14:textId="77777777" w:rsidR="00D97F2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</w:t>
            </w:r>
            <w:r w:rsidR="00D97F23"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yakoriság</w:t>
            </w:r>
          </w:p>
        </w:tc>
      </w:tr>
      <w:tr w:rsidR="00D97F23" w:rsidRPr="002D0F02" w14:paraId="1D378BE7" w14:textId="77777777">
        <w:tc>
          <w:tcPr>
            <w:tcW w:w="2835" w:type="dxa"/>
            <w:tcBorders>
              <w:top w:val="nil"/>
            </w:tcBorders>
          </w:tcPr>
          <w:p w14:paraId="25879347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26-50</w:t>
            </w:r>
          </w:p>
        </w:tc>
        <w:tc>
          <w:tcPr>
            <w:tcW w:w="3969" w:type="dxa"/>
            <w:tcBorders>
              <w:top w:val="nil"/>
            </w:tcBorders>
          </w:tcPr>
          <w:p w14:paraId="5D29CAB5" w14:textId="77777777" w:rsidR="00D97F2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egy dózis-egység</w:t>
            </w:r>
          </w:p>
        </w:tc>
        <w:tc>
          <w:tcPr>
            <w:tcW w:w="2552" w:type="dxa"/>
            <w:tcBorders>
              <w:top w:val="nil"/>
            </w:tcBorders>
          </w:tcPr>
          <w:p w14:paraId="27525946" w14:textId="5BF9BF6E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80008C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2D0F02" w14:paraId="54CF267E" w14:textId="77777777">
        <w:tc>
          <w:tcPr>
            <w:tcW w:w="2835" w:type="dxa"/>
          </w:tcPr>
          <w:p w14:paraId="76FEDC9B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10-25</w:t>
            </w:r>
          </w:p>
        </w:tc>
        <w:tc>
          <w:tcPr>
            <w:tcW w:w="3969" w:type="dxa"/>
          </w:tcPr>
          <w:p w14:paraId="2A620F49" w14:textId="77777777" w:rsidR="00D97F23" w:rsidRPr="002D0F02" w:rsidRDefault="0011679D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dózis-egység</w:t>
            </w:r>
          </w:p>
        </w:tc>
        <w:tc>
          <w:tcPr>
            <w:tcW w:w="2552" w:type="dxa"/>
          </w:tcPr>
          <w:p w14:paraId="0EF1296E" w14:textId="1731C81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80008C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2D0F02" w14:paraId="3207CE10" w14:textId="77777777">
        <w:tc>
          <w:tcPr>
            <w:tcW w:w="2835" w:type="dxa"/>
          </w:tcPr>
          <w:p w14:paraId="2A049F32" w14:textId="4D1D6F40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gramStart"/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&lt;</w:t>
            </w:r>
            <w:r w:rsidR="0080008C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10</w:t>
            </w:r>
            <w:proofErr w:type="gramEnd"/>
          </w:p>
        </w:tc>
        <w:tc>
          <w:tcPr>
            <w:tcW w:w="3969" w:type="dxa"/>
          </w:tcPr>
          <w:p w14:paraId="0E5BF877" w14:textId="77777777" w:rsidR="00D97F2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 dózis-egység</w:t>
            </w:r>
          </w:p>
        </w:tc>
        <w:tc>
          <w:tcPr>
            <w:tcW w:w="2552" w:type="dxa"/>
          </w:tcPr>
          <w:p w14:paraId="7957A2A7" w14:textId="6BD5C7C2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24</w:t>
            </w:r>
            <w:r w:rsidR="0080008C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</w:tbl>
    <w:p w14:paraId="70791D24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15FEC68" w14:textId="77777777" w:rsidR="0011679D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hemofiltráció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eltávolítja. A szükséges adagot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befejezését követően kell alkalmazni.</w:t>
      </w:r>
    </w:p>
    <w:p w14:paraId="07FD3537" w14:textId="77777777" w:rsidR="0011679D" w:rsidRPr="002D0F02" w:rsidRDefault="0011679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EF33F5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Nincsenek megállapított adagolási javaslatok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peritonealis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dialízis kezelésben részesülő betegek esetére.</w:t>
      </w:r>
    </w:p>
    <w:p w14:paraId="4EA90197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44AED18D" w14:textId="77777777" w:rsidR="00E42AE5" w:rsidRDefault="00E541CF" w:rsidP="002822E8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Májkárosodás</w:t>
      </w:r>
    </w:p>
    <w:p w14:paraId="01A9E3F2" w14:textId="035D6088" w:rsidR="00172333" w:rsidRPr="002D0F02" w:rsidRDefault="00172333" w:rsidP="002822E8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Májkárosodásban szenvedő betegek esetén adagmódosítás nem szükséges (lásd 4.4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6D9A6698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575ED173" w14:textId="77777777" w:rsidR="00172333" w:rsidRPr="002D0F02" w:rsidRDefault="00DC147B" w:rsidP="00344C73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I</w:t>
      </w:r>
      <w:r w:rsidR="00172333"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dősek</w:t>
      </w:r>
    </w:p>
    <w:p w14:paraId="6B96144C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Időseknél normális vesefunkció, ill. 50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ml/perc feletti kreatinin-clearance </w:t>
      </w:r>
      <w:r w:rsidR="005A7F97" w:rsidRPr="002D0F02">
        <w:rPr>
          <w:rFonts w:ascii="Times New Roman" w:hAnsi="Times New Roman"/>
          <w:sz w:val="22"/>
          <w:szCs w:val="22"/>
          <w:lang w:val="hu-HU" w:eastAsia="hu-HU"/>
        </w:rPr>
        <w:t xml:space="preserve">értékek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esetén nem szükséges az adag módosítása.</w:t>
      </w:r>
    </w:p>
    <w:p w14:paraId="77959A8C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4156DF46" w14:textId="77777777" w:rsidR="00172333" w:rsidRPr="002D0F02" w:rsidRDefault="00172333" w:rsidP="00344C73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Gyermek</w:t>
      </w:r>
      <w:r w:rsidR="00847346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ek</w:t>
      </w:r>
      <w:r w:rsidR="002822E8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 xml:space="preserve"> és serdülők</w:t>
      </w:r>
    </w:p>
    <w:p w14:paraId="3CC0685B" w14:textId="77777777" w:rsidR="00370F6C" w:rsidRPr="002D0F02" w:rsidRDefault="00370F6C" w:rsidP="00344C73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3C70426D" w14:textId="304CE90B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3</w:t>
      </w:r>
      <w:r w:rsidR="004C1B7E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hónapos kor alatti gyermekek</w:t>
      </w:r>
    </w:p>
    <w:p w14:paraId="39B1217F" w14:textId="22345199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hatásosságát és biztonságosságát 3 hónaposnál fiatalabb gyermekek esetén még nem állapították meg, és nem határozták meg az optimális adagolási sémát. A korlátozott számú farmakokinetikai adat alapján azonban a 8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201D4C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megfelelő adagolási séma lehet (lásd 5.2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5B5ECD11" w14:textId="77777777" w:rsidR="0011679D" w:rsidRPr="002D0F02" w:rsidRDefault="0011679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EEDED66" w14:textId="2BAA3CE8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Gyermekek 3</w:t>
      </w:r>
      <w:r w:rsidR="00DC560D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hónapos és 11</w:t>
      </w:r>
      <w:r w:rsidR="00DC560D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éves kor között és 50</w:t>
      </w:r>
      <w:r w:rsidR="00406A7A"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kg-os testtömegig</w:t>
      </w:r>
    </w:p>
    <w:p w14:paraId="68B9554B" w14:textId="3CEF5704" w:rsidR="00D97F2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ajánlott adagolási sémákat a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>z alábbi, 3</w:t>
      </w:r>
      <w:r w:rsidR="004B39E1">
        <w:rPr>
          <w:rFonts w:ascii="Times New Roman" w:hAnsi="Times New Roman"/>
          <w:sz w:val="22"/>
          <w:szCs w:val="22"/>
          <w:lang w:val="hu-HU" w:eastAsia="hu-HU"/>
        </w:rPr>
        <w:t>.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táblázat foglalja össze:</w:t>
      </w:r>
    </w:p>
    <w:p w14:paraId="290A0606" w14:textId="77777777" w:rsidR="00172333" w:rsidRDefault="00172333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095DD9D" w14:textId="77777777" w:rsidR="007B2F16" w:rsidRPr="00626924" w:rsidRDefault="004778B7" w:rsidP="00344C7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4778B7">
        <w:rPr>
          <w:rFonts w:ascii="Times New Roman" w:hAnsi="Times New Roman"/>
          <w:sz w:val="22"/>
          <w:szCs w:val="22"/>
          <w:u w:val="single"/>
          <w:lang w:val="hu-HU"/>
        </w:rPr>
        <w:t>3.</w:t>
      </w:r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7B2F16" w:rsidRPr="00626924">
        <w:rPr>
          <w:rFonts w:ascii="Times New Roman" w:hAnsi="Times New Roman"/>
          <w:sz w:val="22"/>
          <w:szCs w:val="22"/>
          <w:u w:val="single"/>
          <w:lang w:val="hu-HU"/>
        </w:rPr>
        <w:t>táblázat</w:t>
      </w: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172333" w:rsidRPr="002D0F02" w14:paraId="12E538CC" w14:textId="77777777">
        <w:tc>
          <w:tcPr>
            <w:tcW w:w="5529" w:type="dxa"/>
            <w:tcBorders>
              <w:bottom w:val="single" w:sz="12" w:space="0" w:color="000000"/>
            </w:tcBorders>
          </w:tcPr>
          <w:p w14:paraId="106383D0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54C489BF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8 óránként alkalmazandó dózis</w:t>
            </w:r>
          </w:p>
        </w:tc>
      </w:tr>
      <w:tr w:rsidR="00172333" w:rsidRPr="002D0F02" w14:paraId="5719410D" w14:textId="77777777">
        <w:tc>
          <w:tcPr>
            <w:tcW w:w="5529" w:type="dxa"/>
            <w:tcBorders>
              <w:top w:val="nil"/>
            </w:tcBorders>
          </w:tcPr>
          <w:p w14:paraId="7EC0A227" w14:textId="77777777" w:rsidR="00172333" w:rsidRPr="002D0F02" w:rsidRDefault="00C16354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4136F9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lélegeztetőgép-okozta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  <w:tcBorders>
              <w:top w:val="nil"/>
            </w:tcBorders>
          </w:tcPr>
          <w:p w14:paraId="3F19AD47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1F064272" w14:textId="77777777">
        <w:tc>
          <w:tcPr>
            <w:tcW w:w="5529" w:type="dxa"/>
          </w:tcPr>
          <w:p w14:paraId="7EE17BC4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2B560B8F" w14:textId="77777777" w:rsidR="00172333" w:rsidRPr="002D0F02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mg/ttkg</w:t>
            </w:r>
          </w:p>
        </w:tc>
      </w:tr>
      <w:tr w:rsidR="00172333" w:rsidRPr="002D0F02" w14:paraId="69CE41C8" w14:textId="77777777">
        <w:tc>
          <w:tcPr>
            <w:tcW w:w="5529" w:type="dxa"/>
          </w:tcPr>
          <w:p w14:paraId="4E2FCC8E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Szövődményes húgyúti fertőzések</w:t>
            </w:r>
          </w:p>
        </w:tc>
        <w:tc>
          <w:tcPr>
            <w:tcW w:w="3827" w:type="dxa"/>
          </w:tcPr>
          <w:p w14:paraId="1AC745D2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29328904" w14:textId="77777777">
        <w:tc>
          <w:tcPr>
            <w:tcW w:w="5529" w:type="dxa"/>
          </w:tcPr>
          <w:p w14:paraId="28BE9436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3248AD71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0A9881BD" w14:textId="77777777">
        <w:tc>
          <w:tcPr>
            <w:tcW w:w="5529" w:type="dxa"/>
          </w:tcPr>
          <w:p w14:paraId="12BF2470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49E5A930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01D8E43C" w14:textId="77777777">
        <w:tc>
          <w:tcPr>
            <w:tcW w:w="5529" w:type="dxa"/>
          </w:tcPr>
          <w:p w14:paraId="17B5E756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38788025" w14:textId="77777777" w:rsidR="00172333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mg/ttkg</w:t>
            </w:r>
          </w:p>
        </w:tc>
      </w:tr>
      <w:tr w:rsidR="00172333" w:rsidRPr="002D0F02" w14:paraId="7EB5AA2B" w14:textId="77777777">
        <w:tc>
          <w:tcPr>
            <w:tcW w:w="5529" w:type="dxa"/>
          </w:tcPr>
          <w:p w14:paraId="78B88EA3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Neutropeniás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lázas állapotának kezelésére</w:t>
            </w:r>
          </w:p>
        </w:tc>
        <w:tc>
          <w:tcPr>
            <w:tcW w:w="3827" w:type="dxa"/>
          </w:tcPr>
          <w:p w14:paraId="5B44EFF0" w14:textId="77777777" w:rsidR="00172333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mg/ttkg</w:t>
            </w:r>
          </w:p>
        </w:tc>
      </w:tr>
    </w:tbl>
    <w:p w14:paraId="1A4E279D" w14:textId="77777777" w:rsidR="0017233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3526C6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50</w:t>
      </w:r>
      <w:r w:rsidR="00406A7A"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test</w:t>
      </w:r>
      <w:r w:rsidR="00E541CF"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tömeg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kilogramm feletti gyermekek</w:t>
      </w:r>
    </w:p>
    <w:p w14:paraId="4C15985D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felnőtt adagot kell alkalmazni.</w:t>
      </w:r>
    </w:p>
    <w:p w14:paraId="738305A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47D61D1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Nincs tapasztalat vesekárosodásban szenvedő gyermekek esetén.</w:t>
      </w:r>
    </w:p>
    <w:p w14:paraId="591E499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9FA2EAC" w14:textId="77777777" w:rsidR="00DC147B" w:rsidRPr="002D0F02" w:rsidRDefault="00DC147B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Az alkalmazás módja</w:t>
      </w:r>
    </w:p>
    <w:p w14:paraId="0DDD7041" w14:textId="77777777" w:rsidR="00DC147B" w:rsidRPr="002D0F02" w:rsidRDefault="00DC147B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3281328" w14:textId="344BA280" w:rsidR="00D97F23" w:rsidRPr="002D0F02" w:rsidRDefault="0065634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általában kb. 15-30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perces intravénás infúzióban adják be (lásd 6.2, 6.3 és 6.6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 Lehetséges továbbá a</w:t>
      </w:r>
      <w:r w:rsidR="00AC2F36" w:rsidRPr="002D0F02">
        <w:rPr>
          <w:rFonts w:ascii="Times New Roman" w:hAnsi="Times New Roman"/>
          <w:sz w:val="22"/>
          <w:szCs w:val="22"/>
          <w:lang w:val="hu-HU" w:eastAsia="hu-HU"/>
        </w:rPr>
        <w:t xml:space="preserve"> 20 mg/</w:t>
      </w:r>
      <w:proofErr w:type="spellStart"/>
      <w:r w:rsidR="00AC2F36" w:rsidRPr="002D0F02">
        <w:rPr>
          <w:rFonts w:ascii="Times New Roman" w:hAnsi="Times New Roman"/>
          <w:sz w:val="22"/>
          <w:szCs w:val="22"/>
          <w:lang w:val="hu-HU" w:eastAsia="hu-HU"/>
        </w:rPr>
        <w:t>ttk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g-ig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terjedő dózisokat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perc alatt. Korlátozott számú biztonságossági adat áll rendelkezésre, amely alátámasztja a 40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-os adag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gyermekeknél.</w:t>
      </w:r>
    </w:p>
    <w:p w14:paraId="33739915" w14:textId="77777777" w:rsidR="00DC147B" w:rsidRPr="002D0F02" w:rsidRDefault="00DC147B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74C49345" w14:textId="54A5E3E9" w:rsidR="005E72D3" w:rsidRPr="002D0F02" w:rsidRDefault="005E72D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gyógyszer alkalmazás előtti feloldására/hígítására vonatkozó utasításokat lásd a 6.6</w:t>
      </w:r>
      <w:r w:rsidR="00DC56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pontban.</w:t>
      </w:r>
    </w:p>
    <w:p w14:paraId="3452AA57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25D9136" w14:textId="77777777" w:rsidR="00D97F23" w:rsidRPr="002D0F02" w:rsidRDefault="00D97F23" w:rsidP="00344C73">
      <w:pPr>
        <w:keepNext/>
        <w:outlineLvl w:val="1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4.3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Ellenjavallatok</w:t>
      </w:r>
    </w:p>
    <w:p w14:paraId="3A98BB01" w14:textId="77777777" w:rsidR="00D97F23" w:rsidRPr="002D0F02" w:rsidRDefault="00D97F23" w:rsidP="00344C73">
      <w:pPr>
        <w:keepNext/>
        <w:tabs>
          <w:tab w:val="left" w:pos="720"/>
        </w:tabs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04AEEE8" w14:textId="7B25528F" w:rsidR="001435BD" w:rsidRPr="002D0F02" w:rsidRDefault="001435BD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készítmény hatóanyagával vagy </w:t>
      </w:r>
      <w:r w:rsidR="005E72D3" w:rsidRPr="002D0F02">
        <w:rPr>
          <w:rFonts w:ascii="Times New Roman" w:hAnsi="Times New Roman"/>
          <w:sz w:val="22"/>
          <w:szCs w:val="22"/>
          <w:lang w:val="hu-HU"/>
        </w:rPr>
        <w:t>a 6.1</w:t>
      </w:r>
      <w:r w:rsidR="00DC560D">
        <w:rPr>
          <w:rFonts w:ascii="Times New Roman" w:hAnsi="Times New Roman"/>
          <w:sz w:val="22"/>
          <w:szCs w:val="22"/>
          <w:lang w:val="hu-HU"/>
        </w:rPr>
        <w:t> </w:t>
      </w:r>
      <w:r w:rsidR="005E72D3" w:rsidRPr="002D0F02">
        <w:rPr>
          <w:rFonts w:ascii="Times New Roman" w:hAnsi="Times New Roman"/>
          <w:sz w:val="22"/>
          <w:szCs w:val="22"/>
          <w:lang w:val="hu-HU"/>
        </w:rPr>
        <w:t xml:space="preserve">pontban felsorolt </w:t>
      </w:r>
      <w:r w:rsidRPr="002D0F02">
        <w:rPr>
          <w:rFonts w:ascii="Times New Roman" w:hAnsi="Times New Roman"/>
          <w:sz w:val="22"/>
          <w:szCs w:val="22"/>
          <w:lang w:val="hu-HU"/>
        </w:rPr>
        <w:t>bármely segédanyagával szembeni túlérzékenység.</w:t>
      </w:r>
    </w:p>
    <w:p w14:paraId="25BBF015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Bármely más,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típusú antibakteriális szerrel szembeni túlérzékenység.</w:t>
      </w:r>
    </w:p>
    <w:p w14:paraId="35F61924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Súlyos túlérzékenység (pl. anafilaxiás reakció, súlyos bőrreakció) bármilyen más, béta-laktám</w:t>
      </w:r>
      <w:r w:rsidR="004136F9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típusú antibakteriális szerrel (pl. penicillinek 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cefalosporinok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) szemben.</w:t>
      </w:r>
    </w:p>
    <w:p w14:paraId="3D2F46CE" w14:textId="77777777" w:rsidR="00923273" w:rsidRPr="002D0F02" w:rsidRDefault="0092327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9BC26AC" w14:textId="77777777" w:rsidR="00D97F23" w:rsidRPr="002D0F02" w:rsidRDefault="00923273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2D0F02">
        <w:rPr>
          <w:rFonts w:ascii="Times New Roman" w:hAnsi="Times New Roman"/>
          <w:b/>
          <w:sz w:val="22"/>
          <w:szCs w:val="22"/>
          <w:lang w:val="hu-HU"/>
        </w:rPr>
        <w:t>Különleges figyelmeztetések és az alkalmazással kapcsolatos óvintézkedések</w:t>
      </w:r>
    </w:p>
    <w:p w14:paraId="22248C86" w14:textId="77777777" w:rsidR="00D97F23" w:rsidRPr="002D0F02" w:rsidRDefault="00D97F23" w:rsidP="00344C73">
      <w:pPr>
        <w:keepNext/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6F2FA3B4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meropenemnek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 adott beteg kezelésére történő kiválasztásakor olyan tényezők alapján kell mérlegelni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antibakteriális szerek alkalmasságát, mint a fertőzés súlyossága, az egyéb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alkalmazható antibakteriális szerekkel szembeni rezisztencia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-rezisztens baktériumok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kiszelektálódásának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kockázata.</w:t>
      </w:r>
    </w:p>
    <w:p w14:paraId="11A824F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A9F7CEF" w14:textId="61DD2DE2" w:rsidR="00BC6458" w:rsidRPr="002822E8" w:rsidRDefault="00683DB7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683DB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Enterobacterale</w:t>
      </w:r>
      <w:r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s</w:t>
      </w:r>
      <w:proofErr w:type="spellEnd"/>
      <w:r w:rsidR="00BC6458" w:rsidRPr="00EC3F10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,</w:t>
      </w:r>
      <w:r w:rsidR="00BC6458" w:rsidRPr="002822E8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="00BC6458" w:rsidRPr="002822E8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Pseudomonas</w:t>
      </w:r>
      <w:proofErr w:type="spellEnd"/>
      <w:r w:rsidR="00BC6458" w:rsidRPr="002822E8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</w:t>
      </w:r>
      <w:proofErr w:type="spellStart"/>
      <w:r w:rsidR="00BC6458" w:rsidRPr="002822E8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aeruginosa</w:t>
      </w:r>
      <w:proofErr w:type="spellEnd"/>
      <w:r w:rsidR="00BC6458" w:rsidRPr="002822E8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és </w:t>
      </w:r>
      <w:proofErr w:type="spellStart"/>
      <w:r w:rsidR="00BC6458" w:rsidRPr="00EC3F10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Acinetobacter</w:t>
      </w:r>
      <w:proofErr w:type="spellEnd"/>
      <w:r w:rsidR="00BC6458" w:rsidRPr="002822E8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fajokkal szembeni rezisztencia</w:t>
      </w:r>
    </w:p>
    <w:p w14:paraId="5388CF2A" w14:textId="7D3633B4" w:rsidR="00C16354" w:rsidRPr="002D0F02" w:rsidRDefault="00C16354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penemek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4B36B8" w:rsidRPr="00344C73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Enterobacterales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Pseudomonas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aeruginosa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EC3F10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Pr="00EC3F10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fajokkal szembeni rezisztenciája változó az Európai Unión belül. A gyógyszert felírónak tanácsos ezen baktériumok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penem</w:t>
      </w:r>
      <w:r w:rsidR="001722B7" w:rsidRPr="002D0F02">
        <w:rPr>
          <w:rFonts w:ascii="Times New Roman" w:hAnsi="Times New Roman"/>
          <w:sz w:val="22"/>
          <w:szCs w:val="22"/>
          <w:lang w:val="hu-HU" w:eastAsia="hu-HU"/>
        </w:rPr>
        <w:t>ekkel</w:t>
      </w:r>
      <w:proofErr w:type="spellEnd"/>
      <w:r w:rsidR="001722B7"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szembeni rezisztenciája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helyi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prevalenciáját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figyelembe venni.</w:t>
      </w:r>
    </w:p>
    <w:p w14:paraId="42805F4A" w14:textId="77777777" w:rsidR="00C16354" w:rsidRPr="002D0F02" w:rsidRDefault="00C16354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D47C56" w14:textId="77777777" w:rsidR="00BC6458" w:rsidRPr="002822E8" w:rsidRDefault="00BC6458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>Túlérzékenységi reakciók</w:t>
      </w:r>
    </w:p>
    <w:p w14:paraId="5FB2E301" w14:textId="236A8338" w:rsidR="00BA07F9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Mint minden más béta-laktám antibiotikum esetén, súlyos és esetenként 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halálos kimenetelű</w:t>
      </w:r>
      <w:r w:rsidR="00847346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túlérzékenységi reakciókat jelentettek (lásd 4.3 és 4.8</w:t>
      </w:r>
      <w:r w:rsidR="004F4C0B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6CBB8F8D" w14:textId="77777777" w:rsidR="00BA07F9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Azok a betegek, akiknek kórtörténetében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penicillinekkel vagy más béta-laktám antibiotikumokkal szembeni túlérzékenység szerepel,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szemben is túlérzékenyek lehetnek. A meropenem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terápia megkezdése előtt a beteg</w:t>
      </w:r>
      <w:r w:rsidR="00750F75" w:rsidRPr="002D0F02">
        <w:rPr>
          <w:rFonts w:ascii="Times New Roman" w:hAnsi="Times New Roman"/>
          <w:sz w:val="22"/>
          <w:szCs w:val="22"/>
          <w:lang w:val="hu-HU" w:eastAsia="hu-HU"/>
        </w:rPr>
        <w:t>től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gondosan informálódni kell a béta-laktám antibiotikumokkal szemben korábban észlelt túlérzékenységi reakciókat illetően.</w:t>
      </w:r>
    </w:p>
    <w:p w14:paraId="727F0D87" w14:textId="77777777" w:rsidR="00BA07F9" w:rsidRPr="002D0F02" w:rsidRDefault="00BA07F9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F36F73F" w14:textId="4838B484" w:rsidR="00656340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Súlyos allergiás reakció jelentkezése esetén a gyógyszer alkalmazását fel kell függeszteni, és meg kell tenni a megfelelő intézkedéseket.</w:t>
      </w:r>
      <w:r w:rsidR="007B2F16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A6D5C">
        <w:rPr>
          <w:rFonts w:ascii="Times New Roman" w:hAnsi="Times New Roman"/>
          <w:sz w:val="22"/>
          <w:szCs w:val="22"/>
          <w:lang w:val="hu-HU" w:eastAsia="hu-HU"/>
        </w:rPr>
        <w:t>Súlyos bőrreakciók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>ról (SCAR)</w:t>
      </w:r>
      <w:r w:rsidR="008A6D5C">
        <w:rPr>
          <w:rFonts w:ascii="Times New Roman" w:hAnsi="Times New Roman"/>
          <w:sz w:val="22"/>
          <w:szCs w:val="22"/>
          <w:lang w:val="hu-HU" w:eastAsia="hu-HU"/>
        </w:rPr>
        <w:t xml:space="preserve">, mint amilyen a 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>Stevens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>–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Johnson-szindróma (SJS), a toxikus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epidermalis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necrolysis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(TEN), az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eosinophiliával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és szisztémás tünetekkel járó gyógyszerreakció (DRESS), az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erythema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multiforme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(EM), és az akut generalizált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exanthematosus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pustulosis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(AGEP), számoltak be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kezelt betegeknél (lásd 4.8</w:t>
      </w:r>
      <w:r w:rsidR="004F4C0B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>pont). Ha ezen reakciókra jellemző jelek és tünetek jelennek meg, akkor a meropenem adását azonnal abba kell hagyni és mérlegelni kell egyéb kezelési lehetőséget.</w:t>
      </w:r>
    </w:p>
    <w:p w14:paraId="6F4CA1BC" w14:textId="28FC4973" w:rsidR="000B38F1" w:rsidRDefault="000B38F1" w:rsidP="000B38F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Egyéb béta-laktám antibiotikumokkal kapcsolatban o</w:t>
      </w:r>
      <w:r w:rsidRPr="00E2508F">
        <w:rPr>
          <w:rFonts w:ascii="Times New Roman" w:hAnsi="Times New Roman"/>
          <w:sz w:val="22"/>
          <w:szCs w:val="22"/>
          <w:lang w:val="hu-HU" w:eastAsia="hu-HU"/>
        </w:rPr>
        <w:t xml:space="preserve">lyan túlérzékenységi reakciókról számoltak be, amelyek </w:t>
      </w:r>
      <w:proofErr w:type="spellStart"/>
      <w:r w:rsidRPr="00E2508F">
        <w:rPr>
          <w:rFonts w:ascii="Times New Roman" w:hAnsi="Times New Roman"/>
          <w:sz w:val="22"/>
          <w:szCs w:val="22"/>
          <w:lang w:val="hu-HU" w:eastAsia="hu-HU"/>
        </w:rPr>
        <w:t>Kounis</w:t>
      </w:r>
      <w:proofErr w:type="spellEnd"/>
      <w:r w:rsidRPr="00E2508F">
        <w:rPr>
          <w:rFonts w:ascii="Times New Roman" w:hAnsi="Times New Roman"/>
          <w:sz w:val="22"/>
          <w:szCs w:val="22"/>
          <w:lang w:val="hu-HU" w:eastAsia="hu-HU"/>
        </w:rPr>
        <w:t xml:space="preserve">-szindrómához (akut allergiás koszorúérgörcs, amely </w:t>
      </w:r>
      <w:proofErr w:type="spellStart"/>
      <w:r w:rsidRPr="00E2508F">
        <w:rPr>
          <w:rFonts w:ascii="Times New Roman" w:hAnsi="Times New Roman"/>
          <w:sz w:val="22"/>
          <w:szCs w:val="22"/>
          <w:lang w:val="hu-HU" w:eastAsia="hu-HU"/>
        </w:rPr>
        <w:t>myocardialis</w:t>
      </w:r>
      <w:proofErr w:type="spellEnd"/>
      <w:r w:rsidRPr="00E2508F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E2508F">
        <w:rPr>
          <w:rFonts w:ascii="Times New Roman" w:hAnsi="Times New Roman"/>
          <w:sz w:val="22"/>
          <w:szCs w:val="22"/>
          <w:lang w:val="hu-HU" w:eastAsia="hu-HU"/>
        </w:rPr>
        <w:t>infarctust</w:t>
      </w:r>
      <w:proofErr w:type="spellEnd"/>
      <w:r w:rsidRPr="00E2508F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A319F">
        <w:rPr>
          <w:rFonts w:ascii="Times New Roman" w:hAnsi="Times New Roman"/>
          <w:sz w:val="22"/>
          <w:szCs w:val="22"/>
          <w:lang w:val="hu-HU" w:eastAsia="hu-HU"/>
        </w:rPr>
        <w:t>okozha</w:t>
      </w:r>
      <w:r w:rsidRPr="00E2508F">
        <w:rPr>
          <w:rFonts w:ascii="Times New Roman" w:hAnsi="Times New Roman"/>
          <w:sz w:val="22"/>
          <w:szCs w:val="22"/>
          <w:lang w:val="hu-HU" w:eastAsia="hu-HU"/>
        </w:rPr>
        <w:t>t, lásd 4.8</w:t>
      </w:r>
      <w:r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E2508F">
        <w:rPr>
          <w:rFonts w:ascii="Times New Roman" w:hAnsi="Times New Roman"/>
          <w:sz w:val="22"/>
          <w:szCs w:val="22"/>
          <w:lang w:val="hu-HU" w:eastAsia="hu-HU"/>
        </w:rPr>
        <w:t>pont) vezettek.</w:t>
      </w:r>
    </w:p>
    <w:p w14:paraId="69E59EEF" w14:textId="77777777" w:rsidR="000B38F1" w:rsidRDefault="000B38F1" w:rsidP="000B38F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62268B9" w14:textId="277E7E0C" w:rsidR="00DB7556" w:rsidRDefault="00DB7556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E22CD4">
        <w:rPr>
          <w:rFonts w:ascii="Times New Roman" w:hAnsi="Times New Roman"/>
          <w:sz w:val="22"/>
          <w:szCs w:val="22"/>
          <w:lang w:val="hu-HU" w:eastAsia="hu-HU"/>
        </w:rPr>
        <w:t>Rhabdomyolysis</w:t>
      </w:r>
      <w:proofErr w:type="spellEnd"/>
    </w:p>
    <w:p w14:paraId="290F178F" w14:textId="77777777" w:rsidR="000B38F1" w:rsidRDefault="000B38F1" w:rsidP="000B38F1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E22CD4">
        <w:rPr>
          <w:rFonts w:ascii="Times New Roman" w:hAnsi="Times New Roman"/>
          <w:sz w:val="22"/>
          <w:szCs w:val="22"/>
          <w:lang w:val="hu-HU" w:eastAsia="hu-HU"/>
        </w:rPr>
        <w:t>Rhabdomyolysisről</w:t>
      </w:r>
      <w:proofErr w:type="spellEnd"/>
      <w:r w:rsidRPr="00E22CD4">
        <w:rPr>
          <w:rFonts w:ascii="Times New Roman" w:hAnsi="Times New Roman"/>
          <w:sz w:val="22"/>
          <w:szCs w:val="22"/>
          <w:lang w:val="hu-HU" w:eastAsia="hu-HU"/>
        </w:rPr>
        <w:t xml:space="preserve"> számoltak be a </w:t>
      </w: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E22CD4">
        <w:rPr>
          <w:rFonts w:ascii="Times New Roman" w:hAnsi="Times New Roman"/>
          <w:sz w:val="22"/>
          <w:szCs w:val="22"/>
          <w:lang w:val="hu-HU" w:eastAsia="hu-HU"/>
        </w:rPr>
        <w:t xml:space="preserve"> alkalmazásával összefüggésben. Ha </w:t>
      </w:r>
      <w:proofErr w:type="spellStart"/>
      <w:r w:rsidRPr="00E22CD4">
        <w:rPr>
          <w:rFonts w:ascii="Times New Roman" w:hAnsi="Times New Roman"/>
          <w:sz w:val="22"/>
          <w:szCs w:val="22"/>
          <w:lang w:val="hu-HU" w:eastAsia="hu-HU"/>
        </w:rPr>
        <w:t>rhabdomyolisis</w:t>
      </w:r>
      <w:proofErr w:type="spellEnd"/>
      <w:r w:rsidRPr="00E22CD4">
        <w:rPr>
          <w:rFonts w:ascii="Times New Roman" w:hAnsi="Times New Roman"/>
          <w:sz w:val="22"/>
          <w:szCs w:val="22"/>
          <w:lang w:val="hu-HU" w:eastAsia="hu-HU"/>
        </w:rPr>
        <w:t xml:space="preserve"> jeleit vagy tüneteit észlelik, a </w:t>
      </w: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E22CD4">
        <w:rPr>
          <w:rFonts w:ascii="Times New Roman" w:hAnsi="Times New Roman"/>
          <w:sz w:val="22"/>
          <w:szCs w:val="22"/>
          <w:lang w:val="hu-HU" w:eastAsia="hu-HU"/>
        </w:rPr>
        <w:t xml:space="preserve"> alkalmazását azonnal abba kell hagyni és megfelelő terápiát kell elkezdeni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(lásd 4.8 pont)</w:t>
      </w:r>
      <w:r w:rsidRPr="00E22CD4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0DB84F4C" w14:textId="77777777" w:rsidR="0063739D" w:rsidRPr="002D0F02" w:rsidRDefault="0063739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AB7E176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B5140D7" w14:textId="77777777" w:rsidR="00BC6458" w:rsidRPr="002822E8" w:rsidRDefault="00BC6458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Antibiotikum-kezeléssel összefüggő 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colitis</w:t>
      </w:r>
      <w:proofErr w:type="spellEnd"/>
    </w:p>
    <w:p w14:paraId="47312AD5" w14:textId="719A851C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Szinte minden antibakteriális szerrel – beleértve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is – kapcsolatban jelentettek antibiotikum-kezeléssel összefüggő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pseudomembranosus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, amelynek súlyossága az enyhétől az életveszélyes állapotig terjedhet. Erre a kórképre minden olyan esetben gondolni kell, amikor a meropenem alkalmazásának ideje alatt vagy azt követően hasmenés jelentkezik (lásd 4.8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pont). Fontolóra kell venni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4136F9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terápia felfüggesztését és a </w:t>
      </w:r>
      <w:proofErr w:type="spellStart"/>
      <w:r w:rsidR="00E35B79" w:rsidRPr="00344C73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Clostridioides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difficile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fertőzés specifikus kezelését. Perisztaltikát csökkentő gyógyszereket nem szabad adni.</w:t>
      </w:r>
    </w:p>
    <w:p w14:paraId="4445061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707A2F5" w14:textId="77777777" w:rsidR="00BC6458" w:rsidRPr="002822E8" w:rsidRDefault="00BC6458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>Görcsrohamok</w:t>
      </w:r>
    </w:p>
    <w:p w14:paraId="6B035B7B" w14:textId="4FF17630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–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is beleértve – történő kezelés során esetenként görcsrohamokról számoltak be (lásd 4.8</w:t>
      </w:r>
      <w:r w:rsidR="00D028A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AD96CA6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ECFD37D" w14:textId="7A85DDA0" w:rsidR="00026122" w:rsidRPr="002822E8" w:rsidRDefault="00622F44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Gyógyszer okozta májkárosodás (</w:t>
      </w:r>
      <w:proofErr w:type="spellStart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drug-induced</w:t>
      </w:r>
      <w:proofErr w:type="spellEnd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liver</w:t>
      </w:r>
      <w:proofErr w:type="spellEnd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injury</w:t>
      </w:r>
      <w:proofErr w:type="spellEnd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, DILI)</w:t>
      </w:r>
    </w:p>
    <w:p w14:paraId="24A5B833" w14:textId="7D4FE261" w:rsidR="003F381F" w:rsidRPr="002D0F02" w:rsidRDefault="00656340" w:rsidP="00A23905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májfunkciót gondosan ellenőrizni kell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-kezelés alatt, a </w:t>
      </w:r>
      <w:r w:rsidR="00D87732">
        <w:rPr>
          <w:rFonts w:ascii="Times New Roman" w:hAnsi="Times New Roman"/>
          <w:sz w:val="22"/>
          <w:szCs w:val="22"/>
          <w:lang w:val="hu-HU" w:eastAsia="hu-HU"/>
        </w:rPr>
        <w:t>gyógyszer okozta májkárosodás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kockázata miatt (lásd 4.8</w:t>
      </w:r>
      <w:r w:rsidR="00D028A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  <w:r w:rsidR="00A2390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23905" w:rsidRPr="00A23905">
        <w:rPr>
          <w:rFonts w:ascii="Times New Roman" w:hAnsi="Times New Roman"/>
          <w:sz w:val="22"/>
          <w:szCs w:val="22"/>
          <w:lang w:val="hu-HU" w:eastAsia="hu-HU"/>
        </w:rPr>
        <w:t>Amennyiben súlyos DILI jelentkezik, megfontolandó a kezelés leállítása, amennyiben</w:t>
      </w:r>
      <w:r w:rsidR="005E129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23905" w:rsidRPr="00A23905">
        <w:rPr>
          <w:rFonts w:ascii="Times New Roman" w:hAnsi="Times New Roman"/>
          <w:sz w:val="22"/>
          <w:szCs w:val="22"/>
          <w:lang w:val="hu-HU" w:eastAsia="hu-HU"/>
        </w:rPr>
        <w:t>klinikailag indokolt. A meropenem-kezelést kizárólag akkor szabad újrakezdeni, ha azt a beteg</w:t>
      </w:r>
      <w:r w:rsidR="00CB74C0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23905" w:rsidRPr="00A23905">
        <w:rPr>
          <w:rFonts w:ascii="Times New Roman" w:hAnsi="Times New Roman"/>
          <w:sz w:val="22"/>
          <w:szCs w:val="22"/>
          <w:lang w:val="hu-HU" w:eastAsia="hu-HU"/>
        </w:rPr>
        <w:t>kezeléséhez elengedhetetlennek ítélik meg.</w:t>
      </w:r>
    </w:p>
    <w:p w14:paraId="0498442A" w14:textId="77777777" w:rsidR="003F381F" w:rsidRPr="002D0F02" w:rsidRDefault="003F381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07BBC3F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Alkalmazás májbetegségben szenvedő betegeknél: korábban fennálló májbetegség esetén a májfunkciót ellenőrizni kell a meropenem-kezelés ideje alatt. Adagmódosítás nem szükséges (lásd 4.2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05F1B78C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51B3699" w14:textId="77777777" w:rsidR="00BC6458" w:rsidRPr="002822E8" w:rsidRDefault="00BC6458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Direkt 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antiglobulin</w:t>
      </w:r>
      <w:proofErr w:type="spellEnd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-teszt (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Coombs</w:t>
      </w:r>
      <w:proofErr w:type="spellEnd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-teszt) 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szerokonverzió</w:t>
      </w:r>
      <w:proofErr w:type="spellEnd"/>
    </w:p>
    <w:p w14:paraId="200A6307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direkt és indirekt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Coombs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-teszt pozitív lehet a meropenem-kezelés alatt.</w:t>
      </w:r>
    </w:p>
    <w:p w14:paraId="4985B60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9A5AE2C" w14:textId="77777777" w:rsidR="00BC6458" w:rsidRPr="00EC3F10" w:rsidRDefault="00BC6458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Valproinsav</w:t>
      </w:r>
      <w:proofErr w:type="spellEnd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/nátrium-</w:t>
      </w:r>
      <w:proofErr w:type="spellStart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valproát</w:t>
      </w:r>
      <w:proofErr w:type="spellEnd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/</w:t>
      </w:r>
      <w:proofErr w:type="spellStart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valpromid</w:t>
      </w:r>
      <w:proofErr w:type="spellEnd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együttes alkalmazása</w:t>
      </w:r>
    </w:p>
    <w:p w14:paraId="54179038" w14:textId="7CACA65C" w:rsidR="00656340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/nátrium-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BC6458">
        <w:rPr>
          <w:rFonts w:ascii="Times New Roman" w:hAnsi="Times New Roman"/>
          <w:sz w:val="22"/>
          <w:szCs w:val="22"/>
          <w:lang w:val="hu-HU" w:eastAsia="hu-HU"/>
        </w:rPr>
        <w:t>/</w:t>
      </w:r>
      <w:proofErr w:type="spellStart"/>
      <w:r w:rsidR="00BC6458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együttes alkalmazása nem javasolt (lásd 4.5</w:t>
      </w:r>
      <w:r w:rsidR="00D028A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704A410" w14:textId="77777777" w:rsidR="001455FF" w:rsidRDefault="001455F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816CCFB" w14:textId="77777777" w:rsidR="00E310C0" w:rsidRDefault="0065634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626924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 </w:t>
      </w:r>
      <w:r w:rsidR="00CD0B02" w:rsidRPr="00626924">
        <w:rPr>
          <w:rFonts w:ascii="Times New Roman" w:hAnsi="Times New Roman"/>
          <w:sz w:val="22"/>
          <w:szCs w:val="22"/>
          <w:u w:val="single"/>
          <w:lang w:val="hu-HU" w:eastAsia="hu-HU"/>
        </w:rPr>
        <w:t>Meropenem Kabi</w:t>
      </w:r>
      <w:r w:rsidRPr="00626924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nátriumot tartalmaz</w:t>
      </w:r>
    </w:p>
    <w:p w14:paraId="1DC2AADA" w14:textId="77777777" w:rsidR="00656340" w:rsidRPr="00626924" w:rsidRDefault="0065634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502135CD" w14:textId="77777777" w:rsidR="00E310C0" w:rsidRDefault="00E310C0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>Meropenem Kabi 500 mg por oldatos injekcióhoz vagy infúzióhoz</w:t>
      </w:r>
    </w:p>
    <w:p w14:paraId="2519D3B0" w14:textId="77777777" w:rsidR="00E310C0" w:rsidRDefault="00E310C0" w:rsidP="00E310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Ez a gyógyszer </w:t>
      </w:r>
      <w:r w:rsidR="00642328">
        <w:rPr>
          <w:rFonts w:ascii="Times New Roman" w:hAnsi="Times New Roman"/>
          <w:sz w:val="22"/>
          <w:szCs w:val="22"/>
          <w:lang w:val="hu-HU"/>
        </w:rPr>
        <w:t xml:space="preserve">körülbelül </w:t>
      </w:r>
      <w:r>
        <w:rPr>
          <w:rFonts w:ascii="Times New Roman" w:hAnsi="Times New Roman"/>
          <w:sz w:val="22"/>
          <w:szCs w:val="22"/>
          <w:lang w:val="hu-HU"/>
        </w:rPr>
        <w:t>45,13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mg nátriumot tartalmaz injekciós üvegenként, ami megfelel a WHO ál</w:t>
      </w:r>
      <w:r w:rsidR="00642328">
        <w:rPr>
          <w:rFonts w:ascii="Times New Roman" w:hAnsi="Times New Roman"/>
          <w:sz w:val="22"/>
          <w:szCs w:val="22"/>
          <w:lang w:val="hu-HU"/>
        </w:rPr>
        <w:t>tal ajánlott maximális napi 2 g </w:t>
      </w:r>
      <w:r>
        <w:rPr>
          <w:rFonts w:ascii="Times New Roman" w:hAnsi="Times New Roman"/>
          <w:sz w:val="22"/>
          <w:szCs w:val="22"/>
          <w:lang w:val="hu-HU"/>
        </w:rPr>
        <w:t>nátriumbevitel 2,3%-ának felnőtteknél.</w:t>
      </w:r>
    </w:p>
    <w:p w14:paraId="6ADAD516" w14:textId="77777777" w:rsidR="00E310C0" w:rsidRDefault="00E310C0" w:rsidP="00E310C0">
      <w:pPr>
        <w:rPr>
          <w:rFonts w:ascii="Times New Roman" w:hAnsi="Times New Roman"/>
          <w:sz w:val="22"/>
          <w:szCs w:val="22"/>
          <w:lang w:val="hu-HU"/>
        </w:rPr>
      </w:pPr>
    </w:p>
    <w:p w14:paraId="682D9823" w14:textId="77777777" w:rsidR="00E310C0" w:rsidRPr="002D0F02" w:rsidRDefault="00E310C0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bCs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oldatos injekcióhoz vagy infúzióhoz</w:t>
      </w:r>
    </w:p>
    <w:p w14:paraId="38326D54" w14:textId="77777777" w:rsidR="00E310C0" w:rsidRPr="002D0F02" w:rsidRDefault="00E310C0" w:rsidP="00E310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Ez a gyógyszer </w:t>
      </w:r>
      <w:r w:rsidR="00642328">
        <w:rPr>
          <w:rFonts w:ascii="Times New Roman" w:hAnsi="Times New Roman"/>
          <w:sz w:val="22"/>
          <w:szCs w:val="22"/>
          <w:lang w:val="hu-HU"/>
        </w:rPr>
        <w:t xml:space="preserve">körülbelül </w:t>
      </w:r>
      <w:r>
        <w:rPr>
          <w:rFonts w:ascii="Times New Roman" w:hAnsi="Times New Roman"/>
          <w:sz w:val="22"/>
          <w:szCs w:val="22"/>
          <w:lang w:val="hu-HU"/>
        </w:rPr>
        <w:t>90,25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mg nátriumot tartalmaz injekciós üvegenként, ami megfelel a WHO által ajánlott maximális napi 2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g nátriumbevitel 4,5%-ának felnőtteknél</w:t>
      </w:r>
      <w:r w:rsidDel="00335C89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0198F79A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45F7861" w14:textId="77777777" w:rsidR="00D97F23" w:rsidRPr="002D0F02" w:rsidRDefault="00D97F23" w:rsidP="00473100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4.5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Gyógyszerkölcsönhatások és egyéb interakciók</w:t>
      </w:r>
    </w:p>
    <w:p w14:paraId="3D9A0C3D" w14:textId="77777777" w:rsidR="00D97F23" w:rsidRPr="002D0F02" w:rsidRDefault="00D97F23" w:rsidP="00900872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9D44DC9" w14:textId="77777777" w:rsidR="003F381F" w:rsidRPr="002D0F02" w:rsidRDefault="0065634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probeneciden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kívül más gyógyszerrel </w:t>
      </w:r>
      <w:r w:rsidR="00847346" w:rsidRPr="002D0F02">
        <w:rPr>
          <w:rFonts w:ascii="Times New Roman" w:hAnsi="Times New Roman"/>
          <w:sz w:val="22"/>
          <w:szCs w:val="22"/>
          <w:lang w:val="hu-HU" w:eastAsia="hu-HU"/>
        </w:rPr>
        <w:t xml:space="preserve">specifikus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interakciós vizsgálatot nem végeztek.</w:t>
      </w:r>
    </w:p>
    <w:p w14:paraId="40B8F8C1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az aktív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szekréció során kompetitív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és így gátolja a meropenem kiválasztását a vesében, aminek hatására megnő a meropenem eliminációs felezési ideje és plazmakoncentrációja. Óvatosság szükséges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való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együttadásakor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32BCAB3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20BEC8D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más gyógyszerek fehérjekötő képességére és metabolizmusára gyakorolt potenciális hatását még nem vizsgálták. Azonban a fehérjéhez való kötődése olyan kismértékű, hogy e mechanizmus alapján nem várható interakció más vegyületekkel.</w:t>
      </w:r>
    </w:p>
    <w:p w14:paraId="6E7EA78D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BEEAD42" w14:textId="211A2F2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vérszintjének csökkenését jelentették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szerekkel történő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együttadáskor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amelyek 60-100%-os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valproinsavszint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-csökkenést okoztak kb. 2</w:t>
      </w:r>
      <w:r w:rsidR="007361E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nap alatt. A </w:t>
      </w:r>
      <w:r w:rsidR="00EB09F8" w:rsidRPr="002D0F02">
        <w:rPr>
          <w:rFonts w:ascii="Times New Roman" w:hAnsi="Times New Roman"/>
          <w:sz w:val="22"/>
          <w:szCs w:val="22"/>
          <w:lang w:val="hu-HU" w:eastAsia="hu-HU"/>
        </w:rPr>
        <w:t xml:space="preserve">csökkenés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hirtelen kezdet</w:t>
      </w:r>
      <w:r w:rsidR="00EB09F8" w:rsidRPr="002D0F02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mértéke miatt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/nátrium-</w:t>
      </w:r>
      <w:proofErr w:type="spellStart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/</w:t>
      </w:r>
      <w:proofErr w:type="spellStart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együttes adagolása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szerekkel nem megoldható, ezért kerülni kell (lásd 4.4</w:t>
      </w:r>
      <w:r w:rsidR="007361E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</w:t>
      </w:r>
      <w:r w:rsidR="00CA0E04"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5E797924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52954CF" w14:textId="77777777" w:rsidR="00656340" w:rsidRPr="002D0F02" w:rsidRDefault="00656340" w:rsidP="00344C73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Orális antikoagulánsok</w:t>
      </w:r>
    </w:p>
    <w:p w14:paraId="4DA77745" w14:textId="77777777" w:rsidR="00121F8F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 antibiotikumok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warfarinnal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történő együttes alkalmazása megnövelheti annak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hatását. Sokszor jelentették az orálisan alkalmazott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szerek, köztük a warfarin véralvadásgátló hatásának felerősödését olyan betegeknél, akik egyidejűleg antibakteriális szereket kaptak.</w:t>
      </w:r>
    </w:p>
    <w:p w14:paraId="2C976577" w14:textId="77777777" w:rsidR="00656340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kockázat eltérő lehet a háttérben lévő fertőzés, a kor és a beteg általános állapota függvényében, ezért nehéz megállapítani, hogy az antibiotikum mennyiben járul hozzá az INR (International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Normalised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Ratio – Nemzetközi Normalizált Ráta) emelkedéséhez. Az INR gyakori ellenőrzése javasolt az antibiotikumok és orális antikoagulánsok együttes alkalmazásának ideje alatt és röviddel azután is.</w:t>
      </w:r>
    </w:p>
    <w:p w14:paraId="471C4013" w14:textId="77777777" w:rsidR="003F08AD" w:rsidRDefault="003F08A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1D2FB6F" w14:textId="77777777" w:rsidR="003F08AD" w:rsidRDefault="003F08AD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i/>
          <w:sz w:val="22"/>
          <w:szCs w:val="22"/>
          <w:lang w:val="hu-HU" w:eastAsia="hu-HU"/>
        </w:rPr>
        <w:t>Gyermekek</w:t>
      </w:r>
    </w:p>
    <w:p w14:paraId="3604A5B2" w14:textId="77777777" w:rsidR="003F08AD" w:rsidRPr="003F08AD" w:rsidRDefault="003F08A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Kölcsönhatás</w:t>
      </w:r>
      <w:r w:rsidR="00EA73BB">
        <w:rPr>
          <w:rFonts w:ascii="Times New Roman" w:hAnsi="Times New Roman"/>
          <w:sz w:val="22"/>
          <w:szCs w:val="22"/>
          <w:lang w:val="hu-HU" w:eastAsia="hu-HU"/>
        </w:rPr>
        <w:t>-</w:t>
      </w:r>
      <w:r>
        <w:rPr>
          <w:rFonts w:ascii="Times New Roman" w:hAnsi="Times New Roman"/>
          <w:sz w:val="22"/>
          <w:szCs w:val="22"/>
          <w:lang w:val="hu-HU" w:eastAsia="hu-HU"/>
        </w:rPr>
        <w:t>vizsgálatokat csak felnőttek</w:t>
      </w:r>
      <w:r w:rsidR="00EA73BB">
        <w:rPr>
          <w:rFonts w:ascii="Times New Roman" w:hAnsi="Times New Roman"/>
          <w:sz w:val="22"/>
          <w:szCs w:val="22"/>
          <w:lang w:val="hu-HU" w:eastAsia="hu-HU"/>
        </w:rPr>
        <w:t>nél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végeztek.</w:t>
      </w:r>
    </w:p>
    <w:p w14:paraId="6B55655E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61EC0D5" w14:textId="77777777" w:rsidR="00D97F23" w:rsidRPr="002D0F02" w:rsidRDefault="00D97F23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4.6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5E72D3" w:rsidRPr="002D0F02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24D8849F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164880D" w14:textId="77777777" w:rsidR="00656340" w:rsidRPr="00900872" w:rsidRDefault="00656340" w:rsidP="00344C73">
      <w:pPr>
        <w:keepNext/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900872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Terhesség</w:t>
      </w:r>
    </w:p>
    <w:p w14:paraId="28C42EB8" w14:textId="048FA05F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Terhes nőkön történő alkalmazásra nincsenek adatok</w:t>
      </w:r>
      <w:r w:rsidR="001E01B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vagy csak korlátozott számban állnak rendelkezésre. Az állatkísérletek nem utalnak a reproduktív toxicitást közvetlenül vagy közvetett módon károsan befolyásoló hatásra (lásd 5.3</w:t>
      </w:r>
      <w:r w:rsidR="007361E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 Elővigyázatosságból a meropenem alkalmazását tanácsos elkerülni a terhesség alatt.</w:t>
      </w:r>
    </w:p>
    <w:p w14:paraId="09411413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20ABDE78" w14:textId="77777777" w:rsidR="00656340" w:rsidRPr="00900872" w:rsidRDefault="00656340" w:rsidP="00344C73">
      <w:pPr>
        <w:keepNext/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900872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Szoptatás</w:t>
      </w:r>
    </w:p>
    <w:p w14:paraId="7C825298" w14:textId="77777777" w:rsidR="00D97F23" w:rsidRPr="002D0F02" w:rsidRDefault="000E69CA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 xml:space="preserve">Beszámoltak arról, hogy a Meropenem kis mennyiségben kiválasztódik a humán anyatejbe. A </w:t>
      </w: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>
        <w:rPr>
          <w:rFonts w:ascii="Times New Roman" w:hAnsi="Times New Roman"/>
          <w:sz w:val="22"/>
          <w:szCs w:val="22"/>
          <w:lang w:val="hu-HU" w:eastAsia="hu-HU"/>
        </w:rPr>
        <w:t xml:space="preserve"> nem szabad alkalmazni szoptató nőknél, csak akkor, ha az anya kezelésének lehetséges előnyei felülmúlják a gyermekre gyakorolt lehetséges kockázatokat.</w:t>
      </w:r>
    </w:p>
    <w:p w14:paraId="2EA7897B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C51FBB0" w14:textId="77777777" w:rsidR="00D97F23" w:rsidRPr="002D0F02" w:rsidRDefault="00D97F23" w:rsidP="00473100">
      <w:pPr>
        <w:numPr>
          <w:ilvl w:val="1"/>
          <w:numId w:val="16"/>
        </w:numPr>
        <w:tabs>
          <w:tab w:val="clear" w:pos="36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A készítmény hatásai </w:t>
      </w:r>
      <w:r w:rsidR="00847346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gépjárművezetéshez és a gépek </w:t>
      </w:r>
      <w:r w:rsidR="00923273" w:rsidRPr="002D0F02">
        <w:rPr>
          <w:rFonts w:ascii="Times New Roman" w:hAnsi="Times New Roman"/>
          <w:b/>
          <w:sz w:val="22"/>
          <w:szCs w:val="22"/>
          <w:lang w:val="hu-HU"/>
        </w:rPr>
        <w:t>kezeléséhez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 szükséges képességekre</w:t>
      </w:r>
    </w:p>
    <w:p w14:paraId="20317E22" w14:textId="77777777" w:rsidR="00D97F23" w:rsidRPr="002D0F02" w:rsidRDefault="00D97F2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5C0A71C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készítménynek a gépjárművezetéshez és 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gépek kezeléséhez szükséges képességeket befolyásoló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hatásait nem vizsgálták.</w:t>
      </w:r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Azonban gépjárművezetéskor vagy gépek kezelésekor figyelembe kell venni, hogy </w:t>
      </w:r>
      <w:proofErr w:type="spellStart"/>
      <w:r w:rsidR="004612A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összefüggésben fejfájásról, </w:t>
      </w:r>
      <w:proofErr w:type="spellStart"/>
      <w:r w:rsidR="004612A7">
        <w:rPr>
          <w:rFonts w:ascii="Times New Roman" w:hAnsi="Times New Roman"/>
          <w:sz w:val="22"/>
          <w:szCs w:val="22"/>
          <w:lang w:val="hu-HU" w:eastAsia="hu-HU"/>
        </w:rPr>
        <w:t>paraesthesiáról</w:t>
      </w:r>
      <w:proofErr w:type="spellEnd"/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="004612A7">
        <w:rPr>
          <w:rFonts w:ascii="Times New Roman" w:hAnsi="Times New Roman"/>
          <w:sz w:val="22"/>
          <w:szCs w:val="22"/>
          <w:lang w:val="hu-HU" w:eastAsia="hu-HU"/>
        </w:rPr>
        <w:t>convulsiókról</w:t>
      </w:r>
      <w:proofErr w:type="spellEnd"/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számoltak be.</w:t>
      </w:r>
    </w:p>
    <w:p w14:paraId="6AD79EF5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CFA0946" w14:textId="77777777" w:rsidR="00D97F23" w:rsidRPr="002D0F02" w:rsidRDefault="00D97F23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4.8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4F42AE67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4C297584" w14:textId="77777777" w:rsidR="00477D86" w:rsidRPr="002822E8" w:rsidRDefault="002822E8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A b</w:t>
      </w:r>
      <w:r w:rsidR="00BF75C9" w:rsidRPr="002822E8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iztonságossági profil összefoglalása</w:t>
      </w:r>
    </w:p>
    <w:p w14:paraId="6D8E2975" w14:textId="77777777" w:rsidR="00656340" w:rsidRPr="002D0F02" w:rsidRDefault="0065634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4872 beteg 5026 esetben történt meropenem-kezelésének áttekintése alapján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kapcsolatban a leggyakrabban jelentett mellékhatás a hasmenés (2,3%), a bőrkiütés (1,4%), a hányinger/hányás (1,4%) és az injekció beadásának helyén jelentkező gyulladás (1,1%) volt.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kapcsolatban leggyakrabban jelentett </w:t>
      </w:r>
      <w:r w:rsidR="008C5DDF" w:rsidRPr="002D0F02">
        <w:rPr>
          <w:rFonts w:ascii="Times New Roman" w:hAnsi="Times New Roman"/>
          <w:sz w:val="22"/>
          <w:szCs w:val="22"/>
          <w:lang w:val="hu-HU" w:eastAsia="hu-HU"/>
        </w:rPr>
        <w:t xml:space="preserve">laboratóriumi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nemkívánatos események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thrombocytosis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(1,6%) és az emelkedett májenzim-értékek (1,5-4,3%) voltak.</w:t>
      </w:r>
    </w:p>
    <w:p w14:paraId="01D96BE9" w14:textId="77777777" w:rsidR="002822E8" w:rsidRDefault="002822E8" w:rsidP="002822E8">
      <w:pPr>
        <w:pStyle w:val="Szvegtrzs"/>
        <w:spacing w:after="0"/>
        <w:rPr>
          <w:rFonts w:ascii="Times New Roman" w:hAnsi="Times New Roman"/>
          <w:sz w:val="22"/>
          <w:szCs w:val="22"/>
          <w:u w:val="single" w:color="000000"/>
          <w:lang w:val="hu-HU"/>
        </w:rPr>
      </w:pPr>
    </w:p>
    <w:p w14:paraId="0D0D8D9C" w14:textId="77777777" w:rsidR="005E77CC" w:rsidRPr="002822E8" w:rsidRDefault="005E77CC" w:rsidP="00900872">
      <w:pPr>
        <w:pStyle w:val="Szvegtrzs"/>
        <w:keepNext/>
        <w:spacing w:after="0"/>
        <w:rPr>
          <w:rFonts w:ascii="Times New Roman" w:hAnsi="Times New Roman"/>
          <w:sz w:val="22"/>
          <w:szCs w:val="22"/>
          <w:lang w:val="hu-HU"/>
        </w:rPr>
      </w:pPr>
      <w:r w:rsidRPr="002822E8">
        <w:rPr>
          <w:rFonts w:ascii="Times New Roman" w:hAnsi="Times New Roman"/>
          <w:sz w:val="22"/>
          <w:szCs w:val="22"/>
          <w:u w:val="single" w:color="000000"/>
          <w:lang w:val="hu-HU"/>
        </w:rPr>
        <w:t>A</w:t>
      </w:r>
      <w:r w:rsidRPr="002822E8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 xml:space="preserve"> mellékhatások táblázatos felsorolása</w:t>
      </w:r>
    </w:p>
    <w:p w14:paraId="5BFE437C" w14:textId="77777777" w:rsidR="00656340" w:rsidRPr="002D0F02" w:rsidRDefault="0065634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mellékhatások az alábbi táblázatban szervrendszerek és gyakoriság szerint kerültek felsorolásra:</w:t>
      </w:r>
    </w:p>
    <w:p w14:paraId="446FC427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nagyon gyakori (≥ 1/10); gyakori (≥ 1/100 – </w:t>
      </w:r>
      <w:proofErr w:type="gramStart"/>
      <w:r w:rsidRPr="002D0F02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/10); nem gyakori (≥ 1/1000 – </w:t>
      </w:r>
      <w:proofErr w:type="gramStart"/>
      <w:r w:rsidRPr="002D0F02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2D0F02">
        <w:rPr>
          <w:rFonts w:ascii="Times New Roman" w:hAnsi="Times New Roman"/>
          <w:sz w:val="22"/>
          <w:szCs w:val="22"/>
          <w:lang w:val="hu-HU" w:eastAsia="hu-HU"/>
        </w:rPr>
        <w:t>/100); ritka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(≥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1/10</w:t>
      </w:r>
      <w:r w:rsidR="00AB3535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000 – </w:t>
      </w:r>
      <w:proofErr w:type="gramStart"/>
      <w:r w:rsidRPr="002D0F02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/1000); nagyon ritka </w:t>
      </w:r>
      <w:proofErr w:type="gramStart"/>
      <w:r w:rsidRPr="002D0F02">
        <w:rPr>
          <w:rFonts w:ascii="Times New Roman" w:hAnsi="Times New Roman"/>
          <w:sz w:val="22"/>
          <w:szCs w:val="22"/>
          <w:lang w:val="hu-HU" w:eastAsia="hu-HU"/>
        </w:rPr>
        <w:t>(&lt; 1</w:t>
      </w:r>
      <w:proofErr w:type="gramEnd"/>
      <w:r w:rsidRPr="002D0F02">
        <w:rPr>
          <w:rFonts w:ascii="Times New Roman" w:hAnsi="Times New Roman"/>
          <w:sz w:val="22"/>
          <w:szCs w:val="22"/>
          <w:lang w:val="hu-HU" w:eastAsia="hu-HU"/>
        </w:rPr>
        <w:t>/ 10</w:t>
      </w:r>
      <w:r w:rsidR="00AB3535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000)</w:t>
      </w:r>
      <w:r w:rsidR="00BE5A35">
        <w:rPr>
          <w:rFonts w:ascii="Times New Roman" w:hAnsi="Times New Roman"/>
          <w:sz w:val="22"/>
          <w:szCs w:val="22"/>
          <w:lang w:val="hu-HU" w:eastAsia="hu-HU"/>
        </w:rPr>
        <w:t>, nem ismert (</w:t>
      </w:r>
      <w:r w:rsidR="00BE5A35" w:rsidRPr="0088236D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4D7987" w:rsidRPr="0088236D">
        <w:rPr>
          <w:rFonts w:ascii="Times New Roman" w:hAnsi="Times New Roman"/>
          <w:sz w:val="22"/>
          <w:szCs w:val="22"/>
          <w:lang w:val="hu-HU" w:eastAsia="hu-HU"/>
        </w:rPr>
        <w:t>gyakoriság a</w:t>
      </w:r>
      <w:r w:rsidR="004D798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BE5A35">
        <w:rPr>
          <w:rFonts w:ascii="Times New Roman" w:hAnsi="Times New Roman"/>
          <w:sz w:val="22"/>
          <w:szCs w:val="22"/>
          <w:lang w:val="hu-HU" w:eastAsia="hu-HU"/>
        </w:rPr>
        <w:t>rendelkezésre álló adatokból nem állapítható meg)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. Az egyes gyakorisági kategóriákon belül a mellékhatások csökkenő súlyosság szerint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kerülnek megadásra.</w:t>
      </w:r>
    </w:p>
    <w:p w14:paraId="0EC4EE1A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3EF1E6F" w14:textId="77777777" w:rsidR="00656340" w:rsidRPr="002D0F02" w:rsidRDefault="003F08AD" w:rsidP="00344C73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4</w:t>
      </w:r>
      <w:r w:rsidR="00656340" w:rsidRPr="002D0F02">
        <w:rPr>
          <w:rFonts w:ascii="Times New Roman" w:hAnsi="Times New Roman"/>
          <w:sz w:val="22"/>
          <w:szCs w:val="22"/>
          <w:lang w:val="hu-HU"/>
        </w:rPr>
        <w:t>. táblázat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1980"/>
        <w:gridCol w:w="4124"/>
      </w:tblGrid>
      <w:tr w:rsidR="00656340" w:rsidRPr="002822E8" w14:paraId="050E96C1" w14:textId="77777777" w:rsidTr="004A3600">
        <w:trPr>
          <w:tblHeader/>
        </w:trPr>
        <w:tc>
          <w:tcPr>
            <w:tcW w:w="2968" w:type="dxa"/>
          </w:tcPr>
          <w:p w14:paraId="776F4AA2" w14:textId="77777777" w:rsidR="00656340" w:rsidRPr="002822E8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822E8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80" w:type="dxa"/>
          </w:tcPr>
          <w:p w14:paraId="038F1F8B" w14:textId="77777777" w:rsidR="00656340" w:rsidRPr="002822E8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822E8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124" w:type="dxa"/>
          </w:tcPr>
          <w:p w14:paraId="24B9C02F" w14:textId="77777777" w:rsidR="00656340" w:rsidRPr="002822E8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822E8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Esemény</w:t>
            </w:r>
          </w:p>
        </w:tc>
      </w:tr>
      <w:tr w:rsidR="00656340" w:rsidRPr="002D0F02" w14:paraId="5A931452" w14:textId="77777777" w:rsidTr="004A3600">
        <w:tc>
          <w:tcPr>
            <w:tcW w:w="2968" w:type="dxa"/>
          </w:tcPr>
          <w:p w14:paraId="1BBA2F20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Fertőző betegségek és</w:t>
            </w:r>
          </w:p>
          <w:p w14:paraId="50AE9D44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parazitafertőzések</w:t>
            </w:r>
          </w:p>
        </w:tc>
        <w:tc>
          <w:tcPr>
            <w:tcW w:w="1980" w:type="dxa"/>
          </w:tcPr>
          <w:p w14:paraId="55D40DD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432416FF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orális és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vaginalis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candidiasis</w:t>
            </w:r>
            <w:proofErr w:type="spellEnd"/>
          </w:p>
        </w:tc>
      </w:tr>
      <w:tr w:rsidR="00656340" w:rsidRPr="002D0F02" w14:paraId="59C7275A" w14:textId="77777777" w:rsidTr="004A3600">
        <w:tc>
          <w:tcPr>
            <w:tcW w:w="2968" w:type="dxa"/>
          </w:tcPr>
          <w:p w14:paraId="577F65E7" w14:textId="77777777" w:rsidR="00656340" w:rsidRPr="002D0F02" w:rsidRDefault="0065634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80" w:type="dxa"/>
          </w:tcPr>
          <w:p w14:paraId="4D754022" w14:textId="77777777" w:rsidR="0065634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262A43CD" w14:textId="77777777" w:rsidR="00847346" w:rsidRDefault="00847346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E77D515" w14:textId="77777777" w:rsidR="00EA431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163656A8" w14:textId="77777777" w:rsidR="00EA431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4124" w:type="dxa"/>
          </w:tcPr>
          <w:p w14:paraId="3DA71E35" w14:textId="77777777" w:rsidR="0065634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thrombocythaemia</w:t>
            </w:r>
            <w:proofErr w:type="spellEnd"/>
          </w:p>
          <w:p w14:paraId="4F3EB36A" w14:textId="77777777" w:rsidR="00847346" w:rsidRDefault="00847346" w:rsidP="002822E8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375D362" w14:textId="77777777" w:rsidR="00847346" w:rsidRDefault="001F385E" w:rsidP="002822E8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agranulocytosis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haemolyticus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anaemia</w:t>
            </w:r>
            <w:proofErr w:type="spellEnd"/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thrombocytopenia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leukopenia</w:t>
            </w:r>
            <w:proofErr w:type="spellEnd"/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EA431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eosinophilia</w:t>
            </w:r>
            <w:proofErr w:type="spellEnd"/>
          </w:p>
          <w:p w14:paraId="4A3B2354" w14:textId="77777777" w:rsidR="00EA4310" w:rsidRPr="002D0F02" w:rsidRDefault="00EA4310" w:rsidP="002822E8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656340" w:rsidRPr="002D0F02" w14:paraId="167C3841" w14:textId="77777777" w:rsidTr="004A3600">
        <w:tc>
          <w:tcPr>
            <w:tcW w:w="2968" w:type="dxa"/>
          </w:tcPr>
          <w:p w14:paraId="483D9FBB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Immunrendszeri betegségek</w:t>
            </w:r>
          </w:p>
          <w:p w14:paraId="7F25A252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61D11860" w14:textId="77777777" w:rsidR="00EA4310" w:rsidRPr="002D0F02" w:rsidRDefault="00EA4310" w:rsidP="00477D86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2DA10CFE" w14:textId="15080EA4" w:rsidR="00EA4310" w:rsidRPr="002D0F02" w:rsidRDefault="00EA4310" w:rsidP="00EA73B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anaphylaxia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4.3 és 4.4</w:t>
            </w:r>
            <w:r w:rsidR="00D005E8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1F385E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angio</w:t>
            </w:r>
            <w:r w:rsidR="001F385E">
              <w:rPr>
                <w:rFonts w:ascii="Times New Roman" w:hAnsi="Times New Roman"/>
                <w:sz w:val="22"/>
                <w:szCs w:val="22"/>
                <w:lang w:val="hu-HU" w:eastAsia="hu-HU"/>
              </w:rPr>
              <w:t>o</w:t>
            </w:r>
            <w:r w:rsidR="001F385E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edema</w:t>
            </w:r>
            <w:proofErr w:type="spellEnd"/>
          </w:p>
        </w:tc>
      </w:tr>
      <w:tr w:rsidR="001F385E" w:rsidRPr="002D0F02" w14:paraId="3BE3942F" w14:textId="77777777" w:rsidTr="004A3600">
        <w:tc>
          <w:tcPr>
            <w:tcW w:w="2968" w:type="dxa"/>
          </w:tcPr>
          <w:p w14:paraId="3686D022" w14:textId="77777777" w:rsidR="001F385E" w:rsidRPr="002D0F02" w:rsidRDefault="001F385E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Pszichiátriai betegségek</w:t>
            </w:r>
          </w:p>
        </w:tc>
        <w:tc>
          <w:tcPr>
            <w:tcW w:w="1980" w:type="dxa"/>
          </w:tcPr>
          <w:p w14:paraId="6CEB7CDE" w14:textId="77777777" w:rsidR="001F385E" w:rsidRPr="002D0F02" w:rsidRDefault="001F385E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21224CA8" w14:textId="77777777" w:rsidR="001F385E" w:rsidRPr="002D0F02" w:rsidRDefault="001F385E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delírium</w:t>
            </w:r>
          </w:p>
        </w:tc>
      </w:tr>
      <w:tr w:rsidR="00EA4310" w:rsidRPr="002D0F02" w14:paraId="67AD7ED3" w14:textId="77777777" w:rsidTr="004A3600">
        <w:tc>
          <w:tcPr>
            <w:tcW w:w="2968" w:type="dxa"/>
          </w:tcPr>
          <w:p w14:paraId="24B8B009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Idegrendszeri betegségek és</w:t>
            </w:r>
          </w:p>
          <w:p w14:paraId="5C45FE64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tünetek</w:t>
            </w:r>
          </w:p>
        </w:tc>
        <w:tc>
          <w:tcPr>
            <w:tcW w:w="1980" w:type="dxa"/>
          </w:tcPr>
          <w:p w14:paraId="043D3A38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3BEF1B6F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EFC47CA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0F5B01C1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15EF5C6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23076A4C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fejfájás</w:t>
            </w:r>
          </w:p>
          <w:p w14:paraId="6E85B661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1AB2A01A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paraesthesiák</w:t>
            </w:r>
            <w:proofErr w:type="spellEnd"/>
          </w:p>
          <w:p w14:paraId="51B4B879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1D15C82F" w14:textId="712670E8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convulsiók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</w:t>
            </w:r>
            <w:r w:rsidR="00D005E8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</w:p>
        </w:tc>
      </w:tr>
      <w:tr w:rsidR="00656340" w:rsidRPr="002D0F02" w14:paraId="5BAAE98E" w14:textId="77777777" w:rsidTr="004A3600">
        <w:tc>
          <w:tcPr>
            <w:tcW w:w="2968" w:type="dxa"/>
          </w:tcPr>
          <w:p w14:paraId="05E756FF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Emésztőrendszeri betegségek</w:t>
            </w:r>
          </w:p>
          <w:p w14:paraId="17012F2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237AE60D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3CD8565E" w14:textId="77777777" w:rsidR="00546F0E" w:rsidRDefault="00546F0E" w:rsidP="00477D86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2761F3A" w14:textId="77777777" w:rsidR="00EA4310" w:rsidRPr="002D0F02" w:rsidRDefault="00EA4310" w:rsidP="00477D86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1898CE10" w14:textId="77777777" w:rsidR="00EA73BB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hasmenés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r w:rsidR="001F385E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hasi fájdalom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hányás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hányinger</w:t>
            </w:r>
          </w:p>
          <w:p w14:paraId="3925F50F" w14:textId="77777777" w:rsidR="00EA73BB" w:rsidRDefault="00EA73BB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0037119A" w14:textId="6AC6717C" w:rsidR="00603C8B" w:rsidRPr="002D0F02" w:rsidRDefault="00EA4310" w:rsidP="0048498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antibiotikum-kezeléssel összefüggő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colitis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</w:t>
            </w:r>
            <w:r w:rsidR="00D005E8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</w:p>
        </w:tc>
      </w:tr>
      <w:tr w:rsidR="00656340" w:rsidRPr="002D0F02" w14:paraId="2180BE2B" w14:textId="77777777" w:rsidTr="004A3600">
        <w:tc>
          <w:tcPr>
            <w:tcW w:w="2968" w:type="dxa"/>
          </w:tcPr>
          <w:p w14:paraId="46CED7A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Máj- és epebetegségek</w:t>
            </w:r>
            <w:r w:rsidR="001B3688" w:rsidRPr="002D0F02">
              <w:rPr>
                <w:rFonts w:ascii="Times New Roman" w:hAnsi="Times New Roman"/>
                <w:sz w:val="22"/>
                <w:szCs w:val="22"/>
                <w:lang w:val="hu-HU"/>
              </w:rPr>
              <w:t>,</w:t>
            </w: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illetve tünetek</w:t>
            </w:r>
          </w:p>
        </w:tc>
        <w:tc>
          <w:tcPr>
            <w:tcW w:w="1980" w:type="dxa"/>
          </w:tcPr>
          <w:p w14:paraId="083445EA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586ADB7A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1672BD60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4AD7CE7C" w14:textId="77777777" w:rsidR="00546F0E" w:rsidRDefault="00546F0E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06B81301" w14:textId="77777777" w:rsidR="00EA4310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5419573E" w14:textId="1C4E7D2E" w:rsidR="00AA2C44" w:rsidRPr="002D0F02" w:rsidRDefault="00AA2C44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6B34CA73" w14:textId="77777777" w:rsidR="0065634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transzaminázszintek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emelkedése, a vér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alkalikusfoszfatáz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 és laktát-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dehidrogenáz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-szintjének emelkedése</w:t>
            </w:r>
          </w:p>
          <w:p w14:paraId="63479151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6E73779" w14:textId="77777777" w:rsidR="00EA4310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bilirubinszint megemelkedése</w:t>
            </w:r>
          </w:p>
          <w:p w14:paraId="4B9EADDC" w14:textId="196C772F" w:rsidR="00A467F5" w:rsidRPr="002D0F02" w:rsidRDefault="00DF45E4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  <w:r w:rsidR="00AA2C44" w:rsidRPr="00AA2C44">
              <w:rPr>
                <w:rFonts w:ascii="Times New Roman" w:hAnsi="Times New Roman"/>
                <w:sz w:val="22"/>
                <w:szCs w:val="22"/>
                <w:lang w:val="hu-HU"/>
              </w:rPr>
              <w:t>yógyszer okozta májkárosodás (DILI)</w:t>
            </w:r>
            <w:r w:rsidRPr="00DF45E4">
              <w:rPr>
                <w:rFonts w:ascii="Times New Roman" w:hAnsi="Times New Roman"/>
                <w:sz w:val="22"/>
                <w:szCs w:val="22"/>
                <w:lang w:val="hu-HU"/>
              </w:rPr>
              <w:t>*</w:t>
            </w:r>
          </w:p>
        </w:tc>
      </w:tr>
      <w:tr w:rsidR="00656340" w:rsidRPr="002D0F02" w14:paraId="4AE8C8A6" w14:textId="77777777" w:rsidTr="004A3600">
        <w:tc>
          <w:tcPr>
            <w:tcW w:w="2968" w:type="dxa"/>
          </w:tcPr>
          <w:p w14:paraId="630C4B04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bőr alatti szövet</w:t>
            </w:r>
          </w:p>
          <w:p w14:paraId="69A6B8A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betegségei és tünetei</w:t>
            </w:r>
          </w:p>
        </w:tc>
        <w:tc>
          <w:tcPr>
            <w:tcW w:w="1980" w:type="dxa"/>
          </w:tcPr>
          <w:p w14:paraId="3C070DED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75AE1177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1E0F04D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1D6F8D5F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B8F2F5B" w14:textId="77777777" w:rsidR="00EA4310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  <w:p w14:paraId="1F189897" w14:textId="77777777" w:rsidR="00546F0E" w:rsidRDefault="00546F0E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  <w:p w14:paraId="0DA2AD3A" w14:textId="77777777" w:rsidR="00BE5A35" w:rsidRPr="002D0F02" w:rsidRDefault="00BE5A35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lastRenderedPageBreak/>
              <w:t>Nem ismert</w:t>
            </w:r>
          </w:p>
        </w:tc>
        <w:tc>
          <w:tcPr>
            <w:tcW w:w="4124" w:type="dxa"/>
          </w:tcPr>
          <w:p w14:paraId="34DC51C7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lastRenderedPageBreak/>
              <w:t>bőrkiütés, viszketés</w:t>
            </w:r>
          </w:p>
          <w:p w14:paraId="033A129E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65E8EA46" w14:textId="59FC8FF7" w:rsidR="00546F0E" w:rsidRDefault="00EA4310" w:rsidP="002822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  <w:r w:rsidR="0018736B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68174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toxicus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epidermalis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necrolysis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Stevens</w:t>
            </w:r>
            <w:proofErr w:type="spellEnd"/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>–</w:t>
            </w:r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Johnson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>-</w:t>
            </w:r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szindróma,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erythema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multiforme</w:t>
            </w:r>
            <w:proofErr w:type="spellEnd"/>
            <w:r w:rsidR="004778B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</w:t>
            </w:r>
            <w:r w:rsidR="00D005E8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="004778B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546F0E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</w:p>
          <w:p w14:paraId="33706616" w14:textId="77777777" w:rsidR="00BE5A35" w:rsidRDefault="00BE5A35" w:rsidP="002822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7A091EA0" w14:textId="492BE28D" w:rsidR="00BE5A35" w:rsidRPr="002D0F02" w:rsidRDefault="00BE5A35" w:rsidP="002822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hu-HU"/>
              </w:rPr>
              <w:lastRenderedPageBreak/>
              <w:t>eosinophiliával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szisztémás tünetekkel járó, gyógyszer okozta reakció</w:t>
            </w:r>
            <w:r w:rsidR="00546F0E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, </w:t>
            </w:r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akut generalizált </w:t>
            </w:r>
            <w:proofErr w:type="spellStart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>exanthematosus</w:t>
            </w:r>
            <w:proofErr w:type="spellEnd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</w:t>
            </w:r>
            <w:r w:rsidR="00D005E8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>pont)</w:t>
            </w:r>
          </w:p>
        </w:tc>
      </w:tr>
      <w:tr w:rsidR="00FB01A4" w:rsidRPr="002D0F02" w14:paraId="712BDD9A" w14:textId="77777777" w:rsidTr="004A3600">
        <w:tc>
          <w:tcPr>
            <w:tcW w:w="2968" w:type="dxa"/>
          </w:tcPr>
          <w:p w14:paraId="7AD6B54E" w14:textId="19EADE36" w:rsidR="00FB01A4" w:rsidRPr="002D0F02" w:rsidRDefault="006B1ACD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21E66">
              <w:rPr>
                <w:rFonts w:ascii="Times New Roman" w:hAnsi="Times New Roman"/>
                <w:sz w:val="22"/>
                <w:szCs w:val="22"/>
                <w:lang w:val="hu-HU" w:eastAsia="hu-HU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1980" w:type="dxa"/>
          </w:tcPr>
          <w:p w14:paraId="19F65C09" w14:textId="3E83F535" w:rsidR="00FB01A4" w:rsidRPr="002D0F02" w:rsidRDefault="008D489C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ismert</w:t>
            </w:r>
          </w:p>
        </w:tc>
        <w:tc>
          <w:tcPr>
            <w:tcW w:w="4124" w:type="dxa"/>
          </w:tcPr>
          <w:p w14:paraId="1B3591EC" w14:textId="3CC95B19" w:rsidR="00FB01A4" w:rsidRPr="002D0F02" w:rsidRDefault="00D4279F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5F2D4C">
              <w:rPr>
                <w:rFonts w:ascii="Times New Roman" w:hAnsi="Times New Roman"/>
                <w:sz w:val="22"/>
                <w:szCs w:val="22"/>
                <w:lang w:val="hu-HU" w:eastAsia="hu-HU"/>
              </w:rPr>
              <w:t>rhabdomyolysis</w:t>
            </w:r>
            <w:proofErr w:type="spellEnd"/>
          </w:p>
        </w:tc>
      </w:tr>
      <w:tr w:rsidR="00656340" w:rsidRPr="002D0F02" w14:paraId="778B8C4E" w14:textId="77777777" w:rsidTr="004A3600">
        <w:tc>
          <w:tcPr>
            <w:tcW w:w="2968" w:type="dxa"/>
          </w:tcPr>
          <w:p w14:paraId="5F667121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Vese- és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betegségek</w:t>
            </w:r>
          </w:p>
          <w:p w14:paraId="780EDD3F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6D4AA70E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63F7B6F3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4124" w:type="dxa"/>
          </w:tcPr>
          <w:p w14:paraId="313273A7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vér kreatinin- és húgysavszintjének emelkedése</w:t>
            </w:r>
          </w:p>
        </w:tc>
      </w:tr>
      <w:tr w:rsidR="00AC7508" w:rsidRPr="002D0F02" w14:paraId="6EED752A" w14:textId="77777777" w:rsidTr="004A3600">
        <w:tc>
          <w:tcPr>
            <w:tcW w:w="2968" w:type="dxa"/>
          </w:tcPr>
          <w:p w14:paraId="62CECCE5" w14:textId="77777777" w:rsidR="00AC7508" w:rsidRPr="00AC7508" w:rsidRDefault="00AC7508" w:rsidP="00AC75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AC7508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Anyagcsere- és táplálkozási betegségek és</w:t>
            </w:r>
          </w:p>
          <w:p w14:paraId="6FBA8544" w14:textId="32974AC7" w:rsidR="00AC7508" w:rsidRPr="002D0F02" w:rsidRDefault="00AC7508" w:rsidP="00AC75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AC7508">
              <w:rPr>
                <w:rFonts w:ascii="Times New Roman" w:hAnsi="Times New Roman"/>
                <w:sz w:val="22"/>
                <w:szCs w:val="22"/>
                <w:lang w:val="hu-HU" w:eastAsia="hu-HU"/>
              </w:rPr>
              <w:t>tünetek</w:t>
            </w:r>
          </w:p>
        </w:tc>
        <w:tc>
          <w:tcPr>
            <w:tcW w:w="1980" w:type="dxa"/>
          </w:tcPr>
          <w:p w14:paraId="0355D271" w14:textId="77777777" w:rsidR="00AC7508" w:rsidRPr="002D0F02" w:rsidRDefault="00AC7508" w:rsidP="00AC7508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619762E2" w14:textId="77777777" w:rsidR="00AC7508" w:rsidRPr="002D0F02" w:rsidRDefault="00AC7508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4124" w:type="dxa"/>
          </w:tcPr>
          <w:p w14:paraId="07B96893" w14:textId="031780DF" w:rsidR="00AC7508" w:rsidRPr="002D0F02" w:rsidRDefault="00AC7508" w:rsidP="00AC75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AC7508">
              <w:rPr>
                <w:rFonts w:ascii="Times New Roman" w:hAnsi="Times New Roman"/>
                <w:sz w:val="22"/>
                <w:szCs w:val="22"/>
                <w:lang w:val="hu-HU" w:eastAsia="hu-HU"/>
              </w:rPr>
              <w:t>hypokalaemia</w:t>
            </w:r>
            <w:proofErr w:type="spellEnd"/>
          </w:p>
        </w:tc>
      </w:tr>
      <w:tr w:rsidR="00656340" w:rsidRPr="002D0F02" w14:paraId="50D29609" w14:textId="77777777" w:rsidTr="004A3600">
        <w:tc>
          <w:tcPr>
            <w:tcW w:w="2968" w:type="dxa"/>
          </w:tcPr>
          <w:p w14:paraId="3F9286D8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Általános tünetek, az</w:t>
            </w:r>
          </w:p>
          <w:p w14:paraId="734BE5B5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alkalmazás helyén fellépő</w:t>
            </w:r>
          </w:p>
          <w:p w14:paraId="41B83768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reakciók</w:t>
            </w:r>
          </w:p>
        </w:tc>
        <w:tc>
          <w:tcPr>
            <w:tcW w:w="1980" w:type="dxa"/>
          </w:tcPr>
          <w:p w14:paraId="533264ED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Gyakori</w:t>
            </w:r>
          </w:p>
          <w:p w14:paraId="4F56B143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4BDB3706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33DAB94C" w14:textId="77777777" w:rsidR="00656340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gyulladás, fájdalom</w:t>
            </w:r>
          </w:p>
          <w:p w14:paraId="69036376" w14:textId="77777777" w:rsidR="00EA73BB" w:rsidRPr="002D0F02" w:rsidRDefault="00EA73BB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420B9151" w14:textId="77777777" w:rsidR="00EA4310" w:rsidRPr="002D0F02" w:rsidRDefault="00EA4310" w:rsidP="0062692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thrombophlebitis</w:t>
            </w:r>
            <w:proofErr w:type="spellEnd"/>
            <w:r w:rsidR="0018736B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fájdalom az injekció beadásának helyén</w:t>
            </w:r>
          </w:p>
        </w:tc>
      </w:tr>
    </w:tbl>
    <w:p w14:paraId="39D2A74B" w14:textId="1D3DB166" w:rsidR="00243DA9" w:rsidRDefault="004A3600" w:rsidP="004A3600">
      <w:pPr>
        <w:rPr>
          <w:rFonts w:ascii="Times New Roman" w:hAnsi="Times New Roman"/>
          <w:sz w:val="22"/>
          <w:szCs w:val="22"/>
          <w:lang w:val="hu-HU"/>
        </w:rPr>
      </w:pPr>
      <w:r w:rsidRPr="004A3600">
        <w:rPr>
          <w:rFonts w:ascii="Times New Roman" w:hAnsi="Times New Roman"/>
          <w:sz w:val="22"/>
          <w:szCs w:val="22"/>
          <w:lang w:val="hu-HU"/>
        </w:rPr>
        <w:t>*A gyógyszer okozta májkárosodás magában foglalja a hepatitist és a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4A3600">
        <w:rPr>
          <w:rFonts w:ascii="Times New Roman" w:hAnsi="Times New Roman"/>
          <w:sz w:val="22"/>
          <w:szCs w:val="22"/>
          <w:lang w:val="hu-HU"/>
        </w:rPr>
        <w:t>májelégtelenséget is.</w:t>
      </w:r>
    </w:p>
    <w:p w14:paraId="4EF44582" w14:textId="77777777" w:rsidR="004A3600" w:rsidRDefault="004A3600" w:rsidP="004A3600">
      <w:pPr>
        <w:rPr>
          <w:rFonts w:ascii="Times New Roman" w:hAnsi="Times New Roman"/>
          <w:sz w:val="22"/>
          <w:szCs w:val="22"/>
          <w:lang w:val="hu-HU"/>
        </w:rPr>
      </w:pPr>
    </w:p>
    <w:p w14:paraId="09B894FF" w14:textId="77777777" w:rsidR="00F5190C" w:rsidRPr="00344C73" w:rsidRDefault="00F5190C" w:rsidP="00344C7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344C73">
        <w:rPr>
          <w:rFonts w:ascii="Times New Roman" w:hAnsi="Times New Roman"/>
          <w:sz w:val="22"/>
          <w:szCs w:val="22"/>
          <w:u w:val="single"/>
          <w:lang w:val="hu-HU"/>
        </w:rPr>
        <w:t>A kiválasztott mellékhatások leírása</w:t>
      </w:r>
    </w:p>
    <w:p w14:paraId="0938BC5A" w14:textId="77777777" w:rsidR="00F5190C" w:rsidRPr="00344C73" w:rsidRDefault="00F5190C" w:rsidP="00F5190C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344C73">
        <w:rPr>
          <w:rFonts w:ascii="Times New Roman" w:hAnsi="Times New Roman"/>
          <w:i/>
          <w:iCs/>
          <w:sz w:val="22"/>
          <w:szCs w:val="22"/>
          <w:lang w:val="hu-HU" w:eastAsia="hu-HU"/>
        </w:rPr>
        <w:t>Kounis</w:t>
      </w:r>
      <w:proofErr w:type="spellEnd"/>
      <w:r w:rsidRPr="00344C73">
        <w:rPr>
          <w:rFonts w:ascii="Times New Roman" w:hAnsi="Times New Roman"/>
          <w:i/>
          <w:iCs/>
          <w:sz w:val="22"/>
          <w:szCs w:val="22"/>
          <w:lang w:val="hu-HU" w:eastAsia="hu-HU"/>
        </w:rPr>
        <w:t>-szindróma</w:t>
      </w:r>
    </w:p>
    <w:p w14:paraId="609E87A2" w14:textId="339F23AC" w:rsidR="00F5190C" w:rsidRDefault="00F5190C" w:rsidP="00F5190C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 xml:space="preserve">Egyéb béta-laktám antibiotikumokkal kapcsolatban allergiás reakcióval járó </w:t>
      </w:r>
      <w:r w:rsidRPr="00E2508F">
        <w:rPr>
          <w:rFonts w:ascii="Times New Roman" w:hAnsi="Times New Roman"/>
          <w:sz w:val="22"/>
          <w:szCs w:val="22"/>
          <w:lang w:val="hu-HU" w:eastAsia="hu-HU"/>
        </w:rPr>
        <w:t>akut koszorúérgörcs</w:t>
      </w:r>
      <w:r>
        <w:rPr>
          <w:rFonts w:ascii="Times New Roman" w:hAnsi="Times New Roman"/>
          <w:sz w:val="22"/>
          <w:szCs w:val="22"/>
          <w:lang w:val="hu-HU" w:eastAsia="hu-HU"/>
        </w:rPr>
        <w:t>ről (</w:t>
      </w: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Kounis</w:t>
      </w:r>
      <w:proofErr w:type="spellEnd"/>
      <w:r>
        <w:rPr>
          <w:rFonts w:ascii="Times New Roman" w:hAnsi="Times New Roman"/>
          <w:sz w:val="22"/>
          <w:szCs w:val="22"/>
          <w:lang w:val="hu-HU" w:eastAsia="hu-HU"/>
        </w:rPr>
        <w:t>-szindróma) számoltak be (</w:t>
      </w:r>
      <w:r w:rsidRPr="00E2508F">
        <w:rPr>
          <w:rFonts w:ascii="Times New Roman" w:hAnsi="Times New Roman"/>
          <w:sz w:val="22"/>
          <w:szCs w:val="22"/>
          <w:lang w:val="hu-HU" w:eastAsia="hu-HU"/>
        </w:rPr>
        <w:t>lásd 4.</w:t>
      </w:r>
      <w:r>
        <w:rPr>
          <w:rFonts w:ascii="Times New Roman" w:hAnsi="Times New Roman"/>
          <w:sz w:val="22"/>
          <w:szCs w:val="22"/>
          <w:lang w:val="hu-HU" w:eastAsia="hu-HU"/>
        </w:rPr>
        <w:t>4 </w:t>
      </w:r>
      <w:r w:rsidRPr="00E2508F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CE1D696" w14:textId="77777777" w:rsidR="00F5190C" w:rsidRDefault="00F5190C" w:rsidP="004A3600">
      <w:pPr>
        <w:rPr>
          <w:rFonts w:ascii="Times New Roman" w:hAnsi="Times New Roman"/>
          <w:sz w:val="22"/>
          <w:szCs w:val="22"/>
          <w:lang w:val="hu-HU"/>
        </w:rPr>
      </w:pPr>
    </w:p>
    <w:p w14:paraId="6168C1C9" w14:textId="77777777" w:rsidR="004612A7" w:rsidRPr="0088236D" w:rsidRDefault="004612A7" w:rsidP="00344C73">
      <w:pPr>
        <w:keepNext/>
        <w:rPr>
          <w:rFonts w:ascii="Times New Roman" w:hAnsi="Times New Roman"/>
          <w:sz w:val="22"/>
          <w:szCs w:val="22"/>
          <w:lang w:val="hu-HU"/>
        </w:rPr>
      </w:pPr>
      <w:r w:rsidRPr="00EC3F10">
        <w:rPr>
          <w:rFonts w:ascii="Times New Roman" w:hAnsi="Times New Roman"/>
          <w:sz w:val="22"/>
          <w:szCs w:val="22"/>
          <w:u w:val="single"/>
          <w:lang w:val="hu-HU"/>
        </w:rPr>
        <w:t>Gyermekek</w:t>
      </w:r>
      <w:r w:rsidR="00243DA9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243DA9" w:rsidRPr="0088236D">
        <w:rPr>
          <w:rFonts w:ascii="Times New Roman" w:hAnsi="Times New Roman"/>
          <w:sz w:val="22"/>
          <w:szCs w:val="22"/>
          <w:u w:val="single"/>
          <w:lang w:val="hu-HU"/>
        </w:rPr>
        <w:t>és serdülők</w:t>
      </w:r>
    </w:p>
    <w:p w14:paraId="0ADF182F" w14:textId="7B285F43" w:rsidR="004612A7" w:rsidRPr="004612A7" w:rsidRDefault="004612A7" w:rsidP="00EC3F1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88236D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88236D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88236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88236D">
        <w:rPr>
          <w:rFonts w:ascii="Times New Roman" w:hAnsi="Times New Roman"/>
          <w:sz w:val="22"/>
          <w:szCs w:val="22"/>
          <w:lang w:val="hu-HU" w:eastAsia="hu-HU"/>
        </w:rPr>
        <w:t>Kabi</w:t>
      </w:r>
      <w:proofErr w:type="spellEnd"/>
      <w:r w:rsidRPr="0088236D">
        <w:rPr>
          <w:rFonts w:ascii="Times New Roman" w:hAnsi="Times New Roman"/>
          <w:sz w:val="22"/>
          <w:szCs w:val="22"/>
          <w:lang w:val="hu-HU" w:eastAsia="hu-HU"/>
        </w:rPr>
        <w:t xml:space="preserve"> 3</w:t>
      </w:r>
      <w:r w:rsidR="00F5190C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88236D">
        <w:rPr>
          <w:rFonts w:ascii="Times New Roman" w:hAnsi="Times New Roman"/>
          <w:sz w:val="22"/>
          <w:szCs w:val="22"/>
          <w:lang w:val="hu-HU" w:eastAsia="hu-HU"/>
        </w:rPr>
        <w:t>hónaposnál idősebb gyermekek kezelésére engedélyezett. A korlátozottan rendelkezésre álló adatok szerint nincs bizonyíték mellékhatások fokozott kockázatára gyermekeknél</w:t>
      </w:r>
      <w:r w:rsidR="004D7987" w:rsidRPr="0088236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3E3FD1" w:rsidRPr="0088236D">
        <w:rPr>
          <w:rFonts w:ascii="Times New Roman" w:hAnsi="Times New Roman"/>
          <w:sz w:val="22"/>
          <w:szCs w:val="22"/>
          <w:lang w:val="hu-HU" w:eastAsia="hu-HU"/>
        </w:rPr>
        <w:t>és se</w:t>
      </w:r>
      <w:r w:rsidR="004D7987" w:rsidRPr="0088236D">
        <w:rPr>
          <w:rFonts w:ascii="Times New Roman" w:hAnsi="Times New Roman"/>
          <w:sz w:val="22"/>
          <w:szCs w:val="22"/>
          <w:lang w:val="hu-HU" w:eastAsia="hu-HU"/>
        </w:rPr>
        <w:t>rdülőknél</w:t>
      </w:r>
      <w:r w:rsidRPr="0088236D">
        <w:rPr>
          <w:rFonts w:ascii="Times New Roman" w:hAnsi="Times New Roman"/>
          <w:sz w:val="22"/>
          <w:szCs w:val="22"/>
          <w:lang w:val="hu-HU" w:eastAsia="hu-HU"/>
        </w:rPr>
        <w:t>. A beérkezett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43DA9">
        <w:rPr>
          <w:rFonts w:ascii="Times New Roman" w:hAnsi="Times New Roman"/>
          <w:sz w:val="22"/>
          <w:szCs w:val="22"/>
          <w:lang w:val="hu-HU" w:eastAsia="hu-HU"/>
        </w:rPr>
        <w:t>jelentések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egyeztek a felnőtteknél megfigyelt eseményekkel.</w:t>
      </w:r>
    </w:p>
    <w:p w14:paraId="2BAF8696" w14:textId="77777777" w:rsidR="004612A7" w:rsidRPr="002D0F02" w:rsidRDefault="004612A7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7CAF539" w14:textId="77777777" w:rsidR="00281076" w:rsidRPr="002D0F02" w:rsidRDefault="00281076" w:rsidP="008177B6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102E3F30" w14:textId="678A6B26" w:rsidR="00281076" w:rsidRPr="002D0F02" w:rsidRDefault="00281076" w:rsidP="00900872">
      <w:pPr>
        <w:keepNext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3D41A0">
        <w:rPr>
          <w:rFonts w:ascii="Times New Roman" w:hAnsi="Times New Roman"/>
          <w:sz w:val="22"/>
          <w:szCs w:val="22"/>
          <w:lang w:val="hu-HU"/>
        </w:rPr>
        <w:t xml:space="preserve">részére az </w:t>
      </w:r>
      <w:hyperlink r:id="rId11" w:history="1">
        <w:r w:rsidRPr="00473100">
          <w:rPr>
            <w:rStyle w:val="Hiperhivatkozs"/>
            <w:rFonts w:ascii="Times New Roman" w:hAnsi="Times New Roman"/>
            <w:sz w:val="22"/>
            <w:szCs w:val="22"/>
            <w:highlight w:val="darkGray"/>
            <w:lang w:val="hu-HU"/>
          </w:rPr>
          <w:t>V. függelékben</w:t>
        </w:r>
      </w:hyperlink>
      <w:r w:rsidRPr="00473100">
        <w:rPr>
          <w:rFonts w:ascii="Times New Roman" w:hAnsi="Times New Roman"/>
          <w:sz w:val="22"/>
          <w:szCs w:val="22"/>
          <w:highlight w:val="darkGray"/>
          <w:lang w:val="hu-HU"/>
        </w:rPr>
        <w:t xml:space="preserve"> található elérhetőségek valamelyikén keresztül</w:t>
      </w:r>
      <w:r w:rsidRPr="003D41A0">
        <w:rPr>
          <w:rFonts w:ascii="Times New Roman" w:hAnsi="Times New Roman"/>
          <w:sz w:val="22"/>
          <w:szCs w:val="22"/>
          <w:lang w:val="hu-HU"/>
        </w:rPr>
        <w:t>.</w:t>
      </w:r>
    </w:p>
    <w:p w14:paraId="593ABFBF" w14:textId="77777777" w:rsidR="00281076" w:rsidRPr="002D0F02" w:rsidRDefault="0028107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DDADBC7" w14:textId="77777777" w:rsidR="00D97F23" w:rsidRPr="002D0F02" w:rsidRDefault="00C343CA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2D0F02">
        <w:rPr>
          <w:rFonts w:ascii="Times New Roman" w:hAnsi="Times New Roman"/>
          <w:b/>
          <w:sz w:val="22"/>
          <w:szCs w:val="22"/>
          <w:lang w:val="hu-HU"/>
        </w:rPr>
        <w:t>Túladagolás</w:t>
      </w:r>
    </w:p>
    <w:p w14:paraId="102E2F85" w14:textId="77777777" w:rsidR="00D97F23" w:rsidRPr="002D0F02" w:rsidRDefault="00D97F23" w:rsidP="00344C73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6E1CD11" w14:textId="400E3C74" w:rsidR="007F32D2" w:rsidRPr="002D0F02" w:rsidRDefault="007F32D2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Relatív túladagolás előfordulhat vesekárosodásban szenvedő betegek esetén, amennyiben a dózismódosítás nem történik meg a 4.2</w:t>
      </w:r>
      <w:r w:rsidR="003704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pontban leírtak szerint. Korlátozott </w:t>
      </w:r>
      <w:r w:rsidR="00DB195F">
        <w:rPr>
          <w:rFonts w:ascii="Times New Roman" w:hAnsi="Times New Roman"/>
          <w:sz w:val="22"/>
          <w:szCs w:val="22"/>
          <w:lang w:val="hu-HU" w:eastAsia="hu-HU"/>
        </w:rPr>
        <w:t xml:space="preserve">számú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posztmarketing tapasztalatok szerint, ha a túladagolást követően mellékhatások jelentkeznek, azok a 4.8</w:t>
      </w:r>
      <w:r w:rsidR="0037040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pontban leírt mellékhatás-profillal megegyeznek, általában enyhék és a gyógyszer felfüggesztését</w:t>
      </w:r>
      <w:r w:rsidR="001E01B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illetve a dózis csökkentését követően enyhülnek. A tüneti kezelés alkalmazása megfontolandó.</w:t>
      </w:r>
    </w:p>
    <w:p w14:paraId="2F84F785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B1863D7" w14:textId="77777777" w:rsidR="007F32D2" w:rsidRPr="002D0F02" w:rsidRDefault="007F32D2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Normális vesefunkciójú egyéneknél a vesén keresztül gyors kiürülés következik be.</w:t>
      </w:r>
    </w:p>
    <w:p w14:paraId="11BADD44" w14:textId="77777777" w:rsidR="007F32D2" w:rsidRPr="002D0F02" w:rsidRDefault="007F32D2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8C728FC" w14:textId="77777777" w:rsidR="005F2910" w:rsidRPr="002D0F02" w:rsidRDefault="007F32D2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metabolitjai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eltávolíthatók.</w:t>
      </w:r>
    </w:p>
    <w:p w14:paraId="1B7C16A1" w14:textId="77777777" w:rsidR="00D97F23" w:rsidRPr="002D0F02" w:rsidRDefault="00D97F23" w:rsidP="002D0F02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027CD21E" w14:textId="77777777" w:rsidR="00D97F23" w:rsidRPr="002D0F02" w:rsidRDefault="00D97F23" w:rsidP="002D0F02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bCs/>
          <w:sz w:val="22"/>
          <w:szCs w:val="22"/>
          <w:lang w:val="hu-HU"/>
        </w:rPr>
      </w:pPr>
    </w:p>
    <w:p w14:paraId="09958226" w14:textId="77777777" w:rsidR="00D97F23" w:rsidRPr="002D0F02" w:rsidRDefault="00D97F23" w:rsidP="00344C73">
      <w:pPr>
        <w:keepNext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5.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FARMAKOLÓGIAI TULAJDONSÁGOK</w:t>
      </w:r>
    </w:p>
    <w:p w14:paraId="47AE9697" w14:textId="77777777" w:rsidR="00D97F23" w:rsidRPr="002D0F02" w:rsidRDefault="00D97F23" w:rsidP="00344C73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0FD404D4" w14:textId="77777777" w:rsidR="00D97F23" w:rsidRPr="002D0F02" w:rsidRDefault="00D97F23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5.1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Farmakodinámiás tulajdonságok</w:t>
      </w:r>
    </w:p>
    <w:p w14:paraId="53C9E55F" w14:textId="77777777" w:rsidR="00D97F23" w:rsidRPr="002D0F02" w:rsidRDefault="00D97F23" w:rsidP="00344C73">
      <w:pPr>
        <w:pStyle w:val="lfej"/>
        <w:keepNext/>
        <w:tabs>
          <w:tab w:val="clear" w:pos="4153"/>
          <w:tab w:val="clear" w:pos="8306"/>
        </w:tabs>
        <w:rPr>
          <w:rFonts w:ascii="Times New Roman" w:hAnsi="Times New Roman"/>
          <w:sz w:val="22"/>
          <w:szCs w:val="22"/>
          <w:lang w:val="hu-HU"/>
        </w:rPr>
      </w:pPr>
    </w:p>
    <w:p w14:paraId="03715BBC" w14:textId="77777777" w:rsidR="00F55D9C" w:rsidRPr="002D0F02" w:rsidRDefault="007F32D2" w:rsidP="002D0F02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Farmakoterápiás csoport: </w:t>
      </w:r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zisztémás antibakteriális szerek, </w:t>
      </w:r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 xml:space="preserve">Egyéb béta-laktám antibiotikumok; </w:t>
      </w:r>
      <w:proofErr w:type="spellStart"/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arbapenemek</w:t>
      </w:r>
      <w:proofErr w:type="spellEnd"/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ED8F631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ATC kód: J01DH02</w:t>
      </w:r>
    </w:p>
    <w:p w14:paraId="546986CC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F652782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Hatásmechanizmus</w:t>
      </w:r>
    </w:p>
    <w:p w14:paraId="16A9998B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>A meropenem ba</w:t>
      </w:r>
      <w:r w:rsidR="00DB195F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tericid hatását a penicillinkötő fehérjékhez (penicillin-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binding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proteins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– PBP-k) kötődve a bakteriális sejtfal-szintézis gátlása révén fejti ki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-pozitív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-negatív baktériumokban.</w:t>
      </w:r>
    </w:p>
    <w:p w14:paraId="037431F5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BAD29EC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Farmakokinetikai/farmakodinámiás (PK/PD) összefüggés</w:t>
      </w:r>
    </w:p>
    <w:p w14:paraId="5D2DF2C3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Más béta-laktám antibakteriális szerekhez hasonlóan az az idő korrelál legjobban a hatásossággal, amíg a meropenem koncentrációja meghaladja a MIC-értéket (T &gt; MIC). A preklinikai modellekben a meropenem hatása akkor mutatkozott meg, amikor a plazmakoncentrációk meghaladták a fertőző organizmusok MIC-értékét az adagolási intervallum kb. 40%-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 Ezt a célértéket klinikailag nem állapították meg.</w:t>
      </w:r>
    </w:p>
    <w:p w14:paraId="46C70D3D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53B44D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Rezisztenciamechanizmus</w:t>
      </w:r>
    </w:p>
    <w:p w14:paraId="6F38D153" w14:textId="77777777" w:rsidR="00D516A6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kialakuló bakteriális rezisztencia oka lehet: (1)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-negatív baktériumok külső membránjának csökkent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permeabilitása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(a csökkent porin-termelés következményeként), (2) a PBP</w:t>
      </w:r>
      <w:r w:rsidR="00360AA4" w:rsidRPr="002D0F02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célenzimek csökkent affinitása, (3) az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-pumpa komponensek túlzott expressziója és (4)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karbapenemeket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hidrolizáló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béta-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laktamázok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termelődése.</w:t>
      </w:r>
    </w:p>
    <w:p w14:paraId="71C357CF" w14:textId="77777777" w:rsidR="00D516A6" w:rsidRPr="002D0F02" w:rsidRDefault="00D516A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E0C875F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-rezisztens organizmusok okozta fertőzések lokalizált gócait jelentették az Európai Unióban.</w:t>
      </w:r>
    </w:p>
    <w:p w14:paraId="71B24C5B" w14:textId="77777777" w:rsidR="00DB195F" w:rsidRDefault="00DB195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0284135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Nincs célpont-alapú keresztrezisztencia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kinolonok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aminoglikozidok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makrolidok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tetraciklinek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osztályába tartozó szerek között. Azonban a baktériumok az antibakteriális szerek egyszerre több osztályával szemben is mutathatnak rezisztenciát, ha a mechanizmusban impermeabilitás és/vagy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-pumpa(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) vesz részt.</w:t>
      </w:r>
    </w:p>
    <w:p w14:paraId="035A7BBA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495082" w14:textId="7D31FDB6" w:rsidR="007F32D2" w:rsidRDefault="0085504F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>Érzékenységi vizsgálat határértékei</w:t>
      </w:r>
    </w:p>
    <w:p w14:paraId="3E0C486E" w14:textId="39D9DAB4" w:rsidR="00EE69BF" w:rsidRPr="00344C73" w:rsidRDefault="00EE69BF" w:rsidP="00344C73">
      <w:pPr>
        <w:pStyle w:val="Default"/>
        <w:rPr>
          <w:sz w:val="22"/>
          <w:szCs w:val="22"/>
        </w:rPr>
      </w:pPr>
      <w:r w:rsidRPr="000D5B96">
        <w:rPr>
          <w:sz w:val="22"/>
          <w:szCs w:val="22"/>
        </w:rPr>
        <w:t xml:space="preserve">A European </w:t>
      </w:r>
      <w:proofErr w:type="spellStart"/>
      <w:r w:rsidRPr="000D5B96">
        <w:rPr>
          <w:sz w:val="22"/>
          <w:szCs w:val="22"/>
        </w:rPr>
        <w:t>Committee</w:t>
      </w:r>
      <w:proofErr w:type="spellEnd"/>
      <w:r w:rsidRPr="000D5B96">
        <w:rPr>
          <w:sz w:val="22"/>
          <w:szCs w:val="22"/>
        </w:rPr>
        <w:t xml:space="preserve"> </w:t>
      </w:r>
      <w:proofErr w:type="spellStart"/>
      <w:r w:rsidRPr="000D5B96">
        <w:rPr>
          <w:sz w:val="22"/>
          <w:szCs w:val="22"/>
        </w:rPr>
        <w:t>on</w:t>
      </w:r>
      <w:proofErr w:type="spellEnd"/>
      <w:r w:rsidRPr="000D5B96">
        <w:rPr>
          <w:sz w:val="22"/>
          <w:szCs w:val="22"/>
        </w:rPr>
        <w:t xml:space="preserve"> </w:t>
      </w:r>
      <w:proofErr w:type="spellStart"/>
      <w:r w:rsidRPr="000D5B96">
        <w:rPr>
          <w:sz w:val="22"/>
          <w:szCs w:val="22"/>
        </w:rPr>
        <w:t>Antimicrobial</w:t>
      </w:r>
      <w:proofErr w:type="spellEnd"/>
      <w:r w:rsidRPr="000D5B96">
        <w:rPr>
          <w:sz w:val="22"/>
          <w:szCs w:val="22"/>
        </w:rPr>
        <w:t xml:space="preserve"> </w:t>
      </w:r>
      <w:proofErr w:type="spellStart"/>
      <w:r w:rsidRPr="000D5B96">
        <w:rPr>
          <w:sz w:val="22"/>
          <w:szCs w:val="22"/>
        </w:rPr>
        <w:t>Susceptibility</w:t>
      </w:r>
      <w:proofErr w:type="spellEnd"/>
      <w:r w:rsidRPr="000D5B96">
        <w:rPr>
          <w:sz w:val="22"/>
          <w:szCs w:val="22"/>
        </w:rPr>
        <w:t xml:space="preserve"> Testing (EUCAST) 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meropenem</w:t>
      </w:r>
      <w:proofErr w:type="spellEnd"/>
      <w:r w:rsidRPr="000D5B96">
        <w:rPr>
          <w:sz w:val="22"/>
          <w:szCs w:val="22"/>
        </w:rPr>
        <w:t xml:space="preserve"> vonatkozásában megállapította az érzékenységi vizsgálathoz a MIC (minimális gátló koncentráció) értelmezési kritériumait, amelyek felsorolása itt található:</w:t>
      </w:r>
      <w:r>
        <w:rPr>
          <w:sz w:val="22"/>
          <w:szCs w:val="22"/>
        </w:rPr>
        <w:t xml:space="preserve"> </w:t>
      </w:r>
      <w:hyperlink r:id="rId12" w:history="1">
        <w:r w:rsidRPr="00103574">
          <w:rPr>
            <w:rStyle w:val="Hiperhivatkozs"/>
            <w:sz w:val="22"/>
            <w:szCs w:val="22"/>
          </w:rPr>
          <w:t>https://www.ema.europa.eu/documents/other/minimum-inhibitory-concentration-mic-breakpoints_en.xlsx</w:t>
        </w:r>
      </w:hyperlink>
    </w:p>
    <w:p w14:paraId="4D786CB6" w14:textId="370ECFEF" w:rsidR="005222DB" w:rsidRPr="002D0F02" w:rsidRDefault="005222DB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9A2FF83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5D313B6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szerzett rezisztencia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egyes fajok esetén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földrajzilag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időben változó lehet, így a helyi rezisztencia-adatok ismerete kívánatos, főleg súlyos fertőzések kezelésekor. Szükség szerint szaktanácsot kell kérni, ha a rezisztencia helyi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olyan, hogy a szer alkalmazhatósága legalábbis néhány fertőzéstípusnál kérdéses.</w:t>
      </w:r>
    </w:p>
    <w:p w14:paraId="44C1A19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360BAE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következő táblázatban felsorolt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patogének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klinikai tapasztalatból és a terápiás útmutatásokból származnak.</w:t>
      </w:r>
    </w:p>
    <w:p w14:paraId="40F00238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291FC4E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Általában érzékeny fajok</w:t>
      </w:r>
    </w:p>
    <w:p w14:paraId="45890DA2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35DCDCC3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faecalis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</w:t>
      </w:r>
    </w:p>
    <w:p w14:paraId="750E07AB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aureus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-érzékeny)</w:t>
      </w:r>
      <w:r w:rsidRPr="002D0F02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</w:p>
    <w:p w14:paraId="36491B5D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speciesek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-érzékeny) beleértve a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epidermidis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t</w:t>
      </w:r>
      <w:proofErr w:type="spellEnd"/>
      <w:r w:rsidR="00B86A6C" w:rsidRPr="00963D0A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</w:p>
    <w:p w14:paraId="2DAB9C86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agalactiae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(B csoport)</w:t>
      </w:r>
    </w:p>
    <w:p w14:paraId="2BA07D13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milleri </w:t>
      </w:r>
      <w:r w:rsidR="009522BE" w:rsidRPr="00963D0A">
        <w:rPr>
          <w:rFonts w:ascii="Times New Roman" w:hAnsi="Times New Roman"/>
          <w:sz w:val="22"/>
          <w:szCs w:val="22"/>
          <w:lang w:val="hu-HU" w:eastAsia="hu-HU"/>
        </w:rPr>
        <w:t>csoport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(S.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anginosus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S.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constellatus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9522BE"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és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S.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intermedius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46EB04D0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41248145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pyogenes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(A csoport)</w:t>
      </w:r>
    </w:p>
    <w:p w14:paraId="30800883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AD35844" w14:textId="77777777" w:rsidR="00CC1C80" w:rsidRPr="00963D0A" w:rsidRDefault="00CC1C8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58EDF7E7" w14:textId="77777777" w:rsidR="00CC1C80" w:rsidRPr="00963D0A" w:rsidRDefault="00CC1C80" w:rsidP="00900872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freu</w:t>
      </w:r>
      <w:r w:rsidR="00001048"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n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dii</w:t>
      </w:r>
      <w:proofErr w:type="spellEnd"/>
    </w:p>
    <w:p w14:paraId="3C4C3288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koseri</w:t>
      </w:r>
      <w:proofErr w:type="spellEnd"/>
    </w:p>
    <w:p w14:paraId="523B6E89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aerogenes</w:t>
      </w:r>
      <w:proofErr w:type="spellEnd"/>
    </w:p>
    <w:p w14:paraId="4D0C6386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cloacae</w:t>
      </w:r>
      <w:proofErr w:type="spellEnd"/>
    </w:p>
    <w:p w14:paraId="6F52D8C7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Escherichia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coli</w:t>
      </w:r>
    </w:p>
    <w:p w14:paraId="585346F9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lastRenderedPageBreak/>
        <w:t>Haemophilus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influenzae</w:t>
      </w:r>
      <w:proofErr w:type="spellEnd"/>
    </w:p>
    <w:p w14:paraId="0DD6A1E4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oxytoca</w:t>
      </w:r>
      <w:proofErr w:type="spellEnd"/>
    </w:p>
    <w:p w14:paraId="7E0D5CB9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61AB2E8D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Morganella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morganii</w:t>
      </w:r>
      <w:proofErr w:type="spellEnd"/>
    </w:p>
    <w:p w14:paraId="7F25AF1C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Neisseria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meningitidis</w:t>
      </w:r>
      <w:proofErr w:type="spellEnd"/>
    </w:p>
    <w:p w14:paraId="63BBC7D8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mirabilis</w:t>
      </w:r>
      <w:proofErr w:type="spellEnd"/>
    </w:p>
    <w:p w14:paraId="35EEA148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Proteus vulgaris</w:t>
      </w:r>
    </w:p>
    <w:p w14:paraId="1EAE0BA5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Serratia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marcescens</w:t>
      </w:r>
      <w:proofErr w:type="spellEnd"/>
    </w:p>
    <w:p w14:paraId="16016D2B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FC5D540" w14:textId="77777777" w:rsidR="00CC1C80" w:rsidRPr="00963D0A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-pozitív anaerobok</w:t>
      </w:r>
    </w:p>
    <w:p w14:paraId="7392CECA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Clostridium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perfringens</w:t>
      </w:r>
      <w:proofErr w:type="spellEnd"/>
    </w:p>
    <w:p w14:paraId="621413B7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Peptoniphilus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asaccharolyticus</w:t>
      </w:r>
      <w:proofErr w:type="spellEnd"/>
    </w:p>
    <w:p w14:paraId="374548E5" w14:textId="77777777" w:rsidR="00CC1C80" w:rsidRPr="00963D0A" w:rsidRDefault="006F5B27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Peptostreptococcus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speciesek 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(beleértve a P.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micros</w:t>
      </w:r>
      <w:r w:rsidRPr="00963D0A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P.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anaerobius</w:t>
      </w:r>
      <w:r w:rsidRPr="00963D0A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és a P.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magnus</w:t>
      </w:r>
      <w:r w:rsidRPr="00963D0A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="00B86A6C" w:rsidRPr="00963D0A">
        <w:rPr>
          <w:rFonts w:ascii="Times New Roman" w:hAnsi="Times New Roman"/>
          <w:iCs/>
          <w:sz w:val="22"/>
          <w:szCs w:val="22"/>
          <w:lang w:val="hu-HU" w:eastAsia="hu-HU"/>
        </w:rPr>
        <w:t xml:space="preserve"> is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780A44DE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D00E405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-negatív anaerobok</w:t>
      </w:r>
    </w:p>
    <w:p w14:paraId="663878E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caccae</w:t>
      </w:r>
      <w:proofErr w:type="spellEnd"/>
    </w:p>
    <w:p w14:paraId="1F82C44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fragilis </w:t>
      </w:r>
      <w:r w:rsidRPr="002D0F02">
        <w:rPr>
          <w:rFonts w:ascii="Times New Roman" w:hAnsi="Times New Roman"/>
          <w:iCs/>
          <w:sz w:val="22"/>
          <w:szCs w:val="22"/>
          <w:lang w:val="hu-HU" w:eastAsia="hu-HU"/>
        </w:rPr>
        <w:t>csoport</w:t>
      </w:r>
    </w:p>
    <w:p w14:paraId="76B1B960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bivia</w:t>
      </w:r>
      <w:proofErr w:type="spellEnd"/>
    </w:p>
    <w:p w14:paraId="1B219E4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disiens</w:t>
      </w:r>
      <w:proofErr w:type="spellEnd"/>
    </w:p>
    <w:p w14:paraId="73C29E5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C41CD3F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Fajok, amelyeknél a szerzett rezisztencia problémát jelenthet</w:t>
      </w:r>
    </w:p>
    <w:p w14:paraId="536BA8C0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6435B6C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faecium</w:t>
      </w:r>
      <w:proofErr w:type="spellEnd"/>
      <w:r w:rsidRPr="002D0F02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$†</w:t>
      </w:r>
    </w:p>
    <w:p w14:paraId="7BB2A34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F2E953E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092012B7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Acinetobacter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species</w:t>
      </w:r>
      <w:r w:rsidR="00E4615E" w:rsidRPr="002D0F02">
        <w:rPr>
          <w:rFonts w:ascii="Times New Roman" w:hAnsi="Times New Roman"/>
          <w:sz w:val="22"/>
          <w:szCs w:val="22"/>
          <w:lang w:val="hu-HU" w:eastAsia="hu-HU"/>
        </w:rPr>
        <w:t>ek</w:t>
      </w:r>
    </w:p>
    <w:p w14:paraId="2E7AA9E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Burkholderia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cepacia</w:t>
      </w:r>
      <w:proofErr w:type="spellEnd"/>
    </w:p>
    <w:p w14:paraId="32D40DC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</w:p>
    <w:p w14:paraId="0C22755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0FCA52F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Öröklötten rezisztens kórokozók</w:t>
      </w:r>
    </w:p>
    <w:p w14:paraId="1759CB5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6ADAF5E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Stenotrophomonas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maltophilia</w:t>
      </w:r>
      <w:proofErr w:type="spellEnd"/>
    </w:p>
    <w:p w14:paraId="6D18F104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Legionella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speciesek</w:t>
      </w:r>
    </w:p>
    <w:p w14:paraId="70E30C94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6679C8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Egyéb mikroorganizmusok</w:t>
      </w:r>
    </w:p>
    <w:p w14:paraId="635ADCC6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2FD4801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psittaci</w:t>
      </w:r>
      <w:proofErr w:type="spellEnd"/>
    </w:p>
    <w:p w14:paraId="06426B8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Coxiella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burnetii</w:t>
      </w:r>
      <w:proofErr w:type="spellEnd"/>
    </w:p>
    <w:p w14:paraId="3D2452AB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Mycoplasma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3584332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BAC2302" w14:textId="77777777" w:rsidR="00CC1C80" w:rsidRPr="00963D0A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 Fajok, amelyek természetes </w:t>
      </w:r>
      <w:r w:rsidR="004D7987" w:rsidRPr="00963D0A">
        <w:rPr>
          <w:rFonts w:ascii="Times New Roman" w:hAnsi="Times New Roman"/>
          <w:sz w:val="22"/>
          <w:szCs w:val="22"/>
          <w:lang w:val="hu-HU" w:eastAsia="hu-HU"/>
        </w:rPr>
        <w:t xml:space="preserve">mérsékelt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érzékenységet mutatnak</w:t>
      </w:r>
    </w:p>
    <w:p w14:paraId="05C7DF85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Az összes </w:t>
      </w:r>
      <w:proofErr w:type="spellStart"/>
      <w:r w:rsidRPr="00963D0A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proofErr w:type="spellStart"/>
      <w:r w:rsidRPr="00963D0A">
        <w:rPr>
          <w:rFonts w:ascii="Times New Roman" w:hAnsi="Times New Roman"/>
          <w:sz w:val="22"/>
          <w:szCs w:val="22"/>
          <w:lang w:val="hu-HU" w:eastAsia="hu-HU"/>
        </w:rPr>
        <w:t>Staphylococcus</w:t>
      </w:r>
      <w:proofErr w:type="spellEnd"/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 rezisztens a </w:t>
      </w:r>
      <w:proofErr w:type="spellStart"/>
      <w:r w:rsidRPr="00963D0A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</w:p>
    <w:p w14:paraId="5FD691FC" w14:textId="548E88C1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†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Rezisztencia arány </w:t>
      </w:r>
      <w:r w:rsidR="00A85B0F" w:rsidRPr="00963D0A">
        <w:rPr>
          <w:rFonts w:ascii="Times New Roman" w:hAnsi="Times New Roman"/>
          <w:sz w:val="22"/>
          <w:szCs w:val="22"/>
          <w:lang w:val="hu-HU" w:eastAsia="hu-HU"/>
        </w:rPr>
        <w:t>≥</w:t>
      </w:r>
      <w:r w:rsidR="002160B8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50% egy vagy több EU </w:t>
      </w:r>
      <w:r w:rsidR="004D7987" w:rsidRPr="00963D0A">
        <w:rPr>
          <w:rFonts w:ascii="Times New Roman" w:hAnsi="Times New Roman"/>
          <w:sz w:val="22"/>
          <w:szCs w:val="22"/>
          <w:lang w:val="hu-HU" w:eastAsia="hu-HU"/>
        </w:rPr>
        <w:t>tag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országban</w:t>
      </w:r>
    </w:p>
    <w:p w14:paraId="45AB51E1" w14:textId="77777777" w:rsidR="001722B7" w:rsidRPr="002D0F02" w:rsidRDefault="001722B7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870FCB4" w14:textId="77777777" w:rsidR="001722B7" w:rsidRPr="002D0F02" w:rsidRDefault="001722B7" w:rsidP="00344C73">
      <w:pPr>
        <w:keepNext/>
        <w:rPr>
          <w:rFonts w:ascii="Times New Roman" w:hAnsi="Times New Roman"/>
          <w:i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Malleus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 xml:space="preserve"> (takonykór) és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melioidosis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 xml:space="preserve"> (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Whitmore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noBreakHyphen/>
        <w:t>betegség)</w:t>
      </w:r>
    </w:p>
    <w:p w14:paraId="019B68AD" w14:textId="77777777" w:rsidR="001722B7" w:rsidRPr="002D0F02" w:rsidRDefault="001722B7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meropenem embereknél történő alkalmazása a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mallei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pseudomallei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bCs/>
          <w:i/>
          <w:iCs/>
          <w:sz w:val="22"/>
          <w:szCs w:val="22"/>
          <w:lang w:val="hu-HU"/>
        </w:rPr>
        <w:t>in vitro</w:t>
      </w:r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érzékenységi adatain és korlátozott számú humán adaton alapul. A </w:t>
      </w:r>
      <w:proofErr w:type="spellStart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>malleus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>melioidosis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kezelése során a kezelőorvosnak az országos és/vagy a nemzetközi konszenzus dokumentumokban előírtak szerint kell eljárni.</w:t>
      </w:r>
    </w:p>
    <w:p w14:paraId="420B5BD0" w14:textId="77777777" w:rsidR="00D97F23" w:rsidRPr="002D0F02" w:rsidRDefault="00D97F23" w:rsidP="002D0F02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48CDFF6C" w14:textId="77777777" w:rsidR="00D97F23" w:rsidRPr="002D0F02" w:rsidRDefault="00D97F23" w:rsidP="00473100">
      <w:pPr>
        <w:keepNext/>
        <w:numPr>
          <w:ilvl w:val="1"/>
          <w:numId w:val="17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Farmakokinetikai tulajdonságok</w:t>
      </w:r>
    </w:p>
    <w:p w14:paraId="21CCB4C4" w14:textId="77777777" w:rsidR="00D97F23" w:rsidRPr="002D0F02" w:rsidRDefault="00D97F23" w:rsidP="00900872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53F9793" w14:textId="3A03F0CA" w:rsidR="00CC1C80" w:rsidRPr="002822E8" w:rsidRDefault="00CC1C80" w:rsidP="00900872">
      <w:pPr>
        <w:keepNext/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900872">
        <w:rPr>
          <w:rFonts w:ascii="Times New Roman" w:hAnsi="Times New Roman"/>
          <w:sz w:val="22"/>
          <w:szCs w:val="22"/>
          <w:lang w:val="hu-HU" w:eastAsia="hu-HU"/>
        </w:rPr>
        <w:t>Egészséges egyéneknél az átlagos plazma felezési idő megközelítőleg 1 óra; az átlagos megoszlási térfogat kb. 0,25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l/</w:t>
      </w:r>
      <w:r w:rsidR="005E2369" w:rsidRPr="0090087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kg (11</w:t>
      </w:r>
      <w:r w:rsidR="00340176" w:rsidRPr="00900872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27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l), az átlagos clearance pedig 287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ml/perc 250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mg esetén, amely 205 ml/percre esik le </w:t>
      </w:r>
      <w:smartTag w:uri="urn:schemas-microsoft-com:office:smarttags" w:element="metricconverter">
        <w:smartTagPr>
          <w:attr w:name="ProductID" w:val="2ﾠg"/>
        </w:smartTagPr>
        <w:r w:rsidRPr="00900872">
          <w:rPr>
            <w:rFonts w:ascii="Times New Roman" w:hAnsi="Times New Roman"/>
            <w:sz w:val="22"/>
            <w:szCs w:val="22"/>
            <w:lang w:val="hu-HU" w:eastAsia="hu-HU"/>
          </w:rPr>
          <w:t>2</w:t>
        </w:r>
        <w:r w:rsidR="00A45618" w:rsidRPr="00900872">
          <w:rPr>
            <w:rFonts w:ascii="Times New Roman" w:hAnsi="Times New Roman"/>
            <w:sz w:val="22"/>
            <w:szCs w:val="22"/>
            <w:lang w:val="hu-HU" w:eastAsia="hu-HU"/>
          </w:rPr>
          <w:t> </w:t>
        </w:r>
        <w:r w:rsidRPr="00900872">
          <w:rPr>
            <w:rFonts w:ascii="Times New Roman" w:hAnsi="Times New Roman"/>
            <w:sz w:val="22"/>
            <w:szCs w:val="22"/>
            <w:lang w:val="hu-HU" w:eastAsia="hu-HU"/>
          </w:rPr>
          <w:t>g</w:t>
        </w:r>
      </w:smartTag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 esetén. 500, 1000 és 2000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mg adagok 30</w:t>
      </w:r>
      <w:r w:rsidR="00D82C99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perces infúzióban történő beadásakor a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EC3F10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-értékek sorrendben </w:t>
      </w:r>
      <w:r w:rsidR="005378B3" w:rsidRPr="00900872">
        <w:rPr>
          <w:rFonts w:ascii="Times New Roman" w:hAnsi="Times New Roman"/>
          <w:sz w:val="22"/>
          <w:szCs w:val="22"/>
          <w:lang w:val="hu-HU" w:eastAsia="hu-HU"/>
        </w:rPr>
        <w:t xml:space="preserve">kb. 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23, 49</w:t>
      </w:r>
      <w:r w:rsidR="00340176" w:rsidRPr="00900872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 illetve 115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μg/ml voltak, a megfelelő AUC-értékek pedig sorrendben 39,3, 62,3 és 153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μg</w:t>
      </w:r>
      <w:r w:rsidR="002822E8">
        <w:rPr>
          <w:rFonts w:ascii="Times New Roman" w:hAnsi="Times New Roman"/>
          <w:sz w:val="22"/>
          <w:szCs w:val="22"/>
          <w:lang w:val="hu-HU" w:eastAsia="hu-HU"/>
        </w:rPr>
        <w:t>×óra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/ml. Öt percig tartó infúzió beadását követően a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EC3F10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="002822E8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értéke 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lastRenderedPageBreak/>
        <w:t>52 és 112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>/ml volt sorrendben 500, illetve 1000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mg-os adag esetén. A 8</w:t>
      </w:r>
      <w:r w:rsidR="00D82C99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óránként ismételt adagoláskor normális veseműködésű betegekben a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 nem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akkumulálódik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33A6AA1C" w14:textId="77777777" w:rsidR="00CC1C80" w:rsidRPr="002822E8" w:rsidRDefault="00CC1C80" w:rsidP="002822E8">
      <w:pPr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1BD8C77F" w14:textId="44394661" w:rsidR="00CC1C80" w:rsidRPr="002822E8" w:rsidRDefault="00CC1C80" w:rsidP="002822E8">
      <w:pPr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Egy vizsgálatban, amelyben 12 betegnek 8</w:t>
      </w:r>
      <w:r w:rsidR="00D82C99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óránként 1000</w:t>
      </w:r>
      <w:r w:rsidR="008262E8" w:rsidRPr="002822E8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mg </w:t>
      </w:r>
      <w:proofErr w:type="spellStart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meropenemet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 adtak műtét után </w:t>
      </w:r>
      <w:proofErr w:type="spellStart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intraabdomin</w:t>
      </w:r>
      <w:r w:rsidR="00F85DE1" w:rsidRPr="002822E8">
        <w:rPr>
          <w:rFonts w:ascii="Times New Roman" w:hAnsi="Times New Roman"/>
          <w:bCs/>
          <w:iCs/>
          <w:sz w:val="22"/>
          <w:szCs w:val="22"/>
          <w:lang w:val="hu-HU"/>
        </w:rPr>
        <w:t>a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lis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 fertőzés kezelésére, a </w:t>
      </w:r>
      <w:proofErr w:type="spellStart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C</w:t>
      </w:r>
      <w:r w:rsidRPr="00344C73">
        <w:rPr>
          <w:rFonts w:ascii="Times New Roman" w:hAnsi="Times New Roman"/>
          <w:bCs/>
          <w:iCs/>
          <w:sz w:val="22"/>
          <w:szCs w:val="22"/>
          <w:vertAlign w:val="subscript"/>
          <w:lang w:val="hu-HU"/>
        </w:rPr>
        <w:t>max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felezési idő az egészséges egyéneknél mért értékkel összevethető volt, de a megoszlási térfogat nagyobb volt</w:t>
      </w:r>
      <w:r w:rsidR="00340176">
        <w:rPr>
          <w:rFonts w:ascii="Times New Roman" w:hAnsi="Times New Roman"/>
          <w:bCs/>
          <w:iCs/>
          <w:sz w:val="22"/>
          <w:szCs w:val="22"/>
          <w:lang w:val="hu-HU"/>
        </w:rPr>
        <w:t xml:space="preserve">, mint 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27</w:t>
      </w:r>
      <w:r w:rsidR="008262E8" w:rsidRPr="002822E8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l.</w:t>
      </w:r>
    </w:p>
    <w:p w14:paraId="666A0603" w14:textId="77777777" w:rsidR="005E2369" w:rsidRPr="002D0F02" w:rsidRDefault="005E2369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0C7587BF" w14:textId="77777777" w:rsidR="00CC1C80" w:rsidRPr="002D0F02" w:rsidRDefault="00BB625E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El</w:t>
      </w:r>
      <w:r w:rsidR="00CC1C80"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oszlás</w:t>
      </w:r>
    </w:p>
    <w:p w14:paraId="13E55805" w14:textId="1A630688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plazmafehérjékhez való átlagos kötődése kb. 2% volt, és független</w:t>
      </w:r>
      <w:r w:rsidR="008407A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volt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koncentrációtól. Gyors (5</w:t>
      </w:r>
      <w:r w:rsidR="00D82C99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perc vagy rövidebb idő alatti) beadást követően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biexponenciális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, de ez sokkal kevésbé nyilvánvaló 30</w:t>
      </w:r>
      <w:r w:rsidR="00D82C99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perces infúziót követően.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jól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penetrál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számos testnedvbe és szövetbe, ideértve a tüdőt,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bronchi</w:t>
      </w:r>
      <w:r w:rsidR="00857AE6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váladékot, az epét,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folyadékot, a nőgyógyászati szöveteket, a bőrt,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fasciát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az izmokat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peritone</w:t>
      </w:r>
      <w:r w:rsidR="00857AE6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ex</w:t>
      </w:r>
      <w:r w:rsidR="004D7E6A" w:rsidRPr="002D0F02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udátumot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06E830B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AA624ED" w14:textId="77777777" w:rsidR="00CC1C80" w:rsidRPr="002D0F02" w:rsidRDefault="00BB625E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Biotranszformáció</w:t>
      </w:r>
    </w:p>
    <w:p w14:paraId="22E3491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a béta-</w:t>
      </w:r>
      <w:r w:rsidR="005378B3" w:rsidRPr="002D0F02">
        <w:rPr>
          <w:rFonts w:ascii="Times New Roman" w:hAnsi="Times New Roman"/>
          <w:sz w:val="22"/>
          <w:szCs w:val="22"/>
          <w:lang w:val="hu-HU" w:eastAsia="hu-HU"/>
        </w:rPr>
        <w:t>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aktám gyűrű hidrolízise által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metabolizálódik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egy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metabolitot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hozva létre. </w:t>
      </w:r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az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imipenemhez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képest csökkent érzékenységet mutat a humán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dehidropeptidáz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-I (DHP-I) általi hidrolízissel szemben; így nem szükséges DHP-I inhibitor együttes alkalmazása.</w:t>
      </w:r>
    </w:p>
    <w:p w14:paraId="04783C59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3AFC3E7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Elimináció</w:t>
      </w:r>
    </w:p>
    <w:p w14:paraId="58FB36C7" w14:textId="63FE57C9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meropenem elsősorban a vesén keresztül választódik ki változatlan formában; az adag kb. 70%-a (50–75%)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 változatlanul 12</w:t>
      </w:r>
      <w:r w:rsidR="00D82C99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órán belül. További 28%-ot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nyertek vissza. A széklettel az adag csak kb. 2%-a ürül. A mért vese-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hatása azt mutatja, hogy a meropenem mind a filtráción, mind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szekréción is keresztülmegy.</w:t>
      </w:r>
    </w:p>
    <w:p w14:paraId="38716389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104402E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Veseelégtelenség</w:t>
      </w:r>
    </w:p>
    <w:p w14:paraId="4B1F1481" w14:textId="2F7AA5B1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vesekárosodás magasabb plazma AUC-t és hosszabb felezési időt eredményezett. Az AUC-értéke 2,4-szeresére növekedett közepes fokú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33-74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ml/perc) és 5-szörösére súlyos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4-23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ml/perc) vesekárosodás esetén, valamint 10-szeresére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kezelt betegeknél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&lt;2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ml/perc), az egészséges egyénekkel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&gt;</w:t>
      </w:r>
      <w:r w:rsidR="00B02BD8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80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ml/perc)</w:t>
      </w:r>
      <w:r w:rsidR="008F2A3A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összehasonlítva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inaktív, felhasadt gyűrűs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AUC-értéke is jelentősen megemelkedett a vesekárosodott betegeknél. Az adagolás módosítása javasolt közepes fokú és súlyos vesekárosodásban szenvedő betegeknél (lásd 4.2</w:t>
      </w:r>
      <w:r w:rsidR="00B96B8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0262730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5E2B48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eltávolítja,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alatt kb. 4-szer nagyobb, mint</w:t>
      </w:r>
    </w:p>
    <w:p w14:paraId="353527C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anuriás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betegek esetén.</w:t>
      </w:r>
    </w:p>
    <w:p w14:paraId="534370E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50356C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Májelégtelenség</w:t>
      </w:r>
    </w:p>
    <w:p w14:paraId="691E5DB4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Alkoholos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cirrhosisban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szenvedő betegek körében végzett vizsgálatban a májbetegség nem volt hatással a meropenem ismételt dózisok utáni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farmakokinetikájára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CFDAAB1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A8A1C25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Felnőtt betegek</w:t>
      </w:r>
    </w:p>
    <w:p w14:paraId="5F669B1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Betegek körében végzett farmakokinetikai vizsgálatokban nem mutatkoztak jelentős farmakokinetikai különbségek az azonos vesefunkciójú egészséges egyénekhez képest. Hetvenkilenc,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F55F01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fertőzéssel 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pneumoniával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kezelt beteg adataiból kialakított populáció modell alapján látható, hogy a centrális térfogat függ a beteg </w:t>
      </w:r>
      <w:r w:rsidR="005E2369" w:rsidRPr="002D0F02">
        <w:rPr>
          <w:rFonts w:ascii="Times New Roman" w:hAnsi="Times New Roman"/>
          <w:sz w:val="22"/>
          <w:szCs w:val="22"/>
          <w:lang w:val="hu-HU" w:eastAsia="hu-HU"/>
        </w:rPr>
        <w:t>testtömegétől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pedig a kreatinin-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től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</w:t>
      </w:r>
      <w:r w:rsidR="005E2369" w:rsidRPr="002D0F02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E2369" w:rsidRPr="002D0F02">
        <w:rPr>
          <w:rFonts w:ascii="Times New Roman" w:hAnsi="Times New Roman"/>
          <w:sz w:val="22"/>
          <w:szCs w:val="22"/>
          <w:lang w:val="hu-HU" w:eastAsia="hu-HU"/>
        </w:rPr>
        <w:t>élet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kortól.</w:t>
      </w:r>
    </w:p>
    <w:p w14:paraId="7E58D7E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15EF615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Gyermekek</w:t>
      </w:r>
      <w:r w:rsidR="004D798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</w:p>
    <w:p w14:paraId="23135C92" w14:textId="67ECC320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fertőzött csecsemőknél és gyermekeknél 10, 20 és 40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5C2786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adagok esetén az 500, 1000 illetve 2000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mg-os dózissal kezelt felnőtteknél mért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2D0F0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-értékeket megközelítő értékeket mutatott. Összehasonlítás alapján a dózis és a felezési idő között lejátszódó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felnőtteknél megfigyeltekhez hasonlóan alakult, a legfiatalabb egyének kivételével (6 hónapos kor alatt a t</w:t>
      </w:r>
      <w:r w:rsidRPr="002D0F0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1/2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1,6</w:t>
      </w:r>
      <w:r w:rsidR="000D7E4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óra) minden korcsoportban. Az átlagos meropenem clearance-értékek a következők voltak: 5,8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(6-12</w:t>
      </w:r>
      <w:r w:rsidR="00B96B8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éves kor), 6,2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(2-5</w:t>
      </w:r>
      <w:r w:rsidR="00B96B8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éves kor), 5,3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(6-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>23</w:t>
      </w:r>
      <w:r w:rsidR="00B96B8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hónapos kor) és 4,3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(2-5</w:t>
      </w:r>
      <w:r w:rsidR="00B96B8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hónapos kor). Az adag megközelítőleg 60%-a választódik ki a vizeletbe 12 óra után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meropenemként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további 12% pedig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folyadék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-koncentrációja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meningitises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gyermekeknél kb. 20%-a az egyidejűleg mérhető plazmaszinteknek, bár jelentős egyéni eltérések vannak.</w:t>
      </w:r>
    </w:p>
    <w:p w14:paraId="38D317D1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545916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Azon újszülöttek között, akiknél szükségessé vált valamely </w:t>
      </w:r>
      <w:proofErr w:type="spellStart"/>
      <w:r w:rsidR="006F5B27" w:rsidRPr="002D0F02">
        <w:rPr>
          <w:rFonts w:ascii="Times New Roman" w:hAnsi="Times New Roman"/>
          <w:sz w:val="22"/>
          <w:szCs w:val="22"/>
          <w:lang w:val="hu-HU" w:eastAsia="hu-HU"/>
        </w:rPr>
        <w:t>antiinfektív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kezelés alkalmazása,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farmakokinetikájában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nagyobb mértékű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volt megfigyelhető azoknál, akik idősebb kronológiai 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gesztációs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korra születtek. Esetükben az átlag</w:t>
      </w:r>
      <w:r w:rsidR="00340176">
        <w:rPr>
          <w:rFonts w:ascii="Times New Roman" w:hAnsi="Times New Roman"/>
          <w:sz w:val="22"/>
          <w:szCs w:val="22"/>
          <w:lang w:val="hu-HU" w:eastAsia="hu-HU"/>
        </w:rPr>
        <w:t>os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felezési idő 2,9</w:t>
      </w:r>
      <w:r w:rsidR="001074FB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óra volt. Populációs farmakokinetikai modellen alapuló Monte Carlo szimuláció azt mutatt</w:t>
      </w:r>
      <w:r w:rsidR="00047595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, hogy 8 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C41878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-os adagolás 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P.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esetében 60%</w:t>
      </w:r>
      <w:r w:rsidR="00C41878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T&gt;MIC-értéket ért el a koraszülöttek 95%-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az időre születettek 91%-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8E80C83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934CD3D" w14:textId="77777777" w:rsidR="00CC1C80" w:rsidRPr="002D0F02" w:rsidRDefault="00CC1C80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Idősek</w:t>
      </w:r>
    </w:p>
    <w:p w14:paraId="29B27A39" w14:textId="01069B6A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Egészséges idősek (65-80</w:t>
      </w:r>
      <w:r w:rsidR="00B96B8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évesek) körében végzett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vizsgálatokban a plazma</w:t>
      </w:r>
      <w:r w:rsidR="000B2BFB" w:rsidRPr="002D0F02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A3891" w:rsidRPr="002D0F02">
        <w:rPr>
          <w:rFonts w:ascii="Times New Roman" w:hAnsi="Times New Roman"/>
          <w:sz w:val="22"/>
          <w:szCs w:val="22"/>
          <w:lang w:val="hu-HU" w:eastAsia="hu-HU"/>
        </w:rPr>
        <w:t>csökkenését tapasztalták</w:t>
      </w:r>
      <w:r w:rsidR="00B40DE6" w:rsidRPr="002D0F02">
        <w:rPr>
          <w:rFonts w:ascii="Times New Roman" w:hAnsi="Times New Roman"/>
          <w:sz w:val="22"/>
          <w:szCs w:val="22"/>
          <w:lang w:val="hu-HU" w:eastAsia="hu-HU"/>
        </w:rPr>
        <w:t>,</w:t>
      </w:r>
      <w:r w:rsidR="007A3891" w:rsidRPr="002D0F02">
        <w:rPr>
          <w:rFonts w:ascii="Times New Roman" w:hAnsi="Times New Roman"/>
          <w:sz w:val="22"/>
          <w:szCs w:val="22"/>
          <w:lang w:val="hu-HU" w:eastAsia="hu-HU"/>
        </w:rPr>
        <w:t xml:space="preserve"> a</w:t>
      </w:r>
      <w:r w:rsidR="00782DE8" w:rsidRPr="002D0F02">
        <w:rPr>
          <w:rFonts w:ascii="Times New Roman" w:hAnsi="Times New Roman"/>
          <w:sz w:val="22"/>
          <w:szCs w:val="22"/>
          <w:lang w:val="hu-HU" w:eastAsia="hu-HU"/>
        </w:rPr>
        <w:t>mely</w:t>
      </w:r>
      <w:r w:rsidR="008C358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7416D" w:rsidRPr="002D0F02">
        <w:rPr>
          <w:rFonts w:ascii="Times New Roman" w:hAnsi="Times New Roman"/>
          <w:sz w:val="22"/>
          <w:szCs w:val="22"/>
          <w:lang w:val="hu-HU" w:eastAsia="hu-HU"/>
        </w:rPr>
        <w:t xml:space="preserve">korrelált </w:t>
      </w:r>
      <w:r w:rsidR="008C3585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="007A3891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kreatinin-clearance korfüggő csökkenésével </w:t>
      </w:r>
      <w:r w:rsidR="008C3585" w:rsidRPr="002D0F02">
        <w:rPr>
          <w:rFonts w:ascii="Times New Roman" w:hAnsi="Times New Roman"/>
          <w:sz w:val="22"/>
          <w:szCs w:val="22"/>
          <w:lang w:val="hu-HU" w:eastAsia="hu-HU"/>
        </w:rPr>
        <w:t>és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nem</w:t>
      </w:r>
      <w:r w:rsidR="000B2BFB" w:rsidRPr="002D0F02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renalis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kisebb mértékű</w:t>
      </w:r>
      <w:r w:rsidR="00C7416D" w:rsidRPr="002D0F02">
        <w:rPr>
          <w:rFonts w:ascii="Times New Roman" w:hAnsi="Times New Roman"/>
          <w:sz w:val="22"/>
          <w:szCs w:val="22"/>
          <w:lang w:val="hu-HU" w:eastAsia="hu-HU"/>
        </w:rPr>
        <w:t xml:space="preserve"> csökkenésével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. Idős betegeknél adagmódosítás nem szükséges, kivéve a közepes fokú vagy súlyos vesekárosodás eseteit (lásd 4.2</w:t>
      </w:r>
      <w:r w:rsidR="0034017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3F07A71C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3A2C52D" w14:textId="77777777" w:rsidR="00D97F23" w:rsidRPr="002D0F02" w:rsidRDefault="00D97F23" w:rsidP="00344C73">
      <w:pPr>
        <w:keepNext/>
        <w:numPr>
          <w:ilvl w:val="1"/>
          <w:numId w:val="17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A preklinikai biztonság</w:t>
      </w:r>
      <w:r w:rsidR="00F82D2C" w:rsidRPr="002D0F02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36730752" w14:textId="77777777" w:rsidR="00D97F23" w:rsidRPr="002D0F02" w:rsidRDefault="00D97F23" w:rsidP="00344C73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5ECA290" w14:textId="7584DD7D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 állatkísérletek arra utalnak, hogy a vese jól tolerálja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vesetubulusok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szövettanilag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igazolt károsodása volt megfigyelhető egereknél és kutyáknál 2000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vagy magasabb dózis egyszeri alkalmazása után, majmoknál pedig 500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adag mellett egy 7</w:t>
      </w:r>
      <w:r w:rsidR="00631F4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napos vizsgálatban.</w:t>
      </w:r>
    </w:p>
    <w:p w14:paraId="12255CF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6CEDF6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központi idegrendszer is általában jól tolerálja. Rágcsálókkal végzett akut toxicitási vizsgálatokban 1000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kg-ot meghaladó dózisok esetén hatások mutatkoztak.</w:t>
      </w:r>
    </w:p>
    <w:p w14:paraId="73F1DBF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0909EA0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intravénás alkalmazás esetén az LD</w:t>
      </w:r>
      <w:r w:rsidRPr="002D0F0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50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rágcsálókban több mint 2000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kg.</w:t>
      </w:r>
    </w:p>
    <w:p w14:paraId="6722186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20EC458" w14:textId="0531F628" w:rsidR="00701FBF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Legfeljebb 6</w:t>
      </w:r>
      <w:r w:rsidR="00631F4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hónapig tartó, ismételt dózisú vizsgálatokban csak kisebb hatások voltak tapasztalhatók, beleértve a vörösvértestekre jellemző paraméterek kutyáknál észlelt csökkenését.</w:t>
      </w:r>
    </w:p>
    <w:p w14:paraId="2B8F1BCB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C29FA96" w14:textId="77777777" w:rsidR="00701FBF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szokásos tesztsorozat alapján nem volt mutagén potenciálra utaló bizonyíték, sem reproduktív</w:t>
      </w:r>
      <w:r w:rsidR="00701FB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toxicitásra utaló bizonyíték, beleértve a teratogén hatást is, patkányoknál legfeljebb 750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kg-os,</w:t>
      </w:r>
      <w:r w:rsidR="00701FB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majmoknál pedig legfeljebb 360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adagok esetén.</w:t>
      </w:r>
    </w:p>
    <w:p w14:paraId="617F1D0A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89EC96" w14:textId="77777777" w:rsidR="00872526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Nem bizonyított, hogy a fiatal állatok meropenem-érzékenysége nagyobb, mint a felnőtteké.</w:t>
      </w:r>
    </w:p>
    <w:p w14:paraId="1A461C2C" w14:textId="77777777" w:rsidR="00701FBF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701FB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intravénás adagolást az állatkísérletekben jól tolerálták.</w:t>
      </w:r>
    </w:p>
    <w:p w14:paraId="0EB38A1F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8C67B57" w14:textId="77777777" w:rsidR="00D97F23" w:rsidRPr="002D0F02" w:rsidRDefault="00CC1C80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egyetlen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hasonló toxikológiai profilt mutatott az állatkísérletek során.</w:t>
      </w:r>
    </w:p>
    <w:p w14:paraId="1176754D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87EC366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21ACAEB" w14:textId="77777777" w:rsidR="00D97F23" w:rsidRPr="002D0F02" w:rsidRDefault="00D97F23" w:rsidP="00473100">
      <w:pPr>
        <w:keepNext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6.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GYÓGYSZERÉSZETI JELLEMZŐK</w:t>
      </w:r>
    </w:p>
    <w:p w14:paraId="58E748F3" w14:textId="77777777" w:rsidR="00D97F23" w:rsidRPr="002D0F02" w:rsidRDefault="00D97F23" w:rsidP="00900872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3BE6793B" w14:textId="77777777" w:rsidR="00D97F23" w:rsidRPr="002D0F02" w:rsidRDefault="00D97F23" w:rsidP="00473100">
      <w:pPr>
        <w:keepNext/>
        <w:numPr>
          <w:ilvl w:val="1"/>
          <w:numId w:val="15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Segédanyagok felsorolása</w:t>
      </w:r>
    </w:p>
    <w:p w14:paraId="13C5ACF2" w14:textId="77777777" w:rsidR="00D97F23" w:rsidRPr="002D0F02" w:rsidRDefault="00D97F23" w:rsidP="00900872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1887198" w14:textId="77777777" w:rsidR="00D97F23" w:rsidRPr="002D0F02" w:rsidRDefault="00607ECB" w:rsidP="00900872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N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átrium</w:t>
      </w:r>
      <w:r w:rsidR="00680B00" w:rsidRPr="002D0F02">
        <w:rPr>
          <w:rFonts w:ascii="Times New Roman" w:hAnsi="Times New Roman"/>
          <w:sz w:val="22"/>
          <w:szCs w:val="22"/>
          <w:lang w:val="hu-HU"/>
        </w:rPr>
        <w:t>-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karbonát.</w:t>
      </w:r>
    </w:p>
    <w:p w14:paraId="0A7A981B" w14:textId="77777777" w:rsidR="00A02080" w:rsidRPr="002D0F02" w:rsidRDefault="00A0208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C2A0D04" w14:textId="77777777" w:rsidR="00D97F23" w:rsidRPr="002D0F02" w:rsidRDefault="00D97F23" w:rsidP="00344C73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6.2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Inkompatibilitások</w:t>
      </w:r>
    </w:p>
    <w:p w14:paraId="144217B1" w14:textId="77777777" w:rsidR="00F82D2C" w:rsidRPr="002D0F02" w:rsidRDefault="00F82D2C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46938E7C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Ez a gyógyszer kizárólag a 6.6 pontban felsorolt gyógyszerekkel keverhető.</w:t>
      </w:r>
    </w:p>
    <w:p w14:paraId="25CDF2D5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8E9894D" w14:textId="77777777" w:rsidR="00D97F23" w:rsidRPr="002D0F02" w:rsidRDefault="00D97F23" w:rsidP="00473100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6.3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Felhasználhatósági időtartam</w:t>
      </w:r>
    </w:p>
    <w:p w14:paraId="62454A74" w14:textId="77777777" w:rsidR="00F82D2C" w:rsidRPr="002D0F02" w:rsidRDefault="00F82D2C" w:rsidP="002822E8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7462B2B" w14:textId="3849EC54" w:rsidR="00F85757" w:rsidRDefault="00F85757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20</w:t>
      </w:r>
      <w:r w:rsidR="00631F42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ml-es injekciós üveg: 4</w:t>
      </w:r>
      <w:r w:rsidR="00631F42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év.</w:t>
      </w:r>
    </w:p>
    <w:p w14:paraId="79F2E117" w14:textId="77777777" w:rsidR="00F85757" w:rsidRDefault="00F85757" w:rsidP="002822E8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75B232B4" w14:textId="4F6CA43C" w:rsidR="00F82D2C" w:rsidRPr="002D0F02" w:rsidRDefault="00F85757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50</w:t>
      </w:r>
      <w:r w:rsidR="00631F42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ml-es és 100</w:t>
      </w:r>
      <w:r w:rsidR="00631F42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 xml:space="preserve">ml-es infúziós üveg: 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>3</w:t>
      </w:r>
      <w:r w:rsidR="00631F42">
        <w:rPr>
          <w:rFonts w:ascii="Times New Roman" w:hAnsi="Times New Roman"/>
          <w:sz w:val="22"/>
          <w:szCs w:val="22"/>
          <w:lang w:val="hu-HU"/>
        </w:rPr>
        <w:t> </w:t>
      </w:r>
      <w:r w:rsidR="00F82D2C" w:rsidRPr="002D0F02">
        <w:rPr>
          <w:rFonts w:ascii="Times New Roman" w:hAnsi="Times New Roman"/>
          <w:sz w:val="22"/>
          <w:szCs w:val="22"/>
          <w:lang w:val="hu-HU"/>
        </w:rPr>
        <w:t>év</w:t>
      </w:r>
    </w:p>
    <w:p w14:paraId="50500D43" w14:textId="77777777" w:rsidR="00EB6B35" w:rsidRPr="002D0F02" w:rsidRDefault="00EB6B3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A19B682" w14:textId="77777777" w:rsidR="00872526" w:rsidRDefault="00872526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Feloldás után:</w:t>
      </w:r>
    </w:p>
    <w:p w14:paraId="377B53AC" w14:textId="77777777" w:rsidR="00F85757" w:rsidRDefault="00F85757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145BB0A" w14:textId="77777777" w:rsidR="00F85757" w:rsidRDefault="00F85757" w:rsidP="00F85757">
      <w:pPr>
        <w:pStyle w:val="Nincstrkz"/>
        <w:keepNext/>
        <w:rPr>
          <w:b/>
          <w:lang w:eastAsia="de-DE"/>
        </w:rPr>
      </w:pPr>
      <w:r>
        <w:rPr>
          <w:b/>
          <w:lang w:eastAsia="de-DE"/>
        </w:rPr>
        <w:t xml:space="preserve">Alkalmazása intravénás </w:t>
      </w:r>
      <w:proofErr w:type="spellStart"/>
      <w:r>
        <w:rPr>
          <w:b/>
          <w:lang w:eastAsia="de-DE"/>
        </w:rPr>
        <w:t>bolus</w:t>
      </w:r>
      <w:proofErr w:type="spellEnd"/>
      <w:r>
        <w:rPr>
          <w:b/>
          <w:lang w:eastAsia="de-DE"/>
        </w:rPr>
        <w:t xml:space="preserve"> injekcióként</w:t>
      </w:r>
    </w:p>
    <w:p w14:paraId="1DFA4DF6" w14:textId="1DA13AEA" w:rsidR="00A4713B" w:rsidRDefault="00F85757" w:rsidP="00657774">
      <w:pPr>
        <w:pStyle w:val="Nincstrkz"/>
        <w:keepNext/>
        <w:rPr>
          <w:lang w:eastAsia="el-GR"/>
        </w:rPr>
      </w:pPr>
      <w:r>
        <w:rPr>
          <w:lang w:eastAsia="de-DE"/>
        </w:rPr>
        <w:t xml:space="preserve">A </w:t>
      </w:r>
      <w:proofErr w:type="spellStart"/>
      <w:r>
        <w:rPr>
          <w:lang w:eastAsia="de-DE"/>
        </w:rPr>
        <w:t>bolus</w:t>
      </w:r>
      <w:proofErr w:type="spellEnd"/>
      <w:r>
        <w:rPr>
          <w:lang w:eastAsia="de-DE"/>
        </w:rPr>
        <w:t xml:space="preserve"> injekcióban beadandó oldat elkészítéséhez a gyógyszert steril, injekcióhoz való vízzel kell feloldani az 50 mg/ml végső koncentráció eléréséig. </w:t>
      </w:r>
      <w:r>
        <w:rPr>
          <w:lang w:eastAsia="el-GR"/>
        </w:rPr>
        <w:t xml:space="preserve">Az elkészített, </w:t>
      </w:r>
      <w:proofErr w:type="spellStart"/>
      <w:r>
        <w:rPr>
          <w:lang w:eastAsia="el-GR"/>
        </w:rPr>
        <w:t>bolus</w:t>
      </w:r>
      <w:proofErr w:type="spellEnd"/>
      <w:r>
        <w:rPr>
          <w:lang w:eastAsia="el-GR"/>
        </w:rPr>
        <w:t xml:space="preserve"> injekcióhoz való oldat kémiai és fizikai </w:t>
      </w:r>
      <w:r w:rsidR="00A4713B" w:rsidRPr="0024263C">
        <w:t>stabilitása 3</w:t>
      </w:r>
      <w:r w:rsidR="004259D7">
        <w:t> </w:t>
      </w:r>
      <w:r w:rsidR="00A4713B" w:rsidRPr="0024263C">
        <w:t>órán át igazolt legfeljebb 25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 w:rsidR="00A4713B" w:rsidRPr="0024263C">
        <w:t>, illetve 12</w:t>
      </w:r>
      <w:r w:rsidR="004259D7">
        <w:t> </w:t>
      </w:r>
      <w:r w:rsidR="00A4713B" w:rsidRPr="0024263C">
        <w:t>órán keresztül hűtőszekrényben (2</w:t>
      </w:r>
      <w:r w:rsidR="00080EBD">
        <w:t>–</w:t>
      </w:r>
      <w:r w:rsidR="00A4713B" w:rsidRPr="0024263C">
        <w:t>8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 w:rsidR="00A4713B" w:rsidRPr="0024263C">
        <w:t>) tárolva</w:t>
      </w:r>
      <w:r>
        <w:rPr>
          <w:lang w:eastAsia="el-GR"/>
        </w:rPr>
        <w:t>.</w:t>
      </w:r>
    </w:p>
    <w:p w14:paraId="3B252209" w14:textId="14BD7494" w:rsidR="00F85757" w:rsidRDefault="00F85757" w:rsidP="00657774">
      <w:pPr>
        <w:pStyle w:val="Nincstrkz"/>
        <w:keepNext/>
        <w:rPr>
          <w:lang w:eastAsia="de-DE"/>
        </w:rPr>
      </w:pPr>
      <w:r>
        <w:rPr>
          <w:lang w:eastAsia="el-GR"/>
        </w:rPr>
        <w:t>Mikrobiológiai szempontból a készítményt azonnal fel kell használni, kivéve, ha a felbontás/feloldás/hígítás</w:t>
      </w:r>
      <w:r w:rsidR="00A4713B">
        <w:rPr>
          <w:lang w:eastAsia="el-GR"/>
        </w:rPr>
        <w:t xml:space="preserve"> módszere</w:t>
      </w:r>
      <w:r>
        <w:rPr>
          <w:lang w:eastAsia="el-GR"/>
        </w:rPr>
        <w:t xml:space="preserve"> kizárja a mikrobiológiai szennyeződés</w:t>
      </w:r>
      <w:r w:rsidR="00A4713B" w:rsidRPr="00A4713B">
        <w:t xml:space="preserve"> </w:t>
      </w:r>
      <w:r w:rsidR="00A4713B" w:rsidRPr="0024263C">
        <w:t>kockázatát</w:t>
      </w:r>
      <w:r>
        <w:rPr>
          <w:lang w:eastAsia="el-GR"/>
        </w:rPr>
        <w:t xml:space="preserve">. </w:t>
      </w:r>
    </w:p>
    <w:p w14:paraId="54D2C9A8" w14:textId="77777777" w:rsidR="00A4713B" w:rsidRDefault="00A4713B" w:rsidP="00F85757">
      <w:pPr>
        <w:pStyle w:val="Nincstrkz"/>
      </w:pPr>
      <w:r w:rsidRPr="0024263C">
        <w:t>Amennyiben nem használják fel azonnal, a felhasználásig az eltartási idő és a tárolási körülmények a felhasználó felelőssége.</w:t>
      </w:r>
    </w:p>
    <w:p w14:paraId="40C896F8" w14:textId="77777777" w:rsidR="00F85757" w:rsidRDefault="00F85757" w:rsidP="00F85757">
      <w:pPr>
        <w:pStyle w:val="Nincstrkz"/>
        <w:rPr>
          <w:lang w:eastAsia="el-GR"/>
        </w:rPr>
      </w:pPr>
    </w:p>
    <w:p w14:paraId="6A5475F1" w14:textId="77777777" w:rsidR="00F85757" w:rsidRDefault="00F85757" w:rsidP="00F85757">
      <w:pPr>
        <w:pStyle w:val="Nincstrkz"/>
        <w:keepNext/>
        <w:rPr>
          <w:b/>
          <w:lang w:eastAsia="el-GR"/>
        </w:rPr>
      </w:pPr>
      <w:r>
        <w:rPr>
          <w:b/>
          <w:lang w:eastAsia="de-DE"/>
        </w:rPr>
        <w:t xml:space="preserve">Alkalmazása intravénás </w:t>
      </w:r>
      <w:r>
        <w:rPr>
          <w:b/>
          <w:lang w:eastAsia="el-GR"/>
        </w:rPr>
        <w:t>infúzióként</w:t>
      </w:r>
    </w:p>
    <w:p w14:paraId="453D9430" w14:textId="4D5DEA57" w:rsidR="00F85757" w:rsidRDefault="00F85757" w:rsidP="00F85757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Az oldatos infúzió elkészítéséhez a </w:t>
      </w:r>
      <w:r w:rsidR="00700F11">
        <w:rPr>
          <w:lang w:eastAsia="de-DE"/>
        </w:rPr>
        <w:t>gyógyszer</w:t>
      </w:r>
      <w:r>
        <w:rPr>
          <w:lang w:eastAsia="de-DE"/>
        </w:rPr>
        <w:t xml:space="preserve">t </w:t>
      </w:r>
      <w:r w:rsidR="00700F11">
        <w:rPr>
          <w:lang w:eastAsia="de-DE"/>
        </w:rPr>
        <w:t xml:space="preserve">0,9%-os nátrium-klorid infúziós oldattal vagy 5%-os </w:t>
      </w:r>
      <w:r w:rsidR="00E47DDC">
        <w:rPr>
          <w:lang w:eastAsia="de-DE"/>
        </w:rPr>
        <w:t xml:space="preserve">glükóz </w:t>
      </w:r>
      <w:r w:rsidR="00700F11">
        <w:rPr>
          <w:lang w:eastAsia="de-DE"/>
        </w:rPr>
        <w:t xml:space="preserve">infúziós oldattal </w:t>
      </w:r>
      <w:r>
        <w:rPr>
          <w:lang w:eastAsia="de-DE"/>
        </w:rPr>
        <w:t xml:space="preserve">kell </w:t>
      </w:r>
      <w:r w:rsidR="00080EBD">
        <w:rPr>
          <w:lang w:eastAsia="de-DE"/>
        </w:rPr>
        <w:t>feloldani</w:t>
      </w:r>
      <w:r>
        <w:rPr>
          <w:lang w:eastAsia="de-DE"/>
        </w:rPr>
        <w:t xml:space="preserve"> az 1</w:t>
      </w:r>
      <w:r>
        <w:rPr>
          <w:lang w:eastAsia="de-DE"/>
        </w:rPr>
        <w:noBreakHyphen/>
        <w:t>20 mg/ml végső koncentráció</w:t>
      </w:r>
      <w:r w:rsidR="00080EBD">
        <w:rPr>
          <w:lang w:eastAsia="de-DE"/>
        </w:rPr>
        <w:t xml:space="preserve"> elérésé</w:t>
      </w:r>
      <w:r>
        <w:rPr>
          <w:lang w:eastAsia="de-DE"/>
        </w:rPr>
        <w:t xml:space="preserve">ig. </w:t>
      </w:r>
      <w:r w:rsidR="00700F11">
        <w:rPr>
          <w:lang w:eastAsia="el-GR"/>
        </w:rPr>
        <w:t>A 0,9%-os nátrium-klorid oldattal elkészített, infúzióhoz való oldat kémiai és fizikai stabilitás</w:t>
      </w:r>
      <w:r w:rsidR="00A4713B">
        <w:rPr>
          <w:lang w:eastAsia="el-GR"/>
        </w:rPr>
        <w:t>a</w:t>
      </w:r>
      <w:r w:rsidR="00700F11">
        <w:rPr>
          <w:lang w:eastAsia="el-GR"/>
        </w:rPr>
        <w:t xml:space="preserve"> </w:t>
      </w:r>
      <w:r w:rsidR="00155EEB">
        <w:rPr>
          <w:lang w:eastAsia="el-GR"/>
        </w:rPr>
        <w:t>6</w:t>
      </w:r>
      <w:r w:rsidR="00700F11">
        <w:rPr>
          <w:lang w:eastAsia="el-GR"/>
        </w:rPr>
        <w:t xml:space="preserve"> órán </w:t>
      </w:r>
      <w:r w:rsidR="00A4713B" w:rsidRPr="0024263C">
        <w:t>át igazol</w:t>
      </w:r>
      <w:r w:rsidR="00A4713B">
        <w:t>t legfeljebb 25</w:t>
      </w:r>
      <w:r w:rsidR="00080EBD">
        <w:t> </w:t>
      </w:r>
      <w:r w:rsidR="00A4713B">
        <w:t>°C-</w:t>
      </w:r>
      <w:proofErr w:type="spellStart"/>
      <w:r w:rsidR="00A4713B">
        <w:t>on</w:t>
      </w:r>
      <w:proofErr w:type="spellEnd"/>
      <w:r w:rsidR="00A4713B">
        <w:t>, illetve 24</w:t>
      </w:r>
      <w:r w:rsidR="004259D7">
        <w:t> </w:t>
      </w:r>
      <w:r w:rsidR="00A4713B" w:rsidRPr="0024263C">
        <w:t>órán keresztül hűtőszekrényben (2</w:t>
      </w:r>
      <w:r w:rsidR="00080EBD">
        <w:t>–</w:t>
      </w:r>
      <w:r w:rsidR="00A4713B" w:rsidRPr="0024263C">
        <w:t>8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 w:rsidR="00A4713B" w:rsidRPr="0024263C">
        <w:t>) tárolva.</w:t>
      </w:r>
    </w:p>
    <w:p w14:paraId="666AD605" w14:textId="46E5CEB4" w:rsidR="004B08EC" w:rsidRDefault="004B08EC" w:rsidP="00F85757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Az 5%-os </w:t>
      </w:r>
      <w:r w:rsidR="00E47DDC">
        <w:rPr>
          <w:lang w:eastAsia="de-DE"/>
        </w:rPr>
        <w:t xml:space="preserve">glükóz </w:t>
      </w:r>
      <w:r>
        <w:rPr>
          <w:lang w:eastAsia="el-GR"/>
        </w:rPr>
        <w:t xml:space="preserve">oldattal elkészített, infúzióhoz való oldat </w:t>
      </w:r>
      <w:r w:rsidR="00A4713B" w:rsidRPr="0024263C">
        <w:t>kémiai és fizikai stabilitása 1 órán át igazolt 25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>
        <w:rPr>
          <w:lang w:eastAsia="el-GR"/>
        </w:rPr>
        <w:t>, illetve 8 órán keresztül 2</w:t>
      </w:r>
      <w:r w:rsidR="00080EBD">
        <w:rPr>
          <w:lang w:eastAsia="el-GR"/>
        </w:rPr>
        <w:t>–</w:t>
      </w:r>
      <w:r>
        <w:rPr>
          <w:lang w:eastAsia="el-GR"/>
        </w:rPr>
        <w:t>8</w:t>
      </w:r>
      <w:r w:rsidR="00080EBD">
        <w:rPr>
          <w:lang w:eastAsia="el-GR"/>
        </w:rPr>
        <w:t> </w:t>
      </w:r>
      <w:r>
        <w:rPr>
          <w:lang w:eastAsia="el-GR"/>
        </w:rPr>
        <w:t>°C</w:t>
      </w:r>
      <w:r>
        <w:rPr>
          <w:lang w:eastAsia="el-GR"/>
        </w:rPr>
        <w:noBreakHyphen/>
      </w:r>
      <w:proofErr w:type="spellStart"/>
      <w:r>
        <w:rPr>
          <w:lang w:eastAsia="el-GR"/>
        </w:rPr>
        <w:t>on</w:t>
      </w:r>
      <w:proofErr w:type="spellEnd"/>
      <w:r>
        <w:rPr>
          <w:lang w:eastAsia="el-GR"/>
        </w:rPr>
        <w:t xml:space="preserve"> tárolva.</w:t>
      </w:r>
    </w:p>
    <w:p w14:paraId="5362F9C7" w14:textId="4FFD7D16" w:rsidR="00A4713B" w:rsidRDefault="00700F11" w:rsidP="00A4713B">
      <w:pPr>
        <w:pStyle w:val="Nincstrkz"/>
        <w:keepNext/>
        <w:rPr>
          <w:lang w:eastAsia="de-DE"/>
        </w:rPr>
      </w:pPr>
      <w:r>
        <w:rPr>
          <w:lang w:eastAsia="el-GR"/>
        </w:rPr>
        <w:t xml:space="preserve">Mikrobiológiai szempontból a készítményt azonnal fel kell használni, kivéve, ha a </w:t>
      </w:r>
      <w:r w:rsidR="00A4713B">
        <w:rPr>
          <w:lang w:eastAsia="el-GR"/>
        </w:rPr>
        <w:t>felbontás/feloldás/hígítás módszere kizárja a mikrobiológiai szennyeződés</w:t>
      </w:r>
      <w:r w:rsidR="00A4713B" w:rsidRPr="00A4713B">
        <w:t xml:space="preserve"> </w:t>
      </w:r>
      <w:r w:rsidR="00A4713B" w:rsidRPr="0024263C">
        <w:t>kockázatát</w:t>
      </w:r>
      <w:r w:rsidR="00A4713B">
        <w:rPr>
          <w:lang w:eastAsia="el-GR"/>
        </w:rPr>
        <w:t xml:space="preserve">. </w:t>
      </w:r>
    </w:p>
    <w:p w14:paraId="171539C9" w14:textId="77777777" w:rsidR="00A4713B" w:rsidRDefault="00A4713B" w:rsidP="00A4713B">
      <w:pPr>
        <w:pStyle w:val="Nincstrkz"/>
      </w:pPr>
      <w:r w:rsidRPr="0024263C">
        <w:t>Amennyiben nem használják fel azonnal, a felhasználásig az eltartási idő és a tárolási körülmények a felhasználó felelőssége.</w:t>
      </w:r>
    </w:p>
    <w:p w14:paraId="1C8BF23D" w14:textId="77777777" w:rsidR="0014620D" w:rsidRDefault="0014620D" w:rsidP="00A4713B">
      <w:pPr>
        <w:pStyle w:val="Nincstrkz"/>
        <w:keepNext/>
        <w:rPr>
          <w:lang w:eastAsia="el-GR"/>
        </w:rPr>
      </w:pPr>
    </w:p>
    <w:p w14:paraId="3FD8CFDF" w14:textId="77777777" w:rsidR="0014620D" w:rsidRDefault="0014620D" w:rsidP="00F85757">
      <w:pPr>
        <w:pStyle w:val="Nincstrkz"/>
        <w:keepNext/>
        <w:rPr>
          <w:lang w:eastAsia="el-GR"/>
        </w:rPr>
      </w:pPr>
      <w:r>
        <w:rPr>
          <w:lang w:eastAsia="el-GR"/>
        </w:rPr>
        <w:t>Az elkészített oldatot nem szabad fagyasztani.</w:t>
      </w:r>
    </w:p>
    <w:p w14:paraId="7BAB8350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DD98414" w14:textId="77777777" w:rsidR="00D97F23" w:rsidRPr="002D0F02" w:rsidRDefault="00D97F23" w:rsidP="00344C73">
      <w:pPr>
        <w:keepNext/>
        <w:numPr>
          <w:ilvl w:val="1"/>
          <w:numId w:val="14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Különleges tárolási előírások</w:t>
      </w:r>
    </w:p>
    <w:p w14:paraId="1CACE263" w14:textId="77777777" w:rsidR="00D97F23" w:rsidRPr="002D0F02" w:rsidRDefault="00D97F23" w:rsidP="00344C73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F75B1D4" w14:textId="26F3E273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Legfeljebb 30</w:t>
      </w:r>
      <w:r w:rsidR="004259D7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°C-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tárolandó.</w:t>
      </w:r>
    </w:p>
    <w:p w14:paraId="5133DEE4" w14:textId="77777777" w:rsidR="00872526" w:rsidRPr="002D0F02" w:rsidRDefault="00872526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N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em fagyaszt</w:t>
      </w:r>
      <w:r w:rsidR="00F82D2C" w:rsidRPr="002D0F02">
        <w:rPr>
          <w:rFonts w:ascii="Times New Roman" w:hAnsi="Times New Roman"/>
          <w:sz w:val="22"/>
          <w:szCs w:val="22"/>
          <w:lang w:val="hu-HU"/>
        </w:rPr>
        <w:t>ható</w:t>
      </w:r>
      <w:r w:rsidRPr="002D0F02">
        <w:rPr>
          <w:rFonts w:ascii="Times New Roman" w:hAnsi="Times New Roman"/>
          <w:sz w:val="22"/>
          <w:szCs w:val="22"/>
          <w:lang w:val="hu-HU"/>
        </w:rPr>
        <w:t>!</w:t>
      </w:r>
    </w:p>
    <w:p w14:paraId="4DFAB89A" w14:textId="77777777" w:rsidR="00872526" w:rsidRPr="002D0F02" w:rsidRDefault="0087252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688DBBD" w14:textId="75431D42" w:rsidR="00D97F23" w:rsidRPr="002D0F02" w:rsidRDefault="00872526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gyógyszer 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feloldás/hígítás utáni </w:t>
      </w:r>
      <w:r w:rsidRPr="002D0F02">
        <w:rPr>
          <w:rFonts w:ascii="Times New Roman" w:hAnsi="Times New Roman"/>
          <w:sz w:val="22"/>
          <w:szCs w:val="22"/>
          <w:lang w:val="hu-HU"/>
        </w:rPr>
        <w:t>tárolás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ára vonatkozó előírásokat </w:t>
      </w:r>
      <w:r w:rsidR="00BF15FA" w:rsidRPr="002D0F02">
        <w:rPr>
          <w:rFonts w:ascii="Times New Roman" w:hAnsi="Times New Roman"/>
          <w:sz w:val="22"/>
          <w:szCs w:val="22"/>
          <w:lang w:val="hu-HU"/>
        </w:rPr>
        <w:t>lásd a 6.3</w:t>
      </w:r>
      <w:r w:rsidR="004259D7">
        <w:rPr>
          <w:rFonts w:ascii="Times New Roman" w:hAnsi="Times New Roman"/>
          <w:sz w:val="22"/>
          <w:szCs w:val="22"/>
          <w:lang w:val="hu-HU"/>
        </w:rPr>
        <w:t> </w:t>
      </w:r>
      <w:r w:rsidR="00BF15FA" w:rsidRPr="002D0F02">
        <w:rPr>
          <w:rFonts w:ascii="Times New Roman" w:hAnsi="Times New Roman"/>
          <w:sz w:val="22"/>
          <w:szCs w:val="22"/>
          <w:lang w:val="hu-HU"/>
        </w:rPr>
        <w:t>pontban.</w:t>
      </w:r>
    </w:p>
    <w:p w14:paraId="6B62BBCC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5CB6EA8" w14:textId="77777777" w:rsidR="00D97F23" w:rsidRPr="002D0F02" w:rsidRDefault="00D97F23" w:rsidP="00344C73">
      <w:pPr>
        <w:keepNext/>
        <w:numPr>
          <w:ilvl w:val="1"/>
          <w:numId w:val="14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2860EC17" w14:textId="77777777" w:rsidR="00D97F23" w:rsidRPr="002D0F02" w:rsidRDefault="00D97F23" w:rsidP="00344C73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94DE5A7" w14:textId="77777777" w:rsidR="00E81009" w:rsidRPr="002D0F02" w:rsidRDefault="00CD0B02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>Meropenem Kabi 500 mg por oldatos injekcióhoz vagy infúzióhoz</w:t>
      </w:r>
    </w:p>
    <w:p w14:paraId="2C701375" w14:textId="77777777" w:rsidR="00D97F23" w:rsidRPr="002D0F02" w:rsidRDefault="0078018F" w:rsidP="002D0F02">
      <w:pPr>
        <w:pStyle w:val="Cmsor4"/>
        <w:keepNext w:val="0"/>
        <w:spacing w:after="0"/>
        <w:rPr>
          <w:rFonts w:ascii="Times New Roman" w:hAnsi="Times New Roman"/>
          <w:i w:val="0"/>
          <w:sz w:val="22"/>
          <w:szCs w:val="22"/>
          <w:lang w:val="hu-HU"/>
        </w:rPr>
      </w:pPr>
      <w:r w:rsidRPr="002D0F02">
        <w:rPr>
          <w:rFonts w:ascii="Times New Roman" w:hAnsi="Times New Roman"/>
          <w:i w:val="0"/>
          <w:sz w:val="22"/>
          <w:szCs w:val="22"/>
          <w:lang w:val="hu-HU" w:bidi="hu-HU"/>
        </w:rPr>
        <w:t xml:space="preserve">Lepattintható műanyag védőlappal, </w:t>
      </w:r>
      <w:proofErr w:type="spellStart"/>
      <w:r w:rsidRPr="002D0F02">
        <w:rPr>
          <w:rFonts w:ascii="Times New Roman" w:hAnsi="Times New Roman"/>
          <w:i w:val="0"/>
          <w:sz w:val="22"/>
          <w:szCs w:val="22"/>
          <w:lang w:val="hu-HU"/>
        </w:rPr>
        <w:t>b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r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ó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mbutil</w:t>
      </w:r>
      <w:proofErr w:type="spellEnd"/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g</w:t>
      </w:r>
      <w:r w:rsidR="00D97F23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umidugóval és </w:t>
      </w:r>
      <w:proofErr w:type="spellStart"/>
      <w:r w:rsidR="00354ADB" w:rsidRPr="002D0F02">
        <w:rPr>
          <w:rFonts w:ascii="Times New Roman" w:hAnsi="Times New Roman"/>
          <w:i w:val="0"/>
          <w:sz w:val="22"/>
          <w:szCs w:val="22"/>
          <w:lang w:val="hu-HU"/>
        </w:rPr>
        <w:t>rollnizott</w:t>
      </w:r>
      <w:proofErr w:type="spellEnd"/>
      <w:r w:rsidR="00354ADB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2754CD" w:rsidRPr="002D0F02">
        <w:rPr>
          <w:rFonts w:ascii="Times New Roman" w:hAnsi="Times New Roman"/>
          <w:i w:val="0"/>
          <w:sz w:val="22"/>
          <w:szCs w:val="22"/>
          <w:lang w:val="hu-HU"/>
        </w:rPr>
        <w:t>alumínium</w:t>
      </w:r>
      <w:r w:rsidR="00354ADB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D97F23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kupakkal lezárt, </w:t>
      </w:r>
      <w:r w:rsidR="004D318D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színtelen, </w:t>
      </w:r>
      <w:r w:rsidR="00701FBF" w:rsidRPr="002D0F02">
        <w:rPr>
          <w:rFonts w:ascii="Times New Roman" w:hAnsi="Times New Roman"/>
          <w:i w:val="0"/>
          <w:sz w:val="22"/>
          <w:szCs w:val="22"/>
          <w:lang w:val="hu-HU"/>
        </w:rPr>
        <w:t>20 ml-es</w:t>
      </w:r>
      <w:r w:rsidR="005A36FE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injekciós üvegben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, vagy 100</w:t>
      </w:r>
      <w:r w:rsidR="00886D1C" w:rsidRPr="002D0F02">
        <w:rPr>
          <w:rFonts w:ascii="Times New Roman" w:hAnsi="Times New Roman"/>
          <w:i w:val="0"/>
          <w:sz w:val="22"/>
          <w:szCs w:val="22"/>
          <w:lang w:val="hu-HU"/>
        </w:rPr>
        <w:t> 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ml-es</w:t>
      </w:r>
      <w:r w:rsidR="00701FBF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C75B76" w:rsidRPr="002D0F02">
        <w:rPr>
          <w:rFonts w:ascii="Times New Roman" w:hAnsi="Times New Roman"/>
          <w:i w:val="0"/>
          <w:sz w:val="22"/>
          <w:szCs w:val="22"/>
          <w:lang w:val="hu-HU"/>
        </w:rPr>
        <w:t>infúziós</w:t>
      </w:r>
      <w:r w:rsidR="00D97F23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3D231B" w:rsidRPr="002D0F02">
        <w:rPr>
          <w:rFonts w:ascii="Times New Roman" w:hAnsi="Times New Roman"/>
          <w:i w:val="0"/>
          <w:sz w:val="22"/>
          <w:szCs w:val="22"/>
          <w:lang w:val="hu-HU"/>
        </w:rPr>
        <w:t>üvegben.</w:t>
      </w:r>
    </w:p>
    <w:p w14:paraId="62A73689" w14:textId="77777777" w:rsidR="00C069FB" w:rsidRPr="002D0F02" w:rsidRDefault="00C069FB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3E4071A" w14:textId="77777777" w:rsidR="00E81009" w:rsidRPr="002D0F02" w:rsidRDefault="00CD0B02" w:rsidP="00344C73">
      <w:pPr>
        <w:keepNext/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injekcióhoz vagy infúzióhoz</w:t>
      </w:r>
    </w:p>
    <w:p w14:paraId="1DF1486A" w14:textId="77777777" w:rsidR="00CD0B02" w:rsidRPr="002D0F02" w:rsidRDefault="007B3C3C" w:rsidP="002D0F02">
      <w:pPr>
        <w:pStyle w:val="Cmsor4"/>
        <w:keepNext w:val="0"/>
        <w:spacing w:after="0"/>
        <w:rPr>
          <w:rFonts w:ascii="Times New Roman" w:hAnsi="Times New Roman"/>
          <w:i w:val="0"/>
          <w:sz w:val="22"/>
          <w:szCs w:val="22"/>
          <w:lang w:val="hu-HU"/>
        </w:rPr>
      </w:pPr>
      <w:r w:rsidRPr="002D0F02">
        <w:rPr>
          <w:rFonts w:ascii="Times New Roman" w:hAnsi="Times New Roman"/>
          <w:i w:val="0"/>
          <w:sz w:val="22"/>
          <w:szCs w:val="22"/>
          <w:lang w:val="hu-HU" w:bidi="hu-HU"/>
        </w:rPr>
        <w:t xml:space="preserve">Lepattintható műanyag védőlappal, </w:t>
      </w:r>
      <w:proofErr w:type="spellStart"/>
      <w:r w:rsidRPr="002D0F02">
        <w:rPr>
          <w:rFonts w:ascii="Times New Roman" w:hAnsi="Times New Roman"/>
          <w:i w:val="0"/>
          <w:sz w:val="22"/>
          <w:szCs w:val="22"/>
          <w:lang w:val="hu-HU"/>
        </w:rPr>
        <w:t>b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r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ó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mbutil</w:t>
      </w:r>
      <w:proofErr w:type="spellEnd"/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BF15FA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gumidugóval és </w:t>
      </w:r>
      <w:proofErr w:type="spellStart"/>
      <w:r w:rsidRPr="002D0F02">
        <w:rPr>
          <w:rFonts w:ascii="Times New Roman" w:hAnsi="Times New Roman"/>
          <w:i w:val="0"/>
          <w:sz w:val="22"/>
          <w:szCs w:val="22"/>
          <w:lang w:val="hu-HU"/>
        </w:rPr>
        <w:t>rollnizott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F15FA" w:rsidRPr="002D0F02">
        <w:rPr>
          <w:rFonts w:ascii="Times New Roman" w:hAnsi="Times New Roman"/>
          <w:i w:val="0"/>
          <w:sz w:val="22"/>
          <w:szCs w:val="22"/>
          <w:lang w:val="hu-HU"/>
        </w:rPr>
        <w:t>alumínium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kupakkal lezárt, 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színtelen,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20 ml-es</w:t>
      </w:r>
      <w:r w:rsidRPr="002D0F02">
        <w:rPr>
          <w:rFonts w:ascii="Times New Roman" w:hAnsi="Times New Roman"/>
          <w:i w:val="0"/>
          <w:kern w:val="0"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injekciós üvegben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, 50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 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ml-es vagy 100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 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ml-es 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infúziós </w:t>
      </w:r>
      <w:r w:rsidR="003D231B" w:rsidRPr="002D0F02">
        <w:rPr>
          <w:rFonts w:ascii="Times New Roman" w:hAnsi="Times New Roman"/>
          <w:i w:val="0"/>
          <w:sz w:val="22"/>
          <w:szCs w:val="22"/>
          <w:lang w:val="hu-HU"/>
        </w:rPr>
        <w:t>üvegben.</w:t>
      </w:r>
    </w:p>
    <w:p w14:paraId="4C73C76D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0B66DED" w14:textId="77777777" w:rsidR="00D67E8A" w:rsidRPr="002D0F02" w:rsidRDefault="00D67E8A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Kiszerelések: 1 db vagy 10 db injekciós üveg vagy infúziós </w:t>
      </w:r>
      <w:r w:rsidR="003D231B" w:rsidRPr="002D0F02">
        <w:rPr>
          <w:rFonts w:ascii="Times New Roman" w:hAnsi="Times New Roman"/>
          <w:sz w:val="22"/>
          <w:szCs w:val="22"/>
          <w:lang w:val="hu-HU"/>
        </w:rPr>
        <w:t>üveg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dobozban.</w:t>
      </w:r>
    </w:p>
    <w:p w14:paraId="41A3E1F5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7204B12" w14:textId="77777777" w:rsidR="002754CD" w:rsidRPr="002D0F02" w:rsidRDefault="002754CD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Nem feltétlenül mindegyik kiszerelés kerül kereskedelmi forgalomba.</w:t>
      </w:r>
    </w:p>
    <w:p w14:paraId="3CECCDED" w14:textId="77777777" w:rsidR="002754CD" w:rsidRPr="002D0F02" w:rsidRDefault="002754CD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3A4D583" w14:textId="77777777" w:rsidR="002754CD" w:rsidRPr="002D0F02" w:rsidRDefault="002754CD" w:rsidP="00344C73">
      <w:pPr>
        <w:pStyle w:val="WW-Szvegtrzs212"/>
        <w:keepNext/>
        <w:spacing w:line="240" w:lineRule="auto"/>
        <w:outlineLvl w:val="1"/>
        <w:rPr>
          <w:noProof/>
          <w:szCs w:val="22"/>
          <w:lang w:val="hu-HU"/>
        </w:rPr>
      </w:pPr>
      <w:r w:rsidRPr="002D0F02">
        <w:rPr>
          <w:szCs w:val="22"/>
          <w:lang w:val="hu-HU"/>
        </w:rPr>
        <w:lastRenderedPageBreak/>
        <w:t>6.6</w:t>
      </w:r>
      <w:r w:rsidRPr="002D0F02">
        <w:rPr>
          <w:szCs w:val="22"/>
          <w:lang w:val="hu-HU"/>
        </w:rPr>
        <w:tab/>
      </w:r>
      <w:r w:rsidRPr="002D0F02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459FE951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2C6A364" w14:textId="77777777" w:rsidR="00701FBF" w:rsidRPr="002D0F02" w:rsidRDefault="00701FBF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Injekció</w:t>
      </w:r>
    </w:p>
    <w:p w14:paraId="3976FA70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injekcióhoz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steril, injekcióhoz való vízzel kell elkészíteni.</w:t>
      </w:r>
    </w:p>
    <w:p w14:paraId="24725CA0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25839F8" w14:textId="77777777" w:rsidR="00701FBF" w:rsidRPr="002D0F02" w:rsidRDefault="00701FBF" w:rsidP="00344C73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Infúzió</w:t>
      </w:r>
    </w:p>
    <w:p w14:paraId="1DB4C2C0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Intravénás infúzióhoz a meropenem </w:t>
      </w:r>
      <w:r w:rsidR="00C70656" w:rsidRPr="002D0F02">
        <w:rPr>
          <w:rFonts w:ascii="Times New Roman" w:hAnsi="Times New Roman"/>
          <w:sz w:val="22"/>
          <w:szCs w:val="22"/>
          <w:lang w:val="hu-HU" w:eastAsia="hu-HU"/>
        </w:rPr>
        <w:t xml:space="preserve">oldat az </w:t>
      </w:r>
      <w:r w:rsidR="00091DAB" w:rsidRPr="002D0F02">
        <w:rPr>
          <w:rFonts w:ascii="Times New Roman" w:hAnsi="Times New Roman"/>
          <w:sz w:val="22"/>
          <w:szCs w:val="22"/>
          <w:lang w:val="hu-HU" w:eastAsia="hu-HU"/>
        </w:rPr>
        <w:t>injekciós üvegben</w:t>
      </w:r>
      <w:r w:rsidR="00783752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az </w:t>
      </w:r>
      <w:r w:rsidR="00C70656" w:rsidRPr="002D0F02">
        <w:rPr>
          <w:rFonts w:ascii="Times New Roman" w:hAnsi="Times New Roman"/>
          <w:sz w:val="22"/>
          <w:szCs w:val="22"/>
          <w:lang w:val="hu-HU" w:eastAsia="hu-HU"/>
        </w:rPr>
        <w:t xml:space="preserve">infúziós </w:t>
      </w:r>
      <w:r w:rsidR="003D231B" w:rsidRPr="002D0F02">
        <w:rPr>
          <w:rFonts w:ascii="Times New Roman" w:hAnsi="Times New Roman"/>
          <w:sz w:val="22"/>
          <w:szCs w:val="22"/>
          <w:lang w:val="hu-HU" w:eastAsia="hu-HU"/>
        </w:rPr>
        <w:t>üvegben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0,9%-os nátrium-klorid vagy 5%-os glükóz oldatos infúziókkal közvetlenül elkészíthető.</w:t>
      </w:r>
    </w:p>
    <w:p w14:paraId="3AA0098E" w14:textId="77777777" w:rsidR="00C70656" w:rsidRPr="002D0F02" w:rsidRDefault="00C7065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89B6334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Minden injekciós üveg</w:t>
      </w:r>
      <w:r w:rsidR="004050C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infúziós </w:t>
      </w:r>
      <w:r w:rsidR="003D231B" w:rsidRPr="002D0F02">
        <w:rPr>
          <w:rFonts w:ascii="Times New Roman" w:hAnsi="Times New Roman"/>
          <w:sz w:val="22"/>
          <w:szCs w:val="22"/>
          <w:lang w:val="hu-HU" w:eastAsia="hu-HU"/>
        </w:rPr>
        <w:t>üveg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kizárólag egyszer használatos.</w:t>
      </w:r>
    </w:p>
    <w:p w14:paraId="6C399AD4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oldat elkészítésénél és alkalmazásánál a standard aszeptikus eljárásokat kell alkalmazni.</w:t>
      </w:r>
    </w:p>
    <w:p w14:paraId="78F5A827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oldatot használat előtt fel kell rázni.</w:t>
      </w:r>
    </w:p>
    <w:p w14:paraId="0340EB2A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C8A5BA2" w14:textId="77777777" w:rsidR="00701FBF" w:rsidRPr="002D0F02" w:rsidRDefault="00701FBF" w:rsidP="002D0F02">
      <w:pPr>
        <w:rPr>
          <w:rFonts w:ascii="Times New Roman" w:hAnsi="Times New Roman"/>
          <w:b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Bármilyen fel nem használt </w:t>
      </w:r>
      <w:r w:rsidR="00BB625E" w:rsidRPr="002D0F02">
        <w:rPr>
          <w:rFonts w:ascii="Times New Roman" w:hAnsi="Times New Roman"/>
          <w:sz w:val="22"/>
          <w:szCs w:val="22"/>
          <w:lang w:val="hu-HU" w:eastAsia="hu-HU"/>
        </w:rPr>
        <w:t>gyógyszer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illetve hulladékanyag megsemmisítését a </w:t>
      </w:r>
      <w:r w:rsidR="00BB625E" w:rsidRPr="002D0F02">
        <w:rPr>
          <w:rFonts w:ascii="Times New Roman" w:hAnsi="Times New Roman"/>
          <w:sz w:val="22"/>
          <w:szCs w:val="22"/>
          <w:lang w:val="hu-HU" w:eastAsia="hu-HU"/>
        </w:rPr>
        <w:t xml:space="preserve">gyógyszerekre vonatkozó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előírások szerint kell végrehajtani.</w:t>
      </w:r>
    </w:p>
    <w:p w14:paraId="12EA4A98" w14:textId="77777777" w:rsidR="00701FBF" w:rsidRPr="002D0F02" w:rsidRDefault="00701FBF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413C739F" w14:textId="77777777" w:rsidR="00381CA9" w:rsidRPr="002D0F02" w:rsidRDefault="00381CA9" w:rsidP="00344C73">
      <w:pPr>
        <w:keepNext/>
        <w:suppressAutoHyphens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Pr="002D0F02">
        <w:rPr>
          <w:rFonts w:ascii="Times New Roman" w:hAnsi="Times New Roman"/>
          <w:sz w:val="22"/>
          <w:szCs w:val="22"/>
          <w:lang w:val="hu-HU"/>
        </w:rPr>
        <w:sym w:font="Wingdings" w:char="F058"/>
      </w:r>
      <w:r w:rsidRPr="002D0F02" w:rsidDel="00273BB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/>
        </w:rPr>
        <w:t>(egy keresztes)</w:t>
      </w:r>
    </w:p>
    <w:p w14:paraId="472C82C3" w14:textId="77777777" w:rsidR="00A8374E" w:rsidRPr="002D0F02" w:rsidRDefault="00A8374E" w:rsidP="002D0F02">
      <w:pPr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Osztályozás: II./3 csoport</w:t>
      </w:r>
    </w:p>
    <w:p w14:paraId="11A1512D" w14:textId="77777777" w:rsidR="00A8374E" w:rsidRPr="002D0F02" w:rsidRDefault="00A8374E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Korlátozott érvényű orvosi rendelvényhez kötött, az egészségügyről szóló 1997. évi CLIV. </w:t>
      </w:r>
      <w:r w:rsidR="00381CA9" w:rsidRPr="002D0F02">
        <w:rPr>
          <w:rFonts w:ascii="Times New Roman" w:hAnsi="Times New Roman"/>
          <w:sz w:val="22"/>
          <w:szCs w:val="22"/>
          <w:lang w:val="hu-HU"/>
        </w:rPr>
        <w:t>t</w:t>
      </w:r>
      <w:r w:rsidRPr="002D0F02">
        <w:rPr>
          <w:rFonts w:ascii="Times New Roman" w:hAnsi="Times New Roman"/>
          <w:sz w:val="22"/>
          <w:szCs w:val="22"/>
          <w:lang w:val="hu-HU"/>
        </w:rPr>
        <w:t>örvény 3.</w:t>
      </w:r>
      <w:r w:rsidR="000737B4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§-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ának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ga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</w:t>
      </w:r>
      <w:r w:rsidRPr="002D0F02">
        <w:rPr>
          <w:rFonts w:ascii="Times New Roman" w:hAnsi="Times New Roman"/>
          <w:bCs/>
          <w:sz w:val="22"/>
          <w:szCs w:val="22"/>
          <w:lang w:val="hu-HU"/>
        </w:rPr>
        <w:t xml:space="preserve"> (I).</w:t>
      </w:r>
    </w:p>
    <w:p w14:paraId="74B3F91F" w14:textId="77777777" w:rsidR="00D97F23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76908EF" w14:textId="77777777" w:rsidR="00340176" w:rsidRPr="002D0F02" w:rsidRDefault="0034017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388773D" w14:textId="77777777" w:rsidR="00D97F23" w:rsidRPr="002D0F02" w:rsidRDefault="00D97F23" w:rsidP="00473100">
      <w:pPr>
        <w:keepNext/>
        <w:numPr>
          <w:ilvl w:val="0"/>
          <w:numId w:val="13"/>
        </w:numPr>
        <w:tabs>
          <w:tab w:val="clear" w:pos="720"/>
        </w:tabs>
        <w:ind w:left="0" w:firstLine="0"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A FORGALOMBA</w:t>
      </w:r>
      <w:r w:rsidR="00334441" w:rsidRPr="002D0F02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HOZATALI ENGEDÉLY JOGOSULTJA</w:t>
      </w:r>
    </w:p>
    <w:p w14:paraId="355344C4" w14:textId="77777777" w:rsidR="00D97F23" w:rsidRPr="002D0F02" w:rsidRDefault="00D97F23" w:rsidP="002822E8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681D25E" w14:textId="77777777" w:rsidR="00CD0B02" w:rsidRPr="002D0F02" w:rsidRDefault="00CD0B02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Fresenius Kabi Hungary Kft.</w:t>
      </w:r>
    </w:p>
    <w:p w14:paraId="4D703EB5" w14:textId="77777777" w:rsidR="00CD0B02" w:rsidRPr="002D0F02" w:rsidRDefault="00A02080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1025 </w:t>
      </w:r>
      <w:r w:rsidR="00CD0B02" w:rsidRPr="002D0F02">
        <w:rPr>
          <w:rFonts w:ascii="Times New Roman" w:hAnsi="Times New Roman"/>
          <w:sz w:val="22"/>
          <w:szCs w:val="22"/>
          <w:lang w:val="hu-HU"/>
        </w:rPr>
        <w:t xml:space="preserve">Budapest, </w:t>
      </w:r>
      <w:r w:rsidRPr="002D0F02">
        <w:rPr>
          <w:rFonts w:ascii="Times New Roman" w:hAnsi="Times New Roman"/>
          <w:sz w:val="22"/>
          <w:szCs w:val="22"/>
          <w:lang w:val="hu-HU"/>
        </w:rPr>
        <w:t>Szépvölgyi út 6</w:t>
      </w:r>
      <w:r w:rsidR="00CD0B02"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6622886F" w14:textId="77777777" w:rsidR="00D97F23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Magyarország</w:t>
      </w:r>
    </w:p>
    <w:p w14:paraId="55D8ECA1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DFAC250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7FD7180" w14:textId="77777777" w:rsidR="00D97F23" w:rsidRPr="002D0F02" w:rsidRDefault="00D97F23" w:rsidP="00473100">
      <w:pPr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8.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A FORGALOMBA</w:t>
      </w:r>
      <w:r w:rsidR="002C4EA4" w:rsidRPr="002D0F02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HOZATALI ENGEDÉLY SZÁMA</w:t>
      </w:r>
      <w:r w:rsidR="002C4EA4" w:rsidRPr="002D0F02">
        <w:rPr>
          <w:rFonts w:ascii="Times New Roman" w:hAnsi="Times New Roman"/>
          <w:b/>
          <w:bCs/>
          <w:sz w:val="22"/>
          <w:szCs w:val="22"/>
          <w:lang w:val="hu-HU"/>
        </w:rPr>
        <w:t>(I)</w:t>
      </w:r>
    </w:p>
    <w:p w14:paraId="70F7E77B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1784B6C" w14:textId="77777777" w:rsidR="00D61B09" w:rsidRPr="002D0F02" w:rsidRDefault="00D61B09" w:rsidP="00344C7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>Meropenem Kabi 500 mg por oldatos injekcióhoz vagy infúzióhoz</w:t>
      </w:r>
    </w:p>
    <w:p w14:paraId="2EF2643F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23FCA206" w14:textId="77777777" w:rsidR="00D97F23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/01</w:t>
      </w:r>
      <w:r w:rsidR="002754CD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(500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mg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)</w:t>
      </w:r>
    </w:p>
    <w:p w14:paraId="2DE0918E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02</w:t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2754CD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>(500 mg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100 ml) </w:t>
      </w:r>
    </w:p>
    <w:p w14:paraId="1B3CB21B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03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  <w:t xml:space="preserve">(500 mg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20 ml)</w:t>
      </w:r>
    </w:p>
    <w:p w14:paraId="02896E29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04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(500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mg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100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ml)</w:t>
      </w:r>
    </w:p>
    <w:p w14:paraId="6D53BEC8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0CAFF16" w14:textId="77777777" w:rsidR="00D61B09" w:rsidRPr="002D0F02" w:rsidRDefault="00D61B09" w:rsidP="00344C7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 g"/>
        </w:smartTagPr>
        <w:r w:rsidRPr="002D0F02">
          <w:rPr>
            <w:rFonts w:ascii="Times New Roman" w:hAnsi="Times New Roman"/>
            <w:sz w:val="22"/>
            <w:szCs w:val="22"/>
            <w:u w:val="single"/>
            <w:lang w:val="hu-HU"/>
          </w:rPr>
          <w:t>1 g</w:t>
        </w:r>
      </w:smartTag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injekcióhoz vagy infúzióhoz</w:t>
      </w:r>
    </w:p>
    <w:p w14:paraId="46A8C649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3CBA972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05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1</w:t>
        </w:r>
        <w:r w:rsidR="00C5438C" w:rsidRPr="002D0F02">
          <w:rPr>
            <w:rFonts w:ascii="Times New Roman" w:hAnsi="Times New Roman"/>
            <w:sz w:val="22"/>
            <w:szCs w:val="22"/>
            <w:lang w:val="hu-HU"/>
          </w:rPr>
          <w:t> </w:t>
        </w: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g</w:t>
        </w:r>
      </w:smartTag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ml)</w:t>
      </w:r>
    </w:p>
    <w:p w14:paraId="47306CD4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06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50 ml) </w:t>
      </w:r>
    </w:p>
    <w:p w14:paraId="27CBE8DE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07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100 ml)</w:t>
      </w:r>
    </w:p>
    <w:p w14:paraId="54B15D0C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08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20 ml)</w:t>
      </w:r>
    </w:p>
    <w:p w14:paraId="334B6B61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09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50 ml)</w:t>
      </w:r>
    </w:p>
    <w:p w14:paraId="6F632FCB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/10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1</w:t>
        </w:r>
        <w:r w:rsidR="00C5438C" w:rsidRPr="002D0F02">
          <w:rPr>
            <w:rFonts w:ascii="Times New Roman" w:hAnsi="Times New Roman"/>
            <w:sz w:val="22"/>
            <w:szCs w:val="22"/>
            <w:lang w:val="hu-HU"/>
          </w:rPr>
          <w:t> </w:t>
        </w: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g</w:t>
        </w:r>
      </w:smartTag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100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ml)</w:t>
      </w:r>
    </w:p>
    <w:p w14:paraId="4B2D6A7E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fldChar w:fldCharType="begin"/>
      </w:r>
      <w:r w:rsidRPr="002D0F02">
        <w:rPr>
          <w:rFonts w:ascii="Times New Roman" w:hAnsi="Times New Roman"/>
          <w:sz w:val="22"/>
          <w:szCs w:val="22"/>
          <w:lang w:val="hu-HU"/>
        </w:rPr>
        <w:instrText xml:space="preserve"> FILENAME \p \* MERGEFORMAT </w:instrText>
      </w:r>
      <w:r w:rsidRPr="002D0F02">
        <w:rPr>
          <w:rFonts w:ascii="Times New Roman" w:hAnsi="Times New Roman"/>
          <w:sz w:val="22"/>
          <w:szCs w:val="22"/>
          <w:lang w:val="hu-HU"/>
        </w:rPr>
        <w:fldChar w:fldCharType="end"/>
      </w:r>
    </w:p>
    <w:p w14:paraId="285B4568" w14:textId="77777777" w:rsidR="002754CD" w:rsidRPr="002D0F02" w:rsidRDefault="002754CD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0827442" w14:textId="77777777" w:rsidR="00D97F23" w:rsidRPr="002D0F02" w:rsidRDefault="00D97F23" w:rsidP="00344C73">
      <w:pPr>
        <w:pStyle w:val="Szvegtrzsbehzssal"/>
        <w:keepNext/>
        <w:ind w:left="567" w:hanging="567"/>
        <w:outlineLvl w:val="0"/>
        <w:rPr>
          <w:sz w:val="22"/>
          <w:szCs w:val="22"/>
        </w:rPr>
      </w:pPr>
      <w:r w:rsidRPr="002D0F02">
        <w:rPr>
          <w:sz w:val="22"/>
          <w:szCs w:val="22"/>
        </w:rPr>
        <w:t>9.</w:t>
      </w:r>
      <w:r w:rsidRPr="002D0F02">
        <w:rPr>
          <w:sz w:val="22"/>
          <w:szCs w:val="22"/>
        </w:rPr>
        <w:tab/>
        <w:t>A FORGALOMBA</w:t>
      </w:r>
      <w:r w:rsidR="00F8099F" w:rsidRPr="002D0F02">
        <w:rPr>
          <w:sz w:val="22"/>
          <w:szCs w:val="22"/>
        </w:rPr>
        <w:t xml:space="preserve"> </w:t>
      </w:r>
      <w:r w:rsidRPr="002D0F02">
        <w:rPr>
          <w:sz w:val="22"/>
          <w:szCs w:val="22"/>
        </w:rPr>
        <w:t>HOZATALI ENGEDÉLY ELSŐ KIADÁSÁNAK/</w:t>
      </w:r>
      <w:r w:rsidR="00F8099F" w:rsidRPr="002D0F02">
        <w:rPr>
          <w:sz w:val="22"/>
          <w:szCs w:val="22"/>
        </w:rPr>
        <w:t xml:space="preserve"> </w:t>
      </w:r>
      <w:r w:rsidRPr="002D0F02">
        <w:rPr>
          <w:sz w:val="22"/>
          <w:szCs w:val="22"/>
        </w:rPr>
        <w:t>MEGÚJÍTÁSÁNAK DÁTUMA</w:t>
      </w:r>
    </w:p>
    <w:p w14:paraId="37B2DAC6" w14:textId="77777777" w:rsidR="00D97F23" w:rsidRPr="002D0F02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637FACC1" w14:textId="77777777" w:rsidR="00F8099F" w:rsidRPr="002D0F02" w:rsidRDefault="00381CA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forgalomba hozatali engedély első kiadásának dátuma: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2011. május 27.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3413454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254799F" w14:textId="77777777" w:rsidR="00681749" w:rsidRPr="002D0F02" w:rsidRDefault="00381CA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forgalomba hozatali engedély legutóbbi megújításának dátuma: 2013. május </w:t>
      </w:r>
      <w:r w:rsidR="00370F6C" w:rsidRPr="002D0F02">
        <w:rPr>
          <w:rFonts w:ascii="Times New Roman" w:hAnsi="Times New Roman"/>
          <w:sz w:val="22"/>
          <w:szCs w:val="22"/>
          <w:lang w:val="hu-HU"/>
        </w:rPr>
        <w:t>15</w:t>
      </w:r>
      <w:r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5DCAACA4" w14:textId="77777777" w:rsidR="00381CA9" w:rsidRPr="002D0F02" w:rsidRDefault="00381CA9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34DEE4A" w14:textId="77777777" w:rsidR="001F6E33" w:rsidRPr="002D0F02" w:rsidRDefault="001F6E3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FBB5724" w14:textId="77777777" w:rsidR="00D97F23" w:rsidRPr="002D0F02" w:rsidRDefault="00D97F23" w:rsidP="00344C73">
      <w:pPr>
        <w:keepNext/>
        <w:ind w:left="567" w:hanging="567"/>
        <w:outlineLvl w:val="0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A SZÖVEG ELLENŐRZÉSÉNEK DÁTUMA</w:t>
      </w:r>
    </w:p>
    <w:p w14:paraId="710AB3C7" w14:textId="77777777" w:rsidR="00D97F23" w:rsidRDefault="00D97F23" w:rsidP="00344C73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212B7BB5" w14:textId="1CE4B7E2" w:rsidR="007E6509" w:rsidRDefault="00C26B30" w:rsidP="002D1D63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2026. május 22.</w:t>
      </w:r>
    </w:p>
    <w:p w14:paraId="179B7DDB" w14:textId="77777777" w:rsidR="00D97F23" w:rsidRPr="00626924" w:rsidRDefault="00D97F23" w:rsidP="002D1D63">
      <w:pPr>
        <w:rPr>
          <w:rFonts w:ascii="Times New Roman" w:hAnsi="Times New Roman"/>
          <w:sz w:val="22"/>
          <w:szCs w:val="22"/>
          <w:lang w:val="hu-HU"/>
        </w:rPr>
      </w:pPr>
    </w:p>
    <w:sectPr w:rsidR="00D97F23" w:rsidRPr="00626924" w:rsidSect="002D0F02">
      <w:headerReference w:type="even" r:id="rId13"/>
      <w:headerReference w:type="default" r:id="rId14"/>
      <w:footerReference w:type="even" r:id="rId15"/>
      <w:footerReference w:type="first" r:id="rId16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B2FBD" w14:textId="77777777" w:rsidR="00EB3CD4" w:rsidRDefault="00EB3CD4">
      <w:r>
        <w:separator/>
      </w:r>
    </w:p>
  </w:endnote>
  <w:endnote w:type="continuationSeparator" w:id="0">
    <w:p w14:paraId="5CA8340A" w14:textId="77777777" w:rsidR="00EB3CD4" w:rsidRDefault="00EB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Book">
    <w:altName w:val="Courier New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E59F5" w14:textId="77777777" w:rsidR="003B3C03" w:rsidRDefault="003B3C0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CADF9C7" w14:textId="77777777" w:rsidR="003B3C03" w:rsidRDefault="003B3C0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5928" w14:textId="77777777" w:rsidR="009D5278" w:rsidRPr="009D5278" w:rsidRDefault="009D5278" w:rsidP="009D5278">
    <w:pPr>
      <w:pStyle w:val="llb"/>
      <w:rPr>
        <w:rFonts w:ascii="Times New Roman" w:hAnsi="Times New Roman"/>
        <w:sz w:val="18"/>
        <w:szCs w:val="18"/>
      </w:rPr>
    </w:pPr>
    <w:bookmarkStart w:id="0" w:name="_Hlk213922036"/>
    <w:bookmarkStart w:id="1" w:name="_Hlk213922037"/>
    <w:r w:rsidRPr="009D5278">
      <w:rPr>
        <w:rFonts w:ascii="Times New Roman" w:hAnsi="Times New Roman"/>
        <w:sz w:val="18"/>
        <w:szCs w:val="18"/>
      </w:rPr>
      <w:t>NNGYK/ETGY/30580/2025</w:t>
    </w:r>
  </w:p>
  <w:p w14:paraId="2DBD38A6" w14:textId="73DED113" w:rsidR="003B3C03" w:rsidRPr="00AB55D8" w:rsidRDefault="009D5278" w:rsidP="00AB55D8">
    <w:pPr>
      <w:pStyle w:val="llb"/>
      <w:rPr>
        <w:rFonts w:ascii="Times New Roman" w:hAnsi="Times New Roman"/>
        <w:sz w:val="18"/>
        <w:szCs w:val="18"/>
      </w:rPr>
    </w:pPr>
    <w:r w:rsidRPr="009D5278">
      <w:rPr>
        <w:rFonts w:ascii="Times New Roman" w:hAnsi="Times New Roman"/>
        <w:sz w:val="18"/>
        <w:szCs w:val="18"/>
      </w:rPr>
      <w:t>NNGYK/ETGY/30584/2025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C31CD" w14:textId="77777777" w:rsidR="00EB3CD4" w:rsidRDefault="00EB3CD4">
      <w:r>
        <w:separator/>
      </w:r>
    </w:p>
  </w:footnote>
  <w:footnote w:type="continuationSeparator" w:id="0">
    <w:p w14:paraId="276F0416" w14:textId="77777777" w:rsidR="00EB3CD4" w:rsidRDefault="00EB3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2A9DC" w14:textId="77777777" w:rsidR="003B3C03" w:rsidRDefault="003B3C03" w:rsidP="000A7A0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AAB2E38" w14:textId="77777777" w:rsidR="003B3C03" w:rsidRDefault="003B3C0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25B71" w14:textId="43DFE309" w:rsidR="003B3C03" w:rsidRPr="00620472" w:rsidRDefault="003B3C03" w:rsidP="000A7A04">
    <w:pPr>
      <w:pStyle w:val="lfej"/>
      <w:framePr w:wrap="around" w:vAnchor="text" w:hAnchor="margin" w:xAlign="center" w:y="1"/>
      <w:rPr>
        <w:rStyle w:val="Oldalszm"/>
        <w:rFonts w:ascii="Times New Roman" w:hAnsi="Times New Roman"/>
        <w:sz w:val="20"/>
        <w:szCs w:val="18"/>
      </w:rPr>
    </w:pPr>
    <w:r w:rsidRPr="00620472">
      <w:rPr>
        <w:rStyle w:val="Oldalszm"/>
        <w:rFonts w:ascii="Times New Roman" w:hAnsi="Times New Roman"/>
        <w:sz w:val="20"/>
        <w:szCs w:val="18"/>
      </w:rPr>
      <w:fldChar w:fldCharType="begin"/>
    </w:r>
    <w:r w:rsidRPr="00620472">
      <w:rPr>
        <w:rStyle w:val="Oldalszm"/>
        <w:rFonts w:ascii="Times New Roman" w:hAnsi="Times New Roman"/>
        <w:sz w:val="20"/>
        <w:szCs w:val="18"/>
      </w:rPr>
      <w:instrText xml:space="preserve">PAGE  </w:instrText>
    </w:r>
    <w:r w:rsidRPr="00620472">
      <w:rPr>
        <w:rStyle w:val="Oldalszm"/>
        <w:rFonts w:ascii="Times New Roman" w:hAnsi="Times New Roman"/>
        <w:sz w:val="20"/>
        <w:szCs w:val="18"/>
      </w:rPr>
      <w:fldChar w:fldCharType="separate"/>
    </w:r>
    <w:r w:rsidR="00473100">
      <w:rPr>
        <w:rStyle w:val="Oldalszm"/>
        <w:rFonts w:ascii="Times New Roman" w:hAnsi="Times New Roman"/>
        <w:noProof/>
        <w:sz w:val="20"/>
        <w:szCs w:val="18"/>
      </w:rPr>
      <w:t>1</w:t>
    </w:r>
    <w:r w:rsidR="00473100">
      <w:rPr>
        <w:rStyle w:val="Oldalszm"/>
        <w:rFonts w:ascii="Times New Roman" w:hAnsi="Times New Roman"/>
        <w:noProof/>
        <w:sz w:val="20"/>
        <w:szCs w:val="18"/>
      </w:rPr>
      <w:t>4</w:t>
    </w:r>
    <w:r w:rsidRPr="00620472">
      <w:rPr>
        <w:rStyle w:val="Oldalszm"/>
        <w:rFonts w:ascii="Times New Roman" w:hAnsi="Times New Roman"/>
        <w:sz w:val="20"/>
        <w:szCs w:val="18"/>
      </w:rPr>
      <w:fldChar w:fldCharType="end"/>
    </w:r>
  </w:p>
  <w:p w14:paraId="2D0AEE5F" w14:textId="77777777" w:rsidR="003B3C03" w:rsidRPr="00ED389B" w:rsidRDefault="003B3C03">
    <w:pPr>
      <w:pStyle w:val="lfej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0623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B0492E"/>
    <w:multiLevelType w:val="multilevel"/>
    <w:tmpl w:val="63AC42A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93756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CF2324"/>
    <w:multiLevelType w:val="hybridMultilevel"/>
    <w:tmpl w:val="9E5469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27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91932BC"/>
    <w:multiLevelType w:val="hybridMultilevel"/>
    <w:tmpl w:val="D4FEC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D59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CCA54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B3A3EA5"/>
    <w:multiLevelType w:val="multilevel"/>
    <w:tmpl w:val="0AF0F1B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F233A4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6563A8"/>
    <w:multiLevelType w:val="multilevel"/>
    <w:tmpl w:val="CC6E35A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783722A"/>
    <w:multiLevelType w:val="multilevel"/>
    <w:tmpl w:val="1AD4AEB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F6718B"/>
    <w:multiLevelType w:val="hybridMultilevel"/>
    <w:tmpl w:val="4A1A5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EF482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C4B7E4F"/>
    <w:multiLevelType w:val="hybridMultilevel"/>
    <w:tmpl w:val="53AEC3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304B9"/>
    <w:multiLevelType w:val="hybridMultilevel"/>
    <w:tmpl w:val="07C8D81C"/>
    <w:lvl w:ilvl="0" w:tplc="D7B49EC2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2AE6623"/>
    <w:multiLevelType w:val="multilevel"/>
    <w:tmpl w:val="56E05E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3A200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28706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237E5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67534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FE00E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83609314">
    <w:abstractNumId w:val="9"/>
  </w:num>
  <w:num w:numId="2" w16cid:durableId="743721079">
    <w:abstractNumId w:val="4"/>
  </w:num>
  <w:num w:numId="3" w16cid:durableId="1360354348">
    <w:abstractNumId w:val="13"/>
  </w:num>
  <w:num w:numId="4" w16cid:durableId="2016568301">
    <w:abstractNumId w:val="0"/>
  </w:num>
  <w:num w:numId="5" w16cid:durableId="773593565">
    <w:abstractNumId w:val="7"/>
  </w:num>
  <w:num w:numId="6" w16cid:durableId="665983356">
    <w:abstractNumId w:val="21"/>
  </w:num>
  <w:num w:numId="7" w16cid:durableId="2001033832">
    <w:abstractNumId w:val="20"/>
  </w:num>
  <w:num w:numId="8" w16cid:durableId="724597373">
    <w:abstractNumId w:val="19"/>
  </w:num>
  <w:num w:numId="9" w16cid:durableId="1013800589">
    <w:abstractNumId w:val="6"/>
  </w:num>
  <w:num w:numId="10" w16cid:durableId="564027327">
    <w:abstractNumId w:val="18"/>
  </w:num>
  <w:num w:numId="11" w16cid:durableId="2040349787">
    <w:abstractNumId w:val="17"/>
  </w:num>
  <w:num w:numId="12" w16cid:durableId="1516268214">
    <w:abstractNumId w:val="2"/>
  </w:num>
  <w:num w:numId="13" w16cid:durableId="377244330">
    <w:abstractNumId w:val="15"/>
  </w:num>
  <w:num w:numId="14" w16cid:durableId="1443064843">
    <w:abstractNumId w:val="10"/>
  </w:num>
  <w:num w:numId="15" w16cid:durableId="200242374">
    <w:abstractNumId w:val="8"/>
  </w:num>
  <w:num w:numId="16" w16cid:durableId="19360955">
    <w:abstractNumId w:val="16"/>
  </w:num>
  <w:num w:numId="17" w16cid:durableId="1328709145">
    <w:abstractNumId w:val="11"/>
  </w:num>
  <w:num w:numId="18" w16cid:durableId="112136817">
    <w:abstractNumId w:val="1"/>
  </w:num>
  <w:num w:numId="19" w16cid:durableId="1441141169">
    <w:abstractNumId w:val="12"/>
  </w:num>
  <w:num w:numId="20" w16cid:durableId="692994299">
    <w:abstractNumId w:val="3"/>
  </w:num>
  <w:num w:numId="21" w16cid:durableId="737895544">
    <w:abstractNumId w:val="5"/>
  </w:num>
  <w:num w:numId="22" w16cid:durableId="9572218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A21"/>
    <w:rsid w:val="00001048"/>
    <w:rsid w:val="00001229"/>
    <w:rsid w:val="00001864"/>
    <w:rsid w:val="000170E8"/>
    <w:rsid w:val="00017F98"/>
    <w:rsid w:val="00025BB7"/>
    <w:rsid w:val="00026122"/>
    <w:rsid w:val="0003559E"/>
    <w:rsid w:val="00047595"/>
    <w:rsid w:val="000520D5"/>
    <w:rsid w:val="000737B4"/>
    <w:rsid w:val="00080EBD"/>
    <w:rsid w:val="00091DAB"/>
    <w:rsid w:val="000A01A8"/>
    <w:rsid w:val="000A284C"/>
    <w:rsid w:val="000A6A2D"/>
    <w:rsid w:val="000A7A04"/>
    <w:rsid w:val="000B112F"/>
    <w:rsid w:val="000B2BFB"/>
    <w:rsid w:val="000B38F1"/>
    <w:rsid w:val="000B3E2D"/>
    <w:rsid w:val="000C3EDA"/>
    <w:rsid w:val="000C4706"/>
    <w:rsid w:val="000C6183"/>
    <w:rsid w:val="000D0983"/>
    <w:rsid w:val="000D1A7F"/>
    <w:rsid w:val="000D7E42"/>
    <w:rsid w:val="000E4331"/>
    <w:rsid w:val="000E69CA"/>
    <w:rsid w:val="001042CD"/>
    <w:rsid w:val="00106C15"/>
    <w:rsid w:val="001074FB"/>
    <w:rsid w:val="0011388D"/>
    <w:rsid w:val="0011679D"/>
    <w:rsid w:val="00121F8F"/>
    <w:rsid w:val="00127966"/>
    <w:rsid w:val="00130561"/>
    <w:rsid w:val="001413FC"/>
    <w:rsid w:val="001435BD"/>
    <w:rsid w:val="001455FF"/>
    <w:rsid w:val="0014620D"/>
    <w:rsid w:val="00155EEB"/>
    <w:rsid w:val="0016498E"/>
    <w:rsid w:val="001674EF"/>
    <w:rsid w:val="00171818"/>
    <w:rsid w:val="001722B7"/>
    <w:rsid w:val="00172333"/>
    <w:rsid w:val="00185E69"/>
    <w:rsid w:val="0018736B"/>
    <w:rsid w:val="00192139"/>
    <w:rsid w:val="001975CF"/>
    <w:rsid w:val="00197EC3"/>
    <w:rsid w:val="001B0EE5"/>
    <w:rsid w:val="001B3688"/>
    <w:rsid w:val="001B4F27"/>
    <w:rsid w:val="001D1AE9"/>
    <w:rsid w:val="001D76BF"/>
    <w:rsid w:val="001E01BE"/>
    <w:rsid w:val="001E5CE4"/>
    <w:rsid w:val="001E6A29"/>
    <w:rsid w:val="001F0E71"/>
    <w:rsid w:val="001F385E"/>
    <w:rsid w:val="001F6E33"/>
    <w:rsid w:val="002004DB"/>
    <w:rsid w:val="00201D4C"/>
    <w:rsid w:val="00202B74"/>
    <w:rsid w:val="00204029"/>
    <w:rsid w:val="0020478F"/>
    <w:rsid w:val="00206022"/>
    <w:rsid w:val="002160B8"/>
    <w:rsid w:val="00216196"/>
    <w:rsid w:val="00232C61"/>
    <w:rsid w:val="00233D8A"/>
    <w:rsid w:val="00243DA9"/>
    <w:rsid w:val="00247FCF"/>
    <w:rsid w:val="00251640"/>
    <w:rsid w:val="00257AAC"/>
    <w:rsid w:val="00264918"/>
    <w:rsid w:val="00275487"/>
    <w:rsid w:val="002754CD"/>
    <w:rsid w:val="002767C8"/>
    <w:rsid w:val="00280CD9"/>
    <w:rsid w:val="00281076"/>
    <w:rsid w:val="002822E8"/>
    <w:rsid w:val="00282513"/>
    <w:rsid w:val="002846D6"/>
    <w:rsid w:val="0028472C"/>
    <w:rsid w:val="00285A37"/>
    <w:rsid w:val="002A338A"/>
    <w:rsid w:val="002B0EC4"/>
    <w:rsid w:val="002B220C"/>
    <w:rsid w:val="002C4EA4"/>
    <w:rsid w:val="002C584D"/>
    <w:rsid w:val="002D0F02"/>
    <w:rsid w:val="002D1D63"/>
    <w:rsid w:val="002E4AAC"/>
    <w:rsid w:val="002E5F0C"/>
    <w:rsid w:val="002F4672"/>
    <w:rsid w:val="002F5692"/>
    <w:rsid w:val="00305FF7"/>
    <w:rsid w:val="00312876"/>
    <w:rsid w:val="003131A2"/>
    <w:rsid w:val="00314456"/>
    <w:rsid w:val="0031626F"/>
    <w:rsid w:val="0031653F"/>
    <w:rsid w:val="003175F7"/>
    <w:rsid w:val="00334441"/>
    <w:rsid w:val="00335C89"/>
    <w:rsid w:val="0033755C"/>
    <w:rsid w:val="00340176"/>
    <w:rsid w:val="00343221"/>
    <w:rsid w:val="00344C73"/>
    <w:rsid w:val="0035407C"/>
    <w:rsid w:val="00354ADB"/>
    <w:rsid w:val="00360AA4"/>
    <w:rsid w:val="003623A9"/>
    <w:rsid w:val="0037040D"/>
    <w:rsid w:val="00370F6C"/>
    <w:rsid w:val="00381775"/>
    <w:rsid w:val="00381CA9"/>
    <w:rsid w:val="00386A98"/>
    <w:rsid w:val="0039272C"/>
    <w:rsid w:val="003A6099"/>
    <w:rsid w:val="003A6807"/>
    <w:rsid w:val="003B0132"/>
    <w:rsid w:val="003B3C03"/>
    <w:rsid w:val="003B43C0"/>
    <w:rsid w:val="003D1835"/>
    <w:rsid w:val="003D231B"/>
    <w:rsid w:val="003D41A0"/>
    <w:rsid w:val="003D440D"/>
    <w:rsid w:val="003E1A07"/>
    <w:rsid w:val="003E3FD1"/>
    <w:rsid w:val="003F08AD"/>
    <w:rsid w:val="003F381F"/>
    <w:rsid w:val="004050CF"/>
    <w:rsid w:val="00406A7A"/>
    <w:rsid w:val="004136F9"/>
    <w:rsid w:val="00423122"/>
    <w:rsid w:val="004242E5"/>
    <w:rsid w:val="004259D7"/>
    <w:rsid w:val="00434B11"/>
    <w:rsid w:val="00440F5A"/>
    <w:rsid w:val="004600CE"/>
    <w:rsid w:val="004612A7"/>
    <w:rsid w:val="004634C4"/>
    <w:rsid w:val="004707D7"/>
    <w:rsid w:val="00473100"/>
    <w:rsid w:val="004749BB"/>
    <w:rsid w:val="00475E12"/>
    <w:rsid w:val="004778B7"/>
    <w:rsid w:val="00477D86"/>
    <w:rsid w:val="0048498E"/>
    <w:rsid w:val="004A3600"/>
    <w:rsid w:val="004A4CCB"/>
    <w:rsid w:val="004A636D"/>
    <w:rsid w:val="004B08EC"/>
    <w:rsid w:val="004B36B8"/>
    <w:rsid w:val="004B39E1"/>
    <w:rsid w:val="004C1B7E"/>
    <w:rsid w:val="004C2625"/>
    <w:rsid w:val="004D318D"/>
    <w:rsid w:val="004D5CDC"/>
    <w:rsid w:val="004D7987"/>
    <w:rsid w:val="004D7E6A"/>
    <w:rsid w:val="004E4B20"/>
    <w:rsid w:val="004F255E"/>
    <w:rsid w:val="004F4C0B"/>
    <w:rsid w:val="004F53DE"/>
    <w:rsid w:val="004F58E0"/>
    <w:rsid w:val="005077CB"/>
    <w:rsid w:val="005110D4"/>
    <w:rsid w:val="005124B2"/>
    <w:rsid w:val="005202D3"/>
    <w:rsid w:val="00521EBC"/>
    <w:rsid w:val="005222DB"/>
    <w:rsid w:val="00536BC1"/>
    <w:rsid w:val="005378B3"/>
    <w:rsid w:val="00546F0E"/>
    <w:rsid w:val="00554F16"/>
    <w:rsid w:val="005641B5"/>
    <w:rsid w:val="0056461D"/>
    <w:rsid w:val="0056780D"/>
    <w:rsid w:val="005701BE"/>
    <w:rsid w:val="005732DC"/>
    <w:rsid w:val="00587FF8"/>
    <w:rsid w:val="00591D2F"/>
    <w:rsid w:val="005A36FE"/>
    <w:rsid w:val="005A7F97"/>
    <w:rsid w:val="005C2786"/>
    <w:rsid w:val="005C32F5"/>
    <w:rsid w:val="005D18AB"/>
    <w:rsid w:val="005E1295"/>
    <w:rsid w:val="005E2369"/>
    <w:rsid w:val="005E72D3"/>
    <w:rsid w:val="005E77CC"/>
    <w:rsid w:val="005F2910"/>
    <w:rsid w:val="00603C8B"/>
    <w:rsid w:val="00603ED0"/>
    <w:rsid w:val="00607ECB"/>
    <w:rsid w:val="00613288"/>
    <w:rsid w:val="00620472"/>
    <w:rsid w:val="00622F44"/>
    <w:rsid w:val="006236F4"/>
    <w:rsid w:val="00626924"/>
    <w:rsid w:val="00631F42"/>
    <w:rsid w:val="0063739D"/>
    <w:rsid w:val="00642328"/>
    <w:rsid w:val="00644E7A"/>
    <w:rsid w:val="00656340"/>
    <w:rsid w:val="006570D4"/>
    <w:rsid w:val="00657774"/>
    <w:rsid w:val="006605E3"/>
    <w:rsid w:val="00664236"/>
    <w:rsid w:val="00666266"/>
    <w:rsid w:val="00670746"/>
    <w:rsid w:val="00675BA8"/>
    <w:rsid w:val="00680B00"/>
    <w:rsid w:val="00681749"/>
    <w:rsid w:val="00681869"/>
    <w:rsid w:val="006838E0"/>
    <w:rsid w:val="00683DB7"/>
    <w:rsid w:val="00686541"/>
    <w:rsid w:val="006A1E18"/>
    <w:rsid w:val="006A79CA"/>
    <w:rsid w:val="006B1ACD"/>
    <w:rsid w:val="006B383B"/>
    <w:rsid w:val="006C2A7F"/>
    <w:rsid w:val="006C40B7"/>
    <w:rsid w:val="006C4247"/>
    <w:rsid w:val="006D6C0E"/>
    <w:rsid w:val="006F4B46"/>
    <w:rsid w:val="006F5B27"/>
    <w:rsid w:val="00700F11"/>
    <w:rsid w:val="00701FBF"/>
    <w:rsid w:val="00711535"/>
    <w:rsid w:val="00715D97"/>
    <w:rsid w:val="00721B93"/>
    <w:rsid w:val="00731566"/>
    <w:rsid w:val="007361EC"/>
    <w:rsid w:val="007371F3"/>
    <w:rsid w:val="00737A21"/>
    <w:rsid w:val="00750F75"/>
    <w:rsid w:val="00766F89"/>
    <w:rsid w:val="0078018F"/>
    <w:rsid w:val="00782DE8"/>
    <w:rsid w:val="00783752"/>
    <w:rsid w:val="00790B29"/>
    <w:rsid w:val="007A3891"/>
    <w:rsid w:val="007A4D33"/>
    <w:rsid w:val="007A71CB"/>
    <w:rsid w:val="007B01A2"/>
    <w:rsid w:val="007B2F16"/>
    <w:rsid w:val="007B3C3C"/>
    <w:rsid w:val="007B4630"/>
    <w:rsid w:val="007C40FB"/>
    <w:rsid w:val="007D1D76"/>
    <w:rsid w:val="007D243C"/>
    <w:rsid w:val="007D53B6"/>
    <w:rsid w:val="007E6509"/>
    <w:rsid w:val="007F083D"/>
    <w:rsid w:val="007F32D2"/>
    <w:rsid w:val="007F480E"/>
    <w:rsid w:val="007F598C"/>
    <w:rsid w:val="0080008C"/>
    <w:rsid w:val="008049DE"/>
    <w:rsid w:val="008177B6"/>
    <w:rsid w:val="00823E6A"/>
    <w:rsid w:val="008262E8"/>
    <w:rsid w:val="008407A9"/>
    <w:rsid w:val="00847346"/>
    <w:rsid w:val="0085504F"/>
    <w:rsid w:val="00856170"/>
    <w:rsid w:val="00857AE6"/>
    <w:rsid w:val="00872526"/>
    <w:rsid w:val="0088236D"/>
    <w:rsid w:val="00886D1C"/>
    <w:rsid w:val="00896FF2"/>
    <w:rsid w:val="008A319F"/>
    <w:rsid w:val="008A6D5C"/>
    <w:rsid w:val="008C3585"/>
    <w:rsid w:val="008C5DDF"/>
    <w:rsid w:val="008D377F"/>
    <w:rsid w:val="008D489C"/>
    <w:rsid w:val="008F2A3A"/>
    <w:rsid w:val="00900872"/>
    <w:rsid w:val="00923273"/>
    <w:rsid w:val="009330CA"/>
    <w:rsid w:val="009377B6"/>
    <w:rsid w:val="00937A1F"/>
    <w:rsid w:val="009405ED"/>
    <w:rsid w:val="00943219"/>
    <w:rsid w:val="009522BE"/>
    <w:rsid w:val="00962E5C"/>
    <w:rsid w:val="00963D0A"/>
    <w:rsid w:val="00967BE2"/>
    <w:rsid w:val="00971A82"/>
    <w:rsid w:val="00976ED6"/>
    <w:rsid w:val="00981A9A"/>
    <w:rsid w:val="009A6318"/>
    <w:rsid w:val="009B1913"/>
    <w:rsid w:val="009C37A5"/>
    <w:rsid w:val="009D4EEA"/>
    <w:rsid w:val="009D5278"/>
    <w:rsid w:val="009D67BA"/>
    <w:rsid w:val="009E0D24"/>
    <w:rsid w:val="009E754C"/>
    <w:rsid w:val="009F7A23"/>
    <w:rsid w:val="00A02080"/>
    <w:rsid w:val="00A07325"/>
    <w:rsid w:val="00A07731"/>
    <w:rsid w:val="00A108C9"/>
    <w:rsid w:val="00A160F7"/>
    <w:rsid w:val="00A23905"/>
    <w:rsid w:val="00A35FC9"/>
    <w:rsid w:val="00A37639"/>
    <w:rsid w:val="00A42777"/>
    <w:rsid w:val="00A42E11"/>
    <w:rsid w:val="00A440AA"/>
    <w:rsid w:val="00A45618"/>
    <w:rsid w:val="00A46247"/>
    <w:rsid w:val="00A467F5"/>
    <w:rsid w:val="00A4713B"/>
    <w:rsid w:val="00A53507"/>
    <w:rsid w:val="00A545AD"/>
    <w:rsid w:val="00A63E86"/>
    <w:rsid w:val="00A737C0"/>
    <w:rsid w:val="00A8374E"/>
    <w:rsid w:val="00A85B0F"/>
    <w:rsid w:val="00A92A6E"/>
    <w:rsid w:val="00AA2C44"/>
    <w:rsid w:val="00AB3535"/>
    <w:rsid w:val="00AB55D8"/>
    <w:rsid w:val="00AC271E"/>
    <w:rsid w:val="00AC2F36"/>
    <w:rsid w:val="00AC576F"/>
    <w:rsid w:val="00AC7508"/>
    <w:rsid w:val="00AD0469"/>
    <w:rsid w:val="00AD0EE2"/>
    <w:rsid w:val="00AD6E81"/>
    <w:rsid w:val="00AD7DCE"/>
    <w:rsid w:val="00AE4572"/>
    <w:rsid w:val="00B02BD8"/>
    <w:rsid w:val="00B10A4A"/>
    <w:rsid w:val="00B11804"/>
    <w:rsid w:val="00B2350E"/>
    <w:rsid w:val="00B24423"/>
    <w:rsid w:val="00B24743"/>
    <w:rsid w:val="00B4072E"/>
    <w:rsid w:val="00B40DE6"/>
    <w:rsid w:val="00B45788"/>
    <w:rsid w:val="00B50263"/>
    <w:rsid w:val="00B566CE"/>
    <w:rsid w:val="00B57F33"/>
    <w:rsid w:val="00B847EE"/>
    <w:rsid w:val="00B86A6C"/>
    <w:rsid w:val="00B92065"/>
    <w:rsid w:val="00B96B85"/>
    <w:rsid w:val="00BA07F9"/>
    <w:rsid w:val="00BA09B3"/>
    <w:rsid w:val="00BA3E10"/>
    <w:rsid w:val="00BB625E"/>
    <w:rsid w:val="00BC6458"/>
    <w:rsid w:val="00BD2C99"/>
    <w:rsid w:val="00BE1E3C"/>
    <w:rsid w:val="00BE50F4"/>
    <w:rsid w:val="00BE5A35"/>
    <w:rsid w:val="00BF15FA"/>
    <w:rsid w:val="00BF5BE5"/>
    <w:rsid w:val="00BF75C9"/>
    <w:rsid w:val="00C0017F"/>
    <w:rsid w:val="00C069FB"/>
    <w:rsid w:val="00C15BA9"/>
    <w:rsid w:val="00C16354"/>
    <w:rsid w:val="00C26B30"/>
    <w:rsid w:val="00C316A9"/>
    <w:rsid w:val="00C32571"/>
    <w:rsid w:val="00C32DE5"/>
    <w:rsid w:val="00C343CA"/>
    <w:rsid w:val="00C41878"/>
    <w:rsid w:val="00C449C1"/>
    <w:rsid w:val="00C53E16"/>
    <w:rsid w:val="00C5438C"/>
    <w:rsid w:val="00C70656"/>
    <w:rsid w:val="00C7416D"/>
    <w:rsid w:val="00C75B76"/>
    <w:rsid w:val="00C767A6"/>
    <w:rsid w:val="00C956A2"/>
    <w:rsid w:val="00CA0E04"/>
    <w:rsid w:val="00CA0E18"/>
    <w:rsid w:val="00CA38C5"/>
    <w:rsid w:val="00CA5122"/>
    <w:rsid w:val="00CA7148"/>
    <w:rsid w:val="00CB7297"/>
    <w:rsid w:val="00CB74C0"/>
    <w:rsid w:val="00CC1C80"/>
    <w:rsid w:val="00CC73A2"/>
    <w:rsid w:val="00CD0B02"/>
    <w:rsid w:val="00CD2B98"/>
    <w:rsid w:val="00CD61B8"/>
    <w:rsid w:val="00D005E8"/>
    <w:rsid w:val="00D020E9"/>
    <w:rsid w:val="00D028AD"/>
    <w:rsid w:val="00D068B5"/>
    <w:rsid w:val="00D3038A"/>
    <w:rsid w:val="00D30F16"/>
    <w:rsid w:val="00D4279F"/>
    <w:rsid w:val="00D457B7"/>
    <w:rsid w:val="00D516A6"/>
    <w:rsid w:val="00D554AF"/>
    <w:rsid w:val="00D61B09"/>
    <w:rsid w:val="00D66194"/>
    <w:rsid w:val="00D67E8A"/>
    <w:rsid w:val="00D72202"/>
    <w:rsid w:val="00D75B23"/>
    <w:rsid w:val="00D75DE5"/>
    <w:rsid w:val="00D822AB"/>
    <w:rsid w:val="00D82C99"/>
    <w:rsid w:val="00D86E98"/>
    <w:rsid w:val="00D86EA0"/>
    <w:rsid w:val="00D87732"/>
    <w:rsid w:val="00D90F6B"/>
    <w:rsid w:val="00D97F23"/>
    <w:rsid w:val="00DA4631"/>
    <w:rsid w:val="00DB195F"/>
    <w:rsid w:val="00DB531F"/>
    <w:rsid w:val="00DB5E4C"/>
    <w:rsid w:val="00DB7556"/>
    <w:rsid w:val="00DC147B"/>
    <w:rsid w:val="00DC50C5"/>
    <w:rsid w:val="00DC560D"/>
    <w:rsid w:val="00DC7AB5"/>
    <w:rsid w:val="00DD6662"/>
    <w:rsid w:val="00DE3466"/>
    <w:rsid w:val="00DF1A57"/>
    <w:rsid w:val="00DF45E4"/>
    <w:rsid w:val="00E002D2"/>
    <w:rsid w:val="00E02739"/>
    <w:rsid w:val="00E10C25"/>
    <w:rsid w:val="00E14819"/>
    <w:rsid w:val="00E275B4"/>
    <w:rsid w:val="00E310C0"/>
    <w:rsid w:val="00E35B79"/>
    <w:rsid w:val="00E377BA"/>
    <w:rsid w:val="00E42AE5"/>
    <w:rsid w:val="00E44CBC"/>
    <w:rsid w:val="00E4615E"/>
    <w:rsid w:val="00E47DDC"/>
    <w:rsid w:val="00E52AB1"/>
    <w:rsid w:val="00E541CF"/>
    <w:rsid w:val="00E75F2D"/>
    <w:rsid w:val="00E81009"/>
    <w:rsid w:val="00E814E3"/>
    <w:rsid w:val="00E871B2"/>
    <w:rsid w:val="00EA4310"/>
    <w:rsid w:val="00EA539F"/>
    <w:rsid w:val="00EA73BB"/>
    <w:rsid w:val="00EB09F8"/>
    <w:rsid w:val="00EB3CD4"/>
    <w:rsid w:val="00EB6B35"/>
    <w:rsid w:val="00EB71E6"/>
    <w:rsid w:val="00EC0C86"/>
    <w:rsid w:val="00EC213A"/>
    <w:rsid w:val="00EC3F10"/>
    <w:rsid w:val="00ED389B"/>
    <w:rsid w:val="00EE69BF"/>
    <w:rsid w:val="00EE7BE2"/>
    <w:rsid w:val="00EF161C"/>
    <w:rsid w:val="00EF6F77"/>
    <w:rsid w:val="00EF796A"/>
    <w:rsid w:val="00F1216F"/>
    <w:rsid w:val="00F14E69"/>
    <w:rsid w:val="00F20EC4"/>
    <w:rsid w:val="00F23491"/>
    <w:rsid w:val="00F305FE"/>
    <w:rsid w:val="00F361D0"/>
    <w:rsid w:val="00F5190C"/>
    <w:rsid w:val="00F55D9C"/>
    <w:rsid w:val="00F55F01"/>
    <w:rsid w:val="00F56844"/>
    <w:rsid w:val="00F6409A"/>
    <w:rsid w:val="00F66C1A"/>
    <w:rsid w:val="00F80133"/>
    <w:rsid w:val="00F8099F"/>
    <w:rsid w:val="00F8151D"/>
    <w:rsid w:val="00F82D2C"/>
    <w:rsid w:val="00F85757"/>
    <w:rsid w:val="00F85DE1"/>
    <w:rsid w:val="00F86FFB"/>
    <w:rsid w:val="00F874A5"/>
    <w:rsid w:val="00F914DE"/>
    <w:rsid w:val="00FA1694"/>
    <w:rsid w:val="00FA1798"/>
    <w:rsid w:val="00FB01A4"/>
    <w:rsid w:val="00FB1524"/>
    <w:rsid w:val="00FB63BF"/>
    <w:rsid w:val="00F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B801DD3"/>
  <w15:chartTrackingRefBased/>
  <w15:docId w15:val="{B818A1C8-C0B9-4AB1-8246-A2282D9F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Arial" w:hAnsi="Arial"/>
      <w:sz w:val="24"/>
      <w:lang w:val="sv-SE" w:eastAsia="en-US"/>
    </w:rPr>
  </w:style>
  <w:style w:type="paragraph" w:styleId="Cmsor1">
    <w:name w:val="heading 1"/>
    <w:basedOn w:val="Norml"/>
    <w:next w:val="Norml"/>
    <w:qFormat/>
    <w:pPr>
      <w:keepNext/>
      <w:spacing w:after="240"/>
      <w:outlineLvl w:val="0"/>
    </w:pPr>
    <w:rPr>
      <w:rFonts w:ascii="Futura Book" w:hAnsi="Futura Book"/>
      <w:b/>
      <w:caps/>
      <w:kern w:val="28"/>
      <w:sz w:val="28"/>
    </w:rPr>
  </w:style>
  <w:style w:type="paragraph" w:styleId="Cmsor2">
    <w:name w:val="heading 2"/>
    <w:basedOn w:val="Cmsor1"/>
    <w:next w:val="Norml"/>
    <w:qFormat/>
    <w:pPr>
      <w:spacing w:before="120" w:after="120"/>
      <w:outlineLvl w:val="1"/>
    </w:pPr>
    <w:rPr>
      <w:b w:val="0"/>
      <w:caps w:val="0"/>
    </w:rPr>
  </w:style>
  <w:style w:type="paragraph" w:styleId="Cmsor3">
    <w:name w:val="heading 3"/>
    <w:basedOn w:val="Cmsor1"/>
    <w:next w:val="Norml"/>
    <w:qFormat/>
    <w:pPr>
      <w:spacing w:after="120"/>
      <w:outlineLvl w:val="2"/>
    </w:pPr>
    <w:rPr>
      <w:caps w:val="0"/>
      <w:sz w:val="24"/>
    </w:rPr>
  </w:style>
  <w:style w:type="paragraph" w:styleId="Cmsor4">
    <w:name w:val="heading 4"/>
    <w:basedOn w:val="Cmsor1"/>
    <w:next w:val="Norml"/>
    <w:qFormat/>
    <w:pPr>
      <w:spacing w:after="120"/>
      <w:outlineLvl w:val="3"/>
    </w:pPr>
    <w:rPr>
      <w:b w:val="0"/>
      <w:i/>
      <w:caps w:val="0"/>
      <w:sz w:val="24"/>
    </w:rPr>
  </w:style>
  <w:style w:type="paragraph" w:styleId="Cmsor5">
    <w:name w:val="heading 5"/>
    <w:basedOn w:val="Cmsor1"/>
    <w:next w:val="Norml"/>
    <w:qFormat/>
    <w:pPr>
      <w:spacing w:after="60"/>
      <w:outlineLvl w:val="4"/>
    </w:pPr>
    <w:rPr>
      <w:b w:val="0"/>
      <w:caps w:val="0"/>
      <w:sz w:val="20"/>
    </w:rPr>
  </w:style>
  <w:style w:type="paragraph" w:styleId="Cmsor6">
    <w:name w:val="heading 6"/>
    <w:basedOn w:val="Cmsor1"/>
    <w:next w:val="Norml"/>
    <w:qFormat/>
    <w:pPr>
      <w:spacing w:after="60"/>
      <w:outlineLvl w:val="5"/>
    </w:pPr>
    <w:rPr>
      <w:b w:val="0"/>
      <w:caps w:val="0"/>
      <w:sz w:val="20"/>
    </w:rPr>
  </w:style>
  <w:style w:type="paragraph" w:styleId="Cmsor7">
    <w:name w:val="heading 7"/>
    <w:basedOn w:val="Cmsor1"/>
    <w:next w:val="Norml"/>
    <w:qFormat/>
    <w:pPr>
      <w:spacing w:after="60"/>
      <w:outlineLvl w:val="6"/>
    </w:pPr>
    <w:rPr>
      <w:b w:val="0"/>
      <w:caps w:val="0"/>
      <w:sz w:val="20"/>
    </w:rPr>
  </w:style>
  <w:style w:type="paragraph" w:styleId="Cmsor8">
    <w:name w:val="heading 8"/>
    <w:basedOn w:val="Cmsor1"/>
    <w:next w:val="Norml"/>
    <w:qFormat/>
    <w:pPr>
      <w:spacing w:after="60"/>
      <w:outlineLvl w:val="7"/>
    </w:pPr>
    <w:rPr>
      <w:b w:val="0"/>
      <w:caps w:val="0"/>
      <w:sz w:val="20"/>
    </w:rPr>
  </w:style>
  <w:style w:type="paragraph" w:styleId="Cmsor9">
    <w:name w:val="heading 9"/>
    <w:basedOn w:val="Cmsor1"/>
    <w:next w:val="Norml"/>
    <w:qFormat/>
    <w:pPr>
      <w:spacing w:after="60"/>
      <w:outlineLvl w:val="8"/>
    </w:pPr>
    <w:rPr>
      <w:b w:val="0"/>
      <w:caps w:val="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pPr>
      <w:tabs>
        <w:tab w:val="center" w:pos="4153"/>
        <w:tab w:val="right" w:pos="8306"/>
      </w:tabs>
    </w:pPr>
  </w:style>
  <w:style w:type="paragraph" w:styleId="llb">
    <w:name w:val="footer"/>
    <w:basedOn w:val="Norml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Szvegtrzsbehzssal">
    <w:name w:val="Body Text Indent"/>
    <w:basedOn w:val="Norml"/>
    <w:semiHidden/>
    <w:pPr>
      <w:ind w:left="720" w:hanging="720"/>
    </w:pPr>
    <w:rPr>
      <w:rFonts w:ascii="Times New Roman" w:hAnsi="Times New Roman"/>
      <w:b/>
      <w:bCs/>
      <w:lang w:val="hu-HU"/>
    </w:rPr>
  </w:style>
  <w:style w:type="character" w:styleId="Hiperhivatkozs">
    <w:name w:val="Hyperlink"/>
    <w:semiHidden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NormlWeb">
    <w:name w:val="Normal (Web)"/>
    <w:basedOn w:val="Norml"/>
    <w:semiHidden/>
    <w:pPr>
      <w:spacing w:before="100" w:beforeAutospacing="1" w:after="119"/>
    </w:pPr>
    <w:rPr>
      <w:rFonts w:ascii="Times New Roman" w:hAnsi="Times New Roman"/>
      <w:szCs w:val="24"/>
      <w:lang w:val="hu-HU" w:eastAsia="hu-HU"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WW-Szvegtrzs212">
    <w:name w:val="WW-Szövegtörzs 212"/>
    <w:basedOn w:val="Norml"/>
    <w:rsid w:val="002754CD"/>
    <w:pPr>
      <w:suppressAutoHyphens/>
      <w:spacing w:line="260" w:lineRule="atLeast"/>
      <w:ind w:left="567" w:hanging="567"/>
    </w:pPr>
    <w:rPr>
      <w:rFonts w:ascii="Times New Roman" w:hAnsi="Times New Roman"/>
      <w:b/>
      <w:sz w:val="22"/>
      <w:lang w:val="en-GB" w:eastAsia="ar-SA"/>
    </w:rPr>
  </w:style>
  <w:style w:type="table" w:styleId="Rcsostblzat">
    <w:name w:val="Table Grid"/>
    <w:basedOn w:val="Normltblzat"/>
    <w:uiPriority w:val="59"/>
    <w:rsid w:val="006563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">
    <w:name w:val="Body Text"/>
    <w:basedOn w:val="Norml"/>
    <w:link w:val="SzvegtrzsChar"/>
    <w:uiPriority w:val="99"/>
    <w:unhideWhenUsed/>
    <w:rsid w:val="005E77CC"/>
    <w:pPr>
      <w:spacing w:after="120"/>
    </w:pPr>
  </w:style>
  <w:style w:type="character" w:customStyle="1" w:styleId="SzvegtrzsChar">
    <w:name w:val="Szövegtörzs Char"/>
    <w:link w:val="Szvegtrzs"/>
    <w:uiPriority w:val="99"/>
    <w:rsid w:val="005E77CC"/>
    <w:rPr>
      <w:rFonts w:ascii="Arial" w:hAnsi="Arial"/>
      <w:sz w:val="24"/>
      <w:lang w:val="sv-SE" w:eastAsia="en-US"/>
    </w:rPr>
  </w:style>
  <w:style w:type="paragraph" w:styleId="Vltozat">
    <w:name w:val="Revision"/>
    <w:hidden/>
    <w:uiPriority w:val="99"/>
    <w:semiHidden/>
    <w:rsid w:val="002822E8"/>
    <w:rPr>
      <w:rFonts w:ascii="Arial" w:hAnsi="Arial"/>
      <w:sz w:val="24"/>
      <w:lang w:val="sv-SE" w:eastAsia="en-US"/>
    </w:rPr>
  </w:style>
  <w:style w:type="paragraph" w:styleId="Nincstrkz">
    <w:name w:val="No Spacing"/>
    <w:uiPriority w:val="1"/>
    <w:qFormat/>
    <w:rsid w:val="00F85757"/>
    <w:rPr>
      <w:rFonts w:eastAsia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B2F16"/>
    <w:pPr>
      <w:ind w:left="720"/>
      <w:contextualSpacing/>
    </w:pPr>
  </w:style>
  <w:style w:type="paragraph" w:customStyle="1" w:styleId="Default">
    <w:name w:val="Default"/>
    <w:rsid w:val="00EE69B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ma.europa.eu/documents/other/minimum-inhibitory-concentration-mic-breakpoints_en.xlsx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7" ma:contentTypeDescription="Create a new document." ma:contentTypeScope="" ma:versionID="7a4d3b719ebc07d8aa15d9e5bc25c20d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370e0d643bd840f6743cb79c00c723a3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65F17-7549-4A27-8F56-591989C949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ACE70-3B1D-42B3-A64A-811ED01C2A59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3.xml><?xml version="1.0" encoding="utf-8"?>
<ds:datastoreItem xmlns:ds="http://schemas.openxmlformats.org/officeDocument/2006/customXml" ds:itemID="{9D664159-4512-4D03-A38E-779F6A66EF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BF9B5D-11BE-453A-B890-B8BBC978B33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c14d9e5-93cd-47e1-9cd8-fd00404a29a8}" enabled="1" method="Privileged" siteId="{c98df534-5e36-459a-ac3f-8c2e449863b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4362</Words>
  <Characters>30101</Characters>
  <Application>Microsoft Office Word</Application>
  <DocSecurity>0</DocSecurity>
  <Lines>250</Lines>
  <Paragraphs>68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Meronem iv</vt:lpstr>
    </vt:vector>
  </TitlesOfParts>
  <Company>Astra Zeneca</Company>
  <LinksUpToDate>false</LinksUpToDate>
  <CharactersWithSpaces>34395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iv</dc:title>
  <dc:subject/>
  <dc:creator>M Szabó</dc:creator>
  <cp:keywords/>
  <cp:lastModifiedBy>HU_OGYI_63.1</cp:lastModifiedBy>
  <cp:revision>52</cp:revision>
  <cp:lastPrinted>2019-09-18T15:17:00Z</cp:lastPrinted>
  <dcterms:created xsi:type="dcterms:W3CDTF">2026-03-11T09:26:00Z</dcterms:created>
  <dcterms:modified xsi:type="dcterms:W3CDTF">2026-06-29T14:33:00Z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