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077AD1" w14:textId="77777777" w:rsidR="00D97F23" w:rsidRPr="002D0F02" w:rsidRDefault="00D97F23" w:rsidP="00473100">
      <w:pPr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1.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GYÓGYSZER </w:t>
      </w:r>
      <w:r w:rsidR="00620472" w:rsidRPr="002D0F02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30FF7CE8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4678B53" w14:textId="77777777" w:rsidR="00D97F23" w:rsidRPr="002822E8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sz w:val="22"/>
          <w:szCs w:val="22"/>
          <w:lang w:val="hu-HU"/>
        </w:rPr>
        <w:t>Mero</w:t>
      </w:r>
      <w:r w:rsidR="00FE773F" w:rsidRPr="002822E8">
        <w:rPr>
          <w:rFonts w:ascii="Times New Roman" w:hAnsi="Times New Roman"/>
          <w:bCs/>
          <w:sz w:val="22"/>
          <w:szCs w:val="22"/>
          <w:lang w:val="hu-HU"/>
        </w:rPr>
        <w:t>pe</w:t>
      </w:r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nem </w:t>
      </w:r>
      <w:r w:rsidR="004D5CDC" w:rsidRPr="002822E8">
        <w:rPr>
          <w:rFonts w:ascii="Times New Roman" w:hAnsi="Times New Roman"/>
          <w:bCs/>
          <w:sz w:val="22"/>
          <w:szCs w:val="22"/>
          <w:lang w:val="hu-HU"/>
        </w:rPr>
        <w:t xml:space="preserve">Kabi </w:t>
      </w:r>
      <w:r w:rsidR="00FE773F" w:rsidRPr="002822E8">
        <w:rPr>
          <w:rFonts w:ascii="Times New Roman" w:hAnsi="Times New Roman"/>
          <w:bCs/>
          <w:sz w:val="22"/>
          <w:szCs w:val="22"/>
          <w:lang w:val="hu-HU"/>
        </w:rPr>
        <w:t>500</w:t>
      </w:r>
      <w:r w:rsidR="00737A21" w:rsidRPr="002822E8">
        <w:rPr>
          <w:rFonts w:ascii="Times New Roman" w:hAnsi="Times New Roman"/>
          <w:bCs/>
          <w:sz w:val="22"/>
          <w:szCs w:val="22"/>
          <w:lang w:val="hu-HU"/>
        </w:rPr>
        <w:t xml:space="preserve"> mg </w:t>
      </w:r>
      <w:r w:rsidRPr="002822E8">
        <w:rPr>
          <w:rFonts w:ascii="Times New Roman" w:hAnsi="Times New Roman"/>
          <w:bCs/>
          <w:sz w:val="22"/>
          <w:szCs w:val="22"/>
          <w:lang w:val="hu-HU"/>
        </w:rPr>
        <w:t>por oldatos injekcióhoz</w:t>
      </w:r>
      <w:r w:rsidR="00BF5BE5" w:rsidRPr="002822E8">
        <w:rPr>
          <w:rFonts w:ascii="Times New Roman" w:hAnsi="Times New Roman"/>
          <w:bCs/>
          <w:sz w:val="22"/>
          <w:szCs w:val="22"/>
          <w:lang w:val="hu-HU"/>
        </w:rPr>
        <w:t xml:space="preserve"> vagy infúzióhoz</w:t>
      </w:r>
    </w:p>
    <w:p w14:paraId="2358CE17" w14:textId="77777777" w:rsidR="00FE773F" w:rsidRPr="002822E8" w:rsidRDefault="00FE773F" w:rsidP="002D0F02">
      <w:pPr>
        <w:rPr>
          <w:rFonts w:ascii="Times New Roman" w:hAnsi="Times New Roman"/>
          <w:b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Meropenem </w:t>
      </w:r>
      <w:r w:rsidR="004D5CDC" w:rsidRPr="002822E8">
        <w:rPr>
          <w:rFonts w:ascii="Times New Roman" w:hAnsi="Times New Roman"/>
          <w:bCs/>
          <w:sz w:val="22"/>
          <w:szCs w:val="22"/>
          <w:lang w:val="hu-HU"/>
        </w:rPr>
        <w:t xml:space="preserve">Kabi </w:t>
      </w:r>
      <w:smartTag w:uri="urn:schemas-microsoft-com:office:smarttags" w:element="metricconverter">
        <w:smartTagPr>
          <w:attr w:name="ProductID" w:val="1ﾠg"/>
        </w:smartTagPr>
        <w:r w:rsidRPr="002822E8">
          <w:rPr>
            <w:rFonts w:ascii="Times New Roman" w:hAnsi="Times New Roman"/>
            <w:bCs/>
            <w:sz w:val="22"/>
            <w:szCs w:val="22"/>
            <w:lang w:val="hu-HU"/>
          </w:rPr>
          <w:t>1 g</w:t>
        </w:r>
      </w:smartTag>
      <w:r w:rsidRPr="002822E8">
        <w:rPr>
          <w:rFonts w:ascii="Times New Roman" w:hAnsi="Times New Roman"/>
          <w:bCs/>
          <w:sz w:val="22"/>
          <w:szCs w:val="22"/>
          <w:lang w:val="hu-HU"/>
        </w:rPr>
        <w:t xml:space="preserve"> por oldatos injekcióhoz vagy infúzióhoz</w:t>
      </w:r>
    </w:p>
    <w:p w14:paraId="20E70127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92402D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58EE659" w14:textId="77777777" w:rsidR="00D97F23" w:rsidRPr="002D0F02" w:rsidRDefault="00D97F23" w:rsidP="00473100">
      <w:pPr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2.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MINŐSÉGI ÉS MENNYISÉGI ÖSSZETÉTEL</w:t>
      </w:r>
    </w:p>
    <w:p w14:paraId="6627CD28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FF655CB" w14:textId="77777777" w:rsidR="004D5CDC" w:rsidRPr="002D0F02" w:rsidRDefault="004D5CDC" w:rsidP="002D0F02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4846138E" w14:textId="77777777" w:rsidR="004D5CDC" w:rsidRPr="002D0F02" w:rsidRDefault="004D5CDC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500</w:t>
      </w:r>
      <w:r w:rsidR="00423122" w:rsidRPr="002D0F02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mg vízmentes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</w:t>
      </w:r>
      <w:r w:rsidR="00642328">
        <w:rPr>
          <w:rFonts w:ascii="Times New Roman" w:hAnsi="Times New Roman"/>
          <w:sz w:val="22"/>
          <w:szCs w:val="22"/>
          <w:lang w:val="hu-HU"/>
        </w:rPr>
        <w:t>et</w:t>
      </w:r>
      <w:proofErr w:type="spellEnd"/>
      <w:r w:rsidR="00642328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(</w:t>
      </w:r>
      <w:r w:rsidR="00D75B23" w:rsidRPr="002D0F02">
        <w:rPr>
          <w:rFonts w:ascii="Times New Roman" w:hAnsi="Times New Roman"/>
          <w:sz w:val="22"/>
          <w:szCs w:val="22"/>
          <w:lang w:val="hu-HU"/>
        </w:rPr>
        <w:t xml:space="preserve">570 mg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meropenem-trihidrát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formájában) injekciós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/infúziós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4368FB03" w14:textId="77777777" w:rsidR="004D5CDC" w:rsidRPr="002D0F02" w:rsidRDefault="004D5CDC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2D72866C" w14:textId="77777777" w:rsidR="004D5CDC" w:rsidRPr="002D0F02" w:rsidRDefault="004D5CDC" w:rsidP="002D0F02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1D9B9908" w14:textId="77777777" w:rsidR="004D5CDC" w:rsidRPr="002D0F02" w:rsidRDefault="004D5CDC" w:rsidP="002D0F02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423122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vízmentes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</w:t>
      </w:r>
      <w:r w:rsidR="00642328">
        <w:rPr>
          <w:rFonts w:ascii="Times New Roman" w:hAnsi="Times New Roman"/>
          <w:sz w:val="22"/>
          <w:szCs w:val="22"/>
          <w:lang w:val="hu-HU"/>
        </w:rPr>
        <w:t>et</w:t>
      </w:r>
      <w:proofErr w:type="spellEnd"/>
      <w:r w:rsidR="00642328">
        <w:rPr>
          <w:rFonts w:ascii="Times New Roman" w:hAnsi="Times New Roman"/>
          <w:sz w:val="22"/>
          <w:szCs w:val="22"/>
          <w:lang w:val="hu-HU"/>
        </w:rPr>
        <w:t xml:space="preserve"> tartalmaz </w:t>
      </w:r>
      <w:r w:rsidRPr="002D0F02">
        <w:rPr>
          <w:rFonts w:ascii="Times New Roman" w:hAnsi="Times New Roman"/>
          <w:sz w:val="22"/>
          <w:szCs w:val="22"/>
          <w:lang w:val="hu-HU"/>
        </w:rPr>
        <w:t>(</w:t>
      </w:r>
      <w:r w:rsidR="00B57F33" w:rsidRPr="002D0F02">
        <w:rPr>
          <w:rFonts w:ascii="Times New Roman" w:hAnsi="Times New Roman"/>
          <w:sz w:val="22"/>
          <w:szCs w:val="22"/>
          <w:lang w:val="hu-HU"/>
        </w:rPr>
        <w:t xml:space="preserve">1140 mg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meropenem-trihidrát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formájában) injekciós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üvegenként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/infúziós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 w:rsidR="003D231B" w:rsidRPr="002D0F02">
        <w:rPr>
          <w:rFonts w:ascii="Times New Roman" w:hAnsi="Times New Roman"/>
          <w:sz w:val="22"/>
          <w:szCs w:val="22"/>
          <w:lang w:val="hu-HU"/>
        </w:rPr>
        <w:t>üvege</w:t>
      </w:r>
      <w:r w:rsidR="00587FF8" w:rsidRPr="002D0F02">
        <w:rPr>
          <w:rFonts w:ascii="Times New Roman" w:hAnsi="Times New Roman"/>
          <w:sz w:val="22"/>
          <w:szCs w:val="22"/>
          <w:lang w:val="hu-HU"/>
        </w:rPr>
        <w:t>nként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754A796E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52173A3" w14:textId="77777777" w:rsidR="00BF5BE5" w:rsidRPr="00626924" w:rsidRDefault="000170E8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626924">
        <w:rPr>
          <w:rFonts w:ascii="Times New Roman" w:hAnsi="Times New Roman"/>
          <w:sz w:val="22"/>
          <w:szCs w:val="22"/>
          <w:u w:val="single"/>
          <w:lang w:val="hu-HU"/>
        </w:rPr>
        <w:t>Ismert hatású s</w:t>
      </w:r>
      <w:r w:rsidR="00BF5BE5" w:rsidRPr="00626924">
        <w:rPr>
          <w:rFonts w:ascii="Times New Roman" w:hAnsi="Times New Roman"/>
          <w:sz w:val="22"/>
          <w:szCs w:val="22"/>
          <w:u w:val="single"/>
          <w:lang w:val="hu-HU"/>
        </w:rPr>
        <w:t>egédanyagok:</w:t>
      </w:r>
    </w:p>
    <w:p w14:paraId="2F5E05AA" w14:textId="77777777" w:rsidR="00335C89" w:rsidRDefault="00335C89" w:rsidP="002D0F02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450C0F3E" w14:textId="77777777" w:rsidR="00BF5BE5" w:rsidRDefault="00381775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1,96 mmol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(</w:t>
      </w:r>
      <w:r w:rsidR="004242E5">
        <w:rPr>
          <w:rFonts w:ascii="Times New Roman" w:hAnsi="Times New Roman"/>
          <w:sz w:val="22"/>
          <w:szCs w:val="22"/>
          <w:lang w:val="hu-HU"/>
        </w:rPr>
        <w:t>45,13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="004242E5">
        <w:rPr>
          <w:rFonts w:ascii="Times New Roman" w:hAnsi="Times New Roman"/>
          <w:sz w:val="22"/>
          <w:szCs w:val="22"/>
          <w:lang w:val="hu-HU"/>
        </w:rPr>
        <w:t>mg</w:t>
      </w:r>
      <w:r>
        <w:rPr>
          <w:rFonts w:ascii="Times New Roman" w:hAnsi="Times New Roman"/>
          <w:sz w:val="22"/>
          <w:szCs w:val="22"/>
          <w:lang w:val="hu-HU"/>
        </w:rPr>
        <w:t>)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nátriumot tartalmaz injekciós</w:t>
      </w:r>
      <w:r>
        <w:rPr>
          <w:rFonts w:ascii="Times New Roman" w:hAnsi="Times New Roman"/>
          <w:sz w:val="22"/>
          <w:szCs w:val="22"/>
          <w:lang w:val="hu-HU"/>
        </w:rPr>
        <w:t xml:space="preserve"> üvegenként/infúziós </w:t>
      </w:r>
      <w:r w:rsidR="004242E5">
        <w:rPr>
          <w:rFonts w:ascii="Times New Roman" w:hAnsi="Times New Roman"/>
          <w:sz w:val="22"/>
          <w:szCs w:val="22"/>
          <w:lang w:val="hu-HU"/>
        </w:rPr>
        <w:t>üvegenként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7AB1981C" w14:textId="77777777" w:rsidR="004242E5" w:rsidRDefault="004242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A255B2B" w14:textId="77777777" w:rsidR="00335C89" w:rsidRPr="002D0F02" w:rsidRDefault="00335C89" w:rsidP="00335C89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562730CD" w14:textId="64CD76AA" w:rsidR="004242E5" w:rsidRPr="002D0F02" w:rsidRDefault="00381775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3,92 mmol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(</w:t>
      </w:r>
      <w:r w:rsidR="004242E5">
        <w:rPr>
          <w:rFonts w:ascii="Times New Roman" w:hAnsi="Times New Roman"/>
          <w:sz w:val="22"/>
          <w:szCs w:val="22"/>
          <w:lang w:val="hu-HU"/>
        </w:rPr>
        <w:t>90,25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="004242E5">
        <w:rPr>
          <w:rFonts w:ascii="Times New Roman" w:hAnsi="Times New Roman"/>
          <w:sz w:val="22"/>
          <w:szCs w:val="22"/>
          <w:lang w:val="hu-HU"/>
        </w:rPr>
        <w:t>mg</w:t>
      </w:r>
      <w:r>
        <w:rPr>
          <w:rFonts w:ascii="Times New Roman" w:hAnsi="Times New Roman"/>
          <w:sz w:val="22"/>
          <w:szCs w:val="22"/>
          <w:lang w:val="hu-HU"/>
        </w:rPr>
        <w:t>)</w:t>
      </w:r>
      <w:r w:rsidR="004242E5">
        <w:rPr>
          <w:rFonts w:ascii="Times New Roman" w:hAnsi="Times New Roman"/>
          <w:sz w:val="22"/>
          <w:szCs w:val="22"/>
          <w:lang w:val="hu-HU"/>
        </w:rPr>
        <w:t xml:space="preserve"> nátriumot tartalmaz injekciós</w:t>
      </w:r>
      <w:r w:rsidRPr="00381775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 xml:space="preserve">üvegenként/infúziós </w:t>
      </w:r>
      <w:r w:rsidR="004242E5">
        <w:rPr>
          <w:rFonts w:ascii="Times New Roman" w:hAnsi="Times New Roman"/>
          <w:sz w:val="22"/>
          <w:szCs w:val="22"/>
          <w:lang w:val="hu-HU"/>
        </w:rPr>
        <w:t>üvegenként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3887FA72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9FB65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A segédanyagok teljes listáját lásd a 6.1 pontban.</w:t>
      </w:r>
    </w:p>
    <w:p w14:paraId="3121FF2B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046E1E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A540C44" w14:textId="77777777" w:rsidR="00D97F23" w:rsidRPr="002D0F02" w:rsidRDefault="00D97F23" w:rsidP="00473100">
      <w:pPr>
        <w:outlineLvl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3.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456767E4" w14:textId="77777777" w:rsidR="00D97F23" w:rsidRPr="002D0F02" w:rsidRDefault="00D97F23" w:rsidP="00E275B4">
      <w:pPr>
        <w:rPr>
          <w:rFonts w:ascii="Times New Roman" w:hAnsi="Times New Roman"/>
          <w:sz w:val="22"/>
          <w:szCs w:val="22"/>
          <w:lang w:val="hu-HU"/>
        </w:rPr>
      </w:pPr>
    </w:p>
    <w:p w14:paraId="2B09803A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Por oldatos injekcióhoz</w:t>
      </w:r>
      <w:r w:rsidR="00BF5BE5" w:rsidRPr="002D0F02">
        <w:rPr>
          <w:rFonts w:ascii="Times New Roman" w:hAnsi="Times New Roman"/>
          <w:sz w:val="22"/>
          <w:szCs w:val="22"/>
          <w:lang w:val="hu-HU"/>
        </w:rPr>
        <w:t xml:space="preserve"> vagy infúzióhoz</w:t>
      </w:r>
      <w:r w:rsidR="00423122"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26890837" w14:textId="77777777" w:rsidR="00423122" w:rsidRPr="002D0F02" w:rsidRDefault="00423122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20CE2F8" w14:textId="394E4381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Fehér vagy </w:t>
      </w:r>
      <w:r w:rsidR="00A4713B">
        <w:rPr>
          <w:rFonts w:ascii="Times New Roman" w:hAnsi="Times New Roman"/>
          <w:sz w:val="22"/>
          <w:szCs w:val="22"/>
          <w:lang w:val="hu-HU"/>
        </w:rPr>
        <w:t>világos</w:t>
      </w:r>
      <w:r w:rsidRPr="002D0F02">
        <w:rPr>
          <w:rFonts w:ascii="Times New Roman" w:hAnsi="Times New Roman"/>
          <w:sz w:val="22"/>
          <w:szCs w:val="22"/>
          <w:lang w:val="hu-HU"/>
        </w:rPr>
        <w:t>sárga por.</w:t>
      </w:r>
    </w:p>
    <w:p w14:paraId="736C3EC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AB032E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49E8C94" w14:textId="77777777" w:rsidR="00D97F23" w:rsidRPr="002D0F02" w:rsidRDefault="00D97F23" w:rsidP="00473100">
      <w:pPr>
        <w:outlineLvl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KLINIKAI JELLEMZŐK</w:t>
      </w:r>
    </w:p>
    <w:p w14:paraId="01840BD8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1C71D88" w14:textId="77777777" w:rsidR="00D97F23" w:rsidRPr="002D0F02" w:rsidRDefault="00D97F2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4.1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0EC4CFDD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F670DFA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</w:t>
      </w:r>
      <w:r w:rsidR="004D5CDC" w:rsidRPr="002D0F02">
        <w:rPr>
          <w:rFonts w:ascii="Times New Roman" w:hAnsi="Times New Roman"/>
          <w:sz w:val="22"/>
          <w:szCs w:val="22"/>
          <w:lang w:val="hu-HU" w:eastAsia="hu-HU"/>
        </w:rPr>
        <w:t>pe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nem </w:t>
      </w:r>
      <w:r w:rsidR="004D5CDC" w:rsidRPr="002D0F02">
        <w:rPr>
          <w:rFonts w:ascii="Times New Roman" w:hAnsi="Times New Roman"/>
          <w:sz w:val="22"/>
          <w:szCs w:val="22"/>
          <w:lang w:val="hu-HU" w:eastAsia="hu-HU"/>
        </w:rPr>
        <w:t xml:space="preserve">Kabi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a következő fertőzések kezelésére javallt felnőtteknél</w:t>
      </w:r>
      <w:r w:rsidR="00C956A2">
        <w:rPr>
          <w:rFonts w:ascii="Times New Roman" w:hAnsi="Times New Roman"/>
          <w:sz w:val="22"/>
          <w:szCs w:val="22"/>
          <w:lang w:val="hu-HU" w:eastAsia="hu-HU"/>
        </w:rPr>
        <w:t>, serdülőknél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3 hónaposnál idősebb gyermekeknél (lásd 4.4 és 5.1 pont):</w:t>
      </w:r>
    </w:p>
    <w:p w14:paraId="1F900E9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8D2187" w14:textId="77777777" w:rsidR="00BF5BE5" w:rsidRPr="002D0F02" w:rsidRDefault="00A53507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Súlyos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>neumonia</w:t>
      </w:r>
      <w:proofErr w:type="spellEnd"/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, beleértve a </w:t>
      </w:r>
      <w:proofErr w:type="spellStart"/>
      <w:r w:rsidR="004136F9">
        <w:rPr>
          <w:rFonts w:ascii="Times New Roman" w:hAnsi="Times New Roman"/>
          <w:sz w:val="22"/>
          <w:szCs w:val="22"/>
          <w:lang w:val="hu-HU" w:eastAsia="hu-HU"/>
        </w:rPr>
        <w:t>nosocomialis</w:t>
      </w:r>
      <w:proofErr w:type="spellEnd"/>
      <w:r w:rsidR="004136F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és a lélegeztetőgép</w:t>
      </w:r>
      <w:r w:rsidR="002B220C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okozta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>pneumoniát</w:t>
      </w:r>
      <w:proofErr w:type="spellEnd"/>
    </w:p>
    <w:p w14:paraId="654C3459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Bronchopulmonalis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infekciók cisztás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fibrózisban</w:t>
      </w:r>
      <w:proofErr w:type="spellEnd"/>
    </w:p>
    <w:p w14:paraId="3781215C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Szövődményes húgyúti fertőzések</w:t>
      </w:r>
    </w:p>
    <w:p w14:paraId="6FE996E4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E814E3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6F4EAC2D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Szülés alatt és után szerzett fertőzések</w:t>
      </w:r>
    </w:p>
    <w:p w14:paraId="38302439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bőr és a lágyrészek szövődményes fertőzései</w:t>
      </w:r>
    </w:p>
    <w:p w14:paraId="29EA6B83" w14:textId="77777777" w:rsidR="00BF5BE5" w:rsidRPr="002D0F02" w:rsidRDefault="00BF5BE5" w:rsidP="002822E8">
      <w:pPr>
        <w:numPr>
          <w:ilvl w:val="0"/>
          <w:numId w:val="19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Akut bakteriális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meningitis</w:t>
      </w:r>
      <w:proofErr w:type="spellEnd"/>
    </w:p>
    <w:p w14:paraId="212B3B09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28495D3" w14:textId="77777777" w:rsidR="00BF5BE5" w:rsidRPr="002D0F02" w:rsidDel="004136F9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D0B02" w:rsidRPr="002D0F02" w:rsidDel="004136F9">
        <w:rPr>
          <w:rFonts w:ascii="Times New Roman" w:hAnsi="Times New Roman"/>
          <w:sz w:val="22"/>
          <w:szCs w:val="22"/>
          <w:lang w:val="hu-HU" w:eastAsia="hu-HU"/>
        </w:rPr>
        <w:t>Kabi</w:t>
      </w:r>
      <w:proofErr w:type="spellEnd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alkalmazható </w:t>
      </w:r>
      <w:proofErr w:type="spellStart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>neutropeniás</w:t>
      </w:r>
      <w:proofErr w:type="spellEnd"/>
      <w:r w:rsidRPr="002D0F02" w:rsidDel="004136F9">
        <w:rPr>
          <w:rFonts w:ascii="Times New Roman" w:hAnsi="Times New Roman"/>
          <w:sz w:val="22"/>
          <w:szCs w:val="22"/>
          <w:lang w:val="hu-HU" w:eastAsia="hu-HU"/>
        </w:rPr>
        <w:t xml:space="preserve"> betegek lázas állapotainak kezelésére, amelyet feltehetően bakteriális fertőzés okoz.</w:t>
      </w:r>
    </w:p>
    <w:p w14:paraId="0374730F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56EAACB" w14:textId="77777777" w:rsidR="004136F9" w:rsidRPr="002D0F02" w:rsidRDefault="00A53507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fent felsorolt fertőzések valamelyikéhez, vagy feltételezhetően azokhoz társulva fellépő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bacteriaemiában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kezelésére.</w:t>
      </w:r>
    </w:p>
    <w:p w14:paraId="219AE4E5" w14:textId="77777777" w:rsidR="00A53507" w:rsidRPr="002D0F02" w:rsidRDefault="00A53507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E4BF30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antibakteriális szerek megfelelő alkalmazására vonatkozó hivatalos ajánlásokat figyelembe kell venni.</w:t>
      </w:r>
    </w:p>
    <w:p w14:paraId="52B7BC4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DBE83A6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4.2</w:t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Adagolás és alkalmazás</w:t>
      </w:r>
    </w:p>
    <w:p w14:paraId="40CD5650" w14:textId="77777777" w:rsidR="00D97F23" w:rsidRPr="002D0F02" w:rsidRDefault="00D97F23" w:rsidP="002822E8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0752131" w14:textId="77777777" w:rsidR="00DC147B" w:rsidRPr="002D0F02" w:rsidRDefault="00DC147B" w:rsidP="002822E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48871E61" w14:textId="77777777" w:rsidR="00DC147B" w:rsidRPr="002D0F02" w:rsidRDefault="00DC147B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2A55751" w14:textId="77777777" w:rsidR="00BF5BE5" w:rsidRPr="002D0F02" w:rsidRDefault="007B2F1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Az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 xml:space="preserve"> alábbi,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1. és 2. táblázatok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általános javaslatokat tartalmaz</w:t>
      </w:r>
      <w:r>
        <w:rPr>
          <w:rFonts w:ascii="Times New Roman" w:hAnsi="Times New Roman"/>
          <w:sz w:val="22"/>
          <w:szCs w:val="22"/>
          <w:lang w:val="hu-HU" w:eastAsia="hu-HU"/>
        </w:rPr>
        <w:t>nak</w:t>
      </w:r>
      <w:r w:rsidR="00BF5BE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adagolásra vonatkozóan.</w:t>
      </w:r>
    </w:p>
    <w:p w14:paraId="1C137D5E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alkalmazott meropenem adagjának és a kezelés időtartamának megállapításakor figyelembe kell venni a kezelendő fertőzés típusát, beleértve annak súlyosságát, valamint a klinikai válaszreakciót.</w:t>
      </w:r>
    </w:p>
    <w:p w14:paraId="32BD48CE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29EE686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Felnőtteknek és serdülőkn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 naponta háromszor legfeljebb 2</w:t>
      </w:r>
      <w:r w:rsidR="007F598C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g-os dózis, gyermekeknek naponta háromszor legfeljebb 40</w:t>
      </w:r>
      <w:r w:rsidR="007F598C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mg/ttkg adag különösen megfelelő lehet bizonyos fertőzések, p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>éldául a kevésbé érzékeny baktériumfajok (p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l. </w:t>
      </w:r>
      <w:proofErr w:type="spellStart"/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>Enterobacteriaceae</w:t>
      </w:r>
      <w:proofErr w:type="spellEnd"/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vagy </w:t>
      </w:r>
      <w:proofErr w:type="spellStart"/>
      <w:r w:rsidRPr="002822E8">
        <w:rPr>
          <w:rFonts w:ascii="Times New Roman" w:hAnsi="Times New Roman"/>
          <w:iCs/>
          <w:sz w:val="22"/>
          <w:szCs w:val="22"/>
          <w:lang w:val="hu-HU" w:eastAsia="hu-HU"/>
        </w:rPr>
        <w:t>Acinetobacter</w:t>
      </w:r>
      <w:proofErr w:type="spellEnd"/>
      <w:r w:rsidRPr="002822E8">
        <w:rPr>
          <w:rFonts w:ascii="Times New Roman" w:hAnsi="Times New Roman"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>)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 okozott </w:t>
      </w:r>
      <w:r w:rsidR="00A53507" w:rsidRPr="002D0F02">
        <w:rPr>
          <w:rFonts w:ascii="Times New Roman" w:hAnsi="Times New Roman"/>
          <w:sz w:val="22"/>
          <w:szCs w:val="22"/>
          <w:lang w:val="hu-HU" w:eastAsia="hu-HU"/>
        </w:rPr>
        <w:t xml:space="preserve">vagy nagyon súlyos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infekciók kezelésére.</w:t>
      </w:r>
    </w:p>
    <w:p w14:paraId="44FE546F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BF9F12D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adagolás tekintetében további megfontolások szükségesek veseelégtelenségben szenvedő betegek kezelésekor (lásd a továbbiakban lent).</w:t>
      </w:r>
    </w:p>
    <w:p w14:paraId="6EA636CB" w14:textId="77777777" w:rsidR="00BF5BE5" w:rsidRPr="002D0F02" w:rsidRDefault="00BF5BE5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990F5DD" w14:textId="77777777" w:rsidR="00BF5BE5" w:rsidRPr="00626924" w:rsidRDefault="004778B7" w:rsidP="0062692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1.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 xml:space="preserve">táblázat: </w:t>
      </w:r>
      <w:r w:rsidR="00BF5BE5" w:rsidRPr="00626924">
        <w:rPr>
          <w:rFonts w:ascii="Times New Roman" w:hAnsi="Times New Roman"/>
          <w:sz w:val="22"/>
          <w:szCs w:val="22"/>
          <w:u w:val="single"/>
          <w:lang w:val="hu-HU"/>
        </w:rPr>
        <w:t>Felnőttek és serdülő</w:t>
      </w:r>
      <w:r w:rsidR="007F598C" w:rsidRPr="00626924">
        <w:rPr>
          <w:rFonts w:ascii="Times New Roman" w:hAnsi="Times New Roman"/>
          <w:sz w:val="22"/>
          <w:szCs w:val="22"/>
          <w:u w:val="single"/>
          <w:lang w:val="hu-HU"/>
        </w:rPr>
        <w:t>k</w:t>
      </w:r>
    </w:p>
    <w:p w14:paraId="493523AF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BF5BE5" w:rsidRPr="002D0F02" w14:paraId="279F61DC" w14:textId="77777777">
        <w:tc>
          <w:tcPr>
            <w:tcW w:w="5529" w:type="dxa"/>
            <w:tcBorders>
              <w:bottom w:val="single" w:sz="12" w:space="0" w:color="000000"/>
            </w:tcBorders>
          </w:tcPr>
          <w:p w14:paraId="16A6C8EB" w14:textId="77777777" w:rsidR="00BF5BE5" w:rsidRPr="002D0F02" w:rsidRDefault="00BF5BE5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  <w:p w14:paraId="177698C5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3BCF764A" w14:textId="77777777" w:rsidR="00BF5BE5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 óránként alkalmazandó dózis</w:t>
            </w:r>
          </w:p>
          <w:p w14:paraId="20F9BB9E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</w:tr>
      <w:tr w:rsidR="00172333" w:rsidRPr="002D0F02" w14:paraId="7FDBFBA3" w14:textId="77777777">
        <w:tc>
          <w:tcPr>
            <w:tcW w:w="5529" w:type="dxa"/>
            <w:tcBorders>
              <w:top w:val="nil"/>
            </w:tcBorders>
          </w:tcPr>
          <w:p w14:paraId="2879F703" w14:textId="77777777" w:rsidR="00172333" w:rsidRPr="002D0F02" w:rsidRDefault="00A53507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2B220C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tcBorders>
              <w:top w:val="nil"/>
            </w:tcBorders>
          </w:tcPr>
          <w:p w14:paraId="6A05E981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5E1EDA0F" w14:textId="77777777">
        <w:tc>
          <w:tcPr>
            <w:tcW w:w="5529" w:type="dxa"/>
          </w:tcPr>
          <w:p w14:paraId="35518D22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14A02101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2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  <w:tr w:rsidR="00172333" w:rsidRPr="002D0F02" w14:paraId="79A5DE84" w14:textId="77777777">
        <w:tc>
          <w:tcPr>
            <w:tcW w:w="5529" w:type="dxa"/>
          </w:tcPr>
          <w:p w14:paraId="60A06237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Szövődményes húgyúti fertőzések</w:t>
            </w:r>
          </w:p>
        </w:tc>
        <w:tc>
          <w:tcPr>
            <w:tcW w:w="3827" w:type="dxa"/>
          </w:tcPr>
          <w:p w14:paraId="03E4BFFC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0999B9B4" w14:textId="77777777">
        <w:tc>
          <w:tcPr>
            <w:tcW w:w="5529" w:type="dxa"/>
          </w:tcPr>
          <w:p w14:paraId="6B566217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6BFDFB2C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32F9A4EE" w14:textId="77777777">
        <w:tc>
          <w:tcPr>
            <w:tcW w:w="5529" w:type="dxa"/>
          </w:tcPr>
          <w:p w14:paraId="6975E57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Szülés alatt és után szerzett fertőzések</w:t>
            </w:r>
          </w:p>
        </w:tc>
        <w:tc>
          <w:tcPr>
            <w:tcW w:w="3827" w:type="dxa"/>
          </w:tcPr>
          <w:p w14:paraId="6AF0CD1C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75B40CED" w14:textId="77777777">
        <w:tc>
          <w:tcPr>
            <w:tcW w:w="5529" w:type="dxa"/>
          </w:tcPr>
          <w:p w14:paraId="2E391EBF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605D4885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 w:eastAsia="hu-HU"/>
                </w:rPr>
                <w:t>g</w:t>
              </w:r>
            </w:smartTag>
          </w:p>
        </w:tc>
      </w:tr>
      <w:tr w:rsidR="00172333" w:rsidRPr="002D0F02" w14:paraId="79C639FB" w14:textId="77777777">
        <w:tc>
          <w:tcPr>
            <w:tcW w:w="5529" w:type="dxa"/>
          </w:tcPr>
          <w:p w14:paraId="1760CE8B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77E07A71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2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  <w:tr w:rsidR="00172333" w:rsidRPr="002D0F02" w14:paraId="0B3F99DB" w14:textId="77777777">
        <w:tc>
          <w:tcPr>
            <w:tcW w:w="5529" w:type="dxa"/>
          </w:tcPr>
          <w:p w14:paraId="44AB58FB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Neutropeniás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lázas állapotának kezelésére</w:t>
            </w:r>
          </w:p>
        </w:tc>
        <w:tc>
          <w:tcPr>
            <w:tcW w:w="3827" w:type="dxa"/>
          </w:tcPr>
          <w:p w14:paraId="7C816654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1</w:t>
              </w:r>
              <w:r w:rsidR="007F598C"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 </w:t>
              </w:r>
              <w:r w:rsidRPr="002D0F02">
                <w:rPr>
                  <w:rFonts w:ascii="Times New Roman" w:hAnsi="Times New Roman"/>
                  <w:sz w:val="22"/>
                  <w:szCs w:val="22"/>
                  <w:lang w:val="hu-HU"/>
                </w:rPr>
                <w:t>g</w:t>
              </w:r>
            </w:smartTag>
          </w:p>
        </w:tc>
      </w:tr>
    </w:tbl>
    <w:p w14:paraId="21FE2B6B" w14:textId="77777777" w:rsidR="00BF5BE5" w:rsidRPr="002D0F02" w:rsidRDefault="00BF5BE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ED47EF0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általában kb. 15-30 perces intravénás infúzióban kerül beadásra (lásd 6.2, 6.3 és 6.6 pont).</w:t>
      </w:r>
    </w:p>
    <w:p w14:paraId="29169993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30E74D1" w14:textId="77777777" w:rsidR="00D97F2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Lehetséges továbbá az 1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 perc alatt. Korlátozott számú biztonságossági adat áll rendelkezésre, amely alátámasztja a 2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g-os adag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felnőtteknél.</w:t>
      </w:r>
    </w:p>
    <w:p w14:paraId="3CA45CA7" w14:textId="77777777" w:rsidR="0017233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8834DA2" w14:textId="77777777" w:rsidR="00E42AE5" w:rsidRDefault="00E541CF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Vesekárosodás</w:t>
      </w:r>
    </w:p>
    <w:p w14:paraId="304606F6" w14:textId="77777777" w:rsidR="00172333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Felnőttek és serdülők adagját az alábbiak szerint módosítani kell, ha a kreatinin-clearance kisebb</w:t>
      </w:r>
      <w:r w:rsidR="00E541CF" w:rsidRPr="002D0F02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mint 51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ml/perc. Korlátozott számú adat áll rendelkezésre a 2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g-os dózis-egységre vonatkozó adagmódosítás alkalmazásának alátámasztására.</w:t>
      </w:r>
    </w:p>
    <w:p w14:paraId="0985CD4F" w14:textId="77777777" w:rsidR="007B2F16" w:rsidRPr="002D0F02" w:rsidRDefault="007B2F1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D21FD2E" w14:textId="77777777" w:rsidR="007B2F16" w:rsidRDefault="004778B7" w:rsidP="0062692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2.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>táblázat</w:t>
      </w:r>
    </w:p>
    <w:p w14:paraId="4BFAB15D" w14:textId="77777777" w:rsidR="00335C89" w:rsidRPr="00626924" w:rsidRDefault="00335C89" w:rsidP="0062692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50"/>
        <w:gridCol w:w="3846"/>
        <w:gridCol w:w="2476"/>
      </w:tblGrid>
      <w:tr w:rsidR="00D97F23" w:rsidRPr="002D0F02" w14:paraId="37251AF2" w14:textId="77777777">
        <w:tc>
          <w:tcPr>
            <w:tcW w:w="2835" w:type="dxa"/>
            <w:tcBorders>
              <w:bottom w:val="single" w:sz="12" w:space="0" w:color="000000"/>
            </w:tcBorders>
          </w:tcPr>
          <w:p w14:paraId="6B732D1A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K</w:t>
            </w:r>
            <w:r w:rsidR="00D97F23"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reatinin-clearance</w:t>
            </w:r>
          </w:p>
          <w:p w14:paraId="3C962300" w14:textId="77777777" w:rsidR="00D97F23" w:rsidRPr="002D0F02" w:rsidRDefault="00D97F2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(ml/perc)</w:t>
            </w:r>
          </w:p>
        </w:tc>
        <w:tc>
          <w:tcPr>
            <w:tcW w:w="3969" w:type="dxa"/>
            <w:tcBorders>
              <w:bottom w:val="single" w:sz="12" w:space="0" w:color="000000"/>
            </w:tcBorders>
          </w:tcPr>
          <w:p w14:paraId="66C987D8" w14:textId="77777777" w:rsidR="00172333" w:rsidRPr="002D0F02" w:rsidRDefault="00172333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Adag (500</w:t>
            </w:r>
            <w:r w:rsidR="00406A7A"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mg,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1</w:t>
              </w:r>
              <w:r w:rsidR="00406A7A"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g</w:t>
              </w:r>
            </w:smartTag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és </w:t>
            </w:r>
            <w:smartTag w:uri="urn:schemas-microsoft-com:office:smarttags" w:element="metricconverter">
              <w:smartTagPr>
                <w:attr w:name="ProductID" w:val="2ﾠg"/>
              </w:smartTagP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2</w:t>
              </w:r>
              <w:r w:rsidR="00406A7A"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 </w:t>
              </w:r>
              <w:r w:rsidRPr="002D0F02">
                <w:rPr>
                  <w:rFonts w:ascii="Times New Roman" w:hAnsi="Times New Roman"/>
                  <w:b/>
                  <w:sz w:val="22"/>
                  <w:szCs w:val="22"/>
                  <w:lang w:val="hu-HU" w:eastAsia="hu-HU"/>
                </w:rPr>
                <w:t>g</w:t>
              </w:r>
            </w:smartTag>
          </w:p>
          <w:p w14:paraId="5C6D694C" w14:textId="77777777" w:rsidR="00172333" w:rsidRPr="002D0F02" w:rsidRDefault="00172333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dózis-„egységeket” véve alapul, lásd a</w:t>
            </w:r>
          </w:p>
          <w:p w14:paraId="6C6D5DCD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fenti</w:t>
            </w:r>
            <w:r w:rsidR="00335C89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, 1.</w:t>
            </w: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táblázatot)</w:t>
            </w:r>
          </w:p>
        </w:tc>
        <w:tc>
          <w:tcPr>
            <w:tcW w:w="2552" w:type="dxa"/>
            <w:tcBorders>
              <w:bottom w:val="single" w:sz="12" w:space="0" w:color="000000"/>
            </w:tcBorders>
          </w:tcPr>
          <w:p w14:paraId="3AB46F78" w14:textId="77777777" w:rsidR="00D97F2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</w:t>
            </w:r>
            <w:r w:rsidR="00D97F23"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yakoriság</w:t>
            </w:r>
          </w:p>
        </w:tc>
      </w:tr>
      <w:tr w:rsidR="00D97F23" w:rsidRPr="002D0F02" w14:paraId="1D378BE7" w14:textId="77777777">
        <w:tc>
          <w:tcPr>
            <w:tcW w:w="2835" w:type="dxa"/>
            <w:tcBorders>
              <w:top w:val="nil"/>
            </w:tcBorders>
          </w:tcPr>
          <w:p w14:paraId="25879347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26-50</w:t>
            </w:r>
          </w:p>
        </w:tc>
        <w:tc>
          <w:tcPr>
            <w:tcW w:w="3969" w:type="dxa"/>
            <w:tcBorders>
              <w:top w:val="nil"/>
            </w:tcBorders>
          </w:tcPr>
          <w:p w14:paraId="5D29CAB5" w14:textId="77777777" w:rsidR="00D97F2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egy dózis-egység</w:t>
            </w:r>
          </w:p>
        </w:tc>
        <w:tc>
          <w:tcPr>
            <w:tcW w:w="2552" w:type="dxa"/>
            <w:tcBorders>
              <w:top w:val="nil"/>
            </w:tcBorders>
          </w:tcPr>
          <w:p w14:paraId="27525946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12 óránként</w:t>
            </w:r>
          </w:p>
        </w:tc>
      </w:tr>
      <w:tr w:rsidR="00D97F23" w:rsidRPr="002D0F02" w14:paraId="54CF267E" w14:textId="77777777">
        <w:tc>
          <w:tcPr>
            <w:tcW w:w="2835" w:type="dxa"/>
          </w:tcPr>
          <w:p w14:paraId="76FEDC9B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10-25</w:t>
            </w:r>
          </w:p>
        </w:tc>
        <w:tc>
          <w:tcPr>
            <w:tcW w:w="3969" w:type="dxa"/>
          </w:tcPr>
          <w:p w14:paraId="2A620F49" w14:textId="77777777" w:rsidR="00D97F23" w:rsidRPr="002D0F02" w:rsidRDefault="0011679D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dózis-egység</w:t>
            </w:r>
          </w:p>
        </w:tc>
        <w:tc>
          <w:tcPr>
            <w:tcW w:w="2552" w:type="dxa"/>
          </w:tcPr>
          <w:p w14:paraId="0EF1296E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12 óránként</w:t>
            </w:r>
          </w:p>
        </w:tc>
      </w:tr>
      <w:tr w:rsidR="00D97F23" w:rsidRPr="002D0F02" w14:paraId="3207CE10" w14:textId="77777777">
        <w:tc>
          <w:tcPr>
            <w:tcW w:w="2835" w:type="dxa"/>
          </w:tcPr>
          <w:p w14:paraId="2A049F32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&lt;10</w:t>
            </w:r>
          </w:p>
        </w:tc>
        <w:tc>
          <w:tcPr>
            <w:tcW w:w="3969" w:type="dxa"/>
          </w:tcPr>
          <w:p w14:paraId="0E5BF877" w14:textId="77777777" w:rsidR="00D97F2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 dózis-egység</w:t>
            </w:r>
          </w:p>
        </w:tc>
        <w:tc>
          <w:tcPr>
            <w:tcW w:w="2552" w:type="dxa"/>
          </w:tcPr>
          <w:p w14:paraId="7957A2A7" w14:textId="77777777" w:rsidR="00D97F23" w:rsidRPr="002D0F02" w:rsidRDefault="00D97F2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24 óránként</w:t>
            </w:r>
          </w:p>
        </w:tc>
      </w:tr>
    </w:tbl>
    <w:p w14:paraId="70791D24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15FEC68" w14:textId="77777777" w:rsidR="0011679D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hemofiltráció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eltávolítja. A szükséges adagot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befejezését követően kell alkalmazni.</w:t>
      </w:r>
    </w:p>
    <w:p w14:paraId="07FD3537" w14:textId="77777777" w:rsidR="0011679D" w:rsidRPr="002D0F02" w:rsidRDefault="0011679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EF33F5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Nincsenek megállapított adagolási javaslatok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peritonealis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dialízis kezelésben részesülő betegek esetére.</w:t>
      </w:r>
    </w:p>
    <w:p w14:paraId="4EA90197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44AED18D" w14:textId="77777777" w:rsidR="00E42AE5" w:rsidRDefault="00E541CF" w:rsidP="002822E8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Májkárosodás</w:t>
      </w:r>
    </w:p>
    <w:p w14:paraId="01A9E3F2" w14:textId="77777777" w:rsidR="00172333" w:rsidRPr="002D0F02" w:rsidRDefault="00172333" w:rsidP="002822E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Májkárosodásban szenvedő betegek esetén adagmódosítás nem szükséges (lásd 4.4 pont).</w:t>
      </w:r>
    </w:p>
    <w:p w14:paraId="6D9A6698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575ED173" w14:textId="77777777" w:rsidR="00172333" w:rsidRPr="002D0F02" w:rsidRDefault="00DC147B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I</w:t>
      </w:r>
      <w:r w:rsidR="00172333"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dősek</w:t>
      </w:r>
    </w:p>
    <w:p w14:paraId="6B96144C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Időseknél normális vesefunkció, ill. 50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ml/perc feletti kreatinin-clearance </w:t>
      </w:r>
      <w:r w:rsidR="005A7F97" w:rsidRPr="002D0F02">
        <w:rPr>
          <w:rFonts w:ascii="Times New Roman" w:hAnsi="Times New Roman"/>
          <w:sz w:val="22"/>
          <w:szCs w:val="22"/>
          <w:lang w:val="hu-HU" w:eastAsia="hu-HU"/>
        </w:rPr>
        <w:t xml:space="preserve">értékek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esetén nem szükséges az adag módosítása.</w:t>
      </w:r>
    </w:p>
    <w:p w14:paraId="77959A8C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4156DF46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Gyermek</w:t>
      </w:r>
      <w:r w:rsidR="00847346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ek</w:t>
      </w:r>
      <w:r w:rsidR="002822E8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 xml:space="preserve"> és serdülők</w:t>
      </w:r>
    </w:p>
    <w:p w14:paraId="3CC0685B" w14:textId="77777777" w:rsidR="00370F6C" w:rsidRPr="002D0F02" w:rsidRDefault="00370F6C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3C70426D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3 hónapos kor alatti gyermekek</w:t>
      </w:r>
    </w:p>
    <w:p w14:paraId="39B1217F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meropenem hatásosságát és biztonságosságát 3 hónaposnál fiatalabb gyermekek esetén még nem állapították meg, és nem határozták meg az optimális adagolási sémát. A korlátozott számú farmakokinetikai adat alapján azonban a 8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201D4C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megfelelő adagolási séma lehet (lásd 5.2 pont).</w:t>
      </w:r>
    </w:p>
    <w:p w14:paraId="5B5ECD11" w14:textId="77777777" w:rsidR="0011679D" w:rsidRPr="002D0F02" w:rsidRDefault="0011679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EEDED66" w14:textId="77777777" w:rsidR="00172333" w:rsidRPr="002D0F02" w:rsidRDefault="00172333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Gyermekek 3 hónapos és 11 éves kor között és 50</w:t>
      </w:r>
      <w:r w:rsidR="00406A7A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kg-os testtömegig</w:t>
      </w:r>
    </w:p>
    <w:p w14:paraId="68B9554B" w14:textId="77777777" w:rsidR="00D97F2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ajánlott adagolási sémákat a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z alábbi, 3</w:t>
      </w:r>
      <w:r w:rsidR="004B39E1">
        <w:rPr>
          <w:rFonts w:ascii="Times New Roman" w:hAnsi="Times New Roman"/>
          <w:sz w:val="22"/>
          <w:szCs w:val="22"/>
          <w:lang w:val="hu-HU" w:eastAsia="hu-HU"/>
        </w:rPr>
        <w:t>.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táblázat foglalja össze:</w:t>
      </w:r>
    </w:p>
    <w:p w14:paraId="290A0606" w14:textId="77777777" w:rsidR="00172333" w:rsidRDefault="00172333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095DD9D" w14:textId="77777777" w:rsidR="007B2F16" w:rsidRPr="00626924" w:rsidRDefault="004778B7" w:rsidP="004778B7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4778B7">
        <w:rPr>
          <w:rFonts w:ascii="Times New Roman" w:hAnsi="Times New Roman"/>
          <w:sz w:val="22"/>
          <w:szCs w:val="22"/>
          <w:u w:val="single"/>
          <w:lang w:val="hu-HU"/>
        </w:rPr>
        <w:t>3.</w:t>
      </w:r>
      <w:r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7B2F16" w:rsidRPr="00626924">
        <w:rPr>
          <w:rFonts w:ascii="Times New Roman" w:hAnsi="Times New Roman"/>
          <w:sz w:val="22"/>
          <w:szCs w:val="22"/>
          <w:u w:val="single"/>
          <w:lang w:val="hu-HU"/>
        </w:rPr>
        <w:t>táblázat</w:t>
      </w: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172333" w:rsidRPr="002D0F02" w14:paraId="12E538CC" w14:textId="77777777">
        <w:tc>
          <w:tcPr>
            <w:tcW w:w="5529" w:type="dxa"/>
            <w:tcBorders>
              <w:bottom w:val="single" w:sz="12" w:space="0" w:color="000000"/>
            </w:tcBorders>
          </w:tcPr>
          <w:p w14:paraId="106383D0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54C489BF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8 óránként alkalmazandó dózis</w:t>
            </w:r>
          </w:p>
        </w:tc>
      </w:tr>
      <w:tr w:rsidR="00172333" w:rsidRPr="002D0F02" w14:paraId="5719410D" w14:textId="77777777">
        <w:tc>
          <w:tcPr>
            <w:tcW w:w="5529" w:type="dxa"/>
            <w:tcBorders>
              <w:top w:val="nil"/>
            </w:tcBorders>
          </w:tcPr>
          <w:p w14:paraId="7EC0A227" w14:textId="77777777" w:rsidR="00172333" w:rsidRPr="002D0F02" w:rsidRDefault="00C16354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4136F9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lélegeztetőgép-okozta</w:t>
            </w:r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tcBorders>
              <w:top w:val="nil"/>
            </w:tcBorders>
          </w:tcPr>
          <w:p w14:paraId="3F19AD47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1F064272" w14:textId="77777777">
        <w:tc>
          <w:tcPr>
            <w:tcW w:w="5529" w:type="dxa"/>
          </w:tcPr>
          <w:p w14:paraId="7EE17BC4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2B560B8F" w14:textId="77777777" w:rsidR="00172333" w:rsidRPr="002D0F02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  <w:tr w:rsidR="00172333" w:rsidRPr="002D0F02" w14:paraId="69CE41C8" w14:textId="77777777">
        <w:tc>
          <w:tcPr>
            <w:tcW w:w="5529" w:type="dxa"/>
          </w:tcPr>
          <w:p w14:paraId="4E2FCC8E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Szövődményes húgyúti fertőzések</w:t>
            </w:r>
          </w:p>
        </w:tc>
        <w:tc>
          <w:tcPr>
            <w:tcW w:w="3827" w:type="dxa"/>
          </w:tcPr>
          <w:p w14:paraId="1AC745D2" w14:textId="77777777" w:rsidR="00172333" w:rsidRPr="002D0F02" w:rsidRDefault="00172333" w:rsidP="002D0F02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29328904" w14:textId="77777777">
        <w:tc>
          <w:tcPr>
            <w:tcW w:w="5529" w:type="dxa"/>
          </w:tcPr>
          <w:p w14:paraId="28BE943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3248AD71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0A9881BD" w14:textId="77777777">
        <w:tc>
          <w:tcPr>
            <w:tcW w:w="5529" w:type="dxa"/>
          </w:tcPr>
          <w:p w14:paraId="12BF2470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49E5A930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r w:rsidR="0065634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</w:p>
        </w:tc>
      </w:tr>
      <w:tr w:rsidR="00172333" w:rsidRPr="002D0F02" w14:paraId="01D8E43C" w14:textId="77777777">
        <w:tc>
          <w:tcPr>
            <w:tcW w:w="5529" w:type="dxa"/>
          </w:tcPr>
          <w:p w14:paraId="17B5E756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38788025" w14:textId="77777777" w:rsidR="00172333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  <w:tr w:rsidR="00172333" w:rsidRPr="002D0F02" w14:paraId="7EB5AA2B" w14:textId="77777777">
        <w:tc>
          <w:tcPr>
            <w:tcW w:w="5529" w:type="dxa"/>
          </w:tcPr>
          <w:p w14:paraId="78B88EA3" w14:textId="77777777" w:rsidR="00172333" w:rsidRPr="002D0F02" w:rsidRDefault="00172333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Neutropeniás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lázas állapotának kezelésére</w:t>
            </w:r>
          </w:p>
        </w:tc>
        <w:tc>
          <w:tcPr>
            <w:tcW w:w="3827" w:type="dxa"/>
          </w:tcPr>
          <w:p w14:paraId="5B44EFF0" w14:textId="77777777" w:rsidR="00172333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20</w:t>
            </w:r>
            <w:r w:rsidR="00406A7A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mg/ttkg</w:t>
            </w:r>
          </w:p>
        </w:tc>
      </w:tr>
    </w:tbl>
    <w:p w14:paraId="1A4E279D" w14:textId="77777777" w:rsidR="00172333" w:rsidRPr="002D0F02" w:rsidRDefault="001723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526C6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50</w:t>
      </w:r>
      <w:r w:rsidR="00406A7A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test</w:t>
      </w:r>
      <w:r w:rsidR="00E541CF"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tömeg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kilogramm feletti gyermekek</w:t>
      </w:r>
    </w:p>
    <w:p w14:paraId="4C15985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felnőtt adagot kell alkalmazni.</w:t>
      </w:r>
    </w:p>
    <w:p w14:paraId="738305A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7D61D1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Nincs tapasztalat vesekárosodásban szenvedő gyermekek esetén.</w:t>
      </w:r>
    </w:p>
    <w:p w14:paraId="591E499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9FA2EAC" w14:textId="77777777" w:rsidR="00DC147B" w:rsidRPr="002D0F02" w:rsidRDefault="00DC147B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0DDD7041" w14:textId="77777777" w:rsidR="00DC147B" w:rsidRPr="002D0F02" w:rsidRDefault="00DC147B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3281328" w14:textId="77777777" w:rsidR="00D97F23" w:rsidRPr="002D0F02" w:rsidRDefault="0065634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általában kb. 15-30 perces intravénás infúzióban adják be (lásd 6.2, 6.3 és 6.6 pont). Lehetséges továbbá a</w:t>
      </w:r>
      <w:r w:rsidR="00AC2F36"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 mg/</w:t>
      </w:r>
      <w:proofErr w:type="spellStart"/>
      <w:r w:rsidR="00AC2F36" w:rsidRPr="002D0F02">
        <w:rPr>
          <w:rFonts w:ascii="Times New Roman" w:hAnsi="Times New Roman"/>
          <w:sz w:val="22"/>
          <w:szCs w:val="22"/>
          <w:lang w:val="hu-HU" w:eastAsia="hu-HU"/>
        </w:rPr>
        <w:t>ttk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g-ig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 perc alatt. Korlátozott számú biztonságossági adat áll rendelkezésre, amely alátámasztja a 40</w:t>
      </w:r>
      <w:r w:rsidR="00406A7A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-os adag 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gyermekeknél.</w:t>
      </w:r>
    </w:p>
    <w:p w14:paraId="33739915" w14:textId="77777777" w:rsidR="00DC147B" w:rsidRPr="002D0F02" w:rsidRDefault="00DC147B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74C49345" w14:textId="77777777" w:rsidR="005E72D3" w:rsidRPr="002D0F02" w:rsidRDefault="005E72D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gyógyszer alkalmazás előtti feloldására/hígítására vonatkozó utasításokat lásd a 6.6 pontban.</w:t>
      </w:r>
    </w:p>
    <w:p w14:paraId="3452AA57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25D9136" w14:textId="77777777" w:rsidR="00D97F23" w:rsidRPr="002D0F02" w:rsidRDefault="00D97F23" w:rsidP="00473100">
      <w:pPr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4.3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Ellenjavallatok</w:t>
      </w:r>
    </w:p>
    <w:p w14:paraId="3A98BB01" w14:textId="77777777" w:rsidR="00D97F23" w:rsidRPr="002D0F02" w:rsidRDefault="00D97F23" w:rsidP="002D0F02">
      <w:pPr>
        <w:tabs>
          <w:tab w:val="left" w:pos="720"/>
        </w:tabs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04AEEE8" w14:textId="77777777" w:rsidR="001435BD" w:rsidRPr="002D0F02" w:rsidRDefault="001435BD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készítmény hatóanyagával vagy </w:t>
      </w:r>
      <w:r w:rsidR="005E72D3" w:rsidRPr="002D0F02">
        <w:rPr>
          <w:rFonts w:ascii="Times New Roman" w:hAnsi="Times New Roman"/>
          <w:sz w:val="22"/>
          <w:szCs w:val="22"/>
          <w:lang w:val="hu-HU"/>
        </w:rPr>
        <w:t xml:space="preserve">a 6.1 pontban felsorolt </w:t>
      </w:r>
      <w:r w:rsidRPr="002D0F02">
        <w:rPr>
          <w:rFonts w:ascii="Times New Roman" w:hAnsi="Times New Roman"/>
          <w:sz w:val="22"/>
          <w:szCs w:val="22"/>
          <w:lang w:val="hu-HU"/>
        </w:rPr>
        <w:t>bármely segédanyagával szembeni túlérzékenység.</w:t>
      </w:r>
    </w:p>
    <w:p w14:paraId="25BBF015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Bármely más,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típusú antibakteriális szerrel szembeni túlérzékenység.</w:t>
      </w:r>
    </w:p>
    <w:p w14:paraId="35F6192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Súlyos túlérzékenység (pl. anafilaxiás reakció, súlyos bőrreakció) bármilyen más, béta-laktám</w:t>
      </w:r>
      <w:r w:rsidR="004136F9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típusú antibakteriális szerrel (pl. penicillinek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cefalosporinok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) szemben.</w:t>
      </w:r>
    </w:p>
    <w:p w14:paraId="3D2F46CE" w14:textId="77777777" w:rsidR="00923273" w:rsidRPr="002D0F02" w:rsidRDefault="0092327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9BC26AC" w14:textId="77777777" w:rsidR="00D97F23" w:rsidRPr="002D0F02" w:rsidRDefault="0092327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22248C86" w14:textId="77777777" w:rsidR="00D97F23" w:rsidRPr="002D0F02" w:rsidRDefault="00D97F23" w:rsidP="002D0F02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6F2FA3B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 adott beteg kezelésére történő kiválasztásakor olyan tényezők alapján kell mérlegelni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antibakteriális szerek alkalmasságát, mint a fertőzés súlyossága, az egyéb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alkalmazható antibakteriális szerekkel szembeni rezisztencia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-rezisztens baktériumok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kiszelektálódásának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kockázata.</w:t>
      </w:r>
    </w:p>
    <w:p w14:paraId="11A824F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A9F7CEF" w14:textId="77777777" w:rsidR="00BC6458" w:rsidRPr="002822E8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EC3F10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Enterobacteriaceae</w:t>
      </w:r>
      <w:proofErr w:type="spellEnd"/>
      <w:r w:rsidRPr="00EC3F10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,</w:t>
      </w:r>
      <w:r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Pseudomonas</w:t>
      </w:r>
      <w:proofErr w:type="spellEnd"/>
      <w:r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2822E8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aeruginosa</w:t>
      </w:r>
      <w:proofErr w:type="spellEnd"/>
      <w:r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</w:t>
      </w:r>
      <w:proofErr w:type="spellStart"/>
      <w:r w:rsidRPr="00EC3F10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Acinetobacter</w:t>
      </w:r>
      <w:proofErr w:type="spellEnd"/>
      <w:r w:rsidRPr="002822E8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fajokkal szembeni rezisztencia</w:t>
      </w:r>
    </w:p>
    <w:p w14:paraId="5388CF2A" w14:textId="77777777" w:rsidR="00C16354" w:rsidRPr="002D0F02" w:rsidRDefault="00C16354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penemek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EC3F10">
        <w:rPr>
          <w:rFonts w:ascii="Times New Roman" w:hAnsi="Times New Roman"/>
          <w:i/>
          <w:sz w:val="22"/>
          <w:szCs w:val="22"/>
          <w:lang w:val="hu-HU" w:eastAsia="hu-HU"/>
        </w:rPr>
        <w:t>Enterobacteriaceae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EC3F10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EC3F10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fajokkal szembeni rezisztenciája változó az Európai Unión belül. A gyógyszert felírónak tanácsos ezen baktériumok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penem</w:t>
      </w:r>
      <w:r w:rsidR="001722B7" w:rsidRPr="002D0F02">
        <w:rPr>
          <w:rFonts w:ascii="Times New Roman" w:hAnsi="Times New Roman"/>
          <w:sz w:val="22"/>
          <w:szCs w:val="22"/>
          <w:lang w:val="hu-HU" w:eastAsia="hu-HU"/>
        </w:rPr>
        <w:t>ekkel</w:t>
      </w:r>
      <w:proofErr w:type="spellEnd"/>
      <w:r w:rsidR="001722B7"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szembeni rezisztenciája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helyi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prevalenciáját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figyelembe venni.</w:t>
      </w:r>
    </w:p>
    <w:p w14:paraId="42805F4A" w14:textId="77777777" w:rsidR="00C16354" w:rsidRPr="002D0F02" w:rsidRDefault="00C16354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D47C56" w14:textId="77777777" w:rsidR="00BC6458" w:rsidRPr="002822E8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>Túlérzékenységi reakciók</w:t>
      </w:r>
    </w:p>
    <w:p w14:paraId="5FB2E301" w14:textId="77777777" w:rsidR="00BA07F9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Mint minden más béta-laktám antibiotikum esetén, súlyos és esetenként 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halálos kimenetelű</w:t>
      </w:r>
      <w:r w:rsidR="00847346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túlérzékenységi reakciókat jelentettek (lásd 4.3 és 4.8 pont).</w:t>
      </w:r>
    </w:p>
    <w:p w14:paraId="6CBB8F8D" w14:textId="77777777" w:rsidR="00BA07F9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Azok a betegek, akiknek kórtörténetében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penicillinekkel vagy más béta-laktám antibiotikumokkal szembeni túlérzékenység szerepel,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szemben is túlérzékenyek lehetnek. A meropenem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terápia megkezdése előtt a beteg</w:t>
      </w:r>
      <w:r w:rsidR="00750F75" w:rsidRPr="002D0F02">
        <w:rPr>
          <w:rFonts w:ascii="Times New Roman" w:hAnsi="Times New Roman"/>
          <w:sz w:val="22"/>
          <w:szCs w:val="22"/>
          <w:lang w:val="hu-HU" w:eastAsia="hu-HU"/>
        </w:rPr>
        <w:t>től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gondosan informálódni kell a béta-laktám antibiotikumokkal szemben korábban észlelt túlérzékenységi reakciókat illetően.</w:t>
      </w:r>
    </w:p>
    <w:p w14:paraId="727F0D87" w14:textId="77777777" w:rsidR="00BA07F9" w:rsidRPr="002D0F02" w:rsidRDefault="00BA07F9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F36F73F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Súlyos allergiás reakció jelentkezése esetén a gyógyszer alkalmazását fel kell függeszteni, és meg kell tenni a megfelelő intézkedéseket.</w:t>
      </w:r>
      <w:r w:rsidR="007B2F16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A6D5C">
        <w:rPr>
          <w:rFonts w:ascii="Times New Roman" w:hAnsi="Times New Roman"/>
          <w:sz w:val="22"/>
          <w:szCs w:val="22"/>
          <w:lang w:val="hu-HU" w:eastAsia="hu-HU"/>
        </w:rPr>
        <w:t>Súlyos bőrreakciók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>ról (SCAR)</w:t>
      </w:r>
      <w:r w:rsidR="008A6D5C">
        <w:rPr>
          <w:rFonts w:ascii="Times New Roman" w:hAnsi="Times New Roman"/>
          <w:sz w:val="22"/>
          <w:szCs w:val="22"/>
          <w:lang w:val="hu-HU" w:eastAsia="hu-HU"/>
        </w:rPr>
        <w:t xml:space="preserve">, mint amilyen a 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>Stevens</w:t>
      </w:r>
      <w:r w:rsidR="00335C89">
        <w:rPr>
          <w:rFonts w:ascii="Times New Roman" w:hAnsi="Times New Roman"/>
          <w:sz w:val="22"/>
          <w:szCs w:val="22"/>
          <w:lang w:val="hu-HU" w:eastAsia="hu-HU"/>
        </w:rPr>
        <w:t>–</w:t>
      </w:r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Johnson-szindróma (SJS), a toxikus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epidermalis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necrolysis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(TEN), az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eosinophiliával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és szisztémás tünetekkel járó gyógyszerreakció (DRESS), az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erythema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multiforme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(EM), és az akut generalizált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exanthematosus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pustulosis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(AGEP), számoltak be </w:t>
      </w:r>
      <w:proofErr w:type="spellStart"/>
      <w:r w:rsidR="003F08AD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3F08AD">
        <w:rPr>
          <w:rFonts w:ascii="Times New Roman" w:hAnsi="Times New Roman"/>
          <w:sz w:val="22"/>
          <w:szCs w:val="22"/>
          <w:lang w:val="hu-HU" w:eastAsia="hu-HU"/>
        </w:rPr>
        <w:t xml:space="preserve"> kezelt betegeknél (lásd 4.8 pont). Ha ezen reakciókra jellemző jelek és tünetek jelennek meg, akkor a meropenem adását azonnal abba kell hagyni és mérlegelni kell egyéb kezelési lehetőséget.</w:t>
      </w:r>
    </w:p>
    <w:p w14:paraId="4AB7E176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B5140D7" w14:textId="77777777" w:rsidR="00BC6458" w:rsidRPr="002822E8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Antibiotikum-kezeléssel összefüggő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colitis</w:t>
      </w:r>
      <w:proofErr w:type="spellEnd"/>
    </w:p>
    <w:p w14:paraId="47312AD5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Szinte minden antibakteriális szerrel – beleértve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is – kapcsolatban jelentettek antibiotikum-kezeléssel összefüggő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pseudomembranosus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, amelynek súlyossága az enyhétől az életveszélyes állapotig terjedhet. Erre a kórképre minden olyan esetben gondolni kell, amikor a meropenem alkalmazásának ideje alatt vagy azt követően hasmenés jelentkezik (lásd 4.8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 Fontolóra kell venni a meropenem</w:t>
      </w:r>
      <w:r w:rsidR="004136F9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terápia felfüggesztését és a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difficile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fertőzés specifikus kezelését. Perisztaltikát csökkentő gyógyszereket nem szabad adni.</w:t>
      </w:r>
    </w:p>
    <w:p w14:paraId="4445061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707A2F5" w14:textId="77777777" w:rsidR="00BC6458" w:rsidRPr="002822E8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>Görcsrohamok</w:t>
      </w:r>
    </w:p>
    <w:p w14:paraId="6B035B7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–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is beleértve – történő kezelés során esetenként görcsrohamokról számoltak be (lásd 4.8 pont).</w:t>
      </w:r>
    </w:p>
    <w:p w14:paraId="7AD96CA6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ECFD37D" w14:textId="7A85DDA0" w:rsidR="00026122" w:rsidRPr="002822E8" w:rsidRDefault="00622F44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Gyógyszer okozta májkárosodás (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drug-induced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liver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injury</w:t>
      </w:r>
      <w:proofErr w:type="spellEnd"/>
      <w:r w:rsidRPr="00197EC3">
        <w:rPr>
          <w:rFonts w:ascii="Times New Roman" w:hAnsi="Times New Roman"/>
          <w:b/>
          <w:bCs/>
          <w:sz w:val="22"/>
          <w:szCs w:val="22"/>
          <w:u w:val="single"/>
          <w:lang w:val="hu-HU" w:eastAsia="hu-HU"/>
        </w:rPr>
        <w:t>, DILI)</w:t>
      </w:r>
    </w:p>
    <w:p w14:paraId="24A5B833" w14:textId="1515913F" w:rsidR="003F381F" w:rsidRPr="002D0F02" w:rsidRDefault="00656340" w:rsidP="00A23905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májfunkciót gondosan ellenőrizni kell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-kezelés alatt, a </w:t>
      </w:r>
      <w:r w:rsidR="00D87732">
        <w:rPr>
          <w:rFonts w:ascii="Times New Roman" w:hAnsi="Times New Roman"/>
          <w:sz w:val="22"/>
          <w:szCs w:val="22"/>
          <w:lang w:val="hu-HU" w:eastAsia="hu-HU"/>
        </w:rPr>
        <w:t>gyógyszer okozta májkárosodás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kockázata miatt (lásd 4.8 pont).</w:t>
      </w:r>
      <w:r w:rsidR="00A2390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Amennyiben súlyos DILI jelentkezik, megfontolandó a kezelés leállítása, amennyiben</w:t>
      </w:r>
      <w:r w:rsidR="005E129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klinikailag indokolt. A meropenem-kezelést kizárólag akkor szabad újrakezdeni, ha azt a beteg</w:t>
      </w:r>
      <w:r w:rsidR="00CB74C0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23905" w:rsidRPr="00A23905">
        <w:rPr>
          <w:rFonts w:ascii="Times New Roman" w:hAnsi="Times New Roman"/>
          <w:sz w:val="22"/>
          <w:szCs w:val="22"/>
          <w:lang w:val="hu-HU" w:eastAsia="hu-HU"/>
        </w:rPr>
        <w:t>kezeléséhez elengedhetetlennek ítélik meg.</w:t>
      </w:r>
    </w:p>
    <w:p w14:paraId="0498442A" w14:textId="77777777" w:rsidR="003F381F" w:rsidRPr="002D0F02" w:rsidRDefault="003F381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07BBC3F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Alkalmazás májbetegségben szenvedő betegeknél: korábban fennálló májbetegség esetén a májfunkciót ellenőrizni kell a meropenem-kezelés ideje alatt. Adagmódosítás nem szükséges (lásd 4.2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05F1B78C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51B3699" w14:textId="77777777" w:rsidR="00BC6458" w:rsidRPr="002822E8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Direkt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antiglobulin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-teszt (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Coombs</w:t>
      </w:r>
      <w:proofErr w:type="spellEnd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-teszt) </w:t>
      </w: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szerokonverzió</w:t>
      </w:r>
      <w:proofErr w:type="spellEnd"/>
    </w:p>
    <w:p w14:paraId="200A6307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direkt és indirekt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Coombs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-teszt pozitív lehet a meropenem-kezelés alatt.</w:t>
      </w:r>
    </w:p>
    <w:p w14:paraId="4985B60B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9A5AE2C" w14:textId="77777777" w:rsidR="00BC6458" w:rsidRPr="00EC3F10" w:rsidRDefault="00BC6458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Valproinsav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/nátrium-</w:t>
      </w: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valproát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/</w:t>
      </w:r>
      <w:proofErr w:type="spellStart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>valpromid</w:t>
      </w:r>
      <w:proofErr w:type="spellEnd"/>
      <w:r w:rsidRPr="00EC3F10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együttes alkalmazása</w:t>
      </w:r>
    </w:p>
    <w:p w14:paraId="54179038" w14:textId="77777777" w:rsidR="0065634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/nátrium-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BC6458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BC6458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együttes alkalmazása nem javasolt (lásd 4.5 pont).</w:t>
      </w:r>
    </w:p>
    <w:p w14:paraId="2704A410" w14:textId="77777777" w:rsidR="001455FF" w:rsidRDefault="001455F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816CCFB" w14:textId="77777777" w:rsidR="00E310C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 </w:t>
      </w:r>
      <w:r w:rsidR="00CD0B02"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>Meropenem Kabi</w:t>
      </w:r>
      <w:r w:rsidRPr="00626924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nátriumot tartalmaz</w:t>
      </w:r>
    </w:p>
    <w:p w14:paraId="1DC2AADA" w14:textId="77777777" w:rsidR="00656340" w:rsidRPr="00626924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502135CD" w14:textId="77777777" w:rsidR="00E310C0" w:rsidRDefault="00E310C0" w:rsidP="00E310C0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>Meropenem Kabi 500 mg por oldatos injekcióhoz vagy infúzióhoz</w:t>
      </w:r>
    </w:p>
    <w:p w14:paraId="2519D3B0" w14:textId="77777777" w:rsidR="00E310C0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lastRenderedPageBreak/>
        <w:t xml:space="preserve">Ez a gyógyszer </w:t>
      </w:r>
      <w:r w:rsidR="00642328">
        <w:rPr>
          <w:rFonts w:ascii="Times New Roman" w:hAnsi="Times New Roman"/>
          <w:sz w:val="22"/>
          <w:szCs w:val="22"/>
          <w:lang w:val="hu-HU"/>
        </w:rPr>
        <w:t xml:space="preserve">körülbelül </w:t>
      </w:r>
      <w:r>
        <w:rPr>
          <w:rFonts w:ascii="Times New Roman" w:hAnsi="Times New Roman"/>
          <w:sz w:val="22"/>
          <w:szCs w:val="22"/>
          <w:lang w:val="hu-HU"/>
        </w:rPr>
        <w:t>45,13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mg nátriumot tartalmaz injekciós üvegenként, ami megfelel a WHO ál</w:t>
      </w:r>
      <w:r w:rsidR="00642328">
        <w:rPr>
          <w:rFonts w:ascii="Times New Roman" w:hAnsi="Times New Roman"/>
          <w:sz w:val="22"/>
          <w:szCs w:val="22"/>
          <w:lang w:val="hu-HU"/>
        </w:rPr>
        <w:t>tal ajánlott maximális napi 2 g </w:t>
      </w:r>
      <w:r>
        <w:rPr>
          <w:rFonts w:ascii="Times New Roman" w:hAnsi="Times New Roman"/>
          <w:sz w:val="22"/>
          <w:szCs w:val="22"/>
          <w:lang w:val="hu-HU"/>
        </w:rPr>
        <w:t>nátriumbevitel 2,3%-ának felnőtteknél.</w:t>
      </w:r>
    </w:p>
    <w:p w14:paraId="6ADAD516" w14:textId="77777777" w:rsidR="00E310C0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</w:p>
    <w:p w14:paraId="682D9823" w14:textId="77777777" w:rsidR="00E310C0" w:rsidRPr="002D0F02" w:rsidRDefault="00E310C0" w:rsidP="00E310C0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bCs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oldatos injekcióhoz vagy infúzióhoz</w:t>
      </w:r>
    </w:p>
    <w:p w14:paraId="38326D54" w14:textId="77777777" w:rsidR="00E310C0" w:rsidRPr="002D0F02" w:rsidRDefault="00E310C0" w:rsidP="00E310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Ez a gyógyszer </w:t>
      </w:r>
      <w:r w:rsidR="00642328">
        <w:rPr>
          <w:rFonts w:ascii="Times New Roman" w:hAnsi="Times New Roman"/>
          <w:sz w:val="22"/>
          <w:szCs w:val="22"/>
          <w:lang w:val="hu-HU"/>
        </w:rPr>
        <w:t xml:space="preserve">körülbelül </w:t>
      </w:r>
      <w:r>
        <w:rPr>
          <w:rFonts w:ascii="Times New Roman" w:hAnsi="Times New Roman"/>
          <w:sz w:val="22"/>
          <w:szCs w:val="22"/>
          <w:lang w:val="hu-HU"/>
        </w:rPr>
        <w:t>90,25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mg nátriumot tartalmaz injekciós üvegenként, ami megfelel a WHO által ajánlott maximális napi 2</w:t>
      </w:r>
      <w:r w:rsidR="00642328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g nátriumbevitel 4,5%-ának felnőtteknél</w:t>
      </w:r>
      <w:r w:rsidDel="00335C89">
        <w:rPr>
          <w:rFonts w:ascii="Times New Roman" w:hAnsi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0198F79A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45F7861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4.5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3D9A0C3D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59D44DC9" w14:textId="77777777" w:rsidR="003F381F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probeneciden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kívül más gyógyszerrel </w:t>
      </w:r>
      <w:r w:rsidR="00847346" w:rsidRPr="002D0F02">
        <w:rPr>
          <w:rFonts w:ascii="Times New Roman" w:hAnsi="Times New Roman"/>
          <w:sz w:val="22"/>
          <w:szCs w:val="22"/>
          <w:lang w:val="hu-HU" w:eastAsia="hu-HU"/>
        </w:rPr>
        <w:t xml:space="preserve">specifikus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interakciós vizsgálatot nem végeztek.</w:t>
      </w:r>
    </w:p>
    <w:p w14:paraId="40B8F8C1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szekréció során kompetitív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és így gátolja a meropenem kiválasztását a vesében, aminek hatására megnő a meropenem eliminációs felezési ideje és plazmakoncentrációja. Óvatosság szükséges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való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együttadásakor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32BCAB3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20BEC8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más gyógyszerek fehérjekötő képességére és metabolizmusára gyakorolt potenciális hatását még nem vizsgálták. Azonban a fehérjéhez való kötődése olyan kismértékű, hogy e mechanizmus alapján nem várható interakció más vegyületekkel.</w:t>
      </w:r>
    </w:p>
    <w:p w14:paraId="6E7EA78D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BEEAD42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vérszintjének csökkenését jelentették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szerekkel történő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együttadáskor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amelyek 60-100%-os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valproinsavszint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-csökkenést okoztak kb. 2 nap alatt. A </w:t>
      </w:r>
      <w:r w:rsidR="00EB09F8" w:rsidRPr="002D0F02">
        <w:rPr>
          <w:rFonts w:ascii="Times New Roman" w:hAnsi="Times New Roman"/>
          <w:sz w:val="22"/>
          <w:szCs w:val="22"/>
          <w:lang w:val="hu-HU" w:eastAsia="hu-HU"/>
        </w:rPr>
        <w:t xml:space="preserve">csökkenés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hirtelen kezdet</w:t>
      </w:r>
      <w:r w:rsidR="00EB09F8" w:rsidRPr="002D0F02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mértéke miatt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/nátrium-</w:t>
      </w:r>
      <w:proofErr w:type="spellStart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281076" w:rsidRPr="002D0F02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együttes adagolása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szerekkel nem megoldható, ezért kerülni kell (lásd 4.4 pont)</w:t>
      </w:r>
      <w:r w:rsidR="00CA0E04"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E797924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52954CF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Orális antikoagulánsok</w:t>
      </w:r>
    </w:p>
    <w:p w14:paraId="4DA77745" w14:textId="77777777" w:rsidR="00121F8F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antibiotikumok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warfarinnal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történő együttes alkalmazása megnövelheti annak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hatását. Sokszor jelentették az orálisan alkalmazott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szerek, köztük a warfarin véralvadásgátló hatásának felerősödését olyan betegeknél, akik egyidejűleg antibakteriális szereket kaptak.</w:t>
      </w:r>
    </w:p>
    <w:p w14:paraId="2C976577" w14:textId="77777777" w:rsidR="00656340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kockázat eltérő lehet a háttérben lévő fertőzés, a kor és a beteg általános állapota függvényében, ezért nehéz megállapítani, hogy az antibiotikum mennyiben járul hozzá az INR (International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Normalised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Ratio – Nemzetközi Normalizált Ráta) emelkedéséhez. Az INR gyakori ellenőrzése javasolt az antibiotikumok és orális antikoagulánsok együttes alkalmazásának ideje alatt és röviddel azután is.</w:t>
      </w:r>
    </w:p>
    <w:p w14:paraId="471C4013" w14:textId="77777777" w:rsidR="003F08AD" w:rsidRDefault="003F08A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1D2FB6F" w14:textId="77777777" w:rsidR="003F08AD" w:rsidRDefault="003F08A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i/>
          <w:sz w:val="22"/>
          <w:szCs w:val="22"/>
          <w:lang w:val="hu-HU" w:eastAsia="hu-HU"/>
        </w:rPr>
        <w:t>Gyermekek</w:t>
      </w:r>
    </w:p>
    <w:p w14:paraId="3604A5B2" w14:textId="77777777" w:rsidR="003F08AD" w:rsidRPr="003F08AD" w:rsidRDefault="003F08AD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Kölcsönhatás</w:t>
      </w:r>
      <w:r w:rsidR="00EA73BB">
        <w:rPr>
          <w:rFonts w:ascii="Times New Roman" w:hAnsi="Times New Roman"/>
          <w:sz w:val="22"/>
          <w:szCs w:val="22"/>
          <w:lang w:val="hu-HU" w:eastAsia="hu-HU"/>
        </w:rPr>
        <w:t>-</w:t>
      </w:r>
      <w:r>
        <w:rPr>
          <w:rFonts w:ascii="Times New Roman" w:hAnsi="Times New Roman"/>
          <w:sz w:val="22"/>
          <w:szCs w:val="22"/>
          <w:lang w:val="hu-HU" w:eastAsia="hu-HU"/>
        </w:rPr>
        <w:t>vizsgálatokat csak felnőttek</w:t>
      </w:r>
      <w:r w:rsidR="00EA73BB">
        <w:rPr>
          <w:rFonts w:ascii="Times New Roman" w:hAnsi="Times New Roman"/>
          <w:sz w:val="22"/>
          <w:szCs w:val="22"/>
          <w:lang w:val="hu-HU" w:eastAsia="hu-HU"/>
        </w:rPr>
        <w:t>nél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végeztek.</w:t>
      </w:r>
    </w:p>
    <w:p w14:paraId="6B55655E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61EC0D5" w14:textId="77777777" w:rsidR="00D97F23" w:rsidRPr="002D0F02" w:rsidRDefault="00D97F2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4.6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5E72D3" w:rsidRPr="002D0F02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24D8849F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164880D" w14:textId="77777777" w:rsidR="00656340" w:rsidRPr="00900872" w:rsidRDefault="00656340" w:rsidP="002D0F02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900872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Terhesség</w:t>
      </w:r>
    </w:p>
    <w:p w14:paraId="28C42EB8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Terhes nőkön történő alkalmazásra nincsenek adatok</w:t>
      </w:r>
      <w:r w:rsidR="001E01B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vagy csak korlátozott számban állnak rendelkezésre. Az állatkísérletek nem utalnak a reproduktív toxicitást közvetlenül vagy közvetett módon károsan befolyásoló hatásra (lásd 5.3 pont). Elővigyázatosságból a meropenem alkalmazását tanácsos elkerülni a terhesség alatt.</w:t>
      </w:r>
    </w:p>
    <w:p w14:paraId="09411413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20ABDE78" w14:textId="77777777" w:rsidR="00656340" w:rsidRPr="00900872" w:rsidRDefault="00656340" w:rsidP="002D0F02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900872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Szoptatás</w:t>
      </w:r>
    </w:p>
    <w:p w14:paraId="7C825298" w14:textId="77777777" w:rsidR="00D97F23" w:rsidRPr="002D0F02" w:rsidRDefault="000E69CA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 xml:space="preserve">Beszámoltak arról, hogy a Meropenem kis mennyiségben kiválasztódik a humán anyatejbe. A </w:t>
      </w: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>
        <w:rPr>
          <w:rFonts w:ascii="Times New Roman" w:hAnsi="Times New Roman"/>
          <w:sz w:val="22"/>
          <w:szCs w:val="22"/>
          <w:lang w:val="hu-HU" w:eastAsia="hu-HU"/>
        </w:rPr>
        <w:t xml:space="preserve"> nem szabad alkalmazni szoptató nőknél, csak akkor, ha az anya kezelésének lehetséges előnyei felülmúlják a gyermekre gyakorolt lehetséges kockázatokat.</w:t>
      </w:r>
    </w:p>
    <w:p w14:paraId="2EA7897B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C51FBB0" w14:textId="77777777" w:rsidR="00D97F23" w:rsidRPr="002D0F02" w:rsidRDefault="00D97F23" w:rsidP="00473100">
      <w:pPr>
        <w:numPr>
          <w:ilvl w:val="1"/>
          <w:numId w:val="16"/>
        </w:numPr>
        <w:tabs>
          <w:tab w:val="clear" w:pos="36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A készítmény hatásai </w:t>
      </w:r>
      <w:r w:rsidR="00847346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gépjárművezetéshez és a gépek </w:t>
      </w:r>
      <w:r w:rsidR="00923273" w:rsidRPr="002D0F02">
        <w:rPr>
          <w:rFonts w:ascii="Times New Roman" w:hAnsi="Times New Roman"/>
          <w:b/>
          <w:sz w:val="22"/>
          <w:szCs w:val="22"/>
          <w:lang w:val="hu-HU"/>
        </w:rPr>
        <w:t>kezeléséhez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 szükséges képességekre</w:t>
      </w:r>
    </w:p>
    <w:p w14:paraId="20317E22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5C0A71C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készítménynek a gépjárművezetéshez és </w:t>
      </w:r>
      <w:r w:rsidR="00847346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gépek kezeléséhez szükséges képességeket befolyásoló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hatásait nem vizsgálták.</w:t>
      </w:r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Azonban gépjárművezetéskor vagy gépek kezelésekor figyelembe kell venni, hogy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összefüggésben fejfájásról,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paraesthesiáról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="004612A7">
        <w:rPr>
          <w:rFonts w:ascii="Times New Roman" w:hAnsi="Times New Roman"/>
          <w:sz w:val="22"/>
          <w:szCs w:val="22"/>
          <w:lang w:val="hu-HU" w:eastAsia="hu-HU"/>
        </w:rPr>
        <w:t>convulsiókról</w:t>
      </w:r>
      <w:proofErr w:type="spellEnd"/>
      <w:r w:rsidR="004612A7">
        <w:rPr>
          <w:rFonts w:ascii="Times New Roman" w:hAnsi="Times New Roman"/>
          <w:sz w:val="22"/>
          <w:szCs w:val="22"/>
          <w:lang w:val="hu-HU" w:eastAsia="hu-HU"/>
        </w:rPr>
        <w:t xml:space="preserve"> számoltak be.</w:t>
      </w:r>
    </w:p>
    <w:p w14:paraId="6AD79EF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CFA0946" w14:textId="77777777" w:rsidR="00D97F23" w:rsidRPr="002D0F02" w:rsidRDefault="00D97F2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4.8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4F42AE67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C297584" w14:textId="77777777" w:rsidR="00477D86" w:rsidRPr="002822E8" w:rsidRDefault="002822E8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A b</w:t>
      </w:r>
      <w:r w:rsidR="00BF75C9" w:rsidRPr="002822E8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iztonságossági profil összefoglalása</w:t>
      </w:r>
    </w:p>
    <w:p w14:paraId="6D8E2975" w14:textId="77777777" w:rsidR="00656340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4872 beteg 5026 esetben történt meropenem-kezelésének áttekintése alapján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kapcsolatban a leggyakrabban jelentett mellékhatás a hasmenés (2,3%), a bőrkiütés (1,4%), a hányinger/hányás (1,4%) és az injekció beadásának helyén jelentkező gyulladás (1,1%) volt.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kapcsolatban leggyakrabban jelentett </w:t>
      </w:r>
      <w:r w:rsidR="008C5DDF" w:rsidRPr="002D0F02">
        <w:rPr>
          <w:rFonts w:ascii="Times New Roman" w:hAnsi="Times New Roman"/>
          <w:sz w:val="22"/>
          <w:szCs w:val="22"/>
          <w:lang w:val="hu-HU" w:eastAsia="hu-HU"/>
        </w:rPr>
        <w:t xml:space="preserve">laboratóriumi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nemkívánatos események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thrombocytosis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(1,6%) és az emelkedett májenzim-értékek (1,5-4,3%) voltak.</w:t>
      </w:r>
    </w:p>
    <w:p w14:paraId="01D96BE9" w14:textId="77777777" w:rsidR="002822E8" w:rsidRDefault="002822E8" w:rsidP="002822E8">
      <w:pPr>
        <w:pStyle w:val="Szvegtrzs"/>
        <w:spacing w:after="0"/>
        <w:rPr>
          <w:rFonts w:ascii="Times New Roman" w:hAnsi="Times New Roman"/>
          <w:sz w:val="22"/>
          <w:szCs w:val="22"/>
          <w:u w:val="single" w:color="000000"/>
          <w:lang w:val="hu-HU"/>
        </w:rPr>
      </w:pPr>
    </w:p>
    <w:p w14:paraId="0D0D8D9C" w14:textId="77777777" w:rsidR="005E77CC" w:rsidRPr="002822E8" w:rsidRDefault="005E77CC" w:rsidP="00900872">
      <w:pPr>
        <w:pStyle w:val="Szvegtrzs"/>
        <w:keepNext/>
        <w:spacing w:after="0"/>
        <w:rPr>
          <w:rFonts w:ascii="Times New Roman" w:hAnsi="Times New Roman"/>
          <w:sz w:val="22"/>
          <w:szCs w:val="22"/>
          <w:lang w:val="hu-HU"/>
        </w:rPr>
      </w:pPr>
      <w:r w:rsidRPr="002822E8">
        <w:rPr>
          <w:rFonts w:ascii="Times New Roman" w:hAnsi="Times New Roman"/>
          <w:sz w:val="22"/>
          <w:szCs w:val="22"/>
          <w:u w:val="single" w:color="000000"/>
          <w:lang w:val="hu-HU"/>
        </w:rPr>
        <w:t>A</w:t>
      </w:r>
      <w:r w:rsidRPr="002822E8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 xml:space="preserve"> mellékhatások táblázatos felsorolása</w:t>
      </w:r>
    </w:p>
    <w:p w14:paraId="5BFE437C" w14:textId="77777777" w:rsidR="00656340" w:rsidRPr="002D0F02" w:rsidRDefault="0065634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mellékhatások az alábbi táblázatban szervrendszerek és gyakoriság szerint kerültek felsorolásra:</w:t>
      </w:r>
    </w:p>
    <w:p w14:paraId="446FC427" w14:textId="77777777" w:rsidR="00656340" w:rsidRPr="002D0F02" w:rsidRDefault="0065634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nagyon gyakori (≥ 1/10); gyakori (≥ 1/100 – &lt; 1/10); nem gyakori (≥ 1/1000 – &lt; 1/100); ritka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(≥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1/10</w:t>
      </w:r>
      <w:r w:rsidR="00AB3535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000 – &lt; 1/1000); nagyon ritka (&lt; 1/ 10</w:t>
      </w:r>
      <w:r w:rsidR="00AB3535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000)</w:t>
      </w:r>
      <w:r w:rsidR="00BE5A35">
        <w:rPr>
          <w:rFonts w:ascii="Times New Roman" w:hAnsi="Times New Roman"/>
          <w:sz w:val="22"/>
          <w:szCs w:val="22"/>
          <w:lang w:val="hu-HU" w:eastAsia="hu-HU"/>
        </w:rPr>
        <w:t>, nem ismert (</w:t>
      </w:r>
      <w:r w:rsidR="00BE5A35" w:rsidRPr="0088236D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>gyakoriság a</w:t>
      </w:r>
      <w:r w:rsidR="004D798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BE5A35">
        <w:rPr>
          <w:rFonts w:ascii="Times New Roman" w:hAnsi="Times New Roman"/>
          <w:sz w:val="22"/>
          <w:szCs w:val="22"/>
          <w:lang w:val="hu-HU" w:eastAsia="hu-HU"/>
        </w:rPr>
        <w:t>rendelkezésre álló adatokból nem állapítható meg)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. Az egyes gyakorisági kategóriákon belül a mellékhatások csökkenő súlyosság szerint</w:t>
      </w:r>
      <w:r w:rsidR="00A108C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kerülnek megadásra.</w:t>
      </w:r>
    </w:p>
    <w:p w14:paraId="0EC4EE1A" w14:textId="77777777" w:rsidR="00656340" w:rsidRPr="002D0F02" w:rsidRDefault="0065634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3EF1E6F" w14:textId="77777777" w:rsidR="00656340" w:rsidRPr="002D0F02" w:rsidRDefault="003F08AD" w:rsidP="002D0F02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4</w:t>
      </w:r>
      <w:r w:rsidR="00656340" w:rsidRPr="002D0F02">
        <w:rPr>
          <w:rFonts w:ascii="Times New Roman" w:hAnsi="Times New Roman"/>
          <w:sz w:val="22"/>
          <w:szCs w:val="22"/>
          <w:lang w:val="hu-HU"/>
        </w:rPr>
        <w:t>. táblázat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1980"/>
        <w:gridCol w:w="4124"/>
      </w:tblGrid>
      <w:tr w:rsidR="00656340" w:rsidRPr="002822E8" w14:paraId="050E96C1" w14:textId="77777777" w:rsidTr="004A3600">
        <w:trPr>
          <w:tblHeader/>
        </w:trPr>
        <w:tc>
          <w:tcPr>
            <w:tcW w:w="2968" w:type="dxa"/>
          </w:tcPr>
          <w:p w14:paraId="776F4AA2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0" w:type="dxa"/>
          </w:tcPr>
          <w:p w14:paraId="038F1F8B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124" w:type="dxa"/>
          </w:tcPr>
          <w:p w14:paraId="24B9C02F" w14:textId="77777777" w:rsidR="00656340" w:rsidRPr="002822E8" w:rsidRDefault="00656340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822E8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Esemény</w:t>
            </w:r>
          </w:p>
        </w:tc>
      </w:tr>
      <w:tr w:rsidR="00656340" w:rsidRPr="002D0F02" w14:paraId="5A931452" w14:textId="77777777" w:rsidTr="004A3600">
        <w:tc>
          <w:tcPr>
            <w:tcW w:w="2968" w:type="dxa"/>
          </w:tcPr>
          <w:p w14:paraId="1BBA2F20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Fertőző betegségek és</w:t>
            </w:r>
          </w:p>
          <w:p w14:paraId="50AE9D44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parazitafertőzések</w:t>
            </w:r>
          </w:p>
        </w:tc>
        <w:tc>
          <w:tcPr>
            <w:tcW w:w="1980" w:type="dxa"/>
          </w:tcPr>
          <w:p w14:paraId="55D40DD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32416FF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orális és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vaginalis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candidiasis</w:t>
            </w:r>
            <w:proofErr w:type="spellEnd"/>
          </w:p>
        </w:tc>
      </w:tr>
      <w:tr w:rsidR="00656340" w:rsidRPr="002D0F02" w14:paraId="59C7275A" w14:textId="77777777" w:rsidTr="004A3600">
        <w:tc>
          <w:tcPr>
            <w:tcW w:w="2968" w:type="dxa"/>
          </w:tcPr>
          <w:p w14:paraId="577F65E7" w14:textId="77777777" w:rsidR="00656340" w:rsidRPr="002D0F02" w:rsidRDefault="0065634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0" w:type="dxa"/>
          </w:tcPr>
          <w:p w14:paraId="4D754022" w14:textId="77777777" w:rsidR="0065634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262A43CD" w14:textId="77777777" w:rsidR="00847346" w:rsidRDefault="00847346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E77D515" w14:textId="77777777" w:rsidR="00EA431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163656A8" w14:textId="77777777" w:rsidR="00EA431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4124" w:type="dxa"/>
          </w:tcPr>
          <w:p w14:paraId="3DA71E35" w14:textId="77777777" w:rsidR="00656340" w:rsidRPr="002D0F02" w:rsidRDefault="00EA4310" w:rsidP="002822E8">
            <w:pPr>
              <w:keepNext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thrombocythaemia</w:t>
            </w:r>
            <w:proofErr w:type="spellEnd"/>
          </w:p>
          <w:p w14:paraId="4F3EB36A" w14:textId="77777777" w:rsidR="00847346" w:rsidRDefault="00847346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375D362" w14:textId="77777777" w:rsidR="00847346" w:rsidRDefault="001F385E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agranulocytosis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haemolyticus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anaemia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thrombocytopenia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leukopenia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EA431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eosinophilia</w:t>
            </w:r>
            <w:proofErr w:type="spellEnd"/>
          </w:p>
          <w:p w14:paraId="4A3B2354" w14:textId="77777777" w:rsidR="00EA4310" w:rsidRPr="002D0F02" w:rsidRDefault="00EA4310" w:rsidP="002822E8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656340" w:rsidRPr="002D0F02" w14:paraId="167C3841" w14:textId="77777777" w:rsidTr="004A3600">
        <w:tc>
          <w:tcPr>
            <w:tcW w:w="2968" w:type="dxa"/>
          </w:tcPr>
          <w:p w14:paraId="483D9FBB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Immunrendszeri betegségek</w:t>
            </w:r>
          </w:p>
          <w:p w14:paraId="7F25A252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61D11860" w14:textId="77777777" w:rsidR="00EA4310" w:rsidRPr="002D0F02" w:rsidRDefault="00EA4310" w:rsidP="00477D86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2DA10CFE" w14:textId="77777777" w:rsidR="00EA4310" w:rsidRPr="002D0F02" w:rsidRDefault="00EA4310" w:rsidP="00EA73B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anaphylaxia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4.3 és 4.4 pont)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angio</w:t>
            </w:r>
            <w:r w:rsidR="001F385E">
              <w:rPr>
                <w:rFonts w:ascii="Times New Roman" w:hAnsi="Times New Roman"/>
                <w:sz w:val="22"/>
                <w:szCs w:val="22"/>
                <w:lang w:val="hu-HU" w:eastAsia="hu-HU"/>
              </w:rPr>
              <w:t>o</w:t>
            </w:r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edema</w:t>
            </w:r>
            <w:proofErr w:type="spellEnd"/>
          </w:p>
        </w:tc>
      </w:tr>
      <w:tr w:rsidR="001F385E" w:rsidRPr="002D0F02" w14:paraId="3BE3942F" w14:textId="77777777" w:rsidTr="004A3600">
        <w:tc>
          <w:tcPr>
            <w:tcW w:w="2968" w:type="dxa"/>
          </w:tcPr>
          <w:p w14:paraId="3686D022" w14:textId="77777777" w:rsidR="001F385E" w:rsidRPr="002D0F02" w:rsidRDefault="001F385E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Pszichiátriai betegségek</w:t>
            </w:r>
          </w:p>
        </w:tc>
        <w:tc>
          <w:tcPr>
            <w:tcW w:w="1980" w:type="dxa"/>
          </w:tcPr>
          <w:p w14:paraId="6CEB7CDE" w14:textId="77777777" w:rsidR="001F385E" w:rsidRPr="002D0F02" w:rsidRDefault="001F385E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21224CA8" w14:textId="77777777" w:rsidR="001F385E" w:rsidRPr="002D0F02" w:rsidRDefault="001F385E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delírium</w:t>
            </w:r>
          </w:p>
        </w:tc>
      </w:tr>
      <w:tr w:rsidR="00EA4310" w:rsidRPr="002D0F02" w14:paraId="67AD7ED3" w14:textId="77777777" w:rsidTr="004A3600">
        <w:tc>
          <w:tcPr>
            <w:tcW w:w="2968" w:type="dxa"/>
          </w:tcPr>
          <w:p w14:paraId="24B8B009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Idegrendszeri betegségek és</w:t>
            </w:r>
          </w:p>
          <w:p w14:paraId="5C45FE64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043D3A38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3BEF1B6F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EFC47CA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0F5B01C1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15EF5C6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23076A4C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fejfájás</w:t>
            </w:r>
          </w:p>
          <w:p w14:paraId="6E85B661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AB2A01A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paraesthesiák</w:t>
            </w:r>
            <w:proofErr w:type="spellEnd"/>
          </w:p>
          <w:p w14:paraId="51B4B879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D15C82F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convulsiók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656340" w:rsidRPr="002D0F02" w14:paraId="5BAAE98E" w14:textId="77777777" w:rsidTr="004A3600">
        <w:tc>
          <w:tcPr>
            <w:tcW w:w="2968" w:type="dxa"/>
          </w:tcPr>
          <w:p w14:paraId="05E756FF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Emésztőrendszeri betegségek</w:t>
            </w:r>
          </w:p>
          <w:p w14:paraId="17012F2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237AE60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3CD8565E" w14:textId="77777777" w:rsidR="00546F0E" w:rsidRDefault="00546F0E" w:rsidP="00477D86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2761F3A" w14:textId="77777777" w:rsidR="00EA4310" w:rsidRPr="002D0F02" w:rsidRDefault="00EA4310" w:rsidP="00477D86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1898CE10" w14:textId="77777777" w:rsidR="00EA73BB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hasmenés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="001F385E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hasi fájdalom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hányás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hányinger</w:t>
            </w:r>
          </w:p>
          <w:p w14:paraId="3925F50F" w14:textId="77777777" w:rsidR="00EA73BB" w:rsidRDefault="00EA73BB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0037119A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antibiotikum-kezeléssel összefüggő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colitis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656340" w:rsidRPr="002D0F02" w14:paraId="2180BE2B" w14:textId="77777777" w:rsidTr="004A3600">
        <w:tc>
          <w:tcPr>
            <w:tcW w:w="2968" w:type="dxa"/>
          </w:tcPr>
          <w:p w14:paraId="46CED7A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Máj- és epebetegségek</w:t>
            </w:r>
            <w:r w:rsidR="001B3688" w:rsidRPr="002D0F02">
              <w:rPr>
                <w:rFonts w:ascii="Times New Roman" w:hAnsi="Times New Roman"/>
                <w:sz w:val="22"/>
                <w:szCs w:val="22"/>
                <w:lang w:val="hu-HU"/>
              </w:rPr>
              <w:t>,</w:t>
            </w: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illetve tünetek</w:t>
            </w:r>
          </w:p>
        </w:tc>
        <w:tc>
          <w:tcPr>
            <w:tcW w:w="1980" w:type="dxa"/>
          </w:tcPr>
          <w:p w14:paraId="083445EA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586ADB7A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1672BD60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AD7CE7C" w14:textId="77777777" w:rsidR="00546F0E" w:rsidRDefault="00546F0E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06B81301" w14:textId="77777777" w:rsidR="00EA431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5419573E" w14:textId="1C4E7D2E" w:rsidR="00AA2C44" w:rsidRPr="002D0F02" w:rsidRDefault="00AA2C44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6B34CA73" w14:textId="77777777" w:rsidR="0065634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transzaminázszintek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emelkedése, a vér 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alkalikusfoszfatáz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 és laktát-</w:t>
            </w: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dehidrogenáz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-szintjének emelkedése</w:t>
            </w:r>
          </w:p>
          <w:p w14:paraId="63479151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6E73779" w14:textId="77777777" w:rsidR="00EA4310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bilirubinszint megemelkedése</w:t>
            </w:r>
          </w:p>
          <w:p w14:paraId="4B9EADDC" w14:textId="196C772F" w:rsidR="00A467F5" w:rsidRPr="002D0F02" w:rsidRDefault="00DF45E4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  <w:r w:rsidR="00AA2C44" w:rsidRPr="00AA2C44">
              <w:rPr>
                <w:rFonts w:ascii="Times New Roman" w:hAnsi="Times New Roman"/>
                <w:sz w:val="22"/>
                <w:szCs w:val="22"/>
                <w:lang w:val="hu-HU"/>
              </w:rPr>
              <w:t>yógyszer okozta májkárosodás (DILI)</w:t>
            </w:r>
            <w:r w:rsidRPr="00DF45E4">
              <w:rPr>
                <w:rFonts w:ascii="Times New Roman" w:hAnsi="Times New Roman"/>
                <w:sz w:val="22"/>
                <w:szCs w:val="22"/>
                <w:lang w:val="hu-HU"/>
              </w:rPr>
              <w:t>*</w:t>
            </w:r>
          </w:p>
        </w:tc>
      </w:tr>
      <w:tr w:rsidR="00656340" w:rsidRPr="002D0F02" w14:paraId="4AE8C8A6" w14:textId="77777777" w:rsidTr="004A3600">
        <w:tc>
          <w:tcPr>
            <w:tcW w:w="2968" w:type="dxa"/>
          </w:tcPr>
          <w:p w14:paraId="630C4B04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bőr alatti szövet</w:t>
            </w:r>
          </w:p>
          <w:p w14:paraId="69A6B8A9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betegségei és tünetei</w:t>
            </w:r>
          </w:p>
        </w:tc>
        <w:tc>
          <w:tcPr>
            <w:tcW w:w="1980" w:type="dxa"/>
          </w:tcPr>
          <w:p w14:paraId="3C070DE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  <w:p w14:paraId="75AE1177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31E0F04D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1D6F8D5F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5B8F2F5B" w14:textId="77777777" w:rsidR="00EA431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  <w:p w14:paraId="1F189897" w14:textId="77777777" w:rsidR="00546F0E" w:rsidRDefault="00546F0E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  <w:p w14:paraId="0DA2AD3A" w14:textId="77777777" w:rsidR="00BE5A35" w:rsidRPr="002D0F02" w:rsidRDefault="00BE5A35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124" w:type="dxa"/>
          </w:tcPr>
          <w:p w14:paraId="34DC51C7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bőrkiütés, viszketés</w:t>
            </w:r>
          </w:p>
          <w:p w14:paraId="033A129E" w14:textId="77777777" w:rsidR="003D41A0" w:rsidRDefault="003D41A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65E8EA46" w14:textId="77777777" w:rsidR="00546F0E" w:rsidRDefault="00EA4310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  <w:r w:rsidR="0018736B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68174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toxicus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epidermalis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necrolysis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Stevens</w:t>
            </w:r>
            <w:proofErr w:type="spellEnd"/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>–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Johnson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>-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szindróma,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erythema</w:t>
            </w:r>
            <w:proofErr w:type="spellEnd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multiforme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546F0E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</w:p>
          <w:p w14:paraId="33706616" w14:textId="77777777" w:rsidR="00BE5A35" w:rsidRDefault="00BE5A35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7A091EA0" w14:textId="77777777" w:rsidR="00BE5A35" w:rsidRPr="002D0F02" w:rsidRDefault="00BE5A35" w:rsidP="002822E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szisztémás tünetekkel járó, gyógyszer okozta reakció</w:t>
            </w:r>
            <w:r w:rsidR="00546F0E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, </w:t>
            </w:r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akut generalizált </w:t>
            </w:r>
            <w:proofErr w:type="spellStart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>exanthematosus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="004778B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 pont)</w:t>
            </w:r>
          </w:p>
        </w:tc>
      </w:tr>
      <w:tr w:rsidR="00656340" w:rsidRPr="002D0F02" w14:paraId="778B8C4E" w14:textId="77777777" w:rsidTr="004A3600">
        <w:tc>
          <w:tcPr>
            <w:tcW w:w="2968" w:type="dxa"/>
          </w:tcPr>
          <w:p w14:paraId="5F667121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Vese- és húgyúti betegségek</w:t>
            </w:r>
          </w:p>
          <w:p w14:paraId="780EDD3F" w14:textId="77777777" w:rsidR="00656340" w:rsidRPr="002D0F02" w:rsidRDefault="0065634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6D4AA70E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  <w:p w14:paraId="63F7B6F3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4124" w:type="dxa"/>
          </w:tcPr>
          <w:p w14:paraId="313273A7" w14:textId="77777777" w:rsidR="00EA4310" w:rsidRPr="002D0F02" w:rsidRDefault="00EA431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vér kreatinin- és húgysavszintjének emelkedése</w:t>
            </w:r>
          </w:p>
        </w:tc>
      </w:tr>
      <w:tr w:rsidR="00AC7508" w:rsidRPr="002D0F02" w14:paraId="6EED752A" w14:textId="77777777" w:rsidTr="004A3600">
        <w:tc>
          <w:tcPr>
            <w:tcW w:w="2968" w:type="dxa"/>
          </w:tcPr>
          <w:p w14:paraId="62CECCE5" w14:textId="77777777" w:rsidR="00AC7508" w:rsidRPr="00AC7508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Anyagcsere- és táplálkozási betegségek és</w:t>
            </w:r>
          </w:p>
          <w:p w14:paraId="6FBA8544" w14:textId="32974AC7" w:rsidR="00AC7508" w:rsidRPr="002D0F02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lastRenderedPageBreak/>
              <w:t>tünetek</w:t>
            </w:r>
          </w:p>
        </w:tc>
        <w:tc>
          <w:tcPr>
            <w:tcW w:w="1980" w:type="dxa"/>
          </w:tcPr>
          <w:p w14:paraId="0355D271" w14:textId="77777777" w:rsidR="00AC7508" w:rsidRPr="002D0F02" w:rsidRDefault="00AC7508" w:rsidP="00AC7508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lastRenderedPageBreak/>
              <w:t>Nem gyakori</w:t>
            </w:r>
          </w:p>
          <w:p w14:paraId="619762E2" w14:textId="77777777" w:rsidR="00AC7508" w:rsidRPr="002D0F02" w:rsidRDefault="00AC7508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4124" w:type="dxa"/>
          </w:tcPr>
          <w:p w14:paraId="07B96893" w14:textId="031780DF" w:rsidR="00AC7508" w:rsidRPr="002D0F02" w:rsidRDefault="00AC7508" w:rsidP="00AC750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AC7508">
              <w:rPr>
                <w:rFonts w:ascii="Times New Roman" w:hAnsi="Times New Roman"/>
                <w:sz w:val="22"/>
                <w:szCs w:val="22"/>
                <w:lang w:val="hu-HU" w:eastAsia="hu-HU"/>
              </w:rPr>
              <w:t>hypokalaemia</w:t>
            </w:r>
            <w:proofErr w:type="spellEnd"/>
          </w:p>
        </w:tc>
      </w:tr>
      <w:tr w:rsidR="00656340" w:rsidRPr="002D0F02" w14:paraId="50D29609" w14:textId="77777777" w:rsidTr="004A3600">
        <w:tc>
          <w:tcPr>
            <w:tcW w:w="2968" w:type="dxa"/>
          </w:tcPr>
          <w:p w14:paraId="3F9286D8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Általános tünetek, az</w:t>
            </w:r>
          </w:p>
          <w:p w14:paraId="734BE5B5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alkalmazás helyén fellépő</w:t>
            </w:r>
          </w:p>
          <w:p w14:paraId="41B83768" w14:textId="77777777" w:rsidR="00656340" w:rsidRPr="002D0F02" w:rsidRDefault="00656340" w:rsidP="002D0F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reakciók</w:t>
            </w:r>
          </w:p>
        </w:tc>
        <w:tc>
          <w:tcPr>
            <w:tcW w:w="1980" w:type="dxa"/>
          </w:tcPr>
          <w:p w14:paraId="533264ED" w14:textId="77777777" w:rsidR="0065634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/>
              </w:rPr>
              <w:t>Gyakori</w:t>
            </w:r>
          </w:p>
          <w:p w14:paraId="4F56B143" w14:textId="77777777" w:rsidR="003D41A0" w:rsidRDefault="003D41A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BDB3706" w14:textId="77777777" w:rsidR="00EA4310" w:rsidRPr="002D0F02" w:rsidRDefault="00EA4310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3DAB94C" w14:textId="77777777" w:rsidR="00656340" w:rsidRDefault="00EA4310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gyulladás, fájdalom</w:t>
            </w:r>
          </w:p>
          <w:p w14:paraId="69036376" w14:textId="77777777" w:rsidR="00EA73BB" w:rsidRPr="002D0F02" w:rsidRDefault="00EA73BB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  <w:p w14:paraId="420B9151" w14:textId="77777777" w:rsidR="00EA4310" w:rsidRPr="002D0F02" w:rsidRDefault="00EA4310" w:rsidP="00626924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thrombophlebitis</w:t>
            </w:r>
            <w:proofErr w:type="spellEnd"/>
            <w:r w:rsidR="0018736B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EA73B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="0018736B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fájdalom az injekció beadásának helyén</w:t>
            </w:r>
          </w:p>
        </w:tc>
      </w:tr>
    </w:tbl>
    <w:p w14:paraId="39D2A74B" w14:textId="1D3DB166" w:rsidR="00243DA9" w:rsidRDefault="004A3600" w:rsidP="004A3600">
      <w:pPr>
        <w:rPr>
          <w:rFonts w:ascii="Times New Roman" w:hAnsi="Times New Roman"/>
          <w:sz w:val="22"/>
          <w:szCs w:val="22"/>
          <w:lang w:val="hu-HU"/>
        </w:rPr>
      </w:pPr>
      <w:r w:rsidRPr="004A3600">
        <w:rPr>
          <w:rFonts w:ascii="Times New Roman" w:hAnsi="Times New Roman"/>
          <w:sz w:val="22"/>
          <w:szCs w:val="22"/>
          <w:lang w:val="hu-HU"/>
        </w:rPr>
        <w:t>*A gyógyszer okozta májkárosodás magában foglalja a hepatitist és a</w:t>
      </w:r>
      <w:r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4A3600">
        <w:rPr>
          <w:rFonts w:ascii="Times New Roman" w:hAnsi="Times New Roman"/>
          <w:sz w:val="22"/>
          <w:szCs w:val="22"/>
          <w:lang w:val="hu-HU"/>
        </w:rPr>
        <w:t>májelégtelenséget is.</w:t>
      </w:r>
    </w:p>
    <w:p w14:paraId="4EF44582" w14:textId="77777777" w:rsidR="004A3600" w:rsidRDefault="004A3600" w:rsidP="004A3600">
      <w:pPr>
        <w:rPr>
          <w:rFonts w:ascii="Times New Roman" w:hAnsi="Times New Roman"/>
          <w:sz w:val="22"/>
          <w:szCs w:val="22"/>
          <w:lang w:val="hu-HU"/>
        </w:rPr>
      </w:pPr>
    </w:p>
    <w:p w14:paraId="6168C1C9" w14:textId="77777777" w:rsidR="004612A7" w:rsidRPr="0088236D" w:rsidRDefault="004612A7" w:rsidP="002D0F02">
      <w:pPr>
        <w:rPr>
          <w:rFonts w:ascii="Times New Roman" w:hAnsi="Times New Roman"/>
          <w:sz w:val="22"/>
          <w:szCs w:val="22"/>
          <w:lang w:val="hu-HU"/>
        </w:rPr>
      </w:pPr>
      <w:r w:rsidRPr="00EC3F10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243DA9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243DA9" w:rsidRPr="0088236D">
        <w:rPr>
          <w:rFonts w:ascii="Times New Roman" w:hAnsi="Times New Roman"/>
          <w:sz w:val="22"/>
          <w:szCs w:val="22"/>
          <w:u w:val="single"/>
          <w:lang w:val="hu-HU"/>
        </w:rPr>
        <w:t>és serdülők</w:t>
      </w:r>
    </w:p>
    <w:p w14:paraId="0ADF182F" w14:textId="77777777" w:rsidR="004612A7" w:rsidRPr="004612A7" w:rsidRDefault="004612A7" w:rsidP="00EC3F1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88236D">
        <w:rPr>
          <w:rFonts w:ascii="Times New Roman" w:hAnsi="Times New Roman"/>
          <w:sz w:val="22"/>
          <w:szCs w:val="22"/>
          <w:lang w:val="hu-HU" w:eastAsia="hu-HU"/>
        </w:rPr>
        <w:t>A Meropenem Kabi 3 hónaposnál idősebb gyermekek kezelésére engedélyezett. A korlátozottan rendelkezésre álló adatok szerint nincs bizonyíték mellékhatások fokozott kockázatára gyermekeknél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3E3FD1" w:rsidRPr="0088236D">
        <w:rPr>
          <w:rFonts w:ascii="Times New Roman" w:hAnsi="Times New Roman"/>
          <w:sz w:val="22"/>
          <w:szCs w:val="22"/>
          <w:lang w:val="hu-HU" w:eastAsia="hu-HU"/>
        </w:rPr>
        <w:t>és se</w:t>
      </w:r>
      <w:r w:rsidR="004D7987" w:rsidRPr="0088236D">
        <w:rPr>
          <w:rFonts w:ascii="Times New Roman" w:hAnsi="Times New Roman"/>
          <w:sz w:val="22"/>
          <w:szCs w:val="22"/>
          <w:lang w:val="hu-HU" w:eastAsia="hu-HU"/>
        </w:rPr>
        <w:t>rdülőknél</w:t>
      </w:r>
      <w:r w:rsidRPr="0088236D">
        <w:rPr>
          <w:rFonts w:ascii="Times New Roman" w:hAnsi="Times New Roman"/>
          <w:sz w:val="22"/>
          <w:szCs w:val="22"/>
          <w:lang w:val="hu-HU" w:eastAsia="hu-HU"/>
        </w:rPr>
        <w:t>. A beérkezett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43DA9">
        <w:rPr>
          <w:rFonts w:ascii="Times New Roman" w:hAnsi="Times New Roman"/>
          <w:sz w:val="22"/>
          <w:szCs w:val="22"/>
          <w:lang w:val="hu-HU" w:eastAsia="hu-HU"/>
        </w:rPr>
        <w:t>jelentések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egyeztek a felnőtteknél megfigyelt eseményekkel.</w:t>
      </w:r>
    </w:p>
    <w:p w14:paraId="2BAF8696" w14:textId="77777777" w:rsidR="004612A7" w:rsidRPr="002D0F02" w:rsidRDefault="004612A7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7CAF539" w14:textId="77777777" w:rsidR="00281076" w:rsidRPr="002D0F02" w:rsidRDefault="00281076" w:rsidP="00900872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102E3F30" w14:textId="678A6B26" w:rsidR="00281076" w:rsidRPr="002D0F02" w:rsidRDefault="00281076" w:rsidP="00900872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3D41A0">
        <w:rPr>
          <w:rFonts w:ascii="Times New Roman" w:hAnsi="Times New Roman"/>
          <w:sz w:val="22"/>
          <w:szCs w:val="22"/>
          <w:lang w:val="hu-HU"/>
        </w:rPr>
        <w:t xml:space="preserve">részére az </w:t>
      </w:r>
      <w:hyperlink r:id="rId11" w:history="1">
        <w:r w:rsidRPr="00473100">
          <w:rPr>
            <w:rStyle w:val="Hiperhivatkozs"/>
            <w:rFonts w:ascii="Times New Roman" w:hAnsi="Times New Roman"/>
            <w:sz w:val="22"/>
            <w:szCs w:val="22"/>
            <w:highlight w:val="darkGray"/>
            <w:lang w:val="hu-HU"/>
          </w:rPr>
          <w:t>V. függelékben</w:t>
        </w:r>
      </w:hyperlink>
      <w:r w:rsidRPr="00473100">
        <w:rPr>
          <w:rFonts w:ascii="Times New Roman" w:hAnsi="Times New Roman"/>
          <w:sz w:val="22"/>
          <w:szCs w:val="22"/>
          <w:highlight w:val="darkGray"/>
          <w:lang w:val="hu-HU"/>
        </w:rPr>
        <w:t xml:space="preserve"> található elérhetőségek valamelyikén keresztül</w:t>
      </w:r>
      <w:r w:rsidRPr="003D41A0">
        <w:rPr>
          <w:rFonts w:ascii="Times New Roman" w:hAnsi="Times New Roman"/>
          <w:sz w:val="22"/>
          <w:szCs w:val="22"/>
          <w:lang w:val="hu-HU"/>
        </w:rPr>
        <w:t>.</w:t>
      </w:r>
    </w:p>
    <w:p w14:paraId="593ABFBF" w14:textId="77777777" w:rsidR="00281076" w:rsidRPr="002D0F02" w:rsidRDefault="0028107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DDADBC7" w14:textId="77777777" w:rsidR="00D97F23" w:rsidRPr="002D0F02" w:rsidRDefault="00C343CA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102E2F85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6E1CD11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Relatív túladagolás előfordulhat vesekárosodásban szenvedő betegek esetén, amennyiben a dózismódosítás nem történik meg a 4.2 pontban leírtak szerint. Korlátozott </w:t>
      </w:r>
      <w:r w:rsidR="00DB195F">
        <w:rPr>
          <w:rFonts w:ascii="Times New Roman" w:hAnsi="Times New Roman"/>
          <w:sz w:val="22"/>
          <w:szCs w:val="22"/>
          <w:lang w:val="hu-HU" w:eastAsia="hu-HU"/>
        </w:rPr>
        <w:t xml:space="preserve">számú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posztmarketing tapasztalatok szerint, ha a túladagolást követően mellékhatások jelentkeznek, azok a 4.8 pontban leírt mellékhatás-profillal megegyeznek, általában enyhék és a gyógyszer felfüggesztését</w:t>
      </w:r>
      <w:r w:rsidR="001E01BE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illetve a dózis csökkentését követően enyhülnek. A tüneti kezelés alkalmazása megfontolandó.</w:t>
      </w:r>
    </w:p>
    <w:p w14:paraId="2F84F78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B1863D7" w14:textId="77777777" w:rsidR="007F32D2" w:rsidRPr="002D0F02" w:rsidRDefault="007F32D2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Normális vesefunkciójú egyéneknél a vesén keresztül gyors kiürülés következik be.</w:t>
      </w:r>
    </w:p>
    <w:p w14:paraId="11BADD44" w14:textId="77777777" w:rsidR="007F32D2" w:rsidRPr="002D0F02" w:rsidRDefault="007F32D2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8C728FC" w14:textId="77777777" w:rsidR="005F2910" w:rsidRPr="002D0F02" w:rsidRDefault="007F32D2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metabolitjai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eltávolíthatók.</w:t>
      </w:r>
    </w:p>
    <w:p w14:paraId="1B7C16A1" w14:textId="77777777" w:rsidR="00D97F23" w:rsidRPr="002D0F02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27CD21E" w14:textId="77777777" w:rsidR="00D97F23" w:rsidRPr="002D0F02" w:rsidRDefault="00D97F23" w:rsidP="002D0F02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09958226" w14:textId="77777777" w:rsidR="00D97F23" w:rsidRPr="002D0F02" w:rsidRDefault="00D97F23" w:rsidP="00473100">
      <w:pPr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47AE9697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FD404D4" w14:textId="77777777" w:rsidR="00D97F23" w:rsidRPr="002D0F02" w:rsidRDefault="00D97F2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Farmakodinámiás tulajdonságok</w:t>
      </w:r>
    </w:p>
    <w:p w14:paraId="53C9E55F" w14:textId="77777777" w:rsidR="00D97F23" w:rsidRPr="002D0F02" w:rsidRDefault="00D97F23" w:rsidP="002D0F02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sz w:val="22"/>
          <w:szCs w:val="22"/>
          <w:lang w:val="hu-HU"/>
        </w:rPr>
      </w:pPr>
    </w:p>
    <w:p w14:paraId="03715BBC" w14:textId="77777777" w:rsidR="00F55D9C" w:rsidRPr="002D0F02" w:rsidRDefault="007F32D2" w:rsidP="002D0F02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Farmakoterápiás csoport: </w:t>
      </w:r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zisztémás antibakteriális szerek, </w:t>
      </w:r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 xml:space="preserve">Egyéb béta-laktám antibiotikumok; </w:t>
      </w:r>
      <w:proofErr w:type="spellStart"/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arbapenemek</w:t>
      </w:r>
      <w:proofErr w:type="spellEnd"/>
      <w:r w:rsidR="00F55D9C"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ED8F631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ATC kód: J01DH02</w:t>
      </w:r>
    </w:p>
    <w:p w14:paraId="546986CC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F652782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16A9998B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ba</w:t>
      </w:r>
      <w:r w:rsidR="00DB195F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tericid hatását a penicillinkötő fehérjékhez (penicillin-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binding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proteins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– PBP-k) kötődve a bakteriális sejtfal-szintézis gátlása révén fejti ki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-pozitív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-negatív baktériumokban.</w:t>
      </w:r>
    </w:p>
    <w:p w14:paraId="037431F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BAD29EC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Farmakokinetikai/farmakodinámiás (PK/PD) összefüggés</w:t>
      </w:r>
    </w:p>
    <w:p w14:paraId="5D2DF2C3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Más béta-laktám antibakteriális szerekhez hasonlóan az az idő korrelál legjobban a hatásossággal, amíg a meropenem koncentrációja meghaladja a MIC-értéket (T &gt; MIC). A preklinikai modellekben a meropenem hatása akkor mutatkozott meg, amikor a plazmakoncentrációk meghaladták a fertőző organizmusok MIC-értékét az adagolási intervallum kb. 40%-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 Ezt a célértéket klinikailag nem állapították meg.</w:t>
      </w:r>
    </w:p>
    <w:p w14:paraId="46C70D3D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53B44D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Rezisztenciamechanizmus</w:t>
      </w:r>
    </w:p>
    <w:p w14:paraId="6F38D153" w14:textId="77777777" w:rsidR="00D516A6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kialakuló bakteriális rezisztencia oka lehet: (1)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-negatív baktériumok külső membránjának csökkent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permeabilitása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(a csökkent porin-termelés következményeként), (2) a PBP</w:t>
      </w:r>
      <w:r w:rsidR="00360AA4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célenzimek csökkent affinitása, (3) az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-pumpa komponensek túlzott expressziója és (4)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karbapenemeket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hidrolizáló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béta-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laktamázok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termelődése.</w:t>
      </w:r>
    </w:p>
    <w:p w14:paraId="71C357CF" w14:textId="77777777" w:rsidR="00D516A6" w:rsidRPr="002D0F02" w:rsidRDefault="00D516A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E0C875F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-rezisztens organizmusok okozta fertőzések lokalizált gócait jelentették az Európai Unióban.</w:t>
      </w:r>
    </w:p>
    <w:p w14:paraId="71B24C5B" w14:textId="77777777" w:rsidR="00DB195F" w:rsidRDefault="00DB195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0284135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Nincs célpont-alapú keresztrezisztencia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kinolonok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aminoglikozidok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makrolidok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tetraciklinek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osztályába tartozó szerek között. Azonban a baktériumok az antibakteriális szerek egyszerre több osztályával szemben is mutathatnak rezisztenciát, ha a mechanizmusban impermeabilitás és/vagy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-pumpa(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) vesz részt.</w:t>
      </w:r>
    </w:p>
    <w:p w14:paraId="035A7BBA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495082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Határértékek</w:t>
      </w:r>
    </w:p>
    <w:p w14:paraId="34A25F13" w14:textId="77777777" w:rsidR="007F32D2" w:rsidRPr="002D0F02" w:rsidRDefault="007F32D2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Antimikrobiális Érzékenységi Vizsgálatok Európai Bizottsága (European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Committee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on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Antimicrobial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Susceptibility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Testing – EUCAST) által megállapított minimális gátló koncentráció (MIC - Minimum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Inhibitory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Concentration) </w:t>
      </w:r>
      <w:r w:rsidR="00DB531F" w:rsidRPr="002D0F02">
        <w:rPr>
          <w:rFonts w:ascii="Times New Roman" w:hAnsi="Times New Roman"/>
          <w:sz w:val="22"/>
          <w:szCs w:val="22"/>
          <w:lang w:val="hu-HU" w:eastAsia="hu-HU"/>
        </w:rPr>
        <w:t xml:space="preserve">klinikai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határértéke</w:t>
      </w:r>
      <w:r w:rsidR="00DB531F" w:rsidRPr="002D0F02">
        <w:rPr>
          <w:rFonts w:ascii="Times New Roman" w:hAnsi="Times New Roman"/>
          <w:sz w:val="22"/>
          <w:szCs w:val="22"/>
          <w:lang w:val="hu-HU" w:eastAsia="hu-HU"/>
        </w:rPr>
        <w:t>i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következők:</w:t>
      </w:r>
    </w:p>
    <w:p w14:paraId="54261931" w14:textId="77777777" w:rsidR="004778B7" w:rsidRDefault="004778B7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4A15CF8" w14:textId="77777777" w:rsidR="004778B7" w:rsidRPr="00626924" w:rsidRDefault="004778B7" w:rsidP="004778B7">
      <w:pPr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5</w:t>
      </w:r>
      <w:r w:rsidRPr="004778B7">
        <w:rPr>
          <w:rFonts w:ascii="Times New Roman" w:hAnsi="Times New Roman"/>
          <w:sz w:val="22"/>
          <w:szCs w:val="22"/>
          <w:lang w:val="hu-HU" w:eastAsia="hu-HU"/>
        </w:rPr>
        <w:t>.</w:t>
      </w:r>
      <w:r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626924">
        <w:rPr>
          <w:rFonts w:ascii="Times New Roman" w:hAnsi="Times New Roman"/>
          <w:sz w:val="22"/>
          <w:szCs w:val="22"/>
          <w:lang w:val="hu-HU" w:eastAsia="hu-HU"/>
        </w:rPr>
        <w:t>táblázat</w:t>
      </w:r>
    </w:p>
    <w:p w14:paraId="4D786CB6" w14:textId="77777777" w:rsidR="005222DB" w:rsidRPr="002D0F02" w:rsidRDefault="00DB531F" w:rsidP="002D0F02">
      <w:pPr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</w:t>
      </w:r>
      <w:r w:rsidR="007F32D2" w:rsidRPr="002D0F02">
        <w:rPr>
          <w:rFonts w:ascii="Times New Roman" w:hAnsi="Times New Roman"/>
          <w:sz w:val="22"/>
          <w:szCs w:val="22"/>
          <w:lang w:val="hu-HU" w:eastAsia="hu-HU"/>
        </w:rPr>
        <w:t xml:space="preserve">EUCAST </w:t>
      </w:r>
      <w:proofErr w:type="spellStart"/>
      <w:r w:rsidR="007F32D2" w:rsidRPr="002D0F02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  <w:r w:rsidR="007F32D2" w:rsidRPr="002D0F02">
        <w:rPr>
          <w:rFonts w:ascii="Times New Roman" w:hAnsi="Times New Roman"/>
          <w:sz w:val="22"/>
          <w:szCs w:val="22"/>
          <w:lang w:val="hu-HU" w:eastAsia="hu-HU"/>
        </w:rPr>
        <w:t xml:space="preserve"> vonatkozó klinikai MIC</w:t>
      </w:r>
      <w:r w:rsidR="00EA73BB">
        <w:rPr>
          <w:rFonts w:ascii="Times New Roman" w:hAnsi="Times New Roman"/>
          <w:sz w:val="22"/>
          <w:szCs w:val="22"/>
          <w:lang w:val="hu-HU" w:eastAsia="hu-HU"/>
        </w:rPr>
        <w:t>-</w:t>
      </w:r>
      <w:r w:rsidR="007F32D2" w:rsidRPr="002D0F02">
        <w:rPr>
          <w:rFonts w:ascii="Times New Roman" w:hAnsi="Times New Roman"/>
          <w:sz w:val="22"/>
          <w:szCs w:val="22"/>
          <w:lang w:val="hu-HU" w:eastAsia="hu-HU"/>
        </w:rPr>
        <w:t>határértékei (</w:t>
      </w:r>
      <w:r w:rsidR="00C316A9" w:rsidRPr="002D0F02">
        <w:rPr>
          <w:rFonts w:ascii="Times New Roman" w:hAnsi="Times New Roman"/>
          <w:sz w:val="22"/>
          <w:szCs w:val="22"/>
          <w:lang w:val="hu-HU" w:eastAsia="hu-HU"/>
        </w:rPr>
        <w:t>2013-02-11, v 3.1</w:t>
      </w:r>
      <w:r w:rsidR="007F32D2" w:rsidRPr="002D0F02">
        <w:rPr>
          <w:rFonts w:ascii="Times New Roman" w:hAnsi="Times New Roman"/>
          <w:sz w:val="22"/>
          <w:szCs w:val="22"/>
          <w:lang w:val="hu-HU" w:eastAsia="hu-HU"/>
        </w:rPr>
        <w:t>)</w:t>
      </w: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69"/>
        <w:gridCol w:w="2127"/>
        <w:gridCol w:w="2268"/>
      </w:tblGrid>
      <w:tr w:rsidR="00D97F23" w:rsidRPr="002D0F02" w14:paraId="150CACF4" w14:textId="77777777" w:rsidTr="002822E8">
        <w:trPr>
          <w:tblHeader/>
        </w:trPr>
        <w:tc>
          <w:tcPr>
            <w:tcW w:w="3969" w:type="dxa"/>
          </w:tcPr>
          <w:p w14:paraId="1FEF5B0F" w14:textId="77777777" w:rsidR="00D97F23" w:rsidRPr="002D0F02" w:rsidRDefault="007F32D2" w:rsidP="002D0F02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Orga</w:t>
            </w:r>
            <w:r w:rsidR="00D516A6"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n</w:t>
            </w:r>
            <w:r w:rsidRPr="002D0F02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izmus</w:t>
            </w:r>
          </w:p>
        </w:tc>
        <w:tc>
          <w:tcPr>
            <w:tcW w:w="2127" w:type="dxa"/>
          </w:tcPr>
          <w:p w14:paraId="3C85193A" w14:textId="77777777" w:rsidR="00D97F23" w:rsidRPr="002D0F02" w:rsidRDefault="007F32D2" w:rsidP="002822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Érzékeny (É) (mg/l)</w:t>
            </w:r>
          </w:p>
        </w:tc>
        <w:tc>
          <w:tcPr>
            <w:tcW w:w="2268" w:type="dxa"/>
          </w:tcPr>
          <w:p w14:paraId="5925AA8C" w14:textId="77777777" w:rsidR="00D97F23" w:rsidRPr="002D0F02" w:rsidRDefault="007F32D2" w:rsidP="002822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Rezisztens (R) (mg/l)</w:t>
            </w:r>
          </w:p>
        </w:tc>
      </w:tr>
      <w:tr w:rsidR="007F32D2" w:rsidRPr="002D0F02" w14:paraId="08B7386E" w14:textId="77777777">
        <w:tc>
          <w:tcPr>
            <w:tcW w:w="3969" w:type="dxa"/>
          </w:tcPr>
          <w:p w14:paraId="2253DC4B" w14:textId="77777777" w:rsidR="007F32D2" w:rsidRPr="00DB195F" w:rsidRDefault="007F32D2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Enterobacteriaceae</w:t>
            </w:r>
            <w:proofErr w:type="spellEnd"/>
          </w:p>
        </w:tc>
        <w:tc>
          <w:tcPr>
            <w:tcW w:w="2127" w:type="dxa"/>
          </w:tcPr>
          <w:p w14:paraId="0636DFF3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023A1152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  <w:tr w:rsidR="007F32D2" w:rsidRPr="002D0F02" w14:paraId="4FC82812" w14:textId="77777777">
        <w:tc>
          <w:tcPr>
            <w:tcW w:w="3969" w:type="dxa"/>
          </w:tcPr>
          <w:p w14:paraId="77FC8BEE" w14:textId="77777777" w:rsidR="007F32D2" w:rsidRPr="00DB195F" w:rsidRDefault="007F32D2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Pseudomonas</w:t>
            </w:r>
            <w:proofErr w:type="spellEnd"/>
          </w:p>
        </w:tc>
        <w:tc>
          <w:tcPr>
            <w:tcW w:w="2127" w:type="dxa"/>
          </w:tcPr>
          <w:p w14:paraId="2E913498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139B819D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  <w:tr w:rsidR="007F32D2" w:rsidRPr="002D0F02" w14:paraId="76DF2244" w14:textId="77777777">
        <w:tc>
          <w:tcPr>
            <w:tcW w:w="3969" w:type="dxa"/>
          </w:tcPr>
          <w:p w14:paraId="4CB611AE" w14:textId="77777777" w:rsidR="007F32D2" w:rsidRPr="00DB195F" w:rsidRDefault="007F32D2" w:rsidP="002D0F02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Acinetobacter</w:t>
            </w:r>
            <w:proofErr w:type="spellEnd"/>
          </w:p>
        </w:tc>
        <w:tc>
          <w:tcPr>
            <w:tcW w:w="2127" w:type="dxa"/>
          </w:tcPr>
          <w:p w14:paraId="7FD12390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154E45F9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  <w:tr w:rsidR="007F32D2" w:rsidRPr="002D0F02" w14:paraId="07164E81" w14:textId="77777777">
        <w:tc>
          <w:tcPr>
            <w:tcW w:w="3969" w:type="dxa"/>
          </w:tcPr>
          <w:p w14:paraId="69328F79" w14:textId="77777777" w:rsidR="007F32D2" w:rsidRPr="002D0F02" w:rsidRDefault="007F32D2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Streptococcus</w:t>
            </w:r>
            <w:proofErr w:type="spellEnd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A, B, C</w:t>
            </w:r>
            <w:r w:rsidR="00C316A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és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G csoport</w:t>
            </w:r>
          </w:p>
        </w:tc>
        <w:tc>
          <w:tcPr>
            <w:tcW w:w="2127" w:type="dxa"/>
          </w:tcPr>
          <w:p w14:paraId="53B71010" w14:textId="77777777" w:rsidR="007F32D2" w:rsidRPr="002D0F02" w:rsidRDefault="00C316A9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6. lábjegyzet</w:t>
            </w:r>
          </w:p>
        </w:tc>
        <w:tc>
          <w:tcPr>
            <w:tcW w:w="2268" w:type="dxa"/>
          </w:tcPr>
          <w:p w14:paraId="30F0205D" w14:textId="77777777" w:rsidR="007F32D2" w:rsidRPr="002D0F02" w:rsidRDefault="00C316A9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6. lábjegyzet</w:t>
            </w:r>
          </w:p>
        </w:tc>
      </w:tr>
      <w:tr w:rsidR="007F32D2" w:rsidRPr="002D0F02" w14:paraId="12B23EB2" w14:textId="77777777">
        <w:tc>
          <w:tcPr>
            <w:tcW w:w="3969" w:type="dxa"/>
          </w:tcPr>
          <w:p w14:paraId="7DCE5F9C" w14:textId="77777777" w:rsidR="007F32D2" w:rsidRPr="002D0F02" w:rsidRDefault="007F32D2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>Streptococcus</w:t>
            </w:r>
            <w:proofErr w:type="spellEnd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pneumoniae</w:t>
            </w:r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  <w:t>1</w:t>
            </w:r>
          </w:p>
        </w:tc>
        <w:tc>
          <w:tcPr>
            <w:tcW w:w="2127" w:type="dxa"/>
          </w:tcPr>
          <w:p w14:paraId="7136DF13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6118E266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2</w:t>
            </w:r>
          </w:p>
        </w:tc>
      </w:tr>
      <w:tr w:rsidR="00C316A9" w:rsidRPr="002D0F02" w14:paraId="408C5983" w14:textId="77777777">
        <w:tc>
          <w:tcPr>
            <w:tcW w:w="3969" w:type="dxa"/>
          </w:tcPr>
          <w:p w14:paraId="5B1BEBC2" w14:textId="77777777" w:rsidR="00C316A9" w:rsidRPr="002D0F02" w:rsidRDefault="00C316A9" w:rsidP="002D0F02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2822E8">
              <w:rPr>
                <w:rFonts w:ascii="Times New Roman" w:hAnsi="Times New Roman"/>
                <w:sz w:val="22"/>
                <w:szCs w:val="22"/>
                <w:lang w:val="hu-HU" w:eastAsia="hu-HU"/>
              </w:rPr>
              <w:t>Viridans</w:t>
            </w:r>
            <w:proofErr w:type="spellEnd"/>
            <w:r w:rsidRPr="002822E8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csoportba tartozó Streptococcusok</w:t>
            </w:r>
            <w:r w:rsidRPr="002822E8">
              <w:rPr>
                <w:rFonts w:ascii="Times New Roman" w:hAnsi="Times New Roman"/>
                <w:sz w:val="22"/>
                <w:szCs w:val="22"/>
                <w:vertAlign w:val="superscript"/>
                <w:lang w:val="hu-HU" w:eastAsia="hu-HU"/>
              </w:rPr>
              <w:t>2</w:t>
            </w:r>
          </w:p>
        </w:tc>
        <w:tc>
          <w:tcPr>
            <w:tcW w:w="2127" w:type="dxa"/>
          </w:tcPr>
          <w:p w14:paraId="59305B0D" w14:textId="77777777" w:rsidR="00C316A9" w:rsidRPr="002D0F02" w:rsidRDefault="00C316A9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2F21D8F1" w14:textId="77777777" w:rsidR="00C316A9" w:rsidRPr="002D0F02" w:rsidRDefault="00C316A9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2</w:t>
            </w:r>
          </w:p>
        </w:tc>
      </w:tr>
      <w:tr w:rsidR="007F32D2" w:rsidRPr="002D0F02" w14:paraId="42D6D398" w14:textId="77777777">
        <w:tc>
          <w:tcPr>
            <w:tcW w:w="3969" w:type="dxa"/>
          </w:tcPr>
          <w:p w14:paraId="6352C6C3" w14:textId="77777777" w:rsidR="007F32D2" w:rsidRPr="002822E8" w:rsidRDefault="007F32D2" w:rsidP="00DB195F">
            <w:pPr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Enterococcus</w:t>
            </w:r>
            <w:proofErr w:type="spellEnd"/>
            <w:r w:rsidR="00C316A9"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C316A9"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spp</w:t>
            </w:r>
            <w:proofErr w:type="spellEnd"/>
            <w:r w:rsidR="00C316A9"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.</w:t>
            </w:r>
          </w:p>
        </w:tc>
        <w:tc>
          <w:tcPr>
            <w:tcW w:w="2127" w:type="dxa"/>
          </w:tcPr>
          <w:p w14:paraId="79A00E50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--</w:t>
            </w:r>
          </w:p>
        </w:tc>
        <w:tc>
          <w:tcPr>
            <w:tcW w:w="2268" w:type="dxa"/>
          </w:tcPr>
          <w:p w14:paraId="0C520D59" w14:textId="77777777" w:rsidR="007F32D2" w:rsidRPr="002D0F02" w:rsidRDefault="00D516A6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--</w:t>
            </w:r>
          </w:p>
        </w:tc>
      </w:tr>
      <w:tr w:rsidR="007F32D2" w:rsidRPr="002D0F02" w14:paraId="1027155A" w14:textId="77777777">
        <w:tc>
          <w:tcPr>
            <w:tcW w:w="3969" w:type="dxa"/>
          </w:tcPr>
          <w:p w14:paraId="468033E7" w14:textId="77777777" w:rsidR="007F32D2" w:rsidRPr="002822E8" w:rsidRDefault="007F32D2" w:rsidP="002D0F02">
            <w:pPr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>Staphylococcus</w:t>
            </w:r>
            <w:proofErr w:type="spellEnd"/>
            <w:r w:rsidR="00C316A9" w:rsidRPr="002822E8"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  <w:t xml:space="preserve"> spp.</w:t>
            </w:r>
            <w:r w:rsidR="00C316A9" w:rsidRPr="002822E8">
              <w:rPr>
                <w:rFonts w:ascii="Times New Roman" w:hAnsi="Times New Roman"/>
                <w:iCs/>
                <w:sz w:val="22"/>
                <w:szCs w:val="22"/>
                <w:vertAlign w:val="superscript"/>
                <w:lang w:val="hu-HU" w:eastAsia="hu-HU"/>
              </w:rPr>
              <w:t>2</w:t>
            </w:r>
          </w:p>
        </w:tc>
        <w:tc>
          <w:tcPr>
            <w:tcW w:w="2127" w:type="dxa"/>
          </w:tcPr>
          <w:p w14:paraId="3F53FBE9" w14:textId="77777777" w:rsidR="007F32D2" w:rsidRPr="002D0F02" w:rsidRDefault="007F32D2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3. lábjegyzet</w:t>
            </w:r>
          </w:p>
        </w:tc>
        <w:tc>
          <w:tcPr>
            <w:tcW w:w="2268" w:type="dxa"/>
          </w:tcPr>
          <w:p w14:paraId="13F3EF11" w14:textId="77777777" w:rsidR="007F32D2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3. lábjegyzet</w:t>
            </w:r>
          </w:p>
        </w:tc>
      </w:tr>
      <w:tr w:rsidR="00CC1C80" w:rsidRPr="002D0F02" w14:paraId="47BA0352" w14:textId="77777777">
        <w:tc>
          <w:tcPr>
            <w:tcW w:w="3969" w:type="dxa"/>
          </w:tcPr>
          <w:p w14:paraId="466ADDAF" w14:textId="77777777" w:rsidR="00CC1C80" w:rsidRPr="002822E8" w:rsidRDefault="00CC1C80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>Haemophilus</w:t>
            </w:r>
            <w:proofErr w:type="spellEnd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influenzae</w:t>
            </w:r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  <w:t>1</w:t>
            </w:r>
            <w:r w:rsidR="00C316A9" w:rsidRPr="002D0F02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  <w:t>,2</w:t>
            </w:r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</w:t>
            </w: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és </w:t>
            </w:r>
            <w:proofErr w:type="spellStart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>Moraxella</w:t>
            </w:r>
            <w:proofErr w:type="spellEnd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catarrhalis</w:t>
            </w:r>
            <w:r w:rsidR="00C316A9" w:rsidRPr="002D0F02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  <w:t>2</w:t>
            </w:r>
          </w:p>
        </w:tc>
        <w:tc>
          <w:tcPr>
            <w:tcW w:w="2127" w:type="dxa"/>
          </w:tcPr>
          <w:p w14:paraId="0CC76110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57E35829" w14:textId="77777777" w:rsidR="00CC1C80" w:rsidRPr="002D0F02" w:rsidRDefault="00D516A6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</w:t>
            </w:r>
            <w:r w:rsidR="00CC1C8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2</w:t>
            </w:r>
          </w:p>
        </w:tc>
      </w:tr>
      <w:tr w:rsidR="00CC1C80" w:rsidRPr="002D0F02" w14:paraId="3079B82D" w14:textId="77777777">
        <w:tc>
          <w:tcPr>
            <w:tcW w:w="3969" w:type="dxa"/>
          </w:tcPr>
          <w:p w14:paraId="461E463E" w14:textId="77777777" w:rsidR="00CC1C80" w:rsidRPr="002D0F02" w:rsidRDefault="00CC1C80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>Neisseria</w:t>
            </w:r>
            <w:proofErr w:type="spellEnd"/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  <w:t xml:space="preserve"> meningitidis</w:t>
            </w:r>
            <w:r w:rsidRPr="002D0F02">
              <w:rPr>
                <w:rFonts w:ascii="Times New Roman" w:hAnsi="Times New Roman"/>
                <w:i/>
                <w:iCs/>
                <w:sz w:val="22"/>
                <w:szCs w:val="22"/>
                <w:vertAlign w:val="superscript"/>
                <w:lang w:val="hu-HU" w:eastAsia="hu-HU"/>
              </w:rPr>
              <w:t>2,4</w:t>
            </w:r>
          </w:p>
        </w:tc>
        <w:tc>
          <w:tcPr>
            <w:tcW w:w="2127" w:type="dxa"/>
          </w:tcPr>
          <w:p w14:paraId="1279901E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0,25</w:t>
            </w:r>
          </w:p>
        </w:tc>
        <w:tc>
          <w:tcPr>
            <w:tcW w:w="2268" w:type="dxa"/>
          </w:tcPr>
          <w:p w14:paraId="5C9A8F56" w14:textId="77777777" w:rsidR="00CC1C80" w:rsidRPr="002D0F02" w:rsidRDefault="00D516A6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</w:t>
            </w:r>
            <w:r w:rsidR="00CC1C80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0,25</w:t>
            </w:r>
          </w:p>
        </w:tc>
      </w:tr>
      <w:tr w:rsidR="00CC1C80" w:rsidRPr="002D0F02" w14:paraId="7A805EB1" w14:textId="77777777">
        <w:tc>
          <w:tcPr>
            <w:tcW w:w="3969" w:type="dxa"/>
          </w:tcPr>
          <w:p w14:paraId="489B5955" w14:textId="77777777" w:rsidR="00CC1C80" w:rsidRPr="002822E8" w:rsidRDefault="00CC1C80" w:rsidP="002D0F02">
            <w:pPr>
              <w:rPr>
                <w:rFonts w:ascii="Times New Roman" w:hAnsi="Times New Roman"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Gram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-pozitív anaerobok</w:t>
            </w:r>
            <w:r w:rsidR="00C316A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a </w:t>
            </w:r>
            <w:proofErr w:type="spellStart"/>
            <w:r w:rsidR="00C316A9"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>Clostridium</w:t>
            </w:r>
            <w:proofErr w:type="spellEnd"/>
            <w:r w:rsidR="00C316A9"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C316A9"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>difficile</w:t>
            </w:r>
            <w:proofErr w:type="spellEnd"/>
            <w:r w:rsidR="00C316A9"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kivételével</w:t>
            </w:r>
          </w:p>
        </w:tc>
        <w:tc>
          <w:tcPr>
            <w:tcW w:w="2127" w:type="dxa"/>
          </w:tcPr>
          <w:p w14:paraId="0ABEFA8F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5B9EE9E8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  <w:tr w:rsidR="00CC1C80" w:rsidRPr="002D0F02" w14:paraId="7D2EFF93" w14:textId="77777777">
        <w:tc>
          <w:tcPr>
            <w:tcW w:w="3969" w:type="dxa"/>
          </w:tcPr>
          <w:p w14:paraId="29BD9E58" w14:textId="77777777" w:rsidR="00CC1C80" w:rsidRPr="002D0F02" w:rsidRDefault="00CC1C80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Gram</w:t>
            </w:r>
            <w:proofErr w:type="spellEnd"/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-negatív anaerobok</w:t>
            </w:r>
          </w:p>
        </w:tc>
        <w:tc>
          <w:tcPr>
            <w:tcW w:w="2127" w:type="dxa"/>
          </w:tcPr>
          <w:p w14:paraId="6A705B20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7364CD90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  <w:tr w:rsidR="00C316A9" w:rsidRPr="002D0F02" w14:paraId="3564B2ED" w14:textId="77777777">
        <w:tc>
          <w:tcPr>
            <w:tcW w:w="3969" w:type="dxa"/>
          </w:tcPr>
          <w:p w14:paraId="0F0FAAC2" w14:textId="77777777" w:rsidR="00C316A9" w:rsidRPr="002822E8" w:rsidRDefault="00C316A9" w:rsidP="002D0F02">
            <w:pPr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</w:pPr>
            <w:proofErr w:type="spellStart"/>
            <w:r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>Listeria</w:t>
            </w:r>
            <w:proofErr w:type="spellEnd"/>
            <w:r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2D0F02">
              <w:rPr>
                <w:rFonts w:ascii="Times New Roman" w:hAnsi="Times New Roman"/>
                <w:i/>
                <w:sz w:val="22"/>
                <w:szCs w:val="22"/>
                <w:lang w:val="hu-HU" w:eastAsia="hu-HU"/>
              </w:rPr>
              <w:t>monocytogenes</w:t>
            </w:r>
            <w:proofErr w:type="spellEnd"/>
          </w:p>
        </w:tc>
        <w:tc>
          <w:tcPr>
            <w:tcW w:w="2127" w:type="dxa"/>
          </w:tcPr>
          <w:p w14:paraId="67168DCB" w14:textId="77777777" w:rsidR="00C316A9" w:rsidRPr="002D0F02" w:rsidRDefault="005077CB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0,25</w:t>
            </w:r>
          </w:p>
        </w:tc>
        <w:tc>
          <w:tcPr>
            <w:tcW w:w="2268" w:type="dxa"/>
          </w:tcPr>
          <w:p w14:paraId="674AA339" w14:textId="77777777" w:rsidR="00C316A9" w:rsidRPr="002D0F02" w:rsidRDefault="005077CB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0,25</w:t>
            </w:r>
          </w:p>
        </w:tc>
      </w:tr>
      <w:tr w:rsidR="00CC1C80" w:rsidRPr="002D0F02" w14:paraId="1D95FAFF" w14:textId="77777777">
        <w:tc>
          <w:tcPr>
            <w:tcW w:w="3969" w:type="dxa"/>
          </w:tcPr>
          <w:p w14:paraId="7330F32E" w14:textId="77777777" w:rsidR="00CC1C80" w:rsidRPr="002D0F02" w:rsidRDefault="00CC1C80" w:rsidP="002D0F02">
            <w:pPr>
              <w:rPr>
                <w:rFonts w:ascii="Times New Roman" w:hAnsi="Times New Roman"/>
                <w:i/>
                <w:iCs/>
                <w:sz w:val="22"/>
                <w:szCs w:val="22"/>
                <w:lang w:val="hu-HU" w:eastAsia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species-függő határértékek</w:t>
            </w:r>
            <w:r w:rsidRPr="002D0F02">
              <w:rPr>
                <w:rFonts w:ascii="Times New Roman" w:hAnsi="Times New Roman"/>
                <w:sz w:val="22"/>
                <w:szCs w:val="22"/>
                <w:vertAlign w:val="superscript"/>
                <w:lang w:val="hu-HU" w:eastAsia="hu-HU"/>
              </w:rPr>
              <w:t>5</w:t>
            </w:r>
          </w:p>
        </w:tc>
        <w:tc>
          <w:tcPr>
            <w:tcW w:w="2127" w:type="dxa"/>
          </w:tcPr>
          <w:p w14:paraId="37EE17AF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≤ 2</w:t>
            </w:r>
          </w:p>
        </w:tc>
        <w:tc>
          <w:tcPr>
            <w:tcW w:w="2268" w:type="dxa"/>
          </w:tcPr>
          <w:p w14:paraId="440F64AC" w14:textId="77777777" w:rsidR="00CC1C80" w:rsidRPr="002D0F02" w:rsidRDefault="00CC1C80" w:rsidP="002822E8">
            <w:pPr>
              <w:jc w:val="center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2D0F02">
              <w:rPr>
                <w:rFonts w:ascii="Times New Roman" w:hAnsi="Times New Roman"/>
                <w:sz w:val="22"/>
                <w:szCs w:val="22"/>
                <w:lang w:val="hu-HU" w:eastAsia="hu-HU"/>
              </w:rPr>
              <w:t>&gt; 8</w:t>
            </w:r>
          </w:p>
        </w:tc>
      </w:tr>
    </w:tbl>
    <w:p w14:paraId="1DCABA51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55A7951" w14:textId="77777777" w:rsidR="002822E8" w:rsidRDefault="00CC1C80" w:rsidP="002D0F02">
      <w:pPr>
        <w:ind w:left="142" w:hanging="142"/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 A"/>
        </w:smartTagPr>
        <w:r w:rsidRPr="002D0F02">
          <w:rPr>
            <w:rFonts w:ascii="Times New Roman" w:hAnsi="Times New Roman"/>
            <w:sz w:val="22"/>
            <w:szCs w:val="22"/>
            <w:vertAlign w:val="superscript"/>
            <w:lang w:val="hu-HU"/>
          </w:rPr>
          <w:t>1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 xml:space="preserve"> A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/>
        </w:rPr>
        <w:t>Streptococcus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/>
        </w:rPr>
        <w:t>pneumoniae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-re és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/>
        </w:rPr>
        <w:t>Haemophilus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/>
        </w:rPr>
        <w:t>influenzae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-re vonatkozó határértékei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meningitisben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077CB" w:rsidRPr="002D0F02">
        <w:rPr>
          <w:sz w:val="22"/>
          <w:szCs w:val="22"/>
          <w:lang w:val="hu-HU"/>
        </w:rPr>
        <w:t xml:space="preserve">≤ 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t>0,25 mg/l (érzékeny) és &gt; 1 mg/l (rezisztens).</w:t>
      </w:r>
    </w:p>
    <w:p w14:paraId="7AECBB44" w14:textId="77777777" w:rsidR="00CC1C80" w:rsidRPr="002D0F02" w:rsidRDefault="00CC1C80" w:rsidP="002D0F02">
      <w:pPr>
        <w:ind w:left="142" w:hanging="142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vertAlign w:val="superscript"/>
          <w:lang w:val="hu-HU"/>
        </w:rPr>
        <w:t>2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Az 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t>érzékenységi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határérték fölötti MIC-értékkel rendelkező 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t xml:space="preserve">izolált 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törzseket 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t xml:space="preserve">nagyon 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ritkán, vagy egyáltalán nem jelentettek. A meghatározást és az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antimikrobiális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érzékenységi tesztet meg kell ismételni bármely ilyen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izolátum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esetén, és ha az eredmény igazolódik, a törzset el kell küldeni referencia-laboratóriumba. Addig, amíg bizonyítást nem nyer a klinikai hatékonyság a jelenlegi rezisztencia-határérték feletti MIC</w:t>
      </w:r>
      <w:r w:rsidR="00DB195F">
        <w:rPr>
          <w:rFonts w:ascii="Times New Roman" w:hAnsi="Times New Roman"/>
          <w:sz w:val="22"/>
          <w:szCs w:val="22"/>
          <w:lang w:val="hu-HU"/>
        </w:rPr>
        <w:noBreakHyphen/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értékkel bíró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izolátumra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vonatkozóan, rezisztensként kell jelenteni a törzset.</w:t>
      </w:r>
    </w:p>
    <w:p w14:paraId="66D90B4C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3 A"/>
        </w:smartTagPr>
        <w:r w:rsidRPr="002D0F02">
          <w:rPr>
            <w:rFonts w:ascii="Times New Roman" w:hAnsi="Times New Roman"/>
            <w:sz w:val="22"/>
            <w:szCs w:val="22"/>
            <w:vertAlign w:val="superscript"/>
            <w:lang w:val="hu-HU"/>
          </w:rPr>
          <w:t>3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 xml:space="preserve"> A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6F5B27" w:rsidRPr="002D0F02">
        <w:rPr>
          <w:rFonts w:ascii="Times New Roman" w:hAnsi="Times New Roman"/>
          <w:sz w:val="22"/>
          <w:szCs w:val="22"/>
          <w:lang w:val="hu-HU"/>
        </w:rPr>
        <w:t>Staphylococcusok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5077CB" w:rsidRPr="002D0F02">
        <w:rPr>
          <w:rFonts w:ascii="Times New Roman" w:hAnsi="Times New Roman"/>
          <w:sz w:val="22"/>
          <w:szCs w:val="22"/>
          <w:lang w:val="hu-HU"/>
        </w:rPr>
        <w:t>karbapenem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-érzékenysége a </w:t>
      </w:r>
      <w:proofErr w:type="spellStart"/>
      <w:r w:rsidR="005077CB" w:rsidRPr="002D0F02">
        <w:rPr>
          <w:rFonts w:ascii="Times New Roman" w:hAnsi="Times New Roman"/>
          <w:sz w:val="22"/>
          <w:szCs w:val="22"/>
          <w:lang w:val="hu-HU"/>
        </w:rPr>
        <w:t>cefoxitin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>-érzékenységből adódik.</w:t>
      </w:r>
    </w:p>
    <w:p w14:paraId="2F935C85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4 A"/>
        </w:smartTagPr>
        <w:r w:rsidRPr="002D0F02">
          <w:rPr>
            <w:rFonts w:ascii="Times New Roman" w:hAnsi="Times New Roman"/>
            <w:sz w:val="22"/>
            <w:szCs w:val="22"/>
            <w:vertAlign w:val="superscript"/>
            <w:lang w:val="hu-HU"/>
          </w:rPr>
          <w:t>4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 xml:space="preserve"> A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meropenem határértékek csak a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meningitisre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vonatkoznak.</w:t>
      </w:r>
    </w:p>
    <w:p w14:paraId="43512219" w14:textId="77777777" w:rsidR="005077CB" w:rsidRPr="002D0F02" w:rsidRDefault="00CC1C80" w:rsidP="002D0F02">
      <w:pPr>
        <w:ind w:left="142" w:hanging="142"/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5 A"/>
        </w:smartTagPr>
        <w:r w:rsidRPr="002D0F02">
          <w:rPr>
            <w:rFonts w:ascii="Times New Roman" w:hAnsi="Times New Roman"/>
            <w:sz w:val="22"/>
            <w:szCs w:val="22"/>
            <w:vertAlign w:val="superscript"/>
            <w:lang w:val="hu-HU"/>
          </w:rPr>
          <w:t>5</w:t>
        </w:r>
        <w:r w:rsidRPr="002D0F02">
          <w:rPr>
            <w:rFonts w:ascii="Times New Roman" w:hAnsi="Times New Roman"/>
            <w:sz w:val="22"/>
            <w:szCs w:val="22"/>
            <w:lang w:val="hu-HU"/>
          </w:rPr>
          <w:t xml:space="preserve"> A</w:t>
        </w:r>
      </w:smartTag>
      <w:r w:rsidRPr="002D0F02">
        <w:rPr>
          <w:rFonts w:ascii="Times New Roman" w:hAnsi="Times New Roman"/>
          <w:sz w:val="22"/>
          <w:szCs w:val="22"/>
          <w:lang w:val="hu-HU"/>
        </w:rPr>
        <w:t xml:space="preserve"> nem species-függő határértékeket a PK/PD adatokból határozták meg, és az adott speciesek MIC-megoszlásától függetlenek. 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t>Ezek kizárólag olyan mikroorganizmusok esetében használhatók, amelyeknek nincs specifikus határértéke. A nem species</w:t>
      </w:r>
      <w:r w:rsidR="005077CB" w:rsidRPr="002D0F02">
        <w:rPr>
          <w:rFonts w:ascii="Times New Roman" w:hAnsi="Times New Roman"/>
          <w:sz w:val="22"/>
          <w:szCs w:val="22"/>
          <w:lang w:val="hu-HU"/>
        </w:rPr>
        <w:noBreakHyphen/>
        <w:t>függő határértékek a következő adagolásokon alapulnak: az EUCAST határértékek a 30 perc alatt intravénásan alkalmazott napi 3-szor 1 g legalacsonyabb meropenem adagra vonatkoznak. A napi 3-szor 2 g adagot súlyos fertőzések esetén és az I/R (közepesen érzékeny/rezisztens) határérték meghatározásánál vették figyelembe.</w:t>
      </w:r>
    </w:p>
    <w:p w14:paraId="1A95F360" w14:textId="77777777" w:rsidR="005077CB" w:rsidRPr="002D0F02" w:rsidRDefault="005077CB" w:rsidP="002D0F02">
      <w:pPr>
        <w:ind w:left="142" w:hanging="142"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vertAlign w:val="superscript"/>
          <w:lang w:val="hu-HU"/>
        </w:rPr>
        <w:t>6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A béta</w:t>
      </w:r>
      <w:r w:rsidRPr="002D0F02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hemolizáló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Streptococcus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A, B, C és G csoportok béta</w:t>
      </w:r>
      <w:r w:rsidRPr="002D0F02">
        <w:rPr>
          <w:rFonts w:ascii="Times New Roman" w:hAnsi="Times New Roman"/>
          <w:sz w:val="22"/>
          <w:szCs w:val="22"/>
          <w:lang w:val="hu-HU"/>
        </w:rPr>
        <w:noBreakHyphen/>
        <w:t>laktám</w:t>
      </w:r>
      <w:r w:rsidRPr="002D0F02">
        <w:rPr>
          <w:rFonts w:ascii="Times New Roman" w:hAnsi="Times New Roman"/>
          <w:sz w:val="22"/>
          <w:szCs w:val="22"/>
          <w:lang w:val="hu-HU"/>
        </w:rPr>
        <w:noBreakHyphen/>
        <w:t>érzékenységét a penicillin</w:t>
      </w:r>
      <w:r w:rsidRPr="002D0F02">
        <w:rPr>
          <w:rFonts w:ascii="Times New Roman" w:hAnsi="Times New Roman"/>
          <w:sz w:val="22"/>
          <w:szCs w:val="22"/>
          <w:lang w:val="hu-HU"/>
        </w:rPr>
        <w:noBreakHyphen/>
        <w:t>érzékenység alapján határozták meg.</w:t>
      </w:r>
    </w:p>
    <w:p w14:paraId="05A658A2" w14:textId="77777777" w:rsidR="00D97F23" w:rsidRPr="002D0F02" w:rsidRDefault="00CC1C80" w:rsidP="002D0F02">
      <w:pPr>
        <w:ind w:left="142" w:hanging="142"/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--</w:t>
      </w:r>
      <w:r w:rsidR="00DB195F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/>
        </w:rPr>
        <w:t>Érzékenységi teszt nem javasolt, mivel a faj gyenge célpontja a gyógyszeres terápiának.</w:t>
      </w:r>
      <w:r w:rsidR="00A440AA">
        <w:rPr>
          <w:rFonts w:ascii="Times New Roman" w:hAnsi="Times New Roman"/>
          <w:sz w:val="22"/>
          <w:szCs w:val="22"/>
          <w:lang w:val="hu-HU"/>
        </w:rPr>
        <w:t xml:space="preserve"> Elszigetelt esetekben előzetes tesztelés nélkül rezisztencia előfordulhat.</w:t>
      </w:r>
    </w:p>
    <w:p w14:paraId="59A2FF83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5D313B6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 szerzett rezisztencia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egyes fajok esetén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földrajzilag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időben változó lehet, így a helyi rezisztencia-adatok ismerete kívánatos, főleg súlyos fertőzések kezelésekor. Szükség szerint szaktanácsot kell kérni, ha a rezisztencia helyi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olyan, hogy a szer alkalmazhatósága legalábbis néhány fertőzéstípusnál kérdéses.</w:t>
      </w:r>
    </w:p>
    <w:p w14:paraId="44C1A19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360BAE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következő táblázatban felsorolt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patogének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klinikai tapasztalatból és a terápiás útmutatásokból származnak.</w:t>
      </w:r>
    </w:p>
    <w:p w14:paraId="40F00238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291FC4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Általában érzékeny fajok</w:t>
      </w:r>
    </w:p>
    <w:p w14:paraId="45890DA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35DCDCC3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faecalis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</w:t>
      </w:r>
    </w:p>
    <w:p w14:paraId="750E07A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aureus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-érzékeny)</w:t>
      </w:r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</w:p>
    <w:p w14:paraId="36491B5D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speciesek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-érzékeny) beleértve a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epidermidis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t</w:t>
      </w:r>
      <w:proofErr w:type="spellEnd"/>
      <w:r w:rsidR="00B86A6C" w:rsidRPr="00963D0A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</w:p>
    <w:p w14:paraId="2DAB9C86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agalactiae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(B csoport)</w:t>
      </w:r>
    </w:p>
    <w:p w14:paraId="2BA07D13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milleri </w:t>
      </w:r>
      <w:r w:rsidR="009522BE" w:rsidRPr="00963D0A">
        <w:rPr>
          <w:rFonts w:ascii="Times New Roman" w:hAnsi="Times New Roman"/>
          <w:sz w:val="22"/>
          <w:szCs w:val="22"/>
          <w:lang w:val="hu-HU" w:eastAsia="hu-HU"/>
        </w:rPr>
        <w:t>csoport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anginosus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constellatus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9522BE"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és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S.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intermedius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46EB04D0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4124814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pyogenes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(A csoport)</w:t>
      </w:r>
    </w:p>
    <w:p w14:paraId="30800883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AD35844" w14:textId="77777777" w:rsidR="00CC1C80" w:rsidRPr="00963D0A" w:rsidRDefault="00CC1C80" w:rsidP="00900872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58EDF7E7" w14:textId="77777777" w:rsidR="00CC1C80" w:rsidRPr="00963D0A" w:rsidRDefault="00CC1C80" w:rsidP="00900872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freu</w:t>
      </w:r>
      <w:r w:rsidR="00001048"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n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dii</w:t>
      </w:r>
      <w:proofErr w:type="spellEnd"/>
    </w:p>
    <w:p w14:paraId="3C4C328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koseri</w:t>
      </w:r>
      <w:proofErr w:type="spellEnd"/>
    </w:p>
    <w:p w14:paraId="523B6E8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aerogenes</w:t>
      </w:r>
      <w:proofErr w:type="spellEnd"/>
    </w:p>
    <w:p w14:paraId="4D0C6386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cloacae</w:t>
      </w:r>
      <w:proofErr w:type="spellEnd"/>
    </w:p>
    <w:p w14:paraId="6F52D8C7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Escherichia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coli</w:t>
      </w:r>
    </w:p>
    <w:p w14:paraId="585346F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Haemophilus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influenzae</w:t>
      </w:r>
      <w:proofErr w:type="spellEnd"/>
    </w:p>
    <w:p w14:paraId="0DD6A1E4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oxytoca</w:t>
      </w:r>
      <w:proofErr w:type="spellEnd"/>
    </w:p>
    <w:p w14:paraId="7E0D5CB9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61AB2E8D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Morganella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morganii</w:t>
      </w:r>
      <w:proofErr w:type="spellEnd"/>
    </w:p>
    <w:p w14:paraId="7F25AF1C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Neisseria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meningitidis</w:t>
      </w:r>
      <w:proofErr w:type="spellEnd"/>
    </w:p>
    <w:p w14:paraId="63BBC7D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mirabilis</w:t>
      </w:r>
      <w:proofErr w:type="spellEnd"/>
    </w:p>
    <w:p w14:paraId="35EEA148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Proteus vulgaris</w:t>
      </w:r>
    </w:p>
    <w:p w14:paraId="1EAE0BA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Serratia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marcescens</w:t>
      </w:r>
      <w:proofErr w:type="spellEnd"/>
    </w:p>
    <w:p w14:paraId="16016D2B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FC5D540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-pozitív anaerobok</w:t>
      </w:r>
    </w:p>
    <w:p w14:paraId="7392CECA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perfringens</w:t>
      </w:r>
      <w:proofErr w:type="spellEnd"/>
    </w:p>
    <w:p w14:paraId="621413B7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Peptoniphilus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asaccharolyticus</w:t>
      </w:r>
      <w:proofErr w:type="spellEnd"/>
    </w:p>
    <w:p w14:paraId="374548E5" w14:textId="77777777" w:rsidR="00CC1C80" w:rsidRPr="00963D0A" w:rsidRDefault="006F5B27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Peptostreptococcus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speciesek 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(beleértve a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micros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anaerobius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és a P. </w:t>
      </w:r>
      <w:proofErr w:type="spellStart"/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magnus</w:t>
      </w:r>
      <w:r w:rsidRPr="00963D0A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="00B86A6C" w:rsidRPr="00963D0A">
        <w:rPr>
          <w:rFonts w:ascii="Times New Roman" w:hAnsi="Times New Roman"/>
          <w:iCs/>
          <w:sz w:val="22"/>
          <w:szCs w:val="22"/>
          <w:lang w:val="hu-HU" w:eastAsia="hu-HU"/>
        </w:rPr>
        <w:t xml:space="preserve"> is</w:t>
      </w:r>
      <w:r w:rsidRPr="00963D0A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780A44DE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D00E40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963D0A">
        <w:rPr>
          <w:rFonts w:ascii="Times New Roman" w:hAnsi="Times New Roman"/>
          <w:sz w:val="22"/>
          <w:szCs w:val="22"/>
          <w:u w:val="single"/>
          <w:lang w:val="hu-HU" w:eastAsia="hu-HU"/>
        </w:rPr>
        <w:t>-negatív anaerobok</w:t>
      </w:r>
    </w:p>
    <w:p w14:paraId="663878E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caccae</w:t>
      </w:r>
      <w:proofErr w:type="spellEnd"/>
    </w:p>
    <w:p w14:paraId="1F82C44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fragilis </w:t>
      </w:r>
      <w:r w:rsidRPr="002D0F02">
        <w:rPr>
          <w:rFonts w:ascii="Times New Roman" w:hAnsi="Times New Roman"/>
          <w:iCs/>
          <w:sz w:val="22"/>
          <w:szCs w:val="22"/>
          <w:lang w:val="hu-HU" w:eastAsia="hu-HU"/>
        </w:rPr>
        <w:t>csoport</w:t>
      </w:r>
    </w:p>
    <w:p w14:paraId="76B1B96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bivia</w:t>
      </w:r>
      <w:proofErr w:type="spellEnd"/>
    </w:p>
    <w:p w14:paraId="1B219E4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disiens</w:t>
      </w:r>
      <w:proofErr w:type="spellEnd"/>
    </w:p>
    <w:p w14:paraId="73C29E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C41CD3F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Fajok, amelyeknél a szerzett rezisztencia problémát jelenthet</w:t>
      </w:r>
    </w:p>
    <w:p w14:paraId="536BA8C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6435B6C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faecium</w:t>
      </w:r>
      <w:proofErr w:type="spellEnd"/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$†</w:t>
      </w:r>
    </w:p>
    <w:p w14:paraId="7BB2A34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F2E953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092012B7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Acinetobacter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</w:t>
      </w:r>
      <w:r w:rsidR="00E4615E" w:rsidRPr="002D0F02">
        <w:rPr>
          <w:rFonts w:ascii="Times New Roman" w:hAnsi="Times New Roman"/>
          <w:sz w:val="22"/>
          <w:szCs w:val="22"/>
          <w:lang w:val="hu-HU" w:eastAsia="hu-HU"/>
        </w:rPr>
        <w:t>ek</w:t>
      </w:r>
    </w:p>
    <w:p w14:paraId="2E7AA9E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Burkholderia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cepacia</w:t>
      </w:r>
      <w:proofErr w:type="spellEnd"/>
    </w:p>
    <w:p w14:paraId="32D40DC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</w:p>
    <w:p w14:paraId="0C2275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0FCA52F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Öröklötten rezisztens kórokozók</w:t>
      </w:r>
    </w:p>
    <w:p w14:paraId="1759CB5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6ADAF5E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Stenotrophomonas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maltophilia</w:t>
      </w:r>
      <w:proofErr w:type="spellEnd"/>
    </w:p>
    <w:p w14:paraId="6D18F10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Legionella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speciesek</w:t>
      </w:r>
    </w:p>
    <w:p w14:paraId="70E30C9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6679C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Egyéb mikroorganizmusok</w:t>
      </w:r>
    </w:p>
    <w:p w14:paraId="635ADCC6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2FD4801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psittaci</w:t>
      </w:r>
      <w:proofErr w:type="spellEnd"/>
    </w:p>
    <w:p w14:paraId="06426B8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Coxiella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burnetii</w:t>
      </w:r>
      <w:proofErr w:type="spellEnd"/>
    </w:p>
    <w:p w14:paraId="3D2452A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Mycoplasma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3584332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BAC2302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S Fajok, amelyek természetes </w:t>
      </w:r>
      <w:r w:rsidR="004D7987" w:rsidRPr="00963D0A">
        <w:rPr>
          <w:rFonts w:ascii="Times New Roman" w:hAnsi="Times New Roman"/>
          <w:sz w:val="22"/>
          <w:szCs w:val="22"/>
          <w:lang w:val="hu-HU" w:eastAsia="hu-HU"/>
        </w:rPr>
        <w:t xml:space="preserve">mérsékelt 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érzékenységet mutatnak</w:t>
      </w:r>
    </w:p>
    <w:p w14:paraId="05C7DF85" w14:textId="77777777" w:rsidR="00CC1C80" w:rsidRPr="00963D0A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Az összes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Staphylococcus</w:t>
      </w:r>
      <w:proofErr w:type="spellEnd"/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 rezisztens a </w:t>
      </w:r>
      <w:proofErr w:type="spellStart"/>
      <w:r w:rsidRPr="00963D0A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</w:p>
    <w:p w14:paraId="5FD691FC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963D0A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†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Rezisztencia arány </w:t>
      </w:r>
      <w:r w:rsidR="00A85B0F" w:rsidRPr="00963D0A">
        <w:rPr>
          <w:rFonts w:ascii="Times New Roman" w:hAnsi="Times New Roman"/>
          <w:sz w:val="22"/>
          <w:szCs w:val="22"/>
          <w:lang w:val="hu-HU" w:eastAsia="hu-HU"/>
        </w:rPr>
        <w:t>≥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 xml:space="preserve">50% egy vagy több EU </w:t>
      </w:r>
      <w:r w:rsidR="004D7987" w:rsidRPr="00963D0A">
        <w:rPr>
          <w:rFonts w:ascii="Times New Roman" w:hAnsi="Times New Roman"/>
          <w:sz w:val="22"/>
          <w:szCs w:val="22"/>
          <w:lang w:val="hu-HU" w:eastAsia="hu-HU"/>
        </w:rPr>
        <w:t>tag</w:t>
      </w:r>
      <w:r w:rsidRPr="00963D0A">
        <w:rPr>
          <w:rFonts w:ascii="Times New Roman" w:hAnsi="Times New Roman"/>
          <w:sz w:val="22"/>
          <w:szCs w:val="22"/>
          <w:lang w:val="hu-HU" w:eastAsia="hu-HU"/>
        </w:rPr>
        <w:t>országban</w:t>
      </w:r>
    </w:p>
    <w:p w14:paraId="45AB51E1" w14:textId="77777777" w:rsidR="001722B7" w:rsidRPr="002D0F02" w:rsidRDefault="001722B7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870FCB4" w14:textId="77777777" w:rsidR="001722B7" w:rsidRPr="002D0F02" w:rsidRDefault="001722B7" w:rsidP="002D0F02">
      <w:pPr>
        <w:rPr>
          <w:rFonts w:ascii="Times New Roman" w:hAnsi="Times New Roman"/>
          <w:i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Malleus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(takonykór) és 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melioidosis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 xml:space="preserve"> (</w:t>
      </w:r>
      <w:proofErr w:type="spellStart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Whitmore</w:t>
      </w:r>
      <w:proofErr w:type="spellEnd"/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noBreakHyphen/>
        <w:t>betegség)</w:t>
      </w:r>
    </w:p>
    <w:p w14:paraId="019B68AD" w14:textId="77777777" w:rsidR="001722B7" w:rsidRPr="002D0F02" w:rsidRDefault="001722B7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meropenem embereknél történő alkalmazása a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mallei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bCs/>
          <w:i/>
          <w:sz w:val="22"/>
          <w:szCs w:val="22"/>
          <w:lang w:val="hu-HU"/>
        </w:rPr>
        <w:t>pseudomallei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Cs/>
          <w:i/>
          <w:iCs/>
          <w:sz w:val="22"/>
          <w:szCs w:val="22"/>
          <w:lang w:val="hu-HU"/>
        </w:rPr>
        <w:t>in vitro</w:t>
      </w:r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érzékenységi adatain és korlátozott számú humán adaton alapul. A </w:t>
      </w:r>
      <w:proofErr w:type="spellStart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>malleus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>melioidosis</w:t>
      </w:r>
      <w:proofErr w:type="spellEnd"/>
      <w:r w:rsidRPr="002D0F02">
        <w:rPr>
          <w:rFonts w:ascii="Times New Roman" w:hAnsi="Times New Roman"/>
          <w:bCs/>
          <w:iCs/>
          <w:sz w:val="22"/>
          <w:szCs w:val="22"/>
          <w:lang w:val="hu-HU"/>
        </w:rPr>
        <w:t xml:space="preserve"> kezelése során a kezelőorvosnak az országos és/vagy a nemzetközi konszenzus dokumentumokban előírtak szerint kell eljárni.</w:t>
      </w:r>
    </w:p>
    <w:p w14:paraId="420B5BD0" w14:textId="77777777" w:rsidR="00D97F23" w:rsidRPr="002D0F02" w:rsidRDefault="00D97F23" w:rsidP="002D0F02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48CDFF6C" w14:textId="77777777" w:rsidR="00D97F23" w:rsidRPr="002D0F02" w:rsidRDefault="00D97F23" w:rsidP="00473100">
      <w:pPr>
        <w:keepNext/>
        <w:numPr>
          <w:ilvl w:val="1"/>
          <w:numId w:val="17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Farmakokinetikai tulajdonságok</w:t>
      </w:r>
    </w:p>
    <w:p w14:paraId="21CCB4C4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53F9793" w14:textId="77777777" w:rsidR="00CC1C80" w:rsidRPr="002822E8" w:rsidRDefault="00CC1C80" w:rsidP="00900872">
      <w:pPr>
        <w:keepNext/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900872">
        <w:rPr>
          <w:rFonts w:ascii="Times New Roman" w:hAnsi="Times New Roman"/>
          <w:sz w:val="22"/>
          <w:szCs w:val="22"/>
          <w:lang w:val="hu-HU" w:eastAsia="hu-HU"/>
        </w:rPr>
        <w:t>Egészséges egyéneknél az átlagos plazma felezési idő megközelítőleg 1 óra; az átlagos megoszlási térfogat kb. 0,25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l/</w:t>
      </w:r>
      <w:r w:rsidR="005E2369" w:rsidRPr="0090087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kg (11</w:t>
      </w:r>
      <w:r w:rsidR="00340176" w:rsidRPr="00900872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27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l), az átlagos clearance pedig 287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ml/perc 250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mg esetén, amely 205 ml/percre esik le </w:t>
      </w:r>
      <w:smartTag w:uri="urn:schemas-microsoft-com:office:smarttags" w:element="metricconverter">
        <w:smartTagPr>
          <w:attr w:name="ProductID" w:val="2ﾠg"/>
        </w:smartTagPr>
        <w:r w:rsidRPr="00900872">
          <w:rPr>
            <w:rFonts w:ascii="Times New Roman" w:hAnsi="Times New Roman"/>
            <w:sz w:val="22"/>
            <w:szCs w:val="22"/>
            <w:lang w:val="hu-HU" w:eastAsia="hu-HU"/>
          </w:rPr>
          <w:t>2</w:t>
        </w:r>
        <w:r w:rsidR="00A45618" w:rsidRPr="00900872">
          <w:rPr>
            <w:rFonts w:ascii="Times New Roman" w:hAnsi="Times New Roman"/>
            <w:sz w:val="22"/>
            <w:szCs w:val="22"/>
            <w:lang w:val="hu-HU" w:eastAsia="hu-HU"/>
          </w:rPr>
          <w:t> </w:t>
        </w:r>
        <w:r w:rsidRPr="00900872">
          <w:rPr>
            <w:rFonts w:ascii="Times New Roman" w:hAnsi="Times New Roman"/>
            <w:sz w:val="22"/>
            <w:szCs w:val="22"/>
            <w:lang w:val="hu-HU" w:eastAsia="hu-HU"/>
          </w:rPr>
          <w:t>g</w:t>
        </w:r>
      </w:smartTag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esetén. 500, 1000 és 2000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mg adagok 30 perces infúzióban történő beadásakor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EC3F10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-értékek sorrendben </w:t>
      </w:r>
      <w:r w:rsidR="005378B3" w:rsidRPr="00900872">
        <w:rPr>
          <w:rFonts w:ascii="Times New Roman" w:hAnsi="Times New Roman"/>
          <w:sz w:val="22"/>
          <w:szCs w:val="22"/>
          <w:lang w:val="hu-HU" w:eastAsia="hu-HU"/>
        </w:rPr>
        <w:t xml:space="preserve">kb. 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23, 49</w:t>
      </w:r>
      <w:r w:rsidR="00340176" w:rsidRPr="00900872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illetve 115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μg/ml voltak, a megfelelő AUC-értékek pedig sorrendben 39,3, 62,3 és 153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μg</w:t>
      </w:r>
      <w:r w:rsidR="002822E8">
        <w:rPr>
          <w:rFonts w:ascii="Times New Roman" w:hAnsi="Times New Roman"/>
          <w:sz w:val="22"/>
          <w:szCs w:val="22"/>
          <w:lang w:val="hu-HU" w:eastAsia="hu-HU"/>
        </w:rPr>
        <w:t>×óra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/ml. Öt percig tartó infúzió beadását követően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EC3F10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="002822E8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>értéke 52 és 112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>/ml volt sorrendben 500, illetve 1000</w:t>
      </w:r>
      <w:r w:rsidR="00A45618" w:rsidRPr="0090087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mg-os adag esetén. A 8 óránként ismételt adagoláskor normális veseműködésű betegekben a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900872">
        <w:rPr>
          <w:rFonts w:ascii="Times New Roman" w:hAnsi="Times New Roman"/>
          <w:sz w:val="22"/>
          <w:szCs w:val="22"/>
          <w:lang w:val="hu-HU" w:eastAsia="hu-HU"/>
        </w:rPr>
        <w:t xml:space="preserve"> nem </w:t>
      </w:r>
      <w:proofErr w:type="spellStart"/>
      <w:r w:rsidRPr="00900872">
        <w:rPr>
          <w:rFonts w:ascii="Times New Roman" w:hAnsi="Times New Roman"/>
          <w:sz w:val="22"/>
          <w:szCs w:val="22"/>
          <w:lang w:val="hu-HU" w:eastAsia="hu-HU"/>
        </w:rPr>
        <w:t>akkumulálódik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33A6AA1C" w14:textId="77777777" w:rsidR="00CC1C80" w:rsidRPr="002822E8" w:rsidRDefault="00CC1C80" w:rsidP="002822E8">
      <w:pPr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BD8C77F" w14:textId="77777777" w:rsidR="00CC1C80" w:rsidRPr="002822E8" w:rsidRDefault="00CC1C80" w:rsidP="002822E8">
      <w:pPr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Egy vizsgálatban, amelyben 12 betegnek 8 óránként 1000</w:t>
      </w:r>
      <w:r w:rsidR="008262E8" w:rsidRPr="002822E8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mg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meropenemet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adtak műtét után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intraabdomin</w:t>
      </w:r>
      <w:r w:rsidR="00F85DE1" w:rsidRPr="002822E8">
        <w:rPr>
          <w:rFonts w:ascii="Times New Roman" w:hAnsi="Times New Roman"/>
          <w:bCs/>
          <w:iCs/>
          <w:sz w:val="22"/>
          <w:szCs w:val="22"/>
          <w:lang w:val="hu-HU"/>
        </w:rPr>
        <w:t>a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lis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fertőzés kezelésére, a </w:t>
      </w:r>
      <w:proofErr w:type="spellStart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Cmax</w:t>
      </w:r>
      <w:proofErr w:type="spellEnd"/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felezési idő az egészséges egyéneknél mért értékkel összevethető volt, de a megoszlási térfogat nagyobb volt</w:t>
      </w:r>
      <w:r w:rsidR="00340176">
        <w:rPr>
          <w:rFonts w:ascii="Times New Roman" w:hAnsi="Times New Roman"/>
          <w:bCs/>
          <w:iCs/>
          <w:sz w:val="22"/>
          <w:szCs w:val="22"/>
          <w:lang w:val="hu-HU"/>
        </w:rPr>
        <w:t xml:space="preserve">, mint 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27</w:t>
      </w:r>
      <w:r w:rsidR="008262E8" w:rsidRPr="002822E8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2822E8">
        <w:rPr>
          <w:rFonts w:ascii="Times New Roman" w:hAnsi="Times New Roman"/>
          <w:bCs/>
          <w:iCs/>
          <w:sz w:val="22"/>
          <w:szCs w:val="22"/>
          <w:lang w:val="hu-HU"/>
        </w:rPr>
        <w:t>l.</w:t>
      </w:r>
    </w:p>
    <w:p w14:paraId="666A0603" w14:textId="77777777" w:rsidR="005E2369" w:rsidRPr="002D0F02" w:rsidRDefault="005E2369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0C7587BF" w14:textId="77777777" w:rsidR="00CC1C80" w:rsidRPr="002D0F02" w:rsidRDefault="00BB625E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El</w:t>
      </w:r>
      <w:r w:rsidR="00CC1C80"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oszlás</w:t>
      </w:r>
    </w:p>
    <w:p w14:paraId="13E5580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plazmafehérjékhez való átlagos kötődése kb. 2% volt, és független</w:t>
      </w:r>
      <w:r w:rsidR="008407A9" w:rsidRPr="002D0F02">
        <w:rPr>
          <w:rFonts w:ascii="Times New Roman" w:hAnsi="Times New Roman"/>
          <w:sz w:val="22"/>
          <w:szCs w:val="22"/>
          <w:lang w:val="hu-HU" w:eastAsia="hu-HU"/>
        </w:rPr>
        <w:t xml:space="preserve"> volt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koncentrációtól. Gyors (5 perc vagy rövidebb idő alatti) beadást követően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biexponenciális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de ez sokkal kevésbé nyilvánvaló 30 perces infúziót követően.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jól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penetrál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számos testnedvbe és szövetbe, ideértve a tüdőt,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bronchi</w:t>
      </w:r>
      <w:r w:rsidR="00857AE6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váladékot, az epét,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folyadékot, a nőgyógyászati szöveteket, a bőrt,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fasciát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az izmokat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peritone</w:t>
      </w:r>
      <w:r w:rsidR="00857AE6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ex</w:t>
      </w:r>
      <w:r w:rsidR="004D7E6A" w:rsidRPr="002D0F02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udátumot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06E830B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AA624ED" w14:textId="77777777" w:rsidR="00CC1C80" w:rsidRPr="002D0F02" w:rsidRDefault="00BB625E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</w:p>
    <w:p w14:paraId="22E3491A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meropenem a béta-</w:t>
      </w:r>
      <w:r w:rsidR="005378B3" w:rsidRPr="002D0F02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aktám gyűrű hidrolízise által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metabolizálódik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egy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metabolitot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hozva létre. </w:t>
      </w:r>
      <w:r w:rsidRPr="002D0F02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imipenemhez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képest csökkent érzékenységet mutat a humán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dehidropeptidáz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-I (DHP-I) általi hidrolízissel szemben; így nem szükséges DHP-I inhibitor együttes alkalmazása.</w:t>
      </w:r>
    </w:p>
    <w:p w14:paraId="04783C59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3AFC3E7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58FB36C7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meropenem elsősorban a vesén keresztül választódik ki változatlan formában; az adag kb. 70%-a (50–75%) választódik ki változatlanul 12 órán belül. További 28%-ot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nyertek vissza. A széklettel az adag csak kb. 2%-a ürül. A mért vese-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hatása azt mutatja, hogy a meropenem mind a filtráción, mind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szekréción is keresztülmegy.</w:t>
      </w:r>
    </w:p>
    <w:p w14:paraId="38716389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104402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Veseelégtelenség</w:t>
      </w:r>
    </w:p>
    <w:p w14:paraId="4B1F1481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 vesekárosodás magasabb plazma AUC-t és hosszabb felezési időt eredményezett. Az AUC-értéke 2,4-szeresére növekedett közepes fokú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33-74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 és 5-szörösére súlyos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4-23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ml/perc) vesekárosodás esetén, valamint 10-szeresére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kezelt betegeknél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&lt;2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ml/perc), az egészséges egyénekkel (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&gt;80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ml/perc)</w:t>
      </w:r>
      <w:r w:rsidR="008F2A3A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összehasonlítva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inaktív, felhasadt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gyűrűs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AUC-értéke is jelentősen megemelkedett a vesekárosodott betegeknél. Az adagolás módosítása javasolt közepes fokú és súlyos vesekárosodásban szenvedő betegeknél (lásd 4.2 pont).</w:t>
      </w:r>
    </w:p>
    <w:p w14:paraId="0262730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5E2B48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eltávolítja,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alatt kb. 4-szer nagyobb, mint</w:t>
      </w:r>
    </w:p>
    <w:p w14:paraId="353527C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anuriás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betegek esetén.</w:t>
      </w:r>
    </w:p>
    <w:p w14:paraId="534370EE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50356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Májelégtelenség</w:t>
      </w:r>
    </w:p>
    <w:p w14:paraId="691E5DB4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Alkoholos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cirrhosisban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szenvedő betegek körében végzett vizsgálatban a májbetegség nem volt hatással a meropenem ismételt dózisok utáni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farmakokinetikájára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CFDAAB1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A8A1C2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Felnőtt betegek</w:t>
      </w:r>
    </w:p>
    <w:p w14:paraId="5F669B1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Betegek körében végzett farmakokinetikai vizsgálatokban nem mutatkoztak jelentős farmakokinetikai különbségek az azonos vesefunkciójú egészséges egyénekhez képest. Hetvenkilenc,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F55F01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fertőzéssel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pneumoniával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kezelt beteg adataiból kialakított populáció modell alapján látható, hogy a centrális térfogat függ a beteg 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testtömegétől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pedig a kreatinin-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től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E2369" w:rsidRPr="002D0F02">
        <w:rPr>
          <w:rFonts w:ascii="Times New Roman" w:hAnsi="Times New Roman"/>
          <w:sz w:val="22"/>
          <w:szCs w:val="22"/>
          <w:lang w:val="hu-HU" w:eastAsia="hu-HU"/>
        </w:rPr>
        <w:t>élet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kortól.</w:t>
      </w:r>
    </w:p>
    <w:p w14:paraId="7E58D7E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15EF61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Gyermekek</w:t>
      </w:r>
      <w:r w:rsidR="004D798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</w:p>
    <w:p w14:paraId="23135C92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fertőzött csecsemőknél és gyermekeknél 10, 20 és 40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5C2786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adagok esetén az 500, 1000 illetve 2000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mg-os dózissal kezelt felnőtteknél mért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-értékeket megközelítő értékeket mutatott. Összehasonlítás alapján a dózis és a felezési idő között lejátszódó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felnőtteknél megfigyeltekhez hasonlóan alakult, a legfiatalabb egyének kivételével (6 hónapos kor alatt a t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1/2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1,6</w:t>
      </w:r>
      <w:r w:rsidR="000D7E4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óra) minden korcsoportban. Az átlagos meropenem clearance-értékek a következők voltak: 5,8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 (6-12 éves kor), 6,2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 (2-5 éves kor), 5,3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 (6-23 hónapos kor) és 4,3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ml/perc/</w:t>
      </w:r>
      <w:r w:rsidR="005124B2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kg (2-5 hónapos kor). Az adag megközelítőleg 60%-a választódik ki a vizeletbe 12 óra után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további 12% pedig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folyadék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-koncentrációja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meningitises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gyermekeknél kb. 20%-a az egyidejűleg mérhető plazmaszinteknek, bár jelentős egyéni eltérések vannak.</w:t>
      </w:r>
    </w:p>
    <w:p w14:paraId="38D317D1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545916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Azon újszülöttek között, akiknél szükségessé vált valamely </w:t>
      </w:r>
      <w:proofErr w:type="spellStart"/>
      <w:r w:rsidR="006F5B27" w:rsidRPr="002D0F02">
        <w:rPr>
          <w:rFonts w:ascii="Times New Roman" w:hAnsi="Times New Roman"/>
          <w:sz w:val="22"/>
          <w:szCs w:val="22"/>
          <w:lang w:val="hu-HU" w:eastAsia="hu-HU"/>
        </w:rPr>
        <w:t>antiinfektív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kezelés alkalmazása,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farmakokinetikájában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nagyobb mértékű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volt megfigyelhető azoknál, akik idősebb kronológiai vagy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gesztációs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korra születtek. Esetükben az átlag</w:t>
      </w:r>
      <w:r w:rsidR="00340176">
        <w:rPr>
          <w:rFonts w:ascii="Times New Roman" w:hAnsi="Times New Roman"/>
          <w:sz w:val="22"/>
          <w:szCs w:val="22"/>
          <w:lang w:val="hu-HU" w:eastAsia="hu-HU"/>
        </w:rPr>
        <w:t>os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felezési idő 2,9</w:t>
      </w:r>
      <w:r w:rsidR="001074FB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óra volt. Populációs farmakokinetikai modellen alapuló Monte Carlo szimuláció azt mutatt</w:t>
      </w:r>
      <w:r w:rsidR="00047595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, hogy 8 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D72202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C41878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-os adagolás </w:t>
      </w:r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P. </w:t>
      </w:r>
      <w:proofErr w:type="spellStart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2D0F02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esetében 60%</w:t>
      </w:r>
      <w:r w:rsidR="00C41878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T&gt;MIC-értéket ért el a koraszülöttek 95%-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az időre születettek 91%-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8E80C83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934CD3D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Idősek</w:t>
      </w:r>
    </w:p>
    <w:p w14:paraId="29B27A39" w14:textId="77777777" w:rsidR="00CC1C80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Egészséges idősek (65-80 évesek) körében végzett farmakokinetikai vizsgálatokban a plazma</w:t>
      </w:r>
      <w:r w:rsidR="000B2BFB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clearance 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>csökkenését tapasztalták</w:t>
      </w:r>
      <w:r w:rsidR="00B40DE6" w:rsidRPr="002D0F02">
        <w:rPr>
          <w:rFonts w:ascii="Times New Roman" w:hAnsi="Times New Roman"/>
          <w:sz w:val="22"/>
          <w:szCs w:val="22"/>
          <w:lang w:val="hu-HU" w:eastAsia="hu-HU"/>
        </w:rPr>
        <w:t>,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="00782DE8" w:rsidRPr="002D0F02">
        <w:rPr>
          <w:rFonts w:ascii="Times New Roman" w:hAnsi="Times New Roman"/>
          <w:sz w:val="22"/>
          <w:szCs w:val="22"/>
          <w:lang w:val="hu-HU" w:eastAsia="hu-HU"/>
        </w:rPr>
        <w:t>mely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7416D" w:rsidRPr="002D0F02">
        <w:rPr>
          <w:rFonts w:ascii="Times New Roman" w:hAnsi="Times New Roman"/>
          <w:sz w:val="22"/>
          <w:szCs w:val="22"/>
          <w:lang w:val="hu-HU" w:eastAsia="hu-HU"/>
        </w:rPr>
        <w:t xml:space="preserve">korrelált 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>a</w:t>
      </w:r>
      <w:r w:rsidR="007A3891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kreatinin-clearance korfüggő csökkenésével </w:t>
      </w:r>
      <w:r w:rsidR="008C3585" w:rsidRPr="002D0F02">
        <w:rPr>
          <w:rFonts w:ascii="Times New Roman" w:hAnsi="Times New Roman"/>
          <w:sz w:val="22"/>
          <w:szCs w:val="22"/>
          <w:lang w:val="hu-HU" w:eastAsia="hu-HU"/>
        </w:rPr>
        <w:t>és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nem</w:t>
      </w:r>
      <w:r w:rsidR="000B2BFB" w:rsidRPr="002D0F0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renalis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kisebb mértékű</w:t>
      </w:r>
      <w:r w:rsidR="00C7416D" w:rsidRPr="002D0F02">
        <w:rPr>
          <w:rFonts w:ascii="Times New Roman" w:hAnsi="Times New Roman"/>
          <w:sz w:val="22"/>
          <w:szCs w:val="22"/>
          <w:lang w:val="hu-HU" w:eastAsia="hu-HU"/>
        </w:rPr>
        <w:t xml:space="preserve"> csökkenésével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. Idős betegeknél adagmódosítás nem szükséges, kivéve a közepes fokú vagy súlyos vesekárosodás eseteit (lásd 4.2</w:t>
      </w:r>
      <w:r w:rsidR="0034017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3F07A71C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3A2C52D" w14:textId="77777777" w:rsidR="00D97F23" w:rsidRPr="002D0F02" w:rsidRDefault="00D97F23" w:rsidP="00473100">
      <w:pPr>
        <w:numPr>
          <w:ilvl w:val="1"/>
          <w:numId w:val="17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A preklinikai biztonság</w:t>
      </w:r>
      <w:r w:rsidR="00F82D2C" w:rsidRPr="002D0F02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36730752" w14:textId="77777777" w:rsidR="00D97F23" w:rsidRPr="002D0F02" w:rsidRDefault="00D97F23" w:rsidP="002D0F02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5ECA29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Az állatkísérletek arra utalnak, hogy a vese jól tolerálja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vesetubulusok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szövettanilag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igazolt károsodása volt megfigyelhető egereknél és kutyáknál 2000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vagy magasabb dózis egyszeri alkalmazása után, majmoknál pedig 500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 mellett egy 7 napos vizsgálatban.</w:t>
      </w:r>
    </w:p>
    <w:p w14:paraId="12255CFC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6CEDF6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a központi idegrendszer is általában jól tolerálja. Rágcsálókkal végzett akut toxicitási vizsgálatokban 1000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kg-ot meghaladó dózisok esetén hatások mutatkoztak.</w:t>
      </w:r>
    </w:p>
    <w:p w14:paraId="73F1DBF8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0909EA0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intravénás alkalmazás esetén az LD</w:t>
      </w:r>
      <w:r w:rsidRPr="002D0F0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50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rágcsálókban több mint 2000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kg.</w:t>
      </w:r>
    </w:p>
    <w:p w14:paraId="67221865" w14:textId="77777777" w:rsidR="00CC1C80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20EC458" w14:textId="77777777" w:rsidR="00701FBF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Legfeljebb 6 hónapig tartó, ismételt dózisú vizsgálatokban csak kisebb hatások voltak tapasztalhatók, beleértve a vörösvértestekre jellemző paraméterek kutyáknál észlelt csökkenését.</w:t>
      </w:r>
    </w:p>
    <w:p w14:paraId="2B8F1BCB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C29FA96" w14:textId="77777777" w:rsidR="00701FBF" w:rsidRPr="002D0F02" w:rsidRDefault="00CC1C80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lastRenderedPageBreak/>
        <w:t>A szokásos tesztsorozat alapján nem volt mutagén potenciálra utaló bizonyíték, sem reproduktív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toxicitásra utaló bizonyíték, beleértve a teratogén hatást is, patkányoknál legfeljebb 750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kg-os,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majmoknál pedig legfeljebb 360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mg/</w:t>
      </w:r>
      <w:r w:rsidR="006C40B7" w:rsidRPr="002D0F02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kg-os adagok esetén.</w:t>
      </w:r>
    </w:p>
    <w:p w14:paraId="617F1D0A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89EC96" w14:textId="77777777" w:rsidR="00872526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Nem bizonyított, hogy a fiatal állatok meropenem-érzékenysége nagyobb, mint a felnőtteké.</w:t>
      </w:r>
    </w:p>
    <w:p w14:paraId="1A461C2C" w14:textId="77777777" w:rsidR="00701FBF" w:rsidRPr="002D0F02" w:rsidRDefault="00CC1C80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701FB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intravénás adagolást az állatkísérletekben jól tolerálták.</w:t>
      </w:r>
    </w:p>
    <w:p w14:paraId="0EB38A1F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8C67B57" w14:textId="77777777" w:rsidR="00D97F23" w:rsidRPr="002D0F02" w:rsidRDefault="00CC1C80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egyetlen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hasonló toxikológiai profilt mutatott az állatkísérletek során.</w:t>
      </w:r>
    </w:p>
    <w:p w14:paraId="1176754D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87EC366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021ACAEB" w14:textId="77777777" w:rsidR="00D97F23" w:rsidRPr="002D0F02" w:rsidRDefault="00D97F23" w:rsidP="00473100">
      <w:pPr>
        <w:keepNext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6.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GYÓGYSZERÉSZETI JELLEMZŐK</w:t>
      </w:r>
    </w:p>
    <w:p w14:paraId="58E748F3" w14:textId="77777777" w:rsidR="00D97F23" w:rsidRPr="002D0F02" w:rsidRDefault="00D97F23" w:rsidP="00900872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3BE6793B" w14:textId="77777777" w:rsidR="00D97F23" w:rsidRPr="002D0F02" w:rsidRDefault="00D97F23" w:rsidP="00473100">
      <w:pPr>
        <w:keepNext/>
        <w:numPr>
          <w:ilvl w:val="1"/>
          <w:numId w:val="15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Segédanyagok felsorolása</w:t>
      </w:r>
    </w:p>
    <w:p w14:paraId="13C5ACF2" w14:textId="77777777" w:rsidR="00D97F23" w:rsidRPr="002D0F02" w:rsidRDefault="00D97F23" w:rsidP="00900872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1887198" w14:textId="77777777" w:rsidR="00D97F23" w:rsidRPr="002D0F02" w:rsidRDefault="00607ECB" w:rsidP="00900872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átrium</w:t>
      </w:r>
      <w:r w:rsidR="00680B00" w:rsidRPr="002D0F02">
        <w:rPr>
          <w:rFonts w:ascii="Times New Roman" w:hAnsi="Times New Roman"/>
          <w:sz w:val="22"/>
          <w:szCs w:val="22"/>
          <w:lang w:val="hu-HU"/>
        </w:rPr>
        <w:t>-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karbonát.</w:t>
      </w:r>
    </w:p>
    <w:p w14:paraId="0A7A981B" w14:textId="77777777" w:rsidR="00A02080" w:rsidRPr="002D0F02" w:rsidRDefault="00A02080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C2A0D04" w14:textId="77777777" w:rsidR="00D97F23" w:rsidRPr="002D0F02" w:rsidRDefault="00D97F23" w:rsidP="00473100">
      <w:pPr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6.2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144217B1" w14:textId="77777777" w:rsidR="00F82D2C" w:rsidRPr="002D0F02" w:rsidRDefault="00F82D2C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6938E7C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Ez a gyógyszer kizárólag a 6.6 pontban felsorolt gyógyszerekkel keverhető.</w:t>
      </w:r>
    </w:p>
    <w:p w14:paraId="25CDF2D5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8E9894D" w14:textId="77777777" w:rsidR="00D97F23" w:rsidRPr="002D0F02" w:rsidRDefault="00D97F23" w:rsidP="00473100">
      <w:pPr>
        <w:keepNext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6.3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62454A74" w14:textId="77777777" w:rsidR="00F82D2C" w:rsidRPr="002D0F02" w:rsidRDefault="00F82D2C" w:rsidP="002822E8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17462B2B" w14:textId="77777777" w:rsidR="00F85757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20 ml-es injekciós üveg: 4 év.</w:t>
      </w:r>
    </w:p>
    <w:p w14:paraId="79F2E117" w14:textId="77777777" w:rsidR="00F85757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75B232B4" w14:textId="77777777" w:rsidR="00F82D2C" w:rsidRPr="002D0F02" w:rsidRDefault="00F85757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50 ml-es és 100 ml-es infúziós üveg: 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3 </w:t>
      </w:r>
      <w:r w:rsidR="00F82D2C" w:rsidRPr="002D0F02">
        <w:rPr>
          <w:rFonts w:ascii="Times New Roman" w:hAnsi="Times New Roman"/>
          <w:sz w:val="22"/>
          <w:szCs w:val="22"/>
          <w:lang w:val="hu-HU"/>
        </w:rPr>
        <w:t>év</w:t>
      </w:r>
    </w:p>
    <w:p w14:paraId="50500D43" w14:textId="77777777" w:rsidR="00EB6B35" w:rsidRPr="002D0F02" w:rsidRDefault="00EB6B35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A19B682" w14:textId="77777777" w:rsidR="00872526" w:rsidRDefault="00872526" w:rsidP="002D0F02">
      <w:pPr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Feloldás után:</w:t>
      </w:r>
    </w:p>
    <w:p w14:paraId="377B53AC" w14:textId="77777777" w:rsidR="00F85757" w:rsidRDefault="00F85757" w:rsidP="002D0F02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145BB0A" w14:textId="77777777" w:rsidR="00F85757" w:rsidRDefault="00F85757" w:rsidP="00F85757">
      <w:pPr>
        <w:pStyle w:val="Nincstrkz"/>
        <w:keepNext/>
        <w:rPr>
          <w:b/>
          <w:lang w:eastAsia="de-DE"/>
        </w:rPr>
      </w:pPr>
      <w:r>
        <w:rPr>
          <w:b/>
          <w:lang w:eastAsia="de-DE"/>
        </w:rPr>
        <w:t xml:space="preserve">Alkalmazása intravénás </w:t>
      </w:r>
      <w:proofErr w:type="spellStart"/>
      <w:r>
        <w:rPr>
          <w:b/>
          <w:lang w:eastAsia="de-DE"/>
        </w:rPr>
        <w:t>bolus</w:t>
      </w:r>
      <w:proofErr w:type="spellEnd"/>
      <w:r>
        <w:rPr>
          <w:b/>
          <w:lang w:eastAsia="de-DE"/>
        </w:rPr>
        <w:t xml:space="preserve"> injekcióként</w:t>
      </w:r>
    </w:p>
    <w:p w14:paraId="1DFA4DF6" w14:textId="722FCFB2" w:rsidR="00A4713B" w:rsidRDefault="00F85757" w:rsidP="00657774">
      <w:pPr>
        <w:pStyle w:val="Nincstrkz"/>
        <w:keepNext/>
        <w:rPr>
          <w:lang w:eastAsia="el-GR"/>
        </w:rPr>
      </w:pPr>
      <w:r>
        <w:rPr>
          <w:lang w:eastAsia="de-DE"/>
        </w:rPr>
        <w:t xml:space="preserve">A </w:t>
      </w:r>
      <w:proofErr w:type="spellStart"/>
      <w:r>
        <w:rPr>
          <w:lang w:eastAsia="de-DE"/>
        </w:rPr>
        <w:t>bolus</w:t>
      </w:r>
      <w:proofErr w:type="spellEnd"/>
      <w:r>
        <w:rPr>
          <w:lang w:eastAsia="de-DE"/>
        </w:rPr>
        <w:t xml:space="preserve"> injekcióban beadandó oldat elkészítéséhez a gyógyszert steril, injekcióhoz való vízzel kell feloldani az 50 mg/ml végső koncentráció eléréséig. </w:t>
      </w:r>
      <w:r>
        <w:rPr>
          <w:lang w:eastAsia="el-GR"/>
        </w:rPr>
        <w:t xml:space="preserve">Az elkészített, </w:t>
      </w:r>
      <w:proofErr w:type="spellStart"/>
      <w:r>
        <w:rPr>
          <w:lang w:eastAsia="el-GR"/>
        </w:rPr>
        <w:t>bolus</w:t>
      </w:r>
      <w:proofErr w:type="spellEnd"/>
      <w:r>
        <w:rPr>
          <w:lang w:eastAsia="el-GR"/>
        </w:rPr>
        <w:t xml:space="preserve"> injekcióhoz való oldat kémiai és fizikai </w:t>
      </w:r>
      <w:r w:rsidR="00A4713B" w:rsidRPr="0024263C">
        <w:t>stabilitása 3 órán át igazolt legfeljebb 25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, illetve 12 órán keresztül hűtőszekrényben (2</w:t>
      </w:r>
      <w:r w:rsidR="00080EBD">
        <w:t>–</w:t>
      </w:r>
      <w:r w:rsidR="00A4713B" w:rsidRPr="0024263C">
        <w:t>8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) tárolva</w:t>
      </w:r>
      <w:r>
        <w:rPr>
          <w:lang w:eastAsia="el-GR"/>
        </w:rPr>
        <w:t>.</w:t>
      </w:r>
    </w:p>
    <w:p w14:paraId="3B252209" w14:textId="14BD7494" w:rsidR="00F85757" w:rsidRDefault="00F85757" w:rsidP="00657774">
      <w:pPr>
        <w:pStyle w:val="Nincstrkz"/>
        <w:keepNext/>
        <w:rPr>
          <w:lang w:eastAsia="de-DE"/>
        </w:rPr>
      </w:pPr>
      <w:r>
        <w:rPr>
          <w:lang w:eastAsia="el-GR"/>
        </w:rPr>
        <w:t>Mikrobiológiai szempontból a készítményt azonnal fel kell használni, kivéve, ha a felbontás/feloldás/hígítás</w:t>
      </w:r>
      <w:r w:rsidR="00A4713B">
        <w:rPr>
          <w:lang w:eastAsia="el-GR"/>
        </w:rPr>
        <w:t xml:space="preserve"> módszere</w:t>
      </w:r>
      <w:r>
        <w:rPr>
          <w:lang w:eastAsia="el-GR"/>
        </w:rPr>
        <w:t xml:space="preserve"> kizárja a mikrobiológiai szennyeződés</w:t>
      </w:r>
      <w:r w:rsidR="00A4713B" w:rsidRPr="00A4713B">
        <w:t xml:space="preserve"> </w:t>
      </w:r>
      <w:r w:rsidR="00A4713B" w:rsidRPr="0024263C">
        <w:t>kockázatát</w:t>
      </w:r>
      <w:r>
        <w:rPr>
          <w:lang w:eastAsia="el-GR"/>
        </w:rPr>
        <w:t xml:space="preserve">. </w:t>
      </w:r>
    </w:p>
    <w:p w14:paraId="54D2C9A8" w14:textId="77777777" w:rsidR="00A4713B" w:rsidRDefault="00A4713B" w:rsidP="00F85757">
      <w:pPr>
        <w:pStyle w:val="Nincstrkz"/>
      </w:pPr>
      <w:r w:rsidRPr="0024263C">
        <w:t>Amennyiben nem használják fel azonnal, a felhasználásig az eltartási idő és a tárolási körülmények a felhasználó felelőssége.</w:t>
      </w:r>
    </w:p>
    <w:p w14:paraId="40C896F8" w14:textId="77777777" w:rsidR="00F85757" w:rsidRDefault="00F85757" w:rsidP="00F85757">
      <w:pPr>
        <w:pStyle w:val="Nincstrkz"/>
        <w:rPr>
          <w:lang w:eastAsia="el-GR"/>
        </w:rPr>
      </w:pPr>
    </w:p>
    <w:p w14:paraId="6A5475F1" w14:textId="77777777" w:rsidR="00F85757" w:rsidRDefault="00F85757" w:rsidP="00F85757">
      <w:pPr>
        <w:pStyle w:val="Nincstrkz"/>
        <w:keepNext/>
        <w:rPr>
          <w:b/>
          <w:lang w:eastAsia="el-GR"/>
        </w:rPr>
      </w:pPr>
      <w:r>
        <w:rPr>
          <w:b/>
          <w:lang w:eastAsia="de-DE"/>
        </w:rPr>
        <w:t xml:space="preserve">Alkalmazása intravénás </w:t>
      </w:r>
      <w:r>
        <w:rPr>
          <w:b/>
          <w:lang w:eastAsia="el-GR"/>
        </w:rPr>
        <w:t>infúzióként</w:t>
      </w:r>
    </w:p>
    <w:p w14:paraId="453D9430" w14:textId="75A89F82" w:rsidR="00F85757" w:rsidRDefault="00F85757" w:rsidP="00F85757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Az oldatos infúzió elkészítéséhez a </w:t>
      </w:r>
      <w:r w:rsidR="00700F11">
        <w:rPr>
          <w:lang w:eastAsia="de-DE"/>
        </w:rPr>
        <w:t>gyógyszer</w:t>
      </w:r>
      <w:r>
        <w:rPr>
          <w:lang w:eastAsia="de-DE"/>
        </w:rPr>
        <w:t xml:space="preserve">t </w:t>
      </w:r>
      <w:r w:rsidR="00700F11">
        <w:rPr>
          <w:lang w:eastAsia="de-DE"/>
        </w:rPr>
        <w:t xml:space="preserve">0,9%-os nátrium-klorid infúziós oldattal vagy 5%-os </w:t>
      </w:r>
      <w:r w:rsidR="00E47DDC">
        <w:rPr>
          <w:lang w:eastAsia="de-DE"/>
        </w:rPr>
        <w:t xml:space="preserve">glükóz </w:t>
      </w:r>
      <w:r w:rsidR="00700F11">
        <w:rPr>
          <w:lang w:eastAsia="de-DE"/>
        </w:rPr>
        <w:t xml:space="preserve">infúziós oldattal </w:t>
      </w:r>
      <w:r>
        <w:rPr>
          <w:lang w:eastAsia="de-DE"/>
        </w:rPr>
        <w:t xml:space="preserve">kell </w:t>
      </w:r>
      <w:r w:rsidR="00080EBD">
        <w:rPr>
          <w:lang w:eastAsia="de-DE"/>
        </w:rPr>
        <w:t>feloldani</w:t>
      </w:r>
      <w:r>
        <w:rPr>
          <w:lang w:eastAsia="de-DE"/>
        </w:rPr>
        <w:t xml:space="preserve"> az 1</w:t>
      </w:r>
      <w:r>
        <w:rPr>
          <w:lang w:eastAsia="de-DE"/>
        </w:rPr>
        <w:noBreakHyphen/>
        <w:t>20 mg/ml végső koncentráció</w:t>
      </w:r>
      <w:r w:rsidR="00080EBD">
        <w:rPr>
          <w:lang w:eastAsia="de-DE"/>
        </w:rPr>
        <w:t xml:space="preserve"> elérésé</w:t>
      </w:r>
      <w:r>
        <w:rPr>
          <w:lang w:eastAsia="de-DE"/>
        </w:rPr>
        <w:t xml:space="preserve">ig. </w:t>
      </w:r>
      <w:r w:rsidR="00700F11">
        <w:rPr>
          <w:lang w:eastAsia="el-GR"/>
        </w:rPr>
        <w:t>A 0,9%-os nátrium-klorid oldattal elkészített, infúzióhoz való oldat kémiai és fizikai stabilitás</w:t>
      </w:r>
      <w:r w:rsidR="00A4713B">
        <w:rPr>
          <w:lang w:eastAsia="el-GR"/>
        </w:rPr>
        <w:t>a</w:t>
      </w:r>
      <w:r w:rsidR="00700F11">
        <w:rPr>
          <w:lang w:eastAsia="el-GR"/>
        </w:rPr>
        <w:t xml:space="preserve"> </w:t>
      </w:r>
      <w:r w:rsidR="00155EEB">
        <w:rPr>
          <w:lang w:eastAsia="el-GR"/>
        </w:rPr>
        <w:t>6</w:t>
      </w:r>
      <w:r w:rsidR="00700F11">
        <w:rPr>
          <w:lang w:eastAsia="el-GR"/>
        </w:rPr>
        <w:t xml:space="preserve"> órán </w:t>
      </w:r>
      <w:r w:rsidR="00A4713B" w:rsidRPr="0024263C">
        <w:t>át igazol</w:t>
      </w:r>
      <w:r w:rsidR="00A4713B">
        <w:t>t legfeljebb 25</w:t>
      </w:r>
      <w:r w:rsidR="00080EBD">
        <w:t> </w:t>
      </w:r>
      <w:r w:rsidR="00A4713B">
        <w:t>°C-</w:t>
      </w:r>
      <w:proofErr w:type="spellStart"/>
      <w:r w:rsidR="00A4713B">
        <w:t>on</w:t>
      </w:r>
      <w:proofErr w:type="spellEnd"/>
      <w:r w:rsidR="00A4713B">
        <w:t>, illetve 24</w:t>
      </w:r>
      <w:r w:rsidR="00A4713B" w:rsidRPr="0024263C">
        <w:t xml:space="preserve"> órán keresztül hűtőszekrényben (2</w:t>
      </w:r>
      <w:r w:rsidR="00080EBD">
        <w:t>–</w:t>
      </w:r>
      <w:r w:rsidR="00A4713B" w:rsidRPr="0024263C">
        <w:t>8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 w:rsidR="00A4713B" w:rsidRPr="0024263C">
        <w:t>) tárolva.</w:t>
      </w:r>
    </w:p>
    <w:p w14:paraId="666AD605" w14:textId="46E5CEB4" w:rsidR="004B08EC" w:rsidRDefault="004B08EC" w:rsidP="00F85757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Az 5%-os </w:t>
      </w:r>
      <w:r w:rsidR="00E47DDC">
        <w:rPr>
          <w:lang w:eastAsia="de-DE"/>
        </w:rPr>
        <w:t xml:space="preserve">glükóz </w:t>
      </w:r>
      <w:r>
        <w:rPr>
          <w:lang w:eastAsia="el-GR"/>
        </w:rPr>
        <w:t xml:space="preserve">oldattal elkészített, infúzióhoz való oldat </w:t>
      </w:r>
      <w:r w:rsidR="00A4713B" w:rsidRPr="0024263C">
        <w:t>kémiai és fizikai stabilitása 1 órán át igazolt 25</w:t>
      </w:r>
      <w:r w:rsidR="00080EBD">
        <w:t> </w:t>
      </w:r>
      <w:r w:rsidR="00A4713B" w:rsidRPr="0024263C">
        <w:t>°C-</w:t>
      </w:r>
      <w:proofErr w:type="spellStart"/>
      <w:r w:rsidR="00A4713B" w:rsidRPr="0024263C">
        <w:t>on</w:t>
      </w:r>
      <w:proofErr w:type="spellEnd"/>
      <w:r>
        <w:rPr>
          <w:lang w:eastAsia="el-GR"/>
        </w:rPr>
        <w:t>, illetve 8 órán keresztül 2</w:t>
      </w:r>
      <w:r w:rsidR="00080EBD">
        <w:rPr>
          <w:lang w:eastAsia="el-GR"/>
        </w:rPr>
        <w:t>–</w:t>
      </w:r>
      <w:r>
        <w:rPr>
          <w:lang w:eastAsia="el-GR"/>
        </w:rPr>
        <w:t>8</w:t>
      </w:r>
      <w:r w:rsidR="00080EBD">
        <w:rPr>
          <w:lang w:eastAsia="el-GR"/>
        </w:rPr>
        <w:t> </w:t>
      </w:r>
      <w:r>
        <w:rPr>
          <w:lang w:eastAsia="el-GR"/>
        </w:rPr>
        <w:t>°C</w:t>
      </w:r>
      <w:r>
        <w:rPr>
          <w:lang w:eastAsia="el-GR"/>
        </w:rPr>
        <w:noBreakHyphen/>
      </w:r>
      <w:proofErr w:type="spellStart"/>
      <w:r>
        <w:rPr>
          <w:lang w:eastAsia="el-GR"/>
        </w:rPr>
        <w:t>on</w:t>
      </w:r>
      <w:proofErr w:type="spellEnd"/>
      <w:r>
        <w:rPr>
          <w:lang w:eastAsia="el-GR"/>
        </w:rPr>
        <w:t xml:space="preserve"> tárolva.</w:t>
      </w:r>
    </w:p>
    <w:p w14:paraId="5362F9C7" w14:textId="4FFD7D16" w:rsidR="00A4713B" w:rsidRDefault="00700F11" w:rsidP="00A4713B">
      <w:pPr>
        <w:pStyle w:val="Nincstrkz"/>
        <w:keepNext/>
        <w:rPr>
          <w:lang w:eastAsia="de-DE"/>
        </w:rPr>
      </w:pPr>
      <w:r>
        <w:rPr>
          <w:lang w:eastAsia="el-GR"/>
        </w:rPr>
        <w:t xml:space="preserve">Mikrobiológiai szempontból a készítményt azonnal fel kell használni, kivéve, ha a </w:t>
      </w:r>
      <w:r w:rsidR="00A4713B">
        <w:rPr>
          <w:lang w:eastAsia="el-GR"/>
        </w:rPr>
        <w:t>felbontás/feloldás/hígítás módszere kizárja a mikrobiológiai szennyeződés</w:t>
      </w:r>
      <w:r w:rsidR="00A4713B" w:rsidRPr="00A4713B">
        <w:t xml:space="preserve"> </w:t>
      </w:r>
      <w:r w:rsidR="00A4713B" w:rsidRPr="0024263C">
        <w:t>kockázatát</w:t>
      </w:r>
      <w:r w:rsidR="00A4713B">
        <w:rPr>
          <w:lang w:eastAsia="el-GR"/>
        </w:rPr>
        <w:t xml:space="preserve">. </w:t>
      </w:r>
    </w:p>
    <w:p w14:paraId="171539C9" w14:textId="77777777" w:rsidR="00A4713B" w:rsidRDefault="00A4713B" w:rsidP="00A4713B">
      <w:pPr>
        <w:pStyle w:val="Nincstrkz"/>
      </w:pPr>
      <w:r w:rsidRPr="0024263C">
        <w:t>Amennyiben nem használják fel azonnal, a felhasználásig az eltartási idő és a tárolási körülmények a felhasználó felelőssége.</w:t>
      </w:r>
    </w:p>
    <w:p w14:paraId="1C8BF23D" w14:textId="77777777" w:rsidR="0014620D" w:rsidRDefault="0014620D" w:rsidP="00A4713B">
      <w:pPr>
        <w:pStyle w:val="Nincstrkz"/>
        <w:keepNext/>
        <w:rPr>
          <w:lang w:eastAsia="el-GR"/>
        </w:rPr>
      </w:pPr>
    </w:p>
    <w:p w14:paraId="3FD8CFDF" w14:textId="77777777" w:rsidR="0014620D" w:rsidRDefault="0014620D" w:rsidP="00F85757">
      <w:pPr>
        <w:pStyle w:val="Nincstrkz"/>
        <w:keepNext/>
        <w:rPr>
          <w:lang w:eastAsia="el-GR"/>
        </w:rPr>
      </w:pPr>
      <w:r>
        <w:rPr>
          <w:lang w:eastAsia="el-GR"/>
        </w:rPr>
        <w:t>Az elkészített oldatot nem szabad fagyasztani.</w:t>
      </w:r>
    </w:p>
    <w:p w14:paraId="7BAB8350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DD98414" w14:textId="77777777" w:rsidR="00D97F23" w:rsidRPr="002D0F02" w:rsidRDefault="00D97F23" w:rsidP="00473100">
      <w:pPr>
        <w:numPr>
          <w:ilvl w:val="1"/>
          <w:numId w:val="14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1CACE263" w14:textId="77777777" w:rsidR="00D97F23" w:rsidRPr="002D0F02" w:rsidRDefault="00D97F23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F75B1D4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Legfeljebb 30</w:t>
      </w:r>
      <w:r w:rsidR="002822E8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/>
        </w:rPr>
        <w:t>°C-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5133DEE4" w14:textId="77777777" w:rsidR="00872526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em fagyaszt</w:t>
      </w:r>
      <w:r w:rsidR="00F82D2C" w:rsidRPr="002D0F02">
        <w:rPr>
          <w:rFonts w:ascii="Times New Roman" w:hAnsi="Times New Roman"/>
          <w:sz w:val="22"/>
          <w:szCs w:val="22"/>
          <w:lang w:val="hu-HU"/>
        </w:rPr>
        <w:t>ható</w:t>
      </w:r>
      <w:r w:rsidRPr="002D0F02">
        <w:rPr>
          <w:rFonts w:ascii="Times New Roman" w:hAnsi="Times New Roman"/>
          <w:sz w:val="22"/>
          <w:szCs w:val="22"/>
          <w:lang w:val="hu-HU"/>
        </w:rPr>
        <w:t>!</w:t>
      </w:r>
    </w:p>
    <w:p w14:paraId="4DFAB89A" w14:textId="77777777" w:rsidR="00872526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688DBBD" w14:textId="77777777" w:rsidR="00D97F23" w:rsidRPr="002D0F02" w:rsidRDefault="00872526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lastRenderedPageBreak/>
        <w:t xml:space="preserve">A gyógyszer 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feloldás/hígítás utáni </w:t>
      </w:r>
      <w:r w:rsidRPr="002D0F02">
        <w:rPr>
          <w:rFonts w:ascii="Times New Roman" w:hAnsi="Times New Roman"/>
          <w:sz w:val="22"/>
          <w:szCs w:val="22"/>
          <w:lang w:val="hu-HU"/>
        </w:rPr>
        <w:t>tárolás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ára vonatkozó előírásokat </w:t>
      </w:r>
      <w:r w:rsidR="00BF15FA" w:rsidRPr="002D0F02">
        <w:rPr>
          <w:rFonts w:ascii="Times New Roman" w:hAnsi="Times New Roman"/>
          <w:sz w:val="22"/>
          <w:szCs w:val="22"/>
          <w:lang w:val="hu-HU"/>
        </w:rPr>
        <w:t>lásd a 6.3 pontban.</w:t>
      </w:r>
    </w:p>
    <w:p w14:paraId="6B62BBCC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5CB6EA8" w14:textId="77777777" w:rsidR="00D97F23" w:rsidRPr="002D0F02" w:rsidRDefault="00D97F23" w:rsidP="00473100">
      <w:pPr>
        <w:numPr>
          <w:ilvl w:val="1"/>
          <w:numId w:val="14"/>
        </w:numPr>
        <w:tabs>
          <w:tab w:val="clear" w:pos="720"/>
        </w:tabs>
        <w:ind w:left="0" w:firstLine="0"/>
        <w:outlineLvl w:val="1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2860EC17" w14:textId="77777777" w:rsidR="00D97F23" w:rsidRPr="002D0F02" w:rsidRDefault="00D97F23" w:rsidP="002D0F02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94DE5A7" w14:textId="77777777" w:rsidR="00E81009" w:rsidRPr="002D0F02" w:rsidRDefault="00CD0B02" w:rsidP="002D0F02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Meropenem Kabi 500 mg por oldatos injekcióhoz vagy infúzióhoz</w:t>
      </w:r>
    </w:p>
    <w:p w14:paraId="2C701375" w14:textId="77777777" w:rsidR="00D97F23" w:rsidRPr="002D0F02" w:rsidRDefault="0078018F" w:rsidP="002D0F02">
      <w:pPr>
        <w:pStyle w:val="Cmsor4"/>
        <w:keepNext w:val="0"/>
        <w:spacing w:after="0"/>
        <w:rPr>
          <w:rFonts w:ascii="Times New Roman" w:hAnsi="Times New Roman"/>
          <w:i w:val="0"/>
          <w:sz w:val="22"/>
          <w:szCs w:val="22"/>
          <w:lang w:val="hu-HU"/>
        </w:rPr>
      </w:pPr>
      <w:r w:rsidRPr="002D0F02">
        <w:rPr>
          <w:rFonts w:ascii="Times New Roman" w:hAnsi="Times New Roman"/>
          <w:i w:val="0"/>
          <w:sz w:val="22"/>
          <w:szCs w:val="22"/>
          <w:lang w:val="hu-HU" w:bidi="hu-HU"/>
        </w:rPr>
        <w:t xml:space="preserve">Lepattintható műanyag védőlappal,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b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r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ó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mbutil</w:t>
      </w:r>
      <w:proofErr w:type="spellEnd"/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g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umidugóval és </w:t>
      </w:r>
      <w:proofErr w:type="spellStart"/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>rollnizott</w:t>
      </w:r>
      <w:proofErr w:type="spellEnd"/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2754CD" w:rsidRPr="002D0F02">
        <w:rPr>
          <w:rFonts w:ascii="Times New Roman" w:hAnsi="Times New Roman"/>
          <w:i w:val="0"/>
          <w:sz w:val="22"/>
          <w:szCs w:val="22"/>
          <w:lang w:val="hu-HU"/>
        </w:rPr>
        <w:t>alumínium</w:t>
      </w:r>
      <w:r w:rsidR="00354ADB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kupakkal lezárt, </w:t>
      </w:r>
      <w:r w:rsidR="004D318D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színtelen, </w:t>
      </w:r>
      <w:r w:rsidR="00701FBF" w:rsidRPr="002D0F02">
        <w:rPr>
          <w:rFonts w:ascii="Times New Roman" w:hAnsi="Times New Roman"/>
          <w:i w:val="0"/>
          <w:sz w:val="22"/>
          <w:szCs w:val="22"/>
          <w:lang w:val="hu-HU"/>
        </w:rPr>
        <w:t>20 ml-es</w:t>
      </w:r>
      <w:r w:rsidR="005A36FE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injekciós üvegben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, vagy 100</w:t>
      </w:r>
      <w:r w:rsidR="00886D1C"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ml-es</w:t>
      </w:r>
      <w:r w:rsidR="00701FBF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C75B76" w:rsidRPr="002D0F02">
        <w:rPr>
          <w:rFonts w:ascii="Times New Roman" w:hAnsi="Times New Roman"/>
          <w:i w:val="0"/>
          <w:sz w:val="22"/>
          <w:szCs w:val="22"/>
          <w:lang w:val="hu-HU"/>
        </w:rPr>
        <w:t>infúziós</w:t>
      </w:r>
      <w:r w:rsidR="00D97F23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3D231B" w:rsidRPr="002D0F02">
        <w:rPr>
          <w:rFonts w:ascii="Times New Roman" w:hAnsi="Times New Roman"/>
          <w:i w:val="0"/>
          <w:sz w:val="22"/>
          <w:szCs w:val="22"/>
          <w:lang w:val="hu-HU"/>
        </w:rPr>
        <w:t>üvegben.</w:t>
      </w:r>
    </w:p>
    <w:p w14:paraId="62A73689" w14:textId="77777777" w:rsidR="00C069FB" w:rsidRPr="002D0F02" w:rsidRDefault="00C069FB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E4071A" w14:textId="77777777" w:rsidR="00E81009" w:rsidRPr="002D0F02" w:rsidRDefault="00CD0B02" w:rsidP="002D0F02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ﾠg"/>
        </w:smartTagPr>
        <w:r w:rsidRPr="002D0F02">
          <w:rPr>
            <w:rFonts w:ascii="Times New Roman" w:hAnsi="Times New Roman"/>
            <w:sz w:val="22"/>
            <w:szCs w:val="22"/>
            <w:u w:val="single"/>
            <w:lang w:val="hu-HU"/>
          </w:rPr>
          <w:t>1 g</w:t>
        </w:r>
      </w:smartTag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injekcióhoz vagy infúzióhoz</w:t>
      </w:r>
    </w:p>
    <w:p w14:paraId="1DF1486A" w14:textId="77777777" w:rsidR="00CD0B02" w:rsidRPr="002D0F02" w:rsidRDefault="007B3C3C" w:rsidP="002D0F02">
      <w:pPr>
        <w:pStyle w:val="Cmsor4"/>
        <w:keepNext w:val="0"/>
        <w:spacing w:after="0"/>
        <w:rPr>
          <w:rFonts w:ascii="Times New Roman" w:hAnsi="Times New Roman"/>
          <w:i w:val="0"/>
          <w:sz w:val="22"/>
          <w:szCs w:val="22"/>
          <w:lang w:val="hu-HU"/>
        </w:rPr>
      </w:pPr>
      <w:r w:rsidRPr="002D0F02">
        <w:rPr>
          <w:rFonts w:ascii="Times New Roman" w:hAnsi="Times New Roman"/>
          <w:i w:val="0"/>
          <w:sz w:val="22"/>
          <w:szCs w:val="22"/>
          <w:lang w:val="hu-HU" w:bidi="hu-HU"/>
        </w:rPr>
        <w:t xml:space="preserve">Lepattintható műanyag védőlappal,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b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r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ó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mbutil</w:t>
      </w:r>
      <w:proofErr w:type="spellEnd"/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BF15FA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gumidugóval és </w:t>
      </w:r>
      <w:proofErr w:type="spellStart"/>
      <w:r w:rsidRPr="002D0F02">
        <w:rPr>
          <w:rFonts w:ascii="Times New Roman" w:hAnsi="Times New Roman"/>
          <w:i w:val="0"/>
          <w:sz w:val="22"/>
          <w:szCs w:val="22"/>
          <w:lang w:val="hu-HU"/>
        </w:rPr>
        <w:t>rollnizott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F15FA" w:rsidRPr="002D0F02">
        <w:rPr>
          <w:rFonts w:ascii="Times New Roman" w:hAnsi="Times New Roman"/>
          <w:i w:val="0"/>
          <w:sz w:val="22"/>
          <w:szCs w:val="22"/>
          <w:lang w:val="hu-HU"/>
        </w:rPr>
        <w:t>alumínium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kupakkal lezárt,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színtelen,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 20 ml-es</w:t>
      </w:r>
      <w:r w:rsidRPr="002D0F02">
        <w:rPr>
          <w:rFonts w:ascii="Times New Roman" w:hAnsi="Times New Roman"/>
          <w:i w:val="0"/>
          <w:kern w:val="0"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injekciós üvegben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, 50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>ml-es vagy 100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> </w:t>
      </w:r>
      <w:r w:rsidR="00CD0B02"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ml-es </w:t>
      </w:r>
      <w:r w:rsidRPr="002D0F02">
        <w:rPr>
          <w:rFonts w:ascii="Times New Roman" w:hAnsi="Times New Roman"/>
          <w:i w:val="0"/>
          <w:sz w:val="22"/>
          <w:szCs w:val="22"/>
          <w:lang w:val="hu-HU"/>
        </w:rPr>
        <w:t xml:space="preserve">infúziós </w:t>
      </w:r>
      <w:r w:rsidR="003D231B" w:rsidRPr="002D0F02">
        <w:rPr>
          <w:rFonts w:ascii="Times New Roman" w:hAnsi="Times New Roman"/>
          <w:i w:val="0"/>
          <w:sz w:val="22"/>
          <w:szCs w:val="22"/>
          <w:lang w:val="hu-HU"/>
        </w:rPr>
        <w:t>üvegben.</w:t>
      </w:r>
    </w:p>
    <w:p w14:paraId="4C73C76D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0B66DED" w14:textId="77777777" w:rsidR="00D67E8A" w:rsidRPr="002D0F02" w:rsidRDefault="00D67E8A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Kiszerelések: 1 db vagy 10 db injekciós üveg vagy infúziós </w:t>
      </w:r>
      <w:r w:rsidR="003D231B" w:rsidRPr="002D0F02">
        <w:rPr>
          <w:rFonts w:ascii="Times New Roman" w:hAnsi="Times New Roman"/>
          <w:sz w:val="22"/>
          <w:szCs w:val="22"/>
          <w:lang w:val="hu-HU"/>
        </w:rPr>
        <w:t>üveg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dobozban.</w:t>
      </w:r>
    </w:p>
    <w:p w14:paraId="41A3E1F5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7204B12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Nem feltétlenül mindegyik kiszerelés kerül kereskedelmi forgalomba.</w:t>
      </w:r>
    </w:p>
    <w:p w14:paraId="3CECCDED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3A4D583" w14:textId="77777777" w:rsidR="002754CD" w:rsidRPr="002D0F02" w:rsidRDefault="002754CD" w:rsidP="00473100">
      <w:pPr>
        <w:pStyle w:val="WW-Szvegtrzs212"/>
        <w:spacing w:line="240" w:lineRule="auto"/>
        <w:outlineLvl w:val="1"/>
        <w:rPr>
          <w:noProof/>
          <w:szCs w:val="22"/>
          <w:lang w:val="hu-HU"/>
        </w:rPr>
      </w:pPr>
      <w:r w:rsidRPr="002D0F02">
        <w:rPr>
          <w:szCs w:val="22"/>
          <w:lang w:val="hu-HU"/>
        </w:rPr>
        <w:t>6.6</w:t>
      </w:r>
      <w:r w:rsidRPr="002D0F02">
        <w:rPr>
          <w:szCs w:val="22"/>
          <w:lang w:val="hu-HU"/>
        </w:rPr>
        <w:tab/>
      </w:r>
      <w:r w:rsidRPr="002D0F02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459FE951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22C6A364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Injekció</w:t>
      </w:r>
    </w:p>
    <w:p w14:paraId="3976FA7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injekcióhoz a </w:t>
      </w:r>
      <w:proofErr w:type="spellStart"/>
      <w:r w:rsidRPr="002D0F02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steril, injekcióhoz való vízzel kell elkészíteni.</w:t>
      </w:r>
    </w:p>
    <w:p w14:paraId="24725CA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25839F8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 w:eastAsia="hu-HU"/>
        </w:rPr>
        <w:t>Infúzió</w:t>
      </w:r>
    </w:p>
    <w:p w14:paraId="1DB4C2C0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Intravénás infúzióhoz a meropenem </w:t>
      </w:r>
      <w:r w:rsidR="00C70656" w:rsidRPr="002D0F02">
        <w:rPr>
          <w:rFonts w:ascii="Times New Roman" w:hAnsi="Times New Roman"/>
          <w:sz w:val="22"/>
          <w:szCs w:val="22"/>
          <w:lang w:val="hu-HU" w:eastAsia="hu-HU"/>
        </w:rPr>
        <w:t xml:space="preserve">oldat az </w:t>
      </w:r>
      <w:r w:rsidR="00091DAB" w:rsidRPr="002D0F02">
        <w:rPr>
          <w:rFonts w:ascii="Times New Roman" w:hAnsi="Times New Roman"/>
          <w:sz w:val="22"/>
          <w:szCs w:val="22"/>
          <w:lang w:val="hu-HU" w:eastAsia="hu-HU"/>
        </w:rPr>
        <w:t>injekciós üvegben</w:t>
      </w:r>
      <w:r w:rsidR="00783752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az </w:t>
      </w:r>
      <w:r w:rsidR="00C70656" w:rsidRPr="002D0F02">
        <w:rPr>
          <w:rFonts w:ascii="Times New Roman" w:hAnsi="Times New Roman"/>
          <w:sz w:val="22"/>
          <w:szCs w:val="22"/>
          <w:lang w:val="hu-HU" w:eastAsia="hu-HU"/>
        </w:rPr>
        <w:t xml:space="preserve">infúziós </w:t>
      </w:r>
      <w:r w:rsidR="003D231B" w:rsidRPr="002D0F02">
        <w:rPr>
          <w:rFonts w:ascii="Times New Roman" w:hAnsi="Times New Roman"/>
          <w:sz w:val="22"/>
          <w:szCs w:val="22"/>
          <w:lang w:val="hu-HU" w:eastAsia="hu-HU"/>
        </w:rPr>
        <w:t>üvegben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0,9%-os nátrium-klorid vagy 5%-os glükóz oldatos infúziókkal közvetlenül elkészíthető.</w:t>
      </w:r>
    </w:p>
    <w:p w14:paraId="3AA0098E" w14:textId="77777777" w:rsidR="00C70656" w:rsidRPr="002D0F02" w:rsidRDefault="00C70656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89B6334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Minden injekciós üveg</w:t>
      </w:r>
      <w:r w:rsidR="004050CF" w:rsidRPr="002D0F02">
        <w:rPr>
          <w:rFonts w:ascii="Times New Roman" w:hAnsi="Times New Roman"/>
          <w:sz w:val="22"/>
          <w:szCs w:val="22"/>
          <w:lang w:val="hu-HU" w:eastAsia="hu-HU"/>
        </w:rPr>
        <w:t xml:space="preserve"> és infúziós </w:t>
      </w:r>
      <w:r w:rsidR="003D231B" w:rsidRPr="002D0F02">
        <w:rPr>
          <w:rFonts w:ascii="Times New Roman" w:hAnsi="Times New Roman"/>
          <w:sz w:val="22"/>
          <w:szCs w:val="22"/>
          <w:lang w:val="hu-HU" w:eastAsia="hu-HU"/>
        </w:rPr>
        <w:t>üveg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 kizárólag egyszer használatos.</w:t>
      </w:r>
    </w:p>
    <w:p w14:paraId="6C399AD4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oldat elkészítésénél és alkalmazásánál a standard aszeptikus eljárásokat kell alkalmazni.</w:t>
      </w:r>
    </w:p>
    <w:p w14:paraId="78F5A827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>Az oldatot használat előtt fel kell rázni.</w:t>
      </w:r>
    </w:p>
    <w:p w14:paraId="0340EB2A" w14:textId="77777777" w:rsidR="00701FBF" w:rsidRPr="002D0F02" w:rsidRDefault="00701FBF" w:rsidP="002D0F0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C8A5BA2" w14:textId="77777777" w:rsidR="00701FBF" w:rsidRPr="002D0F02" w:rsidRDefault="00701FBF" w:rsidP="002D0F02">
      <w:pPr>
        <w:rPr>
          <w:rFonts w:ascii="Times New Roman" w:hAnsi="Times New Roman"/>
          <w:b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Bármilyen fel nem használt </w:t>
      </w:r>
      <w:r w:rsidR="00BB625E" w:rsidRPr="002D0F02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 xml:space="preserve">, illetve hulladékanyag megsemmisítését a </w:t>
      </w:r>
      <w:r w:rsidR="00BB625E" w:rsidRPr="002D0F02">
        <w:rPr>
          <w:rFonts w:ascii="Times New Roman" w:hAnsi="Times New Roman"/>
          <w:sz w:val="22"/>
          <w:szCs w:val="22"/>
          <w:lang w:val="hu-HU" w:eastAsia="hu-HU"/>
        </w:rPr>
        <w:t xml:space="preserve">gyógyszerekre vonatkozó </w:t>
      </w:r>
      <w:r w:rsidRPr="002D0F02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12EA4A98" w14:textId="77777777" w:rsidR="00701FBF" w:rsidRPr="002D0F02" w:rsidRDefault="00701FBF" w:rsidP="002D0F02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13C739F" w14:textId="77777777" w:rsidR="00381CA9" w:rsidRPr="002D0F02" w:rsidRDefault="00381CA9" w:rsidP="002D0F02">
      <w:pPr>
        <w:suppressAutoHyphens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2D0F02">
        <w:rPr>
          <w:rFonts w:ascii="Times New Roman" w:hAnsi="Times New Roman"/>
          <w:sz w:val="22"/>
          <w:szCs w:val="22"/>
          <w:lang w:val="hu-HU"/>
        </w:rPr>
        <w:sym w:font="Wingdings" w:char="F058"/>
      </w:r>
      <w:r w:rsidRPr="002D0F02" w:rsidDel="00273BB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sz w:val="22"/>
          <w:szCs w:val="22"/>
          <w:lang w:val="hu-HU"/>
        </w:rPr>
        <w:t>(egy keresztes)</w:t>
      </w:r>
    </w:p>
    <w:p w14:paraId="472C82C3" w14:textId="77777777" w:rsidR="00A8374E" w:rsidRPr="002D0F02" w:rsidRDefault="00A8374E" w:rsidP="002D0F02">
      <w:pPr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Osztályozás: II./3 csoport</w:t>
      </w:r>
    </w:p>
    <w:p w14:paraId="11A1512D" w14:textId="77777777" w:rsidR="00A8374E" w:rsidRPr="002D0F02" w:rsidRDefault="00A8374E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Korlátozott érvényű orvosi rendelvényhez kötött, az egészségügyről szóló 1997. évi CLIV. </w:t>
      </w:r>
      <w:r w:rsidR="00381CA9" w:rsidRPr="002D0F02">
        <w:rPr>
          <w:rFonts w:ascii="Times New Roman" w:hAnsi="Times New Roman"/>
          <w:sz w:val="22"/>
          <w:szCs w:val="22"/>
          <w:lang w:val="hu-HU"/>
        </w:rPr>
        <w:t>t</w:t>
      </w:r>
      <w:r w:rsidRPr="002D0F02">
        <w:rPr>
          <w:rFonts w:ascii="Times New Roman" w:hAnsi="Times New Roman"/>
          <w:sz w:val="22"/>
          <w:szCs w:val="22"/>
          <w:lang w:val="hu-HU"/>
        </w:rPr>
        <w:t>örvény 3.</w:t>
      </w:r>
      <w:r w:rsidR="000737B4">
        <w:rPr>
          <w:rFonts w:ascii="Times New Roman" w:hAnsi="Times New Roman"/>
          <w:sz w:val="22"/>
          <w:szCs w:val="22"/>
          <w:lang w:val="hu-HU"/>
        </w:rPr>
        <w:t> </w:t>
      </w:r>
      <w:r w:rsidRPr="002D0F02">
        <w:rPr>
          <w:rFonts w:ascii="Times New Roman" w:hAnsi="Times New Roman"/>
          <w:sz w:val="22"/>
          <w:szCs w:val="22"/>
          <w:lang w:val="hu-HU"/>
        </w:rPr>
        <w:t>§-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ának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2D0F02">
        <w:rPr>
          <w:rFonts w:ascii="Times New Roman" w:hAnsi="Times New Roman"/>
          <w:sz w:val="22"/>
          <w:szCs w:val="22"/>
          <w:lang w:val="hu-HU"/>
        </w:rPr>
        <w:t>ga</w:t>
      </w:r>
      <w:proofErr w:type="spellEnd"/>
      <w:r w:rsidRPr="002D0F02">
        <w:rPr>
          <w:rFonts w:ascii="Times New Roman" w:hAnsi="Times New Roman"/>
          <w:sz w:val="22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</w:t>
      </w:r>
      <w:r w:rsidRPr="002D0F02">
        <w:rPr>
          <w:rFonts w:ascii="Times New Roman" w:hAnsi="Times New Roman"/>
          <w:bCs/>
          <w:sz w:val="22"/>
          <w:szCs w:val="22"/>
          <w:lang w:val="hu-HU"/>
        </w:rPr>
        <w:t xml:space="preserve"> (I).</w:t>
      </w:r>
    </w:p>
    <w:p w14:paraId="74B3F91F" w14:textId="77777777" w:rsidR="00D97F23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76908EF" w14:textId="77777777" w:rsidR="00340176" w:rsidRPr="002D0F02" w:rsidRDefault="0034017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88773D" w14:textId="77777777" w:rsidR="00D97F23" w:rsidRPr="002D0F02" w:rsidRDefault="00D97F23" w:rsidP="00473100">
      <w:pPr>
        <w:keepNext/>
        <w:numPr>
          <w:ilvl w:val="0"/>
          <w:numId w:val="13"/>
        </w:numPr>
        <w:tabs>
          <w:tab w:val="clear" w:pos="720"/>
        </w:tabs>
        <w:ind w:left="0" w:firstLine="0"/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A FORGALOMBA</w:t>
      </w:r>
      <w:r w:rsidR="00334441" w:rsidRPr="002D0F02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HOZATALI ENGEDÉLY JOGOSULTJA</w:t>
      </w:r>
    </w:p>
    <w:p w14:paraId="355344C4" w14:textId="77777777" w:rsidR="00D97F23" w:rsidRPr="002D0F02" w:rsidRDefault="00D97F23" w:rsidP="002822E8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681D25E" w14:textId="77777777" w:rsidR="00CD0B02" w:rsidRPr="002D0F02" w:rsidRDefault="00CD0B02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Fresenius Kabi Hungary Kft.</w:t>
      </w:r>
    </w:p>
    <w:p w14:paraId="4D703EB5" w14:textId="77777777" w:rsidR="00CD0B02" w:rsidRPr="002D0F02" w:rsidRDefault="00A02080" w:rsidP="002822E8">
      <w:pPr>
        <w:keepNext/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1025 </w:t>
      </w:r>
      <w:r w:rsidR="00CD0B02" w:rsidRPr="002D0F02">
        <w:rPr>
          <w:rFonts w:ascii="Times New Roman" w:hAnsi="Times New Roman"/>
          <w:sz w:val="22"/>
          <w:szCs w:val="22"/>
          <w:lang w:val="hu-HU"/>
        </w:rPr>
        <w:t xml:space="preserve">Budapest, </w:t>
      </w:r>
      <w:r w:rsidRPr="002D0F02">
        <w:rPr>
          <w:rFonts w:ascii="Times New Roman" w:hAnsi="Times New Roman"/>
          <w:sz w:val="22"/>
          <w:szCs w:val="22"/>
          <w:lang w:val="hu-HU"/>
        </w:rPr>
        <w:t>Szépvölgyi út 6</w:t>
      </w:r>
      <w:r w:rsidR="00CD0B02"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6622886F" w14:textId="77777777" w:rsidR="00D97F23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Magyarország</w:t>
      </w:r>
    </w:p>
    <w:p w14:paraId="55D8ECA1" w14:textId="77777777" w:rsidR="00701FBF" w:rsidRPr="002D0F02" w:rsidRDefault="00701FBF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DFAC250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7FD7180" w14:textId="77777777" w:rsidR="00D97F23" w:rsidRPr="002D0F02" w:rsidRDefault="00D97F23" w:rsidP="00473100">
      <w:pPr>
        <w:outlineLvl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8.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ab/>
        <w:t>A FORGALOMBA</w:t>
      </w:r>
      <w:r w:rsidR="002C4EA4" w:rsidRPr="002D0F02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2D0F02">
        <w:rPr>
          <w:rFonts w:ascii="Times New Roman" w:hAnsi="Times New Roman"/>
          <w:b/>
          <w:bCs/>
          <w:sz w:val="22"/>
          <w:szCs w:val="22"/>
          <w:lang w:val="hu-HU"/>
        </w:rPr>
        <w:t>HOZATALI ENGEDÉLY SZÁMA</w:t>
      </w:r>
      <w:r w:rsidR="002C4EA4" w:rsidRPr="002D0F02">
        <w:rPr>
          <w:rFonts w:ascii="Times New Roman" w:hAnsi="Times New Roman"/>
          <w:b/>
          <w:bCs/>
          <w:sz w:val="22"/>
          <w:szCs w:val="22"/>
          <w:lang w:val="hu-HU"/>
        </w:rPr>
        <w:t>(I)</w:t>
      </w:r>
    </w:p>
    <w:p w14:paraId="70F7E77B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71784B6C" w14:textId="77777777" w:rsidR="00D61B09" w:rsidRPr="002D0F02" w:rsidRDefault="00D61B09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>Meropenem Kabi 500 mg por oldatos injekcióhoz vagy infúzióhoz</w:t>
      </w:r>
    </w:p>
    <w:p w14:paraId="2EF2643F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3FCA206" w14:textId="77777777" w:rsidR="00D97F23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/01</w:t>
      </w:r>
      <w:r w:rsidR="002754CD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(500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mg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)</w:t>
      </w:r>
    </w:p>
    <w:p w14:paraId="2DE0918E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D97F23" w:rsidRPr="002D0F02">
        <w:rPr>
          <w:rFonts w:ascii="Times New Roman" w:hAnsi="Times New Roman"/>
          <w:sz w:val="22"/>
          <w:szCs w:val="22"/>
          <w:lang w:val="hu-HU"/>
        </w:rPr>
        <w:t>02</w:t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2754CD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>(500 mg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100 ml) </w:t>
      </w:r>
    </w:p>
    <w:p w14:paraId="1B3CB21B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03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  <w:t xml:space="preserve">(500 mg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Pr="002D0F02">
        <w:rPr>
          <w:rFonts w:ascii="Times New Roman" w:hAnsi="Times New Roman"/>
          <w:sz w:val="22"/>
          <w:szCs w:val="22"/>
          <w:lang w:val="hu-HU"/>
        </w:rPr>
        <w:t xml:space="preserve"> 20 ml)</w:t>
      </w:r>
    </w:p>
    <w:p w14:paraId="02896E29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04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(500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mg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100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6D53BEC8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0CAFF16" w14:textId="77777777" w:rsidR="00D61B09" w:rsidRPr="002D0F02" w:rsidRDefault="00D61B09" w:rsidP="002D0F02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Meropenem Kabi </w:t>
      </w:r>
      <w:smartTag w:uri="urn:schemas-microsoft-com:office:smarttags" w:element="metricconverter">
        <w:smartTagPr>
          <w:attr w:name="ProductID" w:val="1 g"/>
        </w:smartTagPr>
        <w:r w:rsidRPr="002D0F02">
          <w:rPr>
            <w:rFonts w:ascii="Times New Roman" w:hAnsi="Times New Roman"/>
            <w:sz w:val="22"/>
            <w:szCs w:val="22"/>
            <w:u w:val="single"/>
            <w:lang w:val="hu-HU"/>
          </w:rPr>
          <w:t>1 g</w:t>
        </w:r>
      </w:smartTag>
      <w:r w:rsidRPr="002D0F02">
        <w:rPr>
          <w:rFonts w:ascii="Times New Roman" w:hAnsi="Times New Roman"/>
          <w:sz w:val="22"/>
          <w:szCs w:val="22"/>
          <w:u w:val="single"/>
          <w:lang w:val="hu-HU"/>
        </w:rPr>
        <w:t xml:space="preserve"> por oldatos injekcióhoz vagy infúzióhoz</w:t>
      </w:r>
    </w:p>
    <w:p w14:paraId="46A8C649" w14:textId="77777777" w:rsidR="000C4706" w:rsidRPr="002D0F02" w:rsidRDefault="000C4706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3CBA972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05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C5438C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47306CD4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06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50 ml) </w:t>
      </w:r>
    </w:p>
    <w:p w14:paraId="27CBE8DE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07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100 ml)</w:t>
      </w:r>
    </w:p>
    <w:p w14:paraId="54B15D0C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08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20 ml)</w:t>
      </w:r>
    </w:p>
    <w:p w14:paraId="334B6B61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C0017F" w:rsidRPr="002D0F02">
        <w:rPr>
          <w:rFonts w:ascii="Times New Roman" w:hAnsi="Times New Roman"/>
          <w:sz w:val="22"/>
          <w:szCs w:val="22"/>
          <w:lang w:val="hu-HU"/>
        </w:rPr>
        <w:t>/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09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681749" w:rsidRPr="002D0F02">
          <w:rPr>
            <w:rFonts w:ascii="Times New Roman" w:hAnsi="Times New Roman"/>
            <w:sz w:val="22"/>
            <w:szCs w:val="22"/>
            <w:lang w:val="hu-HU"/>
          </w:rPr>
          <w:t>1 g</w:t>
        </w:r>
      </w:smartTag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 xml:space="preserve"> 50 ml)</w:t>
      </w:r>
    </w:p>
    <w:p w14:paraId="6F632FCB" w14:textId="77777777" w:rsidR="00B2350E" w:rsidRPr="002D0F02" w:rsidRDefault="00D61B0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>OGYI-T-21722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/10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ab/>
      </w:r>
      <w:r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(</w:t>
      </w:r>
      <w:smartTag w:uri="urn:schemas-microsoft-com:office:smarttags" w:element="metricconverter">
        <w:smartTagPr>
          <w:attr w:name="ProductID" w:val="1ﾠg"/>
        </w:smartTagP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1</w:t>
        </w:r>
        <w:r w:rsidR="00C5438C" w:rsidRPr="002D0F02">
          <w:rPr>
            <w:rFonts w:ascii="Times New Roman" w:hAnsi="Times New Roman"/>
            <w:sz w:val="22"/>
            <w:szCs w:val="22"/>
            <w:lang w:val="hu-HU"/>
          </w:rPr>
          <w:t> </w:t>
        </w:r>
        <w:r w:rsidR="00B2350E" w:rsidRPr="002D0F02">
          <w:rPr>
            <w:rFonts w:ascii="Times New Roman" w:hAnsi="Times New Roman"/>
            <w:sz w:val="22"/>
            <w:szCs w:val="22"/>
            <w:lang w:val="hu-HU"/>
          </w:rPr>
          <w:t>g</w:t>
        </w:r>
      </w:smartTag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ab/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10 </w:t>
      </w:r>
      <w:r w:rsidR="00EA73BB">
        <w:rPr>
          <w:rFonts w:ascii="Times New Roman" w:hAnsi="Times New Roman"/>
          <w:sz w:val="22"/>
          <w:szCs w:val="22"/>
          <w:lang w:val="hu-HU"/>
        </w:rPr>
        <w:t>×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 xml:space="preserve"> 100</w:t>
      </w:r>
      <w:r w:rsidR="00C5438C" w:rsidRPr="002D0F02">
        <w:rPr>
          <w:rFonts w:ascii="Times New Roman" w:hAnsi="Times New Roman"/>
          <w:sz w:val="22"/>
          <w:szCs w:val="22"/>
          <w:lang w:val="hu-HU"/>
        </w:rPr>
        <w:t> </w:t>
      </w:r>
      <w:r w:rsidR="00B2350E" w:rsidRPr="002D0F02">
        <w:rPr>
          <w:rFonts w:ascii="Times New Roman" w:hAnsi="Times New Roman"/>
          <w:sz w:val="22"/>
          <w:szCs w:val="22"/>
          <w:lang w:val="hu-HU"/>
        </w:rPr>
        <w:t>ml)</w:t>
      </w:r>
    </w:p>
    <w:p w14:paraId="4B2D6A7E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fldChar w:fldCharType="begin"/>
      </w:r>
      <w:r w:rsidRPr="002D0F02">
        <w:rPr>
          <w:rFonts w:ascii="Times New Roman" w:hAnsi="Times New Roman"/>
          <w:sz w:val="22"/>
          <w:szCs w:val="22"/>
          <w:lang w:val="hu-HU"/>
        </w:rPr>
        <w:instrText xml:space="preserve"> FILENAME \p \* MERGEFORMAT </w:instrText>
      </w:r>
      <w:r w:rsidRPr="002D0F02">
        <w:rPr>
          <w:rFonts w:ascii="Times New Roman" w:hAnsi="Times New Roman"/>
          <w:sz w:val="22"/>
          <w:szCs w:val="22"/>
          <w:lang w:val="hu-HU"/>
        </w:rPr>
        <w:fldChar w:fldCharType="end"/>
      </w:r>
    </w:p>
    <w:p w14:paraId="285B4568" w14:textId="77777777" w:rsidR="002754CD" w:rsidRPr="002D0F02" w:rsidRDefault="002754CD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50827442" w14:textId="77777777" w:rsidR="00D97F23" w:rsidRPr="002D0F02" w:rsidRDefault="00D97F23" w:rsidP="00473100">
      <w:pPr>
        <w:pStyle w:val="Szvegtrzsbehzssal"/>
        <w:ind w:left="567" w:hanging="567"/>
        <w:outlineLvl w:val="0"/>
        <w:rPr>
          <w:sz w:val="22"/>
          <w:szCs w:val="22"/>
        </w:rPr>
      </w:pPr>
      <w:r w:rsidRPr="002D0F02">
        <w:rPr>
          <w:sz w:val="22"/>
          <w:szCs w:val="22"/>
        </w:rPr>
        <w:t>9.</w:t>
      </w:r>
      <w:r w:rsidRPr="002D0F02">
        <w:rPr>
          <w:sz w:val="22"/>
          <w:szCs w:val="22"/>
        </w:rPr>
        <w:tab/>
        <w:t>A FORGALOMBA</w:t>
      </w:r>
      <w:r w:rsidR="00F8099F" w:rsidRPr="002D0F02">
        <w:rPr>
          <w:sz w:val="22"/>
          <w:szCs w:val="22"/>
        </w:rPr>
        <w:t xml:space="preserve"> </w:t>
      </w:r>
      <w:r w:rsidRPr="002D0F02">
        <w:rPr>
          <w:sz w:val="22"/>
          <w:szCs w:val="22"/>
        </w:rPr>
        <w:t>HOZATALI ENGEDÉLY ELSŐ KIADÁSÁNAK/</w:t>
      </w:r>
      <w:r w:rsidR="00F8099F" w:rsidRPr="002D0F02">
        <w:rPr>
          <w:sz w:val="22"/>
          <w:szCs w:val="22"/>
        </w:rPr>
        <w:t xml:space="preserve"> </w:t>
      </w:r>
      <w:r w:rsidRPr="002D0F02">
        <w:rPr>
          <w:sz w:val="22"/>
          <w:szCs w:val="22"/>
        </w:rPr>
        <w:t>MEGÚJÍTÁSÁNAK DÁTUMA</w:t>
      </w:r>
    </w:p>
    <w:p w14:paraId="37B2DAC6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37FACC1" w14:textId="77777777" w:rsidR="00F8099F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forgalomba hozatali engedély első kiadásának dátuma: </w:t>
      </w:r>
      <w:r w:rsidR="00681749" w:rsidRPr="002D0F02">
        <w:rPr>
          <w:rFonts w:ascii="Times New Roman" w:hAnsi="Times New Roman"/>
          <w:sz w:val="22"/>
          <w:szCs w:val="22"/>
          <w:lang w:val="hu-HU"/>
        </w:rPr>
        <w:t>2011. május 27.</w:t>
      </w:r>
      <w:r w:rsidR="00BB625E" w:rsidRPr="002D0F02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34134540" w14:textId="77777777" w:rsidR="00D97F23" w:rsidRPr="002D0F02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6254799F" w14:textId="77777777" w:rsidR="00681749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  <w:r w:rsidRPr="002D0F02">
        <w:rPr>
          <w:rFonts w:ascii="Times New Roman" w:hAnsi="Times New Roman"/>
          <w:sz w:val="22"/>
          <w:szCs w:val="22"/>
          <w:lang w:val="hu-HU"/>
        </w:rPr>
        <w:t xml:space="preserve">A forgalomba hozatali engedély legutóbbi megújításának dátuma: 2013. május </w:t>
      </w:r>
      <w:r w:rsidR="00370F6C" w:rsidRPr="002D0F02">
        <w:rPr>
          <w:rFonts w:ascii="Times New Roman" w:hAnsi="Times New Roman"/>
          <w:sz w:val="22"/>
          <w:szCs w:val="22"/>
          <w:lang w:val="hu-HU"/>
        </w:rPr>
        <w:t>15</w:t>
      </w:r>
      <w:r w:rsidRPr="002D0F02">
        <w:rPr>
          <w:rFonts w:ascii="Times New Roman" w:hAnsi="Times New Roman"/>
          <w:sz w:val="22"/>
          <w:szCs w:val="22"/>
          <w:lang w:val="hu-HU"/>
        </w:rPr>
        <w:t>.</w:t>
      </w:r>
    </w:p>
    <w:p w14:paraId="5DCAACA4" w14:textId="77777777" w:rsidR="00381CA9" w:rsidRPr="002D0F02" w:rsidRDefault="00381CA9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434DEE4A" w14:textId="77777777" w:rsidR="001F6E33" w:rsidRPr="002D0F02" w:rsidRDefault="001F6E3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1FBB5724" w14:textId="77777777" w:rsidR="00D97F23" w:rsidRPr="002D0F02" w:rsidRDefault="00D97F23" w:rsidP="00473100">
      <w:pPr>
        <w:ind w:left="567" w:hanging="567"/>
        <w:outlineLvl w:val="0"/>
        <w:rPr>
          <w:rFonts w:ascii="Times New Roman" w:hAnsi="Times New Roman"/>
          <w:b/>
          <w:sz w:val="22"/>
          <w:szCs w:val="22"/>
          <w:lang w:val="hu-HU"/>
        </w:rPr>
      </w:pPr>
      <w:r w:rsidRPr="002D0F02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2D0F02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710AB3C7" w14:textId="77777777" w:rsidR="00D97F23" w:rsidRDefault="00D97F23" w:rsidP="002D0F02">
      <w:pPr>
        <w:rPr>
          <w:rFonts w:ascii="Times New Roman" w:hAnsi="Times New Roman"/>
          <w:sz w:val="22"/>
          <w:szCs w:val="22"/>
          <w:lang w:val="hu-HU"/>
        </w:rPr>
      </w:pPr>
    </w:p>
    <w:p w14:paraId="3A722F08" w14:textId="070261A5" w:rsidR="007E6509" w:rsidRDefault="002E5F0C" w:rsidP="002D1D63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2025. augusztus 1</w:t>
      </w:r>
      <w:r w:rsidR="007E6509">
        <w:rPr>
          <w:rFonts w:ascii="Times New Roman" w:hAnsi="Times New Roman"/>
          <w:sz w:val="22"/>
          <w:szCs w:val="22"/>
          <w:lang w:val="hu-HU"/>
        </w:rPr>
        <w:t>.</w:t>
      </w:r>
    </w:p>
    <w:p w14:paraId="212B7BB5" w14:textId="77777777" w:rsidR="007E6509" w:rsidRDefault="007E6509" w:rsidP="002D1D63">
      <w:pPr>
        <w:rPr>
          <w:rFonts w:ascii="Times New Roman" w:hAnsi="Times New Roman"/>
          <w:sz w:val="22"/>
          <w:szCs w:val="22"/>
          <w:lang w:val="hu-HU"/>
        </w:rPr>
      </w:pPr>
    </w:p>
    <w:p w14:paraId="179B7DDB" w14:textId="77777777" w:rsidR="00D97F23" w:rsidRPr="00626924" w:rsidRDefault="00D97F23" w:rsidP="002D1D63">
      <w:pPr>
        <w:rPr>
          <w:rFonts w:ascii="Times New Roman" w:hAnsi="Times New Roman"/>
          <w:sz w:val="22"/>
          <w:szCs w:val="22"/>
          <w:lang w:val="hu-HU"/>
        </w:rPr>
      </w:pPr>
    </w:p>
    <w:sectPr w:rsidR="00D97F23" w:rsidRPr="00626924" w:rsidSect="002D0F02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9E26D" w14:textId="77777777" w:rsidR="00D86E98" w:rsidRDefault="00D86E98">
      <w:r>
        <w:separator/>
      </w:r>
    </w:p>
  </w:endnote>
  <w:endnote w:type="continuationSeparator" w:id="0">
    <w:p w14:paraId="20BE29C4" w14:textId="77777777" w:rsidR="00D86E98" w:rsidRDefault="00D8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Book">
    <w:altName w:val="Courier New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5E59F5" w14:textId="77777777" w:rsidR="003B3C03" w:rsidRDefault="003B3C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CADF9C7" w14:textId="77777777" w:rsidR="003B3C03" w:rsidRDefault="003B3C0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EFB03" w14:textId="2A0ABDC4" w:rsidR="00B4072E" w:rsidRPr="00106C15" w:rsidRDefault="00B4072E" w:rsidP="00106C15">
    <w:pPr>
      <w:pStyle w:val="llb"/>
      <w:rPr>
        <w:rFonts w:ascii="Times New Roman" w:hAnsi="Times New Roman"/>
        <w:sz w:val="18"/>
        <w:szCs w:val="18"/>
      </w:rPr>
    </w:pPr>
    <w:bookmarkStart w:id="0" w:name="_Hlk213922036"/>
    <w:bookmarkStart w:id="1" w:name="_Hlk213922037"/>
    <w:r w:rsidRPr="00B4072E">
      <w:rPr>
        <w:rFonts w:ascii="Times New Roman" w:hAnsi="Times New Roman"/>
        <w:sz w:val="18"/>
        <w:szCs w:val="18"/>
      </w:rPr>
      <w:t>NNGYK/ETGY/28317/2025</w:t>
    </w:r>
  </w:p>
  <w:p w14:paraId="2DBD38A6" w14:textId="05C98D88" w:rsidR="003B3C03" w:rsidRPr="00AB55D8" w:rsidRDefault="00B4072E" w:rsidP="00AB55D8">
    <w:pPr>
      <w:pStyle w:val="llb"/>
      <w:rPr>
        <w:rFonts w:ascii="Times New Roman" w:hAnsi="Times New Roman"/>
        <w:sz w:val="18"/>
        <w:szCs w:val="18"/>
      </w:rPr>
    </w:pPr>
    <w:r w:rsidRPr="00B4072E">
      <w:rPr>
        <w:rFonts w:ascii="Times New Roman" w:hAnsi="Times New Roman"/>
        <w:sz w:val="18"/>
        <w:szCs w:val="18"/>
      </w:rPr>
      <w:t>NNGYK/ETGY/28325/2025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935B7" w14:textId="77777777" w:rsidR="00D86E98" w:rsidRDefault="00D86E98">
      <w:r>
        <w:separator/>
      </w:r>
    </w:p>
  </w:footnote>
  <w:footnote w:type="continuationSeparator" w:id="0">
    <w:p w14:paraId="6ED9787E" w14:textId="77777777" w:rsidR="00D86E98" w:rsidRDefault="00D86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2A9DC" w14:textId="77777777" w:rsidR="003B3C03" w:rsidRDefault="003B3C03" w:rsidP="000A7A0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AAB2E38" w14:textId="77777777" w:rsidR="003B3C03" w:rsidRDefault="003B3C0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25B71" w14:textId="43DFE309" w:rsidR="003B3C03" w:rsidRPr="00620472" w:rsidRDefault="003B3C03" w:rsidP="000A7A04">
    <w:pPr>
      <w:pStyle w:val="lfej"/>
      <w:framePr w:wrap="around" w:vAnchor="text" w:hAnchor="margin" w:xAlign="center" w:y="1"/>
      <w:rPr>
        <w:rStyle w:val="Oldalszm"/>
        <w:rFonts w:ascii="Times New Roman" w:hAnsi="Times New Roman"/>
        <w:sz w:val="20"/>
        <w:szCs w:val="18"/>
      </w:rPr>
    </w:pPr>
    <w:r w:rsidRPr="00620472">
      <w:rPr>
        <w:rStyle w:val="Oldalszm"/>
        <w:rFonts w:ascii="Times New Roman" w:hAnsi="Times New Roman"/>
        <w:sz w:val="20"/>
        <w:szCs w:val="18"/>
      </w:rPr>
      <w:fldChar w:fldCharType="begin"/>
    </w:r>
    <w:r w:rsidRPr="00620472">
      <w:rPr>
        <w:rStyle w:val="Oldalszm"/>
        <w:rFonts w:ascii="Times New Roman" w:hAnsi="Times New Roman"/>
        <w:sz w:val="20"/>
        <w:szCs w:val="18"/>
      </w:rPr>
      <w:instrText xml:space="preserve">PAGE  </w:instrText>
    </w:r>
    <w:r w:rsidRPr="00620472">
      <w:rPr>
        <w:rStyle w:val="Oldalszm"/>
        <w:rFonts w:ascii="Times New Roman" w:hAnsi="Times New Roman"/>
        <w:sz w:val="20"/>
        <w:szCs w:val="18"/>
      </w:rPr>
      <w:fldChar w:fldCharType="separate"/>
    </w:r>
    <w:r w:rsidR="00473100">
      <w:rPr>
        <w:rStyle w:val="Oldalszm"/>
        <w:rFonts w:ascii="Times New Roman" w:hAnsi="Times New Roman"/>
        <w:noProof/>
        <w:sz w:val="20"/>
        <w:szCs w:val="18"/>
      </w:rPr>
      <w:t>14</w:t>
    </w:r>
    <w:r w:rsidRPr="00620472">
      <w:rPr>
        <w:rStyle w:val="Oldalszm"/>
        <w:rFonts w:ascii="Times New Roman" w:hAnsi="Times New Roman"/>
        <w:sz w:val="20"/>
        <w:szCs w:val="18"/>
      </w:rPr>
      <w:fldChar w:fldCharType="end"/>
    </w:r>
  </w:p>
  <w:p w14:paraId="2D0AEE5F" w14:textId="77777777" w:rsidR="003B3C03" w:rsidRPr="00ED389B" w:rsidRDefault="003B3C03">
    <w:pPr>
      <w:pStyle w:val="lfej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062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B0492E"/>
    <w:multiLevelType w:val="multilevel"/>
    <w:tmpl w:val="63AC42A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93756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CF2324"/>
    <w:multiLevelType w:val="hybridMultilevel"/>
    <w:tmpl w:val="9E5469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27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91932BC"/>
    <w:multiLevelType w:val="hybridMultilevel"/>
    <w:tmpl w:val="D4FEC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D59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CCA54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B3A3EA5"/>
    <w:multiLevelType w:val="multilevel"/>
    <w:tmpl w:val="0AF0F1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F233A4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6563A8"/>
    <w:multiLevelType w:val="multilevel"/>
    <w:tmpl w:val="CC6E35A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83722A"/>
    <w:multiLevelType w:val="multilevel"/>
    <w:tmpl w:val="1AD4AEB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F6718B"/>
    <w:multiLevelType w:val="hybridMultilevel"/>
    <w:tmpl w:val="4A1A5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EF482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C4B7E4F"/>
    <w:multiLevelType w:val="hybridMultilevel"/>
    <w:tmpl w:val="53AEC3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304B9"/>
    <w:multiLevelType w:val="hybridMultilevel"/>
    <w:tmpl w:val="07C8D81C"/>
    <w:lvl w:ilvl="0" w:tplc="D7B49EC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2AE6623"/>
    <w:multiLevelType w:val="multilevel"/>
    <w:tmpl w:val="56E05E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3A200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28706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237E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67534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FE00E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0"/>
  </w:num>
  <w:num w:numId="5">
    <w:abstractNumId w:val="7"/>
  </w:num>
  <w:num w:numId="6">
    <w:abstractNumId w:val="21"/>
  </w:num>
  <w:num w:numId="7">
    <w:abstractNumId w:val="20"/>
  </w:num>
  <w:num w:numId="8">
    <w:abstractNumId w:val="19"/>
  </w:num>
  <w:num w:numId="9">
    <w:abstractNumId w:val="6"/>
  </w:num>
  <w:num w:numId="10">
    <w:abstractNumId w:val="18"/>
  </w:num>
  <w:num w:numId="11">
    <w:abstractNumId w:val="17"/>
  </w:num>
  <w:num w:numId="12">
    <w:abstractNumId w:val="2"/>
  </w:num>
  <w:num w:numId="13">
    <w:abstractNumId w:val="15"/>
  </w:num>
  <w:num w:numId="14">
    <w:abstractNumId w:val="10"/>
  </w:num>
  <w:num w:numId="15">
    <w:abstractNumId w:val="8"/>
  </w:num>
  <w:num w:numId="16">
    <w:abstractNumId w:val="16"/>
  </w:num>
  <w:num w:numId="17">
    <w:abstractNumId w:val="11"/>
  </w:num>
  <w:num w:numId="18">
    <w:abstractNumId w:val="1"/>
  </w:num>
  <w:num w:numId="19">
    <w:abstractNumId w:val="12"/>
  </w:num>
  <w:num w:numId="20">
    <w:abstractNumId w:val="3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21"/>
    <w:rsid w:val="00001048"/>
    <w:rsid w:val="00001229"/>
    <w:rsid w:val="00001864"/>
    <w:rsid w:val="000170E8"/>
    <w:rsid w:val="00017F98"/>
    <w:rsid w:val="00025BB7"/>
    <w:rsid w:val="00026122"/>
    <w:rsid w:val="0003559E"/>
    <w:rsid w:val="00047595"/>
    <w:rsid w:val="000520D5"/>
    <w:rsid w:val="000737B4"/>
    <w:rsid w:val="00080EBD"/>
    <w:rsid w:val="00091DAB"/>
    <w:rsid w:val="000A01A8"/>
    <w:rsid w:val="000A284C"/>
    <w:rsid w:val="000A6A2D"/>
    <w:rsid w:val="000A7A04"/>
    <w:rsid w:val="000B112F"/>
    <w:rsid w:val="000B2BFB"/>
    <w:rsid w:val="000B3E2D"/>
    <w:rsid w:val="000C3EDA"/>
    <w:rsid w:val="000C4706"/>
    <w:rsid w:val="000C6183"/>
    <w:rsid w:val="000D0983"/>
    <w:rsid w:val="000D1A7F"/>
    <w:rsid w:val="000D7E42"/>
    <w:rsid w:val="000E4331"/>
    <w:rsid w:val="000E69CA"/>
    <w:rsid w:val="001042CD"/>
    <w:rsid w:val="00106C15"/>
    <w:rsid w:val="001074FB"/>
    <w:rsid w:val="0011388D"/>
    <w:rsid w:val="0011679D"/>
    <w:rsid w:val="00121F8F"/>
    <w:rsid w:val="00127966"/>
    <w:rsid w:val="00130561"/>
    <w:rsid w:val="001413FC"/>
    <w:rsid w:val="001435BD"/>
    <w:rsid w:val="001455FF"/>
    <w:rsid w:val="0014620D"/>
    <w:rsid w:val="00155EEB"/>
    <w:rsid w:val="0016498E"/>
    <w:rsid w:val="001674EF"/>
    <w:rsid w:val="00171818"/>
    <w:rsid w:val="001722B7"/>
    <w:rsid w:val="00172333"/>
    <w:rsid w:val="00185E69"/>
    <w:rsid w:val="0018736B"/>
    <w:rsid w:val="00192139"/>
    <w:rsid w:val="001975CF"/>
    <w:rsid w:val="00197EC3"/>
    <w:rsid w:val="001B0EE5"/>
    <w:rsid w:val="001B3688"/>
    <w:rsid w:val="001B4F27"/>
    <w:rsid w:val="001D1AE9"/>
    <w:rsid w:val="001D76BF"/>
    <w:rsid w:val="001E01BE"/>
    <w:rsid w:val="001E5CE4"/>
    <w:rsid w:val="001E6A29"/>
    <w:rsid w:val="001F0E71"/>
    <w:rsid w:val="001F385E"/>
    <w:rsid w:val="001F6E33"/>
    <w:rsid w:val="002004DB"/>
    <w:rsid w:val="00201D4C"/>
    <w:rsid w:val="00202B74"/>
    <w:rsid w:val="00204029"/>
    <w:rsid w:val="0020478F"/>
    <w:rsid w:val="00206022"/>
    <w:rsid w:val="00216196"/>
    <w:rsid w:val="00233D8A"/>
    <w:rsid w:val="00243DA9"/>
    <w:rsid w:val="00247FCF"/>
    <w:rsid w:val="00251640"/>
    <w:rsid w:val="00257AAC"/>
    <w:rsid w:val="00264918"/>
    <w:rsid w:val="00275487"/>
    <w:rsid w:val="002754CD"/>
    <w:rsid w:val="002767C8"/>
    <w:rsid w:val="00280CD9"/>
    <w:rsid w:val="00281076"/>
    <w:rsid w:val="002822E8"/>
    <w:rsid w:val="00282513"/>
    <w:rsid w:val="002846D6"/>
    <w:rsid w:val="0028472C"/>
    <w:rsid w:val="00285A37"/>
    <w:rsid w:val="002A338A"/>
    <w:rsid w:val="002B0EC4"/>
    <w:rsid w:val="002B220C"/>
    <w:rsid w:val="002C4EA4"/>
    <w:rsid w:val="002C584D"/>
    <w:rsid w:val="002D0F02"/>
    <w:rsid w:val="002D1D63"/>
    <w:rsid w:val="002E4AAC"/>
    <w:rsid w:val="002E5F0C"/>
    <w:rsid w:val="002F4672"/>
    <w:rsid w:val="002F5692"/>
    <w:rsid w:val="00305FF7"/>
    <w:rsid w:val="00312876"/>
    <w:rsid w:val="003131A2"/>
    <w:rsid w:val="00314456"/>
    <w:rsid w:val="0031626F"/>
    <w:rsid w:val="003175F7"/>
    <w:rsid w:val="00334441"/>
    <w:rsid w:val="00335C89"/>
    <w:rsid w:val="0033755C"/>
    <w:rsid w:val="00340176"/>
    <w:rsid w:val="00343221"/>
    <w:rsid w:val="0035407C"/>
    <w:rsid w:val="00354ADB"/>
    <w:rsid w:val="00360AA4"/>
    <w:rsid w:val="00370F6C"/>
    <w:rsid w:val="00381775"/>
    <w:rsid w:val="00381CA9"/>
    <w:rsid w:val="00386A98"/>
    <w:rsid w:val="0039272C"/>
    <w:rsid w:val="003A6099"/>
    <w:rsid w:val="003A6807"/>
    <w:rsid w:val="003B0132"/>
    <w:rsid w:val="003B3C03"/>
    <w:rsid w:val="003B43C0"/>
    <w:rsid w:val="003D1835"/>
    <w:rsid w:val="003D231B"/>
    <w:rsid w:val="003D41A0"/>
    <w:rsid w:val="003D440D"/>
    <w:rsid w:val="003E1A07"/>
    <w:rsid w:val="003E3FD1"/>
    <w:rsid w:val="003F08AD"/>
    <w:rsid w:val="003F381F"/>
    <w:rsid w:val="004050CF"/>
    <w:rsid w:val="00406A7A"/>
    <w:rsid w:val="004136F9"/>
    <w:rsid w:val="00423122"/>
    <w:rsid w:val="004242E5"/>
    <w:rsid w:val="00434B11"/>
    <w:rsid w:val="00440F5A"/>
    <w:rsid w:val="004600CE"/>
    <w:rsid w:val="004612A7"/>
    <w:rsid w:val="004634C4"/>
    <w:rsid w:val="004707D7"/>
    <w:rsid w:val="00473100"/>
    <w:rsid w:val="004749BB"/>
    <w:rsid w:val="00475E12"/>
    <w:rsid w:val="004778B7"/>
    <w:rsid w:val="00477D86"/>
    <w:rsid w:val="004A3600"/>
    <w:rsid w:val="004A4CCB"/>
    <w:rsid w:val="004A636D"/>
    <w:rsid w:val="004B08EC"/>
    <w:rsid w:val="004B39E1"/>
    <w:rsid w:val="004C2625"/>
    <w:rsid w:val="004D318D"/>
    <w:rsid w:val="004D5CDC"/>
    <w:rsid w:val="004D7987"/>
    <w:rsid w:val="004D7E6A"/>
    <w:rsid w:val="004E4B20"/>
    <w:rsid w:val="004F53DE"/>
    <w:rsid w:val="004F58E0"/>
    <w:rsid w:val="005077CB"/>
    <w:rsid w:val="005110D4"/>
    <w:rsid w:val="005124B2"/>
    <w:rsid w:val="005202D3"/>
    <w:rsid w:val="00521EBC"/>
    <w:rsid w:val="005222DB"/>
    <w:rsid w:val="00536BC1"/>
    <w:rsid w:val="005378B3"/>
    <w:rsid w:val="00546F0E"/>
    <w:rsid w:val="005641B5"/>
    <w:rsid w:val="0056461D"/>
    <w:rsid w:val="0056780D"/>
    <w:rsid w:val="005701BE"/>
    <w:rsid w:val="005732DC"/>
    <w:rsid w:val="00587FF8"/>
    <w:rsid w:val="00591D2F"/>
    <w:rsid w:val="005A36FE"/>
    <w:rsid w:val="005A7F97"/>
    <w:rsid w:val="005C2786"/>
    <w:rsid w:val="005C32F5"/>
    <w:rsid w:val="005D18AB"/>
    <w:rsid w:val="005E1295"/>
    <w:rsid w:val="005E2369"/>
    <w:rsid w:val="005E72D3"/>
    <w:rsid w:val="005E77CC"/>
    <w:rsid w:val="005F2910"/>
    <w:rsid w:val="00603ED0"/>
    <w:rsid w:val="00607ECB"/>
    <w:rsid w:val="00613288"/>
    <w:rsid w:val="00620472"/>
    <w:rsid w:val="00622F44"/>
    <w:rsid w:val="006236F4"/>
    <w:rsid w:val="00626924"/>
    <w:rsid w:val="00642328"/>
    <w:rsid w:val="00644E7A"/>
    <w:rsid w:val="00656340"/>
    <w:rsid w:val="006570D4"/>
    <w:rsid w:val="00657774"/>
    <w:rsid w:val="006605E3"/>
    <w:rsid w:val="00666266"/>
    <w:rsid w:val="00670746"/>
    <w:rsid w:val="00675BA8"/>
    <w:rsid w:val="00680B00"/>
    <w:rsid w:val="00681749"/>
    <w:rsid w:val="00681869"/>
    <w:rsid w:val="006838E0"/>
    <w:rsid w:val="00686541"/>
    <w:rsid w:val="006A1E18"/>
    <w:rsid w:val="006A79CA"/>
    <w:rsid w:val="006B383B"/>
    <w:rsid w:val="006C2A7F"/>
    <w:rsid w:val="006C40B7"/>
    <w:rsid w:val="006D6C0E"/>
    <w:rsid w:val="006F4B46"/>
    <w:rsid w:val="006F5B27"/>
    <w:rsid w:val="00700F11"/>
    <w:rsid w:val="00701FBF"/>
    <w:rsid w:val="00711535"/>
    <w:rsid w:val="00715D97"/>
    <w:rsid w:val="00731566"/>
    <w:rsid w:val="00737A21"/>
    <w:rsid w:val="00750F75"/>
    <w:rsid w:val="00766F89"/>
    <w:rsid w:val="0078018F"/>
    <w:rsid w:val="00782DE8"/>
    <w:rsid w:val="00783752"/>
    <w:rsid w:val="00790B29"/>
    <w:rsid w:val="007A3891"/>
    <w:rsid w:val="007A4D33"/>
    <w:rsid w:val="007A71CB"/>
    <w:rsid w:val="007B01A2"/>
    <w:rsid w:val="007B2F16"/>
    <w:rsid w:val="007B3C3C"/>
    <w:rsid w:val="007B4630"/>
    <w:rsid w:val="007C40FB"/>
    <w:rsid w:val="007D1D76"/>
    <w:rsid w:val="007D243C"/>
    <w:rsid w:val="007D53B6"/>
    <w:rsid w:val="007E6509"/>
    <w:rsid w:val="007F083D"/>
    <w:rsid w:val="007F32D2"/>
    <w:rsid w:val="007F598C"/>
    <w:rsid w:val="008049DE"/>
    <w:rsid w:val="00823E6A"/>
    <w:rsid w:val="008262E8"/>
    <w:rsid w:val="008407A9"/>
    <w:rsid w:val="00847346"/>
    <w:rsid w:val="00856170"/>
    <w:rsid w:val="00857AE6"/>
    <w:rsid w:val="00872526"/>
    <w:rsid w:val="0088236D"/>
    <w:rsid w:val="00886D1C"/>
    <w:rsid w:val="00896FF2"/>
    <w:rsid w:val="008A6D5C"/>
    <w:rsid w:val="008C3585"/>
    <w:rsid w:val="008C5DDF"/>
    <w:rsid w:val="008D377F"/>
    <w:rsid w:val="008F2A3A"/>
    <w:rsid w:val="00900872"/>
    <w:rsid w:val="00923273"/>
    <w:rsid w:val="009330CA"/>
    <w:rsid w:val="009377B6"/>
    <w:rsid w:val="009405ED"/>
    <w:rsid w:val="009522BE"/>
    <w:rsid w:val="00962E5C"/>
    <w:rsid w:val="00963D0A"/>
    <w:rsid w:val="00967BE2"/>
    <w:rsid w:val="00971A82"/>
    <w:rsid w:val="00976ED6"/>
    <w:rsid w:val="00981A9A"/>
    <w:rsid w:val="009A6318"/>
    <w:rsid w:val="009B1913"/>
    <w:rsid w:val="009C37A5"/>
    <w:rsid w:val="009D4EEA"/>
    <w:rsid w:val="009D67BA"/>
    <w:rsid w:val="009E0D24"/>
    <w:rsid w:val="009E754C"/>
    <w:rsid w:val="009F7A23"/>
    <w:rsid w:val="00A02080"/>
    <w:rsid w:val="00A07325"/>
    <w:rsid w:val="00A108C9"/>
    <w:rsid w:val="00A160F7"/>
    <w:rsid w:val="00A23905"/>
    <w:rsid w:val="00A35FC9"/>
    <w:rsid w:val="00A37639"/>
    <w:rsid w:val="00A42E11"/>
    <w:rsid w:val="00A440AA"/>
    <w:rsid w:val="00A45618"/>
    <w:rsid w:val="00A46247"/>
    <w:rsid w:val="00A467F5"/>
    <w:rsid w:val="00A4713B"/>
    <w:rsid w:val="00A53507"/>
    <w:rsid w:val="00A545AD"/>
    <w:rsid w:val="00A63E86"/>
    <w:rsid w:val="00A737C0"/>
    <w:rsid w:val="00A8374E"/>
    <w:rsid w:val="00A85B0F"/>
    <w:rsid w:val="00A92A6E"/>
    <w:rsid w:val="00AA2C44"/>
    <w:rsid w:val="00AB3535"/>
    <w:rsid w:val="00AB55D8"/>
    <w:rsid w:val="00AC271E"/>
    <w:rsid w:val="00AC2F36"/>
    <w:rsid w:val="00AC576F"/>
    <w:rsid w:val="00AC7508"/>
    <w:rsid w:val="00AD0469"/>
    <w:rsid w:val="00AD0EE2"/>
    <w:rsid w:val="00AD7DCE"/>
    <w:rsid w:val="00AE4572"/>
    <w:rsid w:val="00B10A4A"/>
    <w:rsid w:val="00B11804"/>
    <w:rsid w:val="00B2350E"/>
    <w:rsid w:val="00B24423"/>
    <w:rsid w:val="00B4072E"/>
    <w:rsid w:val="00B40DE6"/>
    <w:rsid w:val="00B45788"/>
    <w:rsid w:val="00B50263"/>
    <w:rsid w:val="00B566CE"/>
    <w:rsid w:val="00B57F33"/>
    <w:rsid w:val="00B847EE"/>
    <w:rsid w:val="00B86A6C"/>
    <w:rsid w:val="00BA07F9"/>
    <w:rsid w:val="00BA09B3"/>
    <w:rsid w:val="00BA3E10"/>
    <w:rsid w:val="00BB625E"/>
    <w:rsid w:val="00BC6458"/>
    <w:rsid w:val="00BD2C99"/>
    <w:rsid w:val="00BE1E3C"/>
    <w:rsid w:val="00BE50F4"/>
    <w:rsid w:val="00BE5A35"/>
    <w:rsid w:val="00BF15FA"/>
    <w:rsid w:val="00BF5BE5"/>
    <w:rsid w:val="00BF75C9"/>
    <w:rsid w:val="00C0017F"/>
    <w:rsid w:val="00C069FB"/>
    <w:rsid w:val="00C16354"/>
    <w:rsid w:val="00C316A9"/>
    <w:rsid w:val="00C32DE5"/>
    <w:rsid w:val="00C343CA"/>
    <w:rsid w:val="00C41878"/>
    <w:rsid w:val="00C449C1"/>
    <w:rsid w:val="00C53E16"/>
    <w:rsid w:val="00C5438C"/>
    <w:rsid w:val="00C70656"/>
    <w:rsid w:val="00C7416D"/>
    <w:rsid w:val="00C75B76"/>
    <w:rsid w:val="00C767A6"/>
    <w:rsid w:val="00C956A2"/>
    <w:rsid w:val="00CA0E04"/>
    <w:rsid w:val="00CA0E18"/>
    <w:rsid w:val="00CA38C5"/>
    <w:rsid w:val="00CA5122"/>
    <w:rsid w:val="00CB74C0"/>
    <w:rsid w:val="00CC1C80"/>
    <w:rsid w:val="00CC73A2"/>
    <w:rsid w:val="00CD0B02"/>
    <w:rsid w:val="00CD2B98"/>
    <w:rsid w:val="00CD61B8"/>
    <w:rsid w:val="00D020E9"/>
    <w:rsid w:val="00D068B5"/>
    <w:rsid w:val="00D3038A"/>
    <w:rsid w:val="00D30F16"/>
    <w:rsid w:val="00D457B7"/>
    <w:rsid w:val="00D516A6"/>
    <w:rsid w:val="00D554AF"/>
    <w:rsid w:val="00D61B09"/>
    <w:rsid w:val="00D66194"/>
    <w:rsid w:val="00D67E8A"/>
    <w:rsid w:val="00D72202"/>
    <w:rsid w:val="00D75B23"/>
    <w:rsid w:val="00D75DE5"/>
    <w:rsid w:val="00D86E98"/>
    <w:rsid w:val="00D86EA0"/>
    <w:rsid w:val="00D87732"/>
    <w:rsid w:val="00D90F6B"/>
    <w:rsid w:val="00D97F23"/>
    <w:rsid w:val="00DA4631"/>
    <w:rsid w:val="00DB195F"/>
    <w:rsid w:val="00DB531F"/>
    <w:rsid w:val="00DB5E4C"/>
    <w:rsid w:val="00DC147B"/>
    <w:rsid w:val="00DC50C5"/>
    <w:rsid w:val="00DC7AB5"/>
    <w:rsid w:val="00DD6662"/>
    <w:rsid w:val="00DE3466"/>
    <w:rsid w:val="00DF1A57"/>
    <w:rsid w:val="00DF45E4"/>
    <w:rsid w:val="00E002D2"/>
    <w:rsid w:val="00E02739"/>
    <w:rsid w:val="00E10C25"/>
    <w:rsid w:val="00E14819"/>
    <w:rsid w:val="00E275B4"/>
    <w:rsid w:val="00E310C0"/>
    <w:rsid w:val="00E377BA"/>
    <w:rsid w:val="00E42AE5"/>
    <w:rsid w:val="00E44CBC"/>
    <w:rsid w:val="00E4615E"/>
    <w:rsid w:val="00E47DDC"/>
    <w:rsid w:val="00E52AB1"/>
    <w:rsid w:val="00E541CF"/>
    <w:rsid w:val="00E75F2D"/>
    <w:rsid w:val="00E81009"/>
    <w:rsid w:val="00E814E3"/>
    <w:rsid w:val="00E871B2"/>
    <w:rsid w:val="00EA4310"/>
    <w:rsid w:val="00EA539F"/>
    <w:rsid w:val="00EA73BB"/>
    <w:rsid w:val="00EB09F8"/>
    <w:rsid w:val="00EB6B35"/>
    <w:rsid w:val="00EB71E6"/>
    <w:rsid w:val="00EC0C86"/>
    <w:rsid w:val="00EC213A"/>
    <w:rsid w:val="00EC3F10"/>
    <w:rsid w:val="00ED389B"/>
    <w:rsid w:val="00EE7BE2"/>
    <w:rsid w:val="00EF161C"/>
    <w:rsid w:val="00EF6F77"/>
    <w:rsid w:val="00EF796A"/>
    <w:rsid w:val="00F1216F"/>
    <w:rsid w:val="00F14E69"/>
    <w:rsid w:val="00F20EC4"/>
    <w:rsid w:val="00F23491"/>
    <w:rsid w:val="00F305FE"/>
    <w:rsid w:val="00F361D0"/>
    <w:rsid w:val="00F55D9C"/>
    <w:rsid w:val="00F55F01"/>
    <w:rsid w:val="00F56844"/>
    <w:rsid w:val="00F6409A"/>
    <w:rsid w:val="00F66C1A"/>
    <w:rsid w:val="00F80133"/>
    <w:rsid w:val="00F8099F"/>
    <w:rsid w:val="00F8151D"/>
    <w:rsid w:val="00F82D2C"/>
    <w:rsid w:val="00F85757"/>
    <w:rsid w:val="00F85DE1"/>
    <w:rsid w:val="00F86FFB"/>
    <w:rsid w:val="00F874A5"/>
    <w:rsid w:val="00F914DE"/>
    <w:rsid w:val="00FA1694"/>
    <w:rsid w:val="00FA1798"/>
    <w:rsid w:val="00FB1524"/>
    <w:rsid w:val="00FB63BF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B801DD3"/>
  <w15:chartTrackingRefBased/>
  <w15:docId w15:val="{B818A1C8-C0B9-4AB1-8246-A2282D9F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Arial" w:hAnsi="Arial"/>
      <w:sz w:val="24"/>
      <w:lang w:val="sv-SE" w:eastAsia="en-US"/>
    </w:rPr>
  </w:style>
  <w:style w:type="paragraph" w:styleId="Cmsor1">
    <w:name w:val="heading 1"/>
    <w:basedOn w:val="Norml"/>
    <w:next w:val="Norml"/>
    <w:qFormat/>
    <w:pPr>
      <w:keepNext/>
      <w:spacing w:after="240"/>
      <w:outlineLvl w:val="0"/>
    </w:pPr>
    <w:rPr>
      <w:rFonts w:ascii="Futura Book" w:hAnsi="Futura Book"/>
      <w:b/>
      <w:caps/>
      <w:kern w:val="28"/>
      <w:sz w:val="28"/>
    </w:rPr>
  </w:style>
  <w:style w:type="paragraph" w:styleId="Cmsor2">
    <w:name w:val="heading 2"/>
    <w:basedOn w:val="Cmsor1"/>
    <w:next w:val="Norml"/>
    <w:qFormat/>
    <w:pPr>
      <w:spacing w:before="120" w:after="120"/>
      <w:outlineLvl w:val="1"/>
    </w:pPr>
    <w:rPr>
      <w:b w:val="0"/>
      <w:caps w:val="0"/>
    </w:rPr>
  </w:style>
  <w:style w:type="paragraph" w:styleId="Cmsor3">
    <w:name w:val="heading 3"/>
    <w:basedOn w:val="Cmsor1"/>
    <w:next w:val="Norml"/>
    <w:qFormat/>
    <w:pPr>
      <w:spacing w:after="120"/>
      <w:outlineLvl w:val="2"/>
    </w:pPr>
    <w:rPr>
      <w:caps w:val="0"/>
      <w:sz w:val="24"/>
    </w:rPr>
  </w:style>
  <w:style w:type="paragraph" w:styleId="Cmsor4">
    <w:name w:val="heading 4"/>
    <w:basedOn w:val="Cmsor1"/>
    <w:next w:val="Norml"/>
    <w:qFormat/>
    <w:pPr>
      <w:spacing w:after="120"/>
      <w:outlineLvl w:val="3"/>
    </w:pPr>
    <w:rPr>
      <w:b w:val="0"/>
      <w:i/>
      <w:caps w:val="0"/>
      <w:sz w:val="24"/>
    </w:rPr>
  </w:style>
  <w:style w:type="paragraph" w:styleId="Cmsor5">
    <w:name w:val="heading 5"/>
    <w:basedOn w:val="Cmsor1"/>
    <w:next w:val="Norml"/>
    <w:qFormat/>
    <w:pPr>
      <w:spacing w:after="60"/>
      <w:outlineLvl w:val="4"/>
    </w:pPr>
    <w:rPr>
      <w:b w:val="0"/>
      <w:caps w:val="0"/>
      <w:sz w:val="20"/>
    </w:rPr>
  </w:style>
  <w:style w:type="paragraph" w:styleId="Cmsor6">
    <w:name w:val="heading 6"/>
    <w:basedOn w:val="Cmsor1"/>
    <w:next w:val="Norml"/>
    <w:qFormat/>
    <w:pPr>
      <w:spacing w:after="60"/>
      <w:outlineLvl w:val="5"/>
    </w:pPr>
    <w:rPr>
      <w:b w:val="0"/>
      <w:caps w:val="0"/>
      <w:sz w:val="20"/>
    </w:rPr>
  </w:style>
  <w:style w:type="paragraph" w:styleId="Cmsor7">
    <w:name w:val="heading 7"/>
    <w:basedOn w:val="Cmsor1"/>
    <w:next w:val="Norml"/>
    <w:qFormat/>
    <w:pPr>
      <w:spacing w:after="60"/>
      <w:outlineLvl w:val="6"/>
    </w:pPr>
    <w:rPr>
      <w:b w:val="0"/>
      <w:caps w:val="0"/>
      <w:sz w:val="20"/>
    </w:rPr>
  </w:style>
  <w:style w:type="paragraph" w:styleId="Cmsor8">
    <w:name w:val="heading 8"/>
    <w:basedOn w:val="Cmsor1"/>
    <w:next w:val="Norml"/>
    <w:qFormat/>
    <w:pPr>
      <w:spacing w:after="60"/>
      <w:outlineLvl w:val="7"/>
    </w:pPr>
    <w:rPr>
      <w:b w:val="0"/>
      <w:caps w:val="0"/>
      <w:sz w:val="20"/>
    </w:rPr>
  </w:style>
  <w:style w:type="paragraph" w:styleId="Cmsor9">
    <w:name w:val="heading 9"/>
    <w:basedOn w:val="Cmsor1"/>
    <w:next w:val="Norml"/>
    <w:qFormat/>
    <w:pPr>
      <w:spacing w:after="60"/>
      <w:outlineLvl w:val="8"/>
    </w:pPr>
    <w:rPr>
      <w:b w:val="0"/>
      <w:caps w:val="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153"/>
        <w:tab w:val="right" w:pos="8306"/>
      </w:tabs>
    </w:pPr>
  </w:style>
  <w:style w:type="paragraph" w:styleId="llb">
    <w:name w:val="footer"/>
    <w:basedOn w:val="Norml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ind w:left="720" w:hanging="720"/>
    </w:pPr>
    <w:rPr>
      <w:rFonts w:ascii="Times New Roman" w:hAnsi="Times New Roman"/>
      <w:b/>
      <w:bCs/>
      <w:lang w:val="hu-HU"/>
    </w:rPr>
  </w:style>
  <w:style w:type="character" w:styleId="Hiperhivatkozs">
    <w:name w:val="Hyperlink"/>
    <w:semiHidden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semiHidden/>
    <w:pPr>
      <w:spacing w:before="100" w:beforeAutospacing="1" w:after="119"/>
    </w:pPr>
    <w:rPr>
      <w:rFonts w:ascii="Times New Roman" w:hAnsi="Times New Roman"/>
      <w:szCs w:val="24"/>
      <w:lang w:val="hu-HU" w:eastAsia="hu-HU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WW-Szvegtrzs212">
    <w:name w:val="WW-Szövegtörzs 212"/>
    <w:basedOn w:val="Norml"/>
    <w:rsid w:val="002754CD"/>
    <w:pPr>
      <w:suppressAutoHyphens/>
      <w:spacing w:line="260" w:lineRule="atLeast"/>
      <w:ind w:left="567" w:hanging="567"/>
    </w:pPr>
    <w:rPr>
      <w:rFonts w:ascii="Times New Roman" w:hAnsi="Times New Roman"/>
      <w:b/>
      <w:sz w:val="22"/>
      <w:lang w:val="en-GB" w:eastAsia="ar-SA"/>
    </w:rPr>
  </w:style>
  <w:style w:type="table" w:styleId="Rcsostblzat">
    <w:name w:val="Table Grid"/>
    <w:basedOn w:val="Normltblzat"/>
    <w:uiPriority w:val="59"/>
    <w:rsid w:val="00656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">
    <w:name w:val="Body Text"/>
    <w:basedOn w:val="Norml"/>
    <w:link w:val="SzvegtrzsChar"/>
    <w:uiPriority w:val="99"/>
    <w:unhideWhenUsed/>
    <w:rsid w:val="005E77CC"/>
    <w:pPr>
      <w:spacing w:after="120"/>
    </w:pPr>
  </w:style>
  <w:style w:type="character" w:customStyle="1" w:styleId="SzvegtrzsChar">
    <w:name w:val="Szövegtörzs Char"/>
    <w:link w:val="Szvegtrzs"/>
    <w:uiPriority w:val="99"/>
    <w:rsid w:val="005E77CC"/>
    <w:rPr>
      <w:rFonts w:ascii="Arial" w:hAnsi="Arial"/>
      <w:sz w:val="24"/>
      <w:lang w:val="sv-SE" w:eastAsia="en-US"/>
    </w:rPr>
  </w:style>
  <w:style w:type="paragraph" w:styleId="Vltozat">
    <w:name w:val="Revision"/>
    <w:hidden/>
    <w:uiPriority w:val="99"/>
    <w:semiHidden/>
    <w:rsid w:val="002822E8"/>
    <w:rPr>
      <w:rFonts w:ascii="Arial" w:hAnsi="Arial"/>
      <w:sz w:val="24"/>
      <w:lang w:val="sv-SE" w:eastAsia="en-US"/>
    </w:rPr>
  </w:style>
  <w:style w:type="paragraph" w:styleId="Nincstrkz">
    <w:name w:val="No Spacing"/>
    <w:uiPriority w:val="1"/>
    <w:qFormat/>
    <w:rsid w:val="00F85757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B2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64159-4512-4D03-A38E-779F6A66E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ACE70-3B1D-42B3-A64A-811ED01C2A59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3.xml><?xml version="1.0" encoding="utf-8"?>
<ds:datastoreItem xmlns:ds="http://schemas.openxmlformats.org/officeDocument/2006/customXml" ds:itemID="{742E8BD7-C92B-4B43-B420-94CC6E806D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BF9B5D-11BE-453A-B890-B8BBC978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4351</Words>
  <Characters>31519</Characters>
  <Application>Microsoft Office Word</Application>
  <DocSecurity>0</DocSecurity>
  <Lines>262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Meronem iv</vt:lpstr>
    </vt:vector>
  </TitlesOfParts>
  <Company>Astra Zeneca</Company>
  <LinksUpToDate>false</LinksUpToDate>
  <CharactersWithSpaces>35799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iv</dc:title>
  <dc:subject/>
  <dc:creator>M Szabó</dc:creator>
  <cp:keywords/>
  <cp:lastModifiedBy>HU_OGYI_63.1</cp:lastModifiedBy>
  <cp:revision>30</cp:revision>
  <cp:lastPrinted>2019-09-18T15:17:00Z</cp:lastPrinted>
  <dcterms:created xsi:type="dcterms:W3CDTF">2025-07-07T12:56:00Z</dcterms:created>
  <dcterms:modified xsi:type="dcterms:W3CDTF">2025-11-19T09:36:00Z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