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16A2CEC" w14:textId="77777777" w:rsidR="000A7E88" w:rsidRPr="000076C8" w:rsidRDefault="000A7E88" w:rsidP="001C2BD7">
      <w:pPr>
        <w:tabs>
          <w:tab w:val="left" w:pos="567"/>
        </w:tabs>
        <w:rPr>
          <w:b/>
          <w:sz w:val="22"/>
          <w:szCs w:val="22"/>
        </w:rPr>
      </w:pPr>
      <w:bookmarkStart w:id="0" w:name="_GoBack"/>
      <w:bookmarkEnd w:id="0"/>
      <w:r w:rsidRPr="000076C8">
        <w:rPr>
          <w:b/>
          <w:sz w:val="22"/>
          <w:szCs w:val="22"/>
        </w:rPr>
        <w:t>1.</w:t>
      </w:r>
      <w:r w:rsidRPr="000076C8">
        <w:rPr>
          <w:b/>
          <w:sz w:val="22"/>
          <w:szCs w:val="22"/>
        </w:rPr>
        <w:tab/>
        <w:t>A GYÓGYSZER NEVE</w:t>
      </w:r>
    </w:p>
    <w:p w14:paraId="714A37EB" w14:textId="77777777" w:rsidR="000A7E88" w:rsidRPr="000076C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</w:p>
    <w:p w14:paraId="2A5E413C" w14:textId="77777777" w:rsidR="000A7E88" w:rsidRPr="00EF51F9" w:rsidRDefault="00B46B5D" w:rsidP="001C2BD7">
      <w:pPr>
        <w:rPr>
          <w:b/>
          <w:sz w:val="22"/>
          <w:szCs w:val="22"/>
        </w:rPr>
      </w:pPr>
      <w:r w:rsidRPr="00EF51F9">
        <w:rPr>
          <w:b/>
          <w:sz w:val="22"/>
          <w:szCs w:val="22"/>
        </w:rPr>
        <w:t xml:space="preserve">Valsartan Sandoz </w:t>
      </w:r>
      <w:r w:rsidR="000A7E88" w:rsidRPr="00EF51F9">
        <w:rPr>
          <w:b/>
          <w:sz w:val="22"/>
          <w:szCs w:val="22"/>
        </w:rPr>
        <w:t>320</w:t>
      </w:r>
      <w:r w:rsidRPr="00EF51F9">
        <w:rPr>
          <w:b/>
          <w:sz w:val="22"/>
          <w:szCs w:val="22"/>
        </w:rPr>
        <w:t> </w:t>
      </w:r>
      <w:r w:rsidR="000A7E88" w:rsidRPr="00EF51F9">
        <w:rPr>
          <w:b/>
          <w:sz w:val="22"/>
          <w:szCs w:val="22"/>
        </w:rPr>
        <w:t>mg filmtabletta</w:t>
      </w:r>
    </w:p>
    <w:p w14:paraId="7CF95A1C" w14:textId="77777777" w:rsidR="000A7E88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0502D0AC" w14:textId="77777777" w:rsidR="004B4B42" w:rsidRPr="000076C8" w:rsidRDefault="004B4B42" w:rsidP="001C2BD7">
      <w:pPr>
        <w:tabs>
          <w:tab w:val="left" w:pos="567"/>
        </w:tabs>
        <w:rPr>
          <w:sz w:val="22"/>
          <w:szCs w:val="22"/>
        </w:rPr>
      </w:pPr>
    </w:p>
    <w:p w14:paraId="580C0A8F" w14:textId="77777777" w:rsidR="000A7E88" w:rsidRPr="000076C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0076C8">
        <w:rPr>
          <w:b/>
          <w:sz w:val="22"/>
          <w:szCs w:val="22"/>
        </w:rPr>
        <w:t>2.</w:t>
      </w:r>
      <w:r w:rsidRPr="000076C8">
        <w:rPr>
          <w:b/>
          <w:sz w:val="22"/>
          <w:szCs w:val="22"/>
        </w:rPr>
        <w:tab/>
        <w:t>MINŐSÉGI ÉS MENNYISÉGI ÖSSZETÉTEL</w:t>
      </w:r>
    </w:p>
    <w:p w14:paraId="60FDF301" w14:textId="77777777" w:rsidR="000A7E88" w:rsidRPr="0010551A" w:rsidRDefault="000A7E88" w:rsidP="001C2BD7">
      <w:pPr>
        <w:tabs>
          <w:tab w:val="left" w:pos="141"/>
          <w:tab w:val="left" w:pos="567"/>
        </w:tabs>
        <w:rPr>
          <w:sz w:val="22"/>
          <w:szCs w:val="22"/>
        </w:rPr>
      </w:pPr>
    </w:p>
    <w:p w14:paraId="1CD9A599" w14:textId="77777777" w:rsidR="000A7E88" w:rsidRPr="00EF51F9" w:rsidRDefault="000A7E88" w:rsidP="001C2BD7">
      <w:pPr>
        <w:rPr>
          <w:sz w:val="22"/>
          <w:szCs w:val="22"/>
        </w:rPr>
      </w:pPr>
      <w:r w:rsidRPr="00EF51F9">
        <w:rPr>
          <w:sz w:val="22"/>
          <w:szCs w:val="22"/>
        </w:rPr>
        <w:t>320</w:t>
      </w:r>
      <w:r w:rsidR="00B46B5D" w:rsidRPr="00EF51F9">
        <w:rPr>
          <w:sz w:val="22"/>
          <w:szCs w:val="22"/>
        </w:rPr>
        <w:t> </w:t>
      </w:r>
      <w:r w:rsidRPr="00EF51F9">
        <w:rPr>
          <w:sz w:val="22"/>
          <w:szCs w:val="22"/>
        </w:rPr>
        <w:t xml:space="preserve">mg </w:t>
      </w:r>
      <w:r w:rsidR="0015303D" w:rsidRPr="00EF51F9">
        <w:rPr>
          <w:sz w:val="22"/>
          <w:szCs w:val="22"/>
        </w:rPr>
        <w:t>valzartán</w:t>
      </w:r>
      <w:r w:rsidR="004B4B42">
        <w:rPr>
          <w:sz w:val="22"/>
          <w:szCs w:val="22"/>
        </w:rPr>
        <w:t>t tartalmaz</w:t>
      </w:r>
      <w:r w:rsidRPr="00EF51F9">
        <w:rPr>
          <w:sz w:val="22"/>
          <w:szCs w:val="22"/>
        </w:rPr>
        <w:t xml:space="preserve"> filmtablettánként.</w:t>
      </w:r>
    </w:p>
    <w:p w14:paraId="64B2AAEF" w14:textId="77777777" w:rsidR="00F65F99" w:rsidRPr="00345BCE" w:rsidRDefault="00F65F99" w:rsidP="001C2BD7">
      <w:pPr>
        <w:tabs>
          <w:tab w:val="left" w:pos="567"/>
        </w:tabs>
        <w:rPr>
          <w:sz w:val="22"/>
          <w:szCs w:val="22"/>
        </w:rPr>
      </w:pPr>
    </w:p>
    <w:p w14:paraId="35547030" w14:textId="77777777" w:rsidR="00E515AE" w:rsidRPr="00345BCE" w:rsidRDefault="00E515AE" w:rsidP="001C2BD7">
      <w:pPr>
        <w:tabs>
          <w:tab w:val="left" w:pos="567"/>
        </w:tabs>
        <w:suppressAutoHyphens w:val="0"/>
        <w:rPr>
          <w:sz w:val="22"/>
          <w:szCs w:val="22"/>
        </w:rPr>
      </w:pPr>
      <w:r w:rsidRPr="00345BCE">
        <w:rPr>
          <w:sz w:val="22"/>
          <w:szCs w:val="22"/>
        </w:rPr>
        <w:t>A segédanyagok teljes listáját lásd a 6.1 pontban.</w:t>
      </w:r>
    </w:p>
    <w:p w14:paraId="0360A15B" w14:textId="77777777" w:rsidR="000A7E88" w:rsidRPr="00D91645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2D1AD137" w14:textId="77777777" w:rsidR="000A7E88" w:rsidRPr="00706E72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78D8E473" w14:textId="77777777" w:rsidR="000A7E88" w:rsidRPr="00D23D8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D23D88">
        <w:rPr>
          <w:b/>
          <w:sz w:val="22"/>
          <w:szCs w:val="22"/>
        </w:rPr>
        <w:t>3.</w:t>
      </w:r>
      <w:r w:rsidRPr="00D23D88">
        <w:rPr>
          <w:b/>
          <w:sz w:val="22"/>
          <w:szCs w:val="22"/>
        </w:rPr>
        <w:tab/>
        <w:t>GYÓGYSZERFORMA</w:t>
      </w:r>
    </w:p>
    <w:p w14:paraId="33C0F5D5" w14:textId="77777777" w:rsidR="000A7E88" w:rsidRPr="00345BCE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0CA3AF25" w14:textId="77777777" w:rsidR="00B46B5D" w:rsidRPr="00C560EC" w:rsidRDefault="000A7E88" w:rsidP="00EA386A">
      <w:pPr>
        <w:tabs>
          <w:tab w:val="left" w:pos="567"/>
          <w:tab w:val="left" w:pos="7155"/>
        </w:tabs>
        <w:rPr>
          <w:sz w:val="22"/>
          <w:szCs w:val="22"/>
        </w:rPr>
      </w:pPr>
      <w:r w:rsidRPr="00345BCE">
        <w:rPr>
          <w:sz w:val="22"/>
          <w:szCs w:val="22"/>
        </w:rPr>
        <w:t>Filmtabletta.</w:t>
      </w:r>
    </w:p>
    <w:p w14:paraId="120D8968" w14:textId="77777777" w:rsidR="00B46B5D" w:rsidRPr="00C560EC" w:rsidRDefault="00B46B5D" w:rsidP="00B0458C">
      <w:pPr>
        <w:tabs>
          <w:tab w:val="left" w:pos="567"/>
        </w:tabs>
        <w:rPr>
          <w:sz w:val="22"/>
          <w:szCs w:val="22"/>
        </w:rPr>
      </w:pPr>
    </w:p>
    <w:p w14:paraId="097D05B4" w14:textId="77777777" w:rsidR="00B46B5D" w:rsidRPr="00345BCE" w:rsidRDefault="00B46B5D" w:rsidP="00C560EC">
      <w:pPr>
        <w:tabs>
          <w:tab w:val="left" w:pos="567"/>
        </w:tabs>
        <w:rPr>
          <w:sz w:val="22"/>
          <w:szCs w:val="22"/>
        </w:rPr>
      </w:pPr>
      <w:r w:rsidRPr="00C560EC">
        <w:rPr>
          <w:sz w:val="22"/>
          <w:szCs w:val="22"/>
        </w:rPr>
        <w:t>S</w:t>
      </w:r>
      <w:r w:rsidR="000A7E88" w:rsidRPr="00C560EC">
        <w:rPr>
          <w:sz w:val="22"/>
          <w:szCs w:val="22"/>
        </w:rPr>
        <w:t>ötétszürkés-iboly</w:t>
      </w:r>
      <w:r w:rsidR="000A7E88" w:rsidRPr="00EA386A">
        <w:rPr>
          <w:sz w:val="22"/>
          <w:szCs w:val="22"/>
        </w:rPr>
        <w:t xml:space="preserve">a színű, ovális alakú, </w:t>
      </w:r>
      <w:r w:rsidR="00D37620" w:rsidRPr="00C560EC">
        <w:rPr>
          <w:sz w:val="22"/>
          <w:szCs w:val="22"/>
        </w:rPr>
        <w:t xml:space="preserve">körülbelül 17,6 mm </w:t>
      </w:r>
      <w:r w:rsidR="00031FBD">
        <w:rPr>
          <w:sz w:val="22"/>
          <w:szCs w:val="22"/>
        </w:rPr>
        <w:t>×</w:t>
      </w:r>
      <w:r w:rsidR="00627B0C">
        <w:rPr>
          <w:sz w:val="22"/>
          <w:szCs w:val="22"/>
        </w:rPr>
        <w:t xml:space="preserve"> </w:t>
      </w:r>
      <w:r w:rsidR="00D37620" w:rsidRPr="00C560EC">
        <w:rPr>
          <w:sz w:val="22"/>
          <w:szCs w:val="22"/>
        </w:rPr>
        <w:t xml:space="preserve">8,1 mm </w:t>
      </w:r>
      <w:r w:rsidR="00627B0C">
        <w:rPr>
          <w:sz w:val="22"/>
          <w:szCs w:val="22"/>
        </w:rPr>
        <w:t>méretű</w:t>
      </w:r>
      <w:r w:rsidR="00D37620" w:rsidRPr="00C560EC">
        <w:rPr>
          <w:sz w:val="22"/>
          <w:szCs w:val="22"/>
        </w:rPr>
        <w:t>,</w:t>
      </w:r>
      <w:r w:rsidR="00D37620" w:rsidRPr="00F94AD0">
        <w:rPr>
          <w:sz w:val="22"/>
          <w:szCs w:val="22"/>
        </w:rPr>
        <w:t xml:space="preserve"> </w:t>
      </w:r>
      <w:r w:rsidR="000A7E88" w:rsidRPr="00F94AD0">
        <w:rPr>
          <w:sz w:val="22"/>
          <w:szCs w:val="22"/>
        </w:rPr>
        <w:t xml:space="preserve">metszett élű </w:t>
      </w:r>
      <w:r w:rsidR="00B06958" w:rsidRPr="00F94AD0">
        <w:rPr>
          <w:sz w:val="22"/>
          <w:szCs w:val="22"/>
        </w:rPr>
        <w:t>enyhén domború</w:t>
      </w:r>
      <w:r w:rsidR="00B06958" w:rsidRPr="00345BCE">
        <w:rPr>
          <w:sz w:val="22"/>
          <w:szCs w:val="22"/>
        </w:rPr>
        <w:t xml:space="preserve"> felületű </w:t>
      </w:r>
      <w:r w:rsidR="000A7E88" w:rsidRPr="00345BCE">
        <w:rPr>
          <w:sz w:val="22"/>
          <w:szCs w:val="22"/>
        </w:rPr>
        <w:t>filmtabl</w:t>
      </w:r>
      <w:r w:rsidR="00F633B7" w:rsidRPr="00345BCE">
        <w:rPr>
          <w:sz w:val="22"/>
          <w:szCs w:val="22"/>
        </w:rPr>
        <w:t>etta, egyik oldalán</w:t>
      </w:r>
      <w:r w:rsidR="000A7E88" w:rsidRPr="00345BCE">
        <w:rPr>
          <w:sz w:val="22"/>
          <w:szCs w:val="22"/>
        </w:rPr>
        <w:t xml:space="preserve"> </w:t>
      </w:r>
      <w:r w:rsidR="00355A5E">
        <w:rPr>
          <w:sz w:val="22"/>
          <w:szCs w:val="22"/>
        </w:rPr>
        <w:t>bemetszéssel</w:t>
      </w:r>
      <w:r w:rsidRPr="00345BCE">
        <w:rPr>
          <w:sz w:val="22"/>
          <w:szCs w:val="22"/>
        </w:rPr>
        <w:t xml:space="preserve">, és annak két oldalán „DC”, valamint a </w:t>
      </w:r>
      <w:r w:rsidR="000A7E88" w:rsidRPr="00345BCE">
        <w:rPr>
          <w:sz w:val="22"/>
          <w:szCs w:val="22"/>
        </w:rPr>
        <w:t>másik oldal</w:t>
      </w:r>
      <w:r w:rsidR="00F633B7" w:rsidRPr="00345BCE">
        <w:rPr>
          <w:sz w:val="22"/>
          <w:szCs w:val="22"/>
        </w:rPr>
        <w:t>án</w:t>
      </w:r>
      <w:r w:rsidR="000A7E88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NVR” felirattal </w:t>
      </w:r>
      <w:r w:rsidR="000A7E88" w:rsidRPr="00345BCE">
        <w:rPr>
          <w:sz w:val="22"/>
          <w:szCs w:val="22"/>
        </w:rPr>
        <w:t>ellátva.</w:t>
      </w:r>
    </w:p>
    <w:p w14:paraId="1C507FAB" w14:textId="77777777" w:rsidR="000D1A59" w:rsidRPr="00345BCE" w:rsidRDefault="000D1A59" w:rsidP="00C560EC">
      <w:pPr>
        <w:tabs>
          <w:tab w:val="left" w:pos="567"/>
        </w:tabs>
        <w:rPr>
          <w:sz w:val="22"/>
          <w:szCs w:val="22"/>
        </w:rPr>
      </w:pPr>
      <w:r w:rsidRPr="00396E39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573E7C37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1330338F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3B36A5CE" w14:textId="77777777" w:rsidR="000A7E88" w:rsidRPr="00345BCE" w:rsidRDefault="000A7E88" w:rsidP="00C560EC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</w:t>
      </w:r>
      <w:r w:rsidRPr="00345BCE">
        <w:rPr>
          <w:b/>
          <w:sz w:val="22"/>
          <w:szCs w:val="22"/>
        </w:rPr>
        <w:tab/>
        <w:t>KLINIKAI JELLEMZŐK</w:t>
      </w:r>
    </w:p>
    <w:p w14:paraId="3A8393CC" w14:textId="77777777" w:rsidR="000A7E88" w:rsidRPr="00345BCE" w:rsidRDefault="000A7E88" w:rsidP="00C560EC">
      <w:pPr>
        <w:tabs>
          <w:tab w:val="left" w:pos="141"/>
          <w:tab w:val="left" w:pos="567"/>
        </w:tabs>
        <w:rPr>
          <w:sz w:val="22"/>
          <w:szCs w:val="22"/>
        </w:rPr>
      </w:pPr>
    </w:p>
    <w:p w14:paraId="64C9C948" w14:textId="77777777" w:rsidR="000A7E88" w:rsidRPr="00345BCE" w:rsidRDefault="000A7E88" w:rsidP="00C560EC">
      <w:pPr>
        <w:tabs>
          <w:tab w:val="left" w:pos="567"/>
        </w:tabs>
        <w:rPr>
          <w:rFonts w:eastAsia="Times New Roman"/>
          <w:b/>
          <w:sz w:val="22"/>
          <w:szCs w:val="22"/>
        </w:rPr>
      </w:pPr>
      <w:r w:rsidRPr="00345BCE">
        <w:rPr>
          <w:rFonts w:eastAsia="Times New Roman"/>
          <w:b/>
          <w:sz w:val="22"/>
          <w:szCs w:val="22"/>
        </w:rPr>
        <w:t>4.1</w:t>
      </w:r>
      <w:r w:rsidRPr="00345BCE">
        <w:rPr>
          <w:rFonts w:eastAsia="Times New Roman"/>
          <w:b/>
          <w:sz w:val="22"/>
          <w:szCs w:val="22"/>
        </w:rPr>
        <w:tab/>
        <w:t>Terápiás javallatok</w:t>
      </w:r>
    </w:p>
    <w:p w14:paraId="2C3BB6A2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09DA38C6" w14:textId="77777777" w:rsidR="00C7008B" w:rsidRPr="00345BCE" w:rsidRDefault="002321C3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13C0C831" w14:textId="1FA6D58E" w:rsidR="00C7008B" w:rsidRPr="00345BCE" w:rsidRDefault="00C7008B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Esszenciális </w:t>
      </w:r>
      <w:r w:rsidR="002321C3">
        <w:rPr>
          <w:sz w:val="22"/>
          <w:szCs w:val="22"/>
        </w:rPr>
        <w:t>hypertonia</w:t>
      </w:r>
      <w:r w:rsidRPr="00345BCE">
        <w:rPr>
          <w:sz w:val="22"/>
          <w:szCs w:val="22"/>
        </w:rPr>
        <w:t xml:space="preserve"> kezelése felnőtteknél és </w:t>
      </w:r>
      <w:r w:rsidR="002321C3">
        <w:rPr>
          <w:sz w:val="22"/>
          <w:szCs w:val="22"/>
        </w:rPr>
        <w:t>hypertonia</w:t>
      </w:r>
      <w:r w:rsidRPr="00345BCE">
        <w:rPr>
          <w:sz w:val="22"/>
          <w:szCs w:val="22"/>
        </w:rPr>
        <w:t xml:space="preserve"> kezelése </w:t>
      </w:r>
      <w:r w:rsidR="0040428E">
        <w:rPr>
          <w:sz w:val="22"/>
          <w:szCs w:val="22"/>
        </w:rPr>
        <w:t xml:space="preserve">legalább </w:t>
      </w:r>
      <w:r w:rsidRPr="00345BCE">
        <w:rPr>
          <w:sz w:val="22"/>
          <w:szCs w:val="22"/>
        </w:rPr>
        <w:t>6</w:t>
      </w:r>
      <w:r w:rsidR="0040428E">
        <w:rPr>
          <w:sz w:val="22"/>
          <w:szCs w:val="22"/>
        </w:rPr>
        <w:t xml:space="preserve"> éves, de </w:t>
      </w:r>
      <w:r w:rsidRPr="00345BCE">
        <w:rPr>
          <w:sz w:val="22"/>
          <w:szCs w:val="22"/>
        </w:rPr>
        <w:t>18</w:t>
      </w:r>
      <w:r w:rsidR="0040428E">
        <w:rPr>
          <w:sz w:val="22"/>
          <w:szCs w:val="22"/>
        </w:rPr>
        <w:t xml:space="preserve"> évesnél fiatalabb korú</w:t>
      </w:r>
      <w:r w:rsidRPr="00345BCE">
        <w:rPr>
          <w:sz w:val="22"/>
          <w:szCs w:val="22"/>
        </w:rPr>
        <w:t xml:space="preserve"> gyermekeknél és serdülőknél.</w:t>
      </w:r>
    </w:p>
    <w:p w14:paraId="7B155F73" w14:textId="77777777" w:rsidR="002F7971" w:rsidRPr="00345BCE" w:rsidRDefault="002F7971" w:rsidP="00C560EC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7DFBC352" w14:textId="77777777" w:rsidR="000A7E88" w:rsidRPr="00345BCE" w:rsidRDefault="000A7E88" w:rsidP="00C560EC">
      <w:pPr>
        <w:tabs>
          <w:tab w:val="left" w:pos="567"/>
        </w:tabs>
        <w:rPr>
          <w:b/>
          <w:bCs/>
          <w:sz w:val="22"/>
          <w:szCs w:val="22"/>
        </w:rPr>
      </w:pPr>
      <w:r w:rsidRPr="00345BCE">
        <w:rPr>
          <w:b/>
          <w:bCs/>
          <w:sz w:val="22"/>
          <w:szCs w:val="22"/>
        </w:rPr>
        <w:t>4.2</w:t>
      </w:r>
      <w:r w:rsidRPr="00345BCE">
        <w:rPr>
          <w:b/>
          <w:bCs/>
          <w:sz w:val="22"/>
          <w:szCs w:val="22"/>
        </w:rPr>
        <w:tab/>
      </w:r>
      <w:r w:rsidR="00513BDA" w:rsidRPr="00345BCE">
        <w:rPr>
          <w:b/>
          <w:sz w:val="22"/>
          <w:szCs w:val="22"/>
        </w:rPr>
        <w:t>Adagolás és alkalmazás</w:t>
      </w:r>
    </w:p>
    <w:p w14:paraId="3E812D6E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7CB8AC8C" w14:textId="77777777" w:rsidR="00D47C06" w:rsidRPr="00706E72" w:rsidRDefault="00D47C06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 w:rsidRPr="00D91645">
        <w:rPr>
          <w:bCs/>
          <w:i/>
          <w:iCs/>
          <w:sz w:val="22"/>
          <w:szCs w:val="22"/>
          <w:u w:val="single"/>
        </w:rPr>
        <w:t>Adagolás</w:t>
      </w:r>
    </w:p>
    <w:p w14:paraId="53C08406" w14:textId="77777777" w:rsidR="00973E00" w:rsidRPr="00D23D88" w:rsidRDefault="00973E00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</w:p>
    <w:p w14:paraId="1B95BC1D" w14:textId="77777777" w:rsidR="00973E00" w:rsidRPr="00345BCE" w:rsidRDefault="002321C3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5A5E6785" w14:textId="01BA0CD9" w:rsidR="00973E00" w:rsidRDefault="00973E00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Valsartan Sandoz ajánlott kezdő adagja naponta egyszer 80 mg. Az antihipertenzív hatás két héten belül kialakul, maximális hatását négy héten belül éri el. Azoknál a betegeknél, akiknek a vérnyomása a fenti adaggal nem állítható be megfelelően, az adag 160 mg-ig, illetve maximum 320 mg-ig emelhető.</w:t>
      </w:r>
      <w:r w:rsidR="00087019">
        <w:rPr>
          <w:sz w:val="22"/>
          <w:szCs w:val="22"/>
        </w:rPr>
        <w:t xml:space="preserve"> A Valsartan Sandoz 320 mg filmtablettával a 80 mg-os és a 160 mg-os dózis alkalmazása nem valósítható meg.</w:t>
      </w:r>
    </w:p>
    <w:p w14:paraId="72B641FD" w14:textId="77777777" w:rsidR="009533A2" w:rsidRPr="00345BCE" w:rsidRDefault="009533A2" w:rsidP="00C560EC">
      <w:pPr>
        <w:rPr>
          <w:sz w:val="22"/>
          <w:szCs w:val="22"/>
        </w:rPr>
      </w:pPr>
    </w:p>
    <w:p w14:paraId="550E7D98" w14:textId="77777777" w:rsidR="00973E00" w:rsidRPr="00345BCE" w:rsidRDefault="00973E00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Valsartan Sandoz együtt adható egyéb antihipertenzív készítményekkel</w:t>
      </w:r>
      <w:r w:rsidR="0071777A">
        <w:rPr>
          <w:sz w:val="22"/>
          <w:szCs w:val="22"/>
        </w:rPr>
        <w:t xml:space="preserve"> </w:t>
      </w:r>
      <w:r w:rsidR="0071777A" w:rsidRPr="0071777A">
        <w:rPr>
          <w:rFonts w:eastAsia="HG Mincho Light J"/>
          <w:sz w:val="22"/>
          <w:szCs w:val="22"/>
        </w:rPr>
        <w:t>(lásd 4.3, 4.4, 4.5 és 5.1 pont)</w:t>
      </w:r>
      <w:r w:rsidRPr="00345BCE">
        <w:rPr>
          <w:sz w:val="22"/>
          <w:szCs w:val="22"/>
        </w:rPr>
        <w:t>. Ezeknél a betegeknél diuretikum, mint például hidroklortiazid együttes adásával a vérnyomás tovább is csökkenthető.</w:t>
      </w:r>
    </w:p>
    <w:p w14:paraId="27F525A2" w14:textId="77777777" w:rsidR="00973E00" w:rsidRPr="00345BCE" w:rsidRDefault="00973E00" w:rsidP="00C560EC">
      <w:pPr>
        <w:rPr>
          <w:sz w:val="22"/>
          <w:szCs w:val="22"/>
          <w:u w:val="single"/>
        </w:rPr>
      </w:pPr>
    </w:p>
    <w:p w14:paraId="52007FBF" w14:textId="77777777" w:rsidR="00C75B34" w:rsidRPr="00345BCE" w:rsidRDefault="00411310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>Különleges</w:t>
      </w:r>
      <w:r w:rsidRPr="00345BCE">
        <w:rPr>
          <w:bCs/>
          <w:i/>
          <w:iCs/>
          <w:sz w:val="22"/>
          <w:szCs w:val="22"/>
          <w:u w:val="single"/>
        </w:rPr>
        <w:t xml:space="preserve"> </w:t>
      </w:r>
      <w:r w:rsidR="00A32219" w:rsidRPr="00A32219">
        <w:rPr>
          <w:bCs/>
          <w:i/>
          <w:iCs/>
          <w:sz w:val="22"/>
          <w:szCs w:val="22"/>
          <w:u w:val="single"/>
        </w:rPr>
        <w:t>betegcsoportok</w:t>
      </w:r>
      <w:r w:rsidR="00C75B34" w:rsidRPr="00345BCE">
        <w:rPr>
          <w:bCs/>
          <w:i/>
          <w:iCs/>
          <w:sz w:val="22"/>
          <w:szCs w:val="22"/>
          <w:u w:val="single"/>
        </w:rPr>
        <w:t>ra vonatkozó további információk</w:t>
      </w:r>
    </w:p>
    <w:p w14:paraId="78319BC6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2231EF85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414C40">
        <w:rPr>
          <w:bCs/>
          <w:sz w:val="22"/>
          <w:szCs w:val="22"/>
          <w:u w:val="single"/>
        </w:rPr>
        <w:t>Idősek</w:t>
      </w:r>
    </w:p>
    <w:p w14:paraId="70BE8D11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</w:rPr>
      </w:pPr>
      <w:r w:rsidRPr="00345BCE">
        <w:rPr>
          <w:sz w:val="22"/>
          <w:szCs w:val="22"/>
        </w:rPr>
        <w:t>I</w:t>
      </w:r>
      <w:r w:rsidRPr="00345BCE">
        <w:rPr>
          <w:bCs/>
          <w:sz w:val="22"/>
          <w:szCs w:val="22"/>
        </w:rPr>
        <w:t>dőseknél n</w:t>
      </w:r>
      <w:r w:rsidRPr="00345BCE">
        <w:rPr>
          <w:sz w:val="22"/>
          <w:szCs w:val="22"/>
        </w:rPr>
        <w:t>em szükséges a dózis módosítása</w:t>
      </w:r>
      <w:r w:rsidRPr="00345BCE">
        <w:rPr>
          <w:bCs/>
          <w:sz w:val="22"/>
          <w:szCs w:val="22"/>
        </w:rPr>
        <w:t>.</w:t>
      </w:r>
    </w:p>
    <w:p w14:paraId="5936B784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</w:rPr>
      </w:pPr>
    </w:p>
    <w:p w14:paraId="232B23FD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Vesekárosodás</w:t>
      </w:r>
    </w:p>
    <w:p w14:paraId="49105D01" w14:textId="77777777" w:rsidR="004B4318" w:rsidRPr="00345BCE" w:rsidRDefault="004B4318" w:rsidP="00C560EC">
      <w:pPr>
        <w:rPr>
          <w:sz w:val="22"/>
          <w:szCs w:val="22"/>
        </w:rPr>
      </w:pPr>
      <w:r w:rsidRPr="00345BCE">
        <w:rPr>
          <w:bCs/>
          <w:sz w:val="22"/>
          <w:szCs w:val="22"/>
        </w:rPr>
        <w:t>Nem szükséges a dózis módosítása azoknál a felnőtt betegeknél, akik</w:t>
      </w:r>
      <w:r w:rsidR="00BE2C56">
        <w:rPr>
          <w:bCs/>
          <w:sz w:val="22"/>
          <w:szCs w:val="22"/>
        </w:rPr>
        <w:t xml:space="preserve">nek a </w:t>
      </w:r>
      <w:r w:rsidRPr="00345BCE">
        <w:rPr>
          <w:bCs/>
          <w:sz w:val="22"/>
          <w:szCs w:val="22"/>
        </w:rPr>
        <w:t>kreatinin</w:t>
      </w:r>
      <w:r w:rsidR="003B293D">
        <w:rPr>
          <w:bCs/>
          <w:sz w:val="22"/>
          <w:szCs w:val="22"/>
        </w:rPr>
        <w:noBreakHyphen/>
      </w:r>
      <w:r w:rsidRPr="00345BCE">
        <w:rPr>
          <w:bCs/>
          <w:sz w:val="22"/>
          <w:szCs w:val="22"/>
        </w:rPr>
        <w:t xml:space="preserve">clearance-e </w:t>
      </w:r>
      <w:r w:rsidRPr="00345BCE">
        <w:rPr>
          <w:sz w:val="22"/>
          <w:szCs w:val="22"/>
        </w:rPr>
        <w:t>&gt;</w:t>
      </w:r>
      <w:r w:rsidR="003B293D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(lásd 4.4 és 5.2 pont).</w:t>
      </w:r>
    </w:p>
    <w:p w14:paraId="13CCBCC4" w14:textId="77777777" w:rsidR="00C75B34" w:rsidRDefault="00151ED1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Vesekárosodásban szenvedő betegek</w:t>
      </w:r>
      <w:r w:rsidR="006A6133">
        <w:rPr>
          <w:sz w:val="22"/>
          <w:szCs w:val="22"/>
        </w:rPr>
        <w:t>nél</w:t>
      </w:r>
      <w:r>
        <w:rPr>
          <w:sz w:val="22"/>
          <w:szCs w:val="22"/>
        </w:rPr>
        <w:t xml:space="preserve"> (</w:t>
      </w:r>
      <w:r w:rsidRPr="00151ED1">
        <w:rPr>
          <w:sz w:val="22"/>
          <w:szCs w:val="22"/>
        </w:rPr>
        <w:t xml:space="preserve">GFR </w:t>
      </w:r>
      <w:r w:rsidR="008B4E1F">
        <w:rPr>
          <w:sz w:val="22"/>
          <w:szCs w:val="22"/>
        </w:rPr>
        <w:t xml:space="preserve">[glomeruláris filtrációs ráta] </w:t>
      </w:r>
      <w:r w:rsidRPr="00151ED1">
        <w:rPr>
          <w:sz w:val="22"/>
          <w:szCs w:val="22"/>
        </w:rPr>
        <w:t>&lt;</w:t>
      </w:r>
      <w:r w:rsidR="003B293D">
        <w:rPr>
          <w:sz w:val="22"/>
          <w:szCs w:val="22"/>
        </w:rPr>
        <w:t> </w:t>
      </w:r>
      <w:r w:rsidRPr="00151ED1">
        <w:rPr>
          <w:sz w:val="22"/>
          <w:szCs w:val="22"/>
        </w:rPr>
        <w:t>60 m</w:t>
      </w:r>
      <w:r w:rsidR="00355A5E">
        <w:rPr>
          <w:sz w:val="22"/>
          <w:szCs w:val="22"/>
        </w:rPr>
        <w:t>l</w:t>
      </w:r>
      <w:r w:rsidRPr="00151ED1">
        <w:rPr>
          <w:sz w:val="22"/>
          <w:szCs w:val="22"/>
        </w:rPr>
        <w:t>/</w:t>
      </w:r>
      <w:r w:rsidR="00355A5E">
        <w:rPr>
          <w:sz w:val="22"/>
          <w:szCs w:val="22"/>
        </w:rPr>
        <w:t>perc</w:t>
      </w:r>
      <w:r w:rsidRPr="00151ED1">
        <w:rPr>
          <w:sz w:val="22"/>
          <w:szCs w:val="22"/>
        </w:rPr>
        <w:t>/1</w:t>
      </w:r>
      <w:r w:rsidR="003B293D">
        <w:rPr>
          <w:sz w:val="22"/>
          <w:szCs w:val="22"/>
        </w:rPr>
        <w:t>,</w:t>
      </w:r>
      <w:r w:rsidRPr="00151ED1">
        <w:rPr>
          <w:sz w:val="22"/>
          <w:szCs w:val="22"/>
        </w:rPr>
        <w:t>73</w:t>
      </w:r>
      <w:r w:rsidR="003B293D">
        <w:rPr>
          <w:sz w:val="22"/>
          <w:szCs w:val="22"/>
        </w:rPr>
        <w:t> </w:t>
      </w:r>
      <w:r w:rsidRPr="00151ED1">
        <w:rPr>
          <w:sz w:val="22"/>
          <w:szCs w:val="22"/>
        </w:rPr>
        <w:t>m</w:t>
      </w:r>
      <w:r w:rsidRPr="00151ED1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) a valzartán alis</w:t>
      </w:r>
      <w:r w:rsidR="006A6133">
        <w:rPr>
          <w:sz w:val="22"/>
          <w:szCs w:val="22"/>
        </w:rPr>
        <w:t>z</w:t>
      </w:r>
      <w:r>
        <w:rPr>
          <w:sz w:val="22"/>
          <w:szCs w:val="22"/>
        </w:rPr>
        <w:t>kir</w:t>
      </w:r>
      <w:r w:rsidR="003B293D">
        <w:rPr>
          <w:sz w:val="22"/>
          <w:szCs w:val="22"/>
        </w:rPr>
        <w:t>é</w:t>
      </w:r>
      <w:r>
        <w:rPr>
          <w:sz w:val="22"/>
          <w:szCs w:val="22"/>
        </w:rPr>
        <w:t>nnel történő</w:t>
      </w:r>
      <w:r w:rsidR="006A6133">
        <w:rPr>
          <w:sz w:val="22"/>
          <w:szCs w:val="22"/>
        </w:rPr>
        <w:t xml:space="preserve"> együttes alkalmazása</w:t>
      </w:r>
      <w:r>
        <w:rPr>
          <w:sz w:val="22"/>
          <w:szCs w:val="22"/>
        </w:rPr>
        <w:t xml:space="preserve"> ellenjavallt (lásd 4.3 pont).</w:t>
      </w:r>
    </w:p>
    <w:p w14:paraId="30727708" w14:textId="77777777" w:rsidR="00151ED1" w:rsidRDefault="00151ED1" w:rsidP="00C560EC">
      <w:pPr>
        <w:tabs>
          <w:tab w:val="left" w:pos="567"/>
        </w:tabs>
        <w:rPr>
          <w:sz w:val="22"/>
          <w:szCs w:val="22"/>
        </w:rPr>
      </w:pPr>
    </w:p>
    <w:p w14:paraId="324D40DA" w14:textId="77777777" w:rsidR="006A6133" w:rsidRPr="007B1252" w:rsidRDefault="006A6133" w:rsidP="00C560EC">
      <w:pPr>
        <w:tabs>
          <w:tab w:val="left" w:pos="567"/>
        </w:tabs>
        <w:rPr>
          <w:sz w:val="22"/>
          <w:szCs w:val="22"/>
          <w:u w:val="single"/>
        </w:rPr>
      </w:pPr>
      <w:r w:rsidRPr="007B1252">
        <w:rPr>
          <w:sz w:val="22"/>
          <w:szCs w:val="22"/>
          <w:u w:val="single"/>
        </w:rPr>
        <w:lastRenderedPageBreak/>
        <w:t>Diabetes mellitus</w:t>
      </w:r>
    </w:p>
    <w:p w14:paraId="58BDC7F5" w14:textId="77777777" w:rsidR="006A6133" w:rsidRDefault="006A6133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Diabetes mellitusban szenvedő betegeknél a valzartán aliszkir</w:t>
      </w:r>
      <w:r w:rsidR="006D4DB0">
        <w:rPr>
          <w:sz w:val="22"/>
          <w:szCs w:val="22"/>
        </w:rPr>
        <w:t>é</w:t>
      </w:r>
      <w:r>
        <w:rPr>
          <w:sz w:val="22"/>
          <w:szCs w:val="22"/>
        </w:rPr>
        <w:t>nnel történő együttes alkalmazása ellenjavallt (lásd 4.3 pont).</w:t>
      </w:r>
    </w:p>
    <w:p w14:paraId="03ACD6E7" w14:textId="77777777" w:rsidR="006A6133" w:rsidRPr="00345BCE" w:rsidRDefault="006A6133" w:rsidP="00C560EC">
      <w:pPr>
        <w:tabs>
          <w:tab w:val="left" w:pos="567"/>
        </w:tabs>
        <w:rPr>
          <w:sz w:val="22"/>
          <w:szCs w:val="22"/>
        </w:rPr>
      </w:pPr>
    </w:p>
    <w:p w14:paraId="18BD07AE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Májkárosodás</w:t>
      </w:r>
    </w:p>
    <w:p w14:paraId="26DC54B0" w14:textId="767402C3" w:rsidR="00001928" w:rsidRPr="00345BCE" w:rsidRDefault="00001928" w:rsidP="00C560EC">
      <w:pPr>
        <w:rPr>
          <w:bCs/>
          <w:sz w:val="22"/>
          <w:szCs w:val="22"/>
        </w:rPr>
      </w:pPr>
      <w:r w:rsidRPr="00345BCE">
        <w:rPr>
          <w:bCs/>
          <w:sz w:val="22"/>
          <w:szCs w:val="22"/>
        </w:rPr>
        <w:t xml:space="preserve">Súlyos májkárosodásban, biliaris cirrhosisban, valamint cholestasisban szenvedő betegeknél a Valsartan Sandoz ellenjavallt (lásd 4.3, 4.4 és 5.2 pont). A </w:t>
      </w:r>
      <w:r w:rsidRPr="00345BCE">
        <w:rPr>
          <w:sz w:val="22"/>
          <w:szCs w:val="22"/>
        </w:rPr>
        <w:t xml:space="preserve">cholestasissal nem járó </w:t>
      </w:r>
      <w:r w:rsidRPr="00345BCE">
        <w:rPr>
          <w:bCs/>
          <w:sz w:val="22"/>
          <w:szCs w:val="22"/>
        </w:rPr>
        <w:t>enyhe vagy közepesen súlyos májkárosodásban szenvedő betegeknél a valzartán dózis nem haladhatja meg a 80 mg</w:t>
      </w:r>
      <w:r w:rsidRPr="00345BCE">
        <w:rPr>
          <w:bCs/>
          <w:sz w:val="22"/>
          <w:szCs w:val="22"/>
        </w:rPr>
        <w:noBreakHyphen/>
        <w:t>ot.</w:t>
      </w:r>
      <w:r w:rsidR="00087019">
        <w:rPr>
          <w:bCs/>
          <w:sz w:val="22"/>
          <w:szCs w:val="22"/>
        </w:rPr>
        <w:t xml:space="preserve"> </w:t>
      </w:r>
      <w:r w:rsidR="00087019">
        <w:rPr>
          <w:sz w:val="22"/>
          <w:szCs w:val="22"/>
        </w:rPr>
        <w:t>A Valsartan Sandoz 320 mg filmtablettával a 80 mg-os dózis alkalmazása nem valósítható meg.</w:t>
      </w:r>
    </w:p>
    <w:p w14:paraId="6DA9996F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1E702BB1" w14:textId="77777777" w:rsidR="00B46B5D" w:rsidRPr="00345BCE" w:rsidRDefault="00C75B34" w:rsidP="00C560EC">
      <w:pPr>
        <w:tabs>
          <w:tab w:val="left" w:pos="567"/>
        </w:tabs>
        <w:rPr>
          <w:bCs/>
          <w:i/>
          <w:sz w:val="22"/>
          <w:szCs w:val="22"/>
          <w:u w:val="single"/>
        </w:rPr>
      </w:pPr>
      <w:r w:rsidRPr="00345BCE">
        <w:rPr>
          <w:bCs/>
          <w:i/>
          <w:sz w:val="22"/>
          <w:szCs w:val="22"/>
          <w:u w:val="single"/>
        </w:rPr>
        <w:t>Gyermek</w:t>
      </w:r>
      <w:r w:rsidR="006D4DB0">
        <w:rPr>
          <w:bCs/>
          <w:i/>
          <w:sz w:val="22"/>
          <w:szCs w:val="22"/>
          <w:u w:val="single"/>
        </w:rPr>
        <w:t>ek és serdülők</w:t>
      </w:r>
    </w:p>
    <w:p w14:paraId="5048DC39" w14:textId="77777777" w:rsidR="00001928" w:rsidRPr="00345BCE" w:rsidRDefault="00001928" w:rsidP="00C560EC">
      <w:pPr>
        <w:tabs>
          <w:tab w:val="left" w:pos="567"/>
        </w:tabs>
        <w:rPr>
          <w:bCs/>
          <w:i/>
          <w:sz w:val="22"/>
          <w:szCs w:val="22"/>
        </w:rPr>
      </w:pPr>
    </w:p>
    <w:p w14:paraId="16355605" w14:textId="77777777" w:rsidR="00001928" w:rsidRDefault="00001928" w:rsidP="00C560EC">
      <w:pPr>
        <w:rPr>
          <w:iCs/>
          <w:sz w:val="22"/>
          <w:szCs w:val="22"/>
          <w:u w:val="single"/>
        </w:rPr>
      </w:pPr>
      <w:r w:rsidRPr="00345BCE">
        <w:rPr>
          <w:iCs/>
          <w:sz w:val="22"/>
          <w:szCs w:val="22"/>
          <w:u w:val="single"/>
        </w:rPr>
        <w:t xml:space="preserve">Gyermekkori </w:t>
      </w:r>
      <w:r w:rsidR="002321C3">
        <w:rPr>
          <w:iCs/>
          <w:sz w:val="22"/>
          <w:szCs w:val="22"/>
          <w:u w:val="single"/>
        </w:rPr>
        <w:t>hypertonia</w:t>
      </w:r>
    </w:p>
    <w:p w14:paraId="4A56D2FC" w14:textId="5BC600EB" w:rsidR="004C76FE" w:rsidRPr="00694832" w:rsidRDefault="004C76FE" w:rsidP="00AE2B27">
      <w:pPr>
        <w:rPr>
          <w:iCs/>
          <w:sz w:val="22"/>
          <w:szCs w:val="22"/>
        </w:rPr>
      </w:pPr>
      <w:bookmarkStart w:id="1" w:name="_Hlk212464624"/>
      <w:r w:rsidRPr="00694832">
        <w:rPr>
          <w:iCs/>
          <w:sz w:val="22"/>
          <w:szCs w:val="22"/>
        </w:rPr>
        <w:t xml:space="preserve">A Valsartan Sandoz nem elérhető belsőleges oldat </w:t>
      </w:r>
      <w:r w:rsidR="0040428E">
        <w:rPr>
          <w:iCs/>
          <w:sz w:val="22"/>
          <w:szCs w:val="22"/>
        </w:rPr>
        <w:t>gyógyszer</w:t>
      </w:r>
      <w:r w:rsidRPr="00694832">
        <w:rPr>
          <w:iCs/>
          <w:sz w:val="22"/>
          <w:szCs w:val="22"/>
        </w:rPr>
        <w:t xml:space="preserve">formájában. </w:t>
      </w:r>
      <w:r w:rsidR="00DD56E7">
        <w:rPr>
          <w:iCs/>
          <w:sz w:val="22"/>
          <w:szCs w:val="22"/>
        </w:rPr>
        <w:t>Ha b</w:t>
      </w:r>
      <w:r w:rsidRPr="00694832">
        <w:rPr>
          <w:iCs/>
          <w:sz w:val="22"/>
          <w:szCs w:val="22"/>
        </w:rPr>
        <w:t>elsőleges oldat</w:t>
      </w:r>
      <w:r w:rsidR="00DD56E7">
        <w:rPr>
          <w:iCs/>
          <w:sz w:val="22"/>
          <w:szCs w:val="22"/>
        </w:rPr>
        <w:t xml:space="preserve"> </w:t>
      </w:r>
      <w:r w:rsidRPr="00694832">
        <w:rPr>
          <w:iCs/>
          <w:sz w:val="22"/>
          <w:szCs w:val="22"/>
        </w:rPr>
        <w:t>alkalmazás</w:t>
      </w:r>
      <w:r w:rsidR="00DD56E7">
        <w:rPr>
          <w:iCs/>
          <w:sz w:val="22"/>
          <w:szCs w:val="22"/>
        </w:rPr>
        <w:t xml:space="preserve">a szükséges, </w:t>
      </w:r>
      <w:r w:rsidRPr="00694832">
        <w:rPr>
          <w:iCs/>
          <w:sz w:val="22"/>
          <w:szCs w:val="22"/>
        </w:rPr>
        <w:t xml:space="preserve">kérjük </w:t>
      </w:r>
      <w:r w:rsidR="006D4AF3" w:rsidRPr="00694832">
        <w:rPr>
          <w:iCs/>
          <w:sz w:val="22"/>
          <w:szCs w:val="22"/>
        </w:rPr>
        <w:t>keressen</w:t>
      </w:r>
      <w:r w:rsidRPr="00694832">
        <w:rPr>
          <w:iCs/>
          <w:sz w:val="22"/>
          <w:szCs w:val="22"/>
        </w:rPr>
        <w:t xml:space="preserve"> </w:t>
      </w:r>
      <w:r w:rsidR="00DD56E7">
        <w:rPr>
          <w:iCs/>
          <w:sz w:val="22"/>
          <w:szCs w:val="22"/>
        </w:rPr>
        <w:t>másik,</w:t>
      </w:r>
      <w:r w:rsidR="006D4AF3" w:rsidRPr="00694832">
        <w:rPr>
          <w:iCs/>
          <w:sz w:val="22"/>
          <w:szCs w:val="22"/>
        </w:rPr>
        <w:t xml:space="preserve"> forgalomban</w:t>
      </w:r>
      <w:r w:rsidRPr="00694832">
        <w:rPr>
          <w:iCs/>
          <w:sz w:val="22"/>
          <w:szCs w:val="22"/>
        </w:rPr>
        <w:t xml:space="preserve"> elérhető </w:t>
      </w:r>
      <w:r w:rsidR="00DD56E7">
        <w:rPr>
          <w:iCs/>
          <w:sz w:val="22"/>
          <w:szCs w:val="22"/>
        </w:rPr>
        <w:t>készítményt</w:t>
      </w:r>
      <w:r w:rsidRPr="00694832">
        <w:rPr>
          <w:iCs/>
          <w:sz w:val="22"/>
          <w:szCs w:val="22"/>
        </w:rPr>
        <w:t>.</w:t>
      </w:r>
    </w:p>
    <w:bookmarkEnd w:id="1"/>
    <w:p w14:paraId="0606B8DF" w14:textId="77777777" w:rsidR="00AE2B27" w:rsidRPr="00694832" w:rsidRDefault="00AE2B27" w:rsidP="00C560EC">
      <w:pPr>
        <w:rPr>
          <w:iCs/>
          <w:sz w:val="22"/>
          <w:szCs w:val="22"/>
        </w:rPr>
      </w:pPr>
    </w:p>
    <w:p w14:paraId="24362802" w14:textId="40A0A8A5" w:rsidR="00AE2B27" w:rsidRPr="00694832" w:rsidRDefault="00AE2B27" w:rsidP="00C560EC">
      <w:pPr>
        <w:rPr>
          <w:iCs/>
          <w:sz w:val="22"/>
          <w:szCs w:val="22"/>
        </w:rPr>
      </w:pPr>
      <w:r w:rsidRPr="00694832">
        <w:rPr>
          <w:iCs/>
          <w:sz w:val="22"/>
          <w:szCs w:val="22"/>
        </w:rPr>
        <w:t xml:space="preserve">Azoknak a gyermekeknek és serdülőknek, akik nem tudják a tablettákat lenyelni, a </w:t>
      </w:r>
      <w:r w:rsidR="00F12ED5" w:rsidRPr="00694832">
        <w:rPr>
          <w:iCs/>
          <w:sz w:val="22"/>
          <w:szCs w:val="22"/>
        </w:rPr>
        <w:t>valzartán</w:t>
      </w:r>
      <w:r w:rsidRPr="00694832">
        <w:rPr>
          <w:iCs/>
          <w:sz w:val="22"/>
          <w:szCs w:val="22"/>
        </w:rPr>
        <w:t xml:space="preserve"> belsőleges oldat alkalmazása javasolt. A valzartán szisztémás expozíciója 1,7</w:t>
      </w:r>
      <w:r w:rsidR="00DB59E0" w:rsidRPr="00694832">
        <w:rPr>
          <w:iCs/>
          <w:sz w:val="22"/>
          <w:szCs w:val="22"/>
        </w:rPr>
        <w:t>-</w:t>
      </w:r>
      <w:r w:rsidRPr="00694832">
        <w:rPr>
          <w:iCs/>
          <w:sz w:val="22"/>
          <w:szCs w:val="22"/>
        </w:rPr>
        <w:t>szer, maximális plazmakoncentrációja pedig 2,2</w:t>
      </w:r>
      <w:r w:rsidR="00DB59E0" w:rsidRPr="00694832">
        <w:rPr>
          <w:iCs/>
          <w:sz w:val="22"/>
          <w:szCs w:val="22"/>
        </w:rPr>
        <w:t>-</w:t>
      </w:r>
      <w:r w:rsidRPr="00694832">
        <w:rPr>
          <w:iCs/>
          <w:sz w:val="22"/>
          <w:szCs w:val="22"/>
        </w:rPr>
        <w:t>szer nagyobb az oldat alkalmazása esetén a tablettákhoz képest.</w:t>
      </w:r>
    </w:p>
    <w:p w14:paraId="620B4206" w14:textId="77777777" w:rsidR="00AE2B27" w:rsidRPr="00694832" w:rsidRDefault="00AE2B27" w:rsidP="00C560EC">
      <w:pPr>
        <w:rPr>
          <w:iCs/>
          <w:sz w:val="22"/>
          <w:szCs w:val="22"/>
        </w:rPr>
      </w:pPr>
    </w:p>
    <w:p w14:paraId="1731B318" w14:textId="7A8DB6FD" w:rsidR="00001928" w:rsidRPr="00345BCE" w:rsidRDefault="00001928" w:rsidP="00C560EC">
      <w:pPr>
        <w:rPr>
          <w:i/>
          <w:sz w:val="22"/>
          <w:szCs w:val="22"/>
        </w:rPr>
      </w:pPr>
      <w:r w:rsidRPr="00345BCE">
        <w:rPr>
          <w:i/>
          <w:sz w:val="22"/>
          <w:szCs w:val="22"/>
        </w:rPr>
        <w:t xml:space="preserve">Gyermekek és serdülők, </w:t>
      </w:r>
      <w:r w:rsidR="00DD56E7" w:rsidRPr="00DD56E7">
        <w:rPr>
          <w:i/>
          <w:sz w:val="22"/>
          <w:szCs w:val="22"/>
        </w:rPr>
        <w:t>l</w:t>
      </w:r>
      <w:r w:rsidR="00DD56E7" w:rsidRPr="00694832">
        <w:rPr>
          <w:i/>
          <w:sz w:val="22"/>
          <w:szCs w:val="22"/>
        </w:rPr>
        <w:t>egalább 6 éves, de 18 évesnél fiatalabb</w:t>
      </w:r>
      <w:r w:rsidR="00DD56E7" w:rsidRPr="00DD56E7">
        <w:rPr>
          <w:i/>
          <w:sz w:val="22"/>
          <w:szCs w:val="22"/>
        </w:rPr>
        <w:t xml:space="preserve"> életkor</w:t>
      </w:r>
    </w:p>
    <w:p w14:paraId="68B058D0" w14:textId="24A204A9" w:rsidR="00411310" w:rsidRPr="002B1977" w:rsidRDefault="00001928" w:rsidP="00411310">
      <w:pPr>
        <w:pStyle w:val="Normal1"/>
        <w:tabs>
          <w:tab w:val="left" w:pos="567"/>
        </w:tabs>
        <w:rPr>
          <w:sz w:val="22"/>
          <w:szCs w:val="22"/>
        </w:rPr>
      </w:pPr>
      <w:r w:rsidRPr="009115A8">
        <w:rPr>
          <w:sz w:val="22"/>
          <w:szCs w:val="22"/>
        </w:rPr>
        <w:t xml:space="preserve">A </w:t>
      </w:r>
      <w:r w:rsidR="00AE2B27" w:rsidRPr="00AE2B27">
        <w:rPr>
          <w:sz w:val="22"/>
          <w:szCs w:val="22"/>
        </w:rPr>
        <w:t xml:space="preserve">Valsartan Sandoz </w:t>
      </w:r>
      <w:r w:rsidR="00AE2B27">
        <w:rPr>
          <w:sz w:val="22"/>
          <w:szCs w:val="22"/>
        </w:rPr>
        <w:t xml:space="preserve">filmtabletta </w:t>
      </w:r>
      <w:r w:rsidRPr="009115A8">
        <w:rPr>
          <w:sz w:val="22"/>
          <w:szCs w:val="22"/>
        </w:rPr>
        <w:t xml:space="preserve">kezdő </w:t>
      </w:r>
      <w:r w:rsidR="00DD56E7">
        <w:rPr>
          <w:sz w:val="22"/>
          <w:szCs w:val="22"/>
        </w:rPr>
        <w:t>dózisa</w:t>
      </w:r>
      <w:r w:rsidR="00DD56E7" w:rsidRPr="009115A8">
        <w:rPr>
          <w:sz w:val="22"/>
          <w:szCs w:val="22"/>
        </w:rPr>
        <w:t xml:space="preserve"> </w:t>
      </w:r>
      <w:r w:rsidRPr="009115A8">
        <w:rPr>
          <w:sz w:val="22"/>
          <w:szCs w:val="22"/>
        </w:rPr>
        <w:t>35 kg alatti testtömegű gyermekek esetén naponta egyszer 40 mg, és 35</w:t>
      </w:r>
      <w:r w:rsidRPr="00345BCE">
        <w:rPr>
          <w:sz w:val="22"/>
          <w:szCs w:val="22"/>
        </w:rPr>
        <w:t> kg</w:t>
      </w:r>
      <w:r w:rsidRPr="00345BCE">
        <w:rPr>
          <w:sz w:val="22"/>
          <w:szCs w:val="22"/>
        </w:rPr>
        <w:noBreakHyphen/>
        <w:t xml:space="preserve">os vagy annál nagyobb testtömegű gyermekek esetén naponta egyszer 80 mg. </w:t>
      </w:r>
      <w:r w:rsidR="00411310" w:rsidRPr="006C63E2">
        <w:rPr>
          <w:sz w:val="22"/>
          <w:szCs w:val="22"/>
        </w:rPr>
        <w:t xml:space="preserve">A Valsartan Sandoz </w:t>
      </w:r>
      <w:r w:rsidR="00087019">
        <w:rPr>
          <w:sz w:val="22"/>
          <w:szCs w:val="22"/>
        </w:rPr>
        <w:t xml:space="preserve">320 mg </w:t>
      </w:r>
      <w:r w:rsidR="00411310" w:rsidRPr="006C63E2">
        <w:rPr>
          <w:sz w:val="22"/>
          <w:szCs w:val="22"/>
        </w:rPr>
        <w:t>filmtablett</w:t>
      </w:r>
      <w:r w:rsidR="00411310">
        <w:rPr>
          <w:sz w:val="22"/>
          <w:szCs w:val="22"/>
        </w:rPr>
        <w:t>ával</w:t>
      </w:r>
      <w:r w:rsidR="00411310" w:rsidRPr="006C63E2">
        <w:rPr>
          <w:sz w:val="22"/>
          <w:szCs w:val="22"/>
        </w:rPr>
        <w:t xml:space="preserve"> a 40</w:t>
      </w:r>
      <w:r w:rsidR="00411310">
        <w:rPr>
          <w:sz w:val="22"/>
          <w:szCs w:val="22"/>
        </w:rPr>
        <w:t> </w:t>
      </w:r>
      <w:r w:rsidR="00411310" w:rsidRPr="006C63E2">
        <w:rPr>
          <w:sz w:val="22"/>
          <w:szCs w:val="22"/>
        </w:rPr>
        <w:t>mg-os</w:t>
      </w:r>
      <w:r w:rsidR="00087019">
        <w:rPr>
          <w:sz w:val="22"/>
          <w:szCs w:val="22"/>
        </w:rPr>
        <w:t xml:space="preserve"> és a 80 mg-os </w:t>
      </w:r>
      <w:r w:rsidR="00411310" w:rsidRPr="006C63E2">
        <w:rPr>
          <w:sz w:val="22"/>
          <w:szCs w:val="22"/>
        </w:rPr>
        <w:t xml:space="preserve">dózis </w:t>
      </w:r>
      <w:r w:rsidR="00411310">
        <w:rPr>
          <w:sz w:val="22"/>
          <w:szCs w:val="22"/>
        </w:rPr>
        <w:t xml:space="preserve">alkalmazása </w:t>
      </w:r>
      <w:r w:rsidR="00411310" w:rsidRPr="006C63E2">
        <w:rPr>
          <w:sz w:val="22"/>
          <w:szCs w:val="22"/>
        </w:rPr>
        <w:t>nem valósítható meg.</w:t>
      </w:r>
    </w:p>
    <w:p w14:paraId="504C0D23" w14:textId="1E1AB12F" w:rsidR="00001928" w:rsidRPr="00345BCE" w:rsidRDefault="00001928" w:rsidP="00DE08A1">
      <w:pPr>
        <w:pStyle w:val="Normal1"/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DD56E7">
        <w:rPr>
          <w:sz w:val="22"/>
          <w:szCs w:val="22"/>
        </w:rPr>
        <w:t>dózist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a vérnyomásban bekövetkező válaszreakció </w:t>
      </w:r>
      <w:r w:rsidR="00AE2B27" w:rsidRPr="00AE2B27">
        <w:rPr>
          <w:sz w:val="22"/>
          <w:szCs w:val="22"/>
        </w:rPr>
        <w:t xml:space="preserve">és a tolerálhatóság </w:t>
      </w:r>
      <w:r w:rsidRPr="00345BCE">
        <w:rPr>
          <w:sz w:val="22"/>
          <w:szCs w:val="22"/>
        </w:rPr>
        <w:t xml:space="preserve">alapján kell módosítani. A klinikai vizsgálatokban értékelt maximális </w:t>
      </w:r>
      <w:r w:rsidR="00DD56E7">
        <w:rPr>
          <w:sz w:val="22"/>
          <w:szCs w:val="22"/>
        </w:rPr>
        <w:t>dózisokat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lásd az alábbi táblázatban.</w:t>
      </w:r>
    </w:p>
    <w:p w14:paraId="10A0CEEF" w14:textId="010C0D5A" w:rsidR="00001928" w:rsidRPr="00345BCE" w:rsidRDefault="00001928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Az itt felsoroltnál </w:t>
      </w:r>
      <w:r w:rsidR="00DD56E7">
        <w:rPr>
          <w:sz w:val="22"/>
          <w:szCs w:val="22"/>
        </w:rPr>
        <w:t>nagyobb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dózisokat nem vizsgálták, ezért azok alkalmazása nem javasolt.</w:t>
      </w:r>
    </w:p>
    <w:p w14:paraId="042F6ACA" w14:textId="77777777" w:rsidR="00001928" w:rsidRPr="00345BCE" w:rsidRDefault="00001928" w:rsidP="00C560EC">
      <w:pPr>
        <w:rPr>
          <w:sz w:val="22"/>
          <w:szCs w:val="22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5"/>
        <w:gridCol w:w="5056"/>
      </w:tblGrid>
      <w:tr w:rsidR="00001928" w:rsidRPr="00345BCE" w14:paraId="48B213B6" w14:textId="77777777">
        <w:tc>
          <w:tcPr>
            <w:tcW w:w="2315" w:type="dxa"/>
          </w:tcPr>
          <w:p w14:paraId="2A207132" w14:textId="77777777" w:rsidR="00001928" w:rsidRPr="00345BCE" w:rsidRDefault="00001928" w:rsidP="00C560EC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Testtömeg</w:t>
            </w:r>
          </w:p>
        </w:tc>
        <w:tc>
          <w:tcPr>
            <w:tcW w:w="5056" w:type="dxa"/>
          </w:tcPr>
          <w:p w14:paraId="39A34C47" w14:textId="429DA4F5" w:rsidR="00001928" w:rsidRPr="00345BCE" w:rsidRDefault="00001928" w:rsidP="00DD56E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A klinikai vizsgálatokban </w:t>
            </w:r>
            <w:r w:rsidR="00DD56E7" w:rsidRPr="000E06B3">
              <w:rPr>
                <w:sz w:val="22"/>
                <w:szCs w:val="22"/>
              </w:rPr>
              <w:t xml:space="preserve">tabletta </w:t>
            </w:r>
            <w:r w:rsidR="00DD56E7">
              <w:rPr>
                <w:sz w:val="22"/>
                <w:szCs w:val="22"/>
              </w:rPr>
              <w:t xml:space="preserve">alkalmazásával </w:t>
            </w:r>
            <w:r w:rsidRPr="00345BCE">
              <w:rPr>
                <w:sz w:val="22"/>
                <w:szCs w:val="22"/>
              </w:rPr>
              <w:t xml:space="preserve">értékelt maximális </w:t>
            </w:r>
            <w:r w:rsidR="000E06B3" w:rsidRPr="000E06B3">
              <w:rPr>
                <w:sz w:val="22"/>
                <w:szCs w:val="22"/>
              </w:rPr>
              <w:t>dózisok</w:t>
            </w:r>
          </w:p>
        </w:tc>
      </w:tr>
      <w:tr w:rsidR="00001928" w:rsidRPr="00345BCE" w14:paraId="19A78BE6" w14:textId="77777777">
        <w:tc>
          <w:tcPr>
            <w:tcW w:w="2315" w:type="dxa"/>
          </w:tcPr>
          <w:p w14:paraId="72AB17BD" w14:textId="77777777" w:rsidR="00001928" w:rsidRPr="00345BCE" w:rsidRDefault="00001928" w:rsidP="00B0458C">
            <w:pPr>
              <w:rPr>
                <w:sz w:val="22"/>
                <w:szCs w:val="22"/>
              </w:rPr>
            </w:pPr>
            <w:r w:rsidRPr="00B0458C">
              <w:rPr>
                <w:sz w:val="22"/>
                <w:szCs w:val="22"/>
              </w:rPr>
              <w:t>≥</w:t>
            </w:r>
            <w:r w:rsidR="00B0458C" w:rsidRPr="00C560EC">
              <w:rPr>
                <w:sz w:val="22"/>
                <w:szCs w:val="22"/>
              </w:rPr>
              <w:t> </w:t>
            </w:r>
            <w:r w:rsidR="00D66429" w:rsidRPr="00C560EC">
              <w:rPr>
                <w:sz w:val="22"/>
                <w:szCs w:val="22"/>
              </w:rPr>
              <w:t>18</w:t>
            </w:r>
            <w:r w:rsidR="006D4DB0" w:rsidRPr="00345BCE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kg - &lt;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35 kg</w:t>
            </w:r>
          </w:p>
        </w:tc>
        <w:tc>
          <w:tcPr>
            <w:tcW w:w="5056" w:type="dxa"/>
          </w:tcPr>
          <w:p w14:paraId="28BA99B5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80 mg</w:t>
            </w:r>
          </w:p>
        </w:tc>
      </w:tr>
      <w:tr w:rsidR="00001928" w:rsidRPr="00345BCE" w14:paraId="6E667D44" w14:textId="77777777">
        <w:tc>
          <w:tcPr>
            <w:tcW w:w="2315" w:type="dxa"/>
          </w:tcPr>
          <w:p w14:paraId="4BAEB38C" w14:textId="77777777" w:rsidR="00001928" w:rsidRPr="00345BCE" w:rsidRDefault="00001928" w:rsidP="001C2BD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≥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35 kg - &lt;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80 kg</w:t>
            </w:r>
          </w:p>
        </w:tc>
        <w:tc>
          <w:tcPr>
            <w:tcW w:w="5056" w:type="dxa"/>
          </w:tcPr>
          <w:p w14:paraId="082AD628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160 mg</w:t>
            </w:r>
          </w:p>
        </w:tc>
      </w:tr>
      <w:tr w:rsidR="00001928" w:rsidRPr="00345BCE" w14:paraId="371B4F7A" w14:textId="77777777">
        <w:tc>
          <w:tcPr>
            <w:tcW w:w="2315" w:type="dxa"/>
          </w:tcPr>
          <w:p w14:paraId="6CE09781" w14:textId="77777777" w:rsidR="00001928" w:rsidRPr="00345BCE" w:rsidRDefault="00001928" w:rsidP="001C2BD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≥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80 kg - ≤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160 kg</w:t>
            </w:r>
          </w:p>
        </w:tc>
        <w:tc>
          <w:tcPr>
            <w:tcW w:w="5056" w:type="dxa"/>
          </w:tcPr>
          <w:p w14:paraId="7F212F2A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320 mg</w:t>
            </w:r>
          </w:p>
        </w:tc>
      </w:tr>
    </w:tbl>
    <w:p w14:paraId="2DC4C07B" w14:textId="77777777" w:rsidR="00001928" w:rsidRPr="00345BCE" w:rsidRDefault="00001928" w:rsidP="001C2BD7">
      <w:pPr>
        <w:rPr>
          <w:sz w:val="22"/>
          <w:szCs w:val="22"/>
        </w:rPr>
      </w:pPr>
    </w:p>
    <w:p w14:paraId="2602FE14" w14:textId="64BB74E1" w:rsidR="000E06B3" w:rsidRPr="00694832" w:rsidRDefault="000E06B3" w:rsidP="000E06B3">
      <w:pPr>
        <w:rPr>
          <w:sz w:val="22"/>
          <w:szCs w:val="22"/>
        </w:rPr>
      </w:pPr>
      <w:r w:rsidRPr="00694832">
        <w:rPr>
          <w:sz w:val="22"/>
          <w:szCs w:val="22"/>
        </w:rPr>
        <w:t xml:space="preserve">A 6 éves kor előtt már valzartánnal kezelt gyermekek esetében lásd a </w:t>
      </w:r>
      <w:r w:rsidR="00942DEF">
        <w:rPr>
          <w:sz w:val="22"/>
          <w:szCs w:val="22"/>
        </w:rPr>
        <w:t>valzartán</w:t>
      </w:r>
      <w:r w:rsidRPr="00694832">
        <w:rPr>
          <w:sz w:val="22"/>
          <w:szCs w:val="22"/>
        </w:rPr>
        <w:t xml:space="preserve"> belsőleges oldat adagolását (Gyermekek, </w:t>
      </w:r>
      <w:r w:rsidR="00DD56E7">
        <w:rPr>
          <w:sz w:val="22"/>
          <w:szCs w:val="22"/>
        </w:rPr>
        <w:t xml:space="preserve">legalább </w:t>
      </w:r>
      <w:r w:rsidRPr="00694832">
        <w:rPr>
          <w:sz w:val="22"/>
          <w:szCs w:val="22"/>
        </w:rPr>
        <w:t>1</w:t>
      </w:r>
      <w:r w:rsidR="00DD56E7">
        <w:rPr>
          <w:sz w:val="22"/>
          <w:szCs w:val="22"/>
        </w:rPr>
        <w:t xml:space="preserve"> éves de </w:t>
      </w:r>
      <w:r w:rsidRPr="00694832">
        <w:rPr>
          <w:sz w:val="22"/>
          <w:szCs w:val="22"/>
        </w:rPr>
        <w:t>6 évesnél fiatalabb kor</w:t>
      </w:r>
      <w:r w:rsidR="00DD56E7">
        <w:rPr>
          <w:sz w:val="22"/>
          <w:szCs w:val="22"/>
        </w:rPr>
        <w:t>úak</w:t>
      </w:r>
      <w:r w:rsidRPr="00694832">
        <w:rPr>
          <w:sz w:val="22"/>
          <w:szCs w:val="22"/>
        </w:rPr>
        <w:t>).</w:t>
      </w:r>
    </w:p>
    <w:p w14:paraId="5839341B" w14:textId="77777777" w:rsidR="000E06B3" w:rsidRPr="00B86A8A" w:rsidRDefault="000E06B3" w:rsidP="000E06B3">
      <w:pPr>
        <w:rPr>
          <w:szCs w:val="22"/>
        </w:rPr>
      </w:pPr>
    </w:p>
    <w:p w14:paraId="7018FB42" w14:textId="0BFB56D2" w:rsidR="00001928" w:rsidRPr="00EF51F9" w:rsidRDefault="00001928" w:rsidP="00EA386A">
      <w:pPr>
        <w:rPr>
          <w:color w:val="000000"/>
          <w:sz w:val="22"/>
          <w:szCs w:val="22"/>
        </w:rPr>
      </w:pPr>
      <w:r w:rsidRPr="00EF51F9">
        <w:rPr>
          <w:i/>
          <w:sz w:val="22"/>
          <w:szCs w:val="22"/>
        </w:rPr>
        <w:t>6 év</w:t>
      </w:r>
      <w:r w:rsidR="00DD56E7">
        <w:rPr>
          <w:i/>
          <w:sz w:val="22"/>
          <w:szCs w:val="22"/>
        </w:rPr>
        <w:t>es</w:t>
      </w:r>
      <w:r w:rsidRPr="00EF51F9">
        <w:rPr>
          <w:i/>
          <w:sz w:val="22"/>
          <w:szCs w:val="22"/>
        </w:rPr>
        <w:t>nél fiatalabb gyermekek</w:t>
      </w:r>
    </w:p>
    <w:p w14:paraId="096C053F" w14:textId="51AF9370" w:rsidR="00001928" w:rsidRPr="00345BCE" w:rsidRDefault="00803AAA" w:rsidP="00EA386A">
      <w:pPr>
        <w:rPr>
          <w:color w:val="000000"/>
          <w:sz w:val="22"/>
          <w:szCs w:val="22"/>
        </w:rPr>
      </w:pPr>
      <w:r w:rsidRPr="00803AAA">
        <w:rPr>
          <w:color w:val="000000"/>
          <w:sz w:val="22"/>
          <w:szCs w:val="22"/>
        </w:rPr>
        <w:t>Az 1</w:t>
      </w:r>
      <w:r w:rsidR="003879DD">
        <w:rPr>
          <w:color w:val="000000"/>
          <w:sz w:val="22"/>
          <w:szCs w:val="22"/>
        </w:rPr>
        <w:t>-</w:t>
      </w:r>
      <w:r w:rsidRPr="00803AAA">
        <w:rPr>
          <w:color w:val="000000"/>
          <w:sz w:val="22"/>
          <w:szCs w:val="22"/>
        </w:rPr>
        <w:t>5 éves gyermekeknek és azoknak, akik</w:t>
      </w:r>
      <w:r w:rsidR="00DD56E7">
        <w:rPr>
          <w:color w:val="000000"/>
          <w:sz w:val="22"/>
          <w:szCs w:val="22"/>
        </w:rPr>
        <w:t xml:space="preserve">nek nehézséget okoz </w:t>
      </w:r>
      <w:r w:rsidRPr="00803AAA">
        <w:rPr>
          <w:color w:val="000000"/>
          <w:sz w:val="22"/>
          <w:szCs w:val="22"/>
        </w:rPr>
        <w:t>a tabletta lenyel</w:t>
      </w:r>
      <w:r w:rsidR="00DD56E7">
        <w:rPr>
          <w:color w:val="000000"/>
          <w:sz w:val="22"/>
          <w:szCs w:val="22"/>
        </w:rPr>
        <w:t>ése</w:t>
      </w:r>
      <w:r w:rsidRPr="00803AAA">
        <w:rPr>
          <w:color w:val="000000"/>
          <w:sz w:val="22"/>
          <w:szCs w:val="22"/>
        </w:rPr>
        <w:t xml:space="preserve">, a </w:t>
      </w:r>
      <w:r w:rsidR="00394882">
        <w:rPr>
          <w:color w:val="000000"/>
          <w:sz w:val="22"/>
          <w:szCs w:val="22"/>
        </w:rPr>
        <w:t>valzartán</w:t>
      </w:r>
      <w:r w:rsidRPr="00803AAA">
        <w:rPr>
          <w:color w:val="000000"/>
          <w:sz w:val="22"/>
          <w:szCs w:val="22"/>
        </w:rPr>
        <w:t xml:space="preserve"> belsőleges oldat alkalmazása javasolt. </w:t>
      </w:r>
      <w:r w:rsidR="00001928" w:rsidRPr="00345BCE">
        <w:rPr>
          <w:color w:val="000000"/>
          <w:sz w:val="22"/>
          <w:szCs w:val="22"/>
        </w:rPr>
        <w:t>A rendelkezésre álló adatok a 4.8, 5.1 és 5.2 pont alatt kerülnek ismertetésre. A V</w:t>
      </w:r>
      <w:r w:rsidR="007E7681" w:rsidRPr="00345BCE">
        <w:rPr>
          <w:color w:val="000000"/>
          <w:sz w:val="22"/>
          <w:szCs w:val="22"/>
        </w:rPr>
        <w:t>a</w:t>
      </w:r>
      <w:r w:rsidR="00001928" w:rsidRPr="00345BCE">
        <w:rPr>
          <w:color w:val="000000"/>
          <w:sz w:val="22"/>
          <w:szCs w:val="22"/>
        </w:rPr>
        <w:t xml:space="preserve">lsartan Sandoz biztonságosságát és hatásosságát </w:t>
      </w:r>
      <w:r w:rsidRPr="00694832">
        <w:rPr>
          <w:sz w:val="22"/>
          <w:szCs w:val="22"/>
        </w:rPr>
        <w:t>1 évesnél fiatalabb</w:t>
      </w:r>
      <w:r w:rsidRPr="00345BCE">
        <w:rPr>
          <w:color w:val="000000"/>
          <w:sz w:val="22"/>
          <w:szCs w:val="22"/>
        </w:rPr>
        <w:t xml:space="preserve"> </w:t>
      </w:r>
      <w:r w:rsidR="00001928" w:rsidRPr="00345BCE">
        <w:rPr>
          <w:color w:val="000000"/>
          <w:sz w:val="22"/>
          <w:szCs w:val="22"/>
        </w:rPr>
        <w:t>gyermekek esetében nem igazolták.</w:t>
      </w:r>
    </w:p>
    <w:p w14:paraId="1011F584" w14:textId="77777777" w:rsidR="00001928" w:rsidRDefault="00001928" w:rsidP="00EA386A">
      <w:pPr>
        <w:rPr>
          <w:color w:val="000000"/>
          <w:sz w:val="22"/>
          <w:szCs w:val="22"/>
        </w:rPr>
      </w:pPr>
    </w:p>
    <w:p w14:paraId="130F9969" w14:textId="703686C6" w:rsidR="00803AAA" w:rsidRPr="00694832" w:rsidRDefault="00803AAA" w:rsidP="00803AAA">
      <w:pPr>
        <w:rPr>
          <w:sz w:val="22"/>
          <w:szCs w:val="22"/>
          <w:u w:val="single"/>
        </w:rPr>
      </w:pPr>
      <w:r w:rsidRPr="00694832">
        <w:rPr>
          <w:rFonts w:ascii="TimesNewRomanPS-ItalicMT" w:hAnsi="TimesNewRomanPS-ItalicMT" w:cs="TimesNewRomanPS-ItalicMT"/>
          <w:i/>
          <w:iCs/>
          <w:sz w:val="22"/>
          <w:szCs w:val="22"/>
          <w:u w:val="single"/>
        </w:rPr>
        <w:t>Váltás a valzartán belsőleges oldatról valzartán filmtablettára</w:t>
      </w:r>
    </w:p>
    <w:p w14:paraId="587D1015" w14:textId="1DCC04C0" w:rsidR="00803AAA" w:rsidRPr="00694832" w:rsidRDefault="00803AAA" w:rsidP="00803AAA">
      <w:pPr>
        <w:rPr>
          <w:sz w:val="22"/>
          <w:szCs w:val="22"/>
          <w:u w:val="single"/>
        </w:rPr>
      </w:pPr>
      <w:r w:rsidRPr="00694832">
        <w:rPr>
          <w:sz w:val="22"/>
          <w:szCs w:val="22"/>
        </w:rPr>
        <w:t>Amennyiben a valzartán belsőleges oldatról a valzartán filmtablettára történő áttérés klinikai okból feltétlenül szükséges, kezdetben azonos milligrammnyi dózist kell alkalmazni. Ezt követően gyakori vérnyomás</w:t>
      </w:r>
      <w:r w:rsidRPr="00694832">
        <w:rPr>
          <w:sz w:val="22"/>
          <w:szCs w:val="22"/>
        </w:rPr>
        <w:noBreakHyphen/>
        <w:t>ellenőrzést kell végezni, tekintettel az aluldozírozás lehetőségére; a dózist szükség esetén tovább kell emelni a vérnyomásban bekövetkező válaszreakció és a tolerálhatóság alapján.</w:t>
      </w:r>
    </w:p>
    <w:p w14:paraId="4F7AF16C" w14:textId="77777777" w:rsidR="00803AAA" w:rsidRPr="00345BCE" w:rsidRDefault="00803AAA" w:rsidP="00EA386A">
      <w:pPr>
        <w:rPr>
          <w:color w:val="000000"/>
          <w:sz w:val="22"/>
          <w:szCs w:val="22"/>
        </w:rPr>
      </w:pPr>
    </w:p>
    <w:p w14:paraId="1C048233" w14:textId="75FCB084" w:rsidR="00001928" w:rsidRPr="00345BCE" w:rsidRDefault="00001928" w:rsidP="0097699A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 xml:space="preserve">Alkalmazása </w:t>
      </w:r>
      <w:r w:rsidR="00DD56E7" w:rsidRPr="00694832">
        <w:rPr>
          <w:i/>
          <w:sz w:val="22"/>
          <w:szCs w:val="22"/>
          <w:u w:val="single"/>
        </w:rPr>
        <w:t>legalább 6 éves, de 18 évesnél fiatalabb életkor</w:t>
      </w:r>
      <w:r w:rsidR="00DD56E7">
        <w:rPr>
          <w:i/>
          <w:sz w:val="22"/>
          <w:szCs w:val="22"/>
          <w:u w:val="single"/>
        </w:rPr>
        <w:t>ú</w:t>
      </w:r>
      <w:r w:rsidRPr="00DD56E7">
        <w:rPr>
          <w:i/>
          <w:color w:val="000000"/>
          <w:sz w:val="22"/>
          <w:szCs w:val="22"/>
          <w:u w:val="single"/>
        </w:rPr>
        <w:t xml:space="preserve">, </w:t>
      </w:r>
      <w:r w:rsidR="00803AAA">
        <w:rPr>
          <w:i/>
          <w:color w:val="000000"/>
          <w:sz w:val="22"/>
          <w:szCs w:val="22"/>
          <w:u w:val="single"/>
        </w:rPr>
        <w:t>vese</w:t>
      </w:r>
      <w:r w:rsidRPr="00345BCE">
        <w:rPr>
          <w:i/>
          <w:color w:val="000000"/>
          <w:sz w:val="22"/>
          <w:szCs w:val="22"/>
          <w:u w:val="single"/>
        </w:rPr>
        <w:t>károsod</w:t>
      </w:r>
      <w:r w:rsidR="00803AAA">
        <w:rPr>
          <w:i/>
          <w:color w:val="000000"/>
          <w:sz w:val="22"/>
          <w:szCs w:val="22"/>
          <w:u w:val="single"/>
        </w:rPr>
        <w:t>ásban szenvedő gyermekeknél és serdülőknél</w:t>
      </w:r>
    </w:p>
    <w:p w14:paraId="7403AFAC" w14:textId="0B3B0562" w:rsidR="00001928" w:rsidRPr="00694832" w:rsidRDefault="00001928" w:rsidP="00666A5A">
      <w:pPr>
        <w:rPr>
          <w:color w:val="000000"/>
          <w:sz w:val="22"/>
          <w:szCs w:val="22"/>
        </w:rPr>
      </w:pPr>
      <w:r w:rsidRPr="00694832">
        <w:rPr>
          <w:color w:val="000000"/>
          <w:sz w:val="22"/>
          <w:szCs w:val="22"/>
        </w:rPr>
        <w:t xml:space="preserve">Alkalmazását azoknál a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>, akiknek a kreatitnin</w:t>
      </w:r>
      <w:r w:rsidRPr="00694832">
        <w:rPr>
          <w:color w:val="000000"/>
          <w:sz w:val="22"/>
          <w:szCs w:val="22"/>
        </w:rPr>
        <w:noBreakHyphen/>
        <w:t>clearance</w:t>
      </w:r>
      <w:r w:rsidRPr="00694832">
        <w:rPr>
          <w:color w:val="000000"/>
          <w:sz w:val="22"/>
          <w:szCs w:val="22"/>
        </w:rPr>
        <w:noBreakHyphen/>
        <w:t>e &lt;</w:t>
      </w:r>
      <w:r w:rsidR="006D4DB0" w:rsidRPr="00694832">
        <w:rPr>
          <w:color w:val="000000"/>
          <w:sz w:val="22"/>
          <w:szCs w:val="22"/>
        </w:rPr>
        <w:t> </w:t>
      </w:r>
      <w:r w:rsidRPr="00694832">
        <w:rPr>
          <w:color w:val="000000"/>
          <w:sz w:val="22"/>
          <w:szCs w:val="22"/>
        </w:rPr>
        <w:t xml:space="preserve">30 ml/perc, valamint a dialízis alatt álló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 xml:space="preserve"> nem vizsgálták, ezért a valzartán ezeknek a betegeknek nem javasolt. Nem szükséges a dózis módosítása azoknál a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>, akik kreatinin</w:t>
      </w:r>
      <w:r w:rsidRPr="00694832">
        <w:rPr>
          <w:color w:val="000000"/>
          <w:sz w:val="22"/>
          <w:szCs w:val="22"/>
        </w:rPr>
        <w:noBreakHyphen/>
        <w:t>clearance</w:t>
      </w:r>
      <w:r w:rsidRPr="00694832">
        <w:rPr>
          <w:color w:val="000000"/>
          <w:sz w:val="22"/>
          <w:szCs w:val="22"/>
        </w:rPr>
        <w:noBreakHyphen/>
        <w:t>e &gt;30 ml/perc. A vesefunkciót és a szérum káliumszint</w:t>
      </w:r>
      <w:r w:rsidR="00DD56E7">
        <w:rPr>
          <w:color w:val="000000"/>
          <w:sz w:val="22"/>
          <w:szCs w:val="22"/>
        </w:rPr>
        <w:t>jé</w:t>
      </w:r>
      <w:r w:rsidRPr="00694832">
        <w:rPr>
          <w:color w:val="000000"/>
          <w:sz w:val="22"/>
          <w:szCs w:val="22"/>
        </w:rPr>
        <w:t xml:space="preserve">t szorosan </w:t>
      </w:r>
      <w:r w:rsidR="00DD56E7">
        <w:rPr>
          <w:color w:val="000000"/>
          <w:sz w:val="22"/>
          <w:szCs w:val="22"/>
        </w:rPr>
        <w:lastRenderedPageBreak/>
        <w:t>monitorozni</w:t>
      </w:r>
      <w:r w:rsidR="00DD56E7" w:rsidRPr="00694832">
        <w:rPr>
          <w:color w:val="000000"/>
          <w:sz w:val="22"/>
          <w:szCs w:val="22"/>
        </w:rPr>
        <w:t xml:space="preserve"> </w:t>
      </w:r>
      <w:r w:rsidRPr="00694832">
        <w:rPr>
          <w:color w:val="000000"/>
          <w:sz w:val="22"/>
          <w:szCs w:val="22"/>
        </w:rPr>
        <w:t>kell (lásd 4.4 és 5.2 pont).</w:t>
      </w:r>
    </w:p>
    <w:p w14:paraId="4C774ED2" w14:textId="77777777" w:rsidR="00001928" w:rsidRPr="00345BCE" w:rsidRDefault="00001928" w:rsidP="00666A5A">
      <w:pPr>
        <w:rPr>
          <w:color w:val="000000"/>
          <w:sz w:val="22"/>
          <w:szCs w:val="22"/>
        </w:rPr>
      </w:pPr>
    </w:p>
    <w:p w14:paraId="1817B984" w14:textId="7086E4DB" w:rsidR="00001928" w:rsidRPr="00345BCE" w:rsidRDefault="00001928" w:rsidP="001902F4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 xml:space="preserve">Alkalmazása </w:t>
      </w:r>
      <w:r w:rsidR="00DD56E7" w:rsidRPr="003467C2">
        <w:rPr>
          <w:i/>
          <w:sz w:val="22"/>
          <w:szCs w:val="22"/>
          <w:u w:val="single"/>
        </w:rPr>
        <w:t>legalább 6 éves, de 18 évesnél fiatalabb életkor</w:t>
      </w:r>
      <w:r w:rsidR="00DD56E7">
        <w:rPr>
          <w:i/>
          <w:sz w:val="22"/>
          <w:szCs w:val="22"/>
          <w:u w:val="single"/>
        </w:rPr>
        <w:t xml:space="preserve">ú, </w:t>
      </w:r>
      <w:r w:rsidR="00E76BE7">
        <w:rPr>
          <w:i/>
          <w:color w:val="000000"/>
          <w:sz w:val="22"/>
          <w:szCs w:val="22"/>
          <w:u w:val="single"/>
        </w:rPr>
        <w:t>máj</w:t>
      </w:r>
      <w:r w:rsidRPr="00345BCE">
        <w:rPr>
          <w:i/>
          <w:color w:val="000000"/>
          <w:sz w:val="22"/>
          <w:szCs w:val="22"/>
          <w:u w:val="single"/>
        </w:rPr>
        <w:t>károsod</w:t>
      </w:r>
      <w:r w:rsidR="00E76BE7">
        <w:rPr>
          <w:i/>
          <w:color w:val="000000"/>
          <w:sz w:val="22"/>
          <w:szCs w:val="22"/>
          <w:u w:val="single"/>
        </w:rPr>
        <w:t>ásban szenvedő</w:t>
      </w:r>
      <w:r w:rsidRPr="00345BCE">
        <w:rPr>
          <w:i/>
          <w:color w:val="000000"/>
          <w:sz w:val="22"/>
          <w:szCs w:val="22"/>
          <w:u w:val="single"/>
        </w:rPr>
        <w:t xml:space="preserve"> </w:t>
      </w:r>
      <w:r w:rsidR="00E76BE7">
        <w:rPr>
          <w:i/>
          <w:color w:val="000000"/>
          <w:sz w:val="22"/>
          <w:szCs w:val="22"/>
          <w:u w:val="single"/>
        </w:rPr>
        <w:t>gyermekeknél és serdülőknél</w:t>
      </w:r>
    </w:p>
    <w:p w14:paraId="6134ADA8" w14:textId="0CB3A718" w:rsidR="00001928" w:rsidRPr="00345BCE" w:rsidRDefault="00001928" w:rsidP="001902F4">
      <w:pPr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felnőttekhez hasonlóan a s</w:t>
      </w:r>
      <w:r w:rsidRPr="00694832">
        <w:rPr>
          <w:color w:val="000000"/>
          <w:sz w:val="22"/>
          <w:szCs w:val="22"/>
        </w:rPr>
        <w:t xml:space="preserve">úlyos májkárosodásban, biliaris cirrhosisban, valamint cholestasisban szenvedő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 xml:space="preserve"> a </w:t>
      </w:r>
      <w:r w:rsidR="007E7681" w:rsidRPr="00694832">
        <w:rPr>
          <w:color w:val="000000"/>
          <w:sz w:val="22"/>
          <w:szCs w:val="22"/>
        </w:rPr>
        <w:t>Valsartan Sandoz</w:t>
      </w:r>
      <w:r w:rsidRPr="00694832">
        <w:rPr>
          <w:color w:val="000000"/>
          <w:sz w:val="22"/>
          <w:szCs w:val="22"/>
        </w:rPr>
        <w:t xml:space="preserve"> ellenjavallt (lásd 4.3, 4.4 és 5.2 pont)</w:t>
      </w:r>
      <w:r w:rsidRPr="00345BCE">
        <w:rPr>
          <w:color w:val="000000"/>
          <w:sz w:val="22"/>
          <w:szCs w:val="22"/>
        </w:rPr>
        <w:t xml:space="preserve">. Az </w:t>
      </w:r>
      <w:r w:rsidRPr="00694832">
        <w:rPr>
          <w:color w:val="000000"/>
          <w:sz w:val="22"/>
          <w:szCs w:val="22"/>
        </w:rPr>
        <w:t xml:space="preserve">enyhe vagy közepesen súlyos májkárosodásban szenvedő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 xml:space="preserve"> a </w:t>
      </w:r>
      <w:r w:rsidR="009533A2" w:rsidRPr="00694832">
        <w:rPr>
          <w:color w:val="000000"/>
          <w:sz w:val="22"/>
          <w:szCs w:val="22"/>
        </w:rPr>
        <w:t>valzartánnal</w:t>
      </w:r>
      <w:r w:rsidRPr="00694832">
        <w:rPr>
          <w:color w:val="000000"/>
          <w:sz w:val="22"/>
          <w:szCs w:val="22"/>
        </w:rPr>
        <w:t xml:space="preserve"> szerzett klinikai tapasztalat korlátozott. </w:t>
      </w:r>
      <w:r w:rsidRPr="00345BCE">
        <w:rPr>
          <w:color w:val="000000"/>
          <w:sz w:val="22"/>
          <w:szCs w:val="22"/>
        </w:rPr>
        <w:t>A valzartán dózisa ezeknél a betegeknél nem haladhatja meg a 80 mg</w:t>
      </w:r>
      <w:r w:rsidRPr="00345BCE">
        <w:rPr>
          <w:color w:val="000000"/>
          <w:sz w:val="22"/>
          <w:szCs w:val="22"/>
        </w:rPr>
        <w:noBreakHyphen/>
        <w:t>ot.</w:t>
      </w:r>
    </w:p>
    <w:p w14:paraId="3CF6E26B" w14:textId="77777777" w:rsidR="00001928" w:rsidRPr="00345BCE" w:rsidRDefault="00001928" w:rsidP="00B0458C">
      <w:pPr>
        <w:rPr>
          <w:color w:val="000000"/>
          <w:sz w:val="22"/>
          <w:szCs w:val="22"/>
        </w:rPr>
      </w:pPr>
    </w:p>
    <w:p w14:paraId="6658FB49" w14:textId="631DF758" w:rsidR="00001928" w:rsidRPr="00345BCE" w:rsidRDefault="00001928" w:rsidP="00C560EC">
      <w:pPr>
        <w:rPr>
          <w:bCs/>
          <w:i/>
          <w:iCs/>
          <w:color w:val="000000"/>
          <w:sz w:val="22"/>
          <w:szCs w:val="22"/>
          <w:u w:val="single"/>
        </w:rPr>
      </w:pPr>
      <w:r w:rsidRPr="00345BCE">
        <w:rPr>
          <w:bCs/>
          <w:i/>
          <w:iCs/>
          <w:color w:val="000000"/>
          <w:sz w:val="22"/>
          <w:szCs w:val="22"/>
          <w:u w:val="single"/>
        </w:rPr>
        <w:t xml:space="preserve">Szívelégtelenség és nemrégiben lezajlott myocardialis infarctus </w:t>
      </w:r>
      <w:r w:rsidR="004A25AD" w:rsidRPr="004A25AD">
        <w:rPr>
          <w:bCs/>
          <w:i/>
          <w:iCs/>
          <w:color w:val="000000"/>
          <w:sz w:val="22"/>
          <w:szCs w:val="22"/>
          <w:u w:val="single"/>
        </w:rPr>
        <w:t>gyermekeknél és serdülőknél</w:t>
      </w:r>
    </w:p>
    <w:p w14:paraId="7EAD063E" w14:textId="77777777" w:rsidR="00001928" w:rsidRPr="00345BCE" w:rsidRDefault="00001928" w:rsidP="00C560EC">
      <w:pPr>
        <w:rPr>
          <w:bCs/>
          <w:iCs/>
          <w:color w:val="000000"/>
          <w:sz w:val="22"/>
          <w:szCs w:val="22"/>
        </w:rPr>
      </w:pPr>
      <w:r w:rsidRPr="00345BCE">
        <w:rPr>
          <w:bCs/>
          <w:iCs/>
          <w:color w:val="000000"/>
          <w:sz w:val="22"/>
          <w:szCs w:val="22"/>
        </w:rPr>
        <w:t xml:space="preserve">A </w:t>
      </w:r>
      <w:r w:rsidR="00F847EA" w:rsidRPr="00345BCE">
        <w:rPr>
          <w:bCs/>
          <w:sz w:val="22"/>
          <w:szCs w:val="22"/>
        </w:rPr>
        <w:t>Valsartan Sandoz</w:t>
      </w:r>
      <w:r w:rsidR="00F847EA" w:rsidRPr="00345BCE">
        <w:rPr>
          <w:bCs/>
          <w:iCs/>
          <w:color w:val="000000"/>
          <w:sz w:val="22"/>
          <w:szCs w:val="22"/>
        </w:rPr>
        <w:t xml:space="preserve"> </w:t>
      </w:r>
      <w:r w:rsidRPr="00345BCE">
        <w:rPr>
          <w:bCs/>
          <w:iCs/>
          <w:color w:val="000000"/>
          <w:sz w:val="22"/>
          <w:szCs w:val="22"/>
        </w:rPr>
        <w:t>nem javasolt 18 év alatti gyermekek és serdülők számára szívelégtelenség vagy nemrégiben lezajlott myocardialis infarctus kezelésére</w:t>
      </w:r>
      <w:r w:rsidR="00630D4E">
        <w:rPr>
          <w:bCs/>
          <w:iCs/>
          <w:color w:val="000000"/>
          <w:sz w:val="22"/>
          <w:szCs w:val="22"/>
        </w:rPr>
        <w:t>,</w:t>
      </w:r>
      <w:r w:rsidRPr="00345BCE">
        <w:rPr>
          <w:bCs/>
          <w:iCs/>
          <w:color w:val="000000"/>
          <w:sz w:val="22"/>
          <w:szCs w:val="22"/>
        </w:rPr>
        <w:t xml:space="preserve"> a biztonságosságra és a hatásosságra vonatkozó adatok hiánya miatt.</w:t>
      </w:r>
    </w:p>
    <w:p w14:paraId="4ED579D9" w14:textId="77777777" w:rsidR="00001928" w:rsidRPr="00345BCE" w:rsidRDefault="00001928" w:rsidP="00C560EC">
      <w:pPr>
        <w:rPr>
          <w:bCs/>
          <w:color w:val="000000"/>
          <w:sz w:val="22"/>
          <w:szCs w:val="22"/>
        </w:rPr>
      </w:pPr>
    </w:p>
    <w:p w14:paraId="6EB06773" w14:textId="77777777" w:rsidR="00001928" w:rsidRPr="00345BCE" w:rsidRDefault="00001928" w:rsidP="00C560EC">
      <w:pPr>
        <w:rPr>
          <w:bCs/>
          <w:color w:val="000000"/>
          <w:sz w:val="22"/>
          <w:szCs w:val="22"/>
          <w:u w:val="single"/>
        </w:rPr>
      </w:pPr>
      <w:r w:rsidRPr="00345BCE">
        <w:rPr>
          <w:bCs/>
          <w:i/>
          <w:color w:val="000000"/>
          <w:sz w:val="22"/>
          <w:szCs w:val="22"/>
          <w:u w:val="single"/>
        </w:rPr>
        <w:t>Az alkalmazás módja</w:t>
      </w:r>
    </w:p>
    <w:p w14:paraId="007D9D05" w14:textId="77777777" w:rsidR="00001928" w:rsidRPr="00345BCE" w:rsidRDefault="00001928" w:rsidP="00C560EC">
      <w:pPr>
        <w:rPr>
          <w:bCs/>
          <w:sz w:val="22"/>
          <w:szCs w:val="22"/>
        </w:rPr>
      </w:pPr>
      <w:r w:rsidRPr="00345BCE">
        <w:rPr>
          <w:bCs/>
          <w:sz w:val="22"/>
          <w:szCs w:val="22"/>
        </w:rPr>
        <w:t xml:space="preserve">A </w:t>
      </w:r>
      <w:r w:rsidR="00F847EA" w:rsidRPr="00345BCE">
        <w:rPr>
          <w:bCs/>
          <w:sz w:val="22"/>
          <w:szCs w:val="22"/>
        </w:rPr>
        <w:t>Valsartan Sandoz</w:t>
      </w:r>
      <w:r w:rsidRPr="00345BCE">
        <w:rPr>
          <w:bCs/>
          <w:sz w:val="22"/>
          <w:szCs w:val="22"/>
        </w:rPr>
        <w:t xml:space="preserve"> bevehető étkezéstől függetlenül, és vízzel kell bevenni.</w:t>
      </w:r>
    </w:p>
    <w:p w14:paraId="6DFD6E34" w14:textId="77777777" w:rsidR="004E703F" w:rsidRPr="00345BCE" w:rsidRDefault="004E703F" w:rsidP="00C560EC">
      <w:pPr>
        <w:tabs>
          <w:tab w:val="left" w:pos="567"/>
        </w:tabs>
        <w:rPr>
          <w:b/>
          <w:sz w:val="22"/>
          <w:szCs w:val="22"/>
        </w:rPr>
      </w:pPr>
    </w:p>
    <w:p w14:paraId="2E79B33C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4.3</w:t>
      </w:r>
      <w:r w:rsidRPr="00345BCE">
        <w:rPr>
          <w:b/>
          <w:sz w:val="22"/>
          <w:szCs w:val="22"/>
        </w:rPr>
        <w:tab/>
        <w:t>Ellenjavallatok</w:t>
      </w:r>
    </w:p>
    <w:p w14:paraId="0DDDCADC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10BC0708" w14:textId="77777777" w:rsidR="000A7E88" w:rsidRPr="00345BCE" w:rsidRDefault="000A7E88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 xml:space="preserve">A készítmény </w:t>
      </w:r>
      <w:r w:rsidR="0015303D" w:rsidRPr="00345BCE">
        <w:rPr>
          <w:sz w:val="22"/>
          <w:szCs w:val="22"/>
        </w:rPr>
        <w:t xml:space="preserve">hatóanyagával vagy </w:t>
      </w:r>
      <w:r w:rsidR="00924020">
        <w:rPr>
          <w:sz w:val="22"/>
          <w:szCs w:val="22"/>
        </w:rPr>
        <w:t xml:space="preserve">a 6.1 pontban felsorolt </w:t>
      </w:r>
      <w:r w:rsidRPr="00345BCE">
        <w:rPr>
          <w:sz w:val="22"/>
          <w:szCs w:val="22"/>
        </w:rPr>
        <w:t xml:space="preserve">bármely </w:t>
      </w:r>
      <w:r w:rsidR="0015303D" w:rsidRPr="00345BCE">
        <w:rPr>
          <w:sz w:val="22"/>
          <w:szCs w:val="22"/>
        </w:rPr>
        <w:t xml:space="preserve">segédanyagával </w:t>
      </w:r>
      <w:r w:rsidRPr="00345BCE">
        <w:rPr>
          <w:sz w:val="22"/>
          <w:szCs w:val="22"/>
        </w:rPr>
        <w:t>szembeni túlérzékenység.</w:t>
      </w:r>
    </w:p>
    <w:p w14:paraId="18667EB9" w14:textId="77777777" w:rsidR="00C75B34" w:rsidRPr="00345BCE" w:rsidRDefault="00C75B34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>Súlyos májkárosodás, továbbá biliaris cirrhosis és cholestasis.</w:t>
      </w:r>
    </w:p>
    <w:p w14:paraId="2F183741" w14:textId="77777777" w:rsidR="000A7E88" w:rsidRDefault="00C75B34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>A t</w:t>
      </w:r>
      <w:r w:rsidR="000A7E88" w:rsidRPr="00345BCE">
        <w:rPr>
          <w:sz w:val="22"/>
          <w:szCs w:val="22"/>
        </w:rPr>
        <w:t xml:space="preserve">erhesség </w:t>
      </w:r>
      <w:r w:rsidRPr="00D91645">
        <w:rPr>
          <w:sz w:val="22"/>
          <w:szCs w:val="22"/>
        </w:rPr>
        <w:t>második és harmadik tri</w:t>
      </w:r>
      <w:r w:rsidRPr="00706E72">
        <w:rPr>
          <w:sz w:val="22"/>
          <w:szCs w:val="22"/>
        </w:rPr>
        <w:t xml:space="preserve">mesztere </w:t>
      </w:r>
      <w:r w:rsidR="000A7E88" w:rsidRPr="00706E72">
        <w:rPr>
          <w:sz w:val="22"/>
          <w:szCs w:val="22"/>
        </w:rPr>
        <w:t xml:space="preserve">(lásd </w:t>
      </w:r>
      <w:r w:rsidRPr="00706E72">
        <w:rPr>
          <w:sz w:val="22"/>
          <w:szCs w:val="22"/>
        </w:rPr>
        <w:t xml:space="preserve">4.4 és </w:t>
      </w:r>
      <w:r w:rsidR="000A7E88" w:rsidRPr="00D23D88">
        <w:rPr>
          <w:sz w:val="22"/>
          <w:szCs w:val="22"/>
        </w:rPr>
        <w:t>4.6</w:t>
      </w:r>
      <w:r w:rsidRPr="00D23D88">
        <w:rPr>
          <w:sz w:val="22"/>
          <w:szCs w:val="22"/>
        </w:rPr>
        <w:t> pont</w:t>
      </w:r>
      <w:r w:rsidR="000A7E88" w:rsidRPr="00D23D88">
        <w:rPr>
          <w:sz w:val="22"/>
          <w:szCs w:val="22"/>
        </w:rPr>
        <w:t>).</w:t>
      </w:r>
    </w:p>
    <w:p w14:paraId="4F0C8D5B" w14:textId="77777777" w:rsidR="001F39B9" w:rsidRPr="001F39B9" w:rsidRDefault="001F39B9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934BB1">
        <w:rPr>
          <w:sz w:val="22"/>
          <w:szCs w:val="22"/>
        </w:rPr>
        <w:t>A</w:t>
      </w:r>
      <w:r w:rsidRPr="00080734">
        <w:rPr>
          <w:sz w:val="22"/>
          <w:szCs w:val="22"/>
        </w:rPr>
        <w:t xml:space="preserve"> </w:t>
      </w:r>
      <w:r w:rsidR="007746EF" w:rsidRPr="00080734">
        <w:rPr>
          <w:sz w:val="22"/>
          <w:szCs w:val="22"/>
        </w:rPr>
        <w:t xml:space="preserve">Valsartan Sandoz </w:t>
      </w:r>
      <w:r w:rsidR="007746EF" w:rsidRPr="006E4511">
        <w:rPr>
          <w:sz w:val="22"/>
          <w:szCs w:val="22"/>
        </w:rPr>
        <w:t xml:space="preserve">egyidejű alkalmazása </w:t>
      </w:r>
      <w:r w:rsidRPr="006E4511">
        <w:rPr>
          <w:sz w:val="22"/>
          <w:szCs w:val="22"/>
        </w:rPr>
        <w:t>aliszkir</w:t>
      </w:r>
      <w:r w:rsidR="00630D4E">
        <w:rPr>
          <w:sz w:val="22"/>
          <w:szCs w:val="22"/>
        </w:rPr>
        <w:t>é</w:t>
      </w:r>
      <w:r w:rsidRPr="006E4511">
        <w:rPr>
          <w:sz w:val="22"/>
          <w:szCs w:val="22"/>
        </w:rPr>
        <w:t>n</w:t>
      </w:r>
      <w:r w:rsidR="008B765F">
        <w:rPr>
          <w:sz w:val="22"/>
          <w:szCs w:val="22"/>
        </w:rPr>
        <w:t>-</w:t>
      </w:r>
      <w:r w:rsidR="008F7E57" w:rsidRPr="006E4511">
        <w:rPr>
          <w:sz w:val="22"/>
          <w:szCs w:val="22"/>
        </w:rPr>
        <w:t>tartalmú készítményekkel</w:t>
      </w:r>
      <w:r w:rsidRPr="006E4511">
        <w:rPr>
          <w:sz w:val="22"/>
          <w:szCs w:val="22"/>
        </w:rPr>
        <w:t xml:space="preserve"> </w:t>
      </w:r>
      <w:r w:rsidR="007F408B" w:rsidRPr="009F7C7F">
        <w:rPr>
          <w:sz w:val="22"/>
          <w:szCs w:val="22"/>
        </w:rPr>
        <w:t xml:space="preserve">ellenjavallt </w:t>
      </w:r>
      <w:r w:rsidRPr="00EA799B">
        <w:rPr>
          <w:sz w:val="22"/>
          <w:szCs w:val="22"/>
        </w:rPr>
        <w:t>diabetes mellitus</w:t>
      </w:r>
      <w:r w:rsidRPr="0007553A">
        <w:rPr>
          <w:sz w:val="22"/>
          <w:szCs w:val="22"/>
        </w:rPr>
        <w:t>ban szenvedő</w:t>
      </w:r>
      <w:r w:rsidR="00630D4E">
        <w:rPr>
          <w:sz w:val="22"/>
          <w:szCs w:val="22"/>
        </w:rPr>
        <w:t>,</w:t>
      </w:r>
      <w:r w:rsidRPr="0007553A">
        <w:rPr>
          <w:sz w:val="22"/>
          <w:szCs w:val="22"/>
        </w:rPr>
        <w:t xml:space="preserve"> </w:t>
      </w:r>
      <w:r w:rsidRPr="0025785A">
        <w:rPr>
          <w:sz w:val="22"/>
          <w:szCs w:val="22"/>
        </w:rPr>
        <w:t xml:space="preserve">vagy </w:t>
      </w:r>
      <w:r w:rsidR="00355A5E" w:rsidRPr="007B273E">
        <w:rPr>
          <w:sz w:val="22"/>
          <w:szCs w:val="22"/>
        </w:rPr>
        <w:t>károsod</w:t>
      </w:r>
      <w:r w:rsidR="007F408B" w:rsidRPr="0095063C">
        <w:rPr>
          <w:sz w:val="22"/>
          <w:szCs w:val="22"/>
        </w:rPr>
        <w:t>ott</w:t>
      </w:r>
      <w:r w:rsidR="00355A5E" w:rsidRPr="0095063C">
        <w:rPr>
          <w:sz w:val="22"/>
          <w:szCs w:val="22"/>
        </w:rPr>
        <w:t xml:space="preserve"> </w:t>
      </w:r>
      <w:r w:rsidR="007F408B" w:rsidRPr="0095063C">
        <w:rPr>
          <w:sz w:val="22"/>
          <w:szCs w:val="22"/>
        </w:rPr>
        <w:t>veseműködésű</w:t>
      </w:r>
      <w:r w:rsidR="00355A5E" w:rsidRPr="00E04EDD">
        <w:rPr>
          <w:sz w:val="22"/>
          <w:szCs w:val="22"/>
        </w:rPr>
        <w:t xml:space="preserve"> </w:t>
      </w:r>
      <w:r w:rsidRPr="00F66E13">
        <w:rPr>
          <w:sz w:val="22"/>
          <w:szCs w:val="22"/>
        </w:rPr>
        <w:t>betegeknél</w:t>
      </w:r>
      <w:r w:rsidRPr="001F39B9">
        <w:rPr>
          <w:sz w:val="22"/>
          <w:szCs w:val="22"/>
        </w:rPr>
        <w:t xml:space="preserve"> (GFR</w:t>
      </w:r>
      <w:r w:rsidR="00355A5E">
        <w:rPr>
          <w:sz w:val="22"/>
          <w:szCs w:val="22"/>
        </w:rPr>
        <w:t> </w:t>
      </w:r>
      <w:r w:rsidRPr="001F39B9">
        <w:rPr>
          <w:sz w:val="22"/>
          <w:szCs w:val="22"/>
        </w:rPr>
        <w:t>&lt;</w:t>
      </w:r>
      <w:r w:rsidR="00630D4E">
        <w:rPr>
          <w:sz w:val="22"/>
          <w:szCs w:val="22"/>
        </w:rPr>
        <w:t> </w:t>
      </w:r>
      <w:r w:rsidRPr="001F39B9">
        <w:rPr>
          <w:sz w:val="22"/>
          <w:szCs w:val="22"/>
        </w:rPr>
        <w:t>60ml/perc/1,73m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(lásd 4.</w:t>
      </w:r>
      <w:r w:rsidR="007F408B">
        <w:rPr>
          <w:sz w:val="22"/>
          <w:szCs w:val="22"/>
        </w:rPr>
        <w:t xml:space="preserve">5 </w:t>
      </w:r>
      <w:r>
        <w:rPr>
          <w:sz w:val="22"/>
          <w:szCs w:val="22"/>
        </w:rPr>
        <w:t>és 5</w:t>
      </w:r>
      <w:r w:rsidR="007F408B">
        <w:rPr>
          <w:sz w:val="22"/>
          <w:szCs w:val="22"/>
        </w:rPr>
        <w:t>.1</w:t>
      </w:r>
      <w:r>
        <w:rPr>
          <w:sz w:val="22"/>
          <w:szCs w:val="22"/>
        </w:rPr>
        <w:t> </w:t>
      </w:r>
      <w:r w:rsidRPr="001F39B9">
        <w:rPr>
          <w:sz w:val="22"/>
          <w:szCs w:val="22"/>
        </w:rPr>
        <w:t>pont).</w:t>
      </w:r>
    </w:p>
    <w:p w14:paraId="2F97C69C" w14:textId="77777777" w:rsidR="001C285A" w:rsidRPr="00345BCE" w:rsidRDefault="001C285A" w:rsidP="00C560EC">
      <w:pPr>
        <w:tabs>
          <w:tab w:val="left" w:pos="567"/>
          <w:tab w:val="left" w:pos="707"/>
        </w:tabs>
        <w:rPr>
          <w:b/>
          <w:sz w:val="22"/>
          <w:szCs w:val="22"/>
        </w:rPr>
      </w:pPr>
    </w:p>
    <w:p w14:paraId="6CAB0D62" w14:textId="77777777" w:rsidR="000A7E88" w:rsidRPr="00345BCE" w:rsidRDefault="000A7E88" w:rsidP="00C560EC">
      <w:pPr>
        <w:tabs>
          <w:tab w:val="left" w:pos="567"/>
          <w:tab w:val="left" w:pos="1274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4.4</w:t>
      </w:r>
      <w:r w:rsidRPr="00345BCE">
        <w:rPr>
          <w:b/>
          <w:sz w:val="22"/>
          <w:szCs w:val="22"/>
        </w:rPr>
        <w:tab/>
        <w:t>Különleges figyelmeztetések és az alkalmazással kapcsolatos óvintézkedések</w:t>
      </w:r>
    </w:p>
    <w:p w14:paraId="792D6A13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E4B564F" w14:textId="77777777" w:rsidR="00C75B34" w:rsidRPr="00345BCE" w:rsidRDefault="003416C4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H</w:t>
      </w:r>
      <w:r w:rsidR="00F9007A">
        <w:rPr>
          <w:sz w:val="22"/>
          <w:szCs w:val="22"/>
          <w:u w:val="single"/>
        </w:rPr>
        <w:t>y</w:t>
      </w:r>
      <w:r w:rsidRPr="00345BCE">
        <w:rPr>
          <w:sz w:val="22"/>
          <w:szCs w:val="22"/>
          <w:u w:val="single"/>
        </w:rPr>
        <w:t>perkal</w:t>
      </w:r>
      <w:r w:rsidR="00F9007A">
        <w:rPr>
          <w:sz w:val="22"/>
          <w:szCs w:val="22"/>
          <w:u w:val="single"/>
        </w:rPr>
        <w:t>a</w:t>
      </w:r>
      <w:r w:rsidR="00F64D46">
        <w:rPr>
          <w:sz w:val="22"/>
          <w:szCs w:val="22"/>
          <w:u w:val="single"/>
        </w:rPr>
        <w:t>e</w:t>
      </w:r>
      <w:r w:rsidRPr="00345BCE">
        <w:rPr>
          <w:sz w:val="22"/>
          <w:szCs w:val="22"/>
          <w:u w:val="single"/>
        </w:rPr>
        <w:t>mia</w:t>
      </w:r>
    </w:p>
    <w:p w14:paraId="0B3AF4D6" w14:textId="77777777" w:rsidR="00C75B34" w:rsidRPr="00345BCE" w:rsidRDefault="00C75B3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Egyidejű adása káliumpótló készítményekkel, káliummegtakarító diuretikumokkal, káliumtartalmú sópótlókkal vagy egyéb</w:t>
      </w:r>
      <w:r w:rsidR="00580B60" w:rsidRPr="00345BCE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a káliumszintet </w:t>
      </w:r>
      <w:r w:rsidR="00580B60" w:rsidRPr="00345BCE">
        <w:rPr>
          <w:sz w:val="22"/>
          <w:szCs w:val="22"/>
        </w:rPr>
        <w:t xml:space="preserve">növelő szerekkel </w:t>
      </w:r>
      <w:r w:rsidRPr="00345BCE">
        <w:rPr>
          <w:sz w:val="22"/>
          <w:szCs w:val="22"/>
        </w:rPr>
        <w:t>(heparin, stb.) nem ajánlott. Az esettől függően a káliumszintet monitorozni kell.</w:t>
      </w:r>
    </w:p>
    <w:p w14:paraId="6FCF6AF0" w14:textId="77777777" w:rsidR="00DC2186" w:rsidRPr="00345BCE" w:rsidRDefault="00DC2186" w:rsidP="00C560EC">
      <w:pPr>
        <w:pStyle w:val="Cmsor1"/>
        <w:numPr>
          <w:ilvl w:val="0"/>
          <w:numId w:val="0"/>
        </w:numPr>
        <w:tabs>
          <w:tab w:val="left" w:pos="567"/>
        </w:tabs>
        <w:rPr>
          <w:b/>
          <w:sz w:val="22"/>
          <w:szCs w:val="22"/>
        </w:rPr>
      </w:pPr>
    </w:p>
    <w:p w14:paraId="0346780C" w14:textId="77777777" w:rsidR="00DC2186" w:rsidRPr="00345BCE" w:rsidRDefault="00DC2186" w:rsidP="00C560EC">
      <w:pPr>
        <w:widowControl/>
        <w:numPr>
          <w:ilvl w:val="0"/>
          <w:numId w:val="10"/>
        </w:numPr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Vesekárosodás</w:t>
      </w:r>
    </w:p>
    <w:p w14:paraId="41780567" w14:textId="77777777" w:rsidR="00DC2186" w:rsidRPr="00345BCE" w:rsidRDefault="00DC2186" w:rsidP="00C560EC">
      <w:pPr>
        <w:widowControl/>
        <w:numPr>
          <w:ilvl w:val="0"/>
          <w:numId w:val="10"/>
        </w:numPr>
        <w:suppressAutoHyphens w:val="0"/>
        <w:rPr>
          <w:sz w:val="22"/>
          <w:szCs w:val="22"/>
        </w:rPr>
      </w:pPr>
      <w:r w:rsidRPr="00345BCE">
        <w:rPr>
          <w:sz w:val="22"/>
          <w:szCs w:val="22"/>
        </w:rPr>
        <w:t xml:space="preserve">Azoknál a </w:t>
      </w:r>
      <w:r w:rsidRPr="00345BCE">
        <w:rPr>
          <w:color w:val="000000"/>
          <w:sz w:val="22"/>
          <w:szCs w:val="22"/>
          <w:lang w:bidi="th-TH"/>
        </w:rPr>
        <w:t>betegeknél, akiknek a kreatitnin</w:t>
      </w:r>
      <w:r w:rsidRPr="00345BCE">
        <w:rPr>
          <w:color w:val="000000"/>
          <w:sz w:val="22"/>
          <w:szCs w:val="22"/>
          <w:lang w:bidi="th-TH"/>
        </w:rPr>
        <w:noBreakHyphen/>
        <w:t>clearance</w:t>
      </w:r>
      <w:r w:rsidRPr="00345BCE">
        <w:rPr>
          <w:color w:val="000000"/>
          <w:sz w:val="22"/>
          <w:szCs w:val="22"/>
          <w:lang w:bidi="th-TH"/>
        </w:rPr>
        <w:noBreakHyphen/>
        <w:t>e &lt;</w:t>
      </w:r>
      <w:r w:rsidR="00630D4E">
        <w:rPr>
          <w:color w:val="000000"/>
          <w:sz w:val="22"/>
          <w:szCs w:val="22"/>
          <w:lang w:bidi="th-TH"/>
        </w:rPr>
        <w:t> </w:t>
      </w:r>
      <w:r w:rsidRPr="00345BCE">
        <w:rPr>
          <w:color w:val="000000"/>
          <w:sz w:val="22"/>
          <w:szCs w:val="22"/>
          <w:lang w:bidi="th-TH"/>
        </w:rPr>
        <w:t xml:space="preserve">10 ml/perc, valamint a dialízis alatt alló betegeknél </w:t>
      </w:r>
      <w:r w:rsidRPr="00345BCE">
        <w:rPr>
          <w:sz w:val="22"/>
          <w:szCs w:val="22"/>
        </w:rPr>
        <w:t>jelenleg nincs a biztonságos alkalmazásra vonatkozó tapasztalat, ezért a valzartánt ezeknél a betegeknél óvatosan kell alkalmazni.</w:t>
      </w:r>
      <w:r w:rsidRPr="00345BCE">
        <w:rPr>
          <w:bCs/>
          <w:sz w:val="22"/>
          <w:szCs w:val="22"/>
        </w:rPr>
        <w:t xml:space="preserve"> Nem szükséges a dózis módosítása azoknál a felnőtt betegeknél, akik</w:t>
      </w:r>
      <w:r w:rsidR="00BE2C56">
        <w:rPr>
          <w:bCs/>
          <w:sz w:val="22"/>
          <w:szCs w:val="22"/>
        </w:rPr>
        <w:t xml:space="preserve">nek a </w:t>
      </w:r>
      <w:r w:rsidRPr="00345BCE">
        <w:rPr>
          <w:bCs/>
          <w:sz w:val="22"/>
          <w:szCs w:val="22"/>
        </w:rPr>
        <w:t xml:space="preserve"> kreatinin</w:t>
      </w:r>
      <w:r w:rsidRPr="00345BCE">
        <w:rPr>
          <w:bCs/>
          <w:sz w:val="22"/>
          <w:szCs w:val="22"/>
        </w:rPr>
        <w:noBreakHyphen/>
        <w:t>clearance</w:t>
      </w:r>
      <w:r w:rsidRPr="00345BCE">
        <w:rPr>
          <w:bCs/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630D4E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(lásd 4.2 és 5.2 pont).</w:t>
      </w:r>
    </w:p>
    <w:p w14:paraId="34741E3B" w14:textId="77777777" w:rsidR="0051702A" w:rsidRPr="001F39B9" w:rsidRDefault="0051702A" w:rsidP="00C560EC">
      <w:pPr>
        <w:numPr>
          <w:ilvl w:val="0"/>
          <w:numId w:val="10"/>
        </w:numPr>
        <w:tabs>
          <w:tab w:val="left" w:pos="567"/>
          <w:tab w:val="left" w:pos="2122"/>
        </w:tabs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630D4E">
        <w:rPr>
          <w:sz w:val="22"/>
          <w:szCs w:val="22"/>
        </w:rPr>
        <w:t>é</w:t>
      </w:r>
      <w:r>
        <w:rPr>
          <w:sz w:val="22"/>
          <w:szCs w:val="22"/>
        </w:rPr>
        <w:t>n ARB-kel (</w:t>
      </w:r>
      <w:r w:rsidR="000A5BD1">
        <w:rPr>
          <w:sz w:val="22"/>
          <w:szCs w:val="22"/>
        </w:rPr>
        <w:t>beleértve a valzartánt</w:t>
      </w:r>
      <w:r>
        <w:rPr>
          <w:sz w:val="22"/>
          <w:szCs w:val="22"/>
        </w:rPr>
        <w:t xml:space="preserve">) vagy 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-</w:t>
      </w:r>
      <w:r w:rsidRPr="001F39B9">
        <w:rPr>
          <w:sz w:val="22"/>
          <w:szCs w:val="22"/>
        </w:rPr>
        <w:t xml:space="preserve">gátlókkal történő egyidejű </w:t>
      </w:r>
      <w:r>
        <w:rPr>
          <w:sz w:val="22"/>
          <w:szCs w:val="22"/>
        </w:rPr>
        <w:t xml:space="preserve">alkalmazása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630D4E">
        <w:rPr>
          <w:sz w:val="22"/>
          <w:szCs w:val="22"/>
        </w:rPr>
        <w:t> </w:t>
      </w:r>
      <w:r w:rsidRPr="001F39B9">
        <w:rPr>
          <w:sz w:val="22"/>
          <w:szCs w:val="22"/>
        </w:rPr>
        <w:t>60ml/perc/1,73m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 és 4.5 </w:t>
      </w:r>
      <w:r w:rsidRPr="001F39B9">
        <w:rPr>
          <w:sz w:val="22"/>
          <w:szCs w:val="22"/>
        </w:rPr>
        <w:t>pont).</w:t>
      </w:r>
    </w:p>
    <w:p w14:paraId="65B897CC" w14:textId="77777777" w:rsidR="00DC2186" w:rsidRPr="00345BCE" w:rsidRDefault="00DC2186" w:rsidP="00C560EC">
      <w:pPr>
        <w:tabs>
          <w:tab w:val="left" w:pos="567"/>
        </w:tabs>
        <w:rPr>
          <w:sz w:val="22"/>
          <w:szCs w:val="22"/>
        </w:rPr>
      </w:pPr>
    </w:p>
    <w:p w14:paraId="75A44931" w14:textId="77777777" w:rsidR="00EF46BA" w:rsidRPr="00345BCE" w:rsidRDefault="00EF46BA" w:rsidP="00C560EC">
      <w:pPr>
        <w:widowControl/>
        <w:numPr>
          <w:ilvl w:val="0"/>
          <w:numId w:val="10"/>
        </w:numPr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Májkárosodás</w:t>
      </w:r>
    </w:p>
    <w:p w14:paraId="3A98E612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</w:rPr>
      </w:pPr>
      <w:r w:rsidRPr="00345BCE">
        <w:rPr>
          <w:color w:val="000000"/>
          <w:sz w:val="22"/>
          <w:szCs w:val="22"/>
        </w:rPr>
        <w:t xml:space="preserve">A cholestasissal nem járó, </w:t>
      </w:r>
      <w:r w:rsidRPr="00345BCE">
        <w:rPr>
          <w:bCs/>
          <w:sz w:val="22"/>
          <w:szCs w:val="22"/>
        </w:rPr>
        <w:t>enyhe vagy közepesen súlyos májkárosodásban szenvedő betegeknél</w:t>
      </w:r>
      <w:r w:rsidRPr="00345BCE">
        <w:rPr>
          <w:sz w:val="22"/>
          <w:szCs w:val="22"/>
        </w:rPr>
        <w:t xml:space="preserve"> a Valsartan Sandozt óvatosan kell alkalmazni (lásd 4.2 és 5.2 pont).</w:t>
      </w:r>
    </w:p>
    <w:p w14:paraId="16BF1164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</w:p>
    <w:p w14:paraId="3B0ADC6E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Nátrium- és/vagy volumenhiányos betegek</w:t>
      </w:r>
    </w:p>
    <w:p w14:paraId="2AB73D28" w14:textId="77777777" w:rsidR="00EF46BA" w:rsidRPr="00345BCE" w:rsidRDefault="00EF46BA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Súlyos nátrium- és/vagy volumenhiányos (pl. nagy dózisú diuretikus kezelésben részesülő) betegekben ritkán szimptómás </w:t>
      </w:r>
      <w:r w:rsidR="002321C3">
        <w:rPr>
          <w:sz w:val="22"/>
          <w:szCs w:val="22"/>
        </w:rPr>
        <w:t>hypotonia</w:t>
      </w:r>
      <w:r w:rsidRPr="00345BCE">
        <w:rPr>
          <w:sz w:val="22"/>
          <w:szCs w:val="22"/>
        </w:rPr>
        <w:t xml:space="preserve"> fordulhat elő a </w:t>
      </w:r>
      <w:r w:rsidR="002964C0">
        <w:rPr>
          <w:sz w:val="22"/>
          <w:szCs w:val="22"/>
        </w:rPr>
        <w:t>v</w:t>
      </w:r>
      <w:r w:rsidRPr="00345BCE">
        <w:rPr>
          <w:sz w:val="22"/>
          <w:szCs w:val="22"/>
        </w:rPr>
        <w:t>al</w:t>
      </w:r>
      <w:r w:rsidR="0084535E">
        <w:rPr>
          <w:sz w:val="22"/>
          <w:szCs w:val="22"/>
        </w:rPr>
        <w:t>z</w:t>
      </w:r>
      <w:r w:rsidRPr="00345BCE">
        <w:rPr>
          <w:sz w:val="22"/>
          <w:szCs w:val="22"/>
        </w:rPr>
        <w:t>art</w:t>
      </w:r>
      <w:r w:rsidR="0084535E">
        <w:rPr>
          <w:sz w:val="22"/>
          <w:szCs w:val="22"/>
        </w:rPr>
        <w:t>á</w:t>
      </w:r>
      <w:r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noBreakHyphen/>
        <w:t xml:space="preserve">kezelés megkezdésekor. A nátrium- és/vagy volumenhiányt a </w:t>
      </w:r>
      <w:r w:rsidR="00542311">
        <w:rPr>
          <w:sz w:val="22"/>
          <w:szCs w:val="22"/>
        </w:rPr>
        <w:t>valzartán</w:t>
      </w:r>
      <w:r w:rsidR="00630D4E">
        <w:rPr>
          <w:sz w:val="22"/>
          <w:szCs w:val="22"/>
        </w:rPr>
        <w:t>-</w:t>
      </w:r>
      <w:r w:rsidRPr="00345BCE">
        <w:rPr>
          <w:sz w:val="22"/>
          <w:szCs w:val="22"/>
        </w:rPr>
        <w:t>kezelés megkezdése előtt rendezni kell, pl. a diuretikum dózisának csökkentésével.</w:t>
      </w:r>
    </w:p>
    <w:p w14:paraId="52B1EF29" w14:textId="77777777" w:rsidR="000A7E88" w:rsidRPr="00345BCE" w:rsidRDefault="000A7E88" w:rsidP="00C560EC">
      <w:pPr>
        <w:tabs>
          <w:tab w:val="left" w:pos="567"/>
        </w:tabs>
        <w:rPr>
          <w:b/>
          <w:i/>
          <w:sz w:val="22"/>
          <w:szCs w:val="22"/>
        </w:rPr>
      </w:pPr>
    </w:p>
    <w:p w14:paraId="0F30EA9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Art</w:t>
      </w:r>
      <w:r w:rsidR="007B1252">
        <w:rPr>
          <w:sz w:val="22"/>
          <w:szCs w:val="22"/>
          <w:u w:val="single"/>
        </w:rPr>
        <w:t>e</w:t>
      </w:r>
      <w:r w:rsidRPr="00345BCE">
        <w:rPr>
          <w:sz w:val="22"/>
          <w:szCs w:val="22"/>
          <w:u w:val="single"/>
        </w:rPr>
        <w:t>ria ren</w:t>
      </w:r>
      <w:r w:rsidR="007B1252">
        <w:rPr>
          <w:sz w:val="22"/>
          <w:szCs w:val="22"/>
          <w:u w:val="single"/>
        </w:rPr>
        <w:t>a</w:t>
      </w:r>
      <w:r w:rsidRPr="00345BCE">
        <w:rPr>
          <w:sz w:val="22"/>
          <w:szCs w:val="22"/>
          <w:u w:val="single"/>
        </w:rPr>
        <w:t>lis sten</w:t>
      </w:r>
      <w:r w:rsidR="007B1252">
        <w:rPr>
          <w:sz w:val="22"/>
          <w:szCs w:val="22"/>
          <w:u w:val="single"/>
        </w:rPr>
        <w:t>osis</w:t>
      </w:r>
    </w:p>
    <w:p w14:paraId="62A54008" w14:textId="77777777" w:rsidR="00AF4F04" w:rsidRPr="00345BCE" w:rsidRDefault="00AF4F0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Kétoldali art</w:t>
      </w:r>
      <w:r w:rsidR="007B1252">
        <w:rPr>
          <w:sz w:val="22"/>
          <w:szCs w:val="22"/>
        </w:rPr>
        <w:t>e</w:t>
      </w:r>
      <w:r w:rsidRPr="00D91645">
        <w:rPr>
          <w:sz w:val="22"/>
          <w:szCs w:val="22"/>
        </w:rPr>
        <w:t>ria</w:t>
      </w:r>
      <w:r w:rsidRPr="00706E72">
        <w:rPr>
          <w:sz w:val="22"/>
          <w:szCs w:val="22"/>
        </w:rPr>
        <w:t xml:space="preserve"> ren</w:t>
      </w:r>
      <w:r w:rsidR="007B1252">
        <w:rPr>
          <w:sz w:val="22"/>
          <w:szCs w:val="22"/>
        </w:rPr>
        <w:t>alis</w:t>
      </w:r>
      <w:r w:rsidRPr="00706E72">
        <w:rPr>
          <w:sz w:val="22"/>
          <w:szCs w:val="22"/>
        </w:rPr>
        <w:t xml:space="preserve"> s</w:t>
      </w:r>
      <w:r w:rsidRPr="00D23D88">
        <w:rPr>
          <w:sz w:val="22"/>
          <w:szCs w:val="22"/>
        </w:rPr>
        <w:t>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ban vagy </w:t>
      </w:r>
      <w:r w:rsidR="00580B60" w:rsidRPr="00345BCE">
        <w:rPr>
          <w:sz w:val="22"/>
          <w:szCs w:val="22"/>
        </w:rPr>
        <w:t xml:space="preserve">szoliter veséjű, </w:t>
      </w:r>
      <w:r w:rsidRPr="00345BCE">
        <w:rPr>
          <w:sz w:val="22"/>
          <w:szCs w:val="22"/>
        </w:rPr>
        <w:t>egyoldali sten</w:t>
      </w:r>
      <w:r w:rsidR="007B1252">
        <w:rPr>
          <w:sz w:val="22"/>
          <w:szCs w:val="22"/>
        </w:rPr>
        <w:t>osisb</w:t>
      </w:r>
      <w:r w:rsidRPr="00345BCE">
        <w:rPr>
          <w:sz w:val="22"/>
          <w:szCs w:val="22"/>
        </w:rPr>
        <w:t xml:space="preserve">an szenvedő betegeknél nem igazolták a </w:t>
      </w:r>
      <w:r w:rsidR="00580B60" w:rsidRPr="00345BCE">
        <w:rPr>
          <w:sz w:val="22"/>
          <w:szCs w:val="22"/>
        </w:rPr>
        <w:t>Valsartan Sandoz</w:t>
      </w:r>
      <w:r w:rsidRPr="00345BCE">
        <w:rPr>
          <w:sz w:val="22"/>
          <w:szCs w:val="22"/>
        </w:rPr>
        <w:t xml:space="preserve"> biztonságos használatát.</w:t>
      </w:r>
    </w:p>
    <w:p w14:paraId="7896592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Egyoldali arteria renalis </w:t>
      </w:r>
      <w:r w:rsidR="00811854" w:rsidRPr="00345BCE">
        <w:rPr>
          <w:sz w:val="22"/>
          <w:szCs w:val="22"/>
        </w:rPr>
        <w:t>sten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 következtében kialakult renovas</w:t>
      </w:r>
      <w:r w:rsidR="00AD7889" w:rsidRPr="00345BCE">
        <w:rPr>
          <w:sz w:val="22"/>
          <w:szCs w:val="22"/>
        </w:rPr>
        <w:t>cularis</w:t>
      </w:r>
      <w:r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hypertoniá</w:t>
      </w:r>
      <w:r w:rsidR="007B1252">
        <w:rPr>
          <w:sz w:val="22"/>
          <w:szCs w:val="22"/>
        </w:rPr>
        <w:t>ban</w:t>
      </w:r>
      <w:r w:rsidRPr="00345BCE">
        <w:rPr>
          <w:sz w:val="22"/>
          <w:szCs w:val="22"/>
        </w:rPr>
        <w:t xml:space="preserve"> szenvedő </w:t>
      </w:r>
      <w:r w:rsidRPr="00345BCE">
        <w:rPr>
          <w:sz w:val="22"/>
          <w:szCs w:val="22"/>
        </w:rPr>
        <w:lastRenderedPageBreak/>
        <w:t>12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betegnél</w:t>
      </w:r>
      <w:r w:rsidR="001D7712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rövid ideig alkalmazva a </w:t>
      </w:r>
      <w:r w:rsidR="002964C0">
        <w:rPr>
          <w:sz w:val="22"/>
          <w:szCs w:val="22"/>
        </w:rPr>
        <w:t>v</w:t>
      </w:r>
      <w:r w:rsidR="00580B60" w:rsidRPr="00345BCE">
        <w:rPr>
          <w:sz w:val="22"/>
          <w:szCs w:val="22"/>
        </w:rPr>
        <w:t>al</w:t>
      </w:r>
      <w:r w:rsidR="00291880">
        <w:rPr>
          <w:sz w:val="22"/>
          <w:szCs w:val="22"/>
        </w:rPr>
        <w:t>z</w:t>
      </w:r>
      <w:r w:rsidR="00580B60" w:rsidRPr="00345BCE">
        <w:rPr>
          <w:sz w:val="22"/>
          <w:szCs w:val="22"/>
        </w:rPr>
        <w:t>art</w:t>
      </w:r>
      <w:r w:rsidR="00291880">
        <w:rPr>
          <w:sz w:val="22"/>
          <w:szCs w:val="22"/>
        </w:rPr>
        <w:t>á</w:t>
      </w:r>
      <w:r w:rsidR="00580B60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>t, nem változott szig</w:t>
      </w:r>
      <w:r w:rsidR="006B096E" w:rsidRPr="00345BCE">
        <w:rPr>
          <w:sz w:val="22"/>
          <w:szCs w:val="22"/>
        </w:rPr>
        <w:t>nifikáns mértékben a vese hemo</w:t>
      </w:r>
      <w:r w:rsidRPr="00345BCE">
        <w:rPr>
          <w:sz w:val="22"/>
          <w:szCs w:val="22"/>
        </w:rPr>
        <w:t>dinamikája, a szérum</w:t>
      </w:r>
      <w:r w:rsidR="00AD7889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kreatinin és </w:t>
      </w:r>
      <w:r w:rsidR="00F85D13" w:rsidRPr="00345BCE">
        <w:rPr>
          <w:sz w:val="22"/>
          <w:szCs w:val="22"/>
        </w:rPr>
        <w:t xml:space="preserve">a vér </w:t>
      </w:r>
      <w:r w:rsidRPr="00345BCE">
        <w:rPr>
          <w:sz w:val="22"/>
          <w:szCs w:val="22"/>
        </w:rPr>
        <w:t>karbamid</w:t>
      </w:r>
      <w:r w:rsidR="003F18BA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nitrogén </w:t>
      </w:r>
      <w:r w:rsidR="00AF4F04" w:rsidRPr="00345BCE">
        <w:rPr>
          <w:sz w:val="22"/>
          <w:szCs w:val="22"/>
        </w:rPr>
        <w:t>(BUN)</w:t>
      </w:r>
      <w:r w:rsidR="00F85D13" w:rsidRPr="00345BCE">
        <w:rPr>
          <w:sz w:val="22"/>
          <w:szCs w:val="22"/>
        </w:rPr>
        <w:t xml:space="preserve"> szintje</w:t>
      </w:r>
      <w:r w:rsidRPr="00345BCE">
        <w:rPr>
          <w:sz w:val="22"/>
          <w:szCs w:val="22"/>
        </w:rPr>
        <w:t xml:space="preserve">. </w:t>
      </w:r>
      <w:r w:rsidR="001D7712">
        <w:rPr>
          <w:sz w:val="22"/>
          <w:szCs w:val="22"/>
        </w:rPr>
        <w:t>Ugyanakkor</w:t>
      </w:r>
      <w:r w:rsidRPr="00345BCE">
        <w:rPr>
          <w:sz w:val="22"/>
          <w:szCs w:val="22"/>
        </w:rPr>
        <w:t>, mivel e</w:t>
      </w:r>
      <w:r w:rsidR="006B096E" w:rsidRPr="00345BCE">
        <w:rPr>
          <w:sz w:val="22"/>
          <w:szCs w:val="22"/>
        </w:rPr>
        <w:t>gyéb, a renin-angio</w:t>
      </w:r>
      <w:r w:rsidRPr="00345BCE">
        <w:rPr>
          <w:sz w:val="22"/>
          <w:szCs w:val="22"/>
        </w:rPr>
        <w:t xml:space="preserve">tenzin-aldoszteron rendszerre ható gyógyszerek fokozhatják a </w:t>
      </w:r>
      <w:r w:rsidR="00F85D13" w:rsidRPr="00345BCE">
        <w:rPr>
          <w:sz w:val="22"/>
          <w:szCs w:val="22"/>
        </w:rPr>
        <w:t xml:space="preserve">vér </w:t>
      </w:r>
      <w:r w:rsidR="00E86DD7" w:rsidRPr="00345BCE">
        <w:rPr>
          <w:sz w:val="22"/>
          <w:szCs w:val="22"/>
        </w:rPr>
        <w:t>karbamid</w:t>
      </w:r>
      <w:r w:rsidR="003F18BA" w:rsidRPr="00345BCE">
        <w:rPr>
          <w:sz w:val="22"/>
          <w:szCs w:val="22"/>
        </w:rPr>
        <w:t>-</w:t>
      </w:r>
      <w:r w:rsidR="00E86DD7" w:rsidRPr="00345BCE">
        <w:rPr>
          <w:sz w:val="22"/>
          <w:szCs w:val="22"/>
        </w:rPr>
        <w:t xml:space="preserve">nitrogén- és </w:t>
      </w:r>
      <w:r w:rsidR="00F85D13" w:rsidRPr="00345BCE">
        <w:rPr>
          <w:sz w:val="22"/>
          <w:szCs w:val="22"/>
        </w:rPr>
        <w:t xml:space="preserve">szérum </w:t>
      </w:r>
      <w:r w:rsidR="00E86DD7" w:rsidRPr="00345BCE">
        <w:rPr>
          <w:sz w:val="22"/>
          <w:szCs w:val="22"/>
        </w:rPr>
        <w:t>kreatinin</w:t>
      </w:r>
      <w:r w:rsidRPr="00345BCE">
        <w:rPr>
          <w:sz w:val="22"/>
          <w:szCs w:val="22"/>
        </w:rPr>
        <w:t>szintet egyoldali art</w:t>
      </w:r>
      <w:r w:rsidR="007B1252">
        <w:rPr>
          <w:sz w:val="22"/>
          <w:szCs w:val="22"/>
        </w:rPr>
        <w:t>e</w:t>
      </w:r>
      <w:r w:rsidRPr="00345BCE">
        <w:rPr>
          <w:sz w:val="22"/>
          <w:szCs w:val="22"/>
        </w:rPr>
        <w:t>ria ren</w:t>
      </w:r>
      <w:r w:rsidR="007B1252">
        <w:rPr>
          <w:sz w:val="22"/>
          <w:szCs w:val="22"/>
        </w:rPr>
        <w:t>alis</w:t>
      </w:r>
      <w:r w:rsidRPr="00345BCE">
        <w:rPr>
          <w:sz w:val="22"/>
          <w:szCs w:val="22"/>
        </w:rPr>
        <w:t xml:space="preserve"> </w:t>
      </w:r>
      <w:r w:rsidR="00811854" w:rsidRPr="00345BCE">
        <w:rPr>
          <w:sz w:val="22"/>
          <w:szCs w:val="22"/>
        </w:rPr>
        <w:t>sten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ban szenvedő </w:t>
      </w:r>
      <w:r w:rsidR="00AF4F04" w:rsidRPr="00345BCE">
        <w:rPr>
          <w:sz w:val="22"/>
          <w:szCs w:val="22"/>
        </w:rPr>
        <w:t>személyeknél, a betegek valzartánnal való kezelésekor ajánlott monitorozni a vesefunkció</w:t>
      </w:r>
      <w:r w:rsidR="001D7712">
        <w:rPr>
          <w:sz w:val="22"/>
          <w:szCs w:val="22"/>
        </w:rPr>
        <w:t>-</w:t>
      </w:r>
      <w:r w:rsidR="00AF4F04" w:rsidRPr="00345BCE">
        <w:rPr>
          <w:sz w:val="22"/>
          <w:szCs w:val="22"/>
        </w:rPr>
        <w:t>értékeket</w:t>
      </w:r>
      <w:r w:rsidR="006B096E" w:rsidRPr="00345BCE">
        <w:rPr>
          <w:sz w:val="22"/>
          <w:szCs w:val="22"/>
        </w:rPr>
        <w:t>.</w:t>
      </w:r>
    </w:p>
    <w:p w14:paraId="3AE83797" w14:textId="77777777" w:rsidR="000A7E88" w:rsidRPr="00345BCE" w:rsidRDefault="000A7E88" w:rsidP="00C560EC">
      <w:pPr>
        <w:tabs>
          <w:tab w:val="left" w:pos="567"/>
        </w:tabs>
        <w:rPr>
          <w:b/>
          <w:i/>
          <w:sz w:val="22"/>
          <w:szCs w:val="22"/>
        </w:rPr>
      </w:pPr>
    </w:p>
    <w:p w14:paraId="79A97BB0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Veseátültetés</w:t>
      </w:r>
    </w:p>
    <w:p w14:paraId="75FAF4FD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Jelenleg nincs tapasztalat a </w:t>
      </w:r>
      <w:r w:rsidR="002964C0">
        <w:rPr>
          <w:sz w:val="22"/>
          <w:szCs w:val="22"/>
        </w:rPr>
        <w:t>v</w:t>
      </w:r>
      <w:r w:rsidR="00580B60" w:rsidRPr="00345BCE">
        <w:rPr>
          <w:sz w:val="22"/>
          <w:szCs w:val="22"/>
        </w:rPr>
        <w:t>al</w:t>
      </w:r>
      <w:r w:rsidR="00A65E8C">
        <w:rPr>
          <w:sz w:val="22"/>
          <w:szCs w:val="22"/>
        </w:rPr>
        <w:t>z</w:t>
      </w:r>
      <w:r w:rsidR="00580B60" w:rsidRPr="00345BCE">
        <w:rPr>
          <w:sz w:val="22"/>
          <w:szCs w:val="22"/>
        </w:rPr>
        <w:t>art</w:t>
      </w:r>
      <w:r w:rsidR="00A65E8C">
        <w:rPr>
          <w:sz w:val="22"/>
          <w:szCs w:val="22"/>
        </w:rPr>
        <w:t>á</w:t>
      </w:r>
      <w:r w:rsidR="00580B60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 veseátültetésen átesett betegeknél való biztonságos alkalmazására vonatkozóan.</w:t>
      </w:r>
    </w:p>
    <w:p w14:paraId="37957709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</w:p>
    <w:p w14:paraId="7C04681C" w14:textId="77777777" w:rsidR="00937715" w:rsidRPr="00345BCE" w:rsidRDefault="007B1252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Prim</w:t>
      </w:r>
      <w:r w:rsidR="001D7712">
        <w:rPr>
          <w:sz w:val="22"/>
          <w:szCs w:val="22"/>
          <w:u w:val="single"/>
        </w:rPr>
        <w:t>a</w:t>
      </w:r>
      <w:r>
        <w:rPr>
          <w:sz w:val="22"/>
          <w:szCs w:val="22"/>
          <w:u w:val="single"/>
        </w:rPr>
        <w:t>er</w:t>
      </w:r>
      <w:r w:rsidR="00937715" w:rsidRPr="00345BCE">
        <w:rPr>
          <w:sz w:val="22"/>
          <w:szCs w:val="22"/>
          <w:u w:val="single"/>
        </w:rPr>
        <w:t xml:space="preserve"> h</w:t>
      </w:r>
      <w:r>
        <w:rPr>
          <w:sz w:val="22"/>
          <w:szCs w:val="22"/>
          <w:u w:val="single"/>
        </w:rPr>
        <w:t>y</w:t>
      </w:r>
      <w:r w:rsidR="00937715" w:rsidRPr="00345BCE">
        <w:rPr>
          <w:sz w:val="22"/>
          <w:szCs w:val="22"/>
          <w:u w:val="single"/>
        </w:rPr>
        <w:t>peraldosteron</w:t>
      </w:r>
      <w:r>
        <w:rPr>
          <w:sz w:val="22"/>
          <w:szCs w:val="22"/>
          <w:u w:val="single"/>
        </w:rPr>
        <w:t>ismus</w:t>
      </w:r>
    </w:p>
    <w:p w14:paraId="501B0430" w14:textId="77777777" w:rsidR="00937715" w:rsidRPr="00345BCE" w:rsidRDefault="007B1252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Prim</w:t>
      </w:r>
      <w:r w:rsidR="001D7712">
        <w:rPr>
          <w:sz w:val="22"/>
          <w:szCs w:val="22"/>
        </w:rPr>
        <w:t>a</w:t>
      </w:r>
      <w:r>
        <w:rPr>
          <w:sz w:val="22"/>
          <w:szCs w:val="22"/>
        </w:rPr>
        <w:t>er</w:t>
      </w:r>
      <w:r w:rsidR="00937715" w:rsidRPr="00345BCE">
        <w:rPr>
          <w:sz w:val="22"/>
          <w:szCs w:val="22"/>
        </w:rPr>
        <w:t xml:space="preserve"> h</w:t>
      </w:r>
      <w:r>
        <w:rPr>
          <w:sz w:val="22"/>
          <w:szCs w:val="22"/>
        </w:rPr>
        <w:t>y</w:t>
      </w:r>
      <w:r w:rsidR="00937715" w:rsidRPr="00345BCE">
        <w:rPr>
          <w:sz w:val="22"/>
          <w:szCs w:val="22"/>
        </w:rPr>
        <w:t>peraldosteroni</w:t>
      </w:r>
      <w:r>
        <w:rPr>
          <w:sz w:val="22"/>
          <w:szCs w:val="22"/>
        </w:rPr>
        <w:t>s</w:t>
      </w:r>
      <w:r w:rsidR="00937715" w:rsidRPr="00345BCE">
        <w:rPr>
          <w:sz w:val="22"/>
          <w:szCs w:val="22"/>
        </w:rPr>
        <w:t xml:space="preserve">musban szenvedő betegek nem </w:t>
      </w:r>
      <w:r w:rsidR="00811854" w:rsidRPr="00345BCE">
        <w:rPr>
          <w:sz w:val="22"/>
          <w:szCs w:val="22"/>
        </w:rPr>
        <w:t>kezelhetők</w:t>
      </w:r>
      <w:r w:rsidR="00937715" w:rsidRPr="00345BCE">
        <w:rPr>
          <w:sz w:val="22"/>
          <w:szCs w:val="22"/>
        </w:rPr>
        <w:t xml:space="preserve"> </w:t>
      </w:r>
      <w:r w:rsidR="002964C0">
        <w:rPr>
          <w:bCs/>
          <w:sz w:val="22"/>
          <w:szCs w:val="22"/>
        </w:rPr>
        <w:t>v</w:t>
      </w:r>
      <w:r w:rsidR="00357DAE" w:rsidRPr="00345BCE">
        <w:rPr>
          <w:bCs/>
          <w:sz w:val="22"/>
          <w:szCs w:val="22"/>
        </w:rPr>
        <w:t>al</w:t>
      </w:r>
      <w:r w:rsidR="00F65A0E">
        <w:rPr>
          <w:bCs/>
          <w:sz w:val="22"/>
          <w:szCs w:val="22"/>
        </w:rPr>
        <w:t>z</w:t>
      </w:r>
      <w:r w:rsidR="00357DAE" w:rsidRPr="00345BCE">
        <w:rPr>
          <w:bCs/>
          <w:sz w:val="22"/>
          <w:szCs w:val="22"/>
        </w:rPr>
        <w:t>art</w:t>
      </w:r>
      <w:r w:rsidR="00F65A0E">
        <w:rPr>
          <w:bCs/>
          <w:sz w:val="22"/>
          <w:szCs w:val="22"/>
        </w:rPr>
        <w:t>á</w:t>
      </w:r>
      <w:r w:rsidR="00357DAE" w:rsidRPr="00345BCE">
        <w:rPr>
          <w:bCs/>
          <w:sz w:val="22"/>
          <w:szCs w:val="22"/>
        </w:rPr>
        <w:t>n</w:t>
      </w:r>
      <w:r w:rsidR="002964C0">
        <w:rPr>
          <w:bCs/>
          <w:sz w:val="22"/>
          <w:szCs w:val="22"/>
        </w:rPr>
        <w:t>nal</w:t>
      </w:r>
      <w:r w:rsidR="00937715" w:rsidRPr="00345BCE">
        <w:rPr>
          <w:sz w:val="22"/>
          <w:szCs w:val="22"/>
        </w:rPr>
        <w:t xml:space="preserve"> mivel náluk a renin-angiotenzin</w:t>
      </w:r>
      <w:r w:rsidR="00591469">
        <w:rPr>
          <w:sz w:val="22"/>
          <w:szCs w:val="22"/>
        </w:rPr>
        <w:t>-</w:t>
      </w:r>
      <w:r w:rsidR="00937715" w:rsidRPr="00345BCE">
        <w:rPr>
          <w:sz w:val="22"/>
          <w:szCs w:val="22"/>
        </w:rPr>
        <w:t>rendszer nem aktív.</w:t>
      </w:r>
    </w:p>
    <w:p w14:paraId="377C95C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</w:p>
    <w:p w14:paraId="4189F1AB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Aorta- vagy mitrális billentyűszűkület, h</w:t>
      </w:r>
      <w:r w:rsidR="007B1252">
        <w:rPr>
          <w:sz w:val="22"/>
          <w:szCs w:val="22"/>
          <w:u w:val="single"/>
        </w:rPr>
        <w:t>y</w:t>
      </w:r>
      <w:r w:rsidRPr="00345BCE">
        <w:rPr>
          <w:sz w:val="22"/>
          <w:szCs w:val="22"/>
          <w:u w:val="single"/>
        </w:rPr>
        <w:t>pertr</w:t>
      </w:r>
      <w:r w:rsidR="007B1252">
        <w:rPr>
          <w:sz w:val="22"/>
          <w:szCs w:val="22"/>
          <w:u w:val="single"/>
        </w:rPr>
        <w:t>ophiás</w:t>
      </w:r>
      <w:r w:rsidRPr="00345BCE">
        <w:rPr>
          <w:sz w:val="22"/>
          <w:szCs w:val="22"/>
          <w:u w:val="single"/>
        </w:rPr>
        <w:t xml:space="preserve"> obstru</w:t>
      </w:r>
      <w:r w:rsidR="007B1252">
        <w:rPr>
          <w:sz w:val="22"/>
          <w:szCs w:val="22"/>
          <w:u w:val="single"/>
        </w:rPr>
        <w:t>c</w:t>
      </w:r>
      <w:r w:rsidRPr="00345BCE">
        <w:rPr>
          <w:sz w:val="22"/>
          <w:szCs w:val="22"/>
          <w:u w:val="single"/>
        </w:rPr>
        <w:t>t</w:t>
      </w:r>
      <w:r w:rsidR="007B1252">
        <w:rPr>
          <w:sz w:val="22"/>
          <w:szCs w:val="22"/>
          <w:u w:val="single"/>
        </w:rPr>
        <w:t>i</w:t>
      </w:r>
      <w:r w:rsidRPr="00345BCE">
        <w:rPr>
          <w:sz w:val="22"/>
          <w:szCs w:val="22"/>
          <w:u w:val="single"/>
        </w:rPr>
        <w:t xml:space="preserve">v </w:t>
      </w:r>
      <w:r w:rsidR="007B1252">
        <w:rPr>
          <w:sz w:val="22"/>
          <w:szCs w:val="22"/>
          <w:u w:val="single"/>
        </w:rPr>
        <w:t>cardiomyopathia</w:t>
      </w:r>
    </w:p>
    <w:p w14:paraId="6408FDD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</w:t>
      </w:r>
      <w:r w:rsidR="00811854" w:rsidRPr="00345BCE">
        <w:rPr>
          <w:sz w:val="22"/>
          <w:szCs w:val="22"/>
        </w:rPr>
        <w:t xml:space="preserve"> többi</w:t>
      </w:r>
      <w:r w:rsidRPr="00345BCE">
        <w:rPr>
          <w:sz w:val="22"/>
          <w:szCs w:val="22"/>
        </w:rPr>
        <w:t xml:space="preserve"> értágító készítmény</w:t>
      </w:r>
      <w:r w:rsidR="00811854" w:rsidRPr="00345BCE">
        <w:rPr>
          <w:sz w:val="22"/>
          <w:szCs w:val="22"/>
        </w:rPr>
        <w:t>hez hasonlóan</w:t>
      </w:r>
      <w:r w:rsidRPr="00345BCE">
        <w:rPr>
          <w:sz w:val="22"/>
          <w:szCs w:val="22"/>
        </w:rPr>
        <w:t>, az aorta- vagy mitrális billentyűszűkületben, illetve h</w:t>
      </w:r>
      <w:r w:rsidR="007B1252">
        <w:rPr>
          <w:sz w:val="22"/>
          <w:szCs w:val="22"/>
        </w:rPr>
        <w:t>y</w:t>
      </w:r>
      <w:r w:rsidRPr="00345BCE">
        <w:rPr>
          <w:sz w:val="22"/>
          <w:szCs w:val="22"/>
        </w:rPr>
        <w:t>pertró</w:t>
      </w:r>
      <w:r w:rsidR="007B1252">
        <w:rPr>
          <w:sz w:val="22"/>
          <w:szCs w:val="22"/>
        </w:rPr>
        <w:t>phi</w:t>
      </w:r>
      <w:r w:rsidRPr="00345BCE">
        <w:rPr>
          <w:sz w:val="22"/>
          <w:szCs w:val="22"/>
        </w:rPr>
        <w:t>ás obstru</w:t>
      </w:r>
      <w:r w:rsidR="007B1252">
        <w:rPr>
          <w:sz w:val="22"/>
          <w:szCs w:val="22"/>
        </w:rPr>
        <w:t>ctiv</w:t>
      </w:r>
      <w:r w:rsidRPr="00345BCE">
        <w:rPr>
          <w:sz w:val="22"/>
          <w:szCs w:val="22"/>
        </w:rPr>
        <w:t xml:space="preserve"> </w:t>
      </w:r>
      <w:r w:rsidR="007B1252">
        <w:rPr>
          <w:sz w:val="22"/>
          <w:szCs w:val="22"/>
        </w:rPr>
        <w:t xml:space="preserve">cardiomyopathiában </w:t>
      </w:r>
      <w:r w:rsidRPr="00345BCE">
        <w:rPr>
          <w:sz w:val="22"/>
          <w:szCs w:val="22"/>
        </w:rPr>
        <w:t>(HOCM) szenvedő betegeknél különös óvatosság szükséges.</w:t>
      </w:r>
    </w:p>
    <w:p w14:paraId="47FE2CD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</w:p>
    <w:p w14:paraId="7D0A2B5C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Terhesség</w:t>
      </w:r>
    </w:p>
    <w:p w14:paraId="0A2E55AC" w14:textId="77777777" w:rsidR="00EF46BA" w:rsidRPr="00345BCE" w:rsidRDefault="00EF46BA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Terhesség alatt nem szabad angiotenzin</w:t>
      </w:r>
      <w:r w:rsidRPr="00345BCE">
        <w:rPr>
          <w:sz w:val="22"/>
          <w:szCs w:val="22"/>
        </w:rPr>
        <w:noBreakHyphen/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="008F7E57">
        <w:rPr>
          <w:sz w:val="22"/>
          <w:szCs w:val="22"/>
        </w:rPr>
        <w:t>blokkoló</w:t>
      </w:r>
      <w:r w:rsidR="008F7E5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(AIIRA) kezelést kezdeni. Hacsak az AIIRA</w:t>
      </w:r>
      <w:r w:rsidR="009825F5">
        <w:rPr>
          <w:sz w:val="22"/>
          <w:szCs w:val="22"/>
        </w:rPr>
        <w:noBreakHyphen/>
      </w:r>
      <w:r w:rsidRPr="00345BCE">
        <w:rPr>
          <w:sz w:val="22"/>
          <w:szCs w:val="22"/>
        </w:rPr>
        <w:t>kezelés folytatása nem létfontosságú, azoknál a betegeknél, akik terhességet terveznek, olyan alternatív vérnyomáscsökkentő kezelésre kell átváltani, amely biztonságosan alkalmazható terhesség ideje alatt. Terhesség megállapítása esetén az AIIRA</w:t>
      </w:r>
      <w:r w:rsidR="009825F5">
        <w:rPr>
          <w:sz w:val="22"/>
          <w:szCs w:val="22"/>
        </w:rPr>
        <w:t>-</w:t>
      </w:r>
      <w:r w:rsidRPr="00345BCE">
        <w:rPr>
          <w:sz w:val="22"/>
          <w:szCs w:val="22"/>
        </w:rPr>
        <w:t>kezelést azonnal meg kell szakítani és – szükség esetén – alternatív kezelést kell megkezdeni (lásd 4.3 és 4.6 pont).</w:t>
      </w:r>
    </w:p>
    <w:p w14:paraId="2E9954A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F04670E" w14:textId="565109C3" w:rsidR="003879DD" w:rsidRDefault="003879DD" w:rsidP="00C560EC">
      <w:pPr>
        <w:rPr>
          <w:sz w:val="22"/>
          <w:szCs w:val="22"/>
        </w:rPr>
      </w:pPr>
      <w:r w:rsidRPr="003879DD">
        <w:rPr>
          <w:sz w:val="22"/>
          <w:szCs w:val="22"/>
        </w:rPr>
        <w:t>Azoknál a betegeknél, akiknek a vesefunkciója a renin-angiotenzin-aldoszteron rendszer aktivitásától függhet (például a súlyos pangásos szívelégtelenségben szenvedő betegeknél), az ACE-gátló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>kezelés oliguriával és/vagy progresszív azotaemiával, valamint ritkán akut veseelégtelenséggel és/vagy halállal volt összefüggésbe hozható. Mivel a valzartán egy angiotenzin II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>receptor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 xml:space="preserve">blokkoló, nem zárható ki, hogy a </w:t>
      </w:r>
      <w:r w:rsidR="00393667" w:rsidRPr="00393667">
        <w:rPr>
          <w:sz w:val="22"/>
          <w:szCs w:val="22"/>
        </w:rPr>
        <w:t>valzartán</w:t>
      </w:r>
      <w:r w:rsidRPr="003879DD">
        <w:rPr>
          <w:sz w:val="22"/>
          <w:szCs w:val="22"/>
        </w:rPr>
        <w:t xml:space="preserve"> alkalmazása kapcsolatban állhat a vesefunkció romlásával.</w:t>
      </w:r>
    </w:p>
    <w:p w14:paraId="79EE46D8" w14:textId="5DB189AB" w:rsidR="003879DD" w:rsidRDefault="003879DD" w:rsidP="00C560EC">
      <w:pPr>
        <w:rPr>
          <w:sz w:val="22"/>
          <w:szCs w:val="22"/>
        </w:rPr>
      </w:pPr>
    </w:p>
    <w:p w14:paraId="5172664E" w14:textId="345093BD" w:rsidR="006A5AB0" w:rsidRPr="0054224C" w:rsidRDefault="006A5AB0" w:rsidP="00C560EC">
      <w:pPr>
        <w:pStyle w:val="Text"/>
        <w:spacing w:before="0"/>
        <w:jc w:val="left"/>
        <w:rPr>
          <w:color w:val="000000"/>
          <w:sz w:val="22"/>
          <w:szCs w:val="22"/>
          <w:lang w:val="hu-HU"/>
        </w:rPr>
      </w:pPr>
      <w:r w:rsidRPr="0054224C">
        <w:rPr>
          <w:color w:val="000000"/>
          <w:sz w:val="22"/>
          <w:szCs w:val="22"/>
          <w:lang w:val="hu-HU"/>
        </w:rPr>
        <w:t>Az ACE-gátlók és angiotenzin</w:t>
      </w:r>
      <w:r w:rsidR="002B7DB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>II</w:t>
      </w:r>
      <w:r w:rsidR="002B7DB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>receptor</w:t>
      </w:r>
      <w:r w:rsidR="006E5D8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 xml:space="preserve">blokkolók </w:t>
      </w:r>
      <w:r w:rsidR="00A62294" w:rsidRPr="000720D3">
        <w:rPr>
          <w:color w:val="000000"/>
          <w:sz w:val="22"/>
          <w:szCs w:val="22"/>
          <w:lang w:val="hu-HU"/>
        </w:rPr>
        <w:t>nem alkalmazhatók egyidejűleg diabeteses nephropathiában szenvedő betegeknél.</w:t>
      </w:r>
    </w:p>
    <w:p w14:paraId="2CCBAE35" w14:textId="52A2CF5F" w:rsidR="006A5AB0" w:rsidRPr="00345BCE" w:rsidRDefault="006A5AB0" w:rsidP="00C560EC">
      <w:pPr>
        <w:rPr>
          <w:sz w:val="22"/>
          <w:szCs w:val="22"/>
        </w:rPr>
      </w:pPr>
    </w:p>
    <w:p w14:paraId="1CE6E200" w14:textId="77777777" w:rsidR="00CB6BFA" w:rsidRPr="00F81379" w:rsidRDefault="00CB6BFA" w:rsidP="00C560EC">
      <w:pPr>
        <w:widowControl/>
        <w:tabs>
          <w:tab w:val="left" w:pos="567"/>
        </w:tabs>
        <w:suppressAutoHyphens w:val="0"/>
        <w:spacing w:line="260" w:lineRule="exact"/>
        <w:rPr>
          <w:rFonts w:eastAsia="Times New Roman"/>
          <w:iCs/>
          <w:sz w:val="22"/>
          <w:szCs w:val="22"/>
          <w:u w:val="single"/>
          <w:lang w:eastAsia="en-US"/>
        </w:rPr>
      </w:pP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Anamnézisben szereplő angio</w:t>
      </w:r>
      <w:r w:rsidR="00161A6B">
        <w:rPr>
          <w:rFonts w:eastAsia="Times New Roman"/>
          <w:iCs/>
          <w:sz w:val="22"/>
          <w:szCs w:val="22"/>
          <w:u w:val="single"/>
          <w:lang w:eastAsia="en-US"/>
        </w:rPr>
        <w:t>oe</w:t>
      </w: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d</w:t>
      </w:r>
      <w:r w:rsidR="00161A6B">
        <w:rPr>
          <w:rFonts w:eastAsia="Times New Roman"/>
          <w:iCs/>
          <w:sz w:val="22"/>
          <w:szCs w:val="22"/>
          <w:u w:val="single"/>
          <w:lang w:eastAsia="en-US"/>
        </w:rPr>
        <w:t>e</w:t>
      </w: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ma</w:t>
      </w:r>
    </w:p>
    <w:p w14:paraId="6078DD0F" w14:textId="77777777" w:rsidR="00CB6BFA" w:rsidRPr="00465A4C" w:rsidRDefault="00CB6BFA" w:rsidP="00C560EC">
      <w:pPr>
        <w:widowControl/>
        <w:tabs>
          <w:tab w:val="left" w:pos="567"/>
        </w:tabs>
        <w:suppressAutoHyphens w:val="0"/>
        <w:spacing w:line="260" w:lineRule="exact"/>
        <w:rPr>
          <w:rFonts w:eastAsia="Times New Roman"/>
          <w:iCs/>
          <w:sz w:val="22"/>
          <w:szCs w:val="22"/>
          <w:lang w:eastAsia="en-US"/>
        </w:rPr>
      </w:pPr>
      <w:r w:rsidRPr="00465A4C">
        <w:rPr>
          <w:rFonts w:eastAsia="Times New Roman"/>
          <w:iCs/>
          <w:sz w:val="22"/>
          <w:szCs w:val="22"/>
          <w:lang w:eastAsia="en-US"/>
        </w:rPr>
        <w:t xml:space="preserve">Valzartánnal kezelt betegeknél 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angio</w:t>
      </w:r>
      <w:r w:rsidR="00161A6B">
        <w:rPr>
          <w:rFonts w:eastAsia="Times New Roman"/>
          <w:iCs/>
          <w:sz w:val="22"/>
          <w:szCs w:val="22"/>
          <w:lang w:eastAsia="en-US"/>
        </w:rPr>
        <w:t>oe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d</w:t>
      </w:r>
      <w:r w:rsidR="00161A6B">
        <w:rPr>
          <w:rFonts w:eastAsia="Times New Roman"/>
          <w:iCs/>
          <w:sz w:val="22"/>
          <w:szCs w:val="22"/>
          <w:lang w:eastAsia="en-US"/>
        </w:rPr>
        <w:t>e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m</w:t>
      </w:r>
      <w:r w:rsidR="00AF42FB">
        <w:rPr>
          <w:rFonts w:eastAsia="Times New Roman"/>
          <w:iCs/>
          <w:sz w:val="22"/>
          <w:szCs w:val="22"/>
          <w:lang w:eastAsia="en-US"/>
        </w:rPr>
        <w:t xml:space="preserve">a előfordulásáról is 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beszámoltak (beleértve </w:t>
      </w:r>
      <w:r w:rsidR="00AF42FB">
        <w:rPr>
          <w:rFonts w:eastAsia="Times New Roman"/>
          <w:iCs/>
          <w:sz w:val="22"/>
          <w:szCs w:val="22"/>
          <w:lang w:eastAsia="en-US"/>
        </w:rPr>
        <w:t>a légutak elzáródását okozó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 xml:space="preserve"> </w:t>
      </w:r>
      <w:r w:rsidRPr="00465A4C">
        <w:rPr>
          <w:rFonts w:eastAsia="Times New Roman"/>
          <w:iCs/>
          <w:sz w:val="22"/>
          <w:szCs w:val="22"/>
          <w:lang w:eastAsia="en-US"/>
        </w:rPr>
        <w:t>gége</w:t>
      </w:r>
      <w:r w:rsidR="00AF42FB">
        <w:rPr>
          <w:rFonts w:eastAsia="Times New Roman"/>
          <w:iCs/>
          <w:sz w:val="22"/>
          <w:szCs w:val="22"/>
          <w:lang w:eastAsia="en-US"/>
        </w:rPr>
        <w:t>-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és glottis</w:t>
      </w:r>
      <w:r w:rsidR="00AF42FB">
        <w:rPr>
          <w:rFonts w:eastAsia="Times New Roman"/>
          <w:iCs/>
          <w:sz w:val="22"/>
          <w:szCs w:val="22"/>
          <w:lang w:eastAsia="en-US"/>
        </w:rPr>
        <w:t>-duzzanatot,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és/vagy az arc, az ajkak, a garat és/vagy a nyelv </w:t>
      </w:r>
      <w:r w:rsidR="00AF42FB">
        <w:rPr>
          <w:rFonts w:eastAsia="Times New Roman"/>
          <w:iCs/>
          <w:sz w:val="22"/>
          <w:szCs w:val="22"/>
          <w:lang w:eastAsia="en-US"/>
        </w:rPr>
        <w:t>megduzzadását is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). Közülük néhány beteg esetében már </w:t>
      </w:r>
      <w:r w:rsidR="00AF42FB">
        <w:rPr>
          <w:rFonts w:eastAsia="Times New Roman"/>
          <w:iCs/>
          <w:sz w:val="22"/>
          <w:szCs w:val="22"/>
          <w:lang w:eastAsia="en-US"/>
        </w:rPr>
        <w:t>korábban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is </w:t>
      </w:r>
      <w:r w:rsidR="00AF42FB">
        <w:rPr>
          <w:rFonts w:eastAsia="Times New Roman"/>
          <w:iCs/>
          <w:sz w:val="22"/>
          <w:szCs w:val="22"/>
          <w:lang w:eastAsia="en-US"/>
        </w:rPr>
        <w:t>előfordult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angio</w:t>
      </w:r>
      <w:r w:rsidR="00C54E87">
        <w:rPr>
          <w:rFonts w:eastAsia="Times New Roman"/>
          <w:iCs/>
          <w:sz w:val="22"/>
          <w:szCs w:val="22"/>
          <w:lang w:eastAsia="en-US"/>
        </w:rPr>
        <w:t>oe</w:t>
      </w:r>
      <w:r w:rsidRPr="00465A4C">
        <w:rPr>
          <w:rFonts w:eastAsia="Times New Roman"/>
          <w:iCs/>
          <w:sz w:val="22"/>
          <w:szCs w:val="22"/>
          <w:lang w:eastAsia="en-US"/>
        </w:rPr>
        <w:t>d</w:t>
      </w:r>
      <w:r w:rsidR="00C54E87">
        <w:rPr>
          <w:rFonts w:eastAsia="Times New Roman"/>
          <w:iCs/>
          <w:sz w:val="22"/>
          <w:szCs w:val="22"/>
          <w:lang w:eastAsia="en-US"/>
        </w:rPr>
        <w:t>e</w:t>
      </w:r>
      <w:r w:rsidRPr="00465A4C">
        <w:rPr>
          <w:rFonts w:eastAsia="Times New Roman"/>
          <w:iCs/>
          <w:sz w:val="22"/>
          <w:szCs w:val="22"/>
          <w:lang w:eastAsia="en-US"/>
        </w:rPr>
        <w:t>ma egyéb gyógyszerek (beleértve az ACE</w:t>
      </w:r>
      <w:r w:rsidRPr="00465A4C">
        <w:rPr>
          <w:rFonts w:eastAsia="Times New Roman"/>
          <w:iCs/>
          <w:sz w:val="22"/>
          <w:szCs w:val="22"/>
          <w:lang w:eastAsia="en-US"/>
        </w:rPr>
        <w:noBreakHyphen/>
        <w:t xml:space="preserve">gátlókat) szedése mellett. </w:t>
      </w:r>
      <w:r w:rsidR="003A1345">
        <w:rPr>
          <w:rFonts w:eastAsia="Times New Roman"/>
          <w:iCs/>
          <w:sz w:val="22"/>
          <w:szCs w:val="22"/>
          <w:lang w:eastAsia="en-US"/>
        </w:rPr>
        <w:t>Amennyiben a betegnél angio</w:t>
      </w:r>
      <w:r w:rsidR="00C54E87">
        <w:rPr>
          <w:rFonts w:eastAsia="Times New Roman"/>
          <w:iCs/>
          <w:sz w:val="22"/>
          <w:szCs w:val="22"/>
          <w:lang w:eastAsia="en-US"/>
        </w:rPr>
        <w:t>oe</w:t>
      </w:r>
      <w:r w:rsidR="003A1345">
        <w:rPr>
          <w:rFonts w:eastAsia="Times New Roman"/>
          <w:iCs/>
          <w:sz w:val="22"/>
          <w:szCs w:val="22"/>
          <w:lang w:eastAsia="en-US"/>
        </w:rPr>
        <w:t>d</w:t>
      </w:r>
      <w:r w:rsidR="00C54E87">
        <w:rPr>
          <w:rFonts w:eastAsia="Times New Roman"/>
          <w:iCs/>
          <w:sz w:val="22"/>
          <w:szCs w:val="22"/>
          <w:lang w:eastAsia="en-US"/>
        </w:rPr>
        <w:t>e</w:t>
      </w:r>
      <w:r w:rsidR="003A1345">
        <w:rPr>
          <w:rFonts w:eastAsia="Times New Roman"/>
          <w:iCs/>
          <w:sz w:val="22"/>
          <w:szCs w:val="22"/>
          <w:lang w:eastAsia="en-US"/>
        </w:rPr>
        <w:t>ma alakul ki, a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</w:t>
      </w:r>
      <w:r w:rsidRPr="00483A53">
        <w:rPr>
          <w:rFonts w:eastAsia="Times New Roman"/>
          <w:iCs/>
          <w:sz w:val="22"/>
          <w:szCs w:val="22"/>
          <w:lang w:eastAsia="en-US"/>
        </w:rPr>
        <w:t>Valsartan Sandoz szedését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azonnal abba kell hagyni</w:t>
      </w:r>
      <w:r w:rsidR="003A1345">
        <w:rPr>
          <w:rFonts w:eastAsia="Times New Roman"/>
          <w:iCs/>
          <w:sz w:val="22"/>
          <w:szCs w:val="22"/>
          <w:lang w:eastAsia="en-US"/>
        </w:rPr>
        <w:t>, és ez a beteg a későbbiekben sem kaphat valzartán-hatóanyagú készítményt</w:t>
      </w:r>
      <w:r w:rsidR="00F2257F">
        <w:rPr>
          <w:rFonts w:eastAsia="Times New Roman"/>
          <w:iCs/>
          <w:sz w:val="22"/>
          <w:szCs w:val="22"/>
          <w:lang w:eastAsia="en-US"/>
        </w:rPr>
        <w:t xml:space="preserve"> (lásd 4.8 pont)</w:t>
      </w:r>
      <w:r w:rsidR="003A1345">
        <w:rPr>
          <w:rFonts w:eastAsia="Times New Roman"/>
          <w:iCs/>
          <w:sz w:val="22"/>
          <w:szCs w:val="22"/>
          <w:lang w:eastAsia="en-US"/>
        </w:rPr>
        <w:t>.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</w:t>
      </w:r>
    </w:p>
    <w:p w14:paraId="17C57818" w14:textId="77777777" w:rsidR="00CB6BFA" w:rsidRDefault="00CB6BFA" w:rsidP="00C560EC">
      <w:pPr>
        <w:tabs>
          <w:tab w:val="left" w:pos="567"/>
        </w:tabs>
        <w:rPr>
          <w:color w:val="000000"/>
          <w:sz w:val="22"/>
          <w:szCs w:val="22"/>
        </w:rPr>
      </w:pPr>
    </w:p>
    <w:p w14:paraId="0D9CFCED" w14:textId="77777777" w:rsidR="00477037" w:rsidRPr="00A86E3E" w:rsidRDefault="00477037" w:rsidP="00477037">
      <w:pPr>
        <w:tabs>
          <w:tab w:val="left" w:pos="567"/>
        </w:tabs>
        <w:rPr>
          <w:sz w:val="22"/>
          <w:szCs w:val="22"/>
          <w:u w:val="single"/>
        </w:rPr>
      </w:pPr>
      <w:r w:rsidRPr="00A86E3E">
        <w:rPr>
          <w:sz w:val="22"/>
          <w:szCs w:val="22"/>
          <w:u w:val="single"/>
        </w:rPr>
        <w:t>Intestinalis angiooedema</w:t>
      </w:r>
    </w:p>
    <w:p w14:paraId="5A9FB928" w14:textId="74D464A7" w:rsidR="00477037" w:rsidRPr="0029174A" w:rsidRDefault="00477037" w:rsidP="00477037">
      <w:pPr>
        <w:tabs>
          <w:tab w:val="left" w:pos="567"/>
        </w:tabs>
        <w:rPr>
          <w:sz w:val="22"/>
          <w:szCs w:val="22"/>
        </w:rPr>
      </w:pPr>
      <w:r w:rsidRPr="0029174A">
        <w:rPr>
          <w:sz w:val="22"/>
          <w:szCs w:val="22"/>
        </w:rPr>
        <w:t xml:space="preserve">Intestinalis angiooedemáról számoltak be angiotenzin II-receptor-blokkolóval </w:t>
      </w:r>
      <w:r w:rsidR="00023DF9">
        <w:rPr>
          <w:sz w:val="22"/>
          <w:szCs w:val="22"/>
        </w:rPr>
        <w:t>(</w:t>
      </w:r>
      <w:r w:rsidRPr="0029174A">
        <w:rPr>
          <w:sz w:val="22"/>
          <w:szCs w:val="22"/>
        </w:rPr>
        <w:t>többek között a valzartánnal</w:t>
      </w:r>
      <w:r w:rsidR="00023DF9">
        <w:rPr>
          <w:sz w:val="22"/>
          <w:szCs w:val="22"/>
        </w:rPr>
        <w:t>)</w:t>
      </w:r>
      <w:r w:rsidRPr="0029174A">
        <w:rPr>
          <w:sz w:val="22"/>
          <w:szCs w:val="22"/>
        </w:rPr>
        <w:t xml:space="preserve"> kezelt betegek esetén (lásd 4.8 pont). Ezeknél a betegeknél abdominalis fájdalom, hányinger, hányás és hasmenés jelentkezett. A tünetek az angiotenzin II-receptor-blokkolóval végzett kezelés leállítása után megszűntek. Amennyiben intestinalis angiooedemát diagnosztizálnak, a valzartán-kezelést le kell állítani, és a beteget megfelelően monitorozni kell mindaddig, amíg a tünetek teljes mértékben meg nem szűnnek.</w:t>
      </w:r>
    </w:p>
    <w:p w14:paraId="3C8F220D" w14:textId="77777777" w:rsidR="00477037" w:rsidRPr="00345BCE" w:rsidRDefault="00477037" w:rsidP="00C560EC">
      <w:pPr>
        <w:tabs>
          <w:tab w:val="left" w:pos="567"/>
        </w:tabs>
        <w:rPr>
          <w:color w:val="000000"/>
          <w:sz w:val="22"/>
          <w:szCs w:val="22"/>
        </w:rPr>
      </w:pPr>
    </w:p>
    <w:p w14:paraId="5A1A237D" w14:textId="7DF063BD" w:rsidR="00A21D98" w:rsidRPr="00345BCE" w:rsidRDefault="00A21D98" w:rsidP="00C560EC">
      <w:pPr>
        <w:tabs>
          <w:tab w:val="left" w:pos="0"/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A renin-angiotenzin rendszer serkentésével járó állapotok</w:t>
      </w:r>
      <w:r w:rsidR="003E659B" w:rsidRPr="00345BCE">
        <w:rPr>
          <w:i/>
          <w:sz w:val="22"/>
          <w:szCs w:val="22"/>
          <w:u w:val="single"/>
        </w:rPr>
        <w:t xml:space="preserve"> </w:t>
      </w:r>
    </w:p>
    <w:p w14:paraId="37D0594A" w14:textId="77777777" w:rsidR="00E47C2F" w:rsidRDefault="00E47C2F" w:rsidP="00C560EC">
      <w:pPr>
        <w:tabs>
          <w:tab w:val="left" w:pos="567"/>
        </w:tabs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Olyan (például súlyos szívelégtelenségben szenvedő)</w:t>
      </w:r>
      <w:r w:rsidR="007B1252">
        <w:rPr>
          <w:color w:val="00000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betegekben, akik veseműködése a renin-angiotenzin rendszer aktivitásától függ, az angiotenzin</w:t>
      </w:r>
      <w:r w:rsidR="006E5D87">
        <w:rPr>
          <w:color w:val="000000"/>
          <w:sz w:val="22"/>
          <w:szCs w:val="22"/>
        </w:rPr>
        <w:t>-</w:t>
      </w:r>
      <w:r w:rsidRPr="00345BCE">
        <w:rPr>
          <w:color w:val="000000"/>
          <w:sz w:val="22"/>
          <w:szCs w:val="22"/>
        </w:rPr>
        <w:t xml:space="preserve">konvertáz-gátlókkal való kezelés oliguriát és/ vagy progresszív azotaemiát okozott, valamint ritkán akut veseelégtelenséget és/vagy halált is. Mivel a valzartán </w:t>
      </w:r>
      <w:r w:rsidR="001C2BD7">
        <w:rPr>
          <w:color w:val="000000"/>
          <w:sz w:val="22"/>
          <w:szCs w:val="22"/>
        </w:rPr>
        <w:t xml:space="preserve">egy </w:t>
      </w:r>
      <w:r w:rsidRPr="00345BCE">
        <w:rPr>
          <w:color w:val="000000"/>
          <w:sz w:val="22"/>
          <w:szCs w:val="22"/>
        </w:rPr>
        <w:t>angiotenzin</w:t>
      </w:r>
      <w:r w:rsidR="001C2BD7">
        <w:rPr>
          <w:color w:val="000000"/>
          <w:sz w:val="22"/>
          <w:szCs w:val="22"/>
        </w:rPr>
        <w:noBreakHyphen/>
      </w:r>
      <w:r w:rsidRPr="00345BCE">
        <w:rPr>
          <w:color w:val="000000"/>
          <w:sz w:val="22"/>
          <w:szCs w:val="22"/>
        </w:rPr>
        <w:t>II</w:t>
      </w:r>
      <w:r w:rsidR="001C2BD7">
        <w:rPr>
          <w:color w:val="000000"/>
          <w:sz w:val="22"/>
          <w:szCs w:val="22"/>
        </w:rPr>
        <w:noBreakHyphen/>
      </w:r>
      <w:r w:rsidRPr="00345BCE">
        <w:rPr>
          <w:color w:val="000000"/>
          <w:sz w:val="22"/>
          <w:szCs w:val="22"/>
        </w:rPr>
        <w:t>antagonista, nem zárható ki, hogy a Valsartan Sandoz alkalmazása a vesefunkció károsodásával járhat.</w:t>
      </w:r>
    </w:p>
    <w:p w14:paraId="4EFE2E6B" w14:textId="77777777" w:rsidR="00163E70" w:rsidRDefault="00163E70" w:rsidP="00C560EC">
      <w:pPr>
        <w:tabs>
          <w:tab w:val="left" w:pos="567"/>
        </w:tabs>
        <w:rPr>
          <w:sz w:val="22"/>
          <w:szCs w:val="22"/>
        </w:rPr>
      </w:pPr>
    </w:p>
    <w:p w14:paraId="0847A41A" w14:textId="77777777" w:rsidR="00163E70" w:rsidRPr="000A5BD1" w:rsidRDefault="00163E70" w:rsidP="00C560EC">
      <w:pPr>
        <w:tabs>
          <w:tab w:val="left" w:pos="567"/>
        </w:tabs>
        <w:rPr>
          <w:sz w:val="22"/>
          <w:szCs w:val="22"/>
          <w:u w:val="single"/>
        </w:rPr>
      </w:pPr>
      <w:r w:rsidRPr="000A5BD1">
        <w:rPr>
          <w:sz w:val="22"/>
          <w:szCs w:val="22"/>
          <w:u w:val="single"/>
        </w:rPr>
        <w:t>A renin-angiotenzin-aldoszteron rendszer (RAAS) kettős blokádja</w:t>
      </w:r>
    </w:p>
    <w:p w14:paraId="3F6F3C22" w14:textId="77777777" w:rsidR="0014272B" w:rsidRPr="0054224C" w:rsidRDefault="0014272B" w:rsidP="00C560EC">
      <w:pPr>
        <w:rPr>
          <w:sz w:val="22"/>
          <w:szCs w:val="22"/>
        </w:rPr>
      </w:pPr>
      <w:r w:rsidRPr="0054224C">
        <w:rPr>
          <w:sz w:val="22"/>
          <w:szCs w:val="22"/>
        </w:rPr>
        <w:t>Bizonyíték van rá, hogy az ACE-gátlók,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1C2BD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1C2BD7">
        <w:rPr>
          <w:sz w:val="22"/>
          <w:szCs w:val="22"/>
        </w:rPr>
        <w:t>é</w:t>
      </w:r>
      <w:r w:rsidRPr="0054224C">
        <w:rPr>
          <w:sz w:val="22"/>
          <w:szCs w:val="22"/>
        </w:rPr>
        <w:t xml:space="preserve">n egyidejű alkalmazása fokozza a </w:t>
      </w:r>
      <w:r w:rsidR="002321C3">
        <w:rPr>
          <w:sz w:val="22"/>
          <w:szCs w:val="22"/>
        </w:rPr>
        <w:t>hypotonia</w:t>
      </w:r>
      <w:r w:rsidRPr="0054224C">
        <w:rPr>
          <w:sz w:val="22"/>
          <w:szCs w:val="22"/>
        </w:rPr>
        <w:t xml:space="preserve">, </w:t>
      </w:r>
      <w:r w:rsidR="002321C3">
        <w:rPr>
          <w:sz w:val="22"/>
          <w:szCs w:val="22"/>
        </w:rPr>
        <w:t>hyperkalaemia</w:t>
      </w:r>
      <w:r w:rsidR="00BC312B">
        <w:rPr>
          <w:sz w:val="22"/>
          <w:szCs w:val="22"/>
        </w:rPr>
        <w:t xml:space="preserve"> </w:t>
      </w:r>
      <w:r w:rsidRPr="0054224C">
        <w:rPr>
          <w:sz w:val="22"/>
          <w:szCs w:val="22"/>
        </w:rPr>
        <w:t>és csökkent veseműködés (beleértve az akut veseelégtelenség) kockázatát. A RAAS ACE-gátlók,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1C2BD7">
        <w:rPr>
          <w:sz w:val="22"/>
          <w:szCs w:val="22"/>
        </w:rPr>
        <w:t>é</w:t>
      </w:r>
      <w:r w:rsidRPr="0054224C">
        <w:rPr>
          <w:sz w:val="22"/>
          <w:szCs w:val="22"/>
        </w:rPr>
        <w:t>n kombinált alkalmazásával történő kettős blokádja ezért nem javasolt (lásd 4.5 és 5.1 pont).</w:t>
      </w:r>
    </w:p>
    <w:p w14:paraId="2962B128" w14:textId="77777777" w:rsidR="0014272B" w:rsidRPr="0054224C" w:rsidRDefault="0014272B" w:rsidP="00C560EC">
      <w:pPr>
        <w:rPr>
          <w:sz w:val="22"/>
          <w:szCs w:val="22"/>
        </w:rPr>
      </w:pPr>
      <w:r w:rsidRPr="0054224C">
        <w:rPr>
          <w:sz w:val="22"/>
          <w:szCs w:val="22"/>
        </w:rPr>
        <w:t>Ha a kettős-blokád</w:t>
      </w:r>
      <w:r w:rsidR="001C2BD7">
        <w:rPr>
          <w:sz w:val="22"/>
          <w:szCs w:val="22"/>
        </w:rPr>
        <w:t>-</w:t>
      </w:r>
      <w:r w:rsidRPr="0054224C">
        <w:rPr>
          <w:sz w:val="22"/>
          <w:szCs w:val="22"/>
        </w:rPr>
        <w:t xml:space="preserve">kezelést abszolút szükségesnek ítélik, ez csak szakorvos felügyeletével, a vesefunkció, </w:t>
      </w:r>
      <w:r w:rsidR="00BE2C56">
        <w:rPr>
          <w:sz w:val="22"/>
          <w:szCs w:val="22"/>
        </w:rPr>
        <w:t xml:space="preserve">az </w:t>
      </w:r>
      <w:r w:rsidRPr="0054224C">
        <w:rPr>
          <w:sz w:val="22"/>
          <w:szCs w:val="22"/>
        </w:rPr>
        <w:t>elektrolitszintek és a vérnyomás gyakori és szoros ellenőrzése mellett történhet.</w:t>
      </w:r>
    </w:p>
    <w:p w14:paraId="4A3305FA" w14:textId="77777777" w:rsidR="000A5BD1" w:rsidRDefault="0014272B" w:rsidP="001C2BD7">
      <w:pPr>
        <w:tabs>
          <w:tab w:val="left" w:pos="567"/>
        </w:tabs>
        <w:rPr>
          <w:sz w:val="22"/>
          <w:szCs w:val="22"/>
        </w:rPr>
      </w:pPr>
      <w:r w:rsidRPr="0054224C">
        <w:rPr>
          <w:sz w:val="22"/>
          <w:szCs w:val="22"/>
        </w:rPr>
        <w:t>Az ACE-gátlók és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 xml:space="preserve">blokkolók </w:t>
      </w:r>
      <w:r w:rsidR="00A62294" w:rsidRPr="000720D3">
        <w:rPr>
          <w:sz w:val="22"/>
          <w:szCs w:val="22"/>
        </w:rPr>
        <w:t>nem alkalmazhatók egyidejűleg diabeteses nephropathiában szenvedő betegeknél</w:t>
      </w:r>
      <w:r w:rsidRPr="0054224C">
        <w:rPr>
          <w:sz w:val="22"/>
          <w:szCs w:val="22"/>
        </w:rPr>
        <w:t>.</w:t>
      </w:r>
    </w:p>
    <w:p w14:paraId="22791560" w14:textId="77777777" w:rsidR="0014272B" w:rsidRPr="00345BCE" w:rsidRDefault="0014272B" w:rsidP="00EA386A">
      <w:pPr>
        <w:tabs>
          <w:tab w:val="left" w:pos="567"/>
        </w:tabs>
        <w:rPr>
          <w:sz w:val="22"/>
          <w:szCs w:val="22"/>
        </w:rPr>
      </w:pPr>
    </w:p>
    <w:p w14:paraId="1A35B747" w14:textId="77777777" w:rsidR="003E659B" w:rsidRPr="00345BCE" w:rsidRDefault="003E659B" w:rsidP="00EA386A">
      <w:pPr>
        <w:rPr>
          <w:i/>
          <w:iCs/>
          <w:color w:val="000000"/>
          <w:sz w:val="22"/>
          <w:szCs w:val="22"/>
          <w:u w:val="single"/>
        </w:rPr>
      </w:pPr>
      <w:r w:rsidRPr="00345BCE">
        <w:rPr>
          <w:i/>
          <w:iCs/>
          <w:color w:val="000000"/>
          <w:sz w:val="22"/>
          <w:szCs w:val="22"/>
          <w:u w:val="single"/>
        </w:rPr>
        <w:t>Gyermek</w:t>
      </w:r>
      <w:r w:rsidR="0051702A" w:rsidRPr="00B0458C">
        <w:rPr>
          <w:i/>
          <w:iCs/>
          <w:color w:val="000000"/>
          <w:sz w:val="22"/>
          <w:szCs w:val="22"/>
          <w:u w:val="single"/>
        </w:rPr>
        <w:t>ek</w:t>
      </w:r>
      <w:r w:rsidR="00582120" w:rsidRPr="00B0458C">
        <w:rPr>
          <w:i/>
          <w:iCs/>
          <w:color w:val="000000"/>
          <w:sz w:val="22"/>
          <w:szCs w:val="22"/>
          <w:u w:val="single"/>
        </w:rPr>
        <w:t xml:space="preserve"> </w:t>
      </w:r>
      <w:r w:rsidR="00582120" w:rsidRPr="00C560EC">
        <w:rPr>
          <w:i/>
          <w:iCs/>
          <w:color w:val="000000"/>
          <w:sz w:val="22"/>
          <w:szCs w:val="22"/>
          <w:u w:val="single"/>
        </w:rPr>
        <w:t>és serdülők</w:t>
      </w:r>
    </w:p>
    <w:p w14:paraId="19C4E980" w14:textId="77777777" w:rsidR="003E659B" w:rsidRPr="00345BCE" w:rsidRDefault="003E659B" w:rsidP="00EA386A">
      <w:pPr>
        <w:rPr>
          <w:color w:val="000000"/>
          <w:sz w:val="22"/>
          <w:szCs w:val="22"/>
        </w:rPr>
      </w:pPr>
    </w:p>
    <w:p w14:paraId="323E8AA6" w14:textId="77777777" w:rsidR="003E659B" w:rsidRPr="00345BCE" w:rsidRDefault="003E659B" w:rsidP="0097699A">
      <w:pPr>
        <w:rPr>
          <w:color w:val="000000"/>
          <w:sz w:val="22"/>
          <w:szCs w:val="22"/>
          <w:u w:val="single"/>
        </w:rPr>
      </w:pPr>
      <w:r w:rsidRPr="00345BCE">
        <w:rPr>
          <w:color w:val="000000"/>
          <w:sz w:val="22"/>
          <w:szCs w:val="22"/>
          <w:u w:val="single"/>
        </w:rPr>
        <w:t>Vesekárosodás</w:t>
      </w:r>
    </w:p>
    <w:p w14:paraId="2459D028" w14:textId="47214D3B" w:rsidR="003E659B" w:rsidRPr="00694832" w:rsidRDefault="003E659B" w:rsidP="00666A5A">
      <w:pPr>
        <w:rPr>
          <w:sz w:val="22"/>
          <w:szCs w:val="22"/>
        </w:rPr>
      </w:pPr>
      <w:r w:rsidRPr="00694832">
        <w:rPr>
          <w:sz w:val="22"/>
          <w:szCs w:val="22"/>
        </w:rPr>
        <w:t xml:space="preserve">Alkalmazását azoknál a </w:t>
      </w:r>
      <w:r w:rsidR="004A25AD" w:rsidRPr="004A25AD">
        <w:rPr>
          <w:sz w:val="22"/>
          <w:szCs w:val="22"/>
        </w:rPr>
        <w:t>gyermekeknél és serdülőknél</w:t>
      </w:r>
      <w:r w:rsidRPr="00694832">
        <w:rPr>
          <w:sz w:val="22"/>
          <w:szCs w:val="22"/>
        </w:rPr>
        <w:t>, akiknek a kreatitnin</w:t>
      </w:r>
      <w:r w:rsidRPr="00694832">
        <w:rPr>
          <w:sz w:val="22"/>
          <w:szCs w:val="22"/>
        </w:rPr>
        <w:noBreakHyphen/>
        <w:t>clearance</w:t>
      </w:r>
      <w:r w:rsidRPr="00694832">
        <w:rPr>
          <w:sz w:val="22"/>
          <w:szCs w:val="22"/>
        </w:rPr>
        <w:noBreakHyphen/>
        <w:t>e &lt;</w:t>
      </w:r>
      <w:r w:rsidR="00450388" w:rsidRPr="00694832">
        <w:rPr>
          <w:sz w:val="22"/>
          <w:szCs w:val="22"/>
        </w:rPr>
        <w:t> </w:t>
      </w:r>
      <w:r w:rsidRPr="00694832">
        <w:rPr>
          <w:sz w:val="22"/>
          <w:szCs w:val="22"/>
        </w:rPr>
        <w:t xml:space="preserve">30 ml/perc, valamint a dialízis alatt álló </w:t>
      </w:r>
      <w:r w:rsidR="004A25AD" w:rsidRPr="004A25AD">
        <w:rPr>
          <w:sz w:val="22"/>
          <w:szCs w:val="22"/>
        </w:rPr>
        <w:t>gyermekeknél és serdülőknél</w:t>
      </w:r>
      <w:r w:rsidRPr="00694832">
        <w:rPr>
          <w:sz w:val="22"/>
          <w:szCs w:val="22"/>
        </w:rPr>
        <w:t xml:space="preserve"> nem vizsgálták, ezért a valzartán ezeknek a betegeknek nem javasolt. </w:t>
      </w:r>
      <w:r w:rsidRPr="003879DD">
        <w:rPr>
          <w:sz w:val="22"/>
          <w:szCs w:val="22"/>
        </w:rPr>
        <w:t>Nem szükséges a dózis módosítása azoknál a</w:t>
      </w:r>
      <w:r w:rsidRPr="00694832">
        <w:rPr>
          <w:sz w:val="22"/>
          <w:szCs w:val="22"/>
        </w:rPr>
        <w:t xml:space="preserve"> </w:t>
      </w:r>
      <w:r w:rsidR="004A25AD" w:rsidRPr="004A25AD">
        <w:rPr>
          <w:sz w:val="22"/>
          <w:szCs w:val="22"/>
        </w:rPr>
        <w:t>gyermekeknél és serdülőknél</w:t>
      </w:r>
      <w:r w:rsidRPr="003879DD">
        <w:rPr>
          <w:sz w:val="22"/>
          <w:szCs w:val="22"/>
        </w:rPr>
        <w:t>, akik</w:t>
      </w:r>
      <w:r w:rsidR="00BE2C56" w:rsidRPr="003879DD">
        <w:rPr>
          <w:sz w:val="22"/>
          <w:szCs w:val="22"/>
        </w:rPr>
        <w:t>nek a</w:t>
      </w:r>
      <w:r w:rsidRPr="003879DD">
        <w:rPr>
          <w:sz w:val="22"/>
          <w:szCs w:val="22"/>
        </w:rPr>
        <w:t xml:space="preserve"> kreatinin</w:t>
      </w:r>
      <w:r w:rsidRPr="003879DD">
        <w:rPr>
          <w:sz w:val="22"/>
          <w:szCs w:val="22"/>
        </w:rPr>
        <w:noBreakHyphen/>
        <w:t>clearance</w:t>
      </w:r>
      <w:r w:rsidRPr="003879DD">
        <w:rPr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450388">
        <w:rPr>
          <w:sz w:val="22"/>
          <w:szCs w:val="22"/>
        </w:rPr>
        <w:t> </w:t>
      </w:r>
      <w:r w:rsidRPr="00345BCE">
        <w:rPr>
          <w:sz w:val="22"/>
          <w:szCs w:val="22"/>
        </w:rPr>
        <w:t>30 ml/perc (lásd 4.2 és 5.2 pont)</w:t>
      </w:r>
      <w:r w:rsidRPr="00694832">
        <w:rPr>
          <w:sz w:val="22"/>
          <w:szCs w:val="22"/>
        </w:rPr>
        <w:t>. A vesefunkciót és a szérum káliumszintet szorosan ellenőrizni kell a valzartán</w:t>
      </w:r>
      <w:r w:rsidRPr="00694832">
        <w:rPr>
          <w:sz w:val="22"/>
          <w:szCs w:val="22"/>
        </w:rPr>
        <w:noBreakHyphen/>
        <w:t>kezelés során. Ez különösen érvényes abban az esetben, amikor a valzartánt egyéb, olyan betegségek (láz, dehydratio) fennállásakor adják, melyek a vesefunkció károsodásához vezethetnek.</w:t>
      </w:r>
    </w:p>
    <w:p w14:paraId="24935DCF" w14:textId="77777777" w:rsidR="000A5BD1" w:rsidRPr="001F39B9" w:rsidRDefault="000A5BD1" w:rsidP="00694832">
      <w:pPr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450388">
        <w:rPr>
          <w:sz w:val="22"/>
          <w:szCs w:val="22"/>
        </w:rPr>
        <w:t>é</w:t>
      </w:r>
      <w:r>
        <w:rPr>
          <w:sz w:val="22"/>
          <w:szCs w:val="22"/>
        </w:rPr>
        <w:t xml:space="preserve">n ARB-kel (beleértve a valzartánt) vagy 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-</w:t>
      </w:r>
      <w:r w:rsidRPr="001F39B9">
        <w:rPr>
          <w:sz w:val="22"/>
          <w:szCs w:val="22"/>
        </w:rPr>
        <w:t xml:space="preserve">gátlókkal történő egyidejű </w:t>
      </w:r>
      <w:r>
        <w:rPr>
          <w:sz w:val="22"/>
          <w:szCs w:val="22"/>
        </w:rPr>
        <w:t xml:space="preserve">alkalmazása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60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ml/perc/1,73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 és 4.5 </w:t>
      </w:r>
      <w:r w:rsidRPr="001F39B9">
        <w:rPr>
          <w:sz w:val="22"/>
          <w:szCs w:val="22"/>
        </w:rPr>
        <w:t>pont).</w:t>
      </w:r>
    </w:p>
    <w:p w14:paraId="4482886B" w14:textId="77777777" w:rsidR="003E659B" w:rsidRPr="00345BCE" w:rsidRDefault="003E659B" w:rsidP="001902F4">
      <w:pPr>
        <w:rPr>
          <w:rFonts w:ascii="TimesNewRomanPSMT" w:hAnsi="TimesNewRomanPSMT" w:cs="TimesNewRomanPSMT"/>
          <w:color w:val="000000"/>
          <w:sz w:val="22"/>
          <w:szCs w:val="22"/>
          <w:lang w:bidi="th-TH"/>
        </w:rPr>
      </w:pPr>
    </w:p>
    <w:p w14:paraId="5EB84FE1" w14:textId="77777777" w:rsidR="003E659B" w:rsidRPr="00345BCE" w:rsidRDefault="003E659B" w:rsidP="001902F4">
      <w:pPr>
        <w:rPr>
          <w:color w:val="000000"/>
          <w:sz w:val="22"/>
          <w:szCs w:val="22"/>
          <w:u w:val="single"/>
        </w:rPr>
      </w:pPr>
      <w:r w:rsidRPr="00345BCE">
        <w:rPr>
          <w:color w:val="000000"/>
          <w:sz w:val="22"/>
          <w:szCs w:val="22"/>
          <w:u w:val="single"/>
        </w:rPr>
        <w:t>Májkárosodás</w:t>
      </w:r>
    </w:p>
    <w:p w14:paraId="5FDD50DD" w14:textId="7DCDBA19" w:rsidR="003E659B" w:rsidRPr="00345BCE" w:rsidRDefault="003E659B" w:rsidP="00B0458C">
      <w:pPr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felnőttekhez hasonlóan a s</w:t>
      </w:r>
      <w:r w:rsidRPr="00345BCE">
        <w:rPr>
          <w:bCs/>
          <w:sz w:val="22"/>
          <w:szCs w:val="22"/>
        </w:rPr>
        <w:t xml:space="preserve">úlyos májkárosodásban, biliaris cirrhosisban, valamint cholestasisban szenvedő </w:t>
      </w:r>
      <w:r w:rsidR="004A25AD" w:rsidRPr="00694832">
        <w:rPr>
          <w:color w:val="000000"/>
          <w:sz w:val="22"/>
          <w:szCs w:val="22"/>
        </w:rPr>
        <w:t>gyermekeknél és serdülőknél</w:t>
      </w:r>
      <w:r w:rsidRPr="00694832">
        <w:rPr>
          <w:color w:val="000000"/>
          <w:sz w:val="22"/>
          <w:szCs w:val="22"/>
        </w:rPr>
        <w:t xml:space="preserve"> </w:t>
      </w:r>
      <w:r w:rsidRPr="00345BCE">
        <w:rPr>
          <w:bCs/>
          <w:sz w:val="22"/>
          <w:szCs w:val="22"/>
        </w:rPr>
        <w:t xml:space="preserve">a </w:t>
      </w:r>
      <w:r w:rsidR="00345BCE" w:rsidRPr="00345BCE">
        <w:rPr>
          <w:bCs/>
          <w:sz w:val="22"/>
          <w:szCs w:val="22"/>
        </w:rPr>
        <w:t>Valsartan Sandoz</w:t>
      </w:r>
      <w:r w:rsidRPr="00345BCE">
        <w:rPr>
          <w:bCs/>
          <w:sz w:val="22"/>
          <w:szCs w:val="22"/>
        </w:rPr>
        <w:t xml:space="preserve"> ellenjavallt (lásd 4.3 és 5.2 pont)</w:t>
      </w:r>
      <w:r w:rsidRPr="00345BCE">
        <w:rPr>
          <w:color w:val="000000"/>
          <w:sz w:val="22"/>
          <w:szCs w:val="22"/>
        </w:rPr>
        <w:t xml:space="preserve">. Az </w:t>
      </w:r>
      <w:r w:rsidRPr="00345BCE">
        <w:rPr>
          <w:bCs/>
          <w:sz w:val="22"/>
          <w:szCs w:val="22"/>
        </w:rPr>
        <w:t xml:space="preserve">enyhe vagy közepesen súlyos májkárosodásban szenvedő </w:t>
      </w:r>
      <w:r w:rsidR="004A25AD" w:rsidRPr="004A25AD">
        <w:rPr>
          <w:bCs/>
          <w:sz w:val="22"/>
          <w:szCs w:val="22"/>
        </w:rPr>
        <w:t>gyermekeknél és serdülőknél</w:t>
      </w:r>
      <w:r w:rsidRPr="00345BCE">
        <w:rPr>
          <w:bCs/>
          <w:sz w:val="22"/>
          <w:szCs w:val="22"/>
        </w:rPr>
        <w:t xml:space="preserve"> a </w:t>
      </w:r>
      <w:r w:rsidR="00903A65">
        <w:rPr>
          <w:bCs/>
          <w:sz w:val="22"/>
          <w:szCs w:val="22"/>
        </w:rPr>
        <w:t>v</w:t>
      </w:r>
      <w:r w:rsidR="00345BCE" w:rsidRPr="00345BCE">
        <w:rPr>
          <w:bCs/>
          <w:sz w:val="22"/>
          <w:szCs w:val="22"/>
        </w:rPr>
        <w:t>al</w:t>
      </w:r>
      <w:r w:rsidR="00F06F37">
        <w:rPr>
          <w:bCs/>
          <w:sz w:val="22"/>
          <w:szCs w:val="22"/>
        </w:rPr>
        <w:t>z</w:t>
      </w:r>
      <w:r w:rsidR="00345BCE" w:rsidRPr="00345BCE">
        <w:rPr>
          <w:bCs/>
          <w:sz w:val="22"/>
          <w:szCs w:val="22"/>
        </w:rPr>
        <w:t>art</w:t>
      </w:r>
      <w:r w:rsidR="00F06F37">
        <w:rPr>
          <w:bCs/>
          <w:sz w:val="22"/>
          <w:szCs w:val="22"/>
        </w:rPr>
        <w:t>á</w:t>
      </w:r>
      <w:r w:rsidR="00345BCE" w:rsidRPr="00345BCE">
        <w:rPr>
          <w:bCs/>
          <w:sz w:val="22"/>
          <w:szCs w:val="22"/>
        </w:rPr>
        <w:t>n</w:t>
      </w:r>
      <w:r w:rsidRPr="00345BCE">
        <w:rPr>
          <w:bCs/>
          <w:sz w:val="22"/>
          <w:szCs w:val="22"/>
        </w:rPr>
        <w:t xml:space="preserve">nal szerzett klinikai tapasztalat korlátozott. </w:t>
      </w:r>
      <w:r w:rsidRPr="00345BCE">
        <w:rPr>
          <w:color w:val="000000"/>
          <w:sz w:val="22"/>
          <w:szCs w:val="22"/>
        </w:rPr>
        <w:t>A valzartán dózisa ezeknél a betegeknél nem haladhatja meg a 80 mg</w:t>
      </w:r>
      <w:r w:rsidRPr="00345BCE">
        <w:rPr>
          <w:color w:val="000000"/>
          <w:sz w:val="22"/>
          <w:szCs w:val="22"/>
        </w:rPr>
        <w:noBreakHyphen/>
        <w:t>ot.</w:t>
      </w:r>
    </w:p>
    <w:p w14:paraId="48741E3A" w14:textId="77777777" w:rsidR="001918C6" w:rsidRPr="00345BCE" w:rsidRDefault="001918C6" w:rsidP="00C560EC">
      <w:pPr>
        <w:tabs>
          <w:tab w:val="left" w:pos="567"/>
        </w:tabs>
        <w:rPr>
          <w:sz w:val="22"/>
          <w:szCs w:val="22"/>
        </w:rPr>
      </w:pPr>
    </w:p>
    <w:p w14:paraId="29B87F26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4.5</w:t>
      </w:r>
      <w:r w:rsidRPr="00345BCE">
        <w:rPr>
          <w:b/>
          <w:sz w:val="22"/>
          <w:szCs w:val="22"/>
        </w:rPr>
        <w:tab/>
        <w:t>Gyógyszerkölcsönhatások és egyéb interakciók</w:t>
      </w:r>
    </w:p>
    <w:p w14:paraId="25F293BF" w14:textId="77777777" w:rsidR="000A7E88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661AD00A" w14:textId="77777777" w:rsidR="000A5BD1" w:rsidRDefault="000A5BD1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0A5BD1">
        <w:rPr>
          <w:i/>
          <w:sz w:val="22"/>
          <w:szCs w:val="22"/>
          <w:u w:val="single"/>
        </w:rPr>
        <w:t>A renin-angiotenzin-aldoszteron rendszer (RAAS) kettős blokádja ARB-kel, ACE-gátlókkal vagy aliszkir</w:t>
      </w:r>
      <w:r w:rsidR="00450388">
        <w:rPr>
          <w:i/>
          <w:sz w:val="22"/>
          <w:szCs w:val="22"/>
          <w:u w:val="single"/>
        </w:rPr>
        <w:t>é</w:t>
      </w:r>
      <w:r w:rsidRPr="000A5BD1">
        <w:rPr>
          <w:i/>
          <w:sz w:val="22"/>
          <w:szCs w:val="22"/>
          <w:u w:val="single"/>
        </w:rPr>
        <w:t>nnel</w:t>
      </w:r>
    </w:p>
    <w:p w14:paraId="2DABFEAE" w14:textId="77777777" w:rsidR="00331013" w:rsidRPr="0054224C" w:rsidRDefault="00331013" w:rsidP="00C560EC">
      <w:pPr>
        <w:tabs>
          <w:tab w:val="left" w:pos="567"/>
        </w:tabs>
        <w:rPr>
          <w:sz w:val="22"/>
          <w:szCs w:val="22"/>
        </w:rPr>
      </w:pPr>
      <w:r w:rsidRPr="0054224C">
        <w:rPr>
          <w:sz w:val="22"/>
          <w:szCs w:val="22"/>
        </w:rPr>
        <w:t>A klinikai vizsgálati adatok azt mutatták, hogy a renin-angiotenzin-aldoszteron rendszernek (RAAS) ACE</w:t>
      </w:r>
      <w:r w:rsidR="00450388">
        <w:rPr>
          <w:sz w:val="22"/>
          <w:szCs w:val="22"/>
        </w:rPr>
        <w:noBreakHyphen/>
      </w:r>
      <w:r w:rsidRPr="0054224C">
        <w:rPr>
          <w:sz w:val="22"/>
          <w:szCs w:val="22"/>
        </w:rPr>
        <w:t>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450388">
        <w:rPr>
          <w:sz w:val="22"/>
          <w:szCs w:val="22"/>
        </w:rPr>
        <w:t>é</w:t>
      </w:r>
      <w:r w:rsidRPr="0054224C">
        <w:rPr>
          <w:sz w:val="22"/>
          <w:szCs w:val="22"/>
        </w:rPr>
        <w:t>n kombinációjával történő kettős blokádja nagyobb gyakorisággal okoz mellékhatásokat, például h</w:t>
      </w:r>
      <w:r w:rsidR="002321C3">
        <w:rPr>
          <w:sz w:val="22"/>
          <w:szCs w:val="22"/>
        </w:rPr>
        <w:t>y</w:t>
      </w:r>
      <w:r w:rsidRPr="0054224C">
        <w:rPr>
          <w:sz w:val="22"/>
          <w:szCs w:val="22"/>
        </w:rPr>
        <w:t>pot</w:t>
      </w:r>
      <w:r w:rsidR="002321C3">
        <w:rPr>
          <w:sz w:val="22"/>
          <w:szCs w:val="22"/>
        </w:rPr>
        <w:t>o</w:t>
      </w:r>
      <w:r w:rsidRPr="0054224C">
        <w:rPr>
          <w:sz w:val="22"/>
          <w:szCs w:val="22"/>
        </w:rPr>
        <w:t>niát, h</w:t>
      </w:r>
      <w:r w:rsidR="002321C3">
        <w:rPr>
          <w:sz w:val="22"/>
          <w:szCs w:val="22"/>
        </w:rPr>
        <w:t>y</w:t>
      </w:r>
      <w:r w:rsidRPr="0054224C">
        <w:rPr>
          <w:sz w:val="22"/>
          <w:szCs w:val="22"/>
        </w:rPr>
        <w:t>perkal</w:t>
      </w:r>
      <w:r w:rsidR="002321C3">
        <w:rPr>
          <w:sz w:val="22"/>
          <w:szCs w:val="22"/>
        </w:rPr>
        <w:t>ae</w:t>
      </w:r>
      <w:r w:rsidRPr="0054224C">
        <w:rPr>
          <w:sz w:val="22"/>
          <w:szCs w:val="22"/>
        </w:rPr>
        <w:t>miát vagy beszűkült veseműködést (többek között akut veseelégtelenséget), mint csak egyféle RAAS-ra ható szer alkalmazása (lásd 4.3, 4.4 és 5.1 pont).</w:t>
      </w:r>
    </w:p>
    <w:p w14:paraId="3A561408" w14:textId="77777777" w:rsidR="00331013" w:rsidRDefault="00331013" w:rsidP="00C560EC">
      <w:pPr>
        <w:tabs>
          <w:tab w:val="left" w:pos="567"/>
        </w:tabs>
        <w:rPr>
          <w:sz w:val="22"/>
          <w:szCs w:val="22"/>
        </w:rPr>
      </w:pPr>
    </w:p>
    <w:p w14:paraId="134B40F0" w14:textId="77777777" w:rsidR="00573067" w:rsidRPr="00163E70" w:rsidRDefault="00573067" w:rsidP="00C560EC">
      <w:pPr>
        <w:tabs>
          <w:tab w:val="left" w:pos="567"/>
        </w:tabs>
        <w:rPr>
          <w:sz w:val="22"/>
          <w:szCs w:val="22"/>
        </w:rPr>
      </w:pPr>
      <w:r w:rsidRPr="000720D3">
        <w:rPr>
          <w:sz w:val="22"/>
          <w:szCs w:val="22"/>
        </w:rPr>
        <w:t>Óvatosság szükséges az ARB-k (beleértve a valzartánt) és más renin-angiotenzin rendszert gátló hatóanyagok, így az ACE-gátlók vagy az aliszkir</w:t>
      </w:r>
      <w:r w:rsidR="00450388">
        <w:rPr>
          <w:sz w:val="22"/>
          <w:szCs w:val="22"/>
        </w:rPr>
        <w:t>é</w:t>
      </w:r>
      <w:r w:rsidRPr="000720D3">
        <w:rPr>
          <w:sz w:val="22"/>
          <w:szCs w:val="22"/>
        </w:rPr>
        <w:t>n együttes alkalmazásakor (lásd 4.4 pont).</w:t>
      </w:r>
    </w:p>
    <w:p w14:paraId="4906FC59" w14:textId="77777777" w:rsidR="00573067" w:rsidRDefault="00573067" w:rsidP="00C560EC">
      <w:pPr>
        <w:tabs>
          <w:tab w:val="left" w:pos="567"/>
        </w:tabs>
        <w:rPr>
          <w:sz w:val="22"/>
          <w:szCs w:val="22"/>
        </w:rPr>
      </w:pPr>
    </w:p>
    <w:p w14:paraId="2C0BAEE9" w14:textId="77777777" w:rsidR="000A5BD1" w:rsidRPr="000A5BD1" w:rsidRDefault="000A5BD1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450388">
        <w:rPr>
          <w:sz w:val="22"/>
          <w:szCs w:val="22"/>
        </w:rPr>
        <w:t>é</w:t>
      </w:r>
      <w:r>
        <w:rPr>
          <w:sz w:val="22"/>
          <w:szCs w:val="22"/>
        </w:rPr>
        <w:t>n angiotenzin</w:t>
      </w:r>
      <w:r w:rsidR="002B7DB7">
        <w:rPr>
          <w:sz w:val="22"/>
          <w:szCs w:val="22"/>
        </w:rPr>
        <w:t>-</w:t>
      </w:r>
      <w:r>
        <w:rPr>
          <w:sz w:val="22"/>
          <w:szCs w:val="22"/>
        </w:rPr>
        <w:t>receptor</w:t>
      </w:r>
      <w:r w:rsidR="002B7DB7">
        <w:rPr>
          <w:sz w:val="22"/>
          <w:szCs w:val="22"/>
        </w:rPr>
        <w:t>-</w:t>
      </w:r>
      <w:r>
        <w:rPr>
          <w:sz w:val="22"/>
          <w:szCs w:val="22"/>
        </w:rPr>
        <w:t>antagonistákkal (ARB</w:t>
      </w:r>
      <w:r w:rsidR="00355A5E">
        <w:rPr>
          <w:sz w:val="22"/>
          <w:szCs w:val="22"/>
        </w:rPr>
        <w:t>-k</w:t>
      </w:r>
      <w:r>
        <w:rPr>
          <w:sz w:val="22"/>
          <w:szCs w:val="22"/>
        </w:rPr>
        <w:t xml:space="preserve">, beleértve a valzartánt) vagy </w:t>
      </w:r>
      <w:r w:rsidRPr="00345BCE">
        <w:rPr>
          <w:sz w:val="22"/>
          <w:szCs w:val="22"/>
        </w:rPr>
        <w:t>angiotenzin</w:t>
      </w:r>
      <w:r w:rsidR="00450388">
        <w:rPr>
          <w:sz w:val="22"/>
          <w:szCs w:val="22"/>
        </w:rPr>
        <w:noBreakHyphen/>
      </w:r>
      <w:r w:rsidRPr="00345BCE">
        <w:rPr>
          <w:sz w:val="22"/>
          <w:szCs w:val="22"/>
        </w:rPr>
        <w:t>konvertáló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enzim </w:t>
      </w:r>
      <w:r>
        <w:rPr>
          <w:sz w:val="22"/>
          <w:szCs w:val="22"/>
        </w:rPr>
        <w:t>(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)</w:t>
      </w:r>
      <w:r w:rsidR="006E5D87">
        <w:rPr>
          <w:sz w:val="22"/>
          <w:szCs w:val="22"/>
        </w:rPr>
        <w:t>-</w:t>
      </w:r>
      <w:r w:rsidRPr="001F39B9">
        <w:rPr>
          <w:sz w:val="22"/>
          <w:szCs w:val="22"/>
        </w:rPr>
        <w:t>gátlókkal történő egyidejű alkalmazása diabetes mellitusban</w:t>
      </w:r>
      <w:r>
        <w:rPr>
          <w:sz w:val="22"/>
          <w:szCs w:val="22"/>
        </w:rPr>
        <w:t xml:space="preserve"> </w:t>
      </w:r>
      <w:r w:rsidRPr="001F39B9">
        <w:rPr>
          <w:sz w:val="22"/>
          <w:szCs w:val="22"/>
        </w:rPr>
        <w:t xml:space="preserve">szenvedő betegeknél vagy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60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ml/perc/1,73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 </w:t>
      </w:r>
      <w:r w:rsidRPr="001F39B9">
        <w:rPr>
          <w:sz w:val="22"/>
          <w:szCs w:val="22"/>
        </w:rPr>
        <w:t>pont).</w:t>
      </w:r>
    </w:p>
    <w:p w14:paraId="5741EC8C" w14:textId="77777777" w:rsidR="000A5BD1" w:rsidRPr="00345BCE" w:rsidRDefault="000A5BD1" w:rsidP="00C560EC">
      <w:pPr>
        <w:tabs>
          <w:tab w:val="left" w:pos="567"/>
        </w:tabs>
        <w:rPr>
          <w:b/>
          <w:sz w:val="22"/>
          <w:szCs w:val="22"/>
        </w:rPr>
      </w:pPr>
    </w:p>
    <w:p w14:paraId="171C90C7" w14:textId="77777777" w:rsidR="00280771" w:rsidRPr="00345BCE" w:rsidRDefault="00280771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 w:rsidRPr="00345BCE">
        <w:rPr>
          <w:bCs/>
          <w:i/>
          <w:iCs/>
          <w:sz w:val="22"/>
          <w:szCs w:val="22"/>
          <w:u w:val="single"/>
        </w:rPr>
        <w:t>Az egyidejű alkalmazás nem ajánlott</w:t>
      </w:r>
    </w:p>
    <w:p w14:paraId="3DEAD492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74E9BA4E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Lítium</w:t>
      </w:r>
    </w:p>
    <w:p w14:paraId="459D374D" w14:textId="77777777" w:rsidR="00280771" w:rsidRPr="00345BCE" w:rsidRDefault="00B61C32" w:rsidP="00C560EC">
      <w:pPr>
        <w:rPr>
          <w:sz w:val="22"/>
          <w:szCs w:val="22"/>
        </w:rPr>
      </w:pPr>
      <w:r>
        <w:rPr>
          <w:sz w:val="22"/>
          <w:szCs w:val="22"/>
        </w:rPr>
        <w:t xml:space="preserve">A lítium </w:t>
      </w:r>
      <w:r w:rsidRPr="00127DDD">
        <w:rPr>
          <w:sz w:val="22"/>
          <w:szCs w:val="22"/>
        </w:rPr>
        <w:t>angiotenzin</w:t>
      </w:r>
      <w:r w:rsidR="006E5D87">
        <w:rPr>
          <w:sz w:val="22"/>
          <w:szCs w:val="22"/>
        </w:rPr>
        <w:t>-</w:t>
      </w:r>
      <w:r w:rsidRPr="00127DDD">
        <w:rPr>
          <w:sz w:val="22"/>
          <w:szCs w:val="22"/>
        </w:rPr>
        <w:t>konvertáló</w:t>
      </w:r>
      <w:r w:rsidR="006E5D87">
        <w:rPr>
          <w:sz w:val="22"/>
          <w:szCs w:val="22"/>
        </w:rPr>
        <w:t>-</w:t>
      </w:r>
      <w:r w:rsidRPr="00127DDD">
        <w:rPr>
          <w:sz w:val="22"/>
          <w:szCs w:val="22"/>
        </w:rPr>
        <w:t>enzimgátlók</w:t>
      </w:r>
      <w:r>
        <w:rPr>
          <w:sz w:val="22"/>
          <w:szCs w:val="22"/>
        </w:rPr>
        <w:t>kal</w:t>
      </w:r>
      <w:r w:rsidRPr="00127DDD">
        <w:rPr>
          <w:sz w:val="22"/>
          <w:szCs w:val="22"/>
        </w:rPr>
        <w:t xml:space="preserve"> vagy angiotenzin</w:t>
      </w:r>
      <w:r w:rsidR="002B7DB7">
        <w:rPr>
          <w:sz w:val="22"/>
          <w:szCs w:val="22"/>
        </w:rPr>
        <w:t>-</w:t>
      </w:r>
      <w:r w:rsidRPr="00127DDD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127DDD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>
        <w:rPr>
          <w:sz w:val="22"/>
          <w:szCs w:val="22"/>
        </w:rPr>
        <w:t>antagonist</w:t>
      </w:r>
      <w:r w:rsidR="006F1986">
        <w:rPr>
          <w:sz w:val="22"/>
          <w:szCs w:val="22"/>
        </w:rPr>
        <w:t>á</w:t>
      </w:r>
      <w:r w:rsidRPr="00127DDD">
        <w:rPr>
          <w:sz w:val="22"/>
          <w:szCs w:val="22"/>
        </w:rPr>
        <w:t>k</w:t>
      </w:r>
      <w:r>
        <w:rPr>
          <w:sz w:val="22"/>
          <w:szCs w:val="22"/>
        </w:rPr>
        <w:t>kal (mint a valzartán)</w:t>
      </w:r>
      <w:r w:rsidR="0008000D" w:rsidRPr="00B61C32" w:rsidDel="00272477">
        <w:rPr>
          <w:sz w:val="22"/>
          <w:szCs w:val="22"/>
        </w:rPr>
        <w:t xml:space="preserve"> </w:t>
      </w:r>
      <w:r w:rsidR="00280771" w:rsidRPr="00345BCE">
        <w:rPr>
          <w:sz w:val="22"/>
          <w:szCs w:val="22"/>
        </w:rPr>
        <w:t xml:space="preserve">való egyidejű adása esetén a szérum lítiumszint és </w:t>
      </w:r>
      <w:r w:rsidR="00C90B55" w:rsidRPr="00345BCE">
        <w:rPr>
          <w:sz w:val="22"/>
          <w:szCs w:val="22"/>
        </w:rPr>
        <w:t>-</w:t>
      </w:r>
      <w:r w:rsidR="00280771" w:rsidRPr="00345BCE">
        <w:rPr>
          <w:sz w:val="22"/>
          <w:szCs w:val="22"/>
        </w:rPr>
        <w:t xml:space="preserve">toxicitás </w:t>
      </w:r>
      <w:r w:rsidR="00C90B55" w:rsidRPr="00345BCE">
        <w:rPr>
          <w:sz w:val="22"/>
          <w:szCs w:val="22"/>
        </w:rPr>
        <w:t xml:space="preserve">reverzibilis </w:t>
      </w:r>
      <w:r w:rsidR="00280771" w:rsidRPr="00345BCE">
        <w:rPr>
          <w:sz w:val="22"/>
          <w:szCs w:val="22"/>
        </w:rPr>
        <w:t>emelkedéséről számoltak be. Amennyiben együttadásuk szükséges, a szérum lítiumszint</w:t>
      </w:r>
      <w:r w:rsidR="00C90B55" w:rsidRPr="00345BCE">
        <w:rPr>
          <w:sz w:val="22"/>
          <w:szCs w:val="22"/>
        </w:rPr>
        <w:t>ek</w:t>
      </w:r>
      <w:r w:rsidR="00280771" w:rsidRPr="00345BCE">
        <w:rPr>
          <w:sz w:val="22"/>
          <w:szCs w:val="22"/>
        </w:rPr>
        <w:t xml:space="preserve"> gondos monitorozása ajánlott.</w:t>
      </w:r>
      <w:r w:rsidR="00805EFD">
        <w:rPr>
          <w:sz w:val="22"/>
          <w:szCs w:val="22"/>
        </w:rPr>
        <w:t xml:space="preserve"> </w:t>
      </w:r>
      <w:r w:rsidR="009E0803">
        <w:rPr>
          <w:sz w:val="22"/>
          <w:szCs w:val="22"/>
        </w:rPr>
        <w:t>Diuretikum egyidejű alkalmazása esetén</w:t>
      </w:r>
      <w:r w:rsidRPr="00B61C32">
        <w:rPr>
          <w:sz w:val="22"/>
          <w:szCs w:val="22"/>
        </w:rPr>
        <w:t xml:space="preserve"> a lítiumtoxicitás kockázata tovább n</w:t>
      </w:r>
      <w:r w:rsidR="009E0803">
        <w:rPr>
          <w:sz w:val="22"/>
          <w:szCs w:val="22"/>
        </w:rPr>
        <w:t>övekedhet</w:t>
      </w:r>
      <w:r w:rsidRPr="00B61C32">
        <w:rPr>
          <w:sz w:val="22"/>
          <w:szCs w:val="22"/>
        </w:rPr>
        <w:t>.</w:t>
      </w:r>
    </w:p>
    <w:p w14:paraId="3B5F4D47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5224817F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lastRenderedPageBreak/>
        <w:t xml:space="preserve">Kálium-megtakarító diuretikumok, káliumpótlók, káliumtartalmú sópótlók és </w:t>
      </w:r>
      <w:r w:rsidR="00C90B55" w:rsidRPr="00345BCE">
        <w:rPr>
          <w:i/>
          <w:iCs/>
          <w:sz w:val="22"/>
          <w:szCs w:val="22"/>
        </w:rPr>
        <w:t xml:space="preserve">a káliumszintet növelő </w:t>
      </w:r>
      <w:r w:rsidRPr="00345BCE">
        <w:rPr>
          <w:i/>
          <w:iCs/>
          <w:sz w:val="22"/>
          <w:szCs w:val="22"/>
        </w:rPr>
        <w:t>egyéb készítmények</w:t>
      </w:r>
    </w:p>
    <w:p w14:paraId="5D88C3C5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Amennyiben szükségesnek tartják egy káliumszintet befolyásoló gyógyszer és a valzartán egyidejű alkalmazását, a plazma káliumszint monitorozása ajánlott.</w:t>
      </w:r>
    </w:p>
    <w:p w14:paraId="62CB4637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2B518A2B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345BCE">
        <w:rPr>
          <w:i/>
          <w:iCs/>
          <w:sz w:val="22"/>
          <w:szCs w:val="22"/>
          <w:u w:val="single"/>
        </w:rPr>
        <w:t>Egyidejű alkalmazás esetén betartandó óvintézkedések</w:t>
      </w:r>
    </w:p>
    <w:p w14:paraId="722E5375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7644A66A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Nem</w:t>
      </w:r>
      <w:r w:rsidR="00D83585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szteroid gyulladás</w:t>
      </w:r>
      <w:r w:rsidR="00037457" w:rsidRPr="00345BCE">
        <w:rPr>
          <w:i/>
          <w:iCs/>
          <w:sz w:val="22"/>
          <w:szCs w:val="22"/>
        </w:rPr>
        <w:t>gátlók</w:t>
      </w:r>
      <w:r w:rsidRPr="00345BCE">
        <w:rPr>
          <w:i/>
          <w:iCs/>
          <w:sz w:val="22"/>
          <w:szCs w:val="22"/>
        </w:rPr>
        <w:t xml:space="preserve"> (NSAID</w:t>
      </w:r>
      <w:r w:rsidRPr="00345BCE">
        <w:rPr>
          <w:i/>
          <w:iCs/>
          <w:sz w:val="22"/>
          <w:szCs w:val="22"/>
        </w:rPr>
        <w:noBreakHyphen/>
        <w:t>ok), beleértve a COX-2</w:t>
      </w:r>
      <w:r w:rsidR="00450388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gátlókat, acetilszalicilsavat (&gt;</w:t>
      </w:r>
      <w:r w:rsidR="00450388">
        <w:rPr>
          <w:i/>
          <w:iCs/>
          <w:sz w:val="22"/>
          <w:szCs w:val="22"/>
        </w:rPr>
        <w:t> </w:t>
      </w:r>
      <w:r w:rsidRPr="00345BCE">
        <w:rPr>
          <w:i/>
          <w:iCs/>
          <w:sz w:val="22"/>
          <w:szCs w:val="22"/>
        </w:rPr>
        <w:t>3</w:t>
      </w:r>
      <w:r w:rsidR="00450388">
        <w:rPr>
          <w:i/>
          <w:iCs/>
          <w:sz w:val="22"/>
          <w:szCs w:val="22"/>
        </w:rPr>
        <w:t> </w:t>
      </w:r>
      <w:r w:rsidRPr="00345BCE">
        <w:rPr>
          <w:i/>
          <w:iCs/>
          <w:sz w:val="22"/>
          <w:szCs w:val="22"/>
        </w:rPr>
        <w:t>g/nap) és a nem</w:t>
      </w:r>
      <w:r w:rsidR="00450388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szelektív nem</w:t>
      </w:r>
      <w:r w:rsidR="00D83585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szteroid gyulladás</w:t>
      </w:r>
      <w:r w:rsidR="00037457" w:rsidRPr="00345BCE">
        <w:rPr>
          <w:i/>
          <w:iCs/>
          <w:sz w:val="22"/>
          <w:szCs w:val="22"/>
        </w:rPr>
        <w:t>gátlókat</w:t>
      </w:r>
    </w:p>
    <w:p w14:paraId="42B1148A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és nem</w:t>
      </w:r>
      <w:r w:rsidR="00D83585">
        <w:rPr>
          <w:sz w:val="22"/>
          <w:szCs w:val="22"/>
        </w:rPr>
        <w:t>-</w:t>
      </w:r>
      <w:r w:rsidRPr="00345BCE">
        <w:rPr>
          <w:sz w:val="22"/>
          <w:szCs w:val="22"/>
        </w:rPr>
        <w:t>szteroid gyulladás</w:t>
      </w:r>
      <w:r w:rsidR="00037457" w:rsidRPr="00345BCE">
        <w:rPr>
          <w:sz w:val="22"/>
          <w:szCs w:val="22"/>
        </w:rPr>
        <w:t>gátlók</w:t>
      </w:r>
      <w:r w:rsidRPr="00345BCE">
        <w:rPr>
          <w:sz w:val="22"/>
          <w:szCs w:val="22"/>
        </w:rPr>
        <w:t xml:space="preserve"> egyidejű alkalmazása az antihipertenzív hatás csökkenésével járhat. Továbbá, 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és nem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>szteroid gyulladás</w:t>
      </w:r>
      <w:r w:rsidR="00037457" w:rsidRPr="00345BCE">
        <w:rPr>
          <w:sz w:val="22"/>
          <w:szCs w:val="22"/>
        </w:rPr>
        <w:t>gátlók</w:t>
      </w:r>
      <w:r w:rsidRPr="00345BCE">
        <w:rPr>
          <w:sz w:val="22"/>
          <w:szCs w:val="22"/>
        </w:rPr>
        <w:t xml:space="preserve"> egyidejű alkalmazása </w:t>
      </w:r>
      <w:r w:rsidR="006A3C6E" w:rsidRPr="00345BCE">
        <w:rPr>
          <w:sz w:val="22"/>
          <w:szCs w:val="22"/>
        </w:rPr>
        <w:t>fokozhatja</w:t>
      </w:r>
      <w:r w:rsidR="00855311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a vese</w:t>
      </w:r>
      <w:r w:rsidR="006A1949">
        <w:rPr>
          <w:sz w:val="22"/>
          <w:szCs w:val="22"/>
        </w:rPr>
        <w:t>funkció rosszabodásának</w:t>
      </w:r>
      <w:r w:rsidRPr="00345BCE">
        <w:rPr>
          <w:sz w:val="22"/>
          <w:szCs w:val="22"/>
        </w:rPr>
        <w:t xml:space="preserve"> kocká</w:t>
      </w:r>
      <w:r w:rsidR="00C637F0" w:rsidRPr="00345BCE">
        <w:rPr>
          <w:sz w:val="22"/>
          <w:szCs w:val="22"/>
        </w:rPr>
        <w:t>zat</w:t>
      </w:r>
      <w:r w:rsidR="00855311" w:rsidRPr="00345BCE">
        <w:rPr>
          <w:sz w:val="22"/>
          <w:szCs w:val="22"/>
        </w:rPr>
        <w:t>át</w:t>
      </w:r>
      <w:r w:rsidR="00C637F0" w:rsidRPr="00345BCE">
        <w:rPr>
          <w:sz w:val="22"/>
          <w:szCs w:val="22"/>
        </w:rPr>
        <w:t xml:space="preserve"> és a szér</w:t>
      </w:r>
      <w:r w:rsidRPr="00345BCE">
        <w:rPr>
          <w:sz w:val="22"/>
          <w:szCs w:val="22"/>
        </w:rPr>
        <w:t xml:space="preserve">um káliumszint emelkedéséhez vezethet. Ezért a kezelés elején </w:t>
      </w:r>
      <w:r w:rsidR="00C90B55" w:rsidRPr="00345BCE">
        <w:rPr>
          <w:sz w:val="22"/>
          <w:szCs w:val="22"/>
        </w:rPr>
        <w:t xml:space="preserve">javasolt </w:t>
      </w:r>
      <w:r w:rsidRPr="00345BCE">
        <w:rPr>
          <w:sz w:val="22"/>
          <w:szCs w:val="22"/>
        </w:rPr>
        <w:t>a veseműködés</w:t>
      </w:r>
      <w:r w:rsidR="00C90B55" w:rsidRPr="00345BCE">
        <w:rPr>
          <w:sz w:val="22"/>
          <w:szCs w:val="22"/>
        </w:rPr>
        <w:t xml:space="preserve"> monitorozása</w:t>
      </w:r>
      <w:r w:rsidRPr="00345BCE">
        <w:rPr>
          <w:sz w:val="22"/>
          <w:szCs w:val="22"/>
        </w:rPr>
        <w:t>, illetve biztosítani kell a beteg megfelelő hidrálását.</w:t>
      </w:r>
    </w:p>
    <w:p w14:paraId="1E6DB87E" w14:textId="77777777" w:rsidR="00280771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724B82C0" w14:textId="77777777" w:rsidR="00806D95" w:rsidRPr="008E01EF" w:rsidRDefault="00806D95" w:rsidP="00C560EC">
      <w:pPr>
        <w:pStyle w:val="CM8"/>
        <w:spacing w:after="0"/>
        <w:rPr>
          <w:i/>
          <w:iCs/>
          <w:sz w:val="22"/>
          <w:szCs w:val="22"/>
          <w:lang w:val="hu-HU"/>
        </w:rPr>
      </w:pPr>
      <w:r w:rsidRPr="008E01EF">
        <w:rPr>
          <w:i/>
          <w:iCs/>
          <w:sz w:val="22"/>
          <w:szCs w:val="22"/>
          <w:lang w:val="hu-HU"/>
        </w:rPr>
        <w:t>Transzporterek</w:t>
      </w:r>
    </w:p>
    <w:p w14:paraId="55E3FCCE" w14:textId="77777777" w:rsidR="00806D95" w:rsidRPr="00F2257F" w:rsidRDefault="00EA3F87" w:rsidP="00C560EC">
      <w:pPr>
        <w:pStyle w:val="CM8"/>
        <w:spacing w:after="0"/>
        <w:rPr>
          <w:iCs/>
          <w:sz w:val="22"/>
          <w:szCs w:val="22"/>
          <w:lang w:val="hu-HU"/>
        </w:rPr>
      </w:pPr>
      <w:r w:rsidRPr="00C560EC">
        <w:rPr>
          <w:i/>
          <w:iCs/>
          <w:sz w:val="22"/>
          <w:szCs w:val="22"/>
          <w:lang w:val="hu-HU"/>
        </w:rPr>
        <w:t>I</w:t>
      </w:r>
      <w:r w:rsidR="00806D95" w:rsidRPr="00EA3F87">
        <w:rPr>
          <w:i/>
          <w:iCs/>
          <w:sz w:val="22"/>
          <w:szCs w:val="22"/>
          <w:lang w:val="hu-HU"/>
        </w:rPr>
        <w:t xml:space="preserve">n vitro </w:t>
      </w:r>
      <w:r>
        <w:rPr>
          <w:iCs/>
          <w:sz w:val="22"/>
          <w:szCs w:val="22"/>
          <w:lang w:val="hu-HU"/>
        </w:rPr>
        <w:t>adatok</w:t>
      </w:r>
      <w:r w:rsidR="00806D95" w:rsidRPr="00EA3F87">
        <w:rPr>
          <w:iCs/>
          <w:sz w:val="22"/>
          <w:szCs w:val="22"/>
          <w:lang w:val="hu-HU"/>
        </w:rPr>
        <w:t xml:space="preserve"> </w:t>
      </w:r>
      <w:r>
        <w:rPr>
          <w:iCs/>
          <w:sz w:val="22"/>
          <w:szCs w:val="22"/>
          <w:lang w:val="hu-HU"/>
        </w:rPr>
        <w:t>arra utalnak, hogy</w:t>
      </w:r>
      <w:r w:rsidR="00806D95" w:rsidRPr="00EA3F87">
        <w:rPr>
          <w:iCs/>
          <w:sz w:val="22"/>
          <w:szCs w:val="22"/>
          <w:lang w:val="hu-HU"/>
        </w:rPr>
        <w:t xml:space="preserve"> a valzartán az </w:t>
      </w:r>
      <w:r w:rsidR="00806D95" w:rsidRPr="00EA3F87">
        <w:rPr>
          <w:sz w:val="22"/>
          <w:szCs w:val="22"/>
          <w:lang w:val="hu-HU"/>
        </w:rPr>
        <w:t>OATP1B</w:t>
      </w:r>
      <w:r w:rsidR="00EA386A">
        <w:rPr>
          <w:sz w:val="22"/>
          <w:szCs w:val="22"/>
          <w:lang w:val="hu-HU"/>
        </w:rPr>
        <w:t> 1/</w:t>
      </w:r>
      <w:r w:rsidR="008E01EF" w:rsidRPr="00EA3F87">
        <w:rPr>
          <w:sz w:val="22"/>
          <w:szCs w:val="22"/>
          <w:lang w:val="hu-HU"/>
        </w:rPr>
        <w:t>OATP1B3</w:t>
      </w:r>
      <w:r w:rsidR="00806D95" w:rsidRPr="00EA3F87">
        <w:rPr>
          <w:sz w:val="22"/>
          <w:szCs w:val="22"/>
          <w:lang w:val="hu-HU"/>
        </w:rPr>
        <w:t xml:space="preserve"> </w:t>
      </w:r>
      <w:r w:rsidR="00806D95" w:rsidRPr="00EA3F87">
        <w:rPr>
          <w:iCs/>
          <w:sz w:val="22"/>
          <w:szCs w:val="22"/>
          <w:lang w:val="hu-HU"/>
        </w:rPr>
        <w:t>hepatikus uptake transzporter</w:t>
      </w:r>
      <w:r w:rsidR="008E01EF" w:rsidRPr="00EA3F87">
        <w:rPr>
          <w:iCs/>
          <w:sz w:val="22"/>
          <w:szCs w:val="22"/>
          <w:lang w:val="hu-HU"/>
        </w:rPr>
        <w:t xml:space="preserve"> </w:t>
      </w:r>
      <w:r w:rsidR="00806D95" w:rsidRPr="00C96562">
        <w:rPr>
          <w:sz w:val="22"/>
          <w:szCs w:val="22"/>
          <w:lang w:val="hu-HU"/>
        </w:rPr>
        <w:t>és az MRP2 hepatikus efflux transzporter</w:t>
      </w:r>
      <w:r w:rsidR="00806D95" w:rsidRPr="008E01EF">
        <w:rPr>
          <w:sz w:val="22"/>
          <w:szCs w:val="22"/>
          <w:lang w:val="hu-HU"/>
        </w:rPr>
        <w:t xml:space="preserve"> </w:t>
      </w:r>
      <w:r w:rsidR="00806D95" w:rsidRPr="008E01EF">
        <w:rPr>
          <w:iCs/>
          <w:sz w:val="22"/>
          <w:szCs w:val="22"/>
          <w:lang w:val="hu-HU"/>
        </w:rPr>
        <w:t>szubsztrátja</w:t>
      </w:r>
      <w:r w:rsidR="00806D95" w:rsidRPr="008E01EF">
        <w:rPr>
          <w:sz w:val="22"/>
          <w:szCs w:val="22"/>
          <w:lang w:val="hu-HU"/>
        </w:rPr>
        <w:t xml:space="preserve">. </w:t>
      </w:r>
      <w:r w:rsidR="008E01EF" w:rsidRPr="008E01EF">
        <w:rPr>
          <w:sz w:val="22"/>
          <w:szCs w:val="22"/>
          <w:lang w:val="hu-HU"/>
        </w:rPr>
        <w:t>N</w:t>
      </w:r>
      <w:r w:rsidR="00F2257F">
        <w:rPr>
          <w:sz w:val="22"/>
          <w:szCs w:val="22"/>
          <w:lang w:val="hu-HU"/>
        </w:rPr>
        <w:t>em ismeretes, hogy ennek</w:t>
      </w:r>
      <w:r w:rsidR="008E01EF" w:rsidRPr="00F2257F">
        <w:rPr>
          <w:sz w:val="22"/>
          <w:szCs w:val="22"/>
          <w:lang w:val="hu-HU"/>
        </w:rPr>
        <w:t xml:space="preserve"> a felismerés</w:t>
      </w:r>
      <w:r w:rsidR="00F2257F">
        <w:rPr>
          <w:sz w:val="22"/>
          <w:szCs w:val="22"/>
          <w:lang w:val="hu-HU"/>
        </w:rPr>
        <w:t>nek van-e</w:t>
      </w:r>
      <w:r w:rsidR="008E01EF" w:rsidRPr="00F2257F">
        <w:rPr>
          <w:sz w:val="22"/>
          <w:szCs w:val="22"/>
          <w:lang w:val="hu-HU"/>
        </w:rPr>
        <w:t xml:space="preserve"> </w:t>
      </w:r>
      <w:r w:rsidR="00F2257F">
        <w:rPr>
          <w:sz w:val="22"/>
          <w:szCs w:val="22"/>
          <w:lang w:val="hu-HU"/>
        </w:rPr>
        <w:t>bármiféle</w:t>
      </w:r>
      <w:r w:rsidR="008E01EF" w:rsidRPr="00F2257F">
        <w:rPr>
          <w:sz w:val="22"/>
          <w:szCs w:val="22"/>
          <w:lang w:val="hu-HU"/>
        </w:rPr>
        <w:t xml:space="preserve"> klinikai</w:t>
      </w:r>
      <w:r w:rsidR="00F2257F">
        <w:rPr>
          <w:sz w:val="22"/>
          <w:szCs w:val="22"/>
          <w:lang w:val="hu-HU"/>
        </w:rPr>
        <w:t xml:space="preserve"> relevanciája</w:t>
      </w:r>
      <w:r w:rsidR="008E01EF" w:rsidRPr="00F2257F">
        <w:rPr>
          <w:sz w:val="22"/>
          <w:szCs w:val="22"/>
          <w:lang w:val="hu-HU"/>
        </w:rPr>
        <w:t>.</w:t>
      </w:r>
    </w:p>
    <w:p w14:paraId="26664AD2" w14:textId="77777777" w:rsidR="00806D95" w:rsidRPr="008E01EF" w:rsidRDefault="00806D95" w:rsidP="00C560EC">
      <w:pPr>
        <w:rPr>
          <w:sz w:val="22"/>
          <w:szCs w:val="22"/>
        </w:rPr>
      </w:pPr>
      <w:r w:rsidRPr="008E01EF">
        <w:rPr>
          <w:sz w:val="22"/>
          <w:szCs w:val="22"/>
          <w:lang w:eastAsia="en-GB"/>
        </w:rPr>
        <w:t xml:space="preserve">Az uptake transzporter </w:t>
      </w:r>
      <w:r w:rsidR="000122BA" w:rsidRPr="008E01EF">
        <w:rPr>
          <w:sz w:val="22"/>
          <w:szCs w:val="22"/>
          <w:lang w:eastAsia="en-GB"/>
        </w:rPr>
        <w:t xml:space="preserve">inhibitorainak </w:t>
      </w:r>
      <w:r w:rsidRPr="008E01EF">
        <w:rPr>
          <w:sz w:val="22"/>
          <w:szCs w:val="22"/>
          <w:lang w:eastAsia="en-GB"/>
        </w:rPr>
        <w:t>(</w:t>
      </w:r>
      <w:r w:rsidR="008E01EF">
        <w:rPr>
          <w:sz w:val="22"/>
          <w:szCs w:val="22"/>
          <w:lang w:eastAsia="en-GB"/>
        </w:rPr>
        <w:t xml:space="preserve">pl. </w:t>
      </w:r>
      <w:r w:rsidRPr="008E01EF">
        <w:rPr>
          <w:sz w:val="22"/>
          <w:szCs w:val="22"/>
        </w:rPr>
        <w:t>rifampi</w:t>
      </w:r>
      <w:r w:rsidR="006F0053" w:rsidRPr="008E01EF">
        <w:rPr>
          <w:sz w:val="22"/>
          <w:szCs w:val="22"/>
        </w:rPr>
        <w:t>ci</w:t>
      </w:r>
      <w:r w:rsidRPr="008E01EF">
        <w:rPr>
          <w:sz w:val="22"/>
          <w:szCs w:val="22"/>
        </w:rPr>
        <w:t xml:space="preserve">n, ciclosporin) vagy az efflux transzporter </w:t>
      </w:r>
      <w:r w:rsidR="000122BA" w:rsidRPr="008E01EF">
        <w:rPr>
          <w:sz w:val="22"/>
          <w:szCs w:val="22"/>
          <w:lang w:eastAsia="en-GB"/>
        </w:rPr>
        <w:t>inhibitorainak</w:t>
      </w:r>
      <w:r w:rsidR="000122BA" w:rsidRPr="008E01EF">
        <w:rPr>
          <w:sz w:val="22"/>
          <w:szCs w:val="22"/>
        </w:rPr>
        <w:t xml:space="preserve"> </w:t>
      </w:r>
      <w:r w:rsidRPr="008E01EF">
        <w:rPr>
          <w:sz w:val="22"/>
          <w:szCs w:val="22"/>
        </w:rPr>
        <w:t>(</w:t>
      </w:r>
      <w:r w:rsidR="008E01EF">
        <w:rPr>
          <w:sz w:val="22"/>
          <w:szCs w:val="22"/>
        </w:rPr>
        <w:t xml:space="preserve">pl. </w:t>
      </w:r>
      <w:r w:rsidRPr="008E01EF">
        <w:rPr>
          <w:sz w:val="22"/>
          <w:szCs w:val="22"/>
        </w:rPr>
        <w:t>ritonavir) együttes alkalmazása növelheti a valzartán szisztémás expozícióját</w:t>
      </w:r>
      <w:r w:rsidR="008E01EF">
        <w:rPr>
          <w:sz w:val="22"/>
          <w:szCs w:val="22"/>
        </w:rPr>
        <w:t xml:space="preserve">: megfelelő gondossággal kell eljárni, ha </w:t>
      </w:r>
      <w:r w:rsidR="00F2257F">
        <w:rPr>
          <w:sz w:val="22"/>
          <w:szCs w:val="22"/>
        </w:rPr>
        <w:t xml:space="preserve">a </w:t>
      </w:r>
      <w:r w:rsidR="008E01EF">
        <w:rPr>
          <w:sz w:val="22"/>
          <w:szCs w:val="22"/>
        </w:rPr>
        <w:t xml:space="preserve">valzartán </w:t>
      </w:r>
      <w:r w:rsidR="00F2257F">
        <w:rPr>
          <w:sz w:val="22"/>
          <w:szCs w:val="22"/>
        </w:rPr>
        <w:t xml:space="preserve">alkalmazása </w:t>
      </w:r>
      <w:r w:rsidR="008E01EF">
        <w:rPr>
          <w:sz w:val="22"/>
          <w:szCs w:val="22"/>
        </w:rPr>
        <w:t xml:space="preserve">mellett </w:t>
      </w:r>
      <w:r w:rsidR="00F2257F">
        <w:rPr>
          <w:sz w:val="22"/>
          <w:szCs w:val="22"/>
        </w:rPr>
        <w:t xml:space="preserve">egyidejűleg </w:t>
      </w:r>
      <w:r w:rsidR="008E01EF">
        <w:rPr>
          <w:sz w:val="22"/>
          <w:szCs w:val="22"/>
        </w:rPr>
        <w:t xml:space="preserve">ilyen gyógyszerrel indítanak vagy </w:t>
      </w:r>
      <w:r w:rsidR="00F2257F">
        <w:rPr>
          <w:sz w:val="22"/>
          <w:szCs w:val="22"/>
        </w:rPr>
        <w:t>állítanak le kezelést.</w:t>
      </w:r>
    </w:p>
    <w:p w14:paraId="3D5127EA" w14:textId="77777777" w:rsidR="00431A09" w:rsidRPr="00806D95" w:rsidRDefault="00431A09" w:rsidP="00C560EC">
      <w:pPr>
        <w:tabs>
          <w:tab w:val="left" w:pos="567"/>
        </w:tabs>
        <w:rPr>
          <w:sz w:val="22"/>
          <w:szCs w:val="22"/>
        </w:rPr>
      </w:pPr>
    </w:p>
    <w:p w14:paraId="6D751CBD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Egyéb készítmények</w:t>
      </w:r>
    </w:p>
    <w:p w14:paraId="40DC6B9B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Valzartánnal végzett gyógyszerkölcsönhatási vizsgálatokban nem észleltek klinikailag jelentős gyógyszerkölcsönhatásokat a valzartán és a következő vegyületek egyike között</w:t>
      </w:r>
      <w:r w:rsidR="009E3669" w:rsidRPr="00345BCE">
        <w:rPr>
          <w:sz w:val="22"/>
          <w:szCs w:val="22"/>
        </w:rPr>
        <w:t xml:space="preserve"> sem</w:t>
      </w:r>
      <w:r w:rsidRPr="00345BCE">
        <w:rPr>
          <w:sz w:val="22"/>
          <w:szCs w:val="22"/>
        </w:rPr>
        <w:t>: cimetidin, warfarin, furoszemid, digoxin, atenolol, indometacin, hidroklorotiazid, amlodipin, glibenklamid.</w:t>
      </w:r>
    </w:p>
    <w:p w14:paraId="6318F757" w14:textId="77777777" w:rsidR="004650A7" w:rsidRPr="00345BCE" w:rsidRDefault="004650A7" w:rsidP="00C560EC">
      <w:pPr>
        <w:tabs>
          <w:tab w:val="left" w:pos="567"/>
        </w:tabs>
        <w:rPr>
          <w:sz w:val="22"/>
          <w:szCs w:val="22"/>
        </w:rPr>
      </w:pPr>
    </w:p>
    <w:p w14:paraId="4FD5C33C" w14:textId="77777777" w:rsidR="00D23111" w:rsidRPr="00C560EC" w:rsidRDefault="00D23111" w:rsidP="00C560EC">
      <w:pPr>
        <w:rPr>
          <w:i/>
          <w:iCs/>
          <w:sz w:val="22"/>
          <w:szCs w:val="22"/>
          <w:u w:val="single"/>
        </w:rPr>
      </w:pPr>
      <w:r w:rsidRPr="00B0458C">
        <w:rPr>
          <w:i/>
          <w:iCs/>
          <w:sz w:val="22"/>
          <w:szCs w:val="22"/>
          <w:u w:val="single"/>
        </w:rPr>
        <w:t>Gyermek</w:t>
      </w:r>
      <w:r w:rsidR="0051702A" w:rsidRPr="00C560EC">
        <w:rPr>
          <w:i/>
          <w:iCs/>
          <w:sz w:val="22"/>
          <w:szCs w:val="22"/>
          <w:u w:val="single"/>
        </w:rPr>
        <w:t>ek</w:t>
      </w:r>
      <w:r w:rsidR="00444AF6" w:rsidRPr="00C560EC">
        <w:rPr>
          <w:i/>
          <w:iCs/>
          <w:sz w:val="22"/>
          <w:szCs w:val="22"/>
          <w:u w:val="single"/>
        </w:rPr>
        <w:t xml:space="preserve"> és serdülők</w:t>
      </w:r>
    </w:p>
    <w:p w14:paraId="56AFAD96" w14:textId="77777777" w:rsidR="00D23111" w:rsidRPr="00345BCE" w:rsidRDefault="002321C3" w:rsidP="00C560EC">
      <w:pPr>
        <w:rPr>
          <w:color w:val="000000"/>
          <w:sz w:val="22"/>
          <w:szCs w:val="22"/>
          <w:lang w:bidi="th-TH"/>
        </w:rPr>
      </w:pPr>
      <w:r w:rsidRPr="00C560EC">
        <w:rPr>
          <w:color w:val="000000"/>
          <w:sz w:val="22"/>
          <w:szCs w:val="22"/>
          <w:lang w:bidi="th-TH"/>
        </w:rPr>
        <w:t>Hypertoni</w:t>
      </w:r>
      <w:r w:rsidR="000122BA" w:rsidRPr="00C560EC">
        <w:rPr>
          <w:color w:val="000000"/>
          <w:sz w:val="22"/>
          <w:szCs w:val="22"/>
          <w:lang w:bidi="th-TH"/>
        </w:rPr>
        <w:t>á</w:t>
      </w:r>
      <w:r w:rsidR="003F66A1" w:rsidRPr="00C560EC">
        <w:rPr>
          <w:color w:val="000000"/>
          <w:sz w:val="22"/>
          <w:szCs w:val="22"/>
          <w:lang w:bidi="th-TH"/>
        </w:rPr>
        <w:t>s</w:t>
      </w:r>
      <w:r w:rsidR="00D23111" w:rsidRPr="00C560EC">
        <w:rPr>
          <w:color w:val="000000"/>
          <w:sz w:val="22"/>
          <w:szCs w:val="22"/>
          <w:lang w:bidi="th-TH"/>
        </w:rPr>
        <w:t xml:space="preserve"> gyermekeknél és serdülőknél, akiknél a vesebetegség gyakori alapbetegség, a valzartán egyéb, olyan hatóanyagokkal való együttes alkalmazásakor, amelyek gátolják a renin</w:t>
      </w:r>
      <w:r w:rsidR="00D23111" w:rsidRPr="00C560EC">
        <w:rPr>
          <w:color w:val="000000"/>
          <w:sz w:val="22"/>
          <w:szCs w:val="22"/>
          <w:lang w:bidi="th-TH"/>
        </w:rPr>
        <w:noBreakHyphen/>
        <w:t>angiotenzin</w:t>
      </w:r>
      <w:r w:rsidR="00D23111" w:rsidRPr="00C560EC">
        <w:rPr>
          <w:color w:val="000000"/>
          <w:sz w:val="22"/>
          <w:szCs w:val="22"/>
          <w:lang w:bidi="th-TH"/>
        </w:rPr>
        <w:noBreakHyphen/>
        <w:t>aldoszteron rendszert,</w:t>
      </w:r>
      <w:r w:rsidR="000122BA" w:rsidRPr="00C560EC">
        <w:rPr>
          <w:color w:val="000000"/>
          <w:sz w:val="22"/>
          <w:szCs w:val="22"/>
          <w:lang w:bidi="th-TH"/>
        </w:rPr>
        <w:t xml:space="preserve"> és</w:t>
      </w:r>
      <w:r w:rsidR="00A652F2" w:rsidRPr="00C560EC">
        <w:rPr>
          <w:color w:val="000000"/>
          <w:sz w:val="22"/>
          <w:szCs w:val="22"/>
          <w:lang w:bidi="th-TH"/>
        </w:rPr>
        <w:t xml:space="preserve"> ez</w:t>
      </w:r>
      <w:r w:rsidR="00D23111" w:rsidRPr="00345BCE">
        <w:rPr>
          <w:color w:val="000000"/>
          <w:sz w:val="22"/>
          <w:szCs w:val="22"/>
          <w:lang w:bidi="th-TH"/>
        </w:rPr>
        <w:t xml:space="preserve"> emelheti a szérumkáliumszintet, elővigyázatosság javasolt. </w:t>
      </w:r>
      <w:r w:rsidR="00D23111" w:rsidRPr="00694832">
        <w:rPr>
          <w:color w:val="000000"/>
          <w:sz w:val="22"/>
          <w:szCs w:val="22"/>
          <w:lang w:bidi="th-TH"/>
        </w:rPr>
        <w:t>A vesefunkciót és a szérum káliumszintet szorosan ellenőrizni kell.</w:t>
      </w:r>
    </w:p>
    <w:p w14:paraId="2CA336B3" w14:textId="77777777" w:rsidR="00D23111" w:rsidRPr="00345BCE" w:rsidRDefault="00D23111" w:rsidP="00C560EC">
      <w:pPr>
        <w:tabs>
          <w:tab w:val="left" w:pos="567"/>
        </w:tabs>
        <w:rPr>
          <w:sz w:val="22"/>
          <w:szCs w:val="22"/>
        </w:rPr>
      </w:pPr>
    </w:p>
    <w:p w14:paraId="0C763763" w14:textId="77777777" w:rsidR="00270DDA" w:rsidRPr="00345BCE" w:rsidRDefault="000A7E88" w:rsidP="00C560E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4.6</w:t>
      </w:r>
      <w:r w:rsidRPr="00345BCE">
        <w:rPr>
          <w:b/>
          <w:sz w:val="22"/>
          <w:szCs w:val="22"/>
        </w:rPr>
        <w:tab/>
      </w:r>
      <w:r w:rsidR="00270DDA" w:rsidRPr="00345BCE">
        <w:rPr>
          <w:b/>
          <w:sz w:val="22"/>
          <w:szCs w:val="22"/>
        </w:rPr>
        <w:t>Termékenység, terhesség és szoptatás</w:t>
      </w:r>
    </w:p>
    <w:p w14:paraId="2E3799F2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619AF9C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Terhesség</w:t>
      </w:r>
    </w:p>
    <w:p w14:paraId="4272AD38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446C0400" w14:textId="77777777" w:rsidR="00280771" w:rsidRPr="00345BCE" w:rsidRDefault="00280771" w:rsidP="00C560EC">
      <w:pPr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14020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(AIIRA) alkalmazása nem javasolt a terhesség első trimeszterében (lásd 4.4 pont). Az AIIRA alkalmazása ellenjavallt a terhesség második és harmadik trimeszterében (lásd 4.3</w:t>
      </w:r>
      <w:r w:rsidR="00EA240F">
        <w:rPr>
          <w:sz w:val="22"/>
          <w:szCs w:val="22"/>
        </w:rPr>
        <w:t> </w:t>
      </w:r>
      <w:r w:rsidRPr="00345BCE">
        <w:rPr>
          <w:sz w:val="22"/>
          <w:szCs w:val="22"/>
        </w:rPr>
        <w:t xml:space="preserve">és 4.4 pont). </w:t>
      </w:r>
    </w:p>
    <w:p w14:paraId="7EE258DA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4C778FC4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terhesség első trimeszterében alkalmazott ACE-gátlókkal történő kezelést követően fellépő teratogenitás kockázatával kapcsolatos epidemiológiai bizonyítékok nem meggyőzőek. Ennek ellenére, a kockázat enyhe növekedése ne</w:t>
      </w:r>
      <w:r w:rsidR="00C637F0" w:rsidRPr="00345BCE">
        <w:rPr>
          <w:sz w:val="22"/>
          <w:szCs w:val="22"/>
        </w:rPr>
        <w:t>m zárható ki. Jóllehet az AIIRA</w:t>
      </w:r>
      <w:r w:rsidR="00C82975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kezelés kockázatára vonatkozó kontroll</w:t>
      </w:r>
      <w:r w:rsidR="005211FA">
        <w:rPr>
          <w:sz w:val="22"/>
          <w:szCs w:val="22"/>
        </w:rPr>
        <w:t>os</w:t>
      </w:r>
      <w:r w:rsidRPr="00345BCE">
        <w:rPr>
          <w:sz w:val="22"/>
          <w:szCs w:val="22"/>
        </w:rPr>
        <w:t xml:space="preserve"> epidemiológiai adatok nem állnak rendelkezésre, az említett gyógyszercsoport esetében hasonló kockázat állhat fenn. Hacsak az AIIRA</w:t>
      </w:r>
      <w:r w:rsidR="00EA240F">
        <w:rPr>
          <w:sz w:val="22"/>
          <w:szCs w:val="22"/>
        </w:rPr>
        <w:t>-</w:t>
      </w:r>
      <w:r w:rsidRPr="00345BCE">
        <w:rPr>
          <w:sz w:val="22"/>
          <w:szCs w:val="22"/>
        </w:rPr>
        <w:t>kezelés folytatása nem létfontosságú, a</w:t>
      </w:r>
      <w:r w:rsidR="00C82975" w:rsidRPr="00345BCE">
        <w:rPr>
          <w:sz w:val="22"/>
          <w:szCs w:val="22"/>
        </w:rPr>
        <w:t xml:space="preserve"> terhességet</w:t>
      </w:r>
      <w:r w:rsidRPr="00345BCE">
        <w:rPr>
          <w:sz w:val="22"/>
          <w:szCs w:val="22"/>
        </w:rPr>
        <w:t xml:space="preserve"> tervez</w:t>
      </w:r>
      <w:r w:rsidR="00C82975" w:rsidRPr="00345BCE">
        <w:rPr>
          <w:sz w:val="22"/>
          <w:szCs w:val="22"/>
        </w:rPr>
        <w:t>ő betegeknél</w:t>
      </w:r>
      <w:r w:rsidRPr="00345BCE">
        <w:rPr>
          <w:sz w:val="22"/>
          <w:szCs w:val="22"/>
        </w:rPr>
        <w:t xml:space="preserve"> olyan alternatív vérnyomáscsökkentő kezelésre kell váltani, amely biztonságosan alkalmazható terhesség ideje alatt. Terhesség megállapítása esetén az AIIRA</w:t>
      </w:r>
      <w:r w:rsidR="00EA240F">
        <w:rPr>
          <w:sz w:val="22"/>
          <w:szCs w:val="22"/>
        </w:rPr>
        <w:t>-</w:t>
      </w:r>
      <w:r w:rsidRPr="00345BCE">
        <w:rPr>
          <w:sz w:val="22"/>
          <w:szCs w:val="22"/>
        </w:rPr>
        <w:t>kezelést azonnal meg kell szakítani és – szükség esetén – alternatív kezelést kell kezdeni.</w:t>
      </w:r>
    </w:p>
    <w:p w14:paraId="21D333B0" w14:textId="77777777" w:rsidR="00C03530" w:rsidRPr="00D23D88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AIIRA</w:t>
      </w:r>
      <w:r w:rsidR="00EA240F">
        <w:rPr>
          <w:sz w:val="22"/>
          <w:szCs w:val="22"/>
        </w:rPr>
        <w:t>-</w:t>
      </w:r>
      <w:r w:rsidRPr="00D91645">
        <w:rPr>
          <w:sz w:val="22"/>
          <w:szCs w:val="22"/>
        </w:rPr>
        <w:t xml:space="preserve">kezelésnek a terhesség II. és III. trimeszterében történő alkalmazásával kapcsolatban ismert, hogy magzatkárosító hatást (csökkent veseműködés, </w:t>
      </w:r>
      <w:r w:rsidRPr="00706E72">
        <w:rPr>
          <w:sz w:val="22"/>
          <w:szCs w:val="22"/>
        </w:rPr>
        <w:t xml:space="preserve">oligohydramnion, a koponyacsontosodás megkésése) és újszülöttkori toxicitást (veseelégtelenség, </w:t>
      </w:r>
      <w:r w:rsidR="002321C3">
        <w:rPr>
          <w:sz w:val="22"/>
          <w:szCs w:val="22"/>
        </w:rPr>
        <w:t>hypotonia</w:t>
      </w:r>
      <w:r w:rsidRPr="00706E72">
        <w:rPr>
          <w:sz w:val="22"/>
          <w:szCs w:val="22"/>
        </w:rPr>
        <w:t xml:space="preserve">, </w:t>
      </w:r>
      <w:r w:rsidR="003416C4" w:rsidRPr="00D23D88">
        <w:rPr>
          <w:sz w:val="22"/>
          <w:szCs w:val="22"/>
        </w:rPr>
        <w:t>h</w:t>
      </w:r>
      <w:r w:rsidR="00F9007A">
        <w:rPr>
          <w:sz w:val="22"/>
          <w:szCs w:val="22"/>
        </w:rPr>
        <w:t>y</w:t>
      </w:r>
      <w:r w:rsidR="003416C4" w:rsidRPr="00D23D88">
        <w:rPr>
          <w:sz w:val="22"/>
          <w:szCs w:val="22"/>
        </w:rPr>
        <w:t>perkal</w:t>
      </w:r>
      <w:r w:rsidR="00F9007A">
        <w:rPr>
          <w:sz w:val="22"/>
          <w:szCs w:val="22"/>
        </w:rPr>
        <w:t>ae</w:t>
      </w:r>
      <w:r w:rsidR="003416C4" w:rsidRPr="00D23D88">
        <w:rPr>
          <w:sz w:val="22"/>
          <w:szCs w:val="22"/>
        </w:rPr>
        <w:t>mia</w:t>
      </w:r>
      <w:r w:rsidRPr="00D23D88">
        <w:rPr>
          <w:sz w:val="22"/>
          <w:szCs w:val="22"/>
        </w:rPr>
        <w:t>) fejt ki; lásd továbbá az 5.3 „Preklinikai biztonságossági adatok” pontot.</w:t>
      </w:r>
    </w:p>
    <w:p w14:paraId="3E72A67A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Amennyiben az AIIRA hatása a terhesség második trimeszterében lépett fel, a veseműködés és a koponyacsont ultrahangos vizsgálata ajánlott.</w:t>
      </w:r>
    </w:p>
    <w:p w14:paraId="4F69715C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lastRenderedPageBreak/>
        <w:t>Azok</w:t>
      </w:r>
      <w:r w:rsidR="00C82975" w:rsidRPr="00345BCE">
        <w:rPr>
          <w:sz w:val="22"/>
          <w:szCs w:val="22"/>
        </w:rPr>
        <w:t>at</w:t>
      </w:r>
      <w:r w:rsidRPr="00345BCE">
        <w:rPr>
          <w:sz w:val="22"/>
          <w:szCs w:val="22"/>
        </w:rPr>
        <w:t xml:space="preserve"> az újszülöttek</w:t>
      </w:r>
      <w:r w:rsidR="00C82975" w:rsidRPr="00345BCE">
        <w:rPr>
          <w:sz w:val="22"/>
          <w:szCs w:val="22"/>
        </w:rPr>
        <w:t>et</w:t>
      </w:r>
      <w:r w:rsidRPr="00345BCE">
        <w:rPr>
          <w:sz w:val="22"/>
          <w:szCs w:val="22"/>
        </w:rPr>
        <w:t xml:space="preserve">, akiknek </w:t>
      </w:r>
      <w:r w:rsidR="00C32FB8">
        <w:rPr>
          <w:sz w:val="22"/>
          <w:szCs w:val="22"/>
        </w:rPr>
        <w:t xml:space="preserve">az </w:t>
      </w:r>
      <w:r w:rsidRPr="00345BCE">
        <w:rPr>
          <w:sz w:val="22"/>
          <w:szCs w:val="22"/>
        </w:rPr>
        <w:t xml:space="preserve">anyja AIIRA-t szedett, szorosan kell </w:t>
      </w:r>
      <w:r w:rsidR="00C82975" w:rsidRPr="00345BCE">
        <w:rPr>
          <w:sz w:val="22"/>
          <w:szCs w:val="22"/>
        </w:rPr>
        <w:t xml:space="preserve">monitorozni </w:t>
      </w:r>
      <w:r w:rsidRPr="00345BCE">
        <w:rPr>
          <w:sz w:val="22"/>
          <w:szCs w:val="22"/>
        </w:rPr>
        <w:t>h</w:t>
      </w:r>
      <w:r w:rsidR="00F9007A">
        <w:rPr>
          <w:sz w:val="22"/>
          <w:szCs w:val="22"/>
        </w:rPr>
        <w:t>y</w:t>
      </w:r>
      <w:r w:rsidRPr="00345BCE">
        <w:rPr>
          <w:sz w:val="22"/>
          <w:szCs w:val="22"/>
        </w:rPr>
        <w:t>pot</w:t>
      </w:r>
      <w:r w:rsidR="00F9007A">
        <w:rPr>
          <w:sz w:val="22"/>
          <w:szCs w:val="22"/>
        </w:rPr>
        <w:t>o</w:t>
      </w:r>
      <w:r w:rsidRPr="00345BCE">
        <w:rPr>
          <w:sz w:val="22"/>
          <w:szCs w:val="22"/>
        </w:rPr>
        <w:t xml:space="preserve">nia </w:t>
      </w:r>
      <w:r w:rsidR="00C82975" w:rsidRPr="00345BCE">
        <w:rPr>
          <w:sz w:val="22"/>
          <w:szCs w:val="22"/>
        </w:rPr>
        <w:t xml:space="preserve">irányában </w:t>
      </w:r>
      <w:r w:rsidRPr="00345BCE">
        <w:rPr>
          <w:sz w:val="22"/>
          <w:szCs w:val="22"/>
        </w:rPr>
        <w:t>(lásd 4.3 és 4.4 pont).</w:t>
      </w:r>
    </w:p>
    <w:p w14:paraId="1B2EA480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</w:rPr>
      </w:pPr>
    </w:p>
    <w:p w14:paraId="67698050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Szoptatás</w:t>
      </w:r>
    </w:p>
    <w:p w14:paraId="556C77A5" w14:textId="77777777" w:rsidR="000A7E88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Mivel nem állnak rendelkezésre adatok a valzartán szoptatás ideje alatt történő alkalmazásával kapcsolatosan, a </w:t>
      </w:r>
      <w:r w:rsidR="00580B60" w:rsidRPr="00345BCE">
        <w:rPr>
          <w:sz w:val="22"/>
          <w:szCs w:val="22"/>
        </w:rPr>
        <w:t>Valsartan Sandoz</w:t>
      </w:r>
      <w:r w:rsidRPr="00345BCE">
        <w:rPr>
          <w:sz w:val="22"/>
          <w:szCs w:val="22"/>
        </w:rPr>
        <w:t xml:space="preserve"> alkalmazása nem ajánlott, és olyan alternatív kezelést kell előnyben részesíteni a szoptatás ideje alatt, amely biztonságossági profilja jobban ismert, különösen az újszülöttek vagy koraszülöttek esetében.</w:t>
      </w:r>
    </w:p>
    <w:p w14:paraId="3D36D513" w14:textId="77777777" w:rsidR="00270DDA" w:rsidRPr="00345BCE" w:rsidRDefault="00270DDA" w:rsidP="00C560EC">
      <w:pPr>
        <w:tabs>
          <w:tab w:val="left" w:pos="567"/>
        </w:tabs>
        <w:rPr>
          <w:sz w:val="22"/>
          <w:szCs w:val="22"/>
        </w:rPr>
      </w:pPr>
    </w:p>
    <w:p w14:paraId="7B991576" w14:textId="77777777" w:rsidR="00270DDA" w:rsidRPr="00345BCE" w:rsidRDefault="00270DDA" w:rsidP="00C560EC">
      <w:pPr>
        <w:ind w:left="567" w:hanging="567"/>
        <w:outlineLvl w:val="0"/>
        <w:rPr>
          <w:i/>
          <w:iCs/>
          <w:color w:val="000000"/>
          <w:sz w:val="22"/>
          <w:szCs w:val="22"/>
          <w:u w:val="single"/>
        </w:rPr>
      </w:pPr>
      <w:r w:rsidRPr="00345BCE">
        <w:rPr>
          <w:i/>
          <w:iCs/>
          <w:color w:val="000000"/>
          <w:sz w:val="22"/>
          <w:szCs w:val="22"/>
          <w:u w:val="single"/>
        </w:rPr>
        <w:t>Termékenység</w:t>
      </w:r>
    </w:p>
    <w:p w14:paraId="3AD94EB9" w14:textId="58694AFD" w:rsidR="00270DDA" w:rsidRPr="00345BCE" w:rsidRDefault="00270DDA" w:rsidP="00C560EC">
      <w:pPr>
        <w:outlineLvl w:val="0"/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valzartánnak hím és nőstény patkányok esetén 200 mg/kg/nap</w:t>
      </w:r>
      <w:r w:rsidRPr="00345BCE">
        <w:rPr>
          <w:color w:val="000000"/>
          <w:sz w:val="22"/>
          <w:szCs w:val="22"/>
        </w:rPr>
        <w:noBreakHyphen/>
        <w:t xml:space="preserve">os </w:t>
      </w:r>
      <w:r w:rsidRPr="00C560EC">
        <w:rPr>
          <w:i/>
          <w:color w:val="000000"/>
          <w:sz w:val="22"/>
          <w:szCs w:val="22"/>
        </w:rPr>
        <w:t>pe</w:t>
      </w:r>
      <w:r w:rsidR="00347F79">
        <w:rPr>
          <w:i/>
          <w:color w:val="000000"/>
          <w:sz w:val="22"/>
          <w:szCs w:val="22"/>
        </w:rPr>
        <w:t>r</w:t>
      </w:r>
      <w:r w:rsidRPr="00C560EC">
        <w:rPr>
          <w:i/>
          <w:color w:val="000000"/>
          <w:sz w:val="22"/>
          <w:szCs w:val="22"/>
        </w:rPr>
        <w:t xml:space="preserve"> os</w:t>
      </w:r>
      <w:r w:rsidRPr="00345BCE">
        <w:rPr>
          <w:color w:val="000000"/>
          <w:sz w:val="22"/>
          <w:szCs w:val="22"/>
        </w:rPr>
        <w:t xml:space="preserve"> dózisig nincs a reproduktív teljesítményre gyakorolt mellékhatása. Ez a dózis a mg/m</w:t>
      </w:r>
      <w:r w:rsidRPr="00345BCE">
        <w:rPr>
          <w:color w:val="000000"/>
          <w:sz w:val="22"/>
          <w:szCs w:val="22"/>
          <w:vertAlign w:val="superscript"/>
        </w:rPr>
        <w:t>2</w:t>
      </w:r>
      <w:r w:rsidRPr="00345BCE">
        <w:rPr>
          <w:color w:val="000000"/>
          <w:sz w:val="22"/>
          <w:szCs w:val="22"/>
        </w:rPr>
        <w:t xml:space="preserve"> alapon számított maximális javasolt humán dózis 6</w:t>
      </w:r>
      <w:r w:rsidRPr="00345BCE">
        <w:rPr>
          <w:color w:val="000000"/>
          <w:sz w:val="22"/>
          <w:szCs w:val="22"/>
        </w:rPr>
        <w:noBreakHyphen/>
        <w:t>szorosa (a számítások napi 320 mg</w:t>
      </w:r>
      <w:r w:rsidRPr="00345BCE">
        <w:rPr>
          <w:color w:val="000000"/>
          <w:sz w:val="22"/>
          <w:szCs w:val="22"/>
        </w:rPr>
        <w:noBreakHyphen/>
        <w:t xml:space="preserve">os </w:t>
      </w:r>
      <w:r w:rsidRPr="00C560EC">
        <w:rPr>
          <w:i/>
          <w:color w:val="000000"/>
          <w:sz w:val="22"/>
          <w:szCs w:val="22"/>
        </w:rPr>
        <w:t>per os</w:t>
      </w:r>
      <w:r w:rsidRPr="00345BCE">
        <w:rPr>
          <w:color w:val="000000"/>
          <w:sz w:val="22"/>
          <w:szCs w:val="22"/>
        </w:rPr>
        <w:t xml:space="preserve"> dózist és egy 60 kg</w:t>
      </w:r>
      <w:r w:rsidRPr="00345BCE">
        <w:rPr>
          <w:color w:val="000000"/>
          <w:sz w:val="22"/>
          <w:szCs w:val="22"/>
        </w:rPr>
        <w:noBreakHyphen/>
        <w:t>os beteget tételeznek fel).</w:t>
      </w:r>
    </w:p>
    <w:p w14:paraId="3DADD69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10F22D8" w14:textId="77777777" w:rsidR="000A7E88" w:rsidRPr="00345BCE" w:rsidRDefault="000A7E88" w:rsidP="00C560EC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4.7</w:t>
      </w:r>
      <w:r w:rsidRPr="00345BCE">
        <w:rPr>
          <w:b/>
          <w:sz w:val="22"/>
          <w:szCs w:val="22"/>
        </w:rPr>
        <w:tab/>
        <w:t xml:space="preserve">A készítmény hatásai a gépjárművezetéshez és </w:t>
      </w:r>
      <w:r w:rsidR="00B31882">
        <w:rPr>
          <w:b/>
          <w:sz w:val="22"/>
          <w:szCs w:val="22"/>
        </w:rPr>
        <w:t xml:space="preserve">a </w:t>
      </w:r>
      <w:r w:rsidRPr="00345BCE">
        <w:rPr>
          <w:b/>
          <w:sz w:val="22"/>
          <w:szCs w:val="22"/>
        </w:rPr>
        <w:t xml:space="preserve">gépek </w:t>
      </w:r>
      <w:r w:rsidR="00C637F0" w:rsidRPr="00345BCE">
        <w:rPr>
          <w:b/>
          <w:sz w:val="22"/>
          <w:szCs w:val="22"/>
        </w:rPr>
        <w:t>kezel</w:t>
      </w:r>
      <w:r w:rsidRPr="00345BCE">
        <w:rPr>
          <w:b/>
          <w:sz w:val="22"/>
          <w:szCs w:val="22"/>
        </w:rPr>
        <w:t>éséhez szükséges képességekre</w:t>
      </w:r>
    </w:p>
    <w:p w14:paraId="4CB8A231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23316F4" w14:textId="5A6EBA21" w:rsidR="000A7E88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készítménynek a gépjárművezetéshez szükséges képességeket befolyásoló hatásait nem vizsgálták. Gépjárművezetés vagy gépek kezelése során figyelembe kell venni, hogy szédülés vagy fáradtság fordulhat elő.</w:t>
      </w:r>
    </w:p>
    <w:p w14:paraId="5D0470B8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0E653A22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4.8</w:t>
      </w:r>
      <w:r w:rsidRPr="00345BCE">
        <w:rPr>
          <w:b/>
          <w:sz w:val="22"/>
          <w:szCs w:val="22"/>
        </w:rPr>
        <w:tab/>
        <w:t>Nemkívánatos hatások, mellékhatások</w:t>
      </w:r>
    </w:p>
    <w:p w14:paraId="5C73E46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650ED44E" w14:textId="77777777" w:rsidR="000A7E88" w:rsidRPr="00345BCE" w:rsidRDefault="00706E72" w:rsidP="00C560EC">
      <w:pPr>
        <w:tabs>
          <w:tab w:val="left" w:pos="567"/>
        </w:tabs>
        <w:ind w:right="30"/>
        <w:rPr>
          <w:sz w:val="22"/>
          <w:szCs w:val="22"/>
        </w:rPr>
      </w:pPr>
      <w:r>
        <w:rPr>
          <w:sz w:val="22"/>
          <w:szCs w:val="22"/>
        </w:rPr>
        <w:t>Felnőtt,</w:t>
      </w:r>
      <w:r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="00C82975" w:rsidRPr="00345BCE">
        <w:rPr>
          <w:sz w:val="22"/>
          <w:szCs w:val="22"/>
        </w:rPr>
        <w:t xml:space="preserve"> betegeken végzett </w:t>
      </w:r>
      <w:r w:rsidR="000A7E88" w:rsidRPr="00345BCE">
        <w:rPr>
          <w:sz w:val="22"/>
          <w:szCs w:val="22"/>
        </w:rPr>
        <w:t>kontroll</w:t>
      </w:r>
      <w:r w:rsidR="00C03530" w:rsidRPr="00345BCE">
        <w:rPr>
          <w:sz w:val="22"/>
          <w:szCs w:val="22"/>
        </w:rPr>
        <w:t>os</w:t>
      </w:r>
      <w:r w:rsidR="000A7E88" w:rsidRPr="00345BCE">
        <w:rPr>
          <w:sz w:val="22"/>
          <w:szCs w:val="22"/>
        </w:rPr>
        <w:t xml:space="preserve"> klinikai vizsgálatok</w:t>
      </w:r>
      <w:r w:rsidR="00C03530" w:rsidRPr="00345BCE">
        <w:rPr>
          <w:sz w:val="22"/>
          <w:szCs w:val="22"/>
        </w:rPr>
        <w:t>ban</w:t>
      </w:r>
      <w:r w:rsidR="000A7E88" w:rsidRPr="00345BCE">
        <w:rPr>
          <w:sz w:val="22"/>
          <w:szCs w:val="22"/>
        </w:rPr>
        <w:t xml:space="preserve"> a mellékhatások összesített incidenciája megegyezett a placebóval kezelt betegekével</w:t>
      </w:r>
      <w:r w:rsidR="00C03530" w:rsidRPr="00345BCE">
        <w:rPr>
          <w:sz w:val="22"/>
          <w:szCs w:val="22"/>
        </w:rPr>
        <w:t>, és összhangban van a valzartán farmakológiai tulajdonságaival. Egyik mellékhatás incidenciája sem mutatott összefüggést a dózissal vagy a kezelés időtartamával, illetve a nemmel, korral vagy rasszal sem.</w:t>
      </w:r>
    </w:p>
    <w:p w14:paraId="04F3A2B6" w14:textId="77777777" w:rsidR="000245A2" w:rsidRPr="00D91645" w:rsidRDefault="000245A2" w:rsidP="00C560EC">
      <w:pPr>
        <w:tabs>
          <w:tab w:val="left" w:pos="567"/>
        </w:tabs>
        <w:rPr>
          <w:sz w:val="22"/>
          <w:szCs w:val="22"/>
        </w:rPr>
      </w:pPr>
    </w:p>
    <w:p w14:paraId="11B5C296" w14:textId="77777777" w:rsidR="00C03530" w:rsidRPr="00D23D88" w:rsidRDefault="00C03530" w:rsidP="00C560EC">
      <w:pPr>
        <w:tabs>
          <w:tab w:val="left" w:pos="567"/>
        </w:tabs>
        <w:rPr>
          <w:iCs/>
          <w:sz w:val="22"/>
          <w:szCs w:val="22"/>
        </w:rPr>
      </w:pPr>
      <w:r w:rsidRPr="00706E72">
        <w:rPr>
          <w:sz w:val="22"/>
          <w:szCs w:val="22"/>
        </w:rPr>
        <w:t xml:space="preserve">A klinikai vizsgálatokban, illetve a forgalomba hozatalt követően és laboratóriumi vizsgálatok </w:t>
      </w:r>
      <w:r w:rsidRPr="00706E72">
        <w:rPr>
          <w:iCs/>
          <w:sz w:val="22"/>
          <w:szCs w:val="22"/>
        </w:rPr>
        <w:t>alapján jelentett mellékhatásokat az alábbi</w:t>
      </w:r>
      <w:r w:rsidR="00C82975" w:rsidRPr="00D23D88">
        <w:rPr>
          <w:iCs/>
          <w:sz w:val="22"/>
          <w:szCs w:val="22"/>
        </w:rPr>
        <w:t>akban</w:t>
      </w:r>
      <w:r w:rsidRPr="00D23D88">
        <w:rPr>
          <w:iCs/>
          <w:sz w:val="22"/>
          <w:szCs w:val="22"/>
        </w:rPr>
        <w:t xml:space="preserve"> szervrendszerek szerinti bontásban </w:t>
      </w:r>
      <w:r w:rsidR="00C82975" w:rsidRPr="00D23D88">
        <w:rPr>
          <w:iCs/>
          <w:sz w:val="22"/>
          <w:szCs w:val="22"/>
        </w:rPr>
        <w:t>ismertetjük</w:t>
      </w:r>
      <w:r w:rsidRPr="00D23D88">
        <w:rPr>
          <w:iCs/>
          <w:sz w:val="22"/>
          <w:szCs w:val="22"/>
        </w:rPr>
        <w:t>.</w:t>
      </w:r>
    </w:p>
    <w:p w14:paraId="04F6BD40" w14:textId="77777777" w:rsidR="000A7E88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78D2BC3B" w14:textId="6761C284" w:rsidR="00AC1A09" w:rsidRPr="00AC1A09" w:rsidRDefault="00AC1A09" w:rsidP="00694832">
      <w:pPr>
        <w:keepNext/>
        <w:rPr>
          <w:sz w:val="22"/>
          <w:szCs w:val="22"/>
        </w:rPr>
      </w:pPr>
      <w:r w:rsidRPr="00694832">
        <w:rPr>
          <w:b/>
          <w:sz w:val="22"/>
          <w:szCs w:val="22"/>
        </w:rPr>
        <w:t>Gyógyszermellékhatások</w:t>
      </w:r>
    </w:p>
    <w:p w14:paraId="6457C0E8" w14:textId="2CAB7E4F" w:rsidR="009A33AD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AC1A09">
        <w:rPr>
          <w:sz w:val="22"/>
          <w:szCs w:val="22"/>
        </w:rPr>
        <w:t>gyógyszer</w:t>
      </w:r>
      <w:r w:rsidRPr="00345BCE">
        <w:rPr>
          <w:sz w:val="22"/>
          <w:szCs w:val="22"/>
        </w:rPr>
        <w:t>mellékhatások gyakoriság szerint</w:t>
      </w:r>
      <w:r w:rsidR="00AC1A09">
        <w:rPr>
          <w:sz w:val="22"/>
          <w:szCs w:val="22"/>
        </w:rPr>
        <w:t>i csökkenő sorrendben</w:t>
      </w:r>
      <w:r w:rsidR="00C03530" w:rsidRPr="00345BCE">
        <w:rPr>
          <w:i/>
          <w:sz w:val="22"/>
          <w:szCs w:val="22"/>
        </w:rPr>
        <w:t xml:space="preserve"> </w:t>
      </w:r>
      <w:r w:rsidR="00C03530" w:rsidRPr="00345BCE">
        <w:rPr>
          <w:sz w:val="22"/>
          <w:szCs w:val="22"/>
        </w:rPr>
        <w:t>kerülnek megadásra, a következő egyezmény alapján:</w:t>
      </w:r>
      <w:r w:rsidR="00342164" w:rsidRPr="00345BCE">
        <w:rPr>
          <w:sz w:val="22"/>
          <w:szCs w:val="22"/>
        </w:rPr>
        <w:t xml:space="preserve"> n</w:t>
      </w:r>
      <w:r w:rsidRPr="00345BCE">
        <w:rPr>
          <w:sz w:val="22"/>
          <w:szCs w:val="22"/>
        </w:rPr>
        <w:t xml:space="preserve">agyon gyakori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g</w:t>
      </w:r>
      <w:r w:rsidRPr="00345BCE">
        <w:rPr>
          <w:sz w:val="22"/>
          <w:szCs w:val="22"/>
        </w:rPr>
        <w:t xml:space="preserve">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em gyakori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r</w:t>
      </w:r>
      <w:r w:rsidRPr="00345BCE">
        <w:rPr>
          <w:sz w:val="22"/>
          <w:szCs w:val="22"/>
        </w:rPr>
        <w:t xml:space="preserve">itka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000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agyon ritka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000</w:t>
      </w:r>
      <w:r w:rsidR="00342164" w:rsidRPr="00345BCE">
        <w:rPr>
          <w:sz w:val="22"/>
          <w:szCs w:val="22"/>
        </w:rPr>
        <w:t xml:space="preserve">), </w:t>
      </w:r>
      <w:r w:rsidR="00AC1A09" w:rsidRPr="00AC1A09">
        <w:rPr>
          <w:sz w:val="22"/>
          <w:szCs w:val="22"/>
        </w:rPr>
        <w:t>nem ismert (a gyakoriság a rendelkezésre álló adatokból nem állapítható meg).</w:t>
      </w:r>
    </w:p>
    <w:p w14:paraId="05492BE5" w14:textId="77777777" w:rsidR="009A33AD" w:rsidRDefault="009A33AD" w:rsidP="00C560EC">
      <w:pPr>
        <w:tabs>
          <w:tab w:val="left" w:pos="567"/>
        </w:tabs>
        <w:rPr>
          <w:sz w:val="22"/>
          <w:szCs w:val="22"/>
        </w:rPr>
      </w:pPr>
    </w:p>
    <w:p w14:paraId="55A5FF8A" w14:textId="12FCBF72" w:rsidR="000A7E88" w:rsidRDefault="0034216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egyes gyakorisági kategóriákon belül a mellékhatások csökkenő súlyosság szerint kerülnek megadásra.</w:t>
      </w:r>
    </w:p>
    <w:p w14:paraId="5CC98FE1" w14:textId="77777777" w:rsidR="009A33AD" w:rsidRPr="00345BCE" w:rsidRDefault="009A33AD" w:rsidP="00C560EC">
      <w:pPr>
        <w:tabs>
          <w:tab w:val="left" w:pos="567"/>
        </w:tabs>
        <w:rPr>
          <w:sz w:val="22"/>
          <w:szCs w:val="22"/>
        </w:rPr>
      </w:pPr>
    </w:p>
    <w:p w14:paraId="5C493D07" w14:textId="77777777" w:rsidR="00342164" w:rsidRPr="00345BCE" w:rsidRDefault="00342164" w:rsidP="00C560EC">
      <w:pPr>
        <w:pStyle w:val="Text"/>
        <w:tabs>
          <w:tab w:val="left" w:pos="567"/>
        </w:tabs>
        <w:spacing w:before="0"/>
        <w:jc w:val="left"/>
        <w:rPr>
          <w:iCs/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 xml:space="preserve">A </w:t>
      </w:r>
      <w:r w:rsidRPr="00345BCE">
        <w:rPr>
          <w:iCs/>
          <w:sz w:val="22"/>
          <w:szCs w:val="22"/>
          <w:lang w:val="hu-HU"/>
        </w:rPr>
        <w:t>készítmény forgalomba kerülése után és a laboratóriumi eredmények alapján jelentett mellékhatások esetében nem mindig lehet megállapítani a gyakoriságot, ezért ezek a táblázatban „Nem ismert” gyakorisággal szerepelnek.</w:t>
      </w:r>
    </w:p>
    <w:p w14:paraId="00B724F7" w14:textId="77777777" w:rsidR="00342164" w:rsidRPr="00345BCE" w:rsidRDefault="00342164" w:rsidP="00C560EC">
      <w:pPr>
        <w:pStyle w:val="Text"/>
        <w:tabs>
          <w:tab w:val="left" w:pos="567"/>
        </w:tabs>
        <w:spacing w:before="0"/>
        <w:jc w:val="left"/>
        <w:rPr>
          <w:iCs/>
          <w:sz w:val="22"/>
          <w:szCs w:val="22"/>
          <w:lang w:val="hu-HU"/>
        </w:rPr>
      </w:pPr>
    </w:p>
    <w:p w14:paraId="0D11CF08" w14:textId="77777777" w:rsidR="00342164" w:rsidRPr="00345BCE" w:rsidRDefault="002321C3" w:rsidP="00C560EC">
      <w:pPr>
        <w:keepNext/>
        <w:widowControl/>
        <w:numPr>
          <w:ilvl w:val="0"/>
          <w:numId w:val="5"/>
        </w:numPr>
        <w:tabs>
          <w:tab w:val="clear" w:pos="502"/>
          <w:tab w:val="left" w:pos="567"/>
        </w:tabs>
        <w:suppressAutoHyphens w:val="0"/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Hypertonia</w:t>
      </w:r>
    </w:p>
    <w:p w14:paraId="7F401B54" w14:textId="77777777" w:rsidR="00342164" w:rsidRPr="00345BCE" w:rsidRDefault="00342164" w:rsidP="00C560EC">
      <w:pPr>
        <w:pStyle w:val="Text"/>
        <w:keepNext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0"/>
        <w:gridCol w:w="58"/>
        <w:gridCol w:w="52"/>
        <w:gridCol w:w="4569"/>
      </w:tblGrid>
      <w:tr w:rsidR="00342164" w:rsidRPr="00345BCE" w14:paraId="20E3D22A" w14:textId="77777777">
        <w:tc>
          <w:tcPr>
            <w:tcW w:w="9322" w:type="dxa"/>
            <w:gridSpan w:val="4"/>
          </w:tcPr>
          <w:p w14:paraId="59655E69" w14:textId="77777777" w:rsidR="00342164" w:rsidRPr="00345BCE" w:rsidRDefault="00342164" w:rsidP="00C560EC">
            <w:pPr>
              <w:keepNext/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</w:tr>
      <w:tr w:rsidR="00342164" w:rsidRPr="00345BCE" w14:paraId="34BA3172" w14:textId="77777777">
        <w:trPr>
          <w:trHeight w:val="601"/>
        </w:trPr>
        <w:tc>
          <w:tcPr>
            <w:tcW w:w="4608" w:type="dxa"/>
            <w:gridSpan w:val="2"/>
          </w:tcPr>
          <w:p w14:paraId="5F025DF0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  <w:p w14:paraId="78DAA15E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4714" w:type="dxa"/>
            <w:gridSpan w:val="2"/>
          </w:tcPr>
          <w:p w14:paraId="766D838A" w14:textId="77777777" w:rsidR="00EA386A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Hemoglobinszint</w:t>
            </w:r>
            <w:r w:rsidR="00EA386A">
              <w:rPr>
                <w:sz w:val="22"/>
                <w:szCs w:val="22"/>
              </w:rPr>
              <w:t>-</w:t>
            </w:r>
            <w:r w:rsidRPr="00345BCE">
              <w:rPr>
                <w:sz w:val="22"/>
                <w:szCs w:val="22"/>
              </w:rPr>
              <w:t>csökkenés, Hematokritszint</w:t>
            </w:r>
            <w:r w:rsidR="00EA386A">
              <w:rPr>
                <w:sz w:val="22"/>
                <w:szCs w:val="22"/>
              </w:rPr>
              <w:noBreakHyphen/>
            </w:r>
            <w:r w:rsidRPr="00345BCE">
              <w:rPr>
                <w:sz w:val="22"/>
                <w:szCs w:val="22"/>
              </w:rPr>
              <w:t>csökkenés,</w:t>
            </w:r>
          </w:p>
          <w:p w14:paraId="625C30A7" w14:textId="77777777" w:rsidR="00EA386A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Neutropenia,</w:t>
            </w:r>
          </w:p>
          <w:p w14:paraId="05C369B0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Thrombocytopenia </w:t>
            </w:r>
          </w:p>
        </w:tc>
      </w:tr>
      <w:tr w:rsidR="00342164" w:rsidRPr="00345BCE" w14:paraId="5132A245" w14:textId="77777777">
        <w:tc>
          <w:tcPr>
            <w:tcW w:w="9322" w:type="dxa"/>
            <w:gridSpan w:val="4"/>
          </w:tcPr>
          <w:p w14:paraId="6607B83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Immunrendszeri betegségek és tünetek</w:t>
            </w:r>
          </w:p>
        </w:tc>
      </w:tr>
      <w:tr w:rsidR="00342164" w:rsidRPr="00345BCE" w14:paraId="6415B8D6" w14:textId="77777777">
        <w:tc>
          <w:tcPr>
            <w:tcW w:w="4608" w:type="dxa"/>
            <w:gridSpan w:val="2"/>
          </w:tcPr>
          <w:p w14:paraId="1E8802D1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62E0C5EB" w14:textId="77777777" w:rsidR="00342164" w:rsidRPr="00345BCE" w:rsidRDefault="00342164" w:rsidP="00EA386A">
            <w:pPr>
              <w:keepNext/>
              <w:keepLines/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Túlérzékenység, beleértve a szérumbetegséget</w:t>
            </w:r>
          </w:p>
        </w:tc>
      </w:tr>
      <w:tr w:rsidR="00342164" w:rsidRPr="00345BCE" w14:paraId="0EEDB241" w14:textId="77777777">
        <w:tc>
          <w:tcPr>
            <w:tcW w:w="9322" w:type="dxa"/>
            <w:gridSpan w:val="4"/>
          </w:tcPr>
          <w:p w14:paraId="3060DC3C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</w:tr>
      <w:tr w:rsidR="00342164" w:rsidRPr="00345BCE" w14:paraId="47D9B6BE" w14:textId="77777777">
        <w:trPr>
          <w:trHeight w:val="310"/>
        </w:trPr>
        <w:tc>
          <w:tcPr>
            <w:tcW w:w="4608" w:type="dxa"/>
            <w:gridSpan w:val="2"/>
          </w:tcPr>
          <w:p w14:paraId="4FDC33E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Nem </w:t>
            </w:r>
            <w:r w:rsidR="00C82975" w:rsidRPr="00345BCE">
              <w:rPr>
                <w:sz w:val="22"/>
                <w:szCs w:val="22"/>
              </w:rPr>
              <w:t>ismert</w:t>
            </w:r>
          </w:p>
        </w:tc>
        <w:tc>
          <w:tcPr>
            <w:tcW w:w="4714" w:type="dxa"/>
            <w:gridSpan w:val="2"/>
          </w:tcPr>
          <w:p w14:paraId="4DBF8838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Emelkedett szérum káliumszint</w:t>
            </w:r>
            <w:r w:rsidR="00DF4C04">
              <w:rPr>
                <w:sz w:val="22"/>
                <w:szCs w:val="22"/>
              </w:rPr>
              <w:t>, hyponatraemia</w:t>
            </w:r>
            <w:r w:rsidRPr="00345BCE">
              <w:rPr>
                <w:sz w:val="22"/>
                <w:szCs w:val="22"/>
              </w:rPr>
              <w:t xml:space="preserve"> </w:t>
            </w:r>
          </w:p>
        </w:tc>
      </w:tr>
      <w:tr w:rsidR="00342164" w:rsidRPr="00345BCE" w14:paraId="0A43249E" w14:textId="77777777">
        <w:tc>
          <w:tcPr>
            <w:tcW w:w="9322" w:type="dxa"/>
            <w:gridSpan w:val="4"/>
          </w:tcPr>
          <w:p w14:paraId="06446E2B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fül-, és az egyensúly-érzékelő szerv betegségei és tünetei</w:t>
            </w:r>
          </w:p>
        </w:tc>
      </w:tr>
      <w:tr w:rsidR="00342164" w:rsidRPr="00345BCE" w14:paraId="1B1F14D8" w14:textId="77777777">
        <w:tc>
          <w:tcPr>
            <w:tcW w:w="4608" w:type="dxa"/>
            <w:gridSpan w:val="2"/>
          </w:tcPr>
          <w:p w14:paraId="4CE06F5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591BD09E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Vertigo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541B9844" w14:textId="77777777">
        <w:tc>
          <w:tcPr>
            <w:tcW w:w="9322" w:type="dxa"/>
            <w:gridSpan w:val="4"/>
          </w:tcPr>
          <w:p w14:paraId="126F54F9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lastRenderedPageBreak/>
              <w:t>Érbetegségek és tünetek</w:t>
            </w:r>
          </w:p>
        </w:tc>
      </w:tr>
      <w:tr w:rsidR="00342164" w:rsidRPr="00345BCE" w14:paraId="09E2E77A" w14:textId="77777777">
        <w:tc>
          <w:tcPr>
            <w:tcW w:w="4608" w:type="dxa"/>
            <w:gridSpan w:val="2"/>
          </w:tcPr>
          <w:p w14:paraId="41AD514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114E6B1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Vasculitis </w:t>
            </w:r>
          </w:p>
        </w:tc>
      </w:tr>
      <w:tr w:rsidR="00342164" w:rsidRPr="00345BCE" w14:paraId="2D334ADF" w14:textId="77777777">
        <w:tc>
          <w:tcPr>
            <w:tcW w:w="9322" w:type="dxa"/>
            <w:gridSpan w:val="4"/>
          </w:tcPr>
          <w:p w14:paraId="60D6D842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342164" w:rsidRPr="00345BCE" w14:paraId="003F99AA" w14:textId="77777777">
        <w:tc>
          <w:tcPr>
            <w:tcW w:w="4608" w:type="dxa"/>
            <w:gridSpan w:val="2"/>
          </w:tcPr>
          <w:p w14:paraId="23CC2042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68FE563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Köhögés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6E97B434" w14:textId="77777777">
        <w:tc>
          <w:tcPr>
            <w:tcW w:w="9322" w:type="dxa"/>
            <w:gridSpan w:val="4"/>
          </w:tcPr>
          <w:p w14:paraId="22F6BC0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</w:tr>
      <w:tr w:rsidR="00342164" w:rsidRPr="00345BCE" w14:paraId="081E5CCF" w14:textId="77777777">
        <w:tc>
          <w:tcPr>
            <w:tcW w:w="4608" w:type="dxa"/>
            <w:gridSpan w:val="2"/>
          </w:tcPr>
          <w:p w14:paraId="4CE91372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49BCD44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Hasi fájdalom</w:t>
            </w:r>
          </w:p>
        </w:tc>
      </w:tr>
      <w:tr w:rsidR="00477037" w:rsidRPr="00345BCE" w14:paraId="1BFD6C7D" w14:textId="77777777">
        <w:tc>
          <w:tcPr>
            <w:tcW w:w="4608" w:type="dxa"/>
            <w:gridSpan w:val="2"/>
          </w:tcPr>
          <w:p w14:paraId="0FDB2008" w14:textId="77777777" w:rsidR="00477037" w:rsidRPr="00345BCE" w:rsidRDefault="00477037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477037">
              <w:rPr>
                <w:sz w:val="22"/>
                <w:szCs w:val="22"/>
              </w:rPr>
              <w:t>Nagyon ritka</w:t>
            </w:r>
          </w:p>
        </w:tc>
        <w:tc>
          <w:tcPr>
            <w:tcW w:w="4714" w:type="dxa"/>
            <w:gridSpan w:val="2"/>
          </w:tcPr>
          <w:p w14:paraId="64689A89" w14:textId="77777777" w:rsidR="00477037" w:rsidRPr="00345BCE" w:rsidRDefault="00477037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477037">
              <w:rPr>
                <w:sz w:val="22"/>
                <w:szCs w:val="22"/>
              </w:rPr>
              <w:t>ntestinalis angiooedema</w:t>
            </w:r>
          </w:p>
        </w:tc>
      </w:tr>
      <w:tr w:rsidR="00342164" w:rsidRPr="00345BCE" w14:paraId="472AB20F" w14:textId="77777777">
        <w:tc>
          <w:tcPr>
            <w:tcW w:w="9322" w:type="dxa"/>
            <w:gridSpan w:val="4"/>
          </w:tcPr>
          <w:p w14:paraId="6437AE68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Máj</w:t>
            </w:r>
            <w:r w:rsidR="00256F57">
              <w:rPr>
                <w:b/>
                <w:sz w:val="22"/>
                <w:szCs w:val="22"/>
              </w:rPr>
              <w:t>-és epebetegségek, illetve tünetek</w:t>
            </w:r>
          </w:p>
        </w:tc>
      </w:tr>
      <w:tr w:rsidR="00342164" w:rsidRPr="00345BCE" w14:paraId="24EFB15E" w14:textId="77777777">
        <w:trPr>
          <w:trHeight w:val="520"/>
        </w:trPr>
        <w:tc>
          <w:tcPr>
            <w:tcW w:w="4608" w:type="dxa"/>
            <w:gridSpan w:val="2"/>
          </w:tcPr>
          <w:p w14:paraId="4BFDC0F7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60E0A390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májműködés értékeinek emelkedése, beleértve a szérum bilirubinszint emelkedés</w:t>
            </w:r>
            <w:r w:rsidR="00E27F6E">
              <w:rPr>
                <w:sz w:val="22"/>
                <w:szCs w:val="22"/>
              </w:rPr>
              <w:t>ét</w:t>
            </w:r>
            <w:r w:rsidRPr="00345BCE">
              <w:rPr>
                <w:sz w:val="22"/>
                <w:szCs w:val="22"/>
              </w:rPr>
              <w:t xml:space="preserve"> </w:t>
            </w:r>
          </w:p>
        </w:tc>
      </w:tr>
      <w:tr w:rsidR="00342164" w:rsidRPr="00345BCE" w14:paraId="74D96FAC" w14:textId="77777777">
        <w:tc>
          <w:tcPr>
            <w:tcW w:w="9322" w:type="dxa"/>
            <w:gridSpan w:val="4"/>
          </w:tcPr>
          <w:p w14:paraId="1A7425C3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bőr és a bőralatti szövet betegségei és tünetei</w:t>
            </w:r>
          </w:p>
        </w:tc>
      </w:tr>
      <w:tr w:rsidR="00342164" w:rsidRPr="00345BCE" w14:paraId="4D21F7BB" w14:textId="77777777">
        <w:tc>
          <w:tcPr>
            <w:tcW w:w="4661" w:type="dxa"/>
            <w:gridSpan w:val="3"/>
          </w:tcPr>
          <w:p w14:paraId="549DFE69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4C35F5C2" w14:textId="77777777" w:rsidR="00342164" w:rsidRPr="00345BCE" w:rsidRDefault="00342164" w:rsidP="00E27F6E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Angio</w:t>
            </w:r>
            <w:r w:rsidR="00E27F6E">
              <w:rPr>
                <w:bCs/>
                <w:sz w:val="22"/>
                <w:szCs w:val="22"/>
              </w:rPr>
              <w:t>oe</w:t>
            </w:r>
            <w:r w:rsidR="00502D9F" w:rsidRPr="00345BCE">
              <w:rPr>
                <w:bCs/>
                <w:sz w:val="22"/>
                <w:szCs w:val="22"/>
              </w:rPr>
              <w:t>d</w:t>
            </w:r>
            <w:r w:rsidR="00E27F6E">
              <w:rPr>
                <w:bCs/>
                <w:sz w:val="22"/>
                <w:szCs w:val="22"/>
              </w:rPr>
              <w:t>e</w:t>
            </w:r>
            <w:r w:rsidR="00502D9F" w:rsidRPr="00345BCE">
              <w:rPr>
                <w:bCs/>
                <w:sz w:val="22"/>
                <w:szCs w:val="22"/>
              </w:rPr>
              <w:t>ma</w:t>
            </w:r>
            <w:r w:rsidRPr="00345BCE">
              <w:rPr>
                <w:bCs/>
                <w:sz w:val="22"/>
                <w:szCs w:val="22"/>
              </w:rPr>
              <w:t xml:space="preserve">, </w:t>
            </w:r>
            <w:r w:rsidR="00E27F6E">
              <w:rPr>
                <w:bCs/>
                <w:sz w:val="22"/>
                <w:szCs w:val="22"/>
              </w:rPr>
              <w:t>b</w:t>
            </w:r>
            <w:r w:rsidR="003F66A1">
              <w:rPr>
                <w:bCs/>
                <w:sz w:val="22"/>
                <w:szCs w:val="22"/>
              </w:rPr>
              <w:t>ullosus d</w:t>
            </w:r>
            <w:r w:rsidR="00507D16" w:rsidRPr="00507D16">
              <w:rPr>
                <w:bCs/>
                <w:sz w:val="22"/>
                <w:szCs w:val="22"/>
              </w:rPr>
              <w:t>ermatitis,</w:t>
            </w:r>
            <w:r w:rsidR="00507D16" w:rsidRPr="00345BCE">
              <w:rPr>
                <w:bCs/>
                <w:sz w:val="22"/>
                <w:szCs w:val="22"/>
              </w:rPr>
              <w:t xml:space="preserve"> </w:t>
            </w:r>
            <w:r w:rsidR="00E27F6E">
              <w:rPr>
                <w:bCs/>
                <w:sz w:val="22"/>
                <w:szCs w:val="22"/>
              </w:rPr>
              <w:t>k</w:t>
            </w:r>
            <w:r w:rsidRPr="00345BCE">
              <w:rPr>
                <w:bCs/>
                <w:sz w:val="22"/>
                <w:szCs w:val="22"/>
              </w:rPr>
              <w:t xml:space="preserve">iütés, </w:t>
            </w:r>
            <w:r w:rsidR="00E27F6E">
              <w:rPr>
                <w:bCs/>
                <w:sz w:val="22"/>
                <w:szCs w:val="22"/>
              </w:rPr>
              <w:t>p</w:t>
            </w:r>
            <w:r w:rsidRPr="00345BCE">
              <w:rPr>
                <w:bCs/>
                <w:sz w:val="22"/>
                <w:szCs w:val="22"/>
              </w:rPr>
              <w:t>ruritus</w:t>
            </w:r>
          </w:p>
        </w:tc>
      </w:tr>
      <w:tr w:rsidR="00342164" w:rsidRPr="00345BCE" w14:paraId="76572D45" w14:textId="77777777">
        <w:tc>
          <w:tcPr>
            <w:tcW w:w="9322" w:type="dxa"/>
            <w:gridSpan w:val="4"/>
          </w:tcPr>
          <w:p w14:paraId="2B299C1F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csont-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 és </w:t>
            </w:r>
            <w:r w:rsidRPr="00345BCE">
              <w:rPr>
                <w:b/>
                <w:bCs/>
                <w:sz w:val="22"/>
                <w:szCs w:val="22"/>
              </w:rPr>
              <w:t>izomrendszer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, valamint </w:t>
            </w:r>
            <w:r w:rsidRPr="00345BCE">
              <w:rPr>
                <w:b/>
                <w:bCs/>
                <w:sz w:val="22"/>
                <w:szCs w:val="22"/>
              </w:rPr>
              <w:t>a kötőszövet betegségei és tünetei</w:t>
            </w:r>
          </w:p>
        </w:tc>
      </w:tr>
      <w:tr w:rsidR="00342164" w:rsidRPr="00345BCE" w14:paraId="5DA358DB" w14:textId="77777777">
        <w:tc>
          <w:tcPr>
            <w:tcW w:w="4661" w:type="dxa"/>
            <w:gridSpan w:val="3"/>
          </w:tcPr>
          <w:p w14:paraId="0970B25F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43779531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Myalgia</w:t>
            </w:r>
          </w:p>
        </w:tc>
      </w:tr>
      <w:tr w:rsidR="00342164" w:rsidRPr="00345BCE" w14:paraId="0C43D891" w14:textId="77777777">
        <w:tc>
          <w:tcPr>
            <w:tcW w:w="9322" w:type="dxa"/>
            <w:gridSpan w:val="4"/>
          </w:tcPr>
          <w:p w14:paraId="5E94C48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342164" w:rsidRPr="00345BCE" w14:paraId="5AEE8159" w14:textId="77777777">
        <w:trPr>
          <w:trHeight w:val="489"/>
        </w:trPr>
        <w:tc>
          <w:tcPr>
            <w:tcW w:w="4548" w:type="dxa"/>
          </w:tcPr>
          <w:p w14:paraId="21D7F9A3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Nem </w:t>
            </w:r>
            <w:r w:rsidR="00834B34">
              <w:rPr>
                <w:sz w:val="22"/>
                <w:szCs w:val="22"/>
              </w:rPr>
              <w:t>ismert</w:t>
            </w:r>
          </w:p>
          <w:p w14:paraId="75909636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4774" w:type="dxa"/>
            <w:gridSpan w:val="3"/>
          </w:tcPr>
          <w:p w14:paraId="46DF9811" w14:textId="77777777" w:rsidR="00E27F6E" w:rsidRDefault="00342164" w:rsidP="00E27F6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Veseelégtelenség és vesekárosodás</w:t>
            </w:r>
          </w:p>
          <w:p w14:paraId="0AD9A729" w14:textId="77777777" w:rsidR="00342164" w:rsidRPr="00345BCE" w:rsidRDefault="00342164" w:rsidP="00E27F6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szérum kreatininszint emelkedése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0F8AAA6B" w14:textId="77777777">
        <w:trPr>
          <w:trHeight w:val="273"/>
        </w:trPr>
        <w:tc>
          <w:tcPr>
            <w:tcW w:w="9322" w:type="dxa"/>
            <w:gridSpan w:val="4"/>
          </w:tcPr>
          <w:p w14:paraId="0AE508AE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</w:tr>
      <w:tr w:rsidR="00342164" w:rsidRPr="00345BCE" w14:paraId="7B6E497A" w14:textId="77777777">
        <w:trPr>
          <w:trHeight w:val="273"/>
        </w:trPr>
        <w:tc>
          <w:tcPr>
            <w:tcW w:w="4548" w:type="dxa"/>
          </w:tcPr>
          <w:p w14:paraId="55B88EFB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2452114C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Fáradtság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14:paraId="5105C85A" w14:textId="77777777" w:rsidR="0038161D" w:rsidRPr="00345BCE" w:rsidRDefault="0038161D" w:rsidP="001C2BD7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65E4086C" w14:textId="77777777" w:rsidR="0038161D" w:rsidRPr="00345BCE" w:rsidRDefault="0038161D" w:rsidP="00EA386A">
      <w:pPr>
        <w:rPr>
          <w:i/>
          <w:sz w:val="22"/>
          <w:szCs w:val="22"/>
          <w:u w:val="single"/>
        </w:rPr>
      </w:pPr>
      <w:r w:rsidRPr="00B0458C">
        <w:rPr>
          <w:i/>
          <w:sz w:val="22"/>
          <w:szCs w:val="22"/>
          <w:u w:val="single"/>
        </w:rPr>
        <w:t>G</w:t>
      </w:r>
      <w:r w:rsidRPr="00C560EC">
        <w:rPr>
          <w:i/>
          <w:sz w:val="22"/>
          <w:szCs w:val="22"/>
          <w:u w:val="single"/>
        </w:rPr>
        <w:t>yermek</w:t>
      </w:r>
      <w:r w:rsidR="0051702A" w:rsidRPr="00C560EC">
        <w:rPr>
          <w:i/>
          <w:sz w:val="22"/>
          <w:szCs w:val="22"/>
          <w:u w:val="single"/>
        </w:rPr>
        <w:t>ek</w:t>
      </w:r>
      <w:r w:rsidR="0035770F" w:rsidRPr="00C560EC">
        <w:rPr>
          <w:i/>
          <w:sz w:val="22"/>
          <w:szCs w:val="22"/>
          <w:u w:val="single"/>
        </w:rPr>
        <w:t xml:space="preserve"> és serdülők</w:t>
      </w:r>
    </w:p>
    <w:p w14:paraId="78240E5E" w14:textId="77777777" w:rsidR="0038161D" w:rsidRPr="00345BCE" w:rsidRDefault="0038161D" w:rsidP="00EA386A">
      <w:pPr>
        <w:rPr>
          <w:i/>
          <w:sz w:val="22"/>
          <w:szCs w:val="22"/>
          <w:u w:val="single"/>
        </w:rPr>
      </w:pPr>
    </w:p>
    <w:p w14:paraId="1A482503" w14:textId="77777777" w:rsidR="0038161D" w:rsidRPr="00345BCE" w:rsidRDefault="002321C3" w:rsidP="0097699A">
      <w:pPr>
        <w:rPr>
          <w:iCs/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Hypertonia</w:t>
      </w:r>
    </w:p>
    <w:p w14:paraId="5CC0971D" w14:textId="77777777" w:rsidR="0038161D" w:rsidRPr="00345BCE" w:rsidRDefault="0038161D" w:rsidP="00666A5A">
      <w:pPr>
        <w:rPr>
          <w:color w:val="000000"/>
          <w:sz w:val="22"/>
          <w:szCs w:val="22"/>
        </w:rPr>
      </w:pPr>
    </w:p>
    <w:p w14:paraId="6372281F" w14:textId="515884BD" w:rsidR="0038161D" w:rsidRPr="00345BCE" w:rsidRDefault="0038161D" w:rsidP="00666A5A">
      <w:pPr>
        <w:rPr>
          <w:i/>
          <w:iCs/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valzartán vérnyomáscsökkentő hatását két randomizált, kettő</w:t>
      </w:r>
      <w:r w:rsidR="00346645">
        <w:rPr>
          <w:color w:val="000000"/>
          <w:sz w:val="22"/>
          <w:szCs w:val="22"/>
        </w:rPr>
        <w:t>s v</w:t>
      </w:r>
      <w:r w:rsidRPr="00345BCE">
        <w:rPr>
          <w:color w:val="000000"/>
          <w:sz w:val="22"/>
          <w:szCs w:val="22"/>
        </w:rPr>
        <w:t>ak klinikai vizsgálatban</w:t>
      </w:r>
      <w:r w:rsidR="001131B3">
        <w:rPr>
          <w:color w:val="000000"/>
          <w:sz w:val="22"/>
          <w:szCs w:val="22"/>
        </w:rPr>
        <w:t xml:space="preserve"> </w:t>
      </w:r>
      <w:r w:rsidR="001131B3" w:rsidRPr="00EF51F9">
        <w:rPr>
          <w:sz w:val="22"/>
          <w:szCs w:val="22"/>
        </w:rPr>
        <w:t>(mindegyiket a vizsgálat egy kiterjesztett időszaka követte) és egy nyílt elrendezésű vizsgálatban</w:t>
      </w:r>
      <w:r w:rsidRPr="00485477">
        <w:rPr>
          <w:color w:val="000000"/>
          <w:sz w:val="22"/>
          <w:szCs w:val="22"/>
        </w:rPr>
        <w:t xml:space="preserve"> értékelték. </w:t>
      </w:r>
      <w:r w:rsidR="00D679F0" w:rsidRPr="00EF51F9">
        <w:rPr>
          <w:sz w:val="22"/>
          <w:szCs w:val="22"/>
        </w:rPr>
        <w:t xml:space="preserve">Ezekben a vizsgálatokban 711, </w:t>
      </w:r>
      <w:r w:rsidR="00347F79" w:rsidRPr="00694832">
        <w:rPr>
          <w:sz w:val="22"/>
          <w:szCs w:val="22"/>
        </w:rPr>
        <w:t>legalább 6 éves, de 18 évesnél fiatalabb életkorú</w:t>
      </w:r>
      <w:r w:rsidR="00D679F0" w:rsidRPr="00EF51F9">
        <w:rPr>
          <w:sz w:val="22"/>
          <w:szCs w:val="22"/>
        </w:rPr>
        <w:t xml:space="preserve">, olyan, krónikus vesebetegségben szenvedő, vagy abban nem szenvedő </w:t>
      </w:r>
      <w:r w:rsidR="004A25AD" w:rsidRPr="004A25AD">
        <w:rPr>
          <w:sz w:val="22"/>
          <w:szCs w:val="22"/>
        </w:rPr>
        <w:t>gyermek és serdülő</w:t>
      </w:r>
      <w:r w:rsidR="00D679F0" w:rsidRPr="00EF51F9">
        <w:rPr>
          <w:sz w:val="22"/>
          <w:szCs w:val="22"/>
        </w:rPr>
        <w:t xml:space="preserve"> vett részt, akik közül 560 beteg valzartánt kapott. </w:t>
      </w:r>
      <w:r w:rsidRPr="000B0D21">
        <w:rPr>
          <w:color w:val="000000"/>
          <w:sz w:val="22"/>
          <w:szCs w:val="22"/>
        </w:rPr>
        <w:t xml:space="preserve">Az izolált emésztőrendszeri </w:t>
      </w:r>
      <w:r w:rsidR="00D679F0" w:rsidRPr="00EF51F9">
        <w:rPr>
          <w:sz w:val="22"/>
          <w:szCs w:val="22"/>
        </w:rPr>
        <w:t>betegségek és</w:t>
      </w:r>
      <w:r w:rsidR="00D679F0" w:rsidRPr="000B0D21">
        <w:rPr>
          <w:color w:val="000000"/>
          <w:sz w:val="22"/>
          <w:szCs w:val="22"/>
        </w:rPr>
        <w:t xml:space="preserve"> </w:t>
      </w:r>
      <w:r w:rsidRPr="00485477">
        <w:rPr>
          <w:color w:val="000000"/>
          <w:sz w:val="22"/>
          <w:szCs w:val="22"/>
        </w:rPr>
        <w:t>tünetek (</w:t>
      </w:r>
      <w:r w:rsidR="00D679F0" w:rsidRPr="00EF51F9">
        <w:rPr>
          <w:sz w:val="22"/>
          <w:szCs w:val="22"/>
        </w:rPr>
        <w:t>mint</w:t>
      </w:r>
      <w:r w:rsidR="00D679F0" w:rsidRPr="000B0D21">
        <w:rPr>
          <w:color w:val="000000"/>
          <w:sz w:val="22"/>
          <w:szCs w:val="22"/>
        </w:rPr>
        <w:t xml:space="preserve"> </w:t>
      </w:r>
      <w:r w:rsidRPr="00485477">
        <w:rPr>
          <w:color w:val="000000"/>
          <w:sz w:val="22"/>
          <w:szCs w:val="22"/>
        </w:rPr>
        <w:t xml:space="preserve">például hasi fájdalom, hányinger, hányás) és a szédülés kivételével a </w:t>
      </w:r>
      <w:r w:rsidR="00A8579B" w:rsidRPr="00F357EE">
        <w:rPr>
          <w:color w:val="000000"/>
          <w:sz w:val="22"/>
          <w:szCs w:val="22"/>
        </w:rPr>
        <w:t>6 </w:t>
      </w:r>
      <w:r w:rsidR="00A8579B" w:rsidRPr="00414C40">
        <w:rPr>
          <w:color w:val="000000"/>
          <w:sz w:val="22"/>
          <w:szCs w:val="22"/>
        </w:rPr>
        <w:t xml:space="preserve">évestől 18 évesnél fiatalabb korú </w:t>
      </w:r>
      <w:r w:rsidR="004A25AD" w:rsidRPr="004A25AD">
        <w:rPr>
          <w:color w:val="000000"/>
          <w:sz w:val="22"/>
          <w:szCs w:val="22"/>
        </w:rPr>
        <w:t>gyermekekre és serdülőkre</w:t>
      </w:r>
      <w:r w:rsidR="004A25AD">
        <w:rPr>
          <w:color w:val="000000"/>
          <w:sz w:val="22"/>
          <w:szCs w:val="22"/>
        </w:rPr>
        <w:t xml:space="preserve"> vonatkozó</w:t>
      </w:r>
      <w:r w:rsidRPr="00B17BE3">
        <w:rPr>
          <w:color w:val="000000"/>
          <w:sz w:val="22"/>
          <w:szCs w:val="22"/>
        </w:rPr>
        <w:t xml:space="preserve"> </w:t>
      </w:r>
      <w:r w:rsidR="00A8579B" w:rsidRPr="00EF51F9">
        <w:rPr>
          <w:sz w:val="22"/>
          <w:szCs w:val="22"/>
        </w:rPr>
        <w:t>biztonságossági profilja és a felnőtt betegeknél korábban jelentett biztonságossági profil között a mellékhatások típusát, gyakoriságát és súlyosságát illetően nem azonosítottak jelentős különbségeket.</w:t>
      </w:r>
    </w:p>
    <w:p w14:paraId="2D7A1F61" w14:textId="77777777" w:rsidR="0038161D" w:rsidRDefault="0038161D" w:rsidP="001902F4">
      <w:pPr>
        <w:rPr>
          <w:color w:val="000000"/>
          <w:sz w:val="22"/>
          <w:szCs w:val="22"/>
        </w:rPr>
      </w:pPr>
    </w:p>
    <w:p w14:paraId="005E5DB8" w14:textId="49DBC6FA" w:rsidR="009A33AD" w:rsidRPr="00694832" w:rsidRDefault="009A33AD" w:rsidP="009A33AD">
      <w:pPr>
        <w:rPr>
          <w:snapToGrid w:val="0"/>
          <w:sz w:val="22"/>
          <w:szCs w:val="22"/>
        </w:rPr>
      </w:pPr>
      <w:r w:rsidRPr="00694832">
        <w:rPr>
          <w:sz w:val="22"/>
          <w:szCs w:val="22"/>
        </w:rPr>
        <w:t xml:space="preserve">A legfeljebb 1 éven át tartó </w:t>
      </w:r>
      <w:r>
        <w:rPr>
          <w:sz w:val="22"/>
          <w:szCs w:val="22"/>
        </w:rPr>
        <w:t>valzartán</w:t>
      </w:r>
      <w:r w:rsidRPr="00694832">
        <w:rPr>
          <w:sz w:val="22"/>
          <w:szCs w:val="22"/>
        </w:rPr>
        <w:noBreakHyphen/>
        <w:t>kezelés után a 6</w:t>
      </w:r>
      <w:r w:rsidRPr="00694832">
        <w:rPr>
          <w:sz w:val="22"/>
          <w:szCs w:val="22"/>
        </w:rPr>
        <w:noBreakHyphen/>
        <w:t xml:space="preserve">16 éves gyermekek és serdülők </w:t>
      </w:r>
      <w:r w:rsidRPr="00694832">
        <w:rPr>
          <w:snapToGrid w:val="0"/>
          <w:sz w:val="22"/>
          <w:szCs w:val="22"/>
        </w:rPr>
        <w:t>neurokognitív vizsgálata és fejlődésének értékelése összességében nem mutatott ki semmilyen, klinikailag jelentős ártalmas hatást.</w:t>
      </w:r>
    </w:p>
    <w:p w14:paraId="52165FB1" w14:textId="77777777" w:rsidR="009A33AD" w:rsidRDefault="009A33AD" w:rsidP="001902F4">
      <w:pPr>
        <w:rPr>
          <w:color w:val="000000"/>
          <w:sz w:val="22"/>
          <w:szCs w:val="22"/>
        </w:rPr>
      </w:pPr>
    </w:p>
    <w:p w14:paraId="41129837" w14:textId="46A8E52F" w:rsidR="00B17BE3" w:rsidRPr="006C21FC" w:rsidRDefault="00B17BE3" w:rsidP="00B17BE3">
      <w:pPr>
        <w:rPr>
          <w:sz w:val="22"/>
          <w:szCs w:val="22"/>
        </w:rPr>
      </w:pPr>
      <w:r w:rsidRPr="006C21FC">
        <w:rPr>
          <w:sz w:val="22"/>
          <w:szCs w:val="22"/>
        </w:rPr>
        <w:t>Ötszázhatvan (560) vagy valzartán</w:t>
      </w:r>
      <w:r w:rsidR="00347F79">
        <w:rPr>
          <w:sz w:val="22"/>
          <w:szCs w:val="22"/>
        </w:rPr>
        <w:t>-</w:t>
      </w:r>
      <w:r w:rsidRPr="006C21FC">
        <w:rPr>
          <w:sz w:val="22"/>
          <w:szCs w:val="22"/>
        </w:rPr>
        <w:t xml:space="preserve">monoterápiát [n = 483] vagy valzartánt is tartalmazó, kombinált vérnyomáscsökkentő kezelést [n = 77] kapó hypertoniás </w:t>
      </w:r>
      <w:r w:rsidR="004A25AD" w:rsidRPr="004A25AD">
        <w:rPr>
          <w:sz w:val="22"/>
          <w:szCs w:val="22"/>
        </w:rPr>
        <w:t>gyermek és serdülő</w:t>
      </w:r>
      <w:r w:rsidRPr="006C21FC">
        <w:rPr>
          <w:sz w:val="22"/>
          <w:szCs w:val="22"/>
        </w:rPr>
        <w:t xml:space="preserve"> (6</w:t>
      </w:r>
      <w:r w:rsidRPr="006C21FC">
        <w:rPr>
          <w:sz w:val="22"/>
          <w:szCs w:val="22"/>
        </w:rPr>
        <w:noBreakHyphen/>
        <w:t>17 éves) összesített analízisét végezték el. Az 560 betegből 85</w:t>
      </w:r>
      <w:r w:rsidRPr="006C21FC">
        <w:rPr>
          <w:sz w:val="22"/>
          <w:szCs w:val="22"/>
        </w:rPr>
        <w:noBreakHyphen/>
        <w:t>nek (15,2%) volt krónikus vesebetegsége (kiindulási GFR &lt; 90 ml/perc/1,73m</w:t>
      </w:r>
      <w:r w:rsidRPr="006C21FC">
        <w:rPr>
          <w:sz w:val="22"/>
          <w:szCs w:val="22"/>
          <w:vertAlign w:val="superscript"/>
        </w:rPr>
        <w:t>2</w:t>
      </w:r>
      <w:r w:rsidRPr="006C21FC">
        <w:rPr>
          <w:sz w:val="22"/>
          <w:szCs w:val="22"/>
        </w:rPr>
        <w:t>). Összesen 45 (8,0%) beteg hagyta abba a vizsgálatban való részvételt nemkívánatos események miatt. Összesen 111 (19,8%) beteg észlelt gyógyszer okozta mellékhatást, és a fejfájás (5,4%), szédülés (2,3%) és hyperkalemia (2,3%) volt a leggyakoribb. A krónikus vesebetegségben szenvedő betegeknél a leggyakoribb gyógyszer okozta mellékhatás a hyperkalaemia (12,9%), a fejfájás (7,1%), a vér emelkedett kreatininszintje (5,9%) és a hypotonia volt (4,7%). A krónikus vesebetegségben nem szenvedő betegeknél a leggyakoribb gyógyszer okozta mellékhatás a fejfájás (5,1%) és a szédülés volt (2,7%). Gyógyszer okozta mellékhatásokat gyakrabban észleltek a más vérnyomáscsökkentőkkel kombinációban valzartánt kapó betegeknél, mint a valzartán</w:t>
      </w:r>
      <w:r w:rsidR="00347F79">
        <w:rPr>
          <w:sz w:val="22"/>
          <w:szCs w:val="22"/>
        </w:rPr>
        <w:t>-</w:t>
      </w:r>
      <w:r w:rsidRPr="006C21FC">
        <w:rPr>
          <w:sz w:val="22"/>
          <w:szCs w:val="22"/>
        </w:rPr>
        <w:t>monoterápiát kapóknál.</w:t>
      </w:r>
    </w:p>
    <w:p w14:paraId="4E1F30CE" w14:textId="77777777" w:rsidR="0038161D" w:rsidRPr="00345BCE" w:rsidRDefault="0038161D" w:rsidP="00B0458C">
      <w:pPr>
        <w:rPr>
          <w:snapToGrid w:val="0"/>
          <w:sz w:val="22"/>
          <w:szCs w:val="22"/>
        </w:rPr>
      </w:pPr>
    </w:p>
    <w:p w14:paraId="3CD5AB61" w14:textId="09A1C617" w:rsidR="00F966C3" w:rsidRPr="00F966C3" w:rsidRDefault="00DD3731" w:rsidP="00F966C3">
      <w:pPr>
        <w:autoSpaceDE w:val="0"/>
        <w:autoSpaceDN w:val="0"/>
        <w:adjustRightInd w:val="0"/>
        <w:rPr>
          <w:sz w:val="22"/>
          <w:szCs w:val="22"/>
        </w:rPr>
      </w:pPr>
      <w:r w:rsidRPr="00DD3731">
        <w:rPr>
          <w:sz w:val="22"/>
          <w:szCs w:val="22"/>
        </w:rPr>
        <w:t xml:space="preserve">A valzartán vérnyomáscsökkentő hatását </w:t>
      </w:r>
      <w:r w:rsidR="00347F79">
        <w:rPr>
          <w:sz w:val="22"/>
          <w:szCs w:val="22"/>
        </w:rPr>
        <w:t xml:space="preserve">legalább </w:t>
      </w:r>
      <w:r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Pr="00DD3731">
        <w:rPr>
          <w:sz w:val="22"/>
          <w:szCs w:val="22"/>
        </w:rPr>
        <w:t xml:space="preserve">gyermekeknél értékelték három randomizált, kettős vak klinikai vizsgálatban (mindegyiket egy kiterjesztett szakasz is követett). Az első vizsgálatban 90, 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Pr="00DD3731">
        <w:rPr>
          <w:sz w:val="22"/>
          <w:szCs w:val="22"/>
        </w:rPr>
        <w:t xml:space="preserve">gyermeknél két halálesetet és a hepaticus transzaminázok aktivitásának jelentős emelkedésének elszigetelt eseteit </w:t>
      </w:r>
      <w:r w:rsidRPr="00DD3731">
        <w:rPr>
          <w:sz w:val="22"/>
          <w:szCs w:val="22"/>
        </w:rPr>
        <w:lastRenderedPageBreak/>
        <w:t>észlelték.</w:t>
      </w:r>
      <w:r>
        <w:rPr>
          <w:sz w:val="22"/>
          <w:szCs w:val="22"/>
        </w:rPr>
        <w:t xml:space="preserve"> </w:t>
      </w:r>
      <w:r w:rsidR="0038161D" w:rsidRPr="00345BCE">
        <w:rPr>
          <w:sz w:val="22"/>
          <w:szCs w:val="22"/>
        </w:rPr>
        <w:t xml:space="preserve">Ezek az esetek egy olyan </w:t>
      </w:r>
      <w:r w:rsidR="00E47A24">
        <w:rPr>
          <w:sz w:val="22"/>
          <w:szCs w:val="22"/>
        </w:rPr>
        <w:t>betegcsoportban</w:t>
      </w:r>
      <w:r w:rsidR="0038161D" w:rsidRPr="00345BCE">
        <w:rPr>
          <w:sz w:val="22"/>
          <w:szCs w:val="22"/>
        </w:rPr>
        <w:t xml:space="preserve"> következtek be, amelyben komoly kísérőbetegségek fordultak elő. A </w:t>
      </w:r>
      <w:r w:rsidR="004567AE">
        <w:rPr>
          <w:sz w:val="22"/>
          <w:szCs w:val="22"/>
        </w:rPr>
        <w:t>v</w:t>
      </w:r>
      <w:r w:rsidR="00345BCE" w:rsidRPr="00345BCE">
        <w:rPr>
          <w:sz w:val="22"/>
          <w:szCs w:val="22"/>
        </w:rPr>
        <w:t>al</w:t>
      </w:r>
      <w:r w:rsidR="006B56A6">
        <w:rPr>
          <w:sz w:val="22"/>
          <w:szCs w:val="22"/>
        </w:rPr>
        <w:t>z</w:t>
      </w:r>
      <w:r w:rsidR="00345BCE" w:rsidRPr="00345BCE">
        <w:rPr>
          <w:sz w:val="22"/>
          <w:szCs w:val="22"/>
        </w:rPr>
        <w:t>art</w:t>
      </w:r>
      <w:r w:rsidR="006B56A6">
        <w:rPr>
          <w:sz w:val="22"/>
          <w:szCs w:val="22"/>
        </w:rPr>
        <w:t>á</w:t>
      </w:r>
      <w:r w:rsidR="00345BCE" w:rsidRPr="00345BCE">
        <w:rPr>
          <w:sz w:val="22"/>
          <w:szCs w:val="22"/>
        </w:rPr>
        <w:t>n</w:t>
      </w:r>
      <w:r w:rsidR="0038161D" w:rsidRPr="00345BCE">
        <w:rPr>
          <w:sz w:val="22"/>
          <w:szCs w:val="22"/>
        </w:rPr>
        <w:t xml:space="preserve">nal való ok-okozati összefüggést nem állapították meg. </w:t>
      </w:r>
      <w:r w:rsidR="00F966C3" w:rsidRPr="00F966C3">
        <w:rPr>
          <w:sz w:val="22"/>
          <w:szCs w:val="22"/>
        </w:rPr>
        <w:t xml:space="preserve">A következő két vizsgálatban, amelybe 202, 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="00F966C3" w:rsidRPr="00F966C3">
        <w:rPr>
          <w:sz w:val="22"/>
          <w:szCs w:val="22"/>
        </w:rPr>
        <w:t>gyermeket soroltak be random módon, a valzartán-kezelés során sem a hepaticus transzaminázok aktivitásának jelentős emelkedését, sem halálesetet nem észleltek.</w:t>
      </w:r>
    </w:p>
    <w:p w14:paraId="6C1C7842" w14:textId="77777777" w:rsidR="00F966C3" w:rsidRPr="00F966C3" w:rsidRDefault="00F966C3" w:rsidP="00F966C3">
      <w:pPr>
        <w:autoSpaceDE w:val="0"/>
        <w:autoSpaceDN w:val="0"/>
        <w:adjustRightInd w:val="0"/>
        <w:rPr>
          <w:sz w:val="22"/>
          <w:szCs w:val="22"/>
        </w:rPr>
      </w:pPr>
    </w:p>
    <w:p w14:paraId="1DA0247C" w14:textId="44FF3A1D" w:rsidR="0038161D" w:rsidRPr="00345BCE" w:rsidRDefault="00F966C3" w:rsidP="00F966C3">
      <w:pPr>
        <w:autoSpaceDE w:val="0"/>
        <w:autoSpaceDN w:val="0"/>
        <w:adjustRightInd w:val="0"/>
        <w:rPr>
          <w:sz w:val="22"/>
          <w:szCs w:val="22"/>
        </w:rPr>
      </w:pPr>
      <w:r w:rsidRPr="00F966C3">
        <w:rPr>
          <w:sz w:val="22"/>
          <w:szCs w:val="22"/>
        </w:rPr>
        <w:t>A kétszázkettő (202) hypertoniás gyermek (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>korúak</w:t>
      </w:r>
      <w:r w:rsidRPr="00F966C3">
        <w:rPr>
          <w:sz w:val="22"/>
          <w:szCs w:val="22"/>
        </w:rPr>
        <w:t>) bevonásával végzett két következő vizsgálat összesített analízisében minden beteg valzartán-monoterápiát kapott a kettős vak szakaszokban (kivéve a placebo megvonásos szakaszt). Közülük 186 beteg folytatta a kezelést, vagy kiterjesztett vizsgálatban, vagy nyílt elrendezésű vizsgálati szakaszban. A 202 betegből 33</w:t>
      </w:r>
      <w:r w:rsidR="00347F79">
        <w:rPr>
          <w:sz w:val="22"/>
          <w:szCs w:val="22"/>
        </w:rPr>
        <w:t>-</w:t>
      </w:r>
      <w:r w:rsidRPr="00F966C3">
        <w:rPr>
          <w:sz w:val="22"/>
          <w:szCs w:val="22"/>
        </w:rPr>
        <w:t>nak (16,3%) volt krónikus vesebetegsége (kiindulási érték: eGFR &lt; 90</w:t>
      </w:r>
      <w:r w:rsidR="00347F79">
        <w:rPr>
          <w:sz w:val="22"/>
          <w:szCs w:val="22"/>
        </w:rPr>
        <w:t> </w:t>
      </w:r>
      <w:r w:rsidRPr="00F966C3">
        <w:rPr>
          <w:sz w:val="22"/>
          <w:szCs w:val="22"/>
        </w:rPr>
        <w:t xml:space="preserve">ml/perc). A kettős vak szakaszban két beteg (1%), a nyílt elrendezésű vagy a kiterjesztett vizsgálatban pedig négy beteg (2,1%) hagyta abba a vizsgálatot nemkívánatos esemény miatt. A kettős vak szakaszban 13 beteg (7,0%) tapasztalt legalább egy mellékhatást. A leggyakoribb mellékhatások a hányás </w:t>
      </w:r>
      <w:r w:rsidR="00347F79">
        <w:rPr>
          <w:sz w:val="22"/>
          <w:szCs w:val="22"/>
        </w:rPr>
        <w:t>(</w:t>
      </w:r>
      <w:r w:rsidRPr="00F966C3">
        <w:rPr>
          <w:sz w:val="22"/>
          <w:szCs w:val="22"/>
        </w:rPr>
        <w:t>n = 3</w:t>
      </w:r>
      <w:r w:rsidR="00347F79">
        <w:rPr>
          <w:sz w:val="22"/>
          <w:szCs w:val="22"/>
        </w:rPr>
        <w:t>,</w:t>
      </w:r>
      <w:r w:rsidRPr="00F966C3">
        <w:rPr>
          <w:sz w:val="22"/>
          <w:szCs w:val="22"/>
        </w:rPr>
        <w:t xml:space="preserve"> 1,6%) és hasmenés </w:t>
      </w:r>
      <w:r w:rsidR="00347F79">
        <w:rPr>
          <w:sz w:val="22"/>
          <w:szCs w:val="22"/>
        </w:rPr>
        <w:t>(</w:t>
      </w:r>
      <w:r w:rsidRPr="00F966C3">
        <w:rPr>
          <w:sz w:val="22"/>
          <w:szCs w:val="22"/>
        </w:rPr>
        <w:t>n = 2</w:t>
      </w:r>
      <w:r w:rsidR="00347F79">
        <w:rPr>
          <w:sz w:val="22"/>
          <w:szCs w:val="22"/>
        </w:rPr>
        <w:t>,</w:t>
      </w:r>
      <w:r w:rsidRPr="00F966C3">
        <w:rPr>
          <w:sz w:val="22"/>
          <w:szCs w:val="22"/>
        </w:rPr>
        <w:t xml:space="preserve"> 1,1%) voltak.</w:t>
      </w:r>
      <w:r w:rsidR="005824A0">
        <w:rPr>
          <w:sz w:val="22"/>
          <w:szCs w:val="22"/>
        </w:rPr>
        <w:t xml:space="preserve"> </w:t>
      </w:r>
      <w:r w:rsidRPr="00F966C3">
        <w:rPr>
          <w:sz w:val="22"/>
          <w:szCs w:val="22"/>
        </w:rPr>
        <w:t>A krónikus vesebetegek csoportjában egy mellékhatás (hasmenés) volt. A nyílt elrendezésű vizsgálati szakaszban a betegek 5,4%-a (10/186) tapasztalt legalább egy mellékhatást. A leggyakoribb mellékhatás az étvágycsökkenés volt, amit két beteg (1,1%) jelentett. Mind a kettős vak szakaszban, mind a nyílt elrendezésű szakaszokban jelentettek hyperkalaemiát, mindkét szakaszban egy-egy betegnél. Sem a kettős vak, sem a nyílt elrendezésű vizsgálatokban nem jelentettek hypot</w:t>
      </w:r>
      <w:r w:rsidR="00347F79">
        <w:rPr>
          <w:sz w:val="22"/>
          <w:szCs w:val="22"/>
        </w:rPr>
        <w:t>e</w:t>
      </w:r>
      <w:r w:rsidRPr="00F966C3">
        <w:rPr>
          <w:sz w:val="22"/>
          <w:szCs w:val="22"/>
        </w:rPr>
        <w:t>n</w:t>
      </w:r>
      <w:r w:rsidR="00347F79">
        <w:rPr>
          <w:sz w:val="22"/>
          <w:szCs w:val="22"/>
        </w:rPr>
        <w:t>s</w:t>
      </w:r>
      <w:r w:rsidRPr="00F966C3">
        <w:rPr>
          <w:sz w:val="22"/>
          <w:szCs w:val="22"/>
        </w:rPr>
        <w:t>i</w:t>
      </w:r>
      <w:r w:rsidR="00347F79">
        <w:rPr>
          <w:sz w:val="22"/>
          <w:szCs w:val="22"/>
        </w:rPr>
        <w:t>ó</w:t>
      </w:r>
      <w:r w:rsidRPr="00F966C3">
        <w:rPr>
          <w:sz w:val="22"/>
          <w:szCs w:val="22"/>
        </w:rPr>
        <w:t>t vagy szédülést.</w:t>
      </w:r>
    </w:p>
    <w:p w14:paraId="23A4593A" w14:textId="77777777" w:rsidR="0038161D" w:rsidRPr="00345BCE" w:rsidRDefault="0038161D" w:rsidP="00C560EC">
      <w:pPr>
        <w:rPr>
          <w:sz w:val="22"/>
          <w:szCs w:val="22"/>
        </w:rPr>
      </w:pPr>
    </w:p>
    <w:p w14:paraId="72FFD80A" w14:textId="7B0E5834" w:rsidR="0038161D" w:rsidRPr="00345BCE" w:rsidRDefault="005824A0" w:rsidP="00C560EC">
      <w:pPr>
        <w:rPr>
          <w:sz w:val="22"/>
          <w:szCs w:val="22"/>
        </w:rPr>
      </w:pPr>
      <w:r w:rsidRPr="005824A0">
        <w:rPr>
          <w:sz w:val="22"/>
          <w:szCs w:val="22"/>
        </w:rPr>
        <w:t xml:space="preserve">Hyperkalaemiát gyakrabban figyeltek meg krónikus vesebetegségben szenvedő </w:t>
      </w:r>
      <w:r w:rsidR="00B1779D">
        <w:rPr>
          <w:sz w:val="22"/>
          <w:szCs w:val="22"/>
        </w:rPr>
        <w:t xml:space="preserve">legalább </w:t>
      </w:r>
      <w:r w:rsidR="00B1779D" w:rsidRPr="00DD3731">
        <w:rPr>
          <w:sz w:val="22"/>
          <w:szCs w:val="22"/>
        </w:rPr>
        <w:t>1</w:t>
      </w:r>
      <w:r w:rsidR="00B1779D">
        <w:rPr>
          <w:sz w:val="22"/>
          <w:szCs w:val="22"/>
        </w:rPr>
        <w:t xml:space="preserve"> éves, de 18</w:t>
      </w:r>
      <w:r w:rsidR="00B1779D" w:rsidRPr="00DD3731">
        <w:rPr>
          <w:sz w:val="22"/>
          <w:szCs w:val="22"/>
        </w:rPr>
        <w:t xml:space="preserve"> évesnél fiatalabb </w:t>
      </w:r>
      <w:r w:rsidR="00B1779D">
        <w:rPr>
          <w:sz w:val="22"/>
          <w:szCs w:val="22"/>
        </w:rPr>
        <w:t xml:space="preserve">korú </w:t>
      </w:r>
      <w:r w:rsidRPr="005824A0">
        <w:rPr>
          <w:sz w:val="22"/>
          <w:szCs w:val="22"/>
        </w:rPr>
        <w:t>gyermekeknél és serdülőknél. A hyperkalaemia kockázata magasabb lehet az 1</w:t>
      </w:r>
      <w:r>
        <w:rPr>
          <w:sz w:val="22"/>
          <w:szCs w:val="22"/>
        </w:rPr>
        <w:t>-</w:t>
      </w:r>
      <w:r w:rsidRPr="005824A0">
        <w:rPr>
          <w:sz w:val="22"/>
          <w:szCs w:val="22"/>
        </w:rPr>
        <w:t xml:space="preserve">5 éves gyermekeknél, mint a </w:t>
      </w:r>
      <w:r w:rsidR="00B1779D">
        <w:rPr>
          <w:sz w:val="22"/>
          <w:szCs w:val="22"/>
        </w:rPr>
        <w:t>legalább 6 éves, de 18</w:t>
      </w:r>
      <w:r w:rsidR="00B1779D" w:rsidRPr="00DD3731">
        <w:rPr>
          <w:sz w:val="22"/>
          <w:szCs w:val="22"/>
        </w:rPr>
        <w:t xml:space="preserve"> évesnél fiatalabb </w:t>
      </w:r>
      <w:r w:rsidR="00B1779D">
        <w:rPr>
          <w:sz w:val="22"/>
          <w:szCs w:val="22"/>
        </w:rPr>
        <w:t xml:space="preserve">korú </w:t>
      </w:r>
      <w:r w:rsidRPr="005824A0">
        <w:rPr>
          <w:sz w:val="22"/>
          <w:szCs w:val="22"/>
        </w:rPr>
        <w:t>gyermekeknél és serdülőknél.</w:t>
      </w:r>
    </w:p>
    <w:p w14:paraId="19C300C2" w14:textId="77777777" w:rsidR="005824A0" w:rsidRDefault="005824A0" w:rsidP="00C560EC">
      <w:pPr>
        <w:rPr>
          <w:sz w:val="22"/>
          <w:szCs w:val="22"/>
        </w:rPr>
      </w:pPr>
    </w:p>
    <w:p w14:paraId="5C0FECE5" w14:textId="24C44CCC" w:rsidR="0038161D" w:rsidRPr="00345BCE" w:rsidRDefault="0038161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kontrollos klinikai vizsgálatokban a myocardialis infarctuson átesett és/vagy szívelégtelenségben szenvedő felnőtt betegeknél észlelt biztonságossági profil eltér a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észlelt általános biztonságossági profiltól. Ez a betegek alapbetegségével függhet össze. A myocardialis infarctuson átesett és/vagy szívelégtelenségben szenvedő felnőtt betegeknél észlelt gyógyszer okozta mellékhatások az alábbiakban kerülnek felsorolásra.</w:t>
      </w:r>
    </w:p>
    <w:p w14:paraId="69FFF15E" w14:textId="77777777" w:rsidR="00502D9F" w:rsidRPr="00345BCE" w:rsidRDefault="00502D9F" w:rsidP="00C560EC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1ADB9DBC" w14:textId="77777777" w:rsidR="0038161D" w:rsidRPr="00345BCE" w:rsidRDefault="00342164" w:rsidP="00C560EC">
      <w:pPr>
        <w:widowControl/>
        <w:numPr>
          <w:ilvl w:val="0"/>
          <w:numId w:val="5"/>
        </w:numPr>
        <w:tabs>
          <w:tab w:val="clear" w:pos="502"/>
          <w:tab w:val="num" w:pos="567"/>
        </w:tabs>
        <w:suppressAutoHyphens w:val="0"/>
        <w:ind w:left="567" w:hanging="567"/>
        <w:rPr>
          <w:sz w:val="22"/>
          <w:szCs w:val="22"/>
          <w:u w:val="single"/>
        </w:rPr>
      </w:pPr>
      <w:r w:rsidRPr="00345BCE">
        <w:rPr>
          <w:b/>
          <w:sz w:val="22"/>
          <w:szCs w:val="22"/>
        </w:rPr>
        <w:t>Myocardialis infarctus utáni állapot és/vagy szívelégtelenség</w:t>
      </w:r>
      <w:r w:rsidR="0038161D" w:rsidRPr="00345BCE">
        <w:rPr>
          <w:b/>
          <w:sz w:val="22"/>
          <w:szCs w:val="22"/>
        </w:rPr>
        <w:t xml:space="preserve"> </w:t>
      </w:r>
      <w:r w:rsidR="0038161D" w:rsidRPr="00345BCE">
        <w:rPr>
          <w:sz w:val="22"/>
          <w:szCs w:val="22"/>
          <w:u w:val="single"/>
        </w:rPr>
        <w:t>(csak felnőtt betegeknél vizsgálták)</w:t>
      </w:r>
    </w:p>
    <w:p w14:paraId="763EEF10" w14:textId="77777777" w:rsidR="00342164" w:rsidRPr="00345BCE" w:rsidRDefault="00342164" w:rsidP="005760F3">
      <w:pPr>
        <w:widowControl/>
        <w:tabs>
          <w:tab w:val="left" w:pos="567"/>
        </w:tabs>
        <w:suppressAutoHyphens w:val="0"/>
        <w:ind w:left="360"/>
        <w:rPr>
          <w:b/>
          <w:sz w:val="22"/>
          <w:szCs w:val="22"/>
        </w:rPr>
      </w:pPr>
    </w:p>
    <w:p w14:paraId="67663ABC" w14:textId="77777777" w:rsidR="00342164" w:rsidRPr="00345BCE" w:rsidRDefault="00342164" w:rsidP="0097699A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2"/>
        <w:gridCol w:w="58"/>
        <w:gridCol w:w="51"/>
        <w:gridCol w:w="4548"/>
      </w:tblGrid>
      <w:tr w:rsidR="00342164" w:rsidRPr="00345BCE" w14:paraId="0384883F" w14:textId="77777777" w:rsidTr="00C560EC">
        <w:tc>
          <w:tcPr>
            <w:tcW w:w="9322" w:type="dxa"/>
            <w:gridSpan w:val="4"/>
          </w:tcPr>
          <w:p w14:paraId="57E83D4D" w14:textId="77777777" w:rsidR="00342164" w:rsidRPr="00345BCE" w:rsidRDefault="00342164" w:rsidP="00666A5A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</w:tr>
      <w:tr w:rsidR="00342164" w:rsidRPr="00345BCE" w14:paraId="7C075F4A" w14:textId="77777777" w:rsidTr="00C560EC">
        <w:tc>
          <w:tcPr>
            <w:tcW w:w="4608" w:type="dxa"/>
            <w:gridSpan w:val="2"/>
          </w:tcPr>
          <w:p w14:paraId="0E6B8120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4D4570DB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Thrombocytopenia </w:t>
            </w:r>
          </w:p>
        </w:tc>
      </w:tr>
      <w:tr w:rsidR="00342164" w:rsidRPr="00345BCE" w14:paraId="3B7D206D" w14:textId="77777777" w:rsidTr="00C560EC">
        <w:tc>
          <w:tcPr>
            <w:tcW w:w="9322" w:type="dxa"/>
            <w:gridSpan w:val="4"/>
          </w:tcPr>
          <w:p w14:paraId="41DFA300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Immunrendszeri betegségek és tünetek</w:t>
            </w:r>
          </w:p>
        </w:tc>
      </w:tr>
      <w:tr w:rsidR="00342164" w:rsidRPr="00345BCE" w14:paraId="57FCB1F9" w14:textId="77777777" w:rsidTr="00C560EC">
        <w:tc>
          <w:tcPr>
            <w:tcW w:w="4608" w:type="dxa"/>
            <w:gridSpan w:val="2"/>
          </w:tcPr>
          <w:p w14:paraId="4A51BEE1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D1489F1" w14:textId="77777777" w:rsidR="00342164" w:rsidRPr="00345BCE" w:rsidRDefault="00342164" w:rsidP="00EA386A">
            <w:pPr>
              <w:keepNext/>
              <w:keepLines/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Túlérzékenység, beleértve a szérumbetegséget</w:t>
            </w:r>
          </w:p>
        </w:tc>
      </w:tr>
      <w:tr w:rsidR="00342164" w:rsidRPr="00345BCE" w14:paraId="24BACC97" w14:textId="77777777" w:rsidTr="00C560EC">
        <w:tc>
          <w:tcPr>
            <w:tcW w:w="9322" w:type="dxa"/>
            <w:gridSpan w:val="4"/>
          </w:tcPr>
          <w:p w14:paraId="14448BFB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</w:tr>
      <w:tr w:rsidR="00342164" w:rsidRPr="00345BCE" w14:paraId="0D217997" w14:textId="77777777" w:rsidTr="00C560EC">
        <w:tc>
          <w:tcPr>
            <w:tcW w:w="4608" w:type="dxa"/>
            <w:gridSpan w:val="2"/>
          </w:tcPr>
          <w:p w14:paraId="2D477D5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AA1680D" w14:textId="77777777" w:rsidR="00342164" w:rsidRPr="00345BCE" w:rsidRDefault="003416C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</w:t>
            </w:r>
            <w:r w:rsidR="00834B34">
              <w:rPr>
                <w:sz w:val="22"/>
                <w:szCs w:val="22"/>
              </w:rPr>
              <w:t>y</w:t>
            </w:r>
            <w:r w:rsidRPr="00345BCE">
              <w:rPr>
                <w:sz w:val="22"/>
                <w:szCs w:val="22"/>
              </w:rPr>
              <w:t>perkal</w:t>
            </w:r>
            <w:r w:rsidR="00834B34">
              <w:rPr>
                <w:sz w:val="22"/>
                <w:szCs w:val="22"/>
              </w:rPr>
              <w:t>ae</w:t>
            </w:r>
            <w:r w:rsidRPr="00345BCE">
              <w:rPr>
                <w:sz w:val="22"/>
                <w:szCs w:val="22"/>
              </w:rPr>
              <w:t xml:space="preserve">mia </w:t>
            </w:r>
          </w:p>
        </w:tc>
      </w:tr>
      <w:tr w:rsidR="00342164" w:rsidRPr="00345BCE" w14:paraId="6344D96A" w14:textId="77777777" w:rsidTr="00C560EC">
        <w:tc>
          <w:tcPr>
            <w:tcW w:w="4608" w:type="dxa"/>
            <w:gridSpan w:val="2"/>
          </w:tcPr>
          <w:p w14:paraId="5842588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044B994D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Emelkedett szérum káliumszint</w:t>
            </w:r>
            <w:r w:rsidR="00E725BF">
              <w:rPr>
                <w:sz w:val="22"/>
                <w:szCs w:val="22"/>
              </w:rPr>
              <w:t>, hyponatraemia</w:t>
            </w:r>
          </w:p>
        </w:tc>
      </w:tr>
      <w:tr w:rsidR="00342164" w:rsidRPr="00345BCE" w14:paraId="689E27FF" w14:textId="77777777" w:rsidTr="00C560EC">
        <w:tc>
          <w:tcPr>
            <w:tcW w:w="9322" w:type="dxa"/>
            <w:gridSpan w:val="4"/>
          </w:tcPr>
          <w:p w14:paraId="6355AB6C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Idegrendszeri betegségek és tünetek</w:t>
            </w:r>
          </w:p>
        </w:tc>
      </w:tr>
      <w:tr w:rsidR="00342164" w:rsidRPr="00345BCE" w14:paraId="58EF8BC4" w14:textId="77777777" w:rsidTr="00C560EC">
        <w:tc>
          <w:tcPr>
            <w:tcW w:w="4661" w:type="dxa"/>
            <w:gridSpan w:val="3"/>
          </w:tcPr>
          <w:p w14:paraId="167152B5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Gyakori</w:t>
            </w:r>
          </w:p>
        </w:tc>
        <w:tc>
          <w:tcPr>
            <w:tcW w:w="4661" w:type="dxa"/>
          </w:tcPr>
          <w:p w14:paraId="147EA0E7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 xml:space="preserve">Szédülés, </w:t>
            </w:r>
            <w:r w:rsidR="00B45063">
              <w:rPr>
                <w:bCs/>
                <w:sz w:val="22"/>
                <w:szCs w:val="22"/>
              </w:rPr>
              <w:t>p</w:t>
            </w:r>
            <w:r w:rsidRPr="00345BCE">
              <w:rPr>
                <w:bCs/>
                <w:sz w:val="22"/>
                <w:szCs w:val="22"/>
              </w:rPr>
              <w:t>ostur</w:t>
            </w:r>
            <w:r w:rsidR="005760F3">
              <w:rPr>
                <w:bCs/>
                <w:sz w:val="22"/>
                <w:szCs w:val="22"/>
              </w:rPr>
              <w:t>a</w:t>
            </w:r>
            <w:r w:rsidRPr="00345BCE">
              <w:rPr>
                <w:bCs/>
                <w:sz w:val="22"/>
                <w:szCs w:val="22"/>
              </w:rPr>
              <w:t>lis szédülés</w:t>
            </w:r>
          </w:p>
        </w:tc>
      </w:tr>
      <w:tr w:rsidR="00342164" w:rsidRPr="00345BCE" w14:paraId="5E9EA205" w14:textId="77777777" w:rsidTr="00C560EC">
        <w:tc>
          <w:tcPr>
            <w:tcW w:w="4661" w:type="dxa"/>
            <w:gridSpan w:val="3"/>
          </w:tcPr>
          <w:p w14:paraId="78D1D3D6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24B8BFB1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Syncope, </w:t>
            </w:r>
            <w:r w:rsidR="00B45063">
              <w:rPr>
                <w:sz w:val="22"/>
                <w:szCs w:val="22"/>
              </w:rPr>
              <w:t>f</w:t>
            </w:r>
            <w:r w:rsidRPr="00345BCE">
              <w:rPr>
                <w:sz w:val="22"/>
                <w:szCs w:val="22"/>
              </w:rPr>
              <w:t>ejfájás</w:t>
            </w:r>
          </w:p>
        </w:tc>
      </w:tr>
      <w:tr w:rsidR="00342164" w:rsidRPr="00345BCE" w14:paraId="3CD68478" w14:textId="77777777" w:rsidTr="00C560EC">
        <w:tc>
          <w:tcPr>
            <w:tcW w:w="9322" w:type="dxa"/>
            <w:gridSpan w:val="4"/>
          </w:tcPr>
          <w:p w14:paraId="06BA86EA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fül-, és az egyensúly-érzékelő szerv betegségei és tünetei</w:t>
            </w:r>
          </w:p>
        </w:tc>
      </w:tr>
      <w:tr w:rsidR="00342164" w:rsidRPr="00345BCE" w14:paraId="538D88AF" w14:textId="77777777" w:rsidTr="00C560EC">
        <w:tc>
          <w:tcPr>
            <w:tcW w:w="4608" w:type="dxa"/>
            <w:gridSpan w:val="2"/>
          </w:tcPr>
          <w:p w14:paraId="0CA4B1A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54141F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Vertigo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581DBB59" w14:textId="77777777" w:rsidTr="00C560EC">
        <w:tc>
          <w:tcPr>
            <w:tcW w:w="9322" w:type="dxa"/>
            <w:gridSpan w:val="4"/>
          </w:tcPr>
          <w:p w14:paraId="77C1927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Szívbetegségek és a szívvel kapcsolatos tünetek</w:t>
            </w:r>
          </w:p>
        </w:tc>
      </w:tr>
      <w:tr w:rsidR="00342164" w:rsidRPr="00345BCE" w14:paraId="2641A7AC" w14:textId="77777777" w:rsidTr="00C560EC">
        <w:tc>
          <w:tcPr>
            <w:tcW w:w="4661" w:type="dxa"/>
            <w:gridSpan w:val="3"/>
          </w:tcPr>
          <w:p w14:paraId="07A91B94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7D93B2DC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Szívelégtelenség</w:t>
            </w:r>
          </w:p>
        </w:tc>
      </w:tr>
      <w:tr w:rsidR="00342164" w:rsidRPr="00345BCE" w14:paraId="4A4BF3C7" w14:textId="77777777" w:rsidTr="00C560EC">
        <w:tc>
          <w:tcPr>
            <w:tcW w:w="9322" w:type="dxa"/>
            <w:gridSpan w:val="4"/>
          </w:tcPr>
          <w:p w14:paraId="3FCA2DC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Érbetegségek és tünetek</w:t>
            </w:r>
          </w:p>
        </w:tc>
      </w:tr>
      <w:tr w:rsidR="00342164" w:rsidRPr="00345BCE" w14:paraId="411EBB13" w14:textId="77777777" w:rsidTr="00C560EC">
        <w:tc>
          <w:tcPr>
            <w:tcW w:w="4608" w:type="dxa"/>
            <w:gridSpan w:val="2"/>
          </w:tcPr>
          <w:p w14:paraId="5ED3FF1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Gyakori</w:t>
            </w:r>
          </w:p>
        </w:tc>
        <w:tc>
          <w:tcPr>
            <w:tcW w:w="4714" w:type="dxa"/>
            <w:gridSpan w:val="2"/>
          </w:tcPr>
          <w:p w14:paraId="05EF1C56" w14:textId="77777777" w:rsidR="00342164" w:rsidRPr="00345BCE" w:rsidRDefault="00502D9F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</w:t>
            </w:r>
            <w:r w:rsidR="00834B34">
              <w:rPr>
                <w:sz w:val="22"/>
                <w:szCs w:val="22"/>
              </w:rPr>
              <w:t>y</w:t>
            </w:r>
            <w:r w:rsidRPr="00345BCE">
              <w:rPr>
                <w:sz w:val="22"/>
                <w:szCs w:val="22"/>
              </w:rPr>
              <w:t>pot</w:t>
            </w:r>
            <w:r w:rsidR="00D57EB0">
              <w:rPr>
                <w:sz w:val="22"/>
                <w:szCs w:val="22"/>
              </w:rPr>
              <w:t>onia</w:t>
            </w:r>
            <w:r w:rsidR="00342164" w:rsidRPr="00345BCE">
              <w:rPr>
                <w:sz w:val="22"/>
                <w:szCs w:val="22"/>
              </w:rPr>
              <w:t xml:space="preserve">, </w:t>
            </w:r>
            <w:r w:rsidR="00B45063">
              <w:rPr>
                <w:sz w:val="22"/>
                <w:szCs w:val="22"/>
              </w:rPr>
              <w:t>o</w:t>
            </w:r>
            <w:r w:rsidR="00342164" w:rsidRPr="00345BCE">
              <w:rPr>
                <w:sz w:val="22"/>
                <w:szCs w:val="22"/>
              </w:rPr>
              <w:t xml:space="preserve">rthostaticus </w:t>
            </w:r>
            <w:r w:rsidR="002321C3">
              <w:rPr>
                <w:sz w:val="22"/>
                <w:szCs w:val="22"/>
              </w:rPr>
              <w:t>hypotonia</w:t>
            </w:r>
          </w:p>
        </w:tc>
      </w:tr>
      <w:tr w:rsidR="00342164" w:rsidRPr="00345BCE" w14:paraId="7126D482" w14:textId="77777777" w:rsidTr="00C560EC">
        <w:tc>
          <w:tcPr>
            <w:tcW w:w="4608" w:type="dxa"/>
            <w:gridSpan w:val="2"/>
          </w:tcPr>
          <w:p w14:paraId="52FBABB5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1BF7167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Vasculitis </w:t>
            </w:r>
          </w:p>
        </w:tc>
      </w:tr>
      <w:tr w:rsidR="00342164" w:rsidRPr="00345BCE" w14:paraId="7626B0F7" w14:textId="77777777" w:rsidTr="00C560EC">
        <w:tc>
          <w:tcPr>
            <w:tcW w:w="9322" w:type="dxa"/>
            <w:gridSpan w:val="4"/>
          </w:tcPr>
          <w:p w14:paraId="79B37F47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342164" w:rsidRPr="00345BCE" w14:paraId="0D3884BB" w14:textId="77777777" w:rsidTr="00C560EC">
        <w:tc>
          <w:tcPr>
            <w:tcW w:w="4608" w:type="dxa"/>
            <w:gridSpan w:val="2"/>
          </w:tcPr>
          <w:p w14:paraId="455FDC68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0997522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Köhögés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1E33C429" w14:textId="77777777" w:rsidTr="00C560EC">
        <w:tc>
          <w:tcPr>
            <w:tcW w:w="9322" w:type="dxa"/>
            <w:gridSpan w:val="4"/>
          </w:tcPr>
          <w:p w14:paraId="4C48C17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</w:tr>
      <w:tr w:rsidR="00342164" w:rsidRPr="00345BCE" w14:paraId="4F709750" w14:textId="77777777" w:rsidTr="00C560EC">
        <w:tc>
          <w:tcPr>
            <w:tcW w:w="4608" w:type="dxa"/>
            <w:gridSpan w:val="2"/>
          </w:tcPr>
          <w:p w14:paraId="42F91403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lastRenderedPageBreak/>
              <w:t>Nem gyakori</w:t>
            </w:r>
          </w:p>
        </w:tc>
        <w:tc>
          <w:tcPr>
            <w:tcW w:w="4714" w:type="dxa"/>
            <w:gridSpan w:val="2"/>
          </w:tcPr>
          <w:p w14:paraId="68819CFD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Hányinger, Hasmenés </w:t>
            </w:r>
          </w:p>
        </w:tc>
      </w:tr>
      <w:tr w:rsidR="00023DF9" w:rsidRPr="00345BCE" w14:paraId="6329BFF2" w14:textId="77777777" w:rsidTr="00C560EC">
        <w:tc>
          <w:tcPr>
            <w:tcW w:w="4608" w:type="dxa"/>
            <w:gridSpan w:val="2"/>
          </w:tcPr>
          <w:p w14:paraId="6481FA8C" w14:textId="017A2A35" w:rsidR="00023DF9" w:rsidRPr="00345BCE" w:rsidRDefault="00023DF9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4714" w:type="dxa"/>
            <w:gridSpan w:val="2"/>
          </w:tcPr>
          <w:p w14:paraId="6975B190" w14:textId="31C829D9" w:rsidR="00023DF9" w:rsidRPr="00345BCE" w:rsidRDefault="00023DF9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Intestinalis angiooedema</w:t>
            </w:r>
          </w:p>
        </w:tc>
      </w:tr>
      <w:tr w:rsidR="00342164" w:rsidRPr="00345BCE" w14:paraId="491770E5" w14:textId="77777777" w:rsidTr="00C560EC">
        <w:tc>
          <w:tcPr>
            <w:tcW w:w="9322" w:type="dxa"/>
            <w:gridSpan w:val="4"/>
          </w:tcPr>
          <w:p w14:paraId="2D69A62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Máj</w:t>
            </w:r>
            <w:r w:rsidR="00502D9F" w:rsidRPr="00345BCE">
              <w:rPr>
                <w:b/>
                <w:sz w:val="22"/>
                <w:szCs w:val="22"/>
              </w:rPr>
              <w:t>- és epe</w:t>
            </w:r>
            <w:r w:rsidRPr="00345BCE">
              <w:rPr>
                <w:b/>
                <w:sz w:val="22"/>
                <w:szCs w:val="22"/>
              </w:rPr>
              <w:t>betegségek</w:t>
            </w:r>
            <w:r w:rsidR="00C30769">
              <w:rPr>
                <w:b/>
                <w:sz w:val="22"/>
                <w:szCs w:val="22"/>
              </w:rPr>
              <w:t>, illetve tünetek</w:t>
            </w:r>
          </w:p>
        </w:tc>
      </w:tr>
      <w:tr w:rsidR="00342164" w:rsidRPr="00345BCE" w14:paraId="01EE685C" w14:textId="77777777" w:rsidTr="00C560EC">
        <w:tc>
          <w:tcPr>
            <w:tcW w:w="4608" w:type="dxa"/>
            <w:gridSpan w:val="2"/>
          </w:tcPr>
          <w:p w14:paraId="2352D56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BD1FD47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máj</w:t>
            </w:r>
            <w:r w:rsidR="00502D9F" w:rsidRPr="00345BCE">
              <w:rPr>
                <w:sz w:val="22"/>
                <w:szCs w:val="22"/>
              </w:rPr>
              <w:t>funkciós</w:t>
            </w:r>
            <w:r w:rsidRPr="00345BCE">
              <w:rPr>
                <w:sz w:val="22"/>
                <w:szCs w:val="22"/>
              </w:rPr>
              <w:t xml:space="preserve"> értékek emelkedése</w:t>
            </w:r>
          </w:p>
        </w:tc>
      </w:tr>
      <w:tr w:rsidR="00342164" w:rsidRPr="00345BCE" w14:paraId="00FA3F90" w14:textId="77777777" w:rsidTr="00C560EC">
        <w:tc>
          <w:tcPr>
            <w:tcW w:w="9322" w:type="dxa"/>
            <w:gridSpan w:val="4"/>
          </w:tcPr>
          <w:p w14:paraId="3226438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bőr és a bőralatti szövet betegségei és tünetei</w:t>
            </w:r>
          </w:p>
        </w:tc>
      </w:tr>
      <w:tr w:rsidR="00342164" w:rsidRPr="00345BCE" w14:paraId="5E2CFBC3" w14:textId="77777777" w:rsidTr="00C560EC">
        <w:tc>
          <w:tcPr>
            <w:tcW w:w="4661" w:type="dxa"/>
            <w:gridSpan w:val="3"/>
          </w:tcPr>
          <w:p w14:paraId="1B65186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106718BE" w14:textId="77777777" w:rsidR="00342164" w:rsidRPr="00345BCE" w:rsidRDefault="00342164" w:rsidP="00B45063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Angio</w:t>
            </w:r>
            <w:r w:rsidR="00B45063">
              <w:rPr>
                <w:bCs/>
                <w:sz w:val="22"/>
                <w:szCs w:val="22"/>
              </w:rPr>
              <w:t>oe</w:t>
            </w:r>
            <w:r w:rsidR="00502D9F" w:rsidRPr="00345BCE">
              <w:rPr>
                <w:bCs/>
                <w:sz w:val="22"/>
                <w:szCs w:val="22"/>
              </w:rPr>
              <w:t>d</w:t>
            </w:r>
            <w:r w:rsidR="00B45063">
              <w:rPr>
                <w:bCs/>
                <w:sz w:val="22"/>
                <w:szCs w:val="22"/>
              </w:rPr>
              <w:t>e</w:t>
            </w:r>
            <w:r w:rsidR="00502D9F" w:rsidRPr="00345BCE">
              <w:rPr>
                <w:bCs/>
                <w:sz w:val="22"/>
                <w:szCs w:val="22"/>
              </w:rPr>
              <w:t>ma</w:t>
            </w:r>
          </w:p>
        </w:tc>
      </w:tr>
      <w:tr w:rsidR="00342164" w:rsidRPr="00345BCE" w14:paraId="552268FE" w14:textId="77777777" w:rsidTr="00C560EC">
        <w:tc>
          <w:tcPr>
            <w:tcW w:w="4661" w:type="dxa"/>
            <w:gridSpan w:val="3"/>
          </w:tcPr>
          <w:p w14:paraId="7EC35C03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27ADE477" w14:textId="77777777" w:rsidR="00342164" w:rsidRPr="00345BCE" w:rsidRDefault="003F66A1" w:rsidP="00B45063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Bullosus d</w:t>
            </w:r>
            <w:r w:rsidR="00507D16" w:rsidRPr="00127DDD">
              <w:rPr>
                <w:bCs/>
                <w:sz w:val="22"/>
                <w:szCs w:val="22"/>
              </w:rPr>
              <w:t>ermatitis</w:t>
            </w:r>
            <w:r w:rsidR="00507D16">
              <w:rPr>
                <w:bCs/>
                <w:sz w:val="22"/>
                <w:szCs w:val="22"/>
              </w:rPr>
              <w:t>,</w:t>
            </w:r>
            <w:r w:rsidR="00507D16" w:rsidRPr="00345BCE">
              <w:rPr>
                <w:bCs/>
                <w:sz w:val="22"/>
                <w:szCs w:val="22"/>
              </w:rPr>
              <w:t xml:space="preserve"> </w:t>
            </w:r>
            <w:r w:rsidR="00B45063">
              <w:rPr>
                <w:bCs/>
                <w:sz w:val="22"/>
                <w:szCs w:val="22"/>
              </w:rPr>
              <w:t>k</w:t>
            </w:r>
            <w:r w:rsidR="00342164" w:rsidRPr="00345BCE">
              <w:rPr>
                <w:bCs/>
                <w:sz w:val="22"/>
                <w:szCs w:val="22"/>
              </w:rPr>
              <w:t xml:space="preserve">iütés, </w:t>
            </w:r>
            <w:r w:rsidR="00B45063">
              <w:rPr>
                <w:bCs/>
                <w:sz w:val="22"/>
                <w:szCs w:val="22"/>
              </w:rPr>
              <w:t>p</w:t>
            </w:r>
            <w:r w:rsidR="00342164" w:rsidRPr="00345BCE">
              <w:rPr>
                <w:bCs/>
                <w:sz w:val="22"/>
                <w:szCs w:val="22"/>
              </w:rPr>
              <w:t>ruritus</w:t>
            </w:r>
          </w:p>
        </w:tc>
      </w:tr>
      <w:tr w:rsidR="00342164" w:rsidRPr="00345BCE" w14:paraId="6567CE0E" w14:textId="77777777" w:rsidTr="00C560EC">
        <w:tc>
          <w:tcPr>
            <w:tcW w:w="9322" w:type="dxa"/>
            <w:gridSpan w:val="4"/>
          </w:tcPr>
          <w:p w14:paraId="2422C838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csont-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 és </w:t>
            </w:r>
            <w:r w:rsidRPr="00345BCE">
              <w:rPr>
                <w:b/>
                <w:bCs/>
                <w:sz w:val="22"/>
                <w:szCs w:val="22"/>
              </w:rPr>
              <w:t>izomrendszer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, valamint </w:t>
            </w:r>
            <w:r w:rsidRPr="00345BCE">
              <w:rPr>
                <w:b/>
                <w:bCs/>
                <w:sz w:val="22"/>
                <w:szCs w:val="22"/>
              </w:rPr>
              <w:t>a kötőszövet betegségei és tünetei</w:t>
            </w:r>
          </w:p>
        </w:tc>
      </w:tr>
      <w:tr w:rsidR="00342164" w:rsidRPr="00345BCE" w14:paraId="43C9913A" w14:textId="77777777" w:rsidTr="00C560EC">
        <w:tc>
          <w:tcPr>
            <w:tcW w:w="4661" w:type="dxa"/>
            <w:gridSpan w:val="3"/>
          </w:tcPr>
          <w:p w14:paraId="5A58D463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1CD8C9FC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Myalgia</w:t>
            </w:r>
          </w:p>
        </w:tc>
      </w:tr>
      <w:tr w:rsidR="00342164" w:rsidRPr="00345BCE" w14:paraId="5DE86AA4" w14:textId="77777777" w:rsidTr="00C560EC">
        <w:tc>
          <w:tcPr>
            <w:tcW w:w="9322" w:type="dxa"/>
            <w:gridSpan w:val="4"/>
          </w:tcPr>
          <w:p w14:paraId="26D53F41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342164" w:rsidRPr="00345BCE" w14:paraId="71182514" w14:textId="77777777" w:rsidTr="00C560EC">
        <w:tc>
          <w:tcPr>
            <w:tcW w:w="4548" w:type="dxa"/>
          </w:tcPr>
          <w:p w14:paraId="3850011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Gyakori</w:t>
            </w:r>
          </w:p>
        </w:tc>
        <w:tc>
          <w:tcPr>
            <w:tcW w:w="4774" w:type="dxa"/>
            <w:gridSpan w:val="3"/>
          </w:tcPr>
          <w:p w14:paraId="70470F05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Veseelégtelenség és vesekárosodás</w:t>
            </w:r>
          </w:p>
        </w:tc>
      </w:tr>
      <w:tr w:rsidR="00342164" w:rsidRPr="00345BCE" w14:paraId="2D73383E" w14:textId="77777777" w:rsidTr="00C560EC">
        <w:tc>
          <w:tcPr>
            <w:tcW w:w="4548" w:type="dxa"/>
          </w:tcPr>
          <w:p w14:paraId="4653709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0A143D16" w14:textId="77777777" w:rsidR="00B45063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Akut veseelégtelenség,</w:t>
            </w:r>
          </w:p>
          <w:p w14:paraId="457826B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szérum kreatininszint emelkedése</w:t>
            </w:r>
          </w:p>
        </w:tc>
      </w:tr>
      <w:tr w:rsidR="00342164" w:rsidRPr="00345BCE" w14:paraId="2242472F" w14:textId="77777777" w:rsidTr="00C560EC">
        <w:tc>
          <w:tcPr>
            <w:tcW w:w="4548" w:type="dxa"/>
          </w:tcPr>
          <w:p w14:paraId="3841679C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74" w:type="dxa"/>
            <w:gridSpan w:val="3"/>
          </w:tcPr>
          <w:p w14:paraId="40309148" w14:textId="77777777" w:rsidR="00342164" w:rsidRPr="00345BCE" w:rsidRDefault="00342164" w:rsidP="00B4506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vér karbamid</w:t>
            </w:r>
            <w:r w:rsidR="00B45063">
              <w:rPr>
                <w:sz w:val="22"/>
                <w:szCs w:val="22"/>
              </w:rPr>
              <w:t>-</w:t>
            </w:r>
            <w:r w:rsidRPr="00345BCE">
              <w:rPr>
                <w:sz w:val="22"/>
                <w:szCs w:val="22"/>
              </w:rPr>
              <w:t>nitrogénszint emelkedése</w:t>
            </w:r>
          </w:p>
        </w:tc>
      </w:tr>
      <w:tr w:rsidR="00342164" w:rsidRPr="00345BCE" w14:paraId="2CEB386A" w14:textId="77777777" w:rsidTr="00C560EC">
        <w:tc>
          <w:tcPr>
            <w:tcW w:w="9322" w:type="dxa"/>
            <w:gridSpan w:val="4"/>
          </w:tcPr>
          <w:p w14:paraId="63B18940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</w:tr>
      <w:tr w:rsidR="00342164" w:rsidRPr="00345BCE" w14:paraId="0839F857" w14:textId="77777777" w:rsidTr="00C560EC">
        <w:tc>
          <w:tcPr>
            <w:tcW w:w="4548" w:type="dxa"/>
          </w:tcPr>
          <w:p w14:paraId="56DFFE0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6A20D28A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Asthenia, </w:t>
            </w:r>
            <w:r w:rsidR="00B45063">
              <w:rPr>
                <w:sz w:val="22"/>
                <w:szCs w:val="22"/>
              </w:rPr>
              <w:t>f</w:t>
            </w:r>
            <w:r w:rsidRPr="00345BCE">
              <w:rPr>
                <w:sz w:val="22"/>
                <w:szCs w:val="22"/>
              </w:rPr>
              <w:t>áradtság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14:paraId="32F8CCEA" w14:textId="77777777" w:rsidR="000A7E88" w:rsidRDefault="000A7E88" w:rsidP="001C2BD7">
      <w:pPr>
        <w:tabs>
          <w:tab w:val="left" w:pos="567"/>
        </w:tabs>
        <w:rPr>
          <w:b/>
          <w:sz w:val="22"/>
          <w:szCs w:val="22"/>
        </w:rPr>
      </w:pPr>
    </w:p>
    <w:p w14:paraId="0DDA0667" w14:textId="77777777" w:rsidR="00B31882" w:rsidRPr="00355A5E" w:rsidRDefault="00B31882" w:rsidP="00EA386A">
      <w:pPr>
        <w:rPr>
          <w:sz w:val="22"/>
          <w:szCs w:val="22"/>
          <w:u w:val="single"/>
        </w:rPr>
      </w:pPr>
      <w:r w:rsidRPr="00355A5E">
        <w:rPr>
          <w:sz w:val="22"/>
          <w:szCs w:val="22"/>
          <w:u w:val="single"/>
        </w:rPr>
        <w:t>Feltételezett mellékhatások bejelentése</w:t>
      </w:r>
    </w:p>
    <w:p w14:paraId="00344549" w14:textId="77777777" w:rsidR="00B31882" w:rsidRPr="00355A5E" w:rsidRDefault="00B31882" w:rsidP="00EA386A">
      <w:pPr>
        <w:rPr>
          <w:sz w:val="22"/>
          <w:szCs w:val="22"/>
        </w:rPr>
      </w:pPr>
      <w:r w:rsidRPr="00355A5E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052A6E8" w14:textId="77777777" w:rsidR="000A5BD1" w:rsidRPr="00355A5E" w:rsidRDefault="00B31882" w:rsidP="0097699A">
      <w:pPr>
        <w:tabs>
          <w:tab w:val="left" w:pos="567"/>
        </w:tabs>
        <w:rPr>
          <w:sz w:val="22"/>
          <w:szCs w:val="22"/>
        </w:rPr>
      </w:pPr>
      <w:r w:rsidRPr="00355A5E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355A5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355A5E">
        <w:rPr>
          <w:sz w:val="22"/>
          <w:szCs w:val="22"/>
          <w:highlight w:val="lightGray"/>
        </w:rPr>
        <w:t xml:space="preserve"> található elérhetőségek valamelyikén keresztül</w:t>
      </w:r>
      <w:r w:rsidRPr="00355A5E">
        <w:rPr>
          <w:sz w:val="22"/>
          <w:szCs w:val="22"/>
        </w:rPr>
        <w:t>.</w:t>
      </w:r>
    </w:p>
    <w:p w14:paraId="2DDA04A0" w14:textId="77777777" w:rsidR="00B31882" w:rsidRPr="00355A5E" w:rsidRDefault="00B31882" w:rsidP="00666A5A">
      <w:pPr>
        <w:tabs>
          <w:tab w:val="left" w:pos="567"/>
        </w:tabs>
        <w:rPr>
          <w:b/>
          <w:sz w:val="22"/>
          <w:szCs w:val="22"/>
        </w:rPr>
      </w:pPr>
    </w:p>
    <w:p w14:paraId="1FF03708" w14:textId="77777777" w:rsidR="000A7E88" w:rsidRPr="00345BCE" w:rsidRDefault="000A7E88" w:rsidP="00666A5A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4.9</w:t>
      </w:r>
      <w:r w:rsidRPr="00345BCE">
        <w:rPr>
          <w:b/>
          <w:sz w:val="22"/>
          <w:szCs w:val="22"/>
        </w:rPr>
        <w:tab/>
        <w:t>Túladagolás</w:t>
      </w:r>
    </w:p>
    <w:p w14:paraId="5D7BFDA1" w14:textId="77777777" w:rsidR="000A7E88" w:rsidRPr="00345BCE" w:rsidRDefault="000A7E88" w:rsidP="00666A5A">
      <w:pPr>
        <w:tabs>
          <w:tab w:val="left" w:pos="567"/>
        </w:tabs>
        <w:rPr>
          <w:b/>
          <w:sz w:val="22"/>
          <w:szCs w:val="22"/>
        </w:rPr>
      </w:pPr>
    </w:p>
    <w:p w14:paraId="78BDED84" w14:textId="77777777" w:rsidR="00342164" w:rsidRPr="00345BCE" w:rsidRDefault="00342164" w:rsidP="001902F4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Tünetek</w:t>
      </w:r>
    </w:p>
    <w:p w14:paraId="294DCD9A" w14:textId="77777777" w:rsidR="000A7E88" w:rsidRPr="00345BCE" w:rsidRDefault="006B096E" w:rsidP="001902F4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F54DB9" w:rsidRPr="00345BCE">
        <w:rPr>
          <w:sz w:val="22"/>
          <w:szCs w:val="22"/>
        </w:rPr>
        <w:t>valzartán</w:t>
      </w:r>
      <w:r w:rsidR="003A5F35">
        <w:rPr>
          <w:sz w:val="22"/>
          <w:szCs w:val="22"/>
        </w:rPr>
        <w:t>-</w:t>
      </w:r>
      <w:r w:rsidR="000A7E88" w:rsidRPr="00345BCE">
        <w:rPr>
          <w:sz w:val="22"/>
          <w:szCs w:val="22"/>
        </w:rPr>
        <w:t>túladagolás nagy</w:t>
      </w:r>
      <w:r w:rsidR="00F54DB9" w:rsidRPr="00345BCE">
        <w:rPr>
          <w:sz w:val="22"/>
          <w:szCs w:val="22"/>
        </w:rPr>
        <w:t>fokú</w:t>
      </w:r>
      <w:r w:rsidR="000A7E88"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hypotoni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t</w:t>
      </w:r>
      <w:r w:rsidR="00834B34" w:rsidRPr="00345BCE">
        <w:rPr>
          <w:sz w:val="22"/>
          <w:szCs w:val="22"/>
        </w:rPr>
        <w:t xml:space="preserve"> </w:t>
      </w:r>
      <w:r w:rsidR="000A7E88" w:rsidRPr="00345BCE">
        <w:rPr>
          <w:sz w:val="22"/>
          <w:szCs w:val="22"/>
        </w:rPr>
        <w:t>okozhat</w:t>
      </w:r>
      <w:r w:rsidR="008D3E5B" w:rsidRPr="00345BCE">
        <w:rPr>
          <w:sz w:val="22"/>
          <w:szCs w:val="22"/>
        </w:rPr>
        <w:t>,</w:t>
      </w:r>
      <w:r w:rsidR="000A7E88" w:rsidRPr="00345BCE">
        <w:rPr>
          <w:sz w:val="22"/>
          <w:szCs w:val="22"/>
        </w:rPr>
        <w:t xml:space="preserve"> ami eszméletvesztéshez, a keringés összeomlásához és/vagy sokkhoz vezethet.</w:t>
      </w:r>
    </w:p>
    <w:p w14:paraId="28D54F1C" w14:textId="77777777" w:rsidR="00AF2563" w:rsidRPr="00345BCE" w:rsidRDefault="00AF2563" w:rsidP="00B0458C">
      <w:pPr>
        <w:tabs>
          <w:tab w:val="left" w:pos="567"/>
        </w:tabs>
        <w:rPr>
          <w:sz w:val="22"/>
          <w:szCs w:val="22"/>
          <w:u w:val="single"/>
        </w:rPr>
      </w:pPr>
    </w:p>
    <w:p w14:paraId="1A48A790" w14:textId="77777777" w:rsidR="00AF2563" w:rsidRPr="00345BCE" w:rsidRDefault="00AF2563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Kezelés</w:t>
      </w:r>
    </w:p>
    <w:p w14:paraId="7050F03D" w14:textId="77777777" w:rsidR="00AF2563" w:rsidRPr="00345BCE" w:rsidRDefault="00AF2563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terápiás intézkedések a </w:t>
      </w:r>
      <w:r w:rsidR="00F54DB9" w:rsidRPr="00345BCE">
        <w:rPr>
          <w:sz w:val="22"/>
          <w:szCs w:val="22"/>
        </w:rPr>
        <w:t xml:space="preserve">bevétel </w:t>
      </w:r>
      <w:r w:rsidRPr="00345BCE">
        <w:rPr>
          <w:sz w:val="22"/>
          <w:szCs w:val="22"/>
        </w:rPr>
        <w:t>időpontjától, illetve a tünetek típusától és súlyosságától függnek; a vérkeringés stabilizálása elsődleges jelentőségű.</w:t>
      </w:r>
    </w:p>
    <w:p w14:paraId="6C1D4573" w14:textId="77777777" w:rsidR="00AF2563" w:rsidRPr="00345BCE" w:rsidRDefault="00834B34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Hypotonia</w:t>
      </w:r>
      <w:r w:rsidRPr="00345BCE">
        <w:rPr>
          <w:sz w:val="22"/>
          <w:szCs w:val="22"/>
        </w:rPr>
        <w:t xml:space="preserve"> </w:t>
      </w:r>
      <w:r w:rsidR="00AF2563" w:rsidRPr="00345BCE">
        <w:rPr>
          <w:sz w:val="22"/>
          <w:szCs w:val="22"/>
        </w:rPr>
        <w:t xml:space="preserve">előfordulása esetén a beteget </w:t>
      </w:r>
      <w:r w:rsidR="00686775" w:rsidRPr="00345BCE">
        <w:rPr>
          <w:sz w:val="22"/>
          <w:szCs w:val="22"/>
        </w:rPr>
        <w:t>hanyatt</w:t>
      </w:r>
      <w:r w:rsidR="00F54DB9" w:rsidRPr="00345BCE">
        <w:rPr>
          <w:sz w:val="22"/>
          <w:szCs w:val="22"/>
        </w:rPr>
        <w:t xml:space="preserve"> kell fektetni</w:t>
      </w:r>
      <w:r w:rsidR="00AF2563" w:rsidRPr="00345BCE">
        <w:rPr>
          <w:sz w:val="22"/>
          <w:szCs w:val="22"/>
        </w:rPr>
        <w:t xml:space="preserve">, és </w:t>
      </w:r>
      <w:r w:rsidR="00686775" w:rsidRPr="00345BCE">
        <w:rPr>
          <w:sz w:val="22"/>
          <w:szCs w:val="22"/>
        </w:rPr>
        <w:t xml:space="preserve">korrigálni kell a </w:t>
      </w:r>
      <w:r w:rsidR="00AF2563" w:rsidRPr="00345BCE">
        <w:rPr>
          <w:sz w:val="22"/>
          <w:szCs w:val="22"/>
        </w:rPr>
        <w:t>vérvolumen</w:t>
      </w:r>
      <w:r w:rsidR="00686775" w:rsidRPr="00345BCE">
        <w:rPr>
          <w:sz w:val="22"/>
          <w:szCs w:val="22"/>
        </w:rPr>
        <w:t>t</w:t>
      </w:r>
      <w:r w:rsidR="00AF2563" w:rsidRPr="00345BCE">
        <w:rPr>
          <w:sz w:val="22"/>
          <w:szCs w:val="22"/>
        </w:rPr>
        <w:t>.</w:t>
      </w:r>
    </w:p>
    <w:p w14:paraId="39FE3F32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nagy valószínűséggel nem távolítható el hemodialízissel.</w:t>
      </w:r>
    </w:p>
    <w:p w14:paraId="69CB22B9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310010F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A96991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</w:t>
      </w:r>
      <w:r w:rsidRPr="00345BCE">
        <w:rPr>
          <w:b/>
          <w:sz w:val="22"/>
          <w:szCs w:val="22"/>
        </w:rPr>
        <w:tab/>
        <w:t>FARMAKOLÓGIAI TULAJDONSÁGOK</w:t>
      </w:r>
    </w:p>
    <w:p w14:paraId="2E7BA8E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590C4DF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5.1</w:t>
      </w:r>
      <w:r w:rsidRPr="00345BCE">
        <w:rPr>
          <w:b/>
          <w:sz w:val="22"/>
          <w:szCs w:val="22"/>
        </w:rPr>
        <w:tab/>
        <w:t>Farmakodinámiás tulajdonságok</w:t>
      </w:r>
    </w:p>
    <w:p w14:paraId="4817A33E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4DDE694C" w14:textId="77777777" w:rsidR="00732571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 xml:space="preserve">Farmakoterápiás csoport: </w:t>
      </w:r>
      <w:r w:rsidR="00CD0158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CD0158"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="00CD0158" w:rsidRPr="00345BCE">
        <w:rPr>
          <w:sz w:val="22"/>
          <w:szCs w:val="22"/>
        </w:rPr>
        <w:t>antagonisták önmagukban</w:t>
      </w:r>
    </w:p>
    <w:p w14:paraId="687A7866" w14:textId="77777777" w:rsidR="000A7E88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>ATC</w:t>
      </w:r>
      <w:r w:rsidR="00411310">
        <w:rPr>
          <w:sz w:val="22"/>
          <w:szCs w:val="22"/>
        </w:rPr>
        <w:t>-</w:t>
      </w:r>
      <w:r w:rsidRPr="00345BCE">
        <w:rPr>
          <w:sz w:val="22"/>
          <w:szCs w:val="22"/>
        </w:rPr>
        <w:t>kód: C09CA03</w:t>
      </w:r>
    </w:p>
    <w:p w14:paraId="3D69E18F" w14:textId="77777777" w:rsidR="000A7E88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</w:p>
    <w:p w14:paraId="21FEF222" w14:textId="77777777" w:rsidR="000A7E88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</w:t>
      </w:r>
      <w:r w:rsidR="00AF2563" w:rsidRPr="00345BCE">
        <w:rPr>
          <w:sz w:val="22"/>
          <w:szCs w:val="22"/>
        </w:rPr>
        <w:t>orálisan aktív,</w:t>
      </w:r>
      <w:r w:rsidRPr="00345BCE">
        <w:rPr>
          <w:sz w:val="22"/>
          <w:szCs w:val="22"/>
        </w:rPr>
        <w:t xml:space="preserve"> hatékony, specifikus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Pr="00345BCE">
        <w:rPr>
          <w:sz w:val="22"/>
          <w:szCs w:val="22"/>
        </w:rPr>
        <w:t>(Ang</w:t>
      </w:r>
      <w:r w:rsidR="003416C4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II)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antagonista.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szelektíven hat az AT</w:t>
      </w:r>
      <w:r w:rsidRPr="00345BCE">
        <w:rPr>
          <w:sz w:val="22"/>
          <w:szCs w:val="22"/>
          <w:vertAlign w:val="subscript"/>
        </w:rPr>
        <w:t>1</w:t>
      </w:r>
      <w:r w:rsidRPr="00345BCE">
        <w:rPr>
          <w:sz w:val="22"/>
          <w:szCs w:val="22"/>
        </w:rPr>
        <w:t xml:space="preserve"> receptoraltípusra, ami az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Pr="00345BCE">
        <w:rPr>
          <w:sz w:val="22"/>
          <w:szCs w:val="22"/>
        </w:rPr>
        <w:t xml:space="preserve">ismert hatásaiért felelős. </w:t>
      </w:r>
      <w:r w:rsidR="00AB7358" w:rsidRPr="00345BCE">
        <w:rPr>
          <w:sz w:val="22"/>
          <w:szCs w:val="22"/>
        </w:rPr>
        <w:t>A valzartán okozta AT</w:t>
      </w:r>
      <w:r w:rsidR="00AB7358"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>receptor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 xml:space="preserve">blokád miatt a felszaporodó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="00AB7358" w:rsidRPr="00345BCE">
        <w:rPr>
          <w:sz w:val="22"/>
          <w:szCs w:val="22"/>
        </w:rPr>
        <w:t>stimulálhatja a blokkolás alatt nem álló AT</w:t>
      </w:r>
      <w:r w:rsidR="00AB7358" w:rsidRPr="00345BCE">
        <w:rPr>
          <w:sz w:val="22"/>
          <w:szCs w:val="22"/>
          <w:vertAlign w:val="subscript"/>
        </w:rPr>
        <w:t>2</w:t>
      </w:r>
      <w:r w:rsidR="0097699A">
        <w:rPr>
          <w:sz w:val="22"/>
          <w:szCs w:val="22"/>
        </w:rPr>
        <w:noBreakHyphen/>
      </w:r>
      <w:r w:rsidR="00AB7358" w:rsidRPr="00345BCE">
        <w:rPr>
          <w:sz w:val="22"/>
          <w:szCs w:val="22"/>
        </w:rPr>
        <w:t>receptort, ami úgy tűnik, ellensúlyozza az AT</w:t>
      </w:r>
      <w:r w:rsidR="00AB7358"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>receptorhatást.</w:t>
      </w:r>
      <w:r w:rsidRPr="00345BCE">
        <w:rPr>
          <w:sz w:val="22"/>
          <w:szCs w:val="22"/>
        </w:rPr>
        <w:t xml:space="preserve">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nem fejt ki </w:t>
      </w:r>
      <w:r w:rsidR="00B40917" w:rsidRPr="00345BCE">
        <w:rPr>
          <w:sz w:val="22"/>
          <w:szCs w:val="22"/>
        </w:rPr>
        <w:t xml:space="preserve">parciális </w:t>
      </w:r>
      <w:r w:rsidRPr="00345BCE">
        <w:rPr>
          <w:sz w:val="22"/>
          <w:szCs w:val="22"/>
        </w:rPr>
        <w:t>agonista hatást az AT</w:t>
      </w:r>
      <w:r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receptorokon, és sokkal nagyobb (kb. 20 000-szeres) </w:t>
      </w:r>
      <w:r w:rsidR="00686775" w:rsidRPr="00345BCE">
        <w:rPr>
          <w:sz w:val="22"/>
          <w:szCs w:val="22"/>
        </w:rPr>
        <w:t xml:space="preserve">affinitással </w:t>
      </w:r>
      <w:r w:rsidRPr="00345BCE">
        <w:rPr>
          <w:sz w:val="22"/>
          <w:szCs w:val="22"/>
        </w:rPr>
        <w:t>kötődik az AT</w:t>
      </w:r>
      <w:r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noBreakHyphen/>
      </w:r>
      <w:r w:rsidRPr="00345BCE">
        <w:rPr>
          <w:sz w:val="22"/>
          <w:szCs w:val="22"/>
        </w:rPr>
        <w:t>receptorokhoz, mint az AT</w:t>
      </w:r>
      <w:r w:rsidRPr="00345BCE">
        <w:rPr>
          <w:sz w:val="22"/>
          <w:szCs w:val="22"/>
          <w:vertAlign w:val="subscript"/>
        </w:rPr>
        <w:t>2</w:t>
      </w:r>
      <w:r w:rsidR="0097699A">
        <w:rPr>
          <w:sz w:val="22"/>
          <w:szCs w:val="22"/>
        </w:rPr>
        <w:t>-</w:t>
      </w:r>
      <w:r w:rsidRPr="00345BCE">
        <w:rPr>
          <w:sz w:val="22"/>
          <w:szCs w:val="22"/>
        </w:rPr>
        <w:t>receptorokhoz.</w:t>
      </w:r>
      <w:r w:rsidR="00AF2563" w:rsidRPr="00345BCE">
        <w:rPr>
          <w:sz w:val="22"/>
          <w:szCs w:val="22"/>
        </w:rPr>
        <w:t xml:space="preserve"> A valzartán nem kötődik </w:t>
      </w:r>
      <w:r w:rsidR="00686775" w:rsidRPr="00345BCE">
        <w:rPr>
          <w:sz w:val="22"/>
          <w:szCs w:val="22"/>
        </w:rPr>
        <w:t>más,</w:t>
      </w:r>
      <w:r w:rsidR="00AF2563" w:rsidRPr="00345BCE">
        <w:rPr>
          <w:sz w:val="22"/>
          <w:szCs w:val="22"/>
        </w:rPr>
        <w:t xml:space="preserve"> a </w:t>
      </w:r>
      <w:r w:rsidR="00686775" w:rsidRPr="00345BCE">
        <w:rPr>
          <w:sz w:val="22"/>
          <w:szCs w:val="22"/>
        </w:rPr>
        <w:t xml:space="preserve">kardiovaszkuláris </w:t>
      </w:r>
      <w:r w:rsidR="00AF2563" w:rsidRPr="00345BCE">
        <w:rPr>
          <w:sz w:val="22"/>
          <w:szCs w:val="22"/>
        </w:rPr>
        <w:t>szabályozásban jelentős szerepet játszó hormonreceptorokhoz vagy ioncsatornákhoz, ill. azokat nem is blokkolja.</w:t>
      </w:r>
    </w:p>
    <w:p w14:paraId="14B303E7" w14:textId="77777777" w:rsidR="005824A0" w:rsidRPr="00345BCE" w:rsidRDefault="005824A0" w:rsidP="00C560EC">
      <w:pPr>
        <w:tabs>
          <w:tab w:val="left" w:pos="567"/>
        </w:tabs>
        <w:rPr>
          <w:sz w:val="22"/>
          <w:szCs w:val="22"/>
        </w:rPr>
      </w:pPr>
    </w:p>
    <w:p w14:paraId="4C9BCB42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nem gátolja </w:t>
      </w:r>
      <w:r w:rsidR="00686775" w:rsidRPr="00345BCE">
        <w:rPr>
          <w:sz w:val="22"/>
          <w:szCs w:val="22"/>
        </w:rPr>
        <w:t>a</w:t>
      </w:r>
      <w:r w:rsidRPr="00345BCE">
        <w:rPr>
          <w:sz w:val="22"/>
          <w:szCs w:val="22"/>
        </w:rPr>
        <w:t>z A</w:t>
      </w:r>
      <w:r w:rsidR="0097699A">
        <w:rPr>
          <w:sz w:val="22"/>
          <w:szCs w:val="22"/>
        </w:rPr>
        <w:t>T </w:t>
      </w:r>
      <w:r w:rsidRPr="00345BCE">
        <w:rPr>
          <w:sz w:val="22"/>
          <w:szCs w:val="22"/>
        </w:rPr>
        <w:t>I-et A</w:t>
      </w:r>
      <w:r w:rsidR="0097699A">
        <w:rPr>
          <w:sz w:val="22"/>
          <w:szCs w:val="22"/>
        </w:rPr>
        <w:t>T </w:t>
      </w:r>
      <w:r w:rsidRPr="00345BCE">
        <w:rPr>
          <w:sz w:val="22"/>
          <w:szCs w:val="22"/>
        </w:rPr>
        <w:t>II-vé alakít</w:t>
      </w:r>
      <w:r w:rsidR="00686775" w:rsidRPr="00345BCE">
        <w:rPr>
          <w:sz w:val="22"/>
          <w:szCs w:val="22"/>
        </w:rPr>
        <w:t>ó</w:t>
      </w:r>
      <w:r w:rsidRPr="00345BCE">
        <w:rPr>
          <w:sz w:val="22"/>
          <w:szCs w:val="22"/>
        </w:rPr>
        <w:t xml:space="preserve"> és a bradikinint lebont</w:t>
      </w:r>
      <w:r w:rsidR="00686775" w:rsidRPr="00345BCE">
        <w:rPr>
          <w:sz w:val="22"/>
          <w:szCs w:val="22"/>
        </w:rPr>
        <w:t>ó ACE, más néven kinináz-II működését</w:t>
      </w:r>
      <w:r w:rsidRPr="00345BCE">
        <w:rPr>
          <w:sz w:val="22"/>
          <w:szCs w:val="22"/>
        </w:rPr>
        <w:t>.</w:t>
      </w:r>
      <w:r w:rsidR="006C232D" w:rsidRPr="00345BCE">
        <w:rPr>
          <w:sz w:val="22"/>
          <w:szCs w:val="22"/>
        </w:rPr>
        <w:t xml:space="preserve"> </w:t>
      </w:r>
      <w:r w:rsidR="00686775" w:rsidRPr="00345BCE">
        <w:rPr>
          <w:sz w:val="22"/>
          <w:szCs w:val="22"/>
        </w:rPr>
        <w:t>Mivel nem hatnak az ACE-ra, és nem potenciálják a bradikinint és a P</w:t>
      </w:r>
      <w:r w:rsidR="0097699A">
        <w:rPr>
          <w:sz w:val="22"/>
          <w:szCs w:val="22"/>
        </w:rPr>
        <w:t>-</w:t>
      </w:r>
      <w:r w:rsidR="00686775" w:rsidRPr="00345BCE">
        <w:rPr>
          <w:sz w:val="22"/>
          <w:szCs w:val="22"/>
        </w:rPr>
        <w:t>anyagot, a</w:t>
      </w:r>
      <w:r w:rsidRPr="00345BCE">
        <w:rPr>
          <w:sz w:val="22"/>
          <w:szCs w:val="22"/>
        </w:rPr>
        <w:t xml:space="preserve">z </w:t>
      </w:r>
      <w:r w:rsidR="003416C4" w:rsidRPr="00345BCE">
        <w:rPr>
          <w:sz w:val="22"/>
          <w:szCs w:val="22"/>
        </w:rPr>
        <w:t>angiotenzin</w:t>
      </w:r>
      <w:r w:rsidR="0097699A">
        <w:rPr>
          <w:sz w:val="22"/>
          <w:szCs w:val="22"/>
        </w:rPr>
        <w:noBreakHyphen/>
      </w:r>
      <w:r w:rsidR="003416C4"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nagy valószínűséggel nem okoznak köhögést</w:t>
      </w:r>
      <w:r w:rsidR="006B096E" w:rsidRPr="00345BCE">
        <w:rPr>
          <w:sz w:val="22"/>
          <w:szCs w:val="22"/>
        </w:rPr>
        <w:t>.</w:t>
      </w:r>
    </w:p>
    <w:p w14:paraId="0FD172B4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lastRenderedPageBreak/>
        <w:t xml:space="preserve">Azokban a klinikai vizsgálatokban, melyekben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t ACE</w:t>
      </w:r>
      <w:r w:rsidR="00805329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gátlóval hasonlították össze, a száraz köhögés incidenciája szignifikánsan (p</w:t>
      </w:r>
      <w:r w:rsidR="0097699A">
        <w:rPr>
          <w:sz w:val="22"/>
          <w:szCs w:val="22"/>
        </w:rPr>
        <w:t> </w:t>
      </w:r>
      <w:r w:rsidRPr="00345BCE">
        <w:rPr>
          <w:sz w:val="22"/>
          <w:szCs w:val="22"/>
        </w:rPr>
        <w:t>&lt;</w:t>
      </w:r>
      <w:r w:rsidR="0097699A">
        <w:rPr>
          <w:sz w:val="22"/>
          <w:szCs w:val="22"/>
        </w:rPr>
        <w:t> </w:t>
      </w:r>
      <w:r w:rsidRPr="00345BCE">
        <w:rPr>
          <w:sz w:val="22"/>
          <w:szCs w:val="22"/>
        </w:rPr>
        <w:t xml:space="preserve">0,05) kisebb volt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nal kezelt csoportban, mint az ACE</w:t>
      </w:r>
      <w:r w:rsidR="0097699A">
        <w:rPr>
          <w:sz w:val="22"/>
          <w:szCs w:val="22"/>
        </w:rPr>
        <w:noBreakHyphen/>
      </w:r>
      <w:r w:rsidRPr="00345BCE">
        <w:rPr>
          <w:sz w:val="22"/>
          <w:szCs w:val="22"/>
        </w:rPr>
        <w:t>gátlóval kezelt csoportban (2,6%, ill. 7,9%). Egy olyan klinikai</w:t>
      </w:r>
      <w:r w:rsidR="006B096E" w:rsidRPr="00345BCE">
        <w:rPr>
          <w:sz w:val="22"/>
          <w:szCs w:val="22"/>
        </w:rPr>
        <w:t xml:space="preserve"> vizsgálatban, melyet azon bete</w:t>
      </w:r>
      <w:r w:rsidRPr="00345BCE">
        <w:rPr>
          <w:sz w:val="22"/>
          <w:szCs w:val="22"/>
        </w:rPr>
        <w:t>gek bevonásával végeztek, akiknek az anamnézisében ACE</w:t>
      </w:r>
      <w:r w:rsidR="00D309E4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</w:t>
      </w:r>
      <w:r w:rsidR="00032186">
        <w:rPr>
          <w:sz w:val="22"/>
          <w:szCs w:val="22"/>
        </w:rPr>
        <w:t>-</w:t>
      </w:r>
      <w:r w:rsidRPr="00345BCE">
        <w:rPr>
          <w:sz w:val="22"/>
          <w:szCs w:val="22"/>
        </w:rPr>
        <w:t>keze</w:t>
      </w:r>
      <w:r w:rsidR="006B096E" w:rsidRPr="00345BCE">
        <w:rPr>
          <w:sz w:val="22"/>
          <w:szCs w:val="22"/>
        </w:rPr>
        <w:t>lés alatt kialakuló száraz köhö</w:t>
      </w:r>
      <w:r w:rsidRPr="00345BCE">
        <w:rPr>
          <w:sz w:val="22"/>
          <w:szCs w:val="22"/>
        </w:rPr>
        <w:t xml:space="preserve">gés szerepel,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t szedő betegek 19,5%-ában, a tiazid diuret</w:t>
      </w:r>
      <w:r w:rsidR="006B096E" w:rsidRPr="00345BCE">
        <w:rPr>
          <w:sz w:val="22"/>
          <w:szCs w:val="22"/>
        </w:rPr>
        <w:t>ikumot szedők 19,0%-ában jelent</w:t>
      </w:r>
      <w:r w:rsidRPr="00345BCE">
        <w:rPr>
          <w:sz w:val="22"/>
          <w:szCs w:val="22"/>
        </w:rPr>
        <w:t>kezett köhögés, míg az ACE</w:t>
      </w:r>
      <w:r w:rsidR="00D309E4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gátlót szed</w:t>
      </w:r>
      <w:r w:rsidR="006B096E" w:rsidRPr="00345BCE">
        <w:rPr>
          <w:sz w:val="22"/>
          <w:szCs w:val="22"/>
        </w:rPr>
        <w:t>ők esetében 68,5%-ban (p</w:t>
      </w:r>
      <w:r w:rsidR="00032186">
        <w:rPr>
          <w:sz w:val="22"/>
          <w:szCs w:val="22"/>
        </w:rPr>
        <w:t> </w:t>
      </w:r>
      <w:r w:rsidR="006B096E" w:rsidRPr="00345BCE">
        <w:rPr>
          <w:sz w:val="22"/>
          <w:szCs w:val="22"/>
        </w:rPr>
        <w:t>&lt;</w:t>
      </w:r>
      <w:r w:rsidR="00032186">
        <w:rPr>
          <w:sz w:val="22"/>
          <w:szCs w:val="22"/>
        </w:rPr>
        <w:t> </w:t>
      </w:r>
      <w:r w:rsidR="006B096E" w:rsidRPr="00345BCE">
        <w:rPr>
          <w:sz w:val="22"/>
          <w:szCs w:val="22"/>
        </w:rPr>
        <w:t>0,05).</w:t>
      </w:r>
    </w:p>
    <w:p w14:paraId="712A210E" w14:textId="77777777" w:rsidR="004323DF" w:rsidRPr="00345BCE" w:rsidRDefault="004323DF" w:rsidP="00C560EC">
      <w:pPr>
        <w:tabs>
          <w:tab w:val="left" w:pos="567"/>
        </w:tabs>
        <w:rPr>
          <w:sz w:val="22"/>
          <w:szCs w:val="22"/>
        </w:rPr>
      </w:pPr>
    </w:p>
    <w:p w14:paraId="784302BB" w14:textId="77777777" w:rsidR="004323DF" w:rsidRPr="00345BCE" w:rsidRDefault="002321C3" w:rsidP="00C560EC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3DCCA876" w14:textId="77777777" w:rsidR="004323DF" w:rsidRDefault="002321C3" w:rsidP="00C560EC">
      <w:pPr>
        <w:rPr>
          <w:sz w:val="22"/>
          <w:szCs w:val="22"/>
        </w:rPr>
      </w:pPr>
      <w:r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="004323DF" w:rsidRPr="00345BCE">
        <w:rPr>
          <w:sz w:val="22"/>
          <w:szCs w:val="22"/>
        </w:rPr>
        <w:t xml:space="preserve"> betegeknek adva a valzartánt, a vérnyomáscsökkenés a pulzusszám változása nélkül következik be.</w:t>
      </w:r>
    </w:p>
    <w:p w14:paraId="612DDFAF" w14:textId="77777777" w:rsidR="005824A0" w:rsidRPr="00345BCE" w:rsidRDefault="005824A0" w:rsidP="00C560EC">
      <w:pPr>
        <w:rPr>
          <w:sz w:val="22"/>
          <w:szCs w:val="22"/>
        </w:rPr>
      </w:pPr>
    </w:p>
    <w:p w14:paraId="6F677953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legtöbb betegben, egyszeri </w:t>
      </w:r>
      <w:r w:rsidRPr="00C560EC">
        <w:rPr>
          <w:i/>
          <w:sz w:val="22"/>
          <w:szCs w:val="22"/>
        </w:rPr>
        <w:t>per os</w:t>
      </w:r>
      <w:r w:rsidRPr="00345BCE">
        <w:rPr>
          <w:sz w:val="22"/>
          <w:szCs w:val="22"/>
        </w:rPr>
        <w:t xml:space="preserve"> alkalmazása után az antihipertenzív hatás 2 órán belül kezdődik, és a vérnyomáscsökkenés kb. 4-6 órán belül éri el maximumát. Az antihipertenzív hatás a bevétel után 24 órán keresztül fennáll. Ismételt adagolás során a vérnyomáscsökkenés 2 héten belül kialakul, a maximális hatás 4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héten belül várható és hosszú távú kezelés során is megmarad. Hidroklorotiaziddal kombinálva további jelentős vérnyomáscsökkenés érhető el.</w:t>
      </w:r>
    </w:p>
    <w:p w14:paraId="555568C4" w14:textId="77777777" w:rsidR="00B11AA4" w:rsidRPr="00345BCE" w:rsidRDefault="00B11AA4" w:rsidP="00C560EC">
      <w:pPr>
        <w:rPr>
          <w:sz w:val="22"/>
          <w:szCs w:val="22"/>
        </w:rPr>
      </w:pPr>
    </w:p>
    <w:p w14:paraId="6FA669C6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E725BF">
        <w:rPr>
          <w:sz w:val="22"/>
          <w:szCs w:val="22"/>
        </w:rPr>
        <w:t>v</w:t>
      </w:r>
      <w:r w:rsidR="00345BCE" w:rsidRPr="00345BCE">
        <w:rPr>
          <w:sz w:val="22"/>
          <w:szCs w:val="22"/>
        </w:rPr>
        <w:t>al</w:t>
      </w:r>
      <w:r w:rsidR="00E725BF">
        <w:rPr>
          <w:sz w:val="22"/>
          <w:szCs w:val="22"/>
        </w:rPr>
        <w:t>z</w:t>
      </w:r>
      <w:r w:rsidR="00345BCE" w:rsidRPr="00345BCE">
        <w:rPr>
          <w:sz w:val="22"/>
          <w:szCs w:val="22"/>
        </w:rPr>
        <w:t>art</w:t>
      </w:r>
      <w:r w:rsidR="00E725BF">
        <w:rPr>
          <w:sz w:val="22"/>
          <w:szCs w:val="22"/>
        </w:rPr>
        <w:t>á</w:t>
      </w:r>
      <w:r w:rsidR="00345BCE" w:rsidRPr="00345BCE">
        <w:rPr>
          <w:sz w:val="22"/>
          <w:szCs w:val="22"/>
        </w:rPr>
        <w:t xml:space="preserve">n </w:t>
      </w:r>
      <w:r w:rsidRPr="00345BCE">
        <w:rPr>
          <w:sz w:val="22"/>
          <w:szCs w:val="22"/>
        </w:rPr>
        <w:t xml:space="preserve">hirtelen megvonása nem eredményezett rebound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 és egyéb nemkíván</w:t>
      </w:r>
      <w:r w:rsidR="00666A5A">
        <w:rPr>
          <w:sz w:val="22"/>
          <w:szCs w:val="22"/>
        </w:rPr>
        <w:t>a</w:t>
      </w:r>
      <w:r w:rsidRPr="00345BCE">
        <w:rPr>
          <w:sz w:val="22"/>
          <w:szCs w:val="22"/>
        </w:rPr>
        <w:t>t</w:t>
      </w:r>
      <w:r w:rsidR="00666A5A">
        <w:rPr>
          <w:sz w:val="22"/>
          <w:szCs w:val="22"/>
        </w:rPr>
        <w:t>os</w:t>
      </w:r>
      <w:r w:rsidRPr="00345BCE">
        <w:rPr>
          <w:sz w:val="22"/>
          <w:szCs w:val="22"/>
        </w:rPr>
        <w:t xml:space="preserve"> klinikai eseményt.</w:t>
      </w:r>
    </w:p>
    <w:p w14:paraId="528947E9" w14:textId="77777777" w:rsidR="00B11AA4" w:rsidRPr="00345BCE" w:rsidRDefault="00B11AA4" w:rsidP="00C560EC">
      <w:pPr>
        <w:rPr>
          <w:sz w:val="22"/>
          <w:szCs w:val="22"/>
        </w:rPr>
      </w:pPr>
    </w:p>
    <w:p w14:paraId="5E34BE40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2</w:t>
      </w:r>
      <w:r w:rsidRPr="00345BCE">
        <w:rPr>
          <w:sz w:val="22"/>
          <w:szCs w:val="22"/>
        </w:rPr>
        <w:noBreakHyphen/>
        <w:t xml:space="preserve">es típusú diabetesben és microalbuminuriában is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a valzartánról kimutatták, hogy csökkenti az albumin vizelet útján történő kiválasztását. A MARVAL (Micro Albuminuria Reduction with Valsartan) vizsgálatban 332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</w:t>
      </w:r>
      <w:r w:rsidRPr="00345BCE">
        <w:rPr>
          <w:sz w:val="22"/>
          <w:szCs w:val="22"/>
        </w:rPr>
        <w:noBreakHyphen/>
        <w:t>es típusú diabetesben és microalbuminuriában szenvedő, normális vagy magas vérnyomású és megfelelő veseműködésű (szérum</w:t>
      </w:r>
      <w:r w:rsidR="00666A5A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kreatinin</w:t>
      </w:r>
      <w:r w:rsidR="00666A5A">
        <w:rPr>
          <w:sz w:val="22"/>
          <w:szCs w:val="22"/>
        </w:rPr>
        <w:t>:</w:t>
      </w:r>
      <w:r w:rsidRPr="00345BCE">
        <w:rPr>
          <w:sz w:val="22"/>
          <w:szCs w:val="22"/>
        </w:rPr>
        <w:t xml:space="preserve"> &lt;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120 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mol/l) betegnél (átlagos életkor: 58 év; 265 férfi) tanulmányozták a vizelettel kiválasztott albumin (UAE) csökkenését a valzartán (80-160 mg/nap) hatására az amplodipinhez (5-10 mg/nap) képest (valzartán: 58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amlodipin: 55,4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/perc). 24 hét után a valzartán 42%-kal (</w:t>
      </w:r>
      <w:r w:rsidR="00666A5A">
        <w:rPr>
          <w:sz w:val="22"/>
          <w:szCs w:val="22"/>
        </w:rPr>
        <w:noBreakHyphen/>
      </w:r>
      <w:r w:rsidRPr="00345BCE">
        <w:rPr>
          <w:sz w:val="22"/>
          <w:szCs w:val="22"/>
        </w:rPr>
        <w:t>24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2 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95% CI: –40,4 - –19,1), az amlopidin pedig kb. 3%-kal (–1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7 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95% CI: –5,6 - 14,9) csökkentette az albumin vizelet útján történő ürülését (p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&lt;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0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001) annak ellenére, hogy a vérnyomás hasonló mértékben csökkent a két csoportban.</w:t>
      </w:r>
    </w:p>
    <w:p w14:paraId="08DAD125" w14:textId="77777777" w:rsidR="00B11AA4" w:rsidRPr="00345BCE" w:rsidRDefault="00B11AA4" w:rsidP="00C560EC">
      <w:pPr>
        <w:rPr>
          <w:sz w:val="22"/>
          <w:szCs w:val="22"/>
        </w:rPr>
      </w:pPr>
    </w:p>
    <w:p w14:paraId="287377B1" w14:textId="77777777" w:rsidR="004323DF" w:rsidRPr="00345BCE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92371C">
        <w:rPr>
          <w:sz w:val="22"/>
          <w:szCs w:val="22"/>
        </w:rPr>
        <w:t>Diovan</w:t>
      </w:r>
      <w:r w:rsidRPr="00345BCE">
        <w:rPr>
          <w:sz w:val="22"/>
          <w:szCs w:val="22"/>
        </w:rPr>
        <w:t xml:space="preserve"> Reduction of Proteinuria (DROP) vizsgálatban 391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</w:t>
      </w:r>
      <w:r w:rsidRPr="00345BCE">
        <w:rPr>
          <w:sz w:val="22"/>
          <w:szCs w:val="22"/>
        </w:rPr>
        <w:noBreakHyphen/>
        <w:t>es típusú diabetesben és albuminuriában szenvedő (átlag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=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102 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20-700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/perc), megfelelő veseműködésű (</w:t>
      </w:r>
      <w:r w:rsidR="00666A5A">
        <w:rPr>
          <w:sz w:val="22"/>
          <w:szCs w:val="22"/>
        </w:rPr>
        <w:t xml:space="preserve">az </w:t>
      </w:r>
      <w:r w:rsidRPr="00345BCE">
        <w:rPr>
          <w:sz w:val="22"/>
          <w:szCs w:val="22"/>
        </w:rPr>
        <w:t>átlagos szérum</w:t>
      </w:r>
      <w:r w:rsidR="00666A5A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kreatinin</w:t>
      </w:r>
      <w:r w:rsidR="00666A5A">
        <w:rPr>
          <w:sz w:val="22"/>
          <w:szCs w:val="22"/>
        </w:rPr>
        <w:t>szint </w:t>
      </w:r>
      <w:r w:rsidRPr="00345BCE">
        <w:rPr>
          <w:sz w:val="22"/>
          <w:szCs w:val="22"/>
        </w:rPr>
        <w:t>=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80 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 xml:space="preserve">mol/l),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(vérnyomás = 150/88 Hgmm) beteg részvételével mélyrehatóbban tanulmányozták a valzartán hatását a vizelettel kiválasztott albumin csökkenésére. A betegeket véletlenszerűen a három különböző valzartán dózissal (160, 320, ill. 640 mg/nap) kezelt csoport egyikébe sorolták, majd 30 hétig kezelték. A vizsgálat célja az optimális valzartán dózis megállapítása volt, amellyel a 2</w:t>
      </w:r>
      <w:r w:rsidRPr="00345BCE">
        <w:rPr>
          <w:sz w:val="22"/>
          <w:szCs w:val="22"/>
        </w:rPr>
        <w:noBreakHyphen/>
        <w:t xml:space="preserve">es típusú diabetesben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csökkenthető az albumin vizelet útján történő kiválasztása. 30 hét után az albumin vizelet útján történő kiválasztásának százalékos változása a 160 mg valzartán hatására jelentős mértékben, 36%-kal (95% CI: 22 – 47%), 320 mg valzartán hatására pedig 44%-kal csökkent (95% CI: 31 – 54%) az alapszinthez viszonyítva. Ennek alapján arra következtettek, hogy a 2</w:t>
      </w:r>
      <w:r w:rsidRPr="00345BCE">
        <w:rPr>
          <w:sz w:val="22"/>
          <w:szCs w:val="22"/>
        </w:rPr>
        <w:noBreakHyphen/>
        <w:t xml:space="preserve">es típusú diabetesben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betegekben a 160-320 mg valzartán klinikailag jelentős csökkenést idézett elő az albumin vizelet útján történő kiválasztásában.</w:t>
      </w:r>
    </w:p>
    <w:p w14:paraId="66C74A0B" w14:textId="77777777" w:rsidR="00B40917" w:rsidRPr="00345BCE" w:rsidRDefault="00B40917" w:rsidP="00C560EC">
      <w:pPr>
        <w:tabs>
          <w:tab w:val="left" w:pos="567"/>
        </w:tabs>
        <w:rPr>
          <w:b/>
          <w:sz w:val="22"/>
          <w:szCs w:val="22"/>
        </w:rPr>
      </w:pPr>
    </w:p>
    <w:p w14:paraId="7C605768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u w:val="single"/>
          <w:lang w:val="hu-HU"/>
        </w:rPr>
      </w:pPr>
      <w:r w:rsidRPr="00B86A8A">
        <w:rPr>
          <w:sz w:val="22"/>
          <w:szCs w:val="22"/>
          <w:u w:val="single"/>
          <w:lang w:val="hu-HU"/>
        </w:rPr>
        <w:t>Egyéb: A renin-angiotenzin-aldoszteron rendszer (RAAS) kettős blokádja</w:t>
      </w:r>
    </w:p>
    <w:p w14:paraId="1706229A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 xml:space="preserve">Két nagy, randomizált, kontrollos vizsgálatban </w:t>
      </w:r>
      <w:r w:rsidRPr="00B86A8A">
        <w:rPr>
          <w:rFonts w:ascii="Verdana" w:hAnsi="Verdana"/>
          <w:sz w:val="22"/>
          <w:szCs w:val="22"/>
          <w:lang w:val="hu-HU"/>
        </w:rPr>
        <w:t>[</w:t>
      </w:r>
      <w:r w:rsidRPr="00B86A8A">
        <w:rPr>
          <w:sz w:val="22"/>
          <w:szCs w:val="22"/>
          <w:lang w:val="hu-HU"/>
        </w:rPr>
        <w:t>ONTARGET (ONgoing Telmisartan Alone and in combination with Ramipril Global Endpoint Trial) és VA NEPHRON</w:t>
      </w:r>
      <w:r w:rsidRPr="00B86A8A">
        <w:rPr>
          <w:sz w:val="22"/>
          <w:szCs w:val="22"/>
          <w:lang w:val="hu-HU"/>
        </w:rPr>
        <w:noBreakHyphen/>
        <w:t>D (The Veterans Affairs Nephropathy in Diabetes)] vizsgálták az ACE-gátló és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 kombinált alkalmazását.</w:t>
      </w:r>
    </w:p>
    <w:p w14:paraId="616A1E1F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3F128399" w14:textId="3D5981CF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 xml:space="preserve">Az ONTARGET vizsgálatot olyan betegeknél végezték, akiknek a kórtörténetében cardiovascularis vagy cerebrovascularis betegség, vagy szervkárosodással járó </w:t>
      </w:r>
      <w:r w:rsidR="00B1779D">
        <w:rPr>
          <w:sz w:val="22"/>
          <w:szCs w:val="22"/>
          <w:lang w:val="hu-HU"/>
        </w:rPr>
        <w:t>2-es</w:t>
      </w:r>
      <w:r w:rsidRPr="00B86A8A">
        <w:rPr>
          <w:sz w:val="22"/>
          <w:szCs w:val="22"/>
          <w:lang w:val="hu-HU"/>
        </w:rPr>
        <w:t xml:space="preserve"> típusú diabetes mellitus szerepelt. A VA NEPHRON-D vizsgálatot 2</w:t>
      </w:r>
      <w:r w:rsidRPr="00B86A8A">
        <w:rPr>
          <w:sz w:val="22"/>
          <w:szCs w:val="22"/>
          <w:lang w:val="hu-HU"/>
        </w:rPr>
        <w:noBreakHyphen/>
        <w:t xml:space="preserve">es típusú diabetesben és diabeteses nephropathiában szenvedő betegeknél végezték. Ezek a vizsgálatok nem mutattak ki szignifikánsan előnyös hatásokat a renalis </w:t>
      </w:r>
      <w:r w:rsidRPr="00B86A8A">
        <w:rPr>
          <w:sz w:val="22"/>
          <w:szCs w:val="22"/>
          <w:lang w:val="hu-HU"/>
        </w:rPr>
        <w:lastRenderedPageBreak/>
        <w:t>és/vagy cardiovascularis kimenetel és a mortalitás vonatkozásában, miközben a monoterápia esetén megfigyelthez képest nőtt a hyperkalaemia, akut veseelégtelenség és/vagy hypotonia kockázata.</w:t>
      </w:r>
    </w:p>
    <w:p w14:paraId="444F537B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>A hasonló farmakodinámiás tulajdonságok alapján ezek az eredmények más ACE</w:t>
      </w:r>
      <w:r w:rsidRPr="00B86A8A">
        <w:rPr>
          <w:sz w:val="22"/>
          <w:szCs w:val="22"/>
          <w:lang w:val="hu-HU"/>
        </w:rPr>
        <w:noBreakHyphen/>
        <w:t>gátlók és angiotenzin</w:t>
      </w:r>
      <w:r w:rsidRPr="00B86A8A">
        <w:rPr>
          <w:lang w:val="hu-HU"/>
        </w:rPr>
        <w:t> </w:t>
      </w:r>
      <w:r w:rsidRPr="00B86A8A">
        <w:rPr>
          <w:sz w:val="22"/>
          <w:szCs w:val="22"/>
          <w:lang w:val="hu-HU"/>
        </w:rPr>
        <w:t>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blokkolók esetében is relevánsak. Ezért az ACE-gátlók és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blokkolók nem adhatók együtt diabeteses nephropathiában szenvedő betegeknek.</w:t>
      </w:r>
    </w:p>
    <w:p w14:paraId="324279CA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3B4707A2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>Az ALTITUDE (Aliskiren Trial in Type 2 Diabetes Using Cardiovascular and Renal Disease Endpoints) vizsgálat célja az volt, hogy megállapítsák, előnyös-e a standard ACE</w:t>
      </w:r>
      <w:r w:rsidRPr="00B86A8A">
        <w:rPr>
          <w:sz w:val="22"/>
          <w:szCs w:val="22"/>
          <w:lang w:val="hu-HU"/>
        </w:rPr>
        <w:noBreakHyphen/>
        <w:t>gátló vagy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</w:t>
      </w:r>
      <w:r w:rsidRPr="00B86A8A">
        <w:rPr>
          <w:sz w:val="22"/>
          <w:szCs w:val="22"/>
          <w:lang w:val="hu-HU"/>
        </w:rPr>
        <w:noBreakHyphen/>
        <w:t>kezelés kiegészítése aliszkirénnel 2</w:t>
      </w:r>
      <w:r w:rsidRPr="00B86A8A">
        <w:rPr>
          <w:sz w:val="22"/>
          <w:szCs w:val="22"/>
          <w:lang w:val="hu-HU"/>
        </w:rPr>
        <w:noBreakHyphen/>
        <w:t>es típusú diabetesben és krónikus vesebetegségben, illetve cardiovascularis betegségben vagy mindkettőben szenvedő betegeknél. A vizsgálatot idő előtt leállították, mert nőtt a mellékhatások kockázata. A cardiovascularis eredetű halál és a stroke szám szerint gyakoribb volt az aliszkirén</w:t>
      </w:r>
      <w:r w:rsidRPr="00B86A8A">
        <w:rPr>
          <w:sz w:val="22"/>
          <w:szCs w:val="22"/>
          <w:lang w:val="hu-HU"/>
        </w:rPr>
        <w:noBreakHyphen/>
        <w:t>csoportban, mint a placebocsoportban, és a jelentős mellékhatások, illetve súlyos mellékhatások (hyperkalaemia, hypotonia és veseműködési zavar) is gyakoribbak voltak az aliszkirén</w:t>
      </w:r>
      <w:r w:rsidRPr="00B86A8A">
        <w:rPr>
          <w:sz w:val="22"/>
          <w:szCs w:val="22"/>
          <w:lang w:val="hu-HU"/>
        </w:rPr>
        <w:noBreakHyphen/>
        <w:t>csoportban, mint a placebocsoportban.</w:t>
      </w:r>
    </w:p>
    <w:p w14:paraId="4D32D15F" w14:textId="77777777" w:rsidR="00B11AA4" w:rsidRDefault="00B11AA4" w:rsidP="00EA386A">
      <w:pPr>
        <w:rPr>
          <w:sz w:val="22"/>
          <w:szCs w:val="22"/>
        </w:rPr>
      </w:pPr>
    </w:p>
    <w:p w14:paraId="53ADA4C8" w14:textId="77777777" w:rsidR="00BE6734" w:rsidRPr="00345BCE" w:rsidRDefault="00BE6734" w:rsidP="00EA386A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Gyermek</w:t>
      </w:r>
      <w:r w:rsidR="0051702A">
        <w:rPr>
          <w:i/>
          <w:snapToGrid w:val="0"/>
          <w:sz w:val="22"/>
          <w:szCs w:val="22"/>
          <w:u w:val="single"/>
        </w:rPr>
        <w:t>ek</w:t>
      </w:r>
      <w:r w:rsidR="009E5EFC">
        <w:rPr>
          <w:i/>
          <w:snapToGrid w:val="0"/>
          <w:sz w:val="22"/>
          <w:szCs w:val="22"/>
          <w:u w:val="single"/>
        </w:rPr>
        <w:t xml:space="preserve"> és serdülők</w:t>
      </w:r>
    </w:p>
    <w:p w14:paraId="47976E70" w14:textId="77777777" w:rsidR="00BE6734" w:rsidRPr="00345BCE" w:rsidRDefault="00BE6734" w:rsidP="00EA386A">
      <w:pPr>
        <w:rPr>
          <w:i/>
          <w:snapToGrid w:val="0"/>
          <w:sz w:val="22"/>
          <w:szCs w:val="22"/>
          <w:u w:val="single"/>
        </w:rPr>
      </w:pPr>
    </w:p>
    <w:p w14:paraId="17749A1A" w14:textId="77777777" w:rsidR="00BE6734" w:rsidRPr="00345BCE" w:rsidRDefault="002321C3" w:rsidP="0097699A">
      <w:pPr>
        <w:rPr>
          <w:iCs/>
          <w:snapToGrid w:val="0"/>
          <w:sz w:val="22"/>
          <w:szCs w:val="22"/>
          <w:u w:val="single"/>
        </w:rPr>
      </w:pPr>
      <w:r>
        <w:rPr>
          <w:iCs/>
          <w:snapToGrid w:val="0"/>
          <w:sz w:val="22"/>
          <w:szCs w:val="22"/>
          <w:u w:val="single"/>
        </w:rPr>
        <w:t>Hypertonia</w:t>
      </w:r>
    </w:p>
    <w:p w14:paraId="6F48A1FF" w14:textId="77777777" w:rsidR="00BE6734" w:rsidRPr="00345BCE" w:rsidRDefault="00BE6734" w:rsidP="00666A5A">
      <w:pPr>
        <w:rPr>
          <w:iCs/>
          <w:snapToGrid w:val="0"/>
          <w:sz w:val="22"/>
          <w:szCs w:val="22"/>
          <w:u w:val="single"/>
        </w:rPr>
      </w:pPr>
    </w:p>
    <w:p w14:paraId="507BA993" w14:textId="0F13E4E0" w:rsidR="00BE6734" w:rsidRPr="00345BCE" w:rsidRDefault="00BE6734" w:rsidP="00666A5A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 xml:space="preserve">A valzartán </w:t>
      </w:r>
      <w:r w:rsidRPr="00345BCE">
        <w:rPr>
          <w:color w:val="000000"/>
          <w:sz w:val="22"/>
          <w:szCs w:val="22"/>
        </w:rPr>
        <w:t xml:space="preserve">vérnyomáscsökkentő hatását </w:t>
      </w:r>
      <w:r w:rsidR="00F51BE2">
        <w:rPr>
          <w:color w:val="000000"/>
          <w:sz w:val="22"/>
          <w:szCs w:val="22"/>
        </w:rPr>
        <w:t>négy</w:t>
      </w:r>
      <w:r w:rsidR="00275948" w:rsidRPr="00345BCE">
        <w:rPr>
          <w:color w:val="00000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randomizált, kettő</w:t>
      </w:r>
      <w:r w:rsidR="00346645">
        <w:rPr>
          <w:color w:val="000000"/>
          <w:sz w:val="22"/>
          <w:szCs w:val="22"/>
        </w:rPr>
        <w:t>s v</w:t>
      </w:r>
      <w:r w:rsidRPr="00345BCE">
        <w:rPr>
          <w:color w:val="000000"/>
          <w:sz w:val="22"/>
          <w:szCs w:val="22"/>
        </w:rPr>
        <w:t xml:space="preserve">ak klinikai vizsgálatban, </w:t>
      </w:r>
      <w:r w:rsidR="007358F6">
        <w:rPr>
          <w:color w:val="000000"/>
          <w:sz w:val="22"/>
          <w:szCs w:val="22"/>
        </w:rPr>
        <w:t>56</w:t>
      </w:r>
      <w:r w:rsidR="007358F6" w:rsidRPr="00275948">
        <w:rPr>
          <w:color w:val="000000"/>
          <w:sz w:val="22"/>
          <w:szCs w:val="22"/>
        </w:rPr>
        <w:t>1</w:t>
      </w:r>
      <w:r w:rsidRPr="00275948">
        <w:rPr>
          <w:color w:val="000000"/>
          <w:sz w:val="22"/>
          <w:szCs w:val="22"/>
        </w:rPr>
        <w:t>,</w:t>
      </w:r>
      <w:r w:rsidRPr="00345BCE">
        <w:rPr>
          <w:color w:val="000000"/>
          <w:sz w:val="22"/>
          <w:szCs w:val="22"/>
        </w:rPr>
        <w:t xml:space="preserve"> </w:t>
      </w:r>
      <w:r w:rsidR="00B1779D">
        <w:rPr>
          <w:sz w:val="22"/>
          <w:szCs w:val="22"/>
        </w:rPr>
        <w:t>legalább 6 éves, de 18</w:t>
      </w:r>
      <w:r w:rsidR="00B1779D" w:rsidRPr="00DD3731">
        <w:rPr>
          <w:sz w:val="22"/>
          <w:szCs w:val="22"/>
        </w:rPr>
        <w:t xml:space="preserve"> évesnél fiatalabb </w:t>
      </w:r>
      <w:r w:rsidR="000822DD" w:rsidRPr="00EF51F9">
        <w:rPr>
          <w:color w:val="000000"/>
          <w:sz w:val="22"/>
          <w:szCs w:val="22"/>
        </w:rPr>
        <w:t>korú</w:t>
      </w:r>
      <w:r w:rsidR="007358F6" w:rsidRPr="007358F6">
        <w:t xml:space="preserve"> </w:t>
      </w:r>
      <w:r w:rsidR="007358F6" w:rsidRPr="007358F6">
        <w:rPr>
          <w:color w:val="000000"/>
          <w:sz w:val="22"/>
          <w:szCs w:val="22"/>
        </w:rPr>
        <w:t>gyermeknél és serdülőnél</w:t>
      </w:r>
      <w:r w:rsidRPr="00345BCE">
        <w:rPr>
          <w:color w:val="000000"/>
          <w:sz w:val="22"/>
          <w:szCs w:val="22"/>
        </w:rPr>
        <w:t xml:space="preserve">, valamint 165, </w:t>
      </w:r>
      <w:r w:rsidR="004A25AD" w:rsidRPr="004A25AD">
        <w:rPr>
          <w:color w:val="000000"/>
          <w:sz w:val="22"/>
          <w:szCs w:val="22"/>
        </w:rPr>
        <w:t xml:space="preserve">1 és 6 </w:t>
      </w:r>
      <w:r w:rsidR="007358F6" w:rsidRPr="007358F6">
        <w:rPr>
          <w:color w:val="000000"/>
          <w:sz w:val="22"/>
          <w:szCs w:val="22"/>
        </w:rPr>
        <w:t>éves kor közötti gyermeknél</w:t>
      </w:r>
      <w:r w:rsidR="007358F6" w:rsidRPr="007358F6" w:rsidDel="007358F6">
        <w:rPr>
          <w:color w:val="00000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értékelték</w:t>
      </w:r>
      <w:r w:rsidRPr="00345BCE">
        <w:rPr>
          <w:snapToGrid w:val="0"/>
          <w:sz w:val="22"/>
          <w:szCs w:val="22"/>
        </w:rPr>
        <w:t xml:space="preserve">. Az ezekbe a vizsgálatokba beválogatott gyermekeknél a leggyakoribb, a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h</w:t>
      </w:r>
      <w:r w:rsidRPr="00345BCE">
        <w:rPr>
          <w:snapToGrid w:val="0"/>
          <w:sz w:val="22"/>
          <w:szCs w:val="22"/>
        </w:rPr>
        <w:t>oz potenciálisan hozzájáruló, kezelésre szoruló alapbetegségek a vese- és húgyúti megbetegedések és az elhízás voltak.</w:t>
      </w:r>
    </w:p>
    <w:p w14:paraId="332542A5" w14:textId="77777777" w:rsidR="00BE6734" w:rsidRPr="00345BCE" w:rsidRDefault="00BE6734" w:rsidP="00666A5A">
      <w:pPr>
        <w:rPr>
          <w:snapToGrid w:val="0"/>
          <w:sz w:val="22"/>
          <w:szCs w:val="22"/>
        </w:rPr>
      </w:pPr>
    </w:p>
    <w:p w14:paraId="377A9067" w14:textId="77777777" w:rsidR="00BE6734" w:rsidRPr="00345BCE" w:rsidRDefault="00BE6734" w:rsidP="00666A5A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Klinikai tapasztalat a 6 éves és idősebb gyermekeknél</w:t>
      </w:r>
    </w:p>
    <w:p w14:paraId="74029ECD" w14:textId="094013E9" w:rsidR="00BE6734" w:rsidRPr="00345BCE" w:rsidRDefault="00BE6734" w:rsidP="00E9784D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>Egy 261, 6</w:t>
      </w:r>
      <w:r w:rsidRPr="00345BCE">
        <w:rPr>
          <w:snapToGrid w:val="0"/>
          <w:sz w:val="22"/>
          <w:szCs w:val="22"/>
        </w:rPr>
        <w:noBreakHyphen/>
        <w:t xml:space="preserve">16 éves,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s</w:t>
      </w:r>
      <w:r w:rsidRPr="00345BCE">
        <w:rPr>
          <w:snapToGrid w:val="0"/>
          <w:sz w:val="22"/>
          <w:szCs w:val="22"/>
        </w:rPr>
        <w:t xml:space="preserve"> </w:t>
      </w:r>
      <w:r w:rsidR="004A25AD" w:rsidRPr="004A25AD">
        <w:rPr>
          <w:color w:val="000000"/>
          <w:sz w:val="22"/>
          <w:szCs w:val="22"/>
        </w:rPr>
        <w:t>gyermeknél és serdülőnél</w:t>
      </w:r>
      <w:r w:rsidRPr="00345BCE">
        <w:rPr>
          <w:color w:val="000000"/>
          <w:sz w:val="22"/>
          <w:szCs w:val="22"/>
        </w:rPr>
        <w:t xml:space="preserve"> végzett klinikai vizsgálatban azok a betegek, akiknek a testtömege 35 kg alatt volt, </w:t>
      </w:r>
      <w:r w:rsidRPr="00345BCE">
        <w:rPr>
          <w:snapToGrid w:val="0"/>
          <w:sz w:val="22"/>
          <w:szCs w:val="22"/>
        </w:rPr>
        <w:t>10, 40 vagy 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mg-os valzartán tablettát kaptak </w:t>
      </w:r>
      <w:r w:rsidRPr="00345BCE">
        <w:rPr>
          <w:color w:val="000000"/>
          <w:sz w:val="22"/>
          <w:szCs w:val="22"/>
        </w:rPr>
        <w:t>naponta</w:t>
      </w:r>
      <w:r w:rsidRPr="00345BCE">
        <w:rPr>
          <w:snapToGrid w:val="0"/>
          <w:sz w:val="22"/>
          <w:szCs w:val="22"/>
        </w:rPr>
        <w:t xml:space="preserve"> (alacsony, közepes és magas dózis), és azok a betegek, </w:t>
      </w:r>
      <w:r w:rsidRPr="00345BCE">
        <w:rPr>
          <w:color w:val="000000"/>
          <w:sz w:val="22"/>
          <w:szCs w:val="22"/>
        </w:rPr>
        <w:t xml:space="preserve">akiknek a testtömege 35 kg vagy annál magasabb volt, </w:t>
      </w:r>
      <w:r w:rsidRPr="00345BCE">
        <w:rPr>
          <w:snapToGrid w:val="0"/>
          <w:sz w:val="22"/>
          <w:szCs w:val="22"/>
        </w:rPr>
        <w:t>20, 80 és 160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mg-os valzartán tablettát kaptak </w:t>
      </w:r>
      <w:r w:rsidRPr="00345BCE">
        <w:rPr>
          <w:color w:val="000000"/>
          <w:sz w:val="22"/>
          <w:szCs w:val="22"/>
        </w:rPr>
        <w:t>naponta</w:t>
      </w:r>
      <w:r w:rsidRPr="00345BCE">
        <w:rPr>
          <w:snapToGrid w:val="0"/>
          <w:sz w:val="22"/>
          <w:szCs w:val="22"/>
        </w:rPr>
        <w:t xml:space="preserve"> (alacsony, közepes és magas dózis). A 2. hét végére a valzartán mind a szisztolés, mind a diasztolés vérnyomást dózisfüggő módon csökkentette. Összességében mindhárom valzartán dózisszint (alacsony, közepes és magas) jelentősen, sorrendben 8, 10, 12 Hgmm</w:t>
      </w:r>
      <w:r w:rsidRPr="00345BCE">
        <w:rPr>
          <w:snapToGrid w:val="0"/>
          <w:sz w:val="22"/>
          <w:szCs w:val="22"/>
        </w:rPr>
        <w:noBreakHyphen/>
        <w:t>rel csökkentette a kiindulási szisztolés vérnyomást. A betegeket ismételten randomizálták, és vagy ugyanazt a valzartán dózist kapták tovább, vagy placebóra váltottak át. Azoknál a betegeknél, akik tovább kapták a valzartán közepes vagy magas dózisait, a legalacsonyabb szisztolés vérnyomás -4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és -7 Hgmm</w:t>
      </w:r>
      <w:r w:rsidRPr="00345BCE">
        <w:rPr>
          <w:snapToGrid w:val="0"/>
          <w:sz w:val="22"/>
          <w:szCs w:val="22"/>
        </w:rPr>
        <w:noBreakHyphen/>
        <w:t>rel alacsonyabb volt, mint a placeb</w:t>
      </w:r>
      <w:r w:rsidR="00353FF9">
        <w:rPr>
          <w:snapToGrid w:val="0"/>
          <w:sz w:val="22"/>
          <w:szCs w:val="22"/>
        </w:rPr>
        <w:t>ok</w:t>
      </w:r>
      <w:r w:rsidRPr="00345BCE">
        <w:rPr>
          <w:snapToGrid w:val="0"/>
          <w:sz w:val="22"/>
          <w:szCs w:val="22"/>
        </w:rPr>
        <w:t>ezelést kapó betegeknél. A valzartán alacsony dózisát kapó betegek legalacsonyabb szisztolés vérnyomása hasonló volt a placeb</w:t>
      </w:r>
      <w:r w:rsidR="00353FF9">
        <w:rPr>
          <w:snapToGrid w:val="0"/>
          <w:sz w:val="22"/>
          <w:szCs w:val="22"/>
        </w:rPr>
        <w:t>ok</w:t>
      </w:r>
      <w:r w:rsidRPr="00345BCE">
        <w:rPr>
          <w:snapToGrid w:val="0"/>
          <w:sz w:val="22"/>
          <w:szCs w:val="22"/>
        </w:rPr>
        <w:t>ezelést kapó betegekéhez. Összességében a valzartán dózisfüggő vérnyomáscsökkentő hatása minden demográfiai alcsoportban hasonló volt.</w:t>
      </w:r>
    </w:p>
    <w:p w14:paraId="23930115" w14:textId="77777777" w:rsidR="00BE6734" w:rsidRPr="00345BCE" w:rsidRDefault="00BE6734" w:rsidP="001902F4">
      <w:pPr>
        <w:rPr>
          <w:snapToGrid w:val="0"/>
          <w:sz w:val="22"/>
          <w:szCs w:val="22"/>
        </w:rPr>
      </w:pPr>
    </w:p>
    <w:p w14:paraId="599D379A" w14:textId="7A487D66" w:rsidR="00BE6734" w:rsidRPr="00345BCE" w:rsidRDefault="00BE6734" w:rsidP="001902F4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>Egy más</w:t>
      </w:r>
      <w:r w:rsidR="000822DD">
        <w:rPr>
          <w:snapToGrid w:val="0"/>
          <w:sz w:val="22"/>
          <w:szCs w:val="22"/>
        </w:rPr>
        <w:t>od</w:t>
      </w:r>
      <w:r w:rsidRPr="00345BCE">
        <w:rPr>
          <w:snapToGrid w:val="0"/>
          <w:sz w:val="22"/>
          <w:szCs w:val="22"/>
        </w:rPr>
        <w:t>ik klinikai vizsgálatban 300, 6</w:t>
      </w:r>
      <w:r w:rsidRPr="00345BCE">
        <w:rPr>
          <w:snapToGrid w:val="0"/>
          <w:sz w:val="22"/>
          <w:szCs w:val="22"/>
        </w:rPr>
        <w:noBreakHyphen/>
        <w:t xml:space="preserve">18 éves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s</w:t>
      </w:r>
      <w:r w:rsidRPr="00345BCE">
        <w:rPr>
          <w:snapToGrid w:val="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gyermek</w:t>
      </w:r>
      <w:r w:rsidR="007358F6">
        <w:rPr>
          <w:color w:val="000000"/>
          <w:sz w:val="22"/>
          <w:szCs w:val="22"/>
        </w:rPr>
        <w:t xml:space="preserve"> és serdülő</w:t>
      </w:r>
      <w:r w:rsidRPr="00345BCE">
        <w:rPr>
          <w:color w:val="000000"/>
          <w:sz w:val="22"/>
          <w:szCs w:val="22"/>
        </w:rPr>
        <w:t xml:space="preserve"> vett részt, és a vizsgálatban való részvételre alkalmas betegek </w:t>
      </w:r>
      <w:r w:rsidRPr="00345BCE">
        <w:rPr>
          <w:snapToGrid w:val="0"/>
          <w:sz w:val="22"/>
          <w:szCs w:val="22"/>
        </w:rPr>
        <w:t>12 héten keresztül</w:t>
      </w:r>
      <w:r w:rsidRPr="00345BCE">
        <w:rPr>
          <w:color w:val="000000"/>
          <w:sz w:val="22"/>
          <w:szCs w:val="22"/>
        </w:rPr>
        <w:t xml:space="preserve"> random módon valzartán vagy </w:t>
      </w:r>
      <w:r w:rsidRPr="00345BCE">
        <w:rPr>
          <w:snapToGrid w:val="0"/>
          <w:sz w:val="22"/>
          <w:szCs w:val="22"/>
        </w:rPr>
        <w:t>enalapril tablettát kaptak. A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18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és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35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közötti testtömegű gyermekek 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10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Azok, akiknek a testtömege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35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és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között volt, 160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20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testtömegűek 320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40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 szisztolés vérnyomásban bekövetkező csökkenés a valzartánt kapó betegeknél (15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Hgmm) és az enalaprilt kapó betegeknél (14 Hgmm) hasonló volt („nem rosszabb, mint” [non-inferiority] p</w:t>
      </w:r>
      <w:r w:rsidRPr="00345BCE">
        <w:rPr>
          <w:snapToGrid w:val="0"/>
          <w:sz w:val="22"/>
          <w:szCs w:val="22"/>
        </w:rPr>
        <w:noBreakHyphen/>
        <w:t>érték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0,0001). Hasonló eredményeket észleltek a diasztolés vérnyomás esetén is, ami a valzartán mellett 9,1</w:t>
      </w:r>
      <w:r w:rsidRPr="00345BCE">
        <w:rPr>
          <w:sz w:val="22"/>
          <w:szCs w:val="22"/>
        </w:rPr>
        <w:t> Hg</w:t>
      </w:r>
      <w:r w:rsidRPr="00345BCE">
        <w:rPr>
          <w:snapToGrid w:val="0"/>
          <w:sz w:val="22"/>
          <w:szCs w:val="22"/>
        </w:rPr>
        <w:t>mm</w:t>
      </w:r>
      <w:r w:rsidRPr="00345BCE">
        <w:rPr>
          <w:snapToGrid w:val="0"/>
          <w:sz w:val="22"/>
          <w:szCs w:val="22"/>
        </w:rPr>
        <w:noBreakHyphen/>
        <w:t>rel, az enalapril mellett 8,5</w:t>
      </w:r>
      <w:r w:rsidRPr="00345BCE">
        <w:rPr>
          <w:sz w:val="22"/>
          <w:szCs w:val="22"/>
        </w:rPr>
        <w:t> Hg</w:t>
      </w:r>
      <w:r w:rsidRPr="00345BCE">
        <w:rPr>
          <w:snapToGrid w:val="0"/>
          <w:sz w:val="22"/>
          <w:szCs w:val="22"/>
        </w:rPr>
        <w:t>mm</w:t>
      </w:r>
      <w:r w:rsidRPr="00345BCE">
        <w:rPr>
          <w:snapToGrid w:val="0"/>
          <w:sz w:val="22"/>
          <w:szCs w:val="22"/>
        </w:rPr>
        <w:noBreakHyphen/>
        <w:t>rel csökkent.</w:t>
      </w:r>
    </w:p>
    <w:p w14:paraId="7F6AF8E4" w14:textId="77777777" w:rsidR="00BE6734" w:rsidRDefault="00BE6734" w:rsidP="00B0458C">
      <w:pPr>
        <w:rPr>
          <w:snapToGrid w:val="0"/>
          <w:sz w:val="22"/>
          <w:szCs w:val="22"/>
        </w:rPr>
      </w:pPr>
    </w:p>
    <w:p w14:paraId="45DB3CE3" w14:textId="49FFB541" w:rsidR="000822DD" w:rsidRDefault="000822DD" w:rsidP="000822DD">
      <w:pPr>
        <w:rPr>
          <w:snapToGrid w:val="0"/>
        </w:rPr>
      </w:pPr>
      <w:r w:rsidRPr="00EF51F9">
        <w:rPr>
          <w:snapToGrid w:val="0"/>
          <w:sz w:val="22"/>
          <w:szCs w:val="22"/>
        </w:rPr>
        <w:t>Egy harmadik, nyílt elrendezésű klinikai vizsgálatban, amelyben 150, 6</w:t>
      </w:r>
      <w:r w:rsidRPr="00EF51F9">
        <w:rPr>
          <w:snapToGrid w:val="0"/>
          <w:sz w:val="22"/>
          <w:szCs w:val="22"/>
        </w:rPr>
        <w:noBreakHyphen/>
        <w:t xml:space="preserve">17 éves hypertoniás </w:t>
      </w:r>
      <w:r w:rsidR="002F38B7" w:rsidRPr="002F38B7">
        <w:rPr>
          <w:snapToGrid w:val="0"/>
          <w:sz w:val="22"/>
          <w:szCs w:val="22"/>
        </w:rPr>
        <w:t>gyermek és serdülő</w:t>
      </w:r>
      <w:r w:rsidRPr="00EF51F9">
        <w:rPr>
          <w:snapToGrid w:val="0"/>
          <w:sz w:val="22"/>
          <w:szCs w:val="22"/>
        </w:rPr>
        <w:t xml:space="preserve"> vett részt, az arra alkalmas betegek (a szisztolés vérnyomás ≥ 95. percentilis az életkor, nem és testmagasság esetén) 18 hónapig kaptak valzartánt a biztonságosság és a tolerabilitás értékelése érdekében. Az ebben a vizsgálatban résztvevő 150 beteg közül 41 beteg kapott még egyidejűleg vérnyomáscsökkentő gyógyszert. A betegeknél az adagolás a kezdő és a fenntartó adag esetén a testtömeg</w:t>
      </w:r>
      <w:r w:rsidRPr="00EF51F9">
        <w:rPr>
          <w:snapToGrid w:val="0"/>
          <w:sz w:val="22"/>
          <w:szCs w:val="22"/>
        </w:rPr>
        <w:noBreakHyphen/>
        <w:t xml:space="preserve">kategóriákon alapult. A </w:t>
      </w:r>
      <w:r w:rsidR="00B26781" w:rsidRPr="00E675D9">
        <w:rPr>
          <w:snapToGrid w:val="0"/>
          <w:sz w:val="22"/>
          <w:szCs w:val="22"/>
        </w:rPr>
        <w:t>≥</w:t>
      </w:r>
      <w:r w:rsidR="009C3885">
        <w:rPr>
          <w:snapToGrid w:val="0"/>
          <w:sz w:val="22"/>
          <w:szCs w:val="22"/>
        </w:rPr>
        <w:t xml:space="preserve"> </w:t>
      </w:r>
      <w:r w:rsidRPr="00EF51F9">
        <w:rPr>
          <w:snapToGrid w:val="0"/>
          <w:sz w:val="22"/>
          <w:szCs w:val="22"/>
        </w:rPr>
        <w:t>18 - &lt; 35 kg</w:t>
      </w:r>
      <w:r w:rsidR="00275948">
        <w:rPr>
          <w:snapToGrid w:val="0"/>
          <w:sz w:val="22"/>
          <w:szCs w:val="22"/>
        </w:rPr>
        <w:t>-</w:t>
      </w:r>
      <w:r w:rsidRPr="00EF51F9">
        <w:rPr>
          <w:snapToGrid w:val="0"/>
          <w:sz w:val="22"/>
          <w:szCs w:val="22"/>
        </w:rPr>
        <w:t>os, a ≥ 35 - &lt; 80 kg-os és a ≥ 80 - &lt; 160 kg</w:t>
      </w:r>
      <w:r w:rsidR="00275948">
        <w:rPr>
          <w:snapToGrid w:val="0"/>
          <w:sz w:val="22"/>
          <w:szCs w:val="22"/>
        </w:rPr>
        <w:t>-</w:t>
      </w:r>
      <w:r w:rsidRPr="00EF51F9">
        <w:rPr>
          <w:snapToGrid w:val="0"/>
          <w:sz w:val="22"/>
          <w:szCs w:val="22"/>
        </w:rPr>
        <w:t xml:space="preserve">os </w:t>
      </w:r>
      <w:r w:rsidRPr="00EF51F9">
        <w:rPr>
          <w:snapToGrid w:val="0"/>
          <w:sz w:val="22"/>
          <w:szCs w:val="22"/>
        </w:rPr>
        <w:lastRenderedPageBreak/>
        <w:t>testtömegű betegek sorrendben 40 mg</w:t>
      </w:r>
      <w:r w:rsidRPr="00EF51F9">
        <w:rPr>
          <w:snapToGrid w:val="0"/>
          <w:sz w:val="22"/>
          <w:szCs w:val="22"/>
        </w:rPr>
        <w:noBreakHyphen/>
        <w:t>ot, 80 mg</w:t>
      </w:r>
      <w:r w:rsidRPr="00EF51F9">
        <w:rPr>
          <w:snapToGrid w:val="0"/>
          <w:sz w:val="22"/>
          <w:szCs w:val="22"/>
        </w:rPr>
        <w:noBreakHyphen/>
        <w:t>ot és 160 mg</w:t>
      </w:r>
      <w:r w:rsidRPr="00EF51F9">
        <w:rPr>
          <w:snapToGrid w:val="0"/>
          <w:sz w:val="22"/>
          <w:szCs w:val="22"/>
        </w:rPr>
        <w:noBreakHyphen/>
        <w:t>ot kaptak, és az adagokat egy hét után sorrendben 80 mg</w:t>
      </w:r>
      <w:r w:rsidRPr="00EF51F9">
        <w:rPr>
          <w:snapToGrid w:val="0"/>
          <w:sz w:val="22"/>
          <w:szCs w:val="22"/>
        </w:rPr>
        <w:noBreakHyphen/>
        <w:t>ra, 160 mg</w:t>
      </w:r>
      <w:r w:rsidRPr="00EF51F9">
        <w:rPr>
          <w:snapToGrid w:val="0"/>
          <w:sz w:val="22"/>
          <w:szCs w:val="22"/>
        </w:rPr>
        <w:noBreakHyphen/>
        <w:t>ra és 320 mg</w:t>
      </w:r>
      <w:r w:rsidRPr="00EF51F9">
        <w:rPr>
          <w:snapToGrid w:val="0"/>
          <w:sz w:val="22"/>
          <w:szCs w:val="22"/>
        </w:rPr>
        <w:noBreakHyphen/>
        <w:t>ra emelték. A bevont betegek felének (50,0%, n = 75) krónikus vesebetegsége volt, a betegek 29,3%</w:t>
      </w:r>
      <w:r w:rsidRPr="00EF51F9">
        <w:rPr>
          <w:snapToGrid w:val="0"/>
          <w:sz w:val="22"/>
          <w:szCs w:val="22"/>
        </w:rPr>
        <w:noBreakHyphen/>
        <w:t>ának (44) 2. stádiumú (GFR 60</w:t>
      </w:r>
      <w:r w:rsidRPr="00EF51F9">
        <w:rPr>
          <w:snapToGrid w:val="0"/>
          <w:sz w:val="22"/>
          <w:szCs w:val="22"/>
        </w:rPr>
        <w:noBreakHyphen/>
        <w:t>89 ml/perc/1,73m</w:t>
      </w:r>
      <w:r w:rsidRPr="00EF51F9">
        <w:rPr>
          <w:snapToGrid w:val="0"/>
          <w:sz w:val="22"/>
          <w:szCs w:val="22"/>
          <w:vertAlign w:val="superscript"/>
        </w:rPr>
        <w:t>2</w:t>
      </w:r>
      <w:r w:rsidRPr="00EF51F9">
        <w:rPr>
          <w:snapToGrid w:val="0"/>
          <w:sz w:val="22"/>
          <w:szCs w:val="22"/>
        </w:rPr>
        <w:t>) vagy 3. stádiumú (GFR 30</w:t>
      </w:r>
      <w:r w:rsidRPr="00EF51F9">
        <w:rPr>
          <w:snapToGrid w:val="0"/>
          <w:sz w:val="22"/>
          <w:szCs w:val="22"/>
        </w:rPr>
        <w:noBreakHyphen/>
        <w:t>59 ml/perc/1,73m</w:t>
      </w:r>
      <w:r w:rsidRPr="00EF51F9">
        <w:rPr>
          <w:snapToGrid w:val="0"/>
          <w:sz w:val="22"/>
          <w:szCs w:val="22"/>
          <w:vertAlign w:val="superscript"/>
        </w:rPr>
        <w:t>2</w:t>
      </w:r>
      <w:r w:rsidRPr="00EF51F9">
        <w:rPr>
          <w:snapToGrid w:val="0"/>
          <w:sz w:val="22"/>
          <w:szCs w:val="22"/>
        </w:rPr>
        <w:t>) krónikus vesebetegsége volt. A szisztolés vérnyomás átlagos csökkenése 14,9 Hgmm volt az összes betegnél (kiindulási érték: 133,5 Hgmm), 18,4 Hgmm volt a krónikus vesebetegségben szenvedő betegeknél (kiindulási érték: 131,9 Hgmm), és 11,5 Hgmm volt a krónikus vesebetegségben nem szenvedő betegeknél (kiindulási érték: 135,1 Hgmm). A vérnyomás teljes beállítását elérő betegek százalékaránya (mind a szisztolés, mind a diasztolés vérnyomás &lt; 95. percentilis) kissé magasabb volt a krónikus vesebetegségben szenvedők csoportjában (79,5%), mint a krónikus vesebetegségben nem szenvedők csoportjában (72,2%)</w:t>
      </w:r>
      <w:r>
        <w:rPr>
          <w:snapToGrid w:val="0"/>
        </w:rPr>
        <w:t>.</w:t>
      </w:r>
    </w:p>
    <w:p w14:paraId="06BBA643" w14:textId="77777777" w:rsidR="000822DD" w:rsidRPr="00345BCE" w:rsidRDefault="000822DD" w:rsidP="00B0458C">
      <w:pPr>
        <w:rPr>
          <w:snapToGrid w:val="0"/>
          <w:sz w:val="22"/>
          <w:szCs w:val="22"/>
        </w:rPr>
      </w:pPr>
    </w:p>
    <w:p w14:paraId="67E60AFD" w14:textId="6FBA2D9A" w:rsidR="00BE6734" w:rsidRPr="00345BCE" w:rsidRDefault="00BE6734" w:rsidP="00C560EC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Klinikai tapasztalat a 6 év</w:t>
      </w:r>
      <w:r w:rsidR="00B1779D">
        <w:rPr>
          <w:i/>
          <w:snapToGrid w:val="0"/>
          <w:sz w:val="22"/>
          <w:szCs w:val="22"/>
          <w:u w:val="single"/>
        </w:rPr>
        <w:t>es</w:t>
      </w:r>
      <w:r w:rsidRPr="00345BCE">
        <w:rPr>
          <w:i/>
          <w:snapToGrid w:val="0"/>
          <w:sz w:val="22"/>
          <w:szCs w:val="22"/>
          <w:u w:val="single"/>
        </w:rPr>
        <w:t>nél fiatalabb gyermekeknél</w:t>
      </w:r>
    </w:p>
    <w:p w14:paraId="09B3D7C9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Három klinikai vizsgálatot végeztek 291, 1 és 5 éves kor közötti betegnél. Ezekbe a vizsgálatokba 1 éves kor alatti gyermekeket nem vontak be.</w:t>
      </w:r>
    </w:p>
    <w:p w14:paraId="5369DE5C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14:paraId="1F844CEF" w14:textId="71D95A8C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A 90 betegnél végzett első vizsgálatban a dózisfüggő választ nem tudták kimutatni, de a 75 betegnél végzett második vizsgálatban a nagyobb valzartán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dózisok nagyobb vérnyomáscsökkenéssel jártak.</w:t>
      </w:r>
    </w:p>
    <w:p w14:paraId="31883AAD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14:paraId="523FCE1F" w14:textId="426BE55F" w:rsidR="007358F6" w:rsidRPr="007358F6" w:rsidRDefault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A harmadik vizsgálat egy 6 hetes, randomizált, kettős vak vizsgálat volt, amelyben a valzartán dózisfüggő válaszát értékelték 126, 1 és 5 éves kor közötti, hypertoniás, krónikus vesebetegségben szenvedő vagy nem szenvedő gyermeknél, akiket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mg/ttkg vagy 4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mg/ttkg dózist kapó csoportokba randomizáltak. A végpontban az átlagos szisztolés vérnyomás/átlagos diasztolés vérnyomás csökkenése 4,0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8,5/6,8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Hgmm, míg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4,1/0,3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Hgmm volt (p = 0,0157 / p &lt; 0,0001). Hasonlóképpen, a krónikus vesebetegségben szenvedő gyermekek alcsoportjában az átlagos szisztolés vérnyomás/átlagos diasztolés vérnyomás szintén csökkenést mutatott, 4,0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B1779D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9,2/6,5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Hgmm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rel, míg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1,2/+1,3 Hgmm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rel.</w:t>
      </w:r>
    </w:p>
    <w:p w14:paraId="6915942C" w14:textId="77777777" w:rsidR="00BE6734" w:rsidRPr="00345BCE" w:rsidRDefault="00BE6734" w:rsidP="00C560EC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7BE24C99" w14:textId="77777777" w:rsidR="00BE6734" w:rsidRPr="00345BCE" w:rsidRDefault="00BE6734" w:rsidP="00C560EC">
      <w:pPr>
        <w:pStyle w:val="NormlWeb"/>
        <w:tabs>
          <w:tab w:val="left" w:pos="2280"/>
        </w:tabs>
        <w:spacing w:before="0" w:beforeAutospacing="0" w:after="0"/>
        <w:rPr>
          <w:sz w:val="22"/>
          <w:szCs w:val="22"/>
          <w:lang w:val="hu-HU"/>
        </w:rPr>
      </w:pPr>
      <w:r w:rsidRPr="00345BCE">
        <w:rPr>
          <w:rFonts w:eastAsia="SimSun"/>
          <w:sz w:val="22"/>
          <w:szCs w:val="22"/>
          <w:lang w:val="hu-HU" w:eastAsia="zh-CN"/>
        </w:rPr>
        <w:t xml:space="preserve">Az Európai Gyógyszerügynökség </w:t>
      </w:r>
      <w:r w:rsidR="00B31882">
        <w:rPr>
          <w:rFonts w:eastAsia="SimSun"/>
          <w:sz w:val="22"/>
          <w:szCs w:val="22"/>
          <w:lang w:val="hu-HU" w:eastAsia="zh-CN"/>
        </w:rPr>
        <w:t xml:space="preserve">a gyermekek esetén minden korosztályánál </w:t>
      </w:r>
      <w:r w:rsidRPr="00345BCE">
        <w:rPr>
          <w:rFonts w:eastAsia="SimSun"/>
          <w:sz w:val="22"/>
          <w:szCs w:val="22"/>
          <w:lang w:val="hu-HU" w:eastAsia="zh-CN"/>
        </w:rPr>
        <w:t xml:space="preserve">eltekint a </w:t>
      </w:r>
      <w:r w:rsidR="000E19C2">
        <w:rPr>
          <w:sz w:val="22"/>
          <w:szCs w:val="22"/>
          <w:lang w:val="hu-HU"/>
        </w:rPr>
        <w:t>v</w:t>
      </w:r>
      <w:r w:rsidR="00345BCE" w:rsidRPr="00345BCE">
        <w:rPr>
          <w:sz w:val="22"/>
          <w:szCs w:val="22"/>
          <w:lang w:val="hu-HU"/>
        </w:rPr>
        <w:t>al</w:t>
      </w:r>
      <w:r w:rsidR="000E19C2">
        <w:rPr>
          <w:sz w:val="22"/>
          <w:szCs w:val="22"/>
          <w:lang w:val="hu-HU"/>
        </w:rPr>
        <w:t>z</w:t>
      </w:r>
      <w:r w:rsidR="00345BCE" w:rsidRPr="00345BCE">
        <w:rPr>
          <w:sz w:val="22"/>
          <w:szCs w:val="22"/>
          <w:lang w:val="hu-HU"/>
        </w:rPr>
        <w:t>art</w:t>
      </w:r>
      <w:r w:rsidR="000E19C2">
        <w:rPr>
          <w:sz w:val="22"/>
          <w:szCs w:val="22"/>
          <w:lang w:val="hu-HU"/>
        </w:rPr>
        <w:t>á</w:t>
      </w:r>
      <w:r w:rsidR="00345BCE" w:rsidRPr="00345BCE">
        <w:rPr>
          <w:sz w:val="22"/>
          <w:szCs w:val="22"/>
          <w:lang w:val="hu-HU"/>
        </w:rPr>
        <w:t xml:space="preserve">n </w:t>
      </w:r>
      <w:r w:rsidR="00B31882">
        <w:rPr>
          <w:sz w:val="22"/>
          <w:szCs w:val="22"/>
          <w:lang w:val="hu-HU"/>
        </w:rPr>
        <w:t xml:space="preserve">tartalmú referenciakészítmény </w:t>
      </w:r>
      <w:r w:rsidRPr="00345BCE">
        <w:rPr>
          <w:rFonts w:eastAsia="SimSun"/>
          <w:sz w:val="22"/>
          <w:szCs w:val="22"/>
          <w:lang w:val="hu-HU" w:eastAsia="zh-CN"/>
        </w:rPr>
        <w:t xml:space="preserve">vizsgálati eredményeinek benyújtási kötelezettségétől </w:t>
      </w:r>
      <w:r w:rsidRPr="00345BCE">
        <w:rPr>
          <w:sz w:val="22"/>
          <w:szCs w:val="22"/>
          <w:lang w:val="hu-HU"/>
        </w:rPr>
        <w:t>szívelégtelenségben és a nemrégiben lezajlott myocardialis infarctus után szívelégtelenségben.</w:t>
      </w:r>
      <w:r w:rsidRPr="00345BCE">
        <w:rPr>
          <w:rFonts w:eastAsia="SimSun"/>
          <w:sz w:val="22"/>
          <w:szCs w:val="22"/>
          <w:lang w:val="hu-HU" w:eastAsia="zh-CN"/>
        </w:rPr>
        <w:t xml:space="preserve"> Lásd 4.2</w:t>
      </w:r>
      <w:r w:rsidR="00B31882">
        <w:rPr>
          <w:rFonts w:eastAsia="SimSun"/>
          <w:sz w:val="22"/>
          <w:szCs w:val="22"/>
          <w:lang w:val="hu-HU" w:eastAsia="zh-CN"/>
        </w:rPr>
        <w:t> </w:t>
      </w:r>
      <w:r w:rsidRPr="00345BCE">
        <w:rPr>
          <w:rFonts w:eastAsia="SimSun"/>
          <w:sz w:val="22"/>
          <w:szCs w:val="22"/>
          <w:lang w:val="hu-HU" w:eastAsia="zh-CN"/>
        </w:rPr>
        <w:t>pont</w:t>
      </w:r>
      <w:r w:rsidRPr="00393667">
        <w:rPr>
          <w:rFonts w:eastAsia="SimSun"/>
          <w:sz w:val="22"/>
          <w:szCs w:val="22"/>
          <w:lang w:val="hu-HU" w:eastAsia="zh-CN"/>
        </w:rPr>
        <w:t xml:space="preserve">, gyermekgyógyászati </w:t>
      </w:r>
      <w:r w:rsidR="00B31882" w:rsidRPr="00393667">
        <w:rPr>
          <w:rFonts w:eastAsia="SimSun"/>
          <w:sz w:val="22"/>
          <w:szCs w:val="22"/>
          <w:lang w:val="hu-HU" w:eastAsia="zh-CN"/>
        </w:rPr>
        <w:t>alkalmazásra</w:t>
      </w:r>
      <w:r w:rsidR="00B31882">
        <w:rPr>
          <w:rFonts w:eastAsia="SimSun"/>
          <w:sz w:val="22"/>
          <w:szCs w:val="22"/>
          <w:lang w:val="hu-HU" w:eastAsia="zh-CN"/>
        </w:rPr>
        <w:t xml:space="preserve"> vonatkozó </w:t>
      </w:r>
      <w:r w:rsidRPr="00345BCE">
        <w:rPr>
          <w:rFonts w:eastAsia="SimSun"/>
          <w:sz w:val="22"/>
          <w:szCs w:val="22"/>
          <w:lang w:val="hu-HU" w:eastAsia="zh-CN"/>
        </w:rPr>
        <w:t>információk.</w:t>
      </w:r>
    </w:p>
    <w:p w14:paraId="632C659E" w14:textId="77777777" w:rsidR="00F61288" w:rsidRPr="00345BCE" w:rsidRDefault="00F61288" w:rsidP="00C560EC">
      <w:pPr>
        <w:tabs>
          <w:tab w:val="left" w:pos="567"/>
        </w:tabs>
        <w:rPr>
          <w:b/>
          <w:sz w:val="22"/>
          <w:szCs w:val="22"/>
        </w:rPr>
      </w:pPr>
    </w:p>
    <w:p w14:paraId="39434C2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5.2</w:t>
      </w:r>
      <w:r w:rsidRPr="00345BCE">
        <w:rPr>
          <w:b/>
          <w:sz w:val="22"/>
          <w:szCs w:val="22"/>
        </w:rPr>
        <w:tab/>
        <w:t>Farmakokinetikai tulajdonságok</w:t>
      </w:r>
    </w:p>
    <w:p w14:paraId="65CDEB6E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27CDC4B0" w14:textId="77777777" w:rsidR="00F61288" w:rsidRPr="00345BCE" w:rsidRDefault="00F61288" w:rsidP="00C560EC">
      <w:pPr>
        <w:tabs>
          <w:tab w:val="left" w:pos="567"/>
          <w:tab w:val="left" w:pos="708"/>
        </w:tabs>
        <w:ind w:left="567" w:hanging="567"/>
        <w:rPr>
          <w:bCs/>
          <w:i/>
          <w:iCs/>
          <w:sz w:val="22"/>
          <w:szCs w:val="22"/>
          <w:u w:val="single"/>
        </w:rPr>
      </w:pPr>
      <w:r w:rsidRPr="00345BCE">
        <w:rPr>
          <w:bCs/>
          <w:i/>
          <w:iCs/>
          <w:sz w:val="22"/>
          <w:szCs w:val="22"/>
          <w:u w:val="single"/>
        </w:rPr>
        <w:t>Felszívódás:</w:t>
      </w:r>
    </w:p>
    <w:p w14:paraId="1BFF52BB" w14:textId="2B4BFAAB" w:rsidR="007C1F0D" w:rsidRPr="007358F6" w:rsidRDefault="007C1F0D" w:rsidP="00694832">
      <w:pPr>
        <w:ind w:right="-367"/>
        <w:rPr>
          <w:sz w:val="22"/>
          <w:szCs w:val="22"/>
        </w:rPr>
      </w:pPr>
      <w:r w:rsidRPr="00345BCE">
        <w:rPr>
          <w:sz w:val="22"/>
          <w:szCs w:val="22"/>
        </w:rPr>
        <w:t>A valzartán önmagában történő orális alkalmazása után a készítmény 2-4 órán belül éri el a maximális plazmakoncentrációt a tabletta, és 1</w:t>
      </w:r>
      <w:r w:rsidRPr="00345BCE">
        <w:rPr>
          <w:sz w:val="22"/>
          <w:szCs w:val="22"/>
        </w:rPr>
        <w:noBreakHyphen/>
        <w:t xml:space="preserve">2 órán belül az oldat gyógyszerforma esetén. Az átlagos abszolút biohasznosulás 23% a tabletta, és 39% az oldat gyógyszerforma esetén. </w:t>
      </w:r>
      <w:r w:rsidR="007358F6" w:rsidRPr="00694832">
        <w:rPr>
          <w:iCs/>
          <w:sz w:val="22"/>
          <w:szCs w:val="22"/>
        </w:rPr>
        <w:t>A valzartán szisztémás expozíciója 1,7</w:t>
      </w:r>
      <w:r w:rsidR="007358F6" w:rsidRPr="00694832">
        <w:rPr>
          <w:iCs/>
          <w:sz w:val="22"/>
          <w:szCs w:val="22"/>
        </w:rPr>
        <w:noBreakHyphen/>
        <w:t>szer, maximális plazmakoncentrációja pedig 2,2</w:t>
      </w:r>
      <w:r w:rsidR="007358F6" w:rsidRPr="00694832">
        <w:rPr>
          <w:iCs/>
          <w:sz w:val="22"/>
          <w:szCs w:val="22"/>
        </w:rPr>
        <w:noBreakHyphen/>
        <w:t>szer nagyobb az oldat alkalmazása esetén a tablettákhoz képest.</w:t>
      </w:r>
    </w:p>
    <w:p w14:paraId="31BAF098" w14:textId="77777777" w:rsidR="007358F6" w:rsidRPr="00345BCE" w:rsidRDefault="007358F6" w:rsidP="00C560EC">
      <w:pPr>
        <w:tabs>
          <w:tab w:val="left" w:pos="567"/>
        </w:tabs>
        <w:ind w:right="-367"/>
        <w:rPr>
          <w:sz w:val="22"/>
          <w:szCs w:val="22"/>
        </w:rPr>
      </w:pPr>
    </w:p>
    <w:p w14:paraId="2D158BA7" w14:textId="77777777" w:rsidR="00F61288" w:rsidRPr="00345BCE" w:rsidRDefault="00F61288" w:rsidP="00C560EC">
      <w:pPr>
        <w:tabs>
          <w:tab w:val="left" w:pos="567"/>
        </w:tabs>
        <w:ind w:right="-367"/>
        <w:rPr>
          <w:sz w:val="22"/>
          <w:szCs w:val="22"/>
        </w:rPr>
      </w:pPr>
      <w:r w:rsidRPr="00345BCE">
        <w:rPr>
          <w:sz w:val="22"/>
          <w:szCs w:val="22"/>
        </w:rPr>
        <w:t>Táplálékkal együtt való bevétele esetén a valzartán</w:t>
      </w:r>
      <w:r w:rsidR="00EF2E79">
        <w:rPr>
          <w:sz w:val="22"/>
          <w:szCs w:val="22"/>
        </w:rPr>
        <w:t>-</w:t>
      </w:r>
      <w:r w:rsidR="00DD303D" w:rsidRPr="00345BCE">
        <w:rPr>
          <w:sz w:val="22"/>
          <w:szCs w:val="22"/>
        </w:rPr>
        <w:t>expozíció</w:t>
      </w:r>
      <w:r w:rsidRPr="00345BCE">
        <w:rPr>
          <w:sz w:val="22"/>
          <w:szCs w:val="22"/>
        </w:rPr>
        <w:t xml:space="preserve"> (AUC</w:t>
      </w:r>
      <w:r w:rsidR="00DD303D" w:rsidRPr="00345BCE">
        <w:rPr>
          <w:sz w:val="22"/>
          <w:szCs w:val="22"/>
        </w:rPr>
        <w:t>-vel mérve</w:t>
      </w:r>
      <w:r w:rsidRPr="00345BCE">
        <w:rPr>
          <w:sz w:val="22"/>
          <w:szCs w:val="22"/>
        </w:rPr>
        <w:t>) kb. 40%-kal, a maximális plazmakoncentráció (C</w:t>
      </w:r>
      <w:r w:rsidRPr="00345BCE">
        <w:rPr>
          <w:sz w:val="22"/>
          <w:szCs w:val="22"/>
          <w:vertAlign w:val="subscript"/>
        </w:rPr>
        <w:t>max</w:t>
      </w:r>
      <w:r w:rsidRPr="00345BCE">
        <w:rPr>
          <w:sz w:val="22"/>
          <w:szCs w:val="22"/>
        </w:rPr>
        <w:t>) pedig kb. 50%-kal csökken, jóllehet a dózis bevételét követő 8 óra eltelte után a koncentráció</w:t>
      </w:r>
      <w:r w:rsidR="00DD303D" w:rsidRPr="00345BCE">
        <w:rPr>
          <w:sz w:val="22"/>
          <w:szCs w:val="22"/>
        </w:rPr>
        <w:t>k</w:t>
      </w:r>
      <w:r w:rsidRPr="00345BCE">
        <w:rPr>
          <w:sz w:val="22"/>
          <w:szCs w:val="22"/>
        </w:rPr>
        <w:t xml:space="preserve"> hasonló</w:t>
      </w:r>
      <w:r w:rsidR="00DD303D" w:rsidRPr="00345BCE">
        <w:rPr>
          <w:sz w:val="22"/>
          <w:szCs w:val="22"/>
        </w:rPr>
        <w:t>k</w:t>
      </w:r>
      <w:r w:rsidRPr="00345BCE">
        <w:rPr>
          <w:sz w:val="22"/>
          <w:szCs w:val="22"/>
        </w:rPr>
        <w:t xml:space="preserve"> volt</w:t>
      </w:r>
      <w:r w:rsidR="00DD303D" w:rsidRPr="00345BCE">
        <w:rPr>
          <w:sz w:val="22"/>
          <w:szCs w:val="22"/>
        </w:rPr>
        <w:t>ak</w:t>
      </w:r>
      <w:r w:rsidRPr="00345BCE">
        <w:rPr>
          <w:sz w:val="22"/>
          <w:szCs w:val="22"/>
        </w:rPr>
        <w:t xml:space="preserve"> táplálékkal és éhgyomorra történő bevétel esetén. Az AUC csökkenés</w:t>
      </w:r>
      <w:r w:rsidR="00F11BC8" w:rsidRPr="00345BCE">
        <w:rPr>
          <w:sz w:val="22"/>
          <w:szCs w:val="22"/>
        </w:rPr>
        <w:t>e</w:t>
      </w:r>
      <w:r w:rsidRPr="00345BCE">
        <w:rPr>
          <w:sz w:val="22"/>
          <w:szCs w:val="22"/>
        </w:rPr>
        <w:t xml:space="preserve"> azonban </w:t>
      </w:r>
      <w:r w:rsidR="00F11BC8" w:rsidRPr="00345BCE">
        <w:rPr>
          <w:sz w:val="22"/>
          <w:szCs w:val="22"/>
        </w:rPr>
        <w:t xml:space="preserve">nem vezet </w:t>
      </w:r>
      <w:r w:rsidRPr="00345BCE">
        <w:rPr>
          <w:sz w:val="22"/>
          <w:szCs w:val="22"/>
        </w:rPr>
        <w:t>a hatás klinikailag jelentős csökkenés</w:t>
      </w:r>
      <w:r w:rsidR="00F11BC8" w:rsidRPr="00345BCE">
        <w:rPr>
          <w:sz w:val="22"/>
          <w:szCs w:val="22"/>
        </w:rPr>
        <w:t>éhez</w:t>
      </w:r>
      <w:r w:rsidRPr="00345BCE">
        <w:rPr>
          <w:sz w:val="22"/>
          <w:szCs w:val="22"/>
        </w:rPr>
        <w:t xml:space="preserve">, ezért a </w:t>
      </w:r>
      <w:r w:rsidR="00DD303D" w:rsidRPr="00345BCE">
        <w:rPr>
          <w:sz w:val="22"/>
          <w:szCs w:val="22"/>
        </w:rPr>
        <w:t xml:space="preserve">valzartán </w:t>
      </w:r>
      <w:r w:rsidRPr="00345BCE">
        <w:rPr>
          <w:sz w:val="22"/>
          <w:szCs w:val="22"/>
        </w:rPr>
        <w:t xml:space="preserve">bevehető </w:t>
      </w:r>
      <w:r w:rsidR="00DD303D" w:rsidRPr="00345BCE">
        <w:rPr>
          <w:sz w:val="22"/>
          <w:szCs w:val="22"/>
        </w:rPr>
        <w:t xml:space="preserve">étkezés közben és attól </w:t>
      </w:r>
      <w:r w:rsidRPr="00345BCE">
        <w:rPr>
          <w:sz w:val="22"/>
          <w:szCs w:val="22"/>
        </w:rPr>
        <w:t>függetlenül is.</w:t>
      </w:r>
    </w:p>
    <w:p w14:paraId="2E9B5698" w14:textId="77777777" w:rsidR="00F61288" w:rsidRPr="00D91645" w:rsidRDefault="00F61288" w:rsidP="00C560EC">
      <w:pPr>
        <w:tabs>
          <w:tab w:val="left" w:pos="567"/>
        </w:tabs>
        <w:ind w:right="-133"/>
        <w:rPr>
          <w:sz w:val="22"/>
          <w:szCs w:val="22"/>
        </w:rPr>
      </w:pPr>
    </w:p>
    <w:p w14:paraId="1855BF4A" w14:textId="77777777" w:rsidR="00F61288" w:rsidRPr="00706E72" w:rsidRDefault="000134A0" w:rsidP="00C560EC">
      <w:pPr>
        <w:tabs>
          <w:tab w:val="left" w:pos="567"/>
        </w:tabs>
        <w:ind w:right="-133"/>
        <w:rPr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Eloszlás</w:t>
      </w:r>
      <w:r w:rsidR="00F61288" w:rsidRPr="00706E72">
        <w:rPr>
          <w:i/>
          <w:iCs/>
          <w:sz w:val="22"/>
          <w:szCs w:val="22"/>
          <w:u w:val="single"/>
        </w:rPr>
        <w:t>:</w:t>
      </w:r>
    </w:p>
    <w:p w14:paraId="2C984AF5" w14:textId="77777777" w:rsidR="00F61288" w:rsidRPr="00345BCE" w:rsidRDefault="00F61288" w:rsidP="00C560EC">
      <w:pPr>
        <w:tabs>
          <w:tab w:val="left" w:pos="567"/>
        </w:tabs>
        <w:rPr>
          <w:sz w:val="22"/>
          <w:szCs w:val="22"/>
        </w:rPr>
      </w:pPr>
      <w:r w:rsidRPr="00D23D88">
        <w:rPr>
          <w:sz w:val="22"/>
          <w:szCs w:val="22"/>
        </w:rPr>
        <w:t xml:space="preserve">A valzartán </w:t>
      </w:r>
      <w:r w:rsidRPr="00C560EC">
        <w:rPr>
          <w:i/>
          <w:sz w:val="22"/>
          <w:szCs w:val="22"/>
        </w:rPr>
        <w:t>steady-state</w:t>
      </w:r>
      <w:r w:rsidRPr="00D23D88">
        <w:rPr>
          <w:sz w:val="22"/>
          <w:szCs w:val="22"/>
        </w:rPr>
        <w:t xml:space="preserve"> (egyensúlyi állapot) megoszlási </w:t>
      </w:r>
      <w:r w:rsidR="00DD303D" w:rsidRPr="00D23D88">
        <w:rPr>
          <w:sz w:val="22"/>
          <w:szCs w:val="22"/>
        </w:rPr>
        <w:t xml:space="preserve">térfogata intravénás adás után </w:t>
      </w:r>
      <w:r w:rsidRPr="00345BCE">
        <w:rPr>
          <w:sz w:val="22"/>
          <w:szCs w:val="22"/>
        </w:rPr>
        <w:t>körülbelül 17</w:t>
      </w:r>
      <w:r w:rsidR="00DD303D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l, ami arra utal, hogy a valzartán nem oszlik el kiterjedten a szövetekben. A valzartán erősen kötődik szérumfehérjékhez (94-97%-ban), főleg szérum albuminhoz.</w:t>
      </w:r>
    </w:p>
    <w:p w14:paraId="69806102" w14:textId="77777777" w:rsidR="00DB7D09" w:rsidRPr="00345BCE" w:rsidRDefault="00DB7D09" w:rsidP="00C560EC">
      <w:pPr>
        <w:tabs>
          <w:tab w:val="left" w:pos="567"/>
        </w:tabs>
        <w:rPr>
          <w:sz w:val="22"/>
          <w:szCs w:val="22"/>
        </w:rPr>
      </w:pPr>
    </w:p>
    <w:p w14:paraId="7D1678EB" w14:textId="77777777" w:rsidR="00F61288" w:rsidRPr="00345BCE" w:rsidRDefault="00F612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Biotranszformáció:</w:t>
      </w:r>
    </w:p>
    <w:p w14:paraId="6229BE7D" w14:textId="77777777" w:rsidR="00F61288" w:rsidRPr="00345BCE" w:rsidRDefault="00F61288" w:rsidP="00C560EC">
      <w:pPr>
        <w:tabs>
          <w:tab w:val="left" w:pos="567"/>
        </w:tabs>
        <w:rPr>
          <w:iCs/>
          <w:sz w:val="22"/>
          <w:szCs w:val="22"/>
        </w:rPr>
      </w:pPr>
      <w:r w:rsidRPr="00345BCE">
        <w:rPr>
          <w:iCs/>
          <w:sz w:val="22"/>
          <w:szCs w:val="22"/>
        </w:rPr>
        <w:t>A valzartán nem megy át nagymértékű biotranszformáción, az adag csupán 20%-a nyerhető vissza metabolitok formájában. Egy hidroxi metabolitot azonosítottak a plazmában</w:t>
      </w:r>
      <w:r w:rsidR="00EF2E79">
        <w:rPr>
          <w:iCs/>
          <w:sz w:val="22"/>
          <w:szCs w:val="22"/>
        </w:rPr>
        <w:t>,</w:t>
      </w:r>
      <w:r w:rsidRPr="00345BCE">
        <w:rPr>
          <w:iCs/>
          <w:sz w:val="22"/>
          <w:szCs w:val="22"/>
        </w:rPr>
        <w:t xml:space="preserve"> alacsony koncentrációban (a valzartán </w:t>
      </w:r>
      <w:r w:rsidR="00DD303D" w:rsidRPr="00345BCE">
        <w:rPr>
          <w:iCs/>
          <w:sz w:val="22"/>
          <w:szCs w:val="22"/>
        </w:rPr>
        <w:t xml:space="preserve">AUC értékének </w:t>
      </w:r>
      <w:r w:rsidRPr="00345BCE">
        <w:rPr>
          <w:sz w:val="22"/>
          <w:szCs w:val="22"/>
        </w:rPr>
        <w:t>kevesebb</w:t>
      </w:r>
      <w:r w:rsidR="00353FF9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mint 10%</w:t>
      </w:r>
      <w:r w:rsidR="00DD303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a)</w:t>
      </w:r>
      <w:r w:rsidRPr="00345BCE">
        <w:rPr>
          <w:iCs/>
          <w:sz w:val="22"/>
          <w:szCs w:val="22"/>
        </w:rPr>
        <w:t xml:space="preserve">. Ez a metabolit farmakológiai </w:t>
      </w:r>
      <w:r w:rsidRPr="00345BCE">
        <w:rPr>
          <w:iCs/>
          <w:sz w:val="22"/>
          <w:szCs w:val="22"/>
        </w:rPr>
        <w:lastRenderedPageBreak/>
        <w:t>szempontból inaktív.</w:t>
      </w:r>
    </w:p>
    <w:p w14:paraId="767DA9A2" w14:textId="77777777" w:rsidR="00F61288" w:rsidRPr="00345BCE" w:rsidRDefault="00F61288" w:rsidP="00C560EC">
      <w:pPr>
        <w:tabs>
          <w:tab w:val="left" w:pos="567"/>
        </w:tabs>
        <w:rPr>
          <w:iCs/>
          <w:sz w:val="22"/>
          <w:szCs w:val="22"/>
        </w:rPr>
      </w:pPr>
    </w:p>
    <w:p w14:paraId="4DE19F17" w14:textId="77777777" w:rsidR="00F61288" w:rsidRPr="00345BCE" w:rsidRDefault="000134A0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Elimináció</w:t>
      </w:r>
      <w:r w:rsidR="00F61288" w:rsidRPr="00345BCE">
        <w:rPr>
          <w:i/>
          <w:sz w:val="22"/>
          <w:szCs w:val="22"/>
          <w:u w:val="single"/>
        </w:rPr>
        <w:t>:</w:t>
      </w:r>
    </w:p>
    <w:p w14:paraId="63A11D47" w14:textId="77777777" w:rsidR="00F61288" w:rsidRPr="00345BCE" w:rsidRDefault="00F612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valzartán multiexponenciális bomlási kinetikát mutat (t</w:t>
      </w:r>
      <w:r w:rsidRPr="00345BCE">
        <w:rPr>
          <w:sz w:val="22"/>
          <w:szCs w:val="22"/>
          <w:vertAlign w:val="subscript"/>
        </w:rPr>
        <w:t>½</w:t>
      </w:r>
      <w:r w:rsidR="00EF2E79">
        <w:rPr>
          <w:sz w:val="22"/>
          <w:szCs w:val="22"/>
          <w:vertAlign w:val="subscript"/>
        </w:rPr>
        <w:t>alfa</w:t>
      </w:r>
      <w:r w:rsidRPr="00345BCE">
        <w:rPr>
          <w:sz w:val="22"/>
          <w:szCs w:val="22"/>
        </w:rPr>
        <w:t xml:space="preserve"> &lt;</w:t>
      </w:r>
      <w:r w:rsidR="00EF2E79">
        <w:rPr>
          <w:sz w:val="22"/>
          <w:szCs w:val="22"/>
        </w:rPr>
        <w:t> </w:t>
      </w:r>
      <w:r w:rsidRPr="00345BCE">
        <w:rPr>
          <w:sz w:val="22"/>
          <w:szCs w:val="22"/>
        </w:rPr>
        <w:t>1 óra és t</w:t>
      </w:r>
      <w:r w:rsidRPr="00345BCE">
        <w:rPr>
          <w:sz w:val="22"/>
          <w:szCs w:val="22"/>
          <w:vertAlign w:val="subscript"/>
        </w:rPr>
        <w:t>½</w:t>
      </w:r>
      <w:r w:rsidR="00EF2E79">
        <w:rPr>
          <w:sz w:val="22"/>
          <w:szCs w:val="22"/>
          <w:vertAlign w:val="subscript"/>
        </w:rPr>
        <w:t>béta</w:t>
      </w:r>
      <w:r w:rsidRPr="00345BCE">
        <w:rPr>
          <w:sz w:val="22"/>
          <w:szCs w:val="22"/>
        </w:rPr>
        <w:t xml:space="preserve"> kb. 9 óra). A valzartán elsősorban biliáris exkréció útján a széklettel (az adag kb. 83%-a) és renális exkréció útján a vizelettel (az adag kb. 13%-a) választódik ki, nagyrészt változatlan formában. Intravénás alkalmazás után a valzartán plazmaclearance-e kb. 2 l/óra, veseclearance-e pedig 0,62 l/óra (a teljes clearance kb. 30%</w:t>
      </w:r>
      <w:r w:rsidR="00834B34">
        <w:rPr>
          <w:sz w:val="22"/>
          <w:szCs w:val="22"/>
        </w:rPr>
        <w:noBreakHyphen/>
      </w:r>
      <w:r w:rsidRPr="00345BCE">
        <w:rPr>
          <w:sz w:val="22"/>
          <w:szCs w:val="22"/>
        </w:rPr>
        <w:t xml:space="preserve">a). A valzartán </w:t>
      </w:r>
      <w:r w:rsidR="00DD303D" w:rsidRPr="00345BCE">
        <w:rPr>
          <w:sz w:val="22"/>
          <w:szCs w:val="22"/>
        </w:rPr>
        <w:t xml:space="preserve">felezési ideje </w:t>
      </w:r>
      <w:r w:rsidRPr="00345BCE">
        <w:rPr>
          <w:sz w:val="22"/>
          <w:szCs w:val="22"/>
        </w:rPr>
        <w:t>6</w:t>
      </w:r>
      <w:r w:rsidR="00DD303D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óra.</w:t>
      </w:r>
    </w:p>
    <w:p w14:paraId="36ED2A86" w14:textId="77777777" w:rsidR="000B0F2A" w:rsidRPr="00345BCE" w:rsidRDefault="000B0F2A" w:rsidP="00C560EC">
      <w:pPr>
        <w:tabs>
          <w:tab w:val="left" w:pos="567"/>
        </w:tabs>
        <w:ind w:right="-133"/>
        <w:rPr>
          <w:sz w:val="22"/>
          <w:szCs w:val="22"/>
        </w:rPr>
      </w:pPr>
    </w:p>
    <w:p w14:paraId="11B4E0B5" w14:textId="77777777" w:rsidR="007C1F0D" w:rsidRPr="00345BCE" w:rsidRDefault="006E67EA" w:rsidP="00C560EC">
      <w:pPr>
        <w:pStyle w:val="Cmsor3"/>
        <w:widowControl/>
        <w:numPr>
          <w:ilvl w:val="2"/>
          <w:numId w:val="10"/>
        </w:numPr>
        <w:tabs>
          <w:tab w:val="left" w:pos="567"/>
        </w:tabs>
        <w:rPr>
          <w:b w:val="0"/>
          <w:bCs/>
          <w:i/>
          <w:sz w:val="22"/>
          <w:szCs w:val="22"/>
          <w:u w:val="single"/>
        </w:rPr>
      </w:pPr>
      <w:r>
        <w:rPr>
          <w:b w:val="0"/>
          <w:bCs/>
          <w:i/>
          <w:sz w:val="22"/>
          <w:szCs w:val="22"/>
          <w:u w:val="single"/>
        </w:rPr>
        <w:t>Különleges</w:t>
      </w:r>
      <w:r w:rsidRPr="00345BCE">
        <w:rPr>
          <w:b w:val="0"/>
          <w:bCs/>
          <w:i/>
          <w:sz w:val="22"/>
          <w:szCs w:val="22"/>
          <w:u w:val="single"/>
        </w:rPr>
        <w:t xml:space="preserve"> </w:t>
      </w:r>
      <w:r w:rsidR="001902F4">
        <w:rPr>
          <w:b w:val="0"/>
          <w:bCs/>
          <w:i/>
          <w:sz w:val="22"/>
          <w:szCs w:val="22"/>
          <w:u w:val="single"/>
        </w:rPr>
        <w:t>betegcsoproto</w:t>
      </w:r>
      <w:r w:rsidR="007C1F0D" w:rsidRPr="00345BCE">
        <w:rPr>
          <w:b w:val="0"/>
          <w:bCs/>
          <w:i/>
          <w:sz w:val="22"/>
          <w:szCs w:val="22"/>
          <w:u w:val="single"/>
        </w:rPr>
        <w:t>k</w:t>
      </w:r>
    </w:p>
    <w:p w14:paraId="631D412A" w14:textId="77777777" w:rsidR="001902F4" w:rsidRDefault="001902F4" w:rsidP="00C560EC">
      <w:pPr>
        <w:rPr>
          <w:iCs/>
          <w:sz w:val="22"/>
          <w:szCs w:val="22"/>
          <w:u w:val="single"/>
        </w:rPr>
      </w:pPr>
    </w:p>
    <w:p w14:paraId="7459D80C" w14:textId="77777777" w:rsidR="007C1F0D" w:rsidRPr="00345BCE" w:rsidRDefault="007C1F0D" w:rsidP="00C560EC">
      <w:pPr>
        <w:rPr>
          <w:iCs/>
          <w:sz w:val="22"/>
          <w:szCs w:val="22"/>
          <w:u w:val="single"/>
        </w:rPr>
      </w:pPr>
      <w:r w:rsidRPr="00345BCE">
        <w:rPr>
          <w:iCs/>
          <w:sz w:val="22"/>
          <w:szCs w:val="22"/>
          <w:u w:val="single"/>
        </w:rPr>
        <w:t>Idős</w:t>
      </w:r>
      <w:r w:rsidR="00D22521">
        <w:rPr>
          <w:iCs/>
          <w:sz w:val="22"/>
          <w:szCs w:val="22"/>
          <w:u w:val="single"/>
        </w:rPr>
        <w:t>e</w:t>
      </w:r>
      <w:r w:rsidR="000822DD">
        <w:rPr>
          <w:iCs/>
          <w:sz w:val="22"/>
          <w:szCs w:val="22"/>
          <w:u w:val="single"/>
        </w:rPr>
        <w:t>k</w:t>
      </w:r>
    </w:p>
    <w:p w14:paraId="35C244DD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Néhány </w:t>
      </w:r>
      <w:r w:rsidRPr="00D22521">
        <w:rPr>
          <w:sz w:val="22"/>
          <w:szCs w:val="22"/>
        </w:rPr>
        <w:t xml:space="preserve">idős </w:t>
      </w:r>
      <w:r w:rsidR="00D22521" w:rsidRPr="00EF51F9">
        <w:rPr>
          <w:sz w:val="22"/>
          <w:szCs w:val="22"/>
        </w:rPr>
        <w:t>egyén</w:t>
      </w:r>
      <w:r w:rsidR="00D22521" w:rsidRPr="00D22521">
        <w:rPr>
          <w:sz w:val="22"/>
          <w:szCs w:val="22"/>
        </w:rPr>
        <w:t>ben</w:t>
      </w:r>
      <w:r w:rsidR="00D22521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a valzartán szisztémás expozíciója a fiatalabbakhoz képest valamivel nagyobb volt, azonban ennek nem volt klinikai jelentősége.</w:t>
      </w:r>
    </w:p>
    <w:p w14:paraId="78D8998A" w14:textId="77777777" w:rsidR="007C1F0D" w:rsidRPr="00345BCE" w:rsidRDefault="007C1F0D" w:rsidP="00C560EC">
      <w:pPr>
        <w:rPr>
          <w:i/>
          <w:sz w:val="22"/>
          <w:szCs w:val="22"/>
        </w:rPr>
      </w:pPr>
    </w:p>
    <w:p w14:paraId="2887395F" w14:textId="77777777" w:rsidR="007C1F0D" w:rsidRPr="00345BCE" w:rsidRDefault="00363528" w:rsidP="00C560EC">
      <w:pPr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Károsodott</w:t>
      </w:r>
      <w:r w:rsidRPr="00345BCE">
        <w:rPr>
          <w:iCs/>
          <w:sz w:val="22"/>
          <w:szCs w:val="22"/>
          <w:u w:val="single"/>
        </w:rPr>
        <w:t xml:space="preserve"> </w:t>
      </w:r>
      <w:r w:rsidR="007C1F0D" w:rsidRPr="00345BCE">
        <w:rPr>
          <w:iCs/>
          <w:sz w:val="22"/>
          <w:szCs w:val="22"/>
          <w:u w:val="single"/>
        </w:rPr>
        <w:t>vesefunkció</w:t>
      </w:r>
    </w:p>
    <w:p w14:paraId="66B0BD43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Annak megfelelően, hogy e vegyület esetében a renalis clearance az összclearance 30%-át teszi ki, nem figyeltek meg korrelációt a vesefunkció és a valzartán szisztémás expozíciója között. Ezért veseműködési zavar (kreatinin clearance &gt;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ml/perc) esetén nem szükséges a dózis módosítása. Nincs tapasztalat a biztonságos alkalmazásra vonatkozóan olyan betegeknél, akik kreatinin</w:t>
      </w:r>
      <w:r w:rsidRPr="00345BCE">
        <w:rPr>
          <w:sz w:val="22"/>
          <w:szCs w:val="22"/>
        </w:rPr>
        <w:noBreakHyphen/>
        <w:t>clearance</w:t>
      </w:r>
      <w:r w:rsidR="00834B34">
        <w:rPr>
          <w:sz w:val="22"/>
          <w:szCs w:val="22"/>
        </w:rPr>
        <w:noBreakHyphen/>
      </w:r>
      <w:r w:rsidRPr="00345BCE">
        <w:rPr>
          <w:sz w:val="22"/>
          <w:szCs w:val="22"/>
        </w:rPr>
        <w:t>e &lt;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vagy dialízis kezelés alatt állnak, ezért a valzartánt óvatossággal kell alkalmazni ezeknél a betegeknél (lásd 4.2 és 4.4 pont).</w:t>
      </w:r>
    </w:p>
    <w:p w14:paraId="2559A5AF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valzartán nagymértékben kötődik plazmafehérjékhez és nem valószínű, hogy eltávolítható dialízissel.</w:t>
      </w:r>
    </w:p>
    <w:p w14:paraId="7B35E517" w14:textId="77777777" w:rsidR="00F61288" w:rsidRPr="00345BCE" w:rsidRDefault="00F61288" w:rsidP="00C560EC">
      <w:pPr>
        <w:tabs>
          <w:tab w:val="left" w:pos="567"/>
        </w:tabs>
        <w:rPr>
          <w:i/>
          <w:sz w:val="22"/>
          <w:szCs w:val="22"/>
        </w:rPr>
      </w:pPr>
    </w:p>
    <w:p w14:paraId="5DA29E3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Májkárosodás</w:t>
      </w:r>
    </w:p>
    <w:p w14:paraId="429D5FC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felszívódott adag kb. 70%-a választódik ki az epével, </w:t>
      </w:r>
      <w:r w:rsidR="00E0454A" w:rsidRPr="00345BCE">
        <w:rPr>
          <w:sz w:val="22"/>
          <w:szCs w:val="22"/>
        </w:rPr>
        <w:t xml:space="preserve">lényegében </w:t>
      </w:r>
      <w:r w:rsidRPr="00345BCE">
        <w:rPr>
          <w:sz w:val="22"/>
          <w:szCs w:val="22"/>
        </w:rPr>
        <w:t xml:space="preserve">változatlan formában. </w:t>
      </w:r>
      <w:r w:rsidR="007D3498" w:rsidRPr="00345BCE">
        <w:rPr>
          <w:sz w:val="22"/>
          <w:szCs w:val="22"/>
        </w:rPr>
        <w:t xml:space="preserve">A valzartán nem megy át lényeges biotranszformáción. </w:t>
      </w:r>
      <w:r w:rsidR="00E0454A" w:rsidRPr="00345BCE">
        <w:rPr>
          <w:sz w:val="22"/>
          <w:szCs w:val="22"/>
        </w:rPr>
        <w:t xml:space="preserve">Az expozíció (AUC) megduplázódását figyelték meg az enyhe és közepesen súlyos májkárosodásban szenvedő betegekben az egészséges kísérleti alanyokhoz hasonlítva. Azonban nem figyeltek meg korrelációt a valzartán </w:t>
      </w:r>
      <w:r w:rsidR="007D3498" w:rsidRPr="00345BCE">
        <w:rPr>
          <w:sz w:val="22"/>
          <w:szCs w:val="22"/>
        </w:rPr>
        <w:t>plazma</w:t>
      </w:r>
      <w:r w:rsidR="00E0454A" w:rsidRPr="00345BCE">
        <w:rPr>
          <w:sz w:val="22"/>
          <w:szCs w:val="22"/>
        </w:rPr>
        <w:t xml:space="preserve">koncentrációja és a májműködési zavar </w:t>
      </w:r>
      <w:r w:rsidR="007D3498" w:rsidRPr="00345BCE">
        <w:rPr>
          <w:sz w:val="22"/>
          <w:szCs w:val="22"/>
        </w:rPr>
        <w:t xml:space="preserve">súlyossága </w:t>
      </w:r>
      <w:r w:rsidR="00E0454A" w:rsidRPr="00345BCE">
        <w:rPr>
          <w:sz w:val="22"/>
          <w:szCs w:val="22"/>
        </w:rPr>
        <w:t xml:space="preserve">között. A </w:t>
      </w:r>
      <w:r w:rsidR="007D3498" w:rsidRPr="00345BCE">
        <w:rPr>
          <w:sz w:val="22"/>
          <w:szCs w:val="22"/>
        </w:rPr>
        <w:t>valzartán</w:t>
      </w:r>
      <w:r w:rsidR="00E0454A" w:rsidRPr="00345BCE">
        <w:rPr>
          <w:sz w:val="22"/>
          <w:szCs w:val="22"/>
        </w:rPr>
        <w:t>t nem vizsgálták súlyos májműködési zavarban szenvedő betegekben (lásd 4.2, 4.3 és 4.4 pont).</w:t>
      </w:r>
    </w:p>
    <w:p w14:paraId="2A712CEA" w14:textId="77777777" w:rsidR="0031593C" w:rsidRPr="00345BCE" w:rsidRDefault="0031593C" w:rsidP="00C560EC">
      <w:pPr>
        <w:tabs>
          <w:tab w:val="left" w:pos="567"/>
        </w:tabs>
        <w:rPr>
          <w:sz w:val="22"/>
          <w:szCs w:val="22"/>
        </w:rPr>
      </w:pPr>
    </w:p>
    <w:p w14:paraId="52D4E6FF" w14:textId="77777777" w:rsidR="0031593C" w:rsidRPr="00345BCE" w:rsidRDefault="0031593C" w:rsidP="00C560EC">
      <w:pPr>
        <w:rPr>
          <w:i/>
          <w:iCs/>
          <w:sz w:val="22"/>
          <w:szCs w:val="22"/>
          <w:u w:val="single"/>
        </w:rPr>
      </w:pPr>
      <w:r w:rsidRPr="00B0458C">
        <w:rPr>
          <w:i/>
          <w:iCs/>
          <w:sz w:val="22"/>
          <w:szCs w:val="22"/>
          <w:u w:val="single"/>
        </w:rPr>
        <w:t>Gyermek</w:t>
      </w:r>
      <w:r w:rsidR="0051702A" w:rsidRPr="00C560EC">
        <w:rPr>
          <w:i/>
          <w:iCs/>
          <w:sz w:val="22"/>
          <w:szCs w:val="22"/>
          <w:u w:val="single"/>
        </w:rPr>
        <w:t>ek</w:t>
      </w:r>
      <w:r w:rsidR="00792D2B" w:rsidRPr="00C560EC">
        <w:rPr>
          <w:i/>
          <w:iCs/>
          <w:sz w:val="22"/>
          <w:szCs w:val="22"/>
          <w:u w:val="single"/>
        </w:rPr>
        <w:t xml:space="preserve"> és serdülők</w:t>
      </w:r>
    </w:p>
    <w:p w14:paraId="4CAEA43F" w14:textId="0893E466" w:rsidR="0031593C" w:rsidRPr="00533E6F" w:rsidRDefault="0031593C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Egy</w:t>
      </w:r>
      <w:r w:rsidR="001902F4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26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</w:t>
      </w:r>
      <w:r w:rsidR="004A25AD" w:rsidRPr="004A25AD">
        <w:rPr>
          <w:sz w:val="22"/>
          <w:szCs w:val="22"/>
        </w:rPr>
        <w:t>1 és 16 éves kor közötti gyermek és serdülő bevonásával</w:t>
      </w:r>
      <w:r w:rsidRPr="00345BCE">
        <w:rPr>
          <w:sz w:val="22"/>
          <w:szCs w:val="22"/>
        </w:rPr>
        <w:t xml:space="preserve"> végzett vizsgálatban</w:t>
      </w:r>
      <w:r w:rsidR="001902F4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egyetlen adag valzartán szuszpenzió (átlag: 0,9-2 mg/</w:t>
      </w:r>
      <w:r w:rsidR="006F3378">
        <w:rPr>
          <w:sz w:val="22"/>
          <w:szCs w:val="22"/>
        </w:rPr>
        <w:t>tt</w:t>
      </w:r>
      <w:r w:rsidRPr="00345BCE">
        <w:rPr>
          <w:sz w:val="22"/>
          <w:szCs w:val="22"/>
        </w:rPr>
        <w:t>kg, 80 mg</w:t>
      </w:r>
      <w:r w:rsidRPr="00345BCE">
        <w:rPr>
          <w:sz w:val="22"/>
          <w:szCs w:val="22"/>
        </w:rPr>
        <w:noBreakHyphen/>
        <w:t>os maximális dózissal) adásakor a valzartán</w:t>
      </w:r>
      <w:r w:rsidRPr="00345BCE">
        <w:rPr>
          <w:sz w:val="22"/>
          <w:szCs w:val="22"/>
        </w:rPr>
        <w:noBreakHyphen/>
        <w:t>clearance (liter/óra/kg) a teljes, 1 évestől 16 éves korig terjedő életkor-tartományban hasonló volt, és az ugyanezt a gyógyszerformát kapó felnőtteknél észlelthez is hasonló volt</w:t>
      </w:r>
      <w:r w:rsidR="00533E6F">
        <w:rPr>
          <w:sz w:val="22"/>
          <w:szCs w:val="22"/>
        </w:rPr>
        <w:t xml:space="preserve"> </w:t>
      </w:r>
      <w:r w:rsidR="00533E6F" w:rsidRPr="00694832">
        <w:rPr>
          <w:sz w:val="22"/>
          <w:szCs w:val="22"/>
        </w:rPr>
        <w:t>(lásd az 5.2 pontban</w:t>
      </w:r>
      <w:r w:rsidR="00533E6F" w:rsidRPr="00694832" w:rsidDel="00A20233">
        <w:rPr>
          <w:sz w:val="22"/>
          <w:szCs w:val="22"/>
        </w:rPr>
        <w:t xml:space="preserve"> </w:t>
      </w:r>
      <w:r w:rsidR="00533E6F" w:rsidRPr="00694832">
        <w:rPr>
          <w:sz w:val="22"/>
          <w:szCs w:val="22"/>
        </w:rPr>
        <w:t>a Felszívódás című részt)</w:t>
      </w:r>
      <w:r w:rsidRPr="00533E6F">
        <w:rPr>
          <w:sz w:val="22"/>
          <w:szCs w:val="22"/>
        </w:rPr>
        <w:t>.</w:t>
      </w:r>
    </w:p>
    <w:p w14:paraId="62DFD608" w14:textId="77777777" w:rsidR="0031593C" w:rsidRPr="00345BCE" w:rsidRDefault="0031593C" w:rsidP="00C560EC">
      <w:pPr>
        <w:rPr>
          <w:sz w:val="22"/>
          <w:szCs w:val="22"/>
        </w:rPr>
      </w:pPr>
    </w:p>
    <w:p w14:paraId="4022E63F" w14:textId="77777777" w:rsidR="0031593C" w:rsidRPr="00345BCE" w:rsidRDefault="0031593C" w:rsidP="00C560EC">
      <w:pPr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Vesekárosodás</w:t>
      </w:r>
    </w:p>
    <w:p w14:paraId="15E7C399" w14:textId="7E731189" w:rsidR="0031593C" w:rsidRPr="00694832" w:rsidRDefault="0031593C" w:rsidP="00C560EC">
      <w:pPr>
        <w:rPr>
          <w:sz w:val="22"/>
          <w:szCs w:val="22"/>
        </w:rPr>
      </w:pPr>
      <w:r w:rsidRPr="00694832">
        <w:rPr>
          <w:sz w:val="22"/>
          <w:szCs w:val="22"/>
        </w:rPr>
        <w:t xml:space="preserve">Alkalmazását azoknál a </w:t>
      </w:r>
      <w:r w:rsidR="004A25AD" w:rsidRPr="004A25AD">
        <w:rPr>
          <w:sz w:val="22"/>
          <w:szCs w:val="22"/>
        </w:rPr>
        <w:t>gyermekeknél és serdülőknél</w:t>
      </w:r>
      <w:r w:rsidRPr="00694832">
        <w:rPr>
          <w:sz w:val="22"/>
          <w:szCs w:val="22"/>
        </w:rPr>
        <w:t>, akiknek a kreatitnin</w:t>
      </w:r>
      <w:r w:rsidRPr="00694832">
        <w:rPr>
          <w:sz w:val="22"/>
          <w:szCs w:val="22"/>
        </w:rPr>
        <w:noBreakHyphen/>
        <w:t>clearance</w:t>
      </w:r>
      <w:r w:rsidRPr="00694832">
        <w:rPr>
          <w:sz w:val="22"/>
          <w:szCs w:val="22"/>
        </w:rPr>
        <w:noBreakHyphen/>
        <w:t>e &lt;</w:t>
      </w:r>
      <w:r w:rsidR="001902F4" w:rsidRPr="00694832">
        <w:rPr>
          <w:sz w:val="22"/>
          <w:szCs w:val="22"/>
        </w:rPr>
        <w:t> </w:t>
      </w:r>
      <w:r w:rsidRPr="00694832">
        <w:rPr>
          <w:sz w:val="22"/>
          <w:szCs w:val="22"/>
        </w:rPr>
        <w:t xml:space="preserve">30 ml/perc, valamint a dialízis alatt álló </w:t>
      </w:r>
      <w:r w:rsidR="004A25AD" w:rsidRPr="004A25AD">
        <w:rPr>
          <w:sz w:val="22"/>
          <w:szCs w:val="22"/>
        </w:rPr>
        <w:t>gyermekeknél és serdülőknél</w:t>
      </w:r>
      <w:r w:rsidRPr="00694832">
        <w:rPr>
          <w:sz w:val="22"/>
          <w:szCs w:val="22"/>
        </w:rPr>
        <w:t xml:space="preserve"> nem vizsgálták, ezért a valzartán ezeknek a betegeknek nem javasolt. </w:t>
      </w:r>
      <w:r w:rsidRPr="00533E6F">
        <w:rPr>
          <w:sz w:val="22"/>
          <w:szCs w:val="22"/>
        </w:rPr>
        <w:t xml:space="preserve">Nem szükséges a dózis módosítása azoknál a </w:t>
      </w:r>
      <w:r w:rsidR="004A25AD" w:rsidRPr="004A25AD">
        <w:rPr>
          <w:sz w:val="22"/>
          <w:szCs w:val="22"/>
        </w:rPr>
        <w:t>gyermekeknél és serdülőknél</w:t>
      </w:r>
      <w:r w:rsidRPr="00533E6F">
        <w:rPr>
          <w:sz w:val="22"/>
          <w:szCs w:val="22"/>
        </w:rPr>
        <w:t>, akik kreatinin</w:t>
      </w:r>
      <w:r w:rsidRPr="00533E6F">
        <w:rPr>
          <w:sz w:val="22"/>
          <w:szCs w:val="22"/>
        </w:rPr>
        <w:noBreakHyphen/>
        <w:t>clearance</w:t>
      </w:r>
      <w:r w:rsidRPr="00533E6F">
        <w:rPr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30 ml/perc</w:t>
      </w:r>
      <w:r w:rsidRPr="00694832">
        <w:rPr>
          <w:sz w:val="22"/>
          <w:szCs w:val="22"/>
        </w:rPr>
        <w:t>. A vesefunkciót és a szérum káliumszintet szorosan ellenőrizni kell (lásd 4.2 és 4.4 pont).</w:t>
      </w:r>
    </w:p>
    <w:p w14:paraId="77478DB6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0F1463C0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5.3</w:t>
      </w:r>
      <w:r w:rsidRPr="00345BCE">
        <w:rPr>
          <w:b/>
          <w:sz w:val="22"/>
          <w:szCs w:val="22"/>
        </w:rPr>
        <w:tab/>
        <w:t>A preklinikai biztonság</w:t>
      </w:r>
      <w:r w:rsidR="00626106" w:rsidRPr="00345BCE">
        <w:rPr>
          <w:b/>
          <w:sz w:val="22"/>
          <w:szCs w:val="22"/>
        </w:rPr>
        <w:t>osság</w:t>
      </w:r>
      <w:r w:rsidRPr="00345BCE">
        <w:rPr>
          <w:b/>
          <w:sz w:val="22"/>
          <w:szCs w:val="22"/>
        </w:rPr>
        <w:t>i vizsgálatok eredményei</w:t>
      </w:r>
    </w:p>
    <w:p w14:paraId="1C436E21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1E4B65D" w14:textId="77777777" w:rsidR="00E0454A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hagyományos – farmakológiai biztonságossági, ismételt </w:t>
      </w:r>
      <w:r w:rsidR="001902F4" w:rsidRPr="001902F4">
        <w:rPr>
          <w:sz w:val="22"/>
          <w:szCs w:val="22"/>
        </w:rPr>
        <w:t xml:space="preserve">adagolású </w:t>
      </w:r>
      <w:r w:rsidRPr="00345BCE">
        <w:rPr>
          <w:sz w:val="22"/>
          <w:szCs w:val="22"/>
        </w:rPr>
        <w:t>dózistoxicitási, genotoxicitási, karcinogenitási – vizsgálatokból származó nem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klinikai jellegű adatok azt igazolták, hogy a készítmény </w:t>
      </w:r>
      <w:r w:rsidR="00B31882">
        <w:rPr>
          <w:sz w:val="22"/>
          <w:szCs w:val="22"/>
        </w:rPr>
        <w:t xml:space="preserve">alkalmazásakor humán vonatkozásban </w:t>
      </w:r>
      <w:r w:rsidRPr="00345BCE">
        <w:rPr>
          <w:sz w:val="22"/>
          <w:szCs w:val="22"/>
        </w:rPr>
        <w:t>különleges</w:t>
      </w:r>
      <w:r w:rsidR="00B31882">
        <w:rPr>
          <w:sz w:val="22"/>
          <w:szCs w:val="22"/>
        </w:rPr>
        <w:t xml:space="preserve"> kockázat nem várható</w:t>
      </w:r>
      <w:r w:rsidRPr="00345BCE">
        <w:rPr>
          <w:sz w:val="22"/>
          <w:szCs w:val="22"/>
        </w:rPr>
        <w:t xml:space="preserve">. </w:t>
      </w:r>
    </w:p>
    <w:p w14:paraId="1E34E77A" w14:textId="77777777" w:rsidR="001902F4" w:rsidRDefault="001902F4" w:rsidP="00C560EC">
      <w:pPr>
        <w:tabs>
          <w:tab w:val="left" w:pos="567"/>
        </w:tabs>
        <w:rPr>
          <w:sz w:val="22"/>
          <w:szCs w:val="22"/>
        </w:rPr>
      </w:pPr>
    </w:p>
    <w:p w14:paraId="6EA0F70E" w14:textId="77777777" w:rsidR="00E0454A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Patk</w:t>
      </w:r>
      <w:r w:rsidR="001E1F27" w:rsidRPr="00345BCE">
        <w:rPr>
          <w:sz w:val="22"/>
          <w:szCs w:val="22"/>
        </w:rPr>
        <w:t>ányban az anyai toxikus dózis</w:t>
      </w:r>
      <w:r w:rsidR="007D3498" w:rsidRPr="00345BCE">
        <w:rPr>
          <w:sz w:val="22"/>
          <w:szCs w:val="22"/>
        </w:rPr>
        <w:t>t</w:t>
      </w:r>
      <w:r w:rsidR="001E1F27" w:rsidRPr="00345BCE">
        <w:rPr>
          <w:sz w:val="22"/>
          <w:szCs w:val="22"/>
        </w:rPr>
        <w:t xml:space="preserve"> (</w:t>
      </w:r>
      <w:r w:rsidRPr="00345BCE">
        <w:rPr>
          <w:sz w:val="22"/>
          <w:szCs w:val="22"/>
        </w:rPr>
        <w:t>600 mg/</w:t>
      </w:r>
      <w:r w:rsidR="007D3498" w:rsidRPr="00345BCE">
        <w:rPr>
          <w:sz w:val="22"/>
          <w:szCs w:val="22"/>
        </w:rPr>
        <w:t>kg</w:t>
      </w:r>
      <w:r w:rsidRPr="00345BCE">
        <w:rPr>
          <w:sz w:val="22"/>
          <w:szCs w:val="22"/>
        </w:rPr>
        <w:t>/nap) a terhesség utolsó napjaiban és a szoptatás alatt adva, csökkent túlélési arány</w:t>
      </w:r>
      <w:r w:rsidR="002A1A0A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, </w:t>
      </w:r>
      <w:r w:rsidR="002A1A0A" w:rsidRPr="00345BCE">
        <w:rPr>
          <w:sz w:val="22"/>
          <w:szCs w:val="22"/>
        </w:rPr>
        <w:t>kisebb</w:t>
      </w:r>
      <w:r w:rsidR="007D3498" w:rsidRPr="00345BCE">
        <w:rPr>
          <w:sz w:val="22"/>
          <w:szCs w:val="22"/>
        </w:rPr>
        <w:t xml:space="preserve"> </w:t>
      </w:r>
      <w:r w:rsidR="002A1A0A" w:rsidRPr="00345BCE">
        <w:rPr>
          <w:sz w:val="22"/>
          <w:szCs w:val="22"/>
        </w:rPr>
        <w:t xml:space="preserve">mértékű </w:t>
      </w:r>
      <w:r w:rsidRPr="00345BCE">
        <w:rPr>
          <w:sz w:val="22"/>
          <w:szCs w:val="22"/>
        </w:rPr>
        <w:t>testsúlygyarapodás</w:t>
      </w:r>
      <w:r w:rsidR="002A1A0A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 és kés</w:t>
      </w:r>
      <w:r w:rsidR="002A1A0A" w:rsidRPr="00D91645">
        <w:rPr>
          <w:sz w:val="22"/>
          <w:szCs w:val="22"/>
        </w:rPr>
        <w:t>lel</w:t>
      </w:r>
      <w:r w:rsidR="00C760F1" w:rsidRPr="00706E72">
        <w:rPr>
          <w:sz w:val="22"/>
          <w:szCs w:val="22"/>
        </w:rPr>
        <w:t>te</w:t>
      </w:r>
      <w:r w:rsidR="002A1A0A" w:rsidRPr="00706E72">
        <w:rPr>
          <w:sz w:val="22"/>
          <w:szCs w:val="22"/>
        </w:rPr>
        <w:t>t</w:t>
      </w:r>
      <w:r w:rsidR="007D3498" w:rsidRPr="00706E72">
        <w:rPr>
          <w:sz w:val="22"/>
          <w:szCs w:val="22"/>
        </w:rPr>
        <w:t>ett</w:t>
      </w:r>
      <w:r w:rsidRPr="00706E72">
        <w:rPr>
          <w:sz w:val="22"/>
          <w:szCs w:val="22"/>
        </w:rPr>
        <w:t xml:space="preserve"> fejlődés </w:t>
      </w:r>
      <w:r w:rsidR="002A1A0A" w:rsidRPr="00706E72">
        <w:rPr>
          <w:sz w:val="22"/>
          <w:szCs w:val="22"/>
        </w:rPr>
        <w:t xml:space="preserve">okozott </w:t>
      </w:r>
      <w:r w:rsidRPr="00D23D88">
        <w:rPr>
          <w:sz w:val="22"/>
          <w:szCs w:val="22"/>
        </w:rPr>
        <w:t>az újszülöttekben (</w:t>
      </w:r>
      <w:r w:rsidR="001902F4">
        <w:rPr>
          <w:sz w:val="22"/>
          <w:szCs w:val="22"/>
        </w:rPr>
        <w:t xml:space="preserve">a </w:t>
      </w:r>
      <w:r w:rsidRPr="00D23D88">
        <w:rPr>
          <w:sz w:val="22"/>
          <w:szCs w:val="22"/>
        </w:rPr>
        <w:t xml:space="preserve">fülkagyló és hallójárat fejlődési zavara) (lásd 4.6 pont). </w:t>
      </w:r>
      <w:r w:rsidR="003856A2" w:rsidRPr="00345BCE">
        <w:rPr>
          <w:sz w:val="22"/>
          <w:szCs w:val="22"/>
        </w:rPr>
        <w:t>Ez a</w:t>
      </w:r>
      <w:r w:rsidR="001E1F27" w:rsidRPr="00345BCE">
        <w:rPr>
          <w:sz w:val="22"/>
          <w:szCs w:val="22"/>
        </w:rPr>
        <w:t xml:space="preserve"> patkányban alkalmazott dózis (</w:t>
      </w:r>
      <w:r w:rsidRPr="00345BCE">
        <w:rPr>
          <w:sz w:val="22"/>
          <w:szCs w:val="22"/>
        </w:rPr>
        <w:t>600 mg/kg/nap) megközelítőleg 18-szorosa a javasolt maximális humán dózisnak</w:t>
      </w:r>
      <w:r w:rsidR="007D3498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mg/m</w:t>
      </w:r>
      <w:r w:rsidRPr="00345BCE">
        <w:rPr>
          <w:sz w:val="22"/>
          <w:szCs w:val="22"/>
          <w:vertAlign w:val="superscript"/>
        </w:rPr>
        <w:t>2</w:t>
      </w:r>
      <w:r w:rsidRPr="00345BCE">
        <w:rPr>
          <w:sz w:val="22"/>
          <w:szCs w:val="22"/>
        </w:rPr>
        <w:t xml:space="preserve"> alapon </w:t>
      </w:r>
      <w:r w:rsidRPr="00345BCE">
        <w:rPr>
          <w:sz w:val="22"/>
          <w:szCs w:val="22"/>
        </w:rPr>
        <w:lastRenderedPageBreak/>
        <w:t>számítva (320 mg/nap dózist és 60 kg-os beteget feltételezve).</w:t>
      </w:r>
    </w:p>
    <w:p w14:paraId="3032B5B8" w14:textId="77777777" w:rsidR="00921431" w:rsidRPr="00345BCE" w:rsidRDefault="00921431" w:rsidP="00C560EC">
      <w:pPr>
        <w:tabs>
          <w:tab w:val="left" w:pos="567"/>
        </w:tabs>
        <w:rPr>
          <w:sz w:val="22"/>
          <w:szCs w:val="22"/>
        </w:rPr>
      </w:pPr>
    </w:p>
    <w:p w14:paraId="24722166" w14:textId="77777777" w:rsidR="003856A2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nem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>klinikai biztonságossági vizsgálatokban a nagy valzartán dózisok (200-600 mg/kg) patkányokban a vörösvértest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>paraméterek (er</w:t>
      </w:r>
      <w:r w:rsidR="001902F4">
        <w:rPr>
          <w:sz w:val="22"/>
          <w:szCs w:val="22"/>
        </w:rPr>
        <w:t>y</w:t>
      </w:r>
      <w:r w:rsidRPr="00345BCE">
        <w:rPr>
          <w:sz w:val="22"/>
          <w:szCs w:val="22"/>
        </w:rPr>
        <w:t>t</w:t>
      </w:r>
      <w:r w:rsidR="004B7A11">
        <w:rPr>
          <w:sz w:val="22"/>
          <w:szCs w:val="22"/>
        </w:rPr>
        <w:t>h</w:t>
      </w:r>
      <w:r w:rsidRPr="00345BCE">
        <w:rPr>
          <w:sz w:val="22"/>
          <w:szCs w:val="22"/>
        </w:rPr>
        <w:t>roc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t</w:t>
      </w:r>
      <w:r w:rsidR="003856A2" w:rsidRPr="00345BCE">
        <w:rPr>
          <w:sz w:val="22"/>
          <w:szCs w:val="22"/>
        </w:rPr>
        <w:t>aszám</w:t>
      </w:r>
      <w:r w:rsidRPr="00345BCE">
        <w:rPr>
          <w:sz w:val="22"/>
          <w:szCs w:val="22"/>
        </w:rPr>
        <w:t>, hemoglobin, hematokrit) csökkenését, illetve a vese hemodinamikájának (enyhén emelkedett plazma urea, illetve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tubul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perpl</w:t>
      </w:r>
      <w:r w:rsidR="00AF2DDF">
        <w:rPr>
          <w:sz w:val="22"/>
          <w:szCs w:val="22"/>
        </w:rPr>
        <w:t>as</w:t>
      </w:r>
      <w:r w:rsidRPr="00345BCE">
        <w:rPr>
          <w:sz w:val="22"/>
          <w:szCs w:val="22"/>
        </w:rPr>
        <w:t>ia és ba</w:t>
      </w:r>
      <w:r w:rsidR="00AF2DDF">
        <w:rPr>
          <w:sz w:val="22"/>
          <w:szCs w:val="22"/>
        </w:rPr>
        <w:t>s</w:t>
      </w:r>
      <w:r w:rsidRPr="00345BCE">
        <w:rPr>
          <w:sz w:val="22"/>
          <w:szCs w:val="22"/>
        </w:rPr>
        <w:t>o</w:t>
      </w:r>
      <w:r w:rsidR="00AF2DDF">
        <w:rPr>
          <w:sz w:val="22"/>
          <w:szCs w:val="22"/>
        </w:rPr>
        <w:t>phi</w:t>
      </w:r>
      <w:r w:rsidRPr="00345BCE">
        <w:rPr>
          <w:sz w:val="22"/>
          <w:szCs w:val="22"/>
        </w:rPr>
        <w:t xml:space="preserve">lia a hímekben) változását okozták. </w:t>
      </w:r>
      <w:r w:rsidR="003856A2" w:rsidRPr="00345BCE">
        <w:rPr>
          <w:sz w:val="22"/>
          <w:szCs w:val="22"/>
        </w:rPr>
        <w:t>Ezek a patkányban alkalmazott dózisok (200 és 600 mg/kg/nap) megközelítőleg 6, illetve 18-szorosai a javasolt maximális humán dózisnak mg/m</w:t>
      </w:r>
      <w:r w:rsidR="003856A2" w:rsidRPr="00345BCE">
        <w:rPr>
          <w:sz w:val="22"/>
          <w:szCs w:val="22"/>
          <w:vertAlign w:val="superscript"/>
        </w:rPr>
        <w:t>2</w:t>
      </w:r>
      <w:r w:rsidR="003856A2" w:rsidRPr="00345BCE">
        <w:rPr>
          <w:sz w:val="22"/>
          <w:szCs w:val="22"/>
        </w:rPr>
        <w:t xml:space="preserve"> alapon számítva (320 mg/nap dózist és 60 kg-os beteget feltételezve).</w:t>
      </w:r>
    </w:p>
    <w:p w14:paraId="4977F975" w14:textId="77777777" w:rsidR="00AF2DDF" w:rsidRDefault="00AF2DDF" w:rsidP="00C560EC">
      <w:pPr>
        <w:tabs>
          <w:tab w:val="left" w:pos="567"/>
        </w:tabs>
        <w:rPr>
          <w:sz w:val="22"/>
          <w:szCs w:val="22"/>
        </w:rPr>
      </w:pPr>
    </w:p>
    <w:p w14:paraId="1AA9C836" w14:textId="77777777" w:rsidR="00E0454A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selyemmajmokban hasonló dózisoknál a változások hasonlóak, de súlyosabbak, különösen a vese tekintetében, ahol a változások ne</w:t>
      </w:r>
      <w:r w:rsidR="00AF2DDF">
        <w:rPr>
          <w:sz w:val="22"/>
          <w:szCs w:val="22"/>
        </w:rPr>
        <w:t>ph</w:t>
      </w:r>
      <w:r w:rsidRPr="00345BCE">
        <w:rPr>
          <w:sz w:val="22"/>
          <w:szCs w:val="22"/>
        </w:rPr>
        <w:t>rop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t</w:t>
      </w:r>
      <w:r w:rsidR="00AF2DDF">
        <w:rPr>
          <w:sz w:val="22"/>
          <w:szCs w:val="22"/>
        </w:rPr>
        <w:t>h</w:t>
      </w:r>
      <w:r w:rsidRPr="00345BCE">
        <w:rPr>
          <w:sz w:val="22"/>
          <w:szCs w:val="22"/>
        </w:rPr>
        <w:t>iához vezettek, amely emelkedett urea- és kreatininszinttel járt.</w:t>
      </w:r>
    </w:p>
    <w:p w14:paraId="7E7276C3" w14:textId="77777777" w:rsidR="00921431" w:rsidRPr="00345BCE" w:rsidRDefault="00921431" w:rsidP="00C560EC">
      <w:pPr>
        <w:tabs>
          <w:tab w:val="left" w:pos="567"/>
        </w:tabs>
        <w:rPr>
          <w:sz w:val="22"/>
          <w:szCs w:val="22"/>
        </w:rPr>
      </w:pPr>
    </w:p>
    <w:p w14:paraId="08430B0F" w14:textId="77777777" w:rsidR="00E0454A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juxtaglomerul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sejtek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pertr</w:t>
      </w:r>
      <w:r w:rsidR="00AF2DDF">
        <w:rPr>
          <w:sz w:val="22"/>
          <w:szCs w:val="22"/>
        </w:rPr>
        <w:t>oph</w:t>
      </w:r>
      <w:r w:rsidRPr="00345BCE">
        <w:rPr>
          <w:sz w:val="22"/>
          <w:szCs w:val="22"/>
        </w:rPr>
        <w:t>iáját észlelték mindkét fajnál. Valamennyi változást a valzartán farmak</w:t>
      </w:r>
      <w:r w:rsidR="001E1F27" w:rsidRPr="00345BCE">
        <w:rPr>
          <w:sz w:val="22"/>
          <w:szCs w:val="22"/>
        </w:rPr>
        <w:t>ológiai hatásának tulajdonítottá</w:t>
      </w:r>
      <w:r w:rsidRPr="00345BCE">
        <w:rPr>
          <w:sz w:val="22"/>
          <w:szCs w:val="22"/>
        </w:rPr>
        <w:t>k, amely hosszabb ideig tartó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pot</w:t>
      </w:r>
      <w:r w:rsidR="00AF2DDF">
        <w:rPr>
          <w:sz w:val="22"/>
          <w:szCs w:val="22"/>
        </w:rPr>
        <w:t>o</w:t>
      </w:r>
      <w:r w:rsidRPr="00345BCE">
        <w:rPr>
          <w:sz w:val="22"/>
          <w:szCs w:val="22"/>
        </w:rPr>
        <w:t>niához vezet, különösen a selyemmajmokban. Az emberekben a terápiás dózisok esetében a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juxtaglomerul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sejtek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pertr</w:t>
      </w:r>
      <w:r w:rsidR="00AF2DDF">
        <w:rPr>
          <w:sz w:val="22"/>
          <w:szCs w:val="22"/>
        </w:rPr>
        <w:t>oph</w:t>
      </w:r>
      <w:r w:rsidRPr="00345BCE">
        <w:rPr>
          <w:sz w:val="22"/>
          <w:szCs w:val="22"/>
        </w:rPr>
        <w:t>iájának nincs jelentősége.</w:t>
      </w:r>
    </w:p>
    <w:p w14:paraId="0F0BE77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6BA74E0" w14:textId="77777777" w:rsidR="0031593C" w:rsidRPr="00345BCE" w:rsidRDefault="0031593C" w:rsidP="00C560EC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>Gyermek</w:t>
      </w:r>
      <w:r w:rsidR="0051702A">
        <w:rPr>
          <w:i/>
          <w:color w:val="000000"/>
          <w:sz w:val="22"/>
          <w:szCs w:val="22"/>
          <w:u w:val="single"/>
        </w:rPr>
        <w:t>ek</w:t>
      </w:r>
      <w:r w:rsidR="004B7A11">
        <w:rPr>
          <w:i/>
          <w:color w:val="000000"/>
          <w:sz w:val="22"/>
          <w:szCs w:val="22"/>
          <w:u w:val="single"/>
        </w:rPr>
        <w:t xml:space="preserve"> és serdülők</w:t>
      </w:r>
    </w:p>
    <w:p w14:paraId="4A229043" w14:textId="77777777" w:rsidR="0031593C" w:rsidRPr="00345BCE" w:rsidRDefault="0031593C" w:rsidP="00C560EC">
      <w:pPr>
        <w:autoSpaceDE w:val="0"/>
        <w:autoSpaceDN w:val="0"/>
        <w:adjustRightInd w:val="0"/>
        <w:rPr>
          <w:color w:val="000000"/>
          <w:sz w:val="22"/>
          <w:szCs w:val="22"/>
          <w:lang w:bidi="th-TH"/>
        </w:rPr>
      </w:pPr>
      <w:r w:rsidRPr="00345BCE">
        <w:rPr>
          <w:color w:val="000000"/>
          <w:sz w:val="22"/>
          <w:szCs w:val="22"/>
          <w:lang w:bidi="th-TH"/>
        </w:rPr>
        <w:t xml:space="preserve">Újszülött/juvenilis patkányoknál (a születést követő 7. naptól a születést követő 70. napig) a valzartán alacsony dózisban történő mindennapos </w:t>
      </w:r>
      <w:r w:rsidRPr="00C560EC">
        <w:rPr>
          <w:i/>
          <w:color w:val="000000"/>
          <w:sz w:val="22"/>
          <w:szCs w:val="22"/>
          <w:lang w:bidi="th-TH"/>
        </w:rPr>
        <w:t>per os</w:t>
      </w:r>
      <w:r w:rsidRPr="00345BCE">
        <w:rPr>
          <w:color w:val="000000"/>
          <w:sz w:val="22"/>
          <w:szCs w:val="22"/>
          <w:lang w:bidi="th-TH"/>
        </w:rPr>
        <w:t xml:space="preserve"> adagolása már 1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mg/kg/nap</w:t>
      </w:r>
      <w:r w:rsidRPr="00345BCE">
        <w:rPr>
          <w:color w:val="000000"/>
          <w:sz w:val="22"/>
          <w:szCs w:val="22"/>
          <w:lang w:bidi="th-TH"/>
        </w:rPr>
        <w:noBreakHyphen/>
        <w:t>os adagnál maradandó, irreverzíbilis vesekárosodást idézett elő (ez szisztémás expozíció alapján számítva a maximális javasolt 4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mg/kg/nap</w:t>
      </w:r>
      <w:r w:rsidRPr="00345BCE">
        <w:rPr>
          <w:color w:val="000000"/>
          <w:sz w:val="22"/>
          <w:szCs w:val="22"/>
          <w:lang w:bidi="th-TH"/>
        </w:rPr>
        <w:noBreakHyphen/>
        <w:t>os gyermekgyógyászati adag 10</w:t>
      </w:r>
      <w:r w:rsidRPr="00345BCE">
        <w:rPr>
          <w:color w:val="000000"/>
          <w:sz w:val="22"/>
          <w:szCs w:val="22"/>
          <w:lang w:bidi="th-TH"/>
        </w:rPr>
        <w:noBreakHyphen/>
        <w:t>35%</w:t>
      </w:r>
      <w:r w:rsidRPr="00345BCE">
        <w:rPr>
          <w:color w:val="000000"/>
          <w:sz w:val="22"/>
          <w:szCs w:val="22"/>
          <w:lang w:bidi="th-TH"/>
        </w:rPr>
        <w:noBreakHyphen/>
        <w:t>a). Ezek a fent említett hatások az angiotenzin</w:t>
      </w:r>
      <w:r w:rsidR="00AF2DDF">
        <w:rPr>
          <w:color w:val="000000"/>
          <w:sz w:val="22"/>
          <w:szCs w:val="22"/>
          <w:lang w:bidi="th-TH"/>
        </w:rPr>
        <w:noBreakHyphen/>
      </w:r>
      <w:r w:rsidRPr="00345BCE">
        <w:rPr>
          <w:color w:val="000000"/>
          <w:sz w:val="22"/>
          <w:szCs w:val="22"/>
          <w:lang w:bidi="th-TH"/>
        </w:rPr>
        <w:t>konvertáló</w:t>
      </w:r>
      <w:r w:rsidR="00AF2DDF">
        <w:rPr>
          <w:color w:val="000000"/>
          <w:sz w:val="22"/>
          <w:szCs w:val="22"/>
          <w:lang w:bidi="th-TH"/>
        </w:rPr>
        <w:t xml:space="preserve"> </w:t>
      </w:r>
      <w:r w:rsidRPr="00345BCE">
        <w:rPr>
          <w:color w:val="000000"/>
          <w:sz w:val="22"/>
          <w:szCs w:val="22"/>
          <w:lang w:bidi="th-TH"/>
        </w:rPr>
        <w:t>enziminhibitorok és az 1</w:t>
      </w:r>
      <w:r w:rsidRPr="00345BCE">
        <w:rPr>
          <w:color w:val="000000"/>
          <w:sz w:val="22"/>
          <w:szCs w:val="22"/>
          <w:lang w:bidi="th-TH"/>
        </w:rPr>
        <w:noBreakHyphen/>
        <w:t>es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típusú angiotenzin</w:t>
      </w:r>
      <w:r w:rsidRPr="00345BCE">
        <w:rPr>
          <w:color w:val="000000"/>
          <w:sz w:val="22"/>
          <w:szCs w:val="22"/>
          <w:lang w:bidi="th-TH"/>
        </w:rPr>
        <w:noBreakHyphen/>
        <w:t>II</w:t>
      </w:r>
      <w:r w:rsidR="002B7DB7">
        <w:rPr>
          <w:color w:val="000000"/>
          <w:sz w:val="22"/>
          <w:szCs w:val="22"/>
          <w:lang w:bidi="th-TH"/>
        </w:rPr>
        <w:t>-</w:t>
      </w:r>
      <w:r w:rsidRPr="00345BCE">
        <w:rPr>
          <w:color w:val="000000"/>
          <w:sz w:val="22"/>
          <w:szCs w:val="22"/>
          <w:lang w:bidi="th-TH"/>
        </w:rPr>
        <w:t xml:space="preserve">blokkolók várható, túlzott farmakológiai hatásait reprezentálják. Ilyen hatásokat akkor észleltek, ha patkányokat az életük első 13 napja alatt kezeltek. Ez az időszak embereknél a 36. gesztációs hétnek felel meg, ami esetenként embernél a fogamzást követő 44. hétig is meghosszabbodhat. A juvenilis vizsgálatban résztvevő patkányoknak a 70. napig adagolták a valzartánt, és a renális maturációra gyakorolt hatásokat </w:t>
      </w:r>
      <w:r w:rsidRPr="00345BCE">
        <w:rPr>
          <w:color w:val="000000"/>
          <w:sz w:val="22"/>
          <w:szCs w:val="22"/>
        </w:rPr>
        <w:t>(postnatalis 4</w:t>
      </w:r>
      <w:r w:rsidRPr="00345BCE">
        <w:rPr>
          <w:color w:val="000000"/>
          <w:sz w:val="22"/>
          <w:szCs w:val="22"/>
        </w:rPr>
        <w:noBreakHyphen/>
        <w:t xml:space="preserve">6. hét) nem tudták kizárni. A funkcionális </w:t>
      </w:r>
      <w:r w:rsidRPr="00345BCE">
        <w:rPr>
          <w:color w:val="000000"/>
          <w:sz w:val="22"/>
          <w:szCs w:val="22"/>
          <w:lang w:bidi="th-TH"/>
        </w:rPr>
        <w:t xml:space="preserve">renális maturáció </w:t>
      </w:r>
      <w:r w:rsidRPr="00345BCE">
        <w:rPr>
          <w:color w:val="000000"/>
          <w:sz w:val="22"/>
          <w:szCs w:val="22"/>
        </w:rPr>
        <w:t>embereknél az első életévben zajló folyamat. Következésképpen ennek klinikai jelentősége az 1 éves kor alatti gyermekeknél nem zárható ki, miközben a preklinikai adatok az 1 évnél idősebb gyermekeknél nem jeleznek semmiféle biztonságossági problémát.</w:t>
      </w:r>
    </w:p>
    <w:p w14:paraId="2B0540D8" w14:textId="77777777" w:rsidR="0031593C" w:rsidRPr="00345BCE" w:rsidRDefault="0031593C" w:rsidP="00C560EC">
      <w:pPr>
        <w:rPr>
          <w:sz w:val="22"/>
          <w:szCs w:val="22"/>
        </w:rPr>
      </w:pPr>
    </w:p>
    <w:p w14:paraId="03956488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153E6284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</w:t>
      </w:r>
      <w:r w:rsidRPr="00345BCE">
        <w:rPr>
          <w:b/>
          <w:sz w:val="22"/>
          <w:szCs w:val="22"/>
        </w:rPr>
        <w:tab/>
        <w:t>GYÓGYSZERÉSZETI JELLEMZŐK</w:t>
      </w:r>
    </w:p>
    <w:p w14:paraId="155622C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2480979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6.1</w:t>
      </w:r>
      <w:r w:rsidRPr="00345BCE">
        <w:rPr>
          <w:b/>
          <w:sz w:val="22"/>
          <w:szCs w:val="22"/>
        </w:rPr>
        <w:tab/>
        <w:t>Segédanyagok felsorolása</w:t>
      </w:r>
    </w:p>
    <w:p w14:paraId="744536C7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1E535AD8" w14:textId="77777777" w:rsidR="003856A2" w:rsidRPr="00345BCE" w:rsidRDefault="003856A2" w:rsidP="00C560EC">
      <w:pPr>
        <w:tabs>
          <w:tab w:val="left" w:pos="567"/>
          <w:tab w:val="left" w:pos="708"/>
        </w:tabs>
        <w:ind w:left="567" w:hanging="567"/>
        <w:rPr>
          <w:i/>
          <w:sz w:val="22"/>
          <w:szCs w:val="22"/>
        </w:rPr>
      </w:pPr>
      <w:r w:rsidRPr="00345BCE">
        <w:rPr>
          <w:i/>
          <w:sz w:val="22"/>
          <w:szCs w:val="22"/>
        </w:rPr>
        <w:t>Tablettamag:</w:t>
      </w:r>
    </w:p>
    <w:p w14:paraId="7ED0CF55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="002C0A38" w:rsidRPr="00345BCE">
        <w:rPr>
          <w:sz w:val="22"/>
          <w:szCs w:val="22"/>
        </w:rPr>
        <w:t>ikrokristályos cellulóz</w:t>
      </w:r>
    </w:p>
    <w:p w14:paraId="2BAED8EE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</w:t>
      </w:r>
      <w:r w:rsidR="002C0A38" w:rsidRPr="00345BCE">
        <w:rPr>
          <w:sz w:val="22"/>
          <w:szCs w:val="22"/>
        </w:rPr>
        <w:t>roszpovidon</w:t>
      </w:r>
    </w:p>
    <w:p w14:paraId="6DC4EF69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</w:t>
      </w:r>
      <w:r w:rsidR="002C0A38" w:rsidRPr="00345BCE">
        <w:rPr>
          <w:sz w:val="22"/>
          <w:szCs w:val="22"/>
        </w:rPr>
        <w:t>ízmentes kolloid szilícium-dioxid</w:t>
      </w:r>
    </w:p>
    <w:p w14:paraId="37217DE4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="002C0A38" w:rsidRPr="00345BCE">
        <w:rPr>
          <w:sz w:val="22"/>
          <w:szCs w:val="22"/>
        </w:rPr>
        <w:t>agnézium-sztearát</w:t>
      </w:r>
    </w:p>
    <w:p w14:paraId="1AE7594A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4414DD4E" w14:textId="205BF56C" w:rsidR="006E67EA" w:rsidRPr="002B1977" w:rsidRDefault="00D52104" w:rsidP="006E67EA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r>
        <w:rPr>
          <w:i/>
          <w:sz w:val="22"/>
          <w:szCs w:val="22"/>
        </w:rPr>
        <w:t>Filmbevonat:</w:t>
      </w:r>
    </w:p>
    <w:p w14:paraId="6F7ACE61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Hipromellóz</w:t>
      </w:r>
    </w:p>
    <w:p w14:paraId="554C3F4C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Titán-dioxid (E 171)</w:t>
      </w:r>
    </w:p>
    <w:p w14:paraId="69251B5A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Makrogol 8000</w:t>
      </w:r>
    </w:p>
    <w:p w14:paraId="4F97363E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Vörös vas-oxid (E 172)</w:t>
      </w:r>
    </w:p>
    <w:p w14:paraId="7708CD99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Sárga vas-oxid (E 172)</w:t>
      </w:r>
    </w:p>
    <w:p w14:paraId="27C4680F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Fekete vas-oxid (E 172)</w:t>
      </w:r>
    </w:p>
    <w:p w14:paraId="34D8DC7E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</w:rPr>
      </w:pPr>
    </w:p>
    <w:p w14:paraId="7E8FADD4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6.2</w:t>
      </w:r>
      <w:r w:rsidRPr="00345BCE">
        <w:rPr>
          <w:b/>
          <w:sz w:val="22"/>
          <w:szCs w:val="22"/>
        </w:rPr>
        <w:tab/>
        <w:t>Inkompatibilitások</w:t>
      </w:r>
    </w:p>
    <w:p w14:paraId="690C98F9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3556525" w14:textId="77777777" w:rsidR="000A7E88" w:rsidRPr="00706E72" w:rsidRDefault="000A7E88" w:rsidP="00C560EC">
      <w:pPr>
        <w:tabs>
          <w:tab w:val="left" w:pos="567"/>
        </w:tabs>
        <w:rPr>
          <w:sz w:val="22"/>
          <w:szCs w:val="22"/>
        </w:rPr>
      </w:pPr>
      <w:r w:rsidRPr="00D91645">
        <w:rPr>
          <w:sz w:val="22"/>
          <w:szCs w:val="22"/>
        </w:rPr>
        <w:t xml:space="preserve">Nem </w:t>
      </w:r>
      <w:r w:rsidR="00EE13E2" w:rsidRPr="00706E72">
        <w:rPr>
          <w:sz w:val="22"/>
          <w:szCs w:val="22"/>
        </w:rPr>
        <w:t>értelmezhető</w:t>
      </w:r>
      <w:r w:rsidR="00E848D1" w:rsidRPr="00706E72">
        <w:rPr>
          <w:sz w:val="22"/>
          <w:szCs w:val="22"/>
        </w:rPr>
        <w:t>.</w:t>
      </w:r>
    </w:p>
    <w:p w14:paraId="1E160A5F" w14:textId="77777777" w:rsidR="000A7E88" w:rsidRPr="00706E72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E988E64" w14:textId="77777777" w:rsidR="000A7E88" w:rsidRPr="00D23D88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D23D88">
        <w:rPr>
          <w:b/>
          <w:sz w:val="22"/>
          <w:szCs w:val="22"/>
        </w:rPr>
        <w:t>6.3</w:t>
      </w:r>
      <w:r w:rsidRPr="00D23D88">
        <w:rPr>
          <w:b/>
          <w:sz w:val="22"/>
          <w:szCs w:val="22"/>
        </w:rPr>
        <w:tab/>
        <w:t>Felhasználhatósági időtartam</w:t>
      </w:r>
    </w:p>
    <w:p w14:paraId="4D9B6EC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EF61AC4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3 év</w:t>
      </w:r>
      <w:r w:rsidR="001162F3" w:rsidRPr="00345BCE">
        <w:rPr>
          <w:sz w:val="22"/>
          <w:szCs w:val="22"/>
        </w:rPr>
        <w:t>.</w:t>
      </w:r>
    </w:p>
    <w:p w14:paraId="226DB3D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597E789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6.4</w:t>
      </w:r>
      <w:r w:rsidRPr="00345BCE">
        <w:rPr>
          <w:b/>
          <w:sz w:val="22"/>
          <w:szCs w:val="22"/>
        </w:rPr>
        <w:tab/>
        <w:t>Különleges tárolási előírások</w:t>
      </w:r>
    </w:p>
    <w:p w14:paraId="0F9A5CB9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2FE3D28A" w14:textId="77777777" w:rsidR="00320DE3" w:rsidRPr="00345BCE" w:rsidRDefault="00320DE3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Legfeljebb 30</w:t>
      </w:r>
      <w:r w:rsidR="006E67EA">
        <w:rPr>
          <w:sz w:val="22"/>
          <w:szCs w:val="22"/>
        </w:rPr>
        <w:t> </w:t>
      </w:r>
      <w:r w:rsidRPr="00345BCE">
        <w:rPr>
          <w:sz w:val="22"/>
          <w:szCs w:val="22"/>
        </w:rPr>
        <w:t>°C-on, a nedvességtől való védelem érdekében az eredeti csomagolásban tárolandó.</w:t>
      </w:r>
    </w:p>
    <w:p w14:paraId="5210CDD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9B5F63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6.5</w:t>
      </w:r>
      <w:r w:rsidRPr="00345BCE">
        <w:rPr>
          <w:b/>
          <w:sz w:val="22"/>
          <w:szCs w:val="22"/>
        </w:rPr>
        <w:tab/>
        <w:t xml:space="preserve">Csomagolás típusa és kiszerelése </w:t>
      </w:r>
    </w:p>
    <w:p w14:paraId="04B47E65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5D5AF0EA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PVC/PVDC buborék</w:t>
      </w:r>
      <w:r w:rsidR="00320DE3" w:rsidRPr="00345BCE">
        <w:rPr>
          <w:sz w:val="22"/>
          <w:szCs w:val="22"/>
        </w:rPr>
        <w:t>csomagolás</w:t>
      </w:r>
    </w:p>
    <w:p w14:paraId="04D9196D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PA/AL/PVC buborék</w:t>
      </w:r>
      <w:r w:rsidR="00320DE3" w:rsidRPr="00345BCE">
        <w:rPr>
          <w:sz w:val="22"/>
          <w:szCs w:val="22"/>
        </w:rPr>
        <w:t>csomagolás</w:t>
      </w:r>
    </w:p>
    <w:p w14:paraId="17B12AF7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Minden buborék</w:t>
      </w:r>
      <w:r w:rsidR="00320DE3" w:rsidRPr="00345BCE">
        <w:rPr>
          <w:sz w:val="22"/>
          <w:szCs w:val="22"/>
        </w:rPr>
        <w:t>csomagolás</w:t>
      </w:r>
      <w:r w:rsidRPr="00345BCE">
        <w:rPr>
          <w:sz w:val="22"/>
          <w:szCs w:val="22"/>
        </w:rPr>
        <w:t xml:space="preserve"> hővel lezárt lakkréteggel (vinil/akril) fedett alumínium fóliával van lezárva.</w:t>
      </w:r>
    </w:p>
    <w:p w14:paraId="02C9FA56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</w:p>
    <w:p w14:paraId="199555FD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Kiszerelés: 7, 10, 14, 15, 20, 28, 30, 50, 50x1, 56, 60, 84, 90, 98, 100 vagy 280 filmtabletta dobozonként.</w:t>
      </w:r>
    </w:p>
    <w:p w14:paraId="11108CDA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</w:p>
    <w:p w14:paraId="42F84BAE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Nem feltétlenül mindegyik kiszerelés kerül </w:t>
      </w:r>
      <w:r w:rsidR="00DD3A30" w:rsidRPr="00345BCE">
        <w:rPr>
          <w:sz w:val="22"/>
          <w:szCs w:val="22"/>
        </w:rPr>
        <w:t xml:space="preserve">kereskedelmi </w:t>
      </w:r>
      <w:r w:rsidRPr="00345BCE">
        <w:rPr>
          <w:sz w:val="22"/>
          <w:szCs w:val="22"/>
        </w:rPr>
        <w:t>forgalomba.</w:t>
      </w:r>
    </w:p>
    <w:p w14:paraId="4A7C2CCD" w14:textId="77777777" w:rsidR="00D57B76" w:rsidRPr="00345BCE" w:rsidRDefault="00D57B76" w:rsidP="00C560EC">
      <w:pPr>
        <w:pStyle w:val="WW-NormlWeb"/>
        <w:tabs>
          <w:tab w:val="left" w:pos="567"/>
          <w:tab w:val="left" w:pos="709"/>
        </w:tabs>
        <w:spacing w:before="0" w:after="0"/>
        <w:rPr>
          <w:sz w:val="22"/>
          <w:szCs w:val="22"/>
          <w:u w:val="single"/>
        </w:rPr>
      </w:pPr>
    </w:p>
    <w:p w14:paraId="18CF7F1B" w14:textId="77777777" w:rsidR="0014267D" w:rsidRPr="00345BCE" w:rsidRDefault="0014267D" w:rsidP="00C560EC">
      <w:pPr>
        <w:tabs>
          <w:tab w:val="left" w:pos="567"/>
        </w:tabs>
        <w:suppressAutoHyphens w:val="0"/>
        <w:autoSpaceDE w:val="0"/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6.6</w:t>
      </w:r>
      <w:r w:rsidRPr="00345BCE">
        <w:rPr>
          <w:b/>
          <w:sz w:val="22"/>
          <w:szCs w:val="22"/>
        </w:rPr>
        <w:tab/>
        <w:t xml:space="preserve">A megsemmisítésre vonatkozó különleges óvintézkedések </w:t>
      </w:r>
      <w:r w:rsidR="006E67EA">
        <w:rPr>
          <w:b/>
          <w:sz w:val="22"/>
          <w:szCs w:val="22"/>
        </w:rPr>
        <w:t>és egyéb, a készítmény kezelésével kapcsolatos információk</w:t>
      </w:r>
    </w:p>
    <w:p w14:paraId="6B4BDEFC" w14:textId="77777777" w:rsidR="000A7E88" w:rsidRPr="00345BCE" w:rsidRDefault="000A7E88" w:rsidP="00C560EC">
      <w:pPr>
        <w:tabs>
          <w:tab w:val="left" w:pos="567"/>
        </w:tabs>
        <w:rPr>
          <w:bCs/>
          <w:sz w:val="22"/>
          <w:szCs w:val="22"/>
        </w:rPr>
      </w:pPr>
    </w:p>
    <w:p w14:paraId="58B661E1" w14:textId="77777777" w:rsidR="00E0454A" w:rsidRPr="00345BCE" w:rsidRDefault="00E54373" w:rsidP="00EF51F9">
      <w:pPr>
        <w:rPr>
          <w:sz w:val="22"/>
          <w:szCs w:val="22"/>
        </w:rPr>
      </w:pPr>
      <w:r w:rsidRPr="00EF51F9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E0454A" w:rsidRPr="00345BCE">
        <w:rPr>
          <w:sz w:val="22"/>
          <w:szCs w:val="22"/>
        </w:rPr>
        <w:t>.</w:t>
      </w:r>
    </w:p>
    <w:p w14:paraId="67D5EA26" w14:textId="77777777" w:rsidR="00C71824" w:rsidRPr="00345BCE" w:rsidRDefault="00C71824" w:rsidP="00C560EC">
      <w:pPr>
        <w:tabs>
          <w:tab w:val="left" w:pos="567"/>
        </w:tabs>
        <w:rPr>
          <w:sz w:val="22"/>
          <w:szCs w:val="22"/>
        </w:rPr>
      </w:pPr>
    </w:p>
    <w:p w14:paraId="1484A5D9" w14:textId="77777777" w:rsidR="00320DE3" w:rsidRPr="00345BCE" w:rsidRDefault="00320DE3" w:rsidP="00C560EC">
      <w:pPr>
        <w:pStyle w:val="Szvegtrzs"/>
        <w:spacing w:after="0"/>
        <w:rPr>
          <w:sz w:val="22"/>
          <w:szCs w:val="22"/>
        </w:rPr>
      </w:pPr>
      <w:r w:rsidRPr="00345BCE">
        <w:rPr>
          <w:b/>
          <w:sz w:val="22"/>
          <w:szCs w:val="22"/>
        </w:rPr>
        <w:t>Megjegyzés:</w:t>
      </w:r>
      <w:r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sym w:font="Zapf Dingbats" w:char="F058"/>
      </w:r>
      <w:r w:rsidRPr="00345BCE">
        <w:rPr>
          <w:sz w:val="22"/>
          <w:szCs w:val="22"/>
        </w:rPr>
        <w:t xml:space="preserve"> (egy keresztes) </w:t>
      </w:r>
    </w:p>
    <w:p w14:paraId="3FDB3AD7" w14:textId="77777777" w:rsidR="00320DE3" w:rsidRPr="00345BCE" w:rsidRDefault="00320DE3" w:rsidP="00C560EC">
      <w:pPr>
        <w:pStyle w:val="Szvegtrzs"/>
        <w:spacing w:after="0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Osztályozás: II csoport</w:t>
      </w:r>
    </w:p>
    <w:p w14:paraId="586D2F1C" w14:textId="77777777" w:rsidR="00320DE3" w:rsidRPr="00345BCE" w:rsidRDefault="00320DE3" w:rsidP="00C560EC">
      <w:pPr>
        <w:pStyle w:val="Szvegtrzs"/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>Kizárólag orvosi rendelvényhez kötött gyógyszer (V).</w:t>
      </w:r>
    </w:p>
    <w:p w14:paraId="6FB51950" w14:textId="77777777" w:rsidR="003B562B" w:rsidRPr="00345BCE" w:rsidRDefault="003B562B" w:rsidP="00C560EC">
      <w:pPr>
        <w:pStyle w:val="WW-BodyText2"/>
        <w:tabs>
          <w:tab w:val="left" w:pos="567"/>
        </w:tabs>
      </w:pPr>
    </w:p>
    <w:p w14:paraId="11991198" w14:textId="77777777" w:rsidR="00320DE3" w:rsidRPr="00345BCE" w:rsidRDefault="00320DE3" w:rsidP="00C560EC">
      <w:pPr>
        <w:pStyle w:val="WW-BodyText2"/>
        <w:tabs>
          <w:tab w:val="left" w:pos="567"/>
        </w:tabs>
      </w:pPr>
    </w:p>
    <w:p w14:paraId="3844ADB1" w14:textId="77777777" w:rsidR="000A7E88" w:rsidRPr="00345BCE" w:rsidRDefault="000A7E88" w:rsidP="00C560EC">
      <w:pPr>
        <w:pStyle w:val="WW-BodyText2"/>
        <w:tabs>
          <w:tab w:val="left" w:pos="567"/>
        </w:tabs>
        <w:rPr>
          <w:b/>
        </w:rPr>
      </w:pPr>
      <w:r w:rsidRPr="00345BCE">
        <w:rPr>
          <w:b/>
        </w:rPr>
        <w:t>7.</w:t>
      </w:r>
      <w:r w:rsidRPr="00345BCE">
        <w:rPr>
          <w:b/>
        </w:rPr>
        <w:tab/>
        <w:t>A FORGALOMBA HOZATALI ENGEDÉLY JOGOSULTJA</w:t>
      </w:r>
    </w:p>
    <w:p w14:paraId="3DC81EF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159B8E3" w14:textId="77777777" w:rsidR="00320DE3" w:rsidRPr="006E67EA" w:rsidRDefault="00320DE3" w:rsidP="00C560EC">
      <w:pPr>
        <w:pStyle w:val="Cmsor1"/>
        <w:rPr>
          <w:i w:val="0"/>
          <w:sz w:val="22"/>
          <w:szCs w:val="22"/>
        </w:rPr>
      </w:pPr>
      <w:r w:rsidRPr="006E67EA">
        <w:rPr>
          <w:i w:val="0"/>
          <w:sz w:val="22"/>
          <w:szCs w:val="22"/>
        </w:rPr>
        <w:t xml:space="preserve">Sandoz Hungária Kft. </w:t>
      </w:r>
    </w:p>
    <w:p w14:paraId="2A16A24D" w14:textId="77777777" w:rsidR="00320DE3" w:rsidRPr="006E67EA" w:rsidRDefault="00320DE3" w:rsidP="00C560EC">
      <w:pPr>
        <w:pStyle w:val="Cmsor1"/>
        <w:rPr>
          <w:i w:val="0"/>
          <w:sz w:val="22"/>
          <w:szCs w:val="22"/>
        </w:rPr>
      </w:pPr>
      <w:r w:rsidRPr="006E67EA">
        <w:rPr>
          <w:i w:val="0"/>
          <w:sz w:val="22"/>
          <w:szCs w:val="22"/>
        </w:rPr>
        <w:t>1114 Budapest, Bartók Béla út 43.-47.</w:t>
      </w:r>
    </w:p>
    <w:p w14:paraId="415D228A" w14:textId="77777777" w:rsidR="006E67EA" w:rsidRPr="006E67EA" w:rsidRDefault="006E67EA" w:rsidP="00DE08A1">
      <w:pPr>
        <w:rPr>
          <w:sz w:val="22"/>
          <w:szCs w:val="22"/>
        </w:rPr>
      </w:pPr>
      <w:r w:rsidRPr="00DE08A1">
        <w:rPr>
          <w:sz w:val="22"/>
          <w:szCs w:val="22"/>
        </w:rPr>
        <w:t>Magyarország</w:t>
      </w:r>
    </w:p>
    <w:p w14:paraId="2D02D54F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0BE14FC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7737E6DA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8.</w:t>
      </w:r>
      <w:r w:rsidRPr="00345BCE">
        <w:rPr>
          <w:b/>
          <w:sz w:val="22"/>
          <w:szCs w:val="22"/>
        </w:rPr>
        <w:tab/>
        <w:t>A FORGALOMBA HOZATALI ENGEDÉLY SZÁMA</w:t>
      </w:r>
      <w:r w:rsidR="003B562B" w:rsidRPr="00345BCE">
        <w:rPr>
          <w:b/>
          <w:sz w:val="22"/>
          <w:szCs w:val="22"/>
        </w:rPr>
        <w:t>I</w:t>
      </w:r>
    </w:p>
    <w:p w14:paraId="36A03B32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5D07927B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</w:t>
      </w:r>
      <w:r w:rsidRPr="00345BCE">
        <w:rPr>
          <w:sz w:val="22"/>
          <w:szCs w:val="22"/>
        </w:rPr>
        <w:t>6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PVC/PVDC//Al buborékcsomagolásban</w:t>
      </w:r>
    </w:p>
    <w:p w14:paraId="068B69D4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>OGYI-T-21402/47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PA/Al/PVC//Al buborékcsomagolásban</w:t>
      </w:r>
    </w:p>
    <w:p w14:paraId="2D67A822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>OGYI-T-21402/48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PVC/PVDC//Al buborékcsomagolásban</w:t>
      </w:r>
    </w:p>
    <w:p w14:paraId="7CA9EA14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49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PA/Al/PVC//Al buborékcsomagolásban</w:t>
      </w:r>
    </w:p>
    <w:p w14:paraId="1D85F748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50</w:t>
      </w:r>
      <w:r>
        <w:rPr>
          <w:sz w:val="22"/>
          <w:szCs w:val="22"/>
        </w:rPr>
        <w:tab/>
        <w:t>84×</w:t>
      </w:r>
      <w:r>
        <w:rPr>
          <w:sz w:val="22"/>
          <w:szCs w:val="22"/>
        </w:rPr>
        <w:tab/>
        <w:t>PVC/PVDC//Al buborékcsomagolásban</w:t>
      </w:r>
    </w:p>
    <w:p w14:paraId="376C3BEE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51</w:t>
      </w:r>
      <w:r>
        <w:rPr>
          <w:sz w:val="22"/>
          <w:szCs w:val="22"/>
        </w:rPr>
        <w:tab/>
        <w:t>84</w:t>
      </w:r>
      <w:r>
        <w:rPr>
          <w:sz w:val="22"/>
          <w:szCs w:val="22"/>
        </w:rPr>
        <w:tab/>
        <w:t>PA/Al/PVC//Al buborékcsomagolásban</w:t>
      </w:r>
    </w:p>
    <w:p w14:paraId="4E43EAD5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52</w:t>
      </w:r>
      <w:r>
        <w:rPr>
          <w:sz w:val="22"/>
          <w:szCs w:val="22"/>
        </w:rPr>
        <w:tab/>
        <w:t>98×</w:t>
      </w:r>
      <w:r>
        <w:rPr>
          <w:sz w:val="22"/>
          <w:szCs w:val="22"/>
        </w:rPr>
        <w:tab/>
        <w:t>PVC/PVDC//Al buborékcsomagolásban</w:t>
      </w:r>
    </w:p>
    <w:p w14:paraId="1E94D143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53</w:t>
      </w:r>
      <w:r>
        <w:rPr>
          <w:sz w:val="22"/>
          <w:szCs w:val="22"/>
        </w:rPr>
        <w:tab/>
        <w:t>98×</w:t>
      </w:r>
      <w:r>
        <w:rPr>
          <w:sz w:val="22"/>
          <w:szCs w:val="22"/>
        </w:rPr>
        <w:tab/>
        <w:t>PA/Al/PVC//Al buborékcsomagolásban</w:t>
      </w:r>
    </w:p>
    <w:p w14:paraId="4E2CAFAF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54</w:t>
      </w:r>
      <w:r>
        <w:rPr>
          <w:sz w:val="22"/>
          <w:szCs w:val="22"/>
        </w:rPr>
        <w:tab/>
        <w:t>100×</w:t>
      </w:r>
      <w:r>
        <w:rPr>
          <w:sz w:val="22"/>
          <w:szCs w:val="22"/>
        </w:rPr>
        <w:tab/>
        <w:t>PVC/PVDC//Al buborékcsomagolásban</w:t>
      </w:r>
    </w:p>
    <w:p w14:paraId="235CBD32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55</w:t>
      </w:r>
      <w:r>
        <w:rPr>
          <w:sz w:val="22"/>
          <w:szCs w:val="22"/>
        </w:rPr>
        <w:tab/>
        <w:t>100×</w:t>
      </w:r>
      <w:r>
        <w:rPr>
          <w:sz w:val="22"/>
          <w:szCs w:val="22"/>
        </w:rPr>
        <w:tab/>
        <w:t>PA/Al/PVC//Al buborékcsomagolásban</w:t>
      </w:r>
    </w:p>
    <w:p w14:paraId="37D2DADE" w14:textId="77777777" w:rsidR="009404F9" w:rsidRPr="00D91645" w:rsidRDefault="009404F9" w:rsidP="00C560EC">
      <w:pPr>
        <w:tabs>
          <w:tab w:val="left" w:pos="567"/>
        </w:tabs>
        <w:rPr>
          <w:sz w:val="22"/>
          <w:szCs w:val="22"/>
        </w:rPr>
      </w:pPr>
    </w:p>
    <w:p w14:paraId="2F2336DD" w14:textId="77777777" w:rsidR="000A7E88" w:rsidRPr="00706E72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74FC894F" w14:textId="77777777" w:rsidR="000A7E88" w:rsidRPr="00D23D88" w:rsidRDefault="000A7E88" w:rsidP="00C560EC">
      <w:pPr>
        <w:tabs>
          <w:tab w:val="left" w:pos="567"/>
          <w:tab w:val="left" w:pos="708"/>
        </w:tabs>
        <w:ind w:left="567" w:hanging="567"/>
        <w:rPr>
          <w:b/>
          <w:bCs/>
          <w:sz w:val="22"/>
          <w:szCs w:val="22"/>
        </w:rPr>
      </w:pPr>
      <w:r w:rsidRPr="00D23D88">
        <w:rPr>
          <w:b/>
          <w:bCs/>
          <w:sz w:val="22"/>
          <w:szCs w:val="22"/>
        </w:rPr>
        <w:t>9.</w:t>
      </w:r>
      <w:r w:rsidRPr="00D23D88"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172C916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23D350C6" w14:textId="77777777" w:rsidR="001D1D3E" w:rsidRPr="005D1A01" w:rsidRDefault="00CD2C02" w:rsidP="00C560EC">
      <w:pPr>
        <w:tabs>
          <w:tab w:val="left" w:pos="567"/>
        </w:tabs>
        <w:rPr>
          <w:sz w:val="22"/>
          <w:szCs w:val="22"/>
        </w:rPr>
      </w:pPr>
      <w:r w:rsidRPr="00DE08A1">
        <w:rPr>
          <w:rFonts w:eastAsia="Times New Roman"/>
          <w:noProof/>
          <w:sz w:val="22"/>
          <w:szCs w:val="22"/>
          <w:lang w:eastAsia="en-US"/>
        </w:rPr>
        <w:t>A forgalomba hozatali engedély első kiadásának dátuma</w:t>
      </w:r>
      <w:r w:rsidRPr="005D1A01">
        <w:rPr>
          <w:sz w:val="22"/>
          <w:szCs w:val="22"/>
        </w:rPr>
        <w:t xml:space="preserve">: </w:t>
      </w:r>
      <w:r w:rsidR="00356979" w:rsidRPr="005D1A01">
        <w:rPr>
          <w:sz w:val="22"/>
          <w:szCs w:val="22"/>
        </w:rPr>
        <w:t>2010. augusztus 12.</w:t>
      </w:r>
    </w:p>
    <w:p w14:paraId="7CCE776B" w14:textId="77777777" w:rsidR="00923104" w:rsidRPr="00B808C5" w:rsidRDefault="00923104" w:rsidP="00C560EC">
      <w:pPr>
        <w:tabs>
          <w:tab w:val="left" w:pos="567"/>
        </w:tabs>
        <w:rPr>
          <w:sz w:val="22"/>
          <w:szCs w:val="22"/>
        </w:rPr>
      </w:pPr>
    </w:p>
    <w:p w14:paraId="17C84C9E" w14:textId="77777777" w:rsidR="00356979" w:rsidRDefault="00E91EF1" w:rsidP="00C560EC">
      <w:pPr>
        <w:tabs>
          <w:tab w:val="left" w:pos="567"/>
        </w:tabs>
        <w:rPr>
          <w:sz w:val="22"/>
          <w:szCs w:val="22"/>
        </w:rPr>
      </w:pPr>
      <w:r w:rsidRPr="00E91EF1">
        <w:rPr>
          <w:sz w:val="22"/>
          <w:szCs w:val="22"/>
        </w:rPr>
        <w:t>A forgalomba hozatali engedély legutóbbi megújításának dátuma: 201</w:t>
      </w:r>
      <w:r w:rsidR="00923104">
        <w:rPr>
          <w:sz w:val="22"/>
          <w:szCs w:val="22"/>
        </w:rPr>
        <w:t>7</w:t>
      </w:r>
      <w:r w:rsidR="00B0458C">
        <w:rPr>
          <w:sz w:val="22"/>
          <w:szCs w:val="22"/>
        </w:rPr>
        <w:t>.</w:t>
      </w:r>
      <w:r w:rsidR="00923104">
        <w:rPr>
          <w:sz w:val="22"/>
          <w:szCs w:val="22"/>
        </w:rPr>
        <w:t xml:space="preserve"> </w:t>
      </w:r>
      <w:r w:rsidR="009E77DA">
        <w:rPr>
          <w:sz w:val="22"/>
          <w:szCs w:val="22"/>
        </w:rPr>
        <w:t>január 10.</w:t>
      </w:r>
    </w:p>
    <w:p w14:paraId="7A300FE7" w14:textId="77777777" w:rsidR="00923104" w:rsidRPr="00F10AEE" w:rsidRDefault="00923104" w:rsidP="00C560EC">
      <w:pPr>
        <w:tabs>
          <w:tab w:val="left" w:pos="567"/>
        </w:tabs>
        <w:rPr>
          <w:sz w:val="22"/>
          <w:szCs w:val="22"/>
        </w:rPr>
      </w:pPr>
    </w:p>
    <w:p w14:paraId="20DF0E33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283088F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10.</w:t>
      </w:r>
      <w:r w:rsidRPr="00345BCE">
        <w:rPr>
          <w:b/>
          <w:sz w:val="22"/>
          <w:szCs w:val="22"/>
        </w:rPr>
        <w:tab/>
        <w:t>A SZÖVEG ELLENŐRZÉSÉNEK DÁTUMA</w:t>
      </w:r>
    </w:p>
    <w:p w14:paraId="6903BF7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FD5914C" w14:textId="550737F0" w:rsidR="000A7E88" w:rsidRPr="00D91645" w:rsidRDefault="006F3378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D52104">
        <w:rPr>
          <w:sz w:val="22"/>
          <w:szCs w:val="22"/>
        </w:rPr>
        <w:t>július 29.</w:t>
      </w:r>
    </w:p>
    <w:sectPr w:rsidR="000A7E88" w:rsidRPr="00D91645" w:rsidSect="00DE08A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8D1098C" w16cid:durableId="18D1098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4CCA2" w14:textId="77777777" w:rsidR="00087019" w:rsidRDefault="00087019">
      <w:r>
        <w:separator/>
      </w:r>
    </w:p>
  </w:endnote>
  <w:endnote w:type="continuationSeparator" w:id="0">
    <w:p w14:paraId="5EAEC5A7" w14:textId="77777777" w:rsidR="00087019" w:rsidRDefault="0008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3EB0E" w14:textId="77777777" w:rsidR="00087019" w:rsidRDefault="00087019" w:rsidP="00174AC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15D44F6" w14:textId="77777777" w:rsidR="00087019" w:rsidRDefault="00087019" w:rsidP="00174AC1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349F1" w14:textId="77777777" w:rsidR="00087019" w:rsidRPr="00CA0EC7" w:rsidRDefault="00087019" w:rsidP="00174AC1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9509" w14:textId="174F19A1" w:rsidR="00087019" w:rsidRPr="0072754E" w:rsidRDefault="00087019" w:rsidP="00DE08A1">
    <w:pPr>
      <w:pStyle w:val="llb"/>
      <w:rPr>
        <w:sz w:val="18"/>
        <w:szCs w:val="18"/>
      </w:rPr>
    </w:pPr>
    <w:r>
      <w:rPr>
        <w:sz w:val="18"/>
        <w:szCs w:val="18"/>
      </w:rPr>
      <w:t>NNGYK/ETGY/17207/2026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4D706" w14:textId="77777777" w:rsidR="00087019" w:rsidRDefault="00087019">
      <w:r>
        <w:separator/>
      </w:r>
    </w:p>
  </w:footnote>
  <w:footnote w:type="continuationSeparator" w:id="0">
    <w:p w14:paraId="4F917247" w14:textId="77777777" w:rsidR="00087019" w:rsidRDefault="0008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5C5A9" w14:textId="77777777" w:rsidR="00087019" w:rsidRDefault="00087019" w:rsidP="003D2D6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2CCC51" w14:textId="77777777" w:rsidR="00087019" w:rsidRDefault="0008701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F96D" w14:textId="353B3D90" w:rsidR="00087019" w:rsidRPr="00EA240F" w:rsidRDefault="00087019" w:rsidP="00F419A8">
    <w:pPr>
      <w:pStyle w:val="lfej"/>
      <w:jc w:val="center"/>
      <w:rPr>
        <w:sz w:val="18"/>
        <w:szCs w:val="18"/>
      </w:rPr>
    </w:pPr>
    <w:r w:rsidRPr="00C560EC">
      <w:rPr>
        <w:sz w:val="18"/>
        <w:szCs w:val="18"/>
      </w:rPr>
      <w:fldChar w:fldCharType="begin"/>
    </w:r>
    <w:r w:rsidRPr="00C560EC">
      <w:rPr>
        <w:sz w:val="18"/>
        <w:szCs w:val="18"/>
      </w:rPr>
      <w:instrText xml:space="preserve"> PAGE   \* MERGEFORMAT </w:instrText>
    </w:r>
    <w:r w:rsidRPr="00C560EC">
      <w:rPr>
        <w:sz w:val="18"/>
        <w:szCs w:val="18"/>
      </w:rPr>
      <w:fldChar w:fldCharType="separate"/>
    </w:r>
    <w:r w:rsidR="00694832">
      <w:rPr>
        <w:noProof/>
        <w:sz w:val="18"/>
        <w:szCs w:val="18"/>
      </w:rPr>
      <w:t>15</w:t>
    </w:r>
    <w:r w:rsidRPr="00C560EC">
      <w:rPr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14C16029"/>
    <w:multiLevelType w:val="hybridMultilevel"/>
    <w:tmpl w:val="B748CDE4"/>
    <w:lvl w:ilvl="0" w:tplc="2DD80EDA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5081339"/>
    <w:multiLevelType w:val="hybridMultilevel"/>
    <w:tmpl w:val="37DA05B6"/>
    <w:lvl w:ilvl="0" w:tplc="C8B0A402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4C5465B"/>
    <w:multiLevelType w:val="multilevel"/>
    <w:tmpl w:val="37DA05B6"/>
    <w:lvl w:ilvl="0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384B5E3A"/>
    <w:multiLevelType w:val="hybridMultilevel"/>
    <w:tmpl w:val="39C0D252"/>
    <w:lvl w:ilvl="0" w:tplc="9B30F854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634E9F"/>
    <w:multiLevelType w:val="hybridMultilevel"/>
    <w:tmpl w:val="CC046DAA"/>
    <w:lvl w:ilvl="0" w:tplc="1E1A44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u w:val="none" w:color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109F4"/>
    <w:multiLevelType w:val="hybridMultilevel"/>
    <w:tmpl w:val="225A208A"/>
    <w:lvl w:ilvl="0" w:tplc="1212C3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6A034693"/>
    <w:multiLevelType w:val="hybridMultilevel"/>
    <w:tmpl w:val="549C6D34"/>
    <w:lvl w:ilvl="0" w:tplc="90323B32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Lucida Sans Unicode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B1"/>
    <w:rsid w:val="00001928"/>
    <w:rsid w:val="00001DCA"/>
    <w:rsid w:val="000024D1"/>
    <w:rsid w:val="00005310"/>
    <w:rsid w:val="00006B58"/>
    <w:rsid w:val="000076C8"/>
    <w:rsid w:val="000122BA"/>
    <w:rsid w:val="000134A0"/>
    <w:rsid w:val="00015734"/>
    <w:rsid w:val="0002189C"/>
    <w:rsid w:val="00023DF9"/>
    <w:rsid w:val="000245A2"/>
    <w:rsid w:val="00025355"/>
    <w:rsid w:val="00026600"/>
    <w:rsid w:val="00026BDC"/>
    <w:rsid w:val="00031FBD"/>
    <w:rsid w:val="00032186"/>
    <w:rsid w:val="000334F5"/>
    <w:rsid w:val="00037457"/>
    <w:rsid w:val="0004249B"/>
    <w:rsid w:val="00047C65"/>
    <w:rsid w:val="0005777E"/>
    <w:rsid w:val="0006166A"/>
    <w:rsid w:val="00062914"/>
    <w:rsid w:val="00071226"/>
    <w:rsid w:val="000720D3"/>
    <w:rsid w:val="0007553A"/>
    <w:rsid w:val="0007796D"/>
    <w:rsid w:val="0008000D"/>
    <w:rsid w:val="00080734"/>
    <w:rsid w:val="00081DAC"/>
    <w:rsid w:val="000822DD"/>
    <w:rsid w:val="00083347"/>
    <w:rsid w:val="00087019"/>
    <w:rsid w:val="00090B17"/>
    <w:rsid w:val="000A5BD1"/>
    <w:rsid w:val="000A7E88"/>
    <w:rsid w:val="000B0D21"/>
    <w:rsid w:val="000B0F2A"/>
    <w:rsid w:val="000B3290"/>
    <w:rsid w:val="000B46FF"/>
    <w:rsid w:val="000B4E0A"/>
    <w:rsid w:val="000B5411"/>
    <w:rsid w:val="000B5494"/>
    <w:rsid w:val="000C6C9B"/>
    <w:rsid w:val="000C7C51"/>
    <w:rsid w:val="000D1A59"/>
    <w:rsid w:val="000D294B"/>
    <w:rsid w:val="000E06B3"/>
    <w:rsid w:val="000E19C2"/>
    <w:rsid w:val="000E1F67"/>
    <w:rsid w:val="000F1BA5"/>
    <w:rsid w:val="000F3736"/>
    <w:rsid w:val="000F48FB"/>
    <w:rsid w:val="00102A9E"/>
    <w:rsid w:val="0010413C"/>
    <w:rsid w:val="0010551A"/>
    <w:rsid w:val="001131B3"/>
    <w:rsid w:val="00114567"/>
    <w:rsid w:val="001162F3"/>
    <w:rsid w:val="00116CBC"/>
    <w:rsid w:val="001218F4"/>
    <w:rsid w:val="00127A61"/>
    <w:rsid w:val="00127BBF"/>
    <w:rsid w:val="001334CE"/>
    <w:rsid w:val="00136924"/>
    <w:rsid w:val="0014267D"/>
    <w:rsid w:val="0014272B"/>
    <w:rsid w:val="00145C99"/>
    <w:rsid w:val="00151ED1"/>
    <w:rsid w:val="0015303D"/>
    <w:rsid w:val="0015432A"/>
    <w:rsid w:val="0015683C"/>
    <w:rsid w:val="00161A6B"/>
    <w:rsid w:val="001627F8"/>
    <w:rsid w:val="00163E70"/>
    <w:rsid w:val="001720A5"/>
    <w:rsid w:val="00174AC1"/>
    <w:rsid w:val="00174F3C"/>
    <w:rsid w:val="0018090A"/>
    <w:rsid w:val="001902F4"/>
    <w:rsid w:val="001918C6"/>
    <w:rsid w:val="001A4B6D"/>
    <w:rsid w:val="001A5BA3"/>
    <w:rsid w:val="001B08D1"/>
    <w:rsid w:val="001B143F"/>
    <w:rsid w:val="001B620C"/>
    <w:rsid w:val="001B662C"/>
    <w:rsid w:val="001C285A"/>
    <w:rsid w:val="001C2BD7"/>
    <w:rsid w:val="001D1D3E"/>
    <w:rsid w:val="001D32E4"/>
    <w:rsid w:val="001D7712"/>
    <w:rsid w:val="001E1F27"/>
    <w:rsid w:val="001E68DE"/>
    <w:rsid w:val="001F0171"/>
    <w:rsid w:val="001F1F6D"/>
    <w:rsid w:val="001F39B9"/>
    <w:rsid w:val="001F3DEB"/>
    <w:rsid w:val="001F6620"/>
    <w:rsid w:val="00205138"/>
    <w:rsid w:val="00206B9F"/>
    <w:rsid w:val="0020736C"/>
    <w:rsid w:val="00217D3B"/>
    <w:rsid w:val="002227D3"/>
    <w:rsid w:val="00225903"/>
    <w:rsid w:val="00225992"/>
    <w:rsid w:val="00230A70"/>
    <w:rsid w:val="00230BEB"/>
    <w:rsid w:val="002321C3"/>
    <w:rsid w:val="002328C2"/>
    <w:rsid w:val="00240CB9"/>
    <w:rsid w:val="002433A3"/>
    <w:rsid w:val="00243556"/>
    <w:rsid w:val="0024553B"/>
    <w:rsid w:val="00256F57"/>
    <w:rsid w:val="0025785A"/>
    <w:rsid w:val="00270DDA"/>
    <w:rsid w:val="00275948"/>
    <w:rsid w:val="002762F5"/>
    <w:rsid w:val="00280771"/>
    <w:rsid w:val="00280F36"/>
    <w:rsid w:val="00283AC5"/>
    <w:rsid w:val="00286111"/>
    <w:rsid w:val="002907FC"/>
    <w:rsid w:val="00291880"/>
    <w:rsid w:val="00294B67"/>
    <w:rsid w:val="002964C0"/>
    <w:rsid w:val="0029763B"/>
    <w:rsid w:val="002A1A0A"/>
    <w:rsid w:val="002A50E6"/>
    <w:rsid w:val="002B0D7D"/>
    <w:rsid w:val="002B0F9D"/>
    <w:rsid w:val="002B5336"/>
    <w:rsid w:val="002B7C69"/>
    <w:rsid w:val="002B7D5C"/>
    <w:rsid w:val="002B7DB7"/>
    <w:rsid w:val="002C0A38"/>
    <w:rsid w:val="002C40A2"/>
    <w:rsid w:val="002C518D"/>
    <w:rsid w:val="002C5D5F"/>
    <w:rsid w:val="002C7571"/>
    <w:rsid w:val="002E2173"/>
    <w:rsid w:val="002F21E3"/>
    <w:rsid w:val="002F38B7"/>
    <w:rsid w:val="002F5BD2"/>
    <w:rsid w:val="002F7971"/>
    <w:rsid w:val="002F7E88"/>
    <w:rsid w:val="00304828"/>
    <w:rsid w:val="0031228F"/>
    <w:rsid w:val="00314ED8"/>
    <w:rsid w:val="0031593C"/>
    <w:rsid w:val="00320DE3"/>
    <w:rsid w:val="00320E0E"/>
    <w:rsid w:val="003230C2"/>
    <w:rsid w:val="00331013"/>
    <w:rsid w:val="00337BAA"/>
    <w:rsid w:val="003416C4"/>
    <w:rsid w:val="00342164"/>
    <w:rsid w:val="00345BCE"/>
    <w:rsid w:val="00346645"/>
    <w:rsid w:val="00347F79"/>
    <w:rsid w:val="00353FF9"/>
    <w:rsid w:val="00354600"/>
    <w:rsid w:val="00355A5E"/>
    <w:rsid w:val="00356979"/>
    <w:rsid w:val="003572B6"/>
    <w:rsid w:val="0035770F"/>
    <w:rsid w:val="00357CC2"/>
    <w:rsid w:val="00357DAE"/>
    <w:rsid w:val="00361F03"/>
    <w:rsid w:val="00363528"/>
    <w:rsid w:val="0036615E"/>
    <w:rsid w:val="003759FB"/>
    <w:rsid w:val="0038161D"/>
    <w:rsid w:val="003848D6"/>
    <w:rsid w:val="003856A2"/>
    <w:rsid w:val="003879DD"/>
    <w:rsid w:val="00392658"/>
    <w:rsid w:val="00393667"/>
    <w:rsid w:val="00394363"/>
    <w:rsid w:val="00394882"/>
    <w:rsid w:val="00394B79"/>
    <w:rsid w:val="00396E39"/>
    <w:rsid w:val="003A1345"/>
    <w:rsid w:val="003A3A58"/>
    <w:rsid w:val="003A3B91"/>
    <w:rsid w:val="003A5F35"/>
    <w:rsid w:val="003B293D"/>
    <w:rsid w:val="003B562B"/>
    <w:rsid w:val="003B74CE"/>
    <w:rsid w:val="003C0146"/>
    <w:rsid w:val="003C16DA"/>
    <w:rsid w:val="003D2D6C"/>
    <w:rsid w:val="003E0BE4"/>
    <w:rsid w:val="003E13B9"/>
    <w:rsid w:val="003E3751"/>
    <w:rsid w:val="003E659B"/>
    <w:rsid w:val="003F18BA"/>
    <w:rsid w:val="003F1A0A"/>
    <w:rsid w:val="003F66A1"/>
    <w:rsid w:val="00402EC9"/>
    <w:rsid w:val="004034A8"/>
    <w:rsid w:val="0040428E"/>
    <w:rsid w:val="00404DC8"/>
    <w:rsid w:val="004052A0"/>
    <w:rsid w:val="00411310"/>
    <w:rsid w:val="00414C40"/>
    <w:rsid w:val="00424265"/>
    <w:rsid w:val="00431A09"/>
    <w:rsid w:val="004323DF"/>
    <w:rsid w:val="00433077"/>
    <w:rsid w:val="00433886"/>
    <w:rsid w:val="00441150"/>
    <w:rsid w:val="0044317B"/>
    <w:rsid w:val="004438EE"/>
    <w:rsid w:val="00443C9A"/>
    <w:rsid w:val="00444AB2"/>
    <w:rsid w:val="00444AF6"/>
    <w:rsid w:val="0045012F"/>
    <w:rsid w:val="00450388"/>
    <w:rsid w:val="00450DDB"/>
    <w:rsid w:val="00452038"/>
    <w:rsid w:val="004567AE"/>
    <w:rsid w:val="00463673"/>
    <w:rsid w:val="004650A7"/>
    <w:rsid w:val="00465A4C"/>
    <w:rsid w:val="00467B19"/>
    <w:rsid w:val="00470A41"/>
    <w:rsid w:val="00477037"/>
    <w:rsid w:val="00477934"/>
    <w:rsid w:val="00483A53"/>
    <w:rsid w:val="00485477"/>
    <w:rsid w:val="004859F1"/>
    <w:rsid w:val="00491DD8"/>
    <w:rsid w:val="004930E0"/>
    <w:rsid w:val="00493941"/>
    <w:rsid w:val="004972CE"/>
    <w:rsid w:val="004A25AD"/>
    <w:rsid w:val="004A2654"/>
    <w:rsid w:val="004A5EC2"/>
    <w:rsid w:val="004A6AAD"/>
    <w:rsid w:val="004B2775"/>
    <w:rsid w:val="004B4002"/>
    <w:rsid w:val="004B4318"/>
    <w:rsid w:val="004B4B42"/>
    <w:rsid w:val="004B7A11"/>
    <w:rsid w:val="004B7D6A"/>
    <w:rsid w:val="004C3409"/>
    <w:rsid w:val="004C76FE"/>
    <w:rsid w:val="004D0000"/>
    <w:rsid w:val="004D0474"/>
    <w:rsid w:val="004D193E"/>
    <w:rsid w:val="004D675D"/>
    <w:rsid w:val="004D6CCA"/>
    <w:rsid w:val="004D7996"/>
    <w:rsid w:val="004E703F"/>
    <w:rsid w:val="004F1486"/>
    <w:rsid w:val="004F268B"/>
    <w:rsid w:val="004F3845"/>
    <w:rsid w:val="004F4186"/>
    <w:rsid w:val="004F5E0D"/>
    <w:rsid w:val="00501CAF"/>
    <w:rsid w:val="00502D9F"/>
    <w:rsid w:val="00507BE8"/>
    <w:rsid w:val="00507D16"/>
    <w:rsid w:val="005100C1"/>
    <w:rsid w:val="00513BDA"/>
    <w:rsid w:val="00515C62"/>
    <w:rsid w:val="00515F77"/>
    <w:rsid w:val="0051702A"/>
    <w:rsid w:val="005211FA"/>
    <w:rsid w:val="00533E6F"/>
    <w:rsid w:val="0053461E"/>
    <w:rsid w:val="0053494D"/>
    <w:rsid w:val="00542311"/>
    <w:rsid w:val="005445AB"/>
    <w:rsid w:val="00555B9A"/>
    <w:rsid w:val="00561F90"/>
    <w:rsid w:val="00565382"/>
    <w:rsid w:val="00571EFA"/>
    <w:rsid w:val="00573067"/>
    <w:rsid w:val="005760F3"/>
    <w:rsid w:val="00580B60"/>
    <w:rsid w:val="005818AA"/>
    <w:rsid w:val="00581F18"/>
    <w:rsid w:val="00582120"/>
    <w:rsid w:val="005824A0"/>
    <w:rsid w:val="0058264E"/>
    <w:rsid w:val="0058519C"/>
    <w:rsid w:val="00591332"/>
    <w:rsid w:val="00591469"/>
    <w:rsid w:val="00595BDF"/>
    <w:rsid w:val="00596242"/>
    <w:rsid w:val="005A5244"/>
    <w:rsid w:val="005A65B5"/>
    <w:rsid w:val="005B2E6B"/>
    <w:rsid w:val="005B4F80"/>
    <w:rsid w:val="005D1A01"/>
    <w:rsid w:val="005D2850"/>
    <w:rsid w:val="005D695F"/>
    <w:rsid w:val="005E0522"/>
    <w:rsid w:val="005E0C76"/>
    <w:rsid w:val="005E1A32"/>
    <w:rsid w:val="005E289E"/>
    <w:rsid w:val="005E3BE0"/>
    <w:rsid w:val="00600A03"/>
    <w:rsid w:val="00603787"/>
    <w:rsid w:val="00606589"/>
    <w:rsid w:val="00610002"/>
    <w:rsid w:val="00614020"/>
    <w:rsid w:val="00621896"/>
    <w:rsid w:val="00622BF2"/>
    <w:rsid w:val="00623F0D"/>
    <w:rsid w:val="00626106"/>
    <w:rsid w:val="00627B0C"/>
    <w:rsid w:val="00630D4E"/>
    <w:rsid w:val="00640ED7"/>
    <w:rsid w:val="0064149B"/>
    <w:rsid w:val="006415BD"/>
    <w:rsid w:val="00641BBA"/>
    <w:rsid w:val="00641EA4"/>
    <w:rsid w:val="006513EE"/>
    <w:rsid w:val="00653B34"/>
    <w:rsid w:val="00655925"/>
    <w:rsid w:val="0065729C"/>
    <w:rsid w:val="006576B2"/>
    <w:rsid w:val="00664640"/>
    <w:rsid w:val="00665877"/>
    <w:rsid w:val="00666A5A"/>
    <w:rsid w:val="00667AD3"/>
    <w:rsid w:val="006747AA"/>
    <w:rsid w:val="006765B1"/>
    <w:rsid w:val="0068098E"/>
    <w:rsid w:val="00685319"/>
    <w:rsid w:val="00686775"/>
    <w:rsid w:val="00694832"/>
    <w:rsid w:val="006A1949"/>
    <w:rsid w:val="006A3C6E"/>
    <w:rsid w:val="006A5AB0"/>
    <w:rsid w:val="006A6133"/>
    <w:rsid w:val="006B096E"/>
    <w:rsid w:val="006B4D36"/>
    <w:rsid w:val="006B56A6"/>
    <w:rsid w:val="006B5CB9"/>
    <w:rsid w:val="006B6CB4"/>
    <w:rsid w:val="006C0708"/>
    <w:rsid w:val="006C232D"/>
    <w:rsid w:val="006C5A1A"/>
    <w:rsid w:val="006C63E2"/>
    <w:rsid w:val="006C7031"/>
    <w:rsid w:val="006D2153"/>
    <w:rsid w:val="006D280F"/>
    <w:rsid w:val="006D4AF3"/>
    <w:rsid w:val="006D4DB0"/>
    <w:rsid w:val="006E0623"/>
    <w:rsid w:val="006E13EE"/>
    <w:rsid w:val="006E3241"/>
    <w:rsid w:val="006E4511"/>
    <w:rsid w:val="006E5CB7"/>
    <w:rsid w:val="006E5D87"/>
    <w:rsid w:val="006E67EA"/>
    <w:rsid w:val="006F0053"/>
    <w:rsid w:val="006F1986"/>
    <w:rsid w:val="006F1CBD"/>
    <w:rsid w:val="006F3378"/>
    <w:rsid w:val="006F498D"/>
    <w:rsid w:val="0070259F"/>
    <w:rsid w:val="007045E2"/>
    <w:rsid w:val="00706E72"/>
    <w:rsid w:val="00711282"/>
    <w:rsid w:val="007137E0"/>
    <w:rsid w:val="00713E9C"/>
    <w:rsid w:val="00714351"/>
    <w:rsid w:val="0071452F"/>
    <w:rsid w:val="007175FF"/>
    <w:rsid w:val="0071777A"/>
    <w:rsid w:val="007214B8"/>
    <w:rsid w:val="0072479F"/>
    <w:rsid w:val="00724A27"/>
    <w:rsid w:val="0072754E"/>
    <w:rsid w:val="00727F58"/>
    <w:rsid w:val="00732571"/>
    <w:rsid w:val="007328FA"/>
    <w:rsid w:val="00734C0F"/>
    <w:rsid w:val="007358F6"/>
    <w:rsid w:val="007421DC"/>
    <w:rsid w:val="00742370"/>
    <w:rsid w:val="00743BA1"/>
    <w:rsid w:val="00746904"/>
    <w:rsid w:val="00751A6E"/>
    <w:rsid w:val="00753504"/>
    <w:rsid w:val="00757EDD"/>
    <w:rsid w:val="00761301"/>
    <w:rsid w:val="00761840"/>
    <w:rsid w:val="00767718"/>
    <w:rsid w:val="007746EF"/>
    <w:rsid w:val="007810F0"/>
    <w:rsid w:val="007838E1"/>
    <w:rsid w:val="00785183"/>
    <w:rsid w:val="0078640E"/>
    <w:rsid w:val="007923B0"/>
    <w:rsid w:val="00792D2B"/>
    <w:rsid w:val="00796595"/>
    <w:rsid w:val="007970B9"/>
    <w:rsid w:val="007A1E15"/>
    <w:rsid w:val="007A2324"/>
    <w:rsid w:val="007A5BA9"/>
    <w:rsid w:val="007B06D9"/>
    <w:rsid w:val="007B1252"/>
    <w:rsid w:val="007B273E"/>
    <w:rsid w:val="007B4325"/>
    <w:rsid w:val="007B7217"/>
    <w:rsid w:val="007C1F0D"/>
    <w:rsid w:val="007C2C57"/>
    <w:rsid w:val="007C61E4"/>
    <w:rsid w:val="007C7026"/>
    <w:rsid w:val="007C7B93"/>
    <w:rsid w:val="007D0F91"/>
    <w:rsid w:val="007D2A1C"/>
    <w:rsid w:val="007D3498"/>
    <w:rsid w:val="007D481F"/>
    <w:rsid w:val="007E1641"/>
    <w:rsid w:val="007E5479"/>
    <w:rsid w:val="007E7681"/>
    <w:rsid w:val="007F07CC"/>
    <w:rsid w:val="007F408B"/>
    <w:rsid w:val="007F49A1"/>
    <w:rsid w:val="00800B05"/>
    <w:rsid w:val="00803AAA"/>
    <w:rsid w:val="00803D9E"/>
    <w:rsid w:val="00805097"/>
    <w:rsid w:val="00805329"/>
    <w:rsid w:val="00805481"/>
    <w:rsid w:val="00805EFD"/>
    <w:rsid w:val="00806D95"/>
    <w:rsid w:val="00811854"/>
    <w:rsid w:val="00815BBD"/>
    <w:rsid w:val="00815DF6"/>
    <w:rsid w:val="0081727F"/>
    <w:rsid w:val="00825380"/>
    <w:rsid w:val="00825CD3"/>
    <w:rsid w:val="00833AD8"/>
    <w:rsid w:val="0083431A"/>
    <w:rsid w:val="00834B34"/>
    <w:rsid w:val="008350F2"/>
    <w:rsid w:val="00840EEF"/>
    <w:rsid w:val="0084535E"/>
    <w:rsid w:val="008461C1"/>
    <w:rsid w:val="008502AE"/>
    <w:rsid w:val="00850F56"/>
    <w:rsid w:val="008513A4"/>
    <w:rsid w:val="00853F6B"/>
    <w:rsid w:val="00855311"/>
    <w:rsid w:val="0085796A"/>
    <w:rsid w:val="00861401"/>
    <w:rsid w:val="008718F4"/>
    <w:rsid w:val="00872673"/>
    <w:rsid w:val="008739E2"/>
    <w:rsid w:val="00873B47"/>
    <w:rsid w:val="00875FD9"/>
    <w:rsid w:val="00876DA0"/>
    <w:rsid w:val="008802B8"/>
    <w:rsid w:val="00885687"/>
    <w:rsid w:val="00887299"/>
    <w:rsid w:val="00895A83"/>
    <w:rsid w:val="00897425"/>
    <w:rsid w:val="008A3DA0"/>
    <w:rsid w:val="008B29C0"/>
    <w:rsid w:val="008B4E1F"/>
    <w:rsid w:val="008B64EE"/>
    <w:rsid w:val="008B765F"/>
    <w:rsid w:val="008C40D5"/>
    <w:rsid w:val="008D26DE"/>
    <w:rsid w:val="008D3DEB"/>
    <w:rsid w:val="008D3E5B"/>
    <w:rsid w:val="008D444C"/>
    <w:rsid w:val="008E01EF"/>
    <w:rsid w:val="008E20F5"/>
    <w:rsid w:val="008F197F"/>
    <w:rsid w:val="008F2305"/>
    <w:rsid w:val="008F7061"/>
    <w:rsid w:val="008F7E57"/>
    <w:rsid w:val="00903A65"/>
    <w:rsid w:val="00910B3A"/>
    <w:rsid w:val="00910C04"/>
    <w:rsid w:val="009115A8"/>
    <w:rsid w:val="00912B99"/>
    <w:rsid w:val="00914B2F"/>
    <w:rsid w:val="00915068"/>
    <w:rsid w:val="00921431"/>
    <w:rsid w:val="00923104"/>
    <w:rsid w:val="0092371C"/>
    <w:rsid w:val="00923969"/>
    <w:rsid w:val="00924020"/>
    <w:rsid w:val="009277E5"/>
    <w:rsid w:val="00927CFB"/>
    <w:rsid w:val="00927D6A"/>
    <w:rsid w:val="00934BB1"/>
    <w:rsid w:val="00935A6E"/>
    <w:rsid w:val="00935F18"/>
    <w:rsid w:val="00936B61"/>
    <w:rsid w:val="00936D2C"/>
    <w:rsid w:val="00937715"/>
    <w:rsid w:val="009404F9"/>
    <w:rsid w:val="00940A5A"/>
    <w:rsid w:val="00942DEF"/>
    <w:rsid w:val="0095063C"/>
    <w:rsid w:val="009533A2"/>
    <w:rsid w:val="009541CE"/>
    <w:rsid w:val="00954A25"/>
    <w:rsid w:val="0096392A"/>
    <w:rsid w:val="00966A97"/>
    <w:rsid w:val="0097297E"/>
    <w:rsid w:val="00973E00"/>
    <w:rsid w:val="00974D4C"/>
    <w:rsid w:val="0097588D"/>
    <w:rsid w:val="009758C3"/>
    <w:rsid w:val="00975AA4"/>
    <w:rsid w:val="00975E32"/>
    <w:rsid w:val="0097699A"/>
    <w:rsid w:val="009825F5"/>
    <w:rsid w:val="0098481B"/>
    <w:rsid w:val="009850BB"/>
    <w:rsid w:val="00993CA0"/>
    <w:rsid w:val="0099421E"/>
    <w:rsid w:val="00997403"/>
    <w:rsid w:val="0099742F"/>
    <w:rsid w:val="009A33AD"/>
    <w:rsid w:val="009A4D07"/>
    <w:rsid w:val="009A6B91"/>
    <w:rsid w:val="009A6CA2"/>
    <w:rsid w:val="009A744C"/>
    <w:rsid w:val="009B0DF7"/>
    <w:rsid w:val="009B5B9A"/>
    <w:rsid w:val="009C0236"/>
    <w:rsid w:val="009C18BF"/>
    <w:rsid w:val="009C29F1"/>
    <w:rsid w:val="009C3885"/>
    <w:rsid w:val="009C5377"/>
    <w:rsid w:val="009E0803"/>
    <w:rsid w:val="009E3669"/>
    <w:rsid w:val="009E5EFC"/>
    <w:rsid w:val="009E76A6"/>
    <w:rsid w:val="009E77DA"/>
    <w:rsid w:val="009F04A0"/>
    <w:rsid w:val="009F372F"/>
    <w:rsid w:val="009F7253"/>
    <w:rsid w:val="009F7C7F"/>
    <w:rsid w:val="00A06F2E"/>
    <w:rsid w:val="00A13598"/>
    <w:rsid w:val="00A21317"/>
    <w:rsid w:val="00A21D98"/>
    <w:rsid w:val="00A27743"/>
    <w:rsid w:val="00A32219"/>
    <w:rsid w:val="00A41A65"/>
    <w:rsid w:val="00A42B39"/>
    <w:rsid w:val="00A45269"/>
    <w:rsid w:val="00A506D7"/>
    <w:rsid w:val="00A50802"/>
    <w:rsid w:val="00A536E3"/>
    <w:rsid w:val="00A54D16"/>
    <w:rsid w:val="00A57F35"/>
    <w:rsid w:val="00A61046"/>
    <w:rsid w:val="00A611C2"/>
    <w:rsid w:val="00A61CE0"/>
    <w:rsid w:val="00A62294"/>
    <w:rsid w:val="00A652F2"/>
    <w:rsid w:val="00A65E8C"/>
    <w:rsid w:val="00A75761"/>
    <w:rsid w:val="00A82901"/>
    <w:rsid w:val="00A84295"/>
    <w:rsid w:val="00A8579B"/>
    <w:rsid w:val="00A93208"/>
    <w:rsid w:val="00AA18AB"/>
    <w:rsid w:val="00AA6C00"/>
    <w:rsid w:val="00AB3095"/>
    <w:rsid w:val="00AB333D"/>
    <w:rsid w:val="00AB35A0"/>
    <w:rsid w:val="00AB44F3"/>
    <w:rsid w:val="00AB4CE3"/>
    <w:rsid w:val="00AB7358"/>
    <w:rsid w:val="00AC1A09"/>
    <w:rsid w:val="00AD22AA"/>
    <w:rsid w:val="00AD7889"/>
    <w:rsid w:val="00AD7EAB"/>
    <w:rsid w:val="00AE17C8"/>
    <w:rsid w:val="00AE2B27"/>
    <w:rsid w:val="00AE3C60"/>
    <w:rsid w:val="00AE4EBA"/>
    <w:rsid w:val="00AF2563"/>
    <w:rsid w:val="00AF2DDF"/>
    <w:rsid w:val="00AF42FB"/>
    <w:rsid w:val="00AF4F04"/>
    <w:rsid w:val="00B01901"/>
    <w:rsid w:val="00B03FC2"/>
    <w:rsid w:val="00B0458C"/>
    <w:rsid w:val="00B06123"/>
    <w:rsid w:val="00B06958"/>
    <w:rsid w:val="00B11056"/>
    <w:rsid w:val="00B1167A"/>
    <w:rsid w:val="00B11AA4"/>
    <w:rsid w:val="00B128AE"/>
    <w:rsid w:val="00B1779D"/>
    <w:rsid w:val="00B17BE3"/>
    <w:rsid w:val="00B26781"/>
    <w:rsid w:val="00B27BF7"/>
    <w:rsid w:val="00B31882"/>
    <w:rsid w:val="00B33DF5"/>
    <w:rsid w:val="00B37D19"/>
    <w:rsid w:val="00B40917"/>
    <w:rsid w:val="00B45063"/>
    <w:rsid w:val="00B45DB2"/>
    <w:rsid w:val="00B46B5D"/>
    <w:rsid w:val="00B56417"/>
    <w:rsid w:val="00B60A84"/>
    <w:rsid w:val="00B61686"/>
    <w:rsid w:val="00B61C32"/>
    <w:rsid w:val="00B64F93"/>
    <w:rsid w:val="00B7098A"/>
    <w:rsid w:val="00B74F3B"/>
    <w:rsid w:val="00B808C5"/>
    <w:rsid w:val="00B8675B"/>
    <w:rsid w:val="00B915FA"/>
    <w:rsid w:val="00B94581"/>
    <w:rsid w:val="00B95111"/>
    <w:rsid w:val="00B97413"/>
    <w:rsid w:val="00B97526"/>
    <w:rsid w:val="00BA4434"/>
    <w:rsid w:val="00BB391F"/>
    <w:rsid w:val="00BB7574"/>
    <w:rsid w:val="00BC1B8C"/>
    <w:rsid w:val="00BC219D"/>
    <w:rsid w:val="00BC312B"/>
    <w:rsid w:val="00BC3A2D"/>
    <w:rsid w:val="00BD3097"/>
    <w:rsid w:val="00BE1602"/>
    <w:rsid w:val="00BE2C56"/>
    <w:rsid w:val="00BE6734"/>
    <w:rsid w:val="00BF4D88"/>
    <w:rsid w:val="00C03530"/>
    <w:rsid w:val="00C11B50"/>
    <w:rsid w:val="00C26627"/>
    <w:rsid w:val="00C30769"/>
    <w:rsid w:val="00C3243B"/>
    <w:rsid w:val="00C32FB8"/>
    <w:rsid w:val="00C350D5"/>
    <w:rsid w:val="00C352F4"/>
    <w:rsid w:val="00C3773C"/>
    <w:rsid w:val="00C427A6"/>
    <w:rsid w:val="00C438D1"/>
    <w:rsid w:val="00C44D1F"/>
    <w:rsid w:val="00C461E0"/>
    <w:rsid w:val="00C519D1"/>
    <w:rsid w:val="00C51C5A"/>
    <w:rsid w:val="00C51EAC"/>
    <w:rsid w:val="00C54E87"/>
    <w:rsid w:val="00C560EC"/>
    <w:rsid w:val="00C61E42"/>
    <w:rsid w:val="00C62D50"/>
    <w:rsid w:val="00C637F0"/>
    <w:rsid w:val="00C7008B"/>
    <w:rsid w:val="00C71824"/>
    <w:rsid w:val="00C75B34"/>
    <w:rsid w:val="00C760F1"/>
    <w:rsid w:val="00C80433"/>
    <w:rsid w:val="00C815E2"/>
    <w:rsid w:val="00C82975"/>
    <w:rsid w:val="00C83CA1"/>
    <w:rsid w:val="00C846D3"/>
    <w:rsid w:val="00C86084"/>
    <w:rsid w:val="00C86EE7"/>
    <w:rsid w:val="00C90B55"/>
    <w:rsid w:val="00C90C00"/>
    <w:rsid w:val="00C9546E"/>
    <w:rsid w:val="00C95CC3"/>
    <w:rsid w:val="00C96562"/>
    <w:rsid w:val="00CA0EC7"/>
    <w:rsid w:val="00CA3ACF"/>
    <w:rsid w:val="00CA737C"/>
    <w:rsid w:val="00CB6BFA"/>
    <w:rsid w:val="00CB6FD1"/>
    <w:rsid w:val="00CB7B44"/>
    <w:rsid w:val="00CC1CFE"/>
    <w:rsid w:val="00CD0158"/>
    <w:rsid w:val="00CD2C02"/>
    <w:rsid w:val="00CE2A8D"/>
    <w:rsid w:val="00CE6B58"/>
    <w:rsid w:val="00CF1466"/>
    <w:rsid w:val="00CF2D04"/>
    <w:rsid w:val="00CF7E4E"/>
    <w:rsid w:val="00D030A1"/>
    <w:rsid w:val="00D12698"/>
    <w:rsid w:val="00D1281F"/>
    <w:rsid w:val="00D13DF6"/>
    <w:rsid w:val="00D17210"/>
    <w:rsid w:val="00D20BEF"/>
    <w:rsid w:val="00D22521"/>
    <w:rsid w:val="00D23111"/>
    <w:rsid w:val="00D23D88"/>
    <w:rsid w:val="00D25855"/>
    <w:rsid w:val="00D263BB"/>
    <w:rsid w:val="00D309E4"/>
    <w:rsid w:val="00D33192"/>
    <w:rsid w:val="00D347E5"/>
    <w:rsid w:val="00D37620"/>
    <w:rsid w:val="00D37E16"/>
    <w:rsid w:val="00D41273"/>
    <w:rsid w:val="00D428F1"/>
    <w:rsid w:val="00D45B45"/>
    <w:rsid w:val="00D47C06"/>
    <w:rsid w:val="00D50433"/>
    <w:rsid w:val="00D52104"/>
    <w:rsid w:val="00D523EF"/>
    <w:rsid w:val="00D52791"/>
    <w:rsid w:val="00D57B76"/>
    <w:rsid w:val="00D57EB0"/>
    <w:rsid w:val="00D63015"/>
    <w:rsid w:val="00D66429"/>
    <w:rsid w:val="00D679F0"/>
    <w:rsid w:val="00D75947"/>
    <w:rsid w:val="00D7744E"/>
    <w:rsid w:val="00D80464"/>
    <w:rsid w:val="00D83585"/>
    <w:rsid w:val="00D8678C"/>
    <w:rsid w:val="00D90127"/>
    <w:rsid w:val="00D91645"/>
    <w:rsid w:val="00D946B1"/>
    <w:rsid w:val="00DB59E0"/>
    <w:rsid w:val="00DB74A5"/>
    <w:rsid w:val="00DB7D09"/>
    <w:rsid w:val="00DC2186"/>
    <w:rsid w:val="00DC7D90"/>
    <w:rsid w:val="00DD303D"/>
    <w:rsid w:val="00DD3731"/>
    <w:rsid w:val="00DD3A30"/>
    <w:rsid w:val="00DD56E7"/>
    <w:rsid w:val="00DD7136"/>
    <w:rsid w:val="00DE08A1"/>
    <w:rsid w:val="00DE0D6D"/>
    <w:rsid w:val="00DE5B3B"/>
    <w:rsid w:val="00DE5FFE"/>
    <w:rsid w:val="00DF4C04"/>
    <w:rsid w:val="00E0270D"/>
    <w:rsid w:val="00E03909"/>
    <w:rsid w:val="00E0454A"/>
    <w:rsid w:val="00E04EDD"/>
    <w:rsid w:val="00E071A3"/>
    <w:rsid w:val="00E075BE"/>
    <w:rsid w:val="00E14A67"/>
    <w:rsid w:val="00E209CA"/>
    <w:rsid w:val="00E24099"/>
    <w:rsid w:val="00E27F0F"/>
    <w:rsid w:val="00E27F6E"/>
    <w:rsid w:val="00E336D5"/>
    <w:rsid w:val="00E35751"/>
    <w:rsid w:val="00E42B4D"/>
    <w:rsid w:val="00E46375"/>
    <w:rsid w:val="00E47A24"/>
    <w:rsid w:val="00E47C2F"/>
    <w:rsid w:val="00E515AE"/>
    <w:rsid w:val="00E54373"/>
    <w:rsid w:val="00E54EA8"/>
    <w:rsid w:val="00E5738C"/>
    <w:rsid w:val="00E61F22"/>
    <w:rsid w:val="00E725BF"/>
    <w:rsid w:val="00E76BE7"/>
    <w:rsid w:val="00E81128"/>
    <w:rsid w:val="00E835C9"/>
    <w:rsid w:val="00E848D1"/>
    <w:rsid w:val="00E86DD7"/>
    <w:rsid w:val="00E8791D"/>
    <w:rsid w:val="00E90FE1"/>
    <w:rsid w:val="00E911F7"/>
    <w:rsid w:val="00E91EF1"/>
    <w:rsid w:val="00E925F5"/>
    <w:rsid w:val="00E94E04"/>
    <w:rsid w:val="00E9784D"/>
    <w:rsid w:val="00E97BF6"/>
    <w:rsid w:val="00EA240F"/>
    <w:rsid w:val="00EA386A"/>
    <w:rsid w:val="00EA3F87"/>
    <w:rsid w:val="00EA497C"/>
    <w:rsid w:val="00EA5FDB"/>
    <w:rsid w:val="00EA799B"/>
    <w:rsid w:val="00EC1633"/>
    <w:rsid w:val="00EC1A2A"/>
    <w:rsid w:val="00ED2A79"/>
    <w:rsid w:val="00ED2A7B"/>
    <w:rsid w:val="00ED78A3"/>
    <w:rsid w:val="00EE13E2"/>
    <w:rsid w:val="00EE5923"/>
    <w:rsid w:val="00EF236A"/>
    <w:rsid w:val="00EF2E79"/>
    <w:rsid w:val="00EF46BA"/>
    <w:rsid w:val="00EF51F9"/>
    <w:rsid w:val="00F02205"/>
    <w:rsid w:val="00F0221E"/>
    <w:rsid w:val="00F022CE"/>
    <w:rsid w:val="00F06F37"/>
    <w:rsid w:val="00F10AEE"/>
    <w:rsid w:val="00F11BC8"/>
    <w:rsid w:val="00F12ED5"/>
    <w:rsid w:val="00F179EF"/>
    <w:rsid w:val="00F21F28"/>
    <w:rsid w:val="00F2257F"/>
    <w:rsid w:val="00F311C1"/>
    <w:rsid w:val="00F357EE"/>
    <w:rsid w:val="00F35D2D"/>
    <w:rsid w:val="00F401A1"/>
    <w:rsid w:val="00F40653"/>
    <w:rsid w:val="00F40C22"/>
    <w:rsid w:val="00F419A8"/>
    <w:rsid w:val="00F51BE2"/>
    <w:rsid w:val="00F52760"/>
    <w:rsid w:val="00F54DB9"/>
    <w:rsid w:val="00F5639C"/>
    <w:rsid w:val="00F61288"/>
    <w:rsid w:val="00F633B7"/>
    <w:rsid w:val="00F64D46"/>
    <w:rsid w:val="00F65A0E"/>
    <w:rsid w:val="00F65F99"/>
    <w:rsid w:val="00F66E13"/>
    <w:rsid w:val="00F6707C"/>
    <w:rsid w:val="00F6717E"/>
    <w:rsid w:val="00F67C39"/>
    <w:rsid w:val="00F74FC1"/>
    <w:rsid w:val="00F760FF"/>
    <w:rsid w:val="00F8074C"/>
    <w:rsid w:val="00F8101A"/>
    <w:rsid w:val="00F81379"/>
    <w:rsid w:val="00F847EA"/>
    <w:rsid w:val="00F85D13"/>
    <w:rsid w:val="00F9007A"/>
    <w:rsid w:val="00F92908"/>
    <w:rsid w:val="00F94AD0"/>
    <w:rsid w:val="00F966C3"/>
    <w:rsid w:val="00FA51B4"/>
    <w:rsid w:val="00FB17A6"/>
    <w:rsid w:val="00FB3566"/>
    <w:rsid w:val="00FB76D9"/>
    <w:rsid w:val="00FC380E"/>
    <w:rsid w:val="00FD37F9"/>
    <w:rsid w:val="00FD4DD5"/>
    <w:rsid w:val="00FD5038"/>
    <w:rsid w:val="00FD706A"/>
    <w:rsid w:val="00FE1E35"/>
    <w:rsid w:val="00FE5F6F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E7416"/>
  <w15:chartTrackingRefBased/>
  <w15:docId w15:val="{3E302E40-316E-4F41-BEEC-9AA439EF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930E0"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i/>
      <w:sz w:val="26"/>
    </w:rPr>
  </w:style>
  <w:style w:type="paragraph" w:styleId="Cmsor2">
    <w:name w:val="heading 2"/>
    <w:basedOn w:val="Norml"/>
    <w:next w:val="Norml"/>
    <w:qFormat/>
    <w:rsid w:val="004D04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b/>
    </w:rPr>
  </w:style>
  <w:style w:type="paragraph" w:styleId="Cmsor5">
    <w:name w:val="heading 5"/>
    <w:basedOn w:val="Norml"/>
    <w:next w:val="Norml"/>
    <w:qFormat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2"/>
      </w:numPr>
      <w:spacing w:before="120"/>
      <w:jc w:val="both"/>
      <w:outlineLvl w:val="7"/>
    </w:pPr>
    <w:rPr>
      <w:i/>
      <w:color w:val="FF0000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">
    <w:name w:val="WW-WW8Num1z0111"/>
    <w:rPr>
      <w:rFonts w:ascii="Symbol" w:hAnsi="Symbol" w:cs="StarSymbol"/>
      <w:sz w:val="18"/>
      <w:szCs w:val="18"/>
    </w:rPr>
  </w:style>
  <w:style w:type="character" w:customStyle="1" w:styleId="WW-Bekezdsalapbettpusa">
    <w:name w:val="WW-Bekezdés alapbetűtí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styleId="Kiemels2">
    <w:name w:val="Strong"/>
    <w:qFormat/>
    <w:rPr>
      <w:b/>
      <w:bCs/>
    </w:rPr>
  </w:style>
  <w:style w:type="character" w:customStyle="1" w:styleId="WW-WW8Num1z01111">
    <w:name w:val="WW-WW8Num1z01111"/>
    <w:rPr>
      <w:rFonts w:ascii="Symbol" w:hAnsi="Symbol" w:cs="StarSymbol"/>
      <w:sz w:val="18"/>
      <w:szCs w:val="18"/>
    </w:rPr>
  </w:style>
  <w:style w:type="character" w:customStyle="1" w:styleId="WW-WW8Num1z011111">
    <w:name w:val="WW-WW8Num1z011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1z0111111">
    <w:name w:val="WW-WW8Num1z0111111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z01111111">
    <w:name w:val="WW-WW8Num1z01111111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WW8Num1z011111111">
    <w:name w:val="WW-WW8Num1z011111111"/>
    <w:rPr>
      <w:rFonts w:ascii="Symbol" w:hAnsi="Symbol" w:cs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FirstpageinfoChar">
    <w:name w:val="Firstpageinfo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customStyle="1" w:styleId="TextChar1">
    <w:name w:val="Text Char1"/>
    <w:rPr>
      <w:rFonts w:eastAsia="Lucida Sans Unicode"/>
      <w:sz w:val="24"/>
      <w:szCs w:val="24"/>
      <w:lang w:val="en-US" w:eastAsia="ar-SA" w:bidi="ar-SA"/>
    </w:rPr>
  </w:style>
  <w:style w:type="character" w:customStyle="1" w:styleId="WW-CommentReference">
    <w:name w:val="WW-Comment Reference"/>
    <w:rPr>
      <w:sz w:val="16"/>
      <w:szCs w:val="16"/>
    </w:rPr>
  </w:style>
  <w:style w:type="character" w:customStyle="1" w:styleId="Nottoc-headingsChar">
    <w:name w:val="Not toc-headings Char"/>
    <w:rPr>
      <w:rFonts w:ascii="Arial" w:hAnsi="Arial"/>
      <w:b/>
      <w:sz w:val="22"/>
      <w:szCs w:val="24"/>
      <w:lang w:val="en-GB" w:eastAsia="ar-SA" w:bidi="ar-SA"/>
    </w:rPr>
  </w:style>
  <w:style w:type="character" w:customStyle="1" w:styleId="CommentChar1">
    <w:name w:val="Comment Char1"/>
    <w:rPr>
      <w:rFonts w:eastAsia="Lucida Sans Unicode"/>
      <w:i/>
      <w:color w:val="0000FF"/>
      <w:sz w:val="24"/>
      <w:szCs w:val="24"/>
      <w:lang w:val="en-US" w:eastAsia="ar-SA" w:bidi="ar-SA"/>
    </w:rPr>
  </w:style>
  <w:style w:type="character" w:styleId="Oldalszm">
    <w:name w:val="page number"/>
    <w:basedOn w:val="WW-Bekezdsalapbett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styleId="Cm">
    <w:name w:val="Title"/>
    <w:basedOn w:val="Norml"/>
    <w:next w:val="Alcm"/>
    <w:qFormat/>
    <w:pPr>
      <w:keepNext/>
      <w:widowControl/>
      <w:suppressAutoHyphens w:val="0"/>
      <w:spacing w:before="720" w:after="1320"/>
      <w:jc w:val="center"/>
    </w:pPr>
    <w:rPr>
      <w:rFonts w:ascii="Arial" w:eastAsia="Times New Roman" w:hAnsi="Arial"/>
      <w:b/>
      <w:sz w:val="32"/>
      <w:szCs w:val="20"/>
      <w:lang w:val="en-US"/>
    </w:rPr>
  </w:style>
  <w:style w:type="paragraph" w:styleId="Alcm">
    <w:name w:val="Subtitle"/>
    <w:basedOn w:val="WW-Cmsor"/>
    <w:next w:val="Szvegtrzs"/>
    <w:qFormat/>
    <w:pPr>
      <w:jc w:val="center"/>
    </w:pPr>
    <w:rPr>
      <w:i/>
      <w:iCs/>
    </w:rPr>
  </w:style>
  <w:style w:type="paragraph" w:customStyle="1" w:styleId="paragraph">
    <w:name w:val="paragraph"/>
    <w:basedOn w:val="Norml"/>
    <w:pPr>
      <w:spacing w:before="120"/>
      <w:jc w:val="both"/>
    </w:pPr>
    <w:rPr>
      <w:lang w:val="en-US"/>
    </w:rPr>
  </w:style>
  <w:style w:type="paragraph" w:customStyle="1" w:styleId="TextChar">
    <w:name w:val="Text Char"/>
    <w:basedOn w:val="Norml"/>
    <w:pPr>
      <w:widowControl/>
      <w:suppressAutoHyphens w:val="0"/>
      <w:spacing w:before="120"/>
      <w:jc w:val="both"/>
    </w:pPr>
    <w:rPr>
      <w:lang w:val="en-GB"/>
    </w:rPr>
  </w:style>
  <w:style w:type="paragraph" w:customStyle="1" w:styleId="Nottoc-headings">
    <w:name w:val="Not toc-headings"/>
    <w:basedOn w:val="Norml"/>
    <w:next w:val="TextChar"/>
    <w:pPr>
      <w:keepNext/>
      <w:keepLines/>
      <w:widowControl/>
      <w:suppressAutoHyphens w:val="0"/>
      <w:spacing w:before="240" w:after="60"/>
      <w:ind w:left="1701" w:hanging="1701"/>
    </w:pPr>
    <w:rPr>
      <w:rFonts w:ascii="Arial" w:eastAsia="Times New Roman" w:hAnsi="Arial"/>
      <w:b/>
      <w:sz w:val="22"/>
      <w:lang w:val="en-GB"/>
    </w:rPr>
  </w:style>
  <w:style w:type="paragraph" w:customStyle="1" w:styleId="WW-Szvegtrzs3">
    <w:name w:val="WW-Szövegtörzs 3"/>
    <w:basedOn w:val="Norml"/>
    <w:pPr>
      <w:ind w:right="-143"/>
    </w:pPr>
    <w:rPr>
      <w:sz w:val="26"/>
    </w:rPr>
  </w:style>
  <w:style w:type="paragraph" w:customStyle="1" w:styleId="WW-Szvegtrzs2">
    <w:name w:val="WW-Szövegtörzs 2"/>
    <w:basedOn w:val="Norml"/>
    <w:rPr>
      <w:lang w:val="en-US"/>
    </w:rPr>
  </w:style>
  <w:style w:type="paragraph" w:customStyle="1" w:styleId="WW-BalloonText">
    <w:name w:val="WW-Balloon Text"/>
    <w:basedOn w:val="Norml"/>
    <w:rPr>
      <w:rFonts w:ascii="Tahoma" w:hAnsi="Tahoma" w:cs="Tahoma"/>
      <w:sz w:val="16"/>
      <w:szCs w:val="16"/>
    </w:rPr>
  </w:style>
  <w:style w:type="paragraph" w:customStyle="1" w:styleId="WW-BodyText2">
    <w:name w:val="WW-Body Text 2"/>
    <w:basedOn w:val="Norml"/>
    <w:rPr>
      <w:sz w:val="22"/>
      <w:szCs w:val="22"/>
    </w:rPr>
  </w:style>
  <w:style w:type="paragraph" w:customStyle="1" w:styleId="Text">
    <w:name w:val="Text"/>
    <w:basedOn w:val="Norml"/>
    <w:pPr>
      <w:widowControl/>
      <w:suppressAutoHyphens w:val="0"/>
      <w:spacing w:before="120"/>
      <w:jc w:val="both"/>
    </w:pPr>
    <w:rPr>
      <w:lang w:val="en-US"/>
    </w:rPr>
  </w:style>
  <w:style w:type="paragraph" w:customStyle="1" w:styleId="Compound">
    <w:name w:val="Compound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32"/>
      <w:szCs w:val="20"/>
      <w:lang w:val="en-US"/>
    </w:rPr>
  </w:style>
  <w:style w:type="paragraph" w:customStyle="1" w:styleId="Dedicatednumber">
    <w:name w:val="Dedicatednumber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epartment">
    <w:name w:val="Department"/>
    <w:basedOn w:val="Norml"/>
    <w:pPr>
      <w:keepNext/>
      <w:widowControl/>
      <w:suppressAutoHyphens w:val="0"/>
      <w:spacing w:before="36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octype">
    <w:name w:val="Doctype"/>
    <w:basedOn w:val="Dedicatednumber"/>
    <w:pPr>
      <w:spacing w:before="240"/>
      <w:jc w:val="left"/>
    </w:pPr>
    <w:rPr>
      <w:sz w:val="24"/>
    </w:rPr>
  </w:style>
  <w:style w:type="paragraph" w:customStyle="1" w:styleId="Firstpageinfo">
    <w:name w:val="Firstpageinfo"/>
    <w:basedOn w:val="Cmsor5"/>
    <w:pPr>
      <w:keepNext/>
      <w:keepLines/>
      <w:widowControl/>
      <w:suppressAutoHyphens w:val="0"/>
      <w:spacing w:after="0"/>
    </w:pPr>
    <w:rPr>
      <w:rFonts w:ascii="Arial" w:hAnsi="Arial"/>
      <w:bCs w:val="0"/>
      <w:i w:val="0"/>
      <w:iCs w:val="0"/>
      <w:sz w:val="24"/>
      <w:szCs w:val="24"/>
      <w:lang w:val="en-US"/>
    </w:rPr>
  </w:style>
  <w:style w:type="paragraph" w:customStyle="1" w:styleId="WW-CommentText">
    <w:name w:val="WW-Comment Text"/>
    <w:basedOn w:val="Norml"/>
    <w:rPr>
      <w:sz w:val="20"/>
      <w:szCs w:val="20"/>
    </w:rPr>
  </w:style>
  <w:style w:type="paragraph" w:customStyle="1" w:styleId="WW-CommentSubject">
    <w:name w:val="WW-Comment Subject"/>
    <w:basedOn w:val="WW-CommentText"/>
    <w:next w:val="WW-CommentText"/>
    <w:rPr>
      <w:b/>
      <w:bCs/>
    </w:rPr>
  </w:style>
  <w:style w:type="paragraph" w:customStyle="1" w:styleId="Comment">
    <w:name w:val="Comment"/>
    <w:basedOn w:val="Norml"/>
    <w:pPr>
      <w:keepLines/>
      <w:widowControl/>
      <w:suppressAutoHyphens w:val="0"/>
      <w:spacing w:before="120"/>
      <w:jc w:val="both"/>
    </w:pPr>
    <w:rPr>
      <w:i/>
      <w:color w:val="0000FF"/>
      <w:lang w:val="en-US"/>
    </w:rPr>
  </w:style>
  <w:style w:type="paragraph" w:customStyle="1" w:styleId="Table">
    <w:name w:val="Table"/>
    <w:basedOn w:val="Nottoc-headings"/>
    <w:pPr>
      <w:tabs>
        <w:tab w:val="left" w:pos="284"/>
      </w:tabs>
      <w:spacing w:before="40" w:after="20"/>
      <w:ind w:left="0" w:firstLine="0"/>
    </w:pPr>
    <w:rPr>
      <w:b w:val="0"/>
      <w:sz w:val="20"/>
      <w:szCs w:val="20"/>
      <w:lang w:val="en-US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NormlWeb">
    <w:name w:val="WW-Normál (Web)"/>
    <w:basedOn w:val="Norml"/>
    <w:pPr>
      <w:widowControl/>
      <w:suppressAutoHyphens w:val="0"/>
      <w:spacing w:before="280" w:after="119"/>
    </w:pPr>
    <w:rPr>
      <w:rFonts w:eastAsia="Times New Roman"/>
    </w:rPr>
  </w:style>
  <w:style w:type="paragraph" w:styleId="Buborkszveg">
    <w:name w:val="Balloon Text"/>
    <w:basedOn w:val="Norml"/>
    <w:semiHidden/>
    <w:rsid w:val="00B1167A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6B096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B096E"/>
    <w:rPr>
      <w:sz w:val="20"/>
      <w:szCs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6B096E"/>
    <w:rPr>
      <w:b/>
      <w:bCs/>
    </w:rPr>
  </w:style>
  <w:style w:type="table" w:styleId="Rcsostblzat">
    <w:name w:val="Table Grid"/>
    <w:basedOn w:val="Normltblzat"/>
    <w:rsid w:val="001A5BA3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LatinArial">
    <w:name w:val="Normal + (Latin) Arial"/>
    <w:aliases w:val="(Complex) Arial,9 pt"/>
    <w:basedOn w:val="Norml"/>
    <w:rsid w:val="00F61288"/>
    <w:pPr>
      <w:widowControl/>
      <w:tabs>
        <w:tab w:val="left" w:pos="426"/>
      </w:tabs>
      <w:suppressAutoHyphens w:val="0"/>
    </w:pPr>
    <w:rPr>
      <w:rFonts w:ascii="Arial" w:eastAsia="MS Mincho" w:hAnsi="Arial"/>
      <w:sz w:val="18"/>
      <w:szCs w:val="18"/>
      <w:lang w:val="en-US" w:eastAsia="en-US"/>
    </w:rPr>
  </w:style>
  <w:style w:type="paragraph" w:styleId="Szvegtrzsbehzssal">
    <w:name w:val="Body Text Indent"/>
    <w:basedOn w:val="Norml"/>
    <w:rsid w:val="00D57B76"/>
    <w:pPr>
      <w:spacing w:after="120"/>
      <w:ind w:left="283"/>
    </w:pPr>
  </w:style>
  <w:style w:type="paragraph" w:customStyle="1" w:styleId="a">
    <w:basedOn w:val="Norml"/>
    <w:rsid w:val="00C7008B"/>
    <w:pPr>
      <w:widowControl/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rsid w:val="00BE6734"/>
    <w:pPr>
      <w:widowControl/>
      <w:suppressAutoHyphens w:val="0"/>
      <w:spacing w:before="100" w:beforeAutospacing="1" w:after="75"/>
    </w:pPr>
    <w:rPr>
      <w:rFonts w:eastAsia="Times New Roman"/>
      <w:color w:val="000000"/>
      <w:lang w:val="en-US" w:eastAsia="en-US" w:bidi="th-TH"/>
    </w:rPr>
  </w:style>
  <w:style w:type="paragraph" w:customStyle="1" w:styleId="CharChar1">
    <w:name w:val="Char Char1"/>
    <w:basedOn w:val="Norml"/>
    <w:rsid w:val="001B662C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customStyle="1" w:styleId="CM8">
    <w:name w:val="CM8"/>
    <w:basedOn w:val="Norml"/>
    <w:next w:val="Norml"/>
    <w:uiPriority w:val="99"/>
    <w:rsid w:val="00431A09"/>
    <w:pPr>
      <w:suppressAutoHyphens w:val="0"/>
      <w:autoSpaceDE w:val="0"/>
      <w:autoSpaceDN w:val="0"/>
      <w:adjustRightInd w:val="0"/>
      <w:spacing w:after="265"/>
    </w:pPr>
    <w:rPr>
      <w:rFonts w:eastAsia="Times New Roman"/>
      <w:lang w:val="en-GB" w:eastAsia="en-GB"/>
    </w:rPr>
  </w:style>
  <w:style w:type="paragraph" w:customStyle="1" w:styleId="Revision1">
    <w:name w:val="Revision1"/>
    <w:hidden/>
    <w:uiPriority w:val="99"/>
    <w:semiHidden/>
    <w:rsid w:val="00F64D46"/>
    <w:rPr>
      <w:rFonts w:eastAsia="Lucida Sans Unicode"/>
      <w:sz w:val="24"/>
      <w:szCs w:val="24"/>
    </w:rPr>
  </w:style>
  <w:style w:type="character" w:styleId="Hiperhivatkozs">
    <w:name w:val="Hyperlink"/>
    <w:rsid w:val="00B31882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0D1A59"/>
    <w:rPr>
      <w:rFonts w:eastAsia="Lucida Sans Unicode"/>
      <w:sz w:val="24"/>
      <w:szCs w:val="24"/>
      <w:lang w:val="hu-HU"/>
    </w:rPr>
  </w:style>
  <w:style w:type="character" w:styleId="Mrltotthiperhivatkozs">
    <w:name w:val="FollowedHyperlink"/>
    <w:uiPriority w:val="99"/>
    <w:semiHidden/>
    <w:unhideWhenUsed/>
    <w:rsid w:val="00467B19"/>
    <w:rPr>
      <w:color w:val="800080"/>
      <w:u w:val="single"/>
    </w:rPr>
  </w:style>
  <w:style w:type="character" w:customStyle="1" w:styleId="gt-text">
    <w:name w:val="gt-text"/>
    <w:rsid w:val="00B01901"/>
  </w:style>
  <w:style w:type="character" w:customStyle="1" w:styleId="JegyzetszvegChar">
    <w:name w:val="Jegyzetszöveg Char"/>
    <w:link w:val="Jegyzetszveg"/>
    <w:rsid w:val="00A61CE0"/>
    <w:rPr>
      <w:rFonts w:eastAsia="Lucida Sans Unicode"/>
    </w:rPr>
  </w:style>
  <w:style w:type="paragraph" w:styleId="Vltozat">
    <w:name w:val="Revision"/>
    <w:hidden/>
    <w:uiPriority w:val="99"/>
    <w:semiHidden/>
    <w:rsid w:val="00AE17C8"/>
    <w:rPr>
      <w:rFonts w:eastAsia="Lucida Sans Unicode"/>
      <w:sz w:val="24"/>
      <w:szCs w:val="24"/>
    </w:rPr>
  </w:style>
  <w:style w:type="paragraph" w:customStyle="1" w:styleId="Normal1">
    <w:name w:val="Normal1"/>
    <w:basedOn w:val="Norml"/>
    <w:link w:val="NormalChar"/>
    <w:rsid w:val="00F5639C"/>
    <w:pPr>
      <w:autoSpaceDE w:val="0"/>
    </w:pPr>
    <w:rPr>
      <w:rFonts w:eastAsia="Times New Roman"/>
      <w:szCs w:val="20"/>
    </w:rPr>
  </w:style>
  <w:style w:type="character" w:customStyle="1" w:styleId="NormalChar">
    <w:name w:val="Normal Char"/>
    <w:link w:val="Normal1"/>
    <w:rsid w:val="00F5639C"/>
    <w:rPr>
      <w:sz w:val="24"/>
    </w:rPr>
  </w:style>
  <w:style w:type="character" w:customStyle="1" w:styleId="llbChar">
    <w:name w:val="Élőláb Char"/>
    <w:basedOn w:val="Bekezdsalapbettpusa"/>
    <w:link w:val="llb"/>
    <w:rsid w:val="0040428E"/>
    <w:rPr>
      <w:rFonts w:eastAsia="Lucida Sans Unico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10462-F2D0-460C-8B57-96949E3A5A6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6640</Words>
  <Characters>45820</Characters>
  <Application>Microsoft Office Word</Application>
  <DocSecurity>0</DocSecurity>
  <Lines>381</Lines>
  <Paragraphs>104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Novartis</Company>
  <LinksUpToDate>false</LinksUpToDate>
  <CharactersWithSpaces>52356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szucssz1</dc:creator>
  <cp:keywords/>
  <cp:lastModifiedBy>HU OGYI 49.1</cp:lastModifiedBy>
  <cp:revision>5</cp:revision>
  <cp:lastPrinted>2014-07-02T14:27:00Z</cp:lastPrinted>
  <dcterms:created xsi:type="dcterms:W3CDTF">2026-07-29T08:22:00Z</dcterms:created>
  <dcterms:modified xsi:type="dcterms:W3CDTF">2026-07-29T11:28:00Z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2022-09-28T12:28:46Z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d1d93a18-6a3d-4b85-a8d4-3d9129cad092</vt:lpwstr>
  </property>
  <property fmtid="{D5CDD505-2E9C-101B-9397-08002B2CF9AE}" pid="8" name="MSIP_Label_3c9bec58-8084-492e-8360-0e1cfe36408c_ContentBits">
    <vt:lpwstr>0</vt:lpwstr>
  </property>
</Properties>
</file>