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516A2CEC" w14:textId="77777777" w:rsidR="000A7E88" w:rsidRPr="000076C8" w:rsidRDefault="000A7E88" w:rsidP="001C2BD7">
      <w:pPr>
        <w:tabs>
          <w:tab w:val="left" w:pos="567"/>
        </w:tabs>
        <w:rPr>
          <w:b/>
          <w:sz w:val="22"/>
          <w:szCs w:val="22"/>
        </w:rPr>
      </w:pPr>
      <w:bookmarkStart w:id="0" w:name="_GoBack"/>
      <w:bookmarkEnd w:id="0"/>
      <w:r w:rsidRPr="000076C8">
        <w:rPr>
          <w:b/>
          <w:sz w:val="22"/>
          <w:szCs w:val="22"/>
        </w:rPr>
        <w:t>1.</w:t>
      </w:r>
      <w:r w:rsidRPr="000076C8">
        <w:rPr>
          <w:b/>
          <w:sz w:val="22"/>
          <w:szCs w:val="22"/>
        </w:rPr>
        <w:tab/>
        <w:t>A GYÓGYSZER NEVE</w:t>
      </w:r>
    </w:p>
    <w:p w14:paraId="714A37EB" w14:textId="77777777" w:rsidR="000A7E88" w:rsidRPr="000076C8" w:rsidRDefault="000A7E88" w:rsidP="001C2BD7">
      <w:pPr>
        <w:tabs>
          <w:tab w:val="left" w:pos="141"/>
          <w:tab w:val="left" w:pos="567"/>
        </w:tabs>
        <w:rPr>
          <w:b/>
          <w:sz w:val="22"/>
          <w:szCs w:val="22"/>
        </w:rPr>
      </w:pPr>
    </w:p>
    <w:p w14:paraId="47501893" w14:textId="77777777" w:rsidR="000A7E88" w:rsidRPr="00EF51F9" w:rsidRDefault="00B46B5D" w:rsidP="001C2BD7">
      <w:pPr>
        <w:rPr>
          <w:b/>
          <w:sz w:val="22"/>
          <w:szCs w:val="22"/>
        </w:rPr>
      </w:pPr>
      <w:r w:rsidRPr="00EF51F9">
        <w:rPr>
          <w:b/>
          <w:sz w:val="22"/>
          <w:szCs w:val="22"/>
        </w:rPr>
        <w:t xml:space="preserve">Valsartan Sandoz </w:t>
      </w:r>
      <w:r w:rsidR="000A7E88" w:rsidRPr="00EF51F9">
        <w:rPr>
          <w:b/>
          <w:sz w:val="22"/>
          <w:szCs w:val="22"/>
        </w:rPr>
        <w:t>80</w:t>
      </w:r>
      <w:r w:rsidRPr="00EF51F9">
        <w:rPr>
          <w:b/>
          <w:sz w:val="22"/>
          <w:szCs w:val="22"/>
        </w:rPr>
        <w:t> </w:t>
      </w:r>
      <w:r w:rsidR="000A7E88" w:rsidRPr="00EF51F9">
        <w:rPr>
          <w:b/>
          <w:sz w:val="22"/>
          <w:szCs w:val="22"/>
        </w:rPr>
        <w:t>mg filmtabletta</w:t>
      </w:r>
    </w:p>
    <w:p w14:paraId="66CB8FF3" w14:textId="77777777" w:rsidR="000A7E88" w:rsidRPr="00EF51F9" w:rsidRDefault="00B46B5D" w:rsidP="001C2BD7">
      <w:pPr>
        <w:rPr>
          <w:b/>
          <w:sz w:val="22"/>
          <w:szCs w:val="22"/>
        </w:rPr>
      </w:pPr>
      <w:r w:rsidRPr="00EF51F9">
        <w:rPr>
          <w:b/>
          <w:sz w:val="22"/>
          <w:szCs w:val="22"/>
        </w:rPr>
        <w:t xml:space="preserve">Valsartan Sandoz </w:t>
      </w:r>
      <w:r w:rsidR="000A7E88" w:rsidRPr="00EF51F9">
        <w:rPr>
          <w:b/>
          <w:sz w:val="22"/>
          <w:szCs w:val="22"/>
        </w:rPr>
        <w:t>160</w:t>
      </w:r>
      <w:r w:rsidRPr="00EF51F9">
        <w:rPr>
          <w:b/>
          <w:sz w:val="22"/>
          <w:szCs w:val="22"/>
        </w:rPr>
        <w:t> </w:t>
      </w:r>
      <w:r w:rsidR="000A7E88" w:rsidRPr="00EF51F9">
        <w:rPr>
          <w:b/>
          <w:sz w:val="22"/>
          <w:szCs w:val="22"/>
        </w:rPr>
        <w:t>mg filmtabletta</w:t>
      </w:r>
    </w:p>
    <w:p w14:paraId="7CF95A1C" w14:textId="77777777" w:rsidR="000A7E88" w:rsidRDefault="000A7E88" w:rsidP="001C2BD7">
      <w:pPr>
        <w:tabs>
          <w:tab w:val="left" w:pos="567"/>
        </w:tabs>
        <w:rPr>
          <w:sz w:val="22"/>
          <w:szCs w:val="22"/>
        </w:rPr>
      </w:pPr>
    </w:p>
    <w:p w14:paraId="0502D0AC" w14:textId="77777777" w:rsidR="004B4B42" w:rsidRPr="000076C8" w:rsidRDefault="004B4B42" w:rsidP="001C2BD7">
      <w:pPr>
        <w:tabs>
          <w:tab w:val="left" w:pos="567"/>
        </w:tabs>
        <w:rPr>
          <w:sz w:val="22"/>
          <w:szCs w:val="22"/>
        </w:rPr>
      </w:pPr>
    </w:p>
    <w:p w14:paraId="580C0A8F" w14:textId="77777777" w:rsidR="000A7E88" w:rsidRPr="000076C8" w:rsidRDefault="000A7E88" w:rsidP="001C2BD7">
      <w:pPr>
        <w:tabs>
          <w:tab w:val="left" w:pos="141"/>
          <w:tab w:val="left" w:pos="567"/>
        </w:tabs>
        <w:rPr>
          <w:b/>
          <w:sz w:val="22"/>
          <w:szCs w:val="22"/>
        </w:rPr>
      </w:pPr>
      <w:r w:rsidRPr="000076C8">
        <w:rPr>
          <w:b/>
          <w:sz w:val="22"/>
          <w:szCs w:val="22"/>
        </w:rPr>
        <w:t>2.</w:t>
      </w:r>
      <w:r w:rsidRPr="000076C8">
        <w:rPr>
          <w:b/>
          <w:sz w:val="22"/>
          <w:szCs w:val="22"/>
        </w:rPr>
        <w:tab/>
        <w:t>MINŐSÉGI ÉS MENNYISÉGI ÖSSZETÉTEL</w:t>
      </w:r>
    </w:p>
    <w:p w14:paraId="60FDF301" w14:textId="77777777" w:rsidR="000A7E88" w:rsidRPr="0010551A" w:rsidRDefault="000A7E88" w:rsidP="001C2BD7">
      <w:pPr>
        <w:tabs>
          <w:tab w:val="left" w:pos="141"/>
          <w:tab w:val="left" w:pos="567"/>
        </w:tabs>
        <w:rPr>
          <w:sz w:val="22"/>
          <w:szCs w:val="22"/>
        </w:rPr>
      </w:pPr>
    </w:p>
    <w:p w14:paraId="09604C27" w14:textId="77777777" w:rsidR="004B4B42" w:rsidRPr="00DE08A1" w:rsidRDefault="004B4B42" w:rsidP="004B4B42">
      <w:pPr>
        <w:rPr>
          <w:sz w:val="22"/>
          <w:szCs w:val="22"/>
          <w:u w:val="single"/>
        </w:rPr>
      </w:pPr>
      <w:r w:rsidRPr="00DE08A1">
        <w:rPr>
          <w:sz w:val="22"/>
          <w:szCs w:val="22"/>
          <w:u w:val="single"/>
        </w:rPr>
        <w:t>Valsartan Sandoz 80 mg filmtabletta</w:t>
      </w:r>
    </w:p>
    <w:p w14:paraId="4E561F07" w14:textId="77777777" w:rsidR="00B46B5D" w:rsidRDefault="000A7E88" w:rsidP="001C2BD7">
      <w:pPr>
        <w:rPr>
          <w:sz w:val="22"/>
          <w:szCs w:val="22"/>
        </w:rPr>
      </w:pPr>
      <w:r w:rsidRPr="00EF51F9">
        <w:rPr>
          <w:sz w:val="22"/>
          <w:szCs w:val="22"/>
        </w:rPr>
        <w:t>80</w:t>
      </w:r>
      <w:r w:rsidR="00B46B5D" w:rsidRPr="00EF51F9">
        <w:rPr>
          <w:sz w:val="22"/>
          <w:szCs w:val="22"/>
        </w:rPr>
        <w:t> </w:t>
      </w:r>
      <w:r w:rsidRPr="00EF51F9">
        <w:rPr>
          <w:sz w:val="22"/>
          <w:szCs w:val="22"/>
        </w:rPr>
        <w:t>mg</w:t>
      </w:r>
      <w:r w:rsidR="00B46B5D" w:rsidRPr="00EF51F9">
        <w:rPr>
          <w:sz w:val="22"/>
          <w:szCs w:val="22"/>
        </w:rPr>
        <w:t xml:space="preserve"> valzartán</w:t>
      </w:r>
      <w:r w:rsidR="004B4B42">
        <w:rPr>
          <w:sz w:val="22"/>
          <w:szCs w:val="22"/>
        </w:rPr>
        <w:t>t tartalmaz</w:t>
      </w:r>
      <w:r w:rsidR="00B46B5D" w:rsidRPr="00EF51F9">
        <w:rPr>
          <w:sz w:val="22"/>
          <w:szCs w:val="22"/>
        </w:rPr>
        <w:t xml:space="preserve"> filmtablettánként.</w:t>
      </w:r>
    </w:p>
    <w:p w14:paraId="58F1257C" w14:textId="77777777" w:rsidR="004B4B42" w:rsidRPr="00EF51F9" w:rsidRDefault="004B4B42" w:rsidP="001C2BD7">
      <w:pPr>
        <w:rPr>
          <w:sz w:val="22"/>
          <w:szCs w:val="22"/>
        </w:rPr>
      </w:pPr>
    </w:p>
    <w:p w14:paraId="3637ED00" w14:textId="77777777" w:rsidR="004B4B42" w:rsidRPr="002B1977" w:rsidRDefault="004B4B42" w:rsidP="004B4B42">
      <w:pPr>
        <w:rPr>
          <w:sz w:val="22"/>
          <w:szCs w:val="22"/>
          <w:u w:val="single"/>
        </w:rPr>
      </w:pPr>
      <w:r w:rsidRPr="002B1977">
        <w:rPr>
          <w:sz w:val="22"/>
          <w:szCs w:val="22"/>
          <w:u w:val="single"/>
        </w:rPr>
        <w:t xml:space="preserve">Valsartan Sandoz </w:t>
      </w:r>
      <w:r>
        <w:rPr>
          <w:sz w:val="22"/>
          <w:szCs w:val="22"/>
          <w:u w:val="single"/>
        </w:rPr>
        <w:t>16</w:t>
      </w:r>
      <w:r w:rsidRPr="002B1977">
        <w:rPr>
          <w:sz w:val="22"/>
          <w:szCs w:val="22"/>
          <w:u w:val="single"/>
        </w:rPr>
        <w:t>0 mg filmtabletta</w:t>
      </w:r>
    </w:p>
    <w:p w14:paraId="1A8BE282" w14:textId="77777777" w:rsidR="00B46B5D" w:rsidRDefault="00B46B5D" w:rsidP="001C2BD7">
      <w:pPr>
        <w:rPr>
          <w:sz w:val="22"/>
          <w:szCs w:val="22"/>
        </w:rPr>
      </w:pPr>
      <w:r w:rsidRPr="00EF51F9">
        <w:rPr>
          <w:sz w:val="22"/>
          <w:szCs w:val="22"/>
        </w:rPr>
        <w:t>1</w:t>
      </w:r>
      <w:r w:rsidR="000A7E88" w:rsidRPr="00EF51F9">
        <w:rPr>
          <w:sz w:val="22"/>
          <w:szCs w:val="22"/>
        </w:rPr>
        <w:t>60</w:t>
      </w:r>
      <w:r w:rsidRPr="00EF51F9">
        <w:rPr>
          <w:sz w:val="22"/>
          <w:szCs w:val="22"/>
        </w:rPr>
        <w:t> </w:t>
      </w:r>
      <w:r w:rsidR="000A7E88" w:rsidRPr="00EF51F9">
        <w:rPr>
          <w:sz w:val="22"/>
          <w:szCs w:val="22"/>
        </w:rPr>
        <w:t>mg</w:t>
      </w:r>
      <w:r w:rsidRPr="00EF51F9">
        <w:rPr>
          <w:sz w:val="22"/>
          <w:szCs w:val="22"/>
        </w:rPr>
        <w:t xml:space="preserve"> valzartán</w:t>
      </w:r>
      <w:r w:rsidR="004B4B42">
        <w:rPr>
          <w:sz w:val="22"/>
          <w:szCs w:val="22"/>
        </w:rPr>
        <w:t>t tartalmaz</w:t>
      </w:r>
      <w:r w:rsidRPr="00EF51F9">
        <w:rPr>
          <w:sz w:val="22"/>
          <w:szCs w:val="22"/>
        </w:rPr>
        <w:t xml:space="preserve"> filmtablettánként.</w:t>
      </w:r>
    </w:p>
    <w:p w14:paraId="037D4FF9" w14:textId="77777777" w:rsidR="004B4B42" w:rsidRPr="00EF51F9" w:rsidRDefault="004B4B42" w:rsidP="001C2BD7">
      <w:pPr>
        <w:rPr>
          <w:sz w:val="22"/>
          <w:szCs w:val="22"/>
        </w:rPr>
      </w:pPr>
    </w:p>
    <w:p w14:paraId="35547030" w14:textId="77777777" w:rsidR="00E515AE" w:rsidRPr="00345BCE" w:rsidRDefault="00E515AE" w:rsidP="001C2BD7">
      <w:pPr>
        <w:tabs>
          <w:tab w:val="left" w:pos="567"/>
        </w:tabs>
        <w:suppressAutoHyphens w:val="0"/>
        <w:rPr>
          <w:sz w:val="22"/>
          <w:szCs w:val="22"/>
        </w:rPr>
      </w:pPr>
      <w:r w:rsidRPr="00345BCE">
        <w:rPr>
          <w:sz w:val="22"/>
          <w:szCs w:val="22"/>
        </w:rPr>
        <w:t>A segédanyagok teljes listáját lásd a 6.1 pontban.</w:t>
      </w:r>
    </w:p>
    <w:p w14:paraId="0360A15B" w14:textId="77777777" w:rsidR="000A7E88" w:rsidRPr="00D91645" w:rsidRDefault="000A7E88" w:rsidP="001C2BD7">
      <w:pPr>
        <w:tabs>
          <w:tab w:val="left" w:pos="567"/>
        </w:tabs>
        <w:rPr>
          <w:sz w:val="22"/>
          <w:szCs w:val="22"/>
        </w:rPr>
      </w:pPr>
    </w:p>
    <w:p w14:paraId="2D1AD137" w14:textId="77777777" w:rsidR="000A7E88" w:rsidRPr="00706E72" w:rsidRDefault="000A7E88" w:rsidP="001C2BD7">
      <w:pPr>
        <w:tabs>
          <w:tab w:val="left" w:pos="567"/>
        </w:tabs>
        <w:rPr>
          <w:sz w:val="22"/>
          <w:szCs w:val="22"/>
        </w:rPr>
      </w:pPr>
    </w:p>
    <w:p w14:paraId="78D8E473" w14:textId="77777777" w:rsidR="000A7E88" w:rsidRPr="00D23D88" w:rsidRDefault="000A7E88" w:rsidP="001C2BD7">
      <w:pPr>
        <w:tabs>
          <w:tab w:val="left" w:pos="141"/>
          <w:tab w:val="left" w:pos="567"/>
        </w:tabs>
        <w:rPr>
          <w:b/>
          <w:sz w:val="22"/>
          <w:szCs w:val="22"/>
        </w:rPr>
      </w:pPr>
      <w:r w:rsidRPr="00D23D88">
        <w:rPr>
          <w:b/>
          <w:sz w:val="22"/>
          <w:szCs w:val="22"/>
        </w:rPr>
        <w:t>3.</w:t>
      </w:r>
      <w:r w:rsidRPr="00D23D88">
        <w:rPr>
          <w:b/>
          <w:sz w:val="22"/>
          <w:szCs w:val="22"/>
        </w:rPr>
        <w:tab/>
        <w:t>GYÓGYSZERFORMA</w:t>
      </w:r>
    </w:p>
    <w:p w14:paraId="33C0F5D5" w14:textId="77777777" w:rsidR="000A7E88" w:rsidRPr="00345BCE" w:rsidRDefault="000A7E88" w:rsidP="001C2BD7">
      <w:pPr>
        <w:tabs>
          <w:tab w:val="left" w:pos="567"/>
        </w:tabs>
        <w:rPr>
          <w:sz w:val="22"/>
          <w:szCs w:val="22"/>
        </w:rPr>
      </w:pPr>
    </w:p>
    <w:p w14:paraId="0CA3AF25" w14:textId="77777777" w:rsidR="00B46B5D" w:rsidRPr="00C560EC" w:rsidRDefault="000A7E88" w:rsidP="00EA386A">
      <w:pPr>
        <w:tabs>
          <w:tab w:val="left" w:pos="567"/>
          <w:tab w:val="left" w:pos="7155"/>
        </w:tabs>
        <w:rPr>
          <w:sz w:val="22"/>
          <w:szCs w:val="22"/>
        </w:rPr>
      </w:pPr>
      <w:r w:rsidRPr="00345BCE">
        <w:rPr>
          <w:sz w:val="22"/>
          <w:szCs w:val="22"/>
        </w:rPr>
        <w:t>Filmtabletta.</w:t>
      </w:r>
    </w:p>
    <w:p w14:paraId="7E82CBD8" w14:textId="77777777" w:rsidR="00B46B5D" w:rsidRPr="00C560EC" w:rsidRDefault="00B46B5D" w:rsidP="00EA386A">
      <w:pPr>
        <w:tabs>
          <w:tab w:val="left" w:pos="567"/>
        </w:tabs>
        <w:rPr>
          <w:sz w:val="22"/>
          <w:szCs w:val="22"/>
        </w:rPr>
      </w:pPr>
    </w:p>
    <w:p w14:paraId="7AD32084" w14:textId="77777777" w:rsidR="00B46B5D" w:rsidRPr="00EF51F9" w:rsidRDefault="00B46B5D" w:rsidP="00EA386A">
      <w:pPr>
        <w:tabs>
          <w:tab w:val="left" w:pos="567"/>
        </w:tabs>
        <w:rPr>
          <w:sz w:val="22"/>
          <w:szCs w:val="22"/>
          <w:u w:val="single"/>
        </w:rPr>
      </w:pPr>
      <w:r w:rsidRPr="00EF51F9">
        <w:rPr>
          <w:sz w:val="22"/>
          <w:szCs w:val="22"/>
          <w:u w:val="single"/>
        </w:rPr>
        <w:t xml:space="preserve">Valsartan Sandoz </w:t>
      </w:r>
      <w:r w:rsidR="000A7E88" w:rsidRPr="00EF51F9">
        <w:rPr>
          <w:sz w:val="22"/>
          <w:szCs w:val="22"/>
          <w:u w:val="single"/>
        </w:rPr>
        <w:t>80</w:t>
      </w:r>
      <w:r w:rsidRPr="00EF51F9">
        <w:rPr>
          <w:sz w:val="22"/>
          <w:szCs w:val="22"/>
          <w:u w:val="single"/>
        </w:rPr>
        <w:t> </w:t>
      </w:r>
      <w:r w:rsidR="000A7E88" w:rsidRPr="00EF51F9">
        <w:rPr>
          <w:sz w:val="22"/>
          <w:szCs w:val="22"/>
          <w:u w:val="single"/>
        </w:rPr>
        <w:t>mg filmtabletta:</w:t>
      </w:r>
    </w:p>
    <w:p w14:paraId="10935C52" w14:textId="77777777" w:rsidR="00B46B5D" w:rsidRPr="00C560EC" w:rsidRDefault="00B46B5D" w:rsidP="0097699A">
      <w:pPr>
        <w:tabs>
          <w:tab w:val="left" w:pos="567"/>
        </w:tabs>
        <w:rPr>
          <w:sz w:val="22"/>
          <w:szCs w:val="22"/>
        </w:rPr>
      </w:pPr>
      <w:r w:rsidRPr="00C560EC">
        <w:rPr>
          <w:sz w:val="22"/>
          <w:szCs w:val="22"/>
        </w:rPr>
        <w:t>H</w:t>
      </w:r>
      <w:r w:rsidR="000A7E88" w:rsidRPr="00C560EC">
        <w:rPr>
          <w:sz w:val="22"/>
          <w:szCs w:val="22"/>
        </w:rPr>
        <w:t>alványpiros</w:t>
      </w:r>
      <w:r w:rsidR="004F4186" w:rsidRPr="00C560EC">
        <w:rPr>
          <w:sz w:val="22"/>
          <w:szCs w:val="22"/>
        </w:rPr>
        <w:t xml:space="preserve"> színű</w:t>
      </w:r>
      <w:r w:rsidR="000A7E88" w:rsidRPr="00C560EC">
        <w:rPr>
          <w:sz w:val="22"/>
          <w:szCs w:val="22"/>
        </w:rPr>
        <w:t>, kerek</w:t>
      </w:r>
      <w:r w:rsidR="009A6CA2" w:rsidRPr="00C560EC">
        <w:rPr>
          <w:sz w:val="22"/>
          <w:szCs w:val="22"/>
        </w:rPr>
        <w:t xml:space="preserve"> alakú</w:t>
      </w:r>
      <w:r w:rsidR="000A7E88" w:rsidRPr="00C560EC">
        <w:rPr>
          <w:sz w:val="22"/>
          <w:szCs w:val="22"/>
        </w:rPr>
        <w:t xml:space="preserve">, </w:t>
      </w:r>
      <w:r w:rsidR="00D37620" w:rsidRPr="00C560EC">
        <w:rPr>
          <w:sz w:val="22"/>
          <w:szCs w:val="22"/>
        </w:rPr>
        <w:t>körülbelül 8,2 mm átmérőjű,</w:t>
      </w:r>
      <w:r w:rsidR="00D37620" w:rsidRPr="00B0458C">
        <w:rPr>
          <w:sz w:val="22"/>
          <w:szCs w:val="22"/>
        </w:rPr>
        <w:t xml:space="preserve"> </w:t>
      </w:r>
      <w:r w:rsidR="000A7E88" w:rsidRPr="00C560EC">
        <w:rPr>
          <w:sz w:val="22"/>
          <w:szCs w:val="22"/>
        </w:rPr>
        <w:t xml:space="preserve">metszett élű filmbevonatú tabletta, </w:t>
      </w:r>
      <w:r w:rsidRPr="00C560EC">
        <w:rPr>
          <w:sz w:val="22"/>
          <w:szCs w:val="22"/>
        </w:rPr>
        <w:t xml:space="preserve">egyik oldalán </w:t>
      </w:r>
      <w:r w:rsidR="00355A5E" w:rsidRPr="00C560EC">
        <w:rPr>
          <w:sz w:val="22"/>
          <w:szCs w:val="22"/>
        </w:rPr>
        <w:t>bemetszéssel</w:t>
      </w:r>
      <w:r w:rsidRPr="00C560EC">
        <w:rPr>
          <w:sz w:val="22"/>
          <w:szCs w:val="22"/>
        </w:rPr>
        <w:t xml:space="preserve">, a </w:t>
      </w:r>
      <w:r w:rsidR="00355A5E" w:rsidRPr="00C560EC">
        <w:rPr>
          <w:sz w:val="22"/>
          <w:szCs w:val="22"/>
        </w:rPr>
        <w:t xml:space="preserve">bemetszés </w:t>
      </w:r>
      <w:r w:rsidRPr="00C560EC">
        <w:rPr>
          <w:sz w:val="22"/>
          <w:szCs w:val="22"/>
        </w:rPr>
        <w:t>egyik oldalán „D”, a másik oldalán „V” jelöléssel</w:t>
      </w:r>
      <w:r w:rsidR="000A7E88" w:rsidRPr="00C560EC">
        <w:rPr>
          <w:sz w:val="22"/>
          <w:szCs w:val="22"/>
        </w:rPr>
        <w:t xml:space="preserve">, </w:t>
      </w:r>
      <w:r w:rsidR="00FD4DD5" w:rsidRPr="00C560EC">
        <w:rPr>
          <w:sz w:val="22"/>
          <w:szCs w:val="22"/>
        </w:rPr>
        <w:t xml:space="preserve">a tabletta </w:t>
      </w:r>
      <w:r w:rsidR="000A7E88" w:rsidRPr="00C560EC">
        <w:rPr>
          <w:sz w:val="22"/>
          <w:szCs w:val="22"/>
        </w:rPr>
        <w:t>másik oldalán „NVR” felirattal.</w:t>
      </w:r>
    </w:p>
    <w:p w14:paraId="00496CB7" w14:textId="77777777" w:rsidR="000D1A59" w:rsidRPr="00C560EC" w:rsidRDefault="000D1A59" w:rsidP="00666A5A">
      <w:pPr>
        <w:tabs>
          <w:tab w:val="left" w:pos="567"/>
        </w:tabs>
        <w:rPr>
          <w:sz w:val="22"/>
          <w:szCs w:val="22"/>
        </w:rPr>
      </w:pPr>
      <w:r w:rsidRPr="00C560EC">
        <w:rPr>
          <w:sz w:val="22"/>
          <w:szCs w:val="22"/>
        </w:rPr>
        <w:t>A tablettán lévő bemetszés csak a széttörés elősegítésére, és a lenyelés megkönnyítésére szolgál, nem arra, hogy a készítményt egyenlő adagokra ossza.</w:t>
      </w:r>
    </w:p>
    <w:p w14:paraId="1BDC616E" w14:textId="77777777" w:rsidR="000A7E88" w:rsidRPr="00C560EC" w:rsidRDefault="000A7E88" w:rsidP="00666A5A">
      <w:pPr>
        <w:tabs>
          <w:tab w:val="left" w:pos="567"/>
        </w:tabs>
        <w:rPr>
          <w:sz w:val="22"/>
          <w:szCs w:val="22"/>
        </w:rPr>
      </w:pPr>
    </w:p>
    <w:p w14:paraId="70926E3C" w14:textId="77777777" w:rsidR="00B46B5D" w:rsidRPr="00EF51F9" w:rsidRDefault="00B46B5D" w:rsidP="001902F4">
      <w:pPr>
        <w:tabs>
          <w:tab w:val="left" w:pos="567"/>
        </w:tabs>
        <w:rPr>
          <w:sz w:val="22"/>
          <w:szCs w:val="22"/>
          <w:u w:val="single"/>
        </w:rPr>
      </w:pPr>
      <w:r w:rsidRPr="00EF51F9">
        <w:rPr>
          <w:sz w:val="22"/>
          <w:szCs w:val="22"/>
          <w:u w:val="single"/>
        </w:rPr>
        <w:t xml:space="preserve">Valsartan Sandoz </w:t>
      </w:r>
      <w:r w:rsidR="000A7E88" w:rsidRPr="00EF51F9">
        <w:rPr>
          <w:sz w:val="22"/>
          <w:szCs w:val="22"/>
          <w:u w:val="single"/>
        </w:rPr>
        <w:t>160</w:t>
      </w:r>
      <w:r w:rsidRPr="00EF51F9">
        <w:rPr>
          <w:sz w:val="22"/>
          <w:szCs w:val="22"/>
          <w:u w:val="single"/>
        </w:rPr>
        <w:t> </w:t>
      </w:r>
      <w:r w:rsidR="000A7E88" w:rsidRPr="00EF51F9">
        <w:rPr>
          <w:sz w:val="22"/>
          <w:szCs w:val="22"/>
          <w:u w:val="single"/>
        </w:rPr>
        <w:t>mg filmtabletta:</w:t>
      </w:r>
    </w:p>
    <w:p w14:paraId="3C9BE1A4" w14:textId="77777777" w:rsidR="000A7E88" w:rsidRPr="00C560EC" w:rsidRDefault="00B46B5D" w:rsidP="001902F4">
      <w:pPr>
        <w:tabs>
          <w:tab w:val="left" w:pos="567"/>
        </w:tabs>
        <w:rPr>
          <w:sz w:val="22"/>
          <w:szCs w:val="22"/>
        </w:rPr>
      </w:pPr>
      <w:r w:rsidRPr="00C560EC">
        <w:rPr>
          <w:sz w:val="22"/>
          <w:szCs w:val="22"/>
        </w:rPr>
        <w:t>S</w:t>
      </w:r>
      <w:r w:rsidR="000A7E88" w:rsidRPr="00C560EC">
        <w:rPr>
          <w:sz w:val="22"/>
          <w:szCs w:val="22"/>
        </w:rPr>
        <w:t>zürkés-narancs</w:t>
      </w:r>
      <w:r w:rsidR="009A6CA2" w:rsidRPr="00C560EC">
        <w:rPr>
          <w:sz w:val="22"/>
          <w:szCs w:val="22"/>
        </w:rPr>
        <w:t xml:space="preserve"> </w:t>
      </w:r>
      <w:r w:rsidR="000A7E88" w:rsidRPr="00C560EC">
        <w:rPr>
          <w:sz w:val="22"/>
          <w:szCs w:val="22"/>
        </w:rPr>
        <w:t>színű, ovális alakú</w:t>
      </w:r>
      <w:r w:rsidRPr="00C560EC">
        <w:rPr>
          <w:sz w:val="22"/>
          <w:szCs w:val="22"/>
        </w:rPr>
        <w:t xml:space="preserve">, </w:t>
      </w:r>
      <w:r w:rsidR="00D37620" w:rsidRPr="00C560EC">
        <w:rPr>
          <w:sz w:val="22"/>
          <w:szCs w:val="22"/>
        </w:rPr>
        <w:t xml:space="preserve">körülbelül 14,2 mm </w:t>
      </w:r>
      <w:r w:rsidR="00F94AD0" w:rsidRPr="00B0458C">
        <w:rPr>
          <w:sz w:val="22"/>
          <w:szCs w:val="22"/>
        </w:rPr>
        <w:t>×</w:t>
      </w:r>
      <w:r w:rsidR="00627B0C" w:rsidRPr="00C560EC">
        <w:rPr>
          <w:sz w:val="22"/>
          <w:szCs w:val="22"/>
        </w:rPr>
        <w:t xml:space="preserve"> </w:t>
      </w:r>
      <w:r w:rsidR="00D37620" w:rsidRPr="00C560EC">
        <w:rPr>
          <w:sz w:val="22"/>
          <w:szCs w:val="22"/>
        </w:rPr>
        <w:t xml:space="preserve">5,7 mm </w:t>
      </w:r>
      <w:r w:rsidR="00627B0C" w:rsidRPr="00C560EC">
        <w:rPr>
          <w:sz w:val="22"/>
          <w:szCs w:val="22"/>
        </w:rPr>
        <w:t>méretű</w:t>
      </w:r>
      <w:r w:rsidR="00D37620" w:rsidRPr="00C560EC">
        <w:rPr>
          <w:sz w:val="22"/>
          <w:szCs w:val="22"/>
        </w:rPr>
        <w:t>,</w:t>
      </w:r>
      <w:r w:rsidR="00D37620" w:rsidRPr="00B0458C">
        <w:rPr>
          <w:sz w:val="22"/>
          <w:szCs w:val="22"/>
        </w:rPr>
        <w:t xml:space="preserve"> </w:t>
      </w:r>
      <w:r w:rsidRPr="00C560EC">
        <w:rPr>
          <w:sz w:val="22"/>
          <w:szCs w:val="22"/>
        </w:rPr>
        <w:t>enyhén domború felszínű</w:t>
      </w:r>
      <w:r w:rsidR="000A7E88" w:rsidRPr="00C560EC">
        <w:rPr>
          <w:sz w:val="22"/>
          <w:szCs w:val="22"/>
        </w:rPr>
        <w:t xml:space="preserve"> filmbevonatú tabletta, </w:t>
      </w:r>
      <w:r w:rsidRPr="00C560EC">
        <w:rPr>
          <w:sz w:val="22"/>
          <w:szCs w:val="22"/>
        </w:rPr>
        <w:t xml:space="preserve">egyik oldalán </w:t>
      </w:r>
      <w:r w:rsidR="00355A5E" w:rsidRPr="00C560EC">
        <w:rPr>
          <w:sz w:val="22"/>
          <w:szCs w:val="22"/>
        </w:rPr>
        <w:t xml:space="preserve">bemetszéssel és annak két </w:t>
      </w:r>
      <w:r w:rsidRPr="00C560EC">
        <w:rPr>
          <w:sz w:val="22"/>
          <w:szCs w:val="22"/>
        </w:rPr>
        <w:t>oldalán „DX” jelöléssel</w:t>
      </w:r>
      <w:r w:rsidR="000A7E88" w:rsidRPr="00C560EC">
        <w:rPr>
          <w:sz w:val="22"/>
          <w:szCs w:val="22"/>
        </w:rPr>
        <w:t>,</w:t>
      </w:r>
      <w:r w:rsidR="00FD4DD5" w:rsidRPr="00C560EC">
        <w:rPr>
          <w:sz w:val="22"/>
          <w:szCs w:val="22"/>
        </w:rPr>
        <w:t xml:space="preserve"> a tabletta</w:t>
      </w:r>
      <w:r w:rsidR="000A7E88" w:rsidRPr="00C560EC">
        <w:rPr>
          <w:sz w:val="22"/>
          <w:szCs w:val="22"/>
        </w:rPr>
        <w:t xml:space="preserve"> másik oldalán „NVR” felirattal.</w:t>
      </w:r>
    </w:p>
    <w:p w14:paraId="432C3582" w14:textId="77777777" w:rsidR="000D1A59" w:rsidRPr="00C560EC" w:rsidRDefault="000D1A59" w:rsidP="00B0458C">
      <w:pPr>
        <w:tabs>
          <w:tab w:val="left" w:pos="567"/>
        </w:tabs>
        <w:rPr>
          <w:sz w:val="22"/>
          <w:szCs w:val="22"/>
        </w:rPr>
      </w:pPr>
      <w:r w:rsidRPr="00C560EC">
        <w:rPr>
          <w:sz w:val="22"/>
          <w:szCs w:val="22"/>
        </w:rPr>
        <w:t>A tablettán lévő bemetszés csak a széttörés elősegítésére, és a lenyelés megkönnyítésére szolgál, nem arra, hogy a készítményt egyenlő adagokra ossza.</w:t>
      </w:r>
    </w:p>
    <w:p w14:paraId="573E7C37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1330338F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3B36A5CE" w14:textId="77777777" w:rsidR="000A7E88" w:rsidRPr="00345BCE" w:rsidRDefault="000A7E88" w:rsidP="00C560EC">
      <w:pPr>
        <w:tabs>
          <w:tab w:val="left" w:pos="141"/>
          <w:tab w:val="left" w:pos="567"/>
        </w:tabs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</w:t>
      </w:r>
      <w:r w:rsidRPr="00345BCE">
        <w:rPr>
          <w:b/>
          <w:sz w:val="22"/>
          <w:szCs w:val="22"/>
        </w:rPr>
        <w:tab/>
        <w:t>KLINIKAI JELLEMZŐK</w:t>
      </w:r>
    </w:p>
    <w:p w14:paraId="3A8393CC" w14:textId="77777777" w:rsidR="000A7E88" w:rsidRPr="00345BCE" w:rsidRDefault="000A7E88" w:rsidP="00C560EC">
      <w:pPr>
        <w:tabs>
          <w:tab w:val="left" w:pos="141"/>
          <w:tab w:val="left" w:pos="567"/>
        </w:tabs>
        <w:rPr>
          <w:sz w:val="22"/>
          <w:szCs w:val="22"/>
        </w:rPr>
      </w:pPr>
    </w:p>
    <w:p w14:paraId="64C9C948" w14:textId="77777777" w:rsidR="000A7E88" w:rsidRPr="00345BCE" w:rsidRDefault="000A7E88" w:rsidP="00C560EC">
      <w:pPr>
        <w:tabs>
          <w:tab w:val="left" w:pos="567"/>
        </w:tabs>
        <w:rPr>
          <w:rFonts w:eastAsia="Times New Roman"/>
          <w:b/>
          <w:sz w:val="22"/>
          <w:szCs w:val="22"/>
        </w:rPr>
      </w:pPr>
      <w:r w:rsidRPr="00345BCE">
        <w:rPr>
          <w:rFonts w:eastAsia="Times New Roman"/>
          <w:b/>
          <w:sz w:val="22"/>
          <w:szCs w:val="22"/>
        </w:rPr>
        <w:t>4.1</w:t>
      </w:r>
      <w:r w:rsidRPr="00345BCE">
        <w:rPr>
          <w:rFonts w:eastAsia="Times New Roman"/>
          <w:b/>
          <w:sz w:val="22"/>
          <w:szCs w:val="22"/>
        </w:rPr>
        <w:tab/>
        <w:t>Terápiás javallatok</w:t>
      </w:r>
    </w:p>
    <w:p w14:paraId="2C3BB6A2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09DA38C6" w14:textId="77777777" w:rsidR="00C7008B" w:rsidRPr="00345BCE" w:rsidRDefault="002321C3" w:rsidP="00C560EC">
      <w:pPr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Hypertonia</w:t>
      </w:r>
    </w:p>
    <w:p w14:paraId="13C0C831" w14:textId="1DC4ABBA" w:rsidR="00C7008B" w:rsidRPr="00345BCE" w:rsidRDefault="00C7008B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Esszenciális </w:t>
      </w:r>
      <w:r w:rsidR="002321C3">
        <w:rPr>
          <w:sz w:val="22"/>
          <w:szCs w:val="22"/>
        </w:rPr>
        <w:t>hypertonia</w:t>
      </w:r>
      <w:r w:rsidRPr="00345BCE">
        <w:rPr>
          <w:sz w:val="22"/>
          <w:szCs w:val="22"/>
        </w:rPr>
        <w:t xml:space="preserve"> kezelése felnőtteknél és </w:t>
      </w:r>
      <w:r w:rsidR="002321C3">
        <w:rPr>
          <w:sz w:val="22"/>
          <w:szCs w:val="22"/>
        </w:rPr>
        <w:t>hypertonia</w:t>
      </w:r>
      <w:r w:rsidRPr="00345BCE">
        <w:rPr>
          <w:sz w:val="22"/>
          <w:szCs w:val="22"/>
        </w:rPr>
        <w:t xml:space="preserve"> kezelése </w:t>
      </w:r>
      <w:r w:rsidR="0040428E">
        <w:rPr>
          <w:sz w:val="22"/>
          <w:szCs w:val="22"/>
        </w:rPr>
        <w:t xml:space="preserve">legalább </w:t>
      </w:r>
      <w:r w:rsidRPr="00345BCE">
        <w:rPr>
          <w:sz w:val="22"/>
          <w:szCs w:val="22"/>
        </w:rPr>
        <w:t>6</w:t>
      </w:r>
      <w:r w:rsidR="0040428E">
        <w:rPr>
          <w:sz w:val="22"/>
          <w:szCs w:val="22"/>
        </w:rPr>
        <w:t xml:space="preserve"> éves, de </w:t>
      </w:r>
      <w:r w:rsidRPr="00345BCE">
        <w:rPr>
          <w:sz w:val="22"/>
          <w:szCs w:val="22"/>
        </w:rPr>
        <w:t>18</w:t>
      </w:r>
      <w:r w:rsidR="0040428E">
        <w:rPr>
          <w:sz w:val="22"/>
          <w:szCs w:val="22"/>
        </w:rPr>
        <w:t xml:space="preserve"> évesnél fiatalabb korú</w:t>
      </w:r>
      <w:r w:rsidRPr="00345BCE">
        <w:rPr>
          <w:sz w:val="22"/>
          <w:szCs w:val="22"/>
        </w:rPr>
        <w:t xml:space="preserve"> gyermekeknél és serdülőknél.</w:t>
      </w:r>
    </w:p>
    <w:p w14:paraId="65CCC57B" w14:textId="77777777" w:rsidR="00C7008B" w:rsidRPr="00345BCE" w:rsidRDefault="00C7008B" w:rsidP="00C560EC">
      <w:pPr>
        <w:tabs>
          <w:tab w:val="left" w:pos="567"/>
        </w:tabs>
        <w:rPr>
          <w:sz w:val="22"/>
          <w:szCs w:val="22"/>
        </w:rPr>
      </w:pPr>
    </w:p>
    <w:p w14:paraId="7BC0FD09" w14:textId="15E183F9" w:rsidR="00D47C06" w:rsidRPr="00345BCE" w:rsidRDefault="00C7008B" w:rsidP="00C560EC">
      <w:pPr>
        <w:tabs>
          <w:tab w:val="left" w:pos="567"/>
        </w:tabs>
        <w:rPr>
          <w:sz w:val="22"/>
          <w:szCs w:val="22"/>
          <w:u w:val="single"/>
        </w:rPr>
      </w:pPr>
      <w:r w:rsidRPr="009115A8">
        <w:rPr>
          <w:sz w:val="22"/>
          <w:szCs w:val="22"/>
          <w:u w:val="single"/>
        </w:rPr>
        <w:t>Nemrégiben bekövetkezett myocardialis infarctus</w:t>
      </w:r>
      <w:r w:rsidR="00D41273" w:rsidRPr="009115A8">
        <w:rPr>
          <w:sz w:val="22"/>
          <w:szCs w:val="22"/>
          <w:u w:val="single"/>
        </w:rPr>
        <w:t xml:space="preserve"> </w:t>
      </w:r>
    </w:p>
    <w:p w14:paraId="35B83E0D" w14:textId="77777777" w:rsidR="00C7008B" w:rsidRPr="00345BCE" w:rsidRDefault="00C7008B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Szimptómás szívelégtelenségben vagy aszimptómás balkamrai szisztolés működészavarban szenvedő, klinikailag stabil felnőtt betegek kezelése, akik nemrégiben (12 óra – 10 nap) szívizominfarktuson estek át (lásd 4.4 és 5.1 pont).</w:t>
      </w:r>
    </w:p>
    <w:p w14:paraId="78315542" w14:textId="77777777" w:rsidR="00D41273" w:rsidRPr="00345BCE" w:rsidRDefault="00D41273" w:rsidP="00C560EC">
      <w:pPr>
        <w:tabs>
          <w:tab w:val="left" w:pos="567"/>
        </w:tabs>
        <w:rPr>
          <w:sz w:val="22"/>
          <w:szCs w:val="22"/>
          <w:u w:val="single"/>
        </w:rPr>
      </w:pPr>
    </w:p>
    <w:p w14:paraId="17A0AB55" w14:textId="770F4CAE" w:rsidR="00D41273" w:rsidRPr="00345BCE" w:rsidRDefault="00D41273" w:rsidP="00C560EC">
      <w:pPr>
        <w:rPr>
          <w:sz w:val="22"/>
          <w:szCs w:val="22"/>
          <w:u w:val="single"/>
        </w:rPr>
      </w:pPr>
      <w:r w:rsidRPr="009115A8">
        <w:rPr>
          <w:sz w:val="22"/>
          <w:szCs w:val="22"/>
          <w:u w:val="single"/>
        </w:rPr>
        <w:t xml:space="preserve">Szívelégtelenség </w:t>
      </w:r>
    </w:p>
    <w:p w14:paraId="09D99427" w14:textId="3F5EE5E8" w:rsidR="00D41273" w:rsidRPr="00345BCE" w:rsidRDefault="00D41273" w:rsidP="00C560EC">
      <w:pPr>
        <w:rPr>
          <w:sz w:val="22"/>
          <w:szCs w:val="22"/>
          <w:u w:val="single"/>
        </w:rPr>
      </w:pPr>
      <w:r w:rsidRPr="00345BCE">
        <w:rPr>
          <w:sz w:val="22"/>
          <w:szCs w:val="22"/>
        </w:rPr>
        <w:t>Szimptómás szívelégtelenség</w:t>
      </w:r>
      <w:r w:rsidR="00685319">
        <w:rPr>
          <w:sz w:val="22"/>
          <w:szCs w:val="22"/>
        </w:rPr>
        <w:t>ben szenvedő felnőtt betegek</w:t>
      </w:r>
      <w:r w:rsidRPr="00345BCE">
        <w:rPr>
          <w:sz w:val="22"/>
          <w:szCs w:val="22"/>
        </w:rPr>
        <w:t xml:space="preserve"> kezelése, </w:t>
      </w:r>
      <w:r w:rsidR="00685319">
        <w:rPr>
          <w:sz w:val="22"/>
          <w:szCs w:val="22"/>
        </w:rPr>
        <w:t>ha az</w:t>
      </w:r>
      <w:r w:rsidR="00685319" w:rsidRPr="00345BCE">
        <w:rPr>
          <w:sz w:val="22"/>
          <w:szCs w:val="22"/>
        </w:rPr>
        <w:t xml:space="preserve"> </w:t>
      </w:r>
      <w:r w:rsidR="0044317B" w:rsidRPr="0044317B">
        <w:rPr>
          <w:sz w:val="22"/>
          <w:szCs w:val="22"/>
        </w:rPr>
        <w:t xml:space="preserve">angiotenzinkonvertálóenzim- </w:t>
      </w:r>
      <w:r w:rsidR="0044317B">
        <w:rPr>
          <w:sz w:val="22"/>
          <w:szCs w:val="22"/>
        </w:rPr>
        <w:t>(</w:t>
      </w:r>
      <w:r w:rsidRPr="00345BCE">
        <w:rPr>
          <w:sz w:val="22"/>
          <w:szCs w:val="22"/>
        </w:rPr>
        <w:t>ACE</w:t>
      </w:r>
      <w:r w:rsidR="00CA737C">
        <w:rPr>
          <w:sz w:val="22"/>
          <w:szCs w:val="22"/>
        </w:rPr>
        <w:t>-</w:t>
      </w:r>
      <w:r w:rsidR="0044317B">
        <w:rPr>
          <w:sz w:val="22"/>
          <w:szCs w:val="22"/>
        </w:rPr>
        <w:t xml:space="preserve">) </w:t>
      </w:r>
      <w:r w:rsidR="00685319" w:rsidRPr="00345BCE">
        <w:rPr>
          <w:sz w:val="22"/>
          <w:szCs w:val="22"/>
        </w:rPr>
        <w:t>gátló</w:t>
      </w:r>
      <w:r w:rsidR="00685319">
        <w:rPr>
          <w:sz w:val="22"/>
          <w:szCs w:val="22"/>
        </w:rPr>
        <w:t>t</w:t>
      </w:r>
      <w:r w:rsidR="00685319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 xml:space="preserve">nem </w:t>
      </w:r>
      <w:r w:rsidR="00685319">
        <w:rPr>
          <w:sz w:val="22"/>
          <w:szCs w:val="22"/>
        </w:rPr>
        <w:t>tolerálják</w:t>
      </w:r>
      <w:r w:rsidRPr="00345BCE">
        <w:rPr>
          <w:sz w:val="22"/>
          <w:szCs w:val="22"/>
        </w:rPr>
        <w:t xml:space="preserve">, vagy </w:t>
      </w:r>
      <w:r w:rsidR="00685319">
        <w:rPr>
          <w:sz w:val="22"/>
          <w:szCs w:val="22"/>
        </w:rPr>
        <w:t xml:space="preserve">a béta-blokkolóra intoleráns betegek </w:t>
      </w:r>
      <w:r w:rsidRPr="00345BCE">
        <w:rPr>
          <w:sz w:val="22"/>
          <w:szCs w:val="22"/>
        </w:rPr>
        <w:t>ACE-gátló</w:t>
      </w:r>
      <w:r w:rsidR="00685319">
        <w:rPr>
          <w:sz w:val="22"/>
          <w:szCs w:val="22"/>
        </w:rPr>
        <w:t xml:space="preserve"> kezelésének kiegészítésére</w:t>
      </w:r>
      <w:r w:rsidRPr="00345BCE">
        <w:rPr>
          <w:sz w:val="22"/>
          <w:szCs w:val="22"/>
        </w:rPr>
        <w:t xml:space="preserve">, </w:t>
      </w:r>
      <w:r w:rsidR="00685319">
        <w:rPr>
          <w:sz w:val="22"/>
          <w:szCs w:val="22"/>
        </w:rPr>
        <w:t>ha</w:t>
      </w:r>
      <w:r w:rsidRPr="00345BCE">
        <w:rPr>
          <w:sz w:val="22"/>
          <w:szCs w:val="22"/>
        </w:rPr>
        <w:t xml:space="preserve"> </w:t>
      </w:r>
      <w:r w:rsidR="00685319">
        <w:rPr>
          <w:sz w:val="22"/>
          <w:szCs w:val="22"/>
        </w:rPr>
        <w:t>mineralokortikoid</w:t>
      </w:r>
      <w:r w:rsidR="00C62D50">
        <w:rPr>
          <w:sz w:val="22"/>
          <w:szCs w:val="22"/>
        </w:rPr>
        <w:noBreakHyphen/>
      </w:r>
      <w:r w:rsidR="00685319">
        <w:rPr>
          <w:sz w:val="22"/>
          <w:szCs w:val="22"/>
        </w:rPr>
        <w:t>receptor</w:t>
      </w:r>
      <w:r w:rsidR="00C62D50">
        <w:rPr>
          <w:sz w:val="22"/>
          <w:szCs w:val="22"/>
        </w:rPr>
        <w:noBreakHyphen/>
      </w:r>
      <w:r w:rsidR="00685319">
        <w:rPr>
          <w:sz w:val="22"/>
          <w:szCs w:val="22"/>
        </w:rPr>
        <w:t>antagonista nem alkalmazható</w:t>
      </w:r>
      <w:r w:rsidRPr="00345BCE">
        <w:rPr>
          <w:sz w:val="22"/>
          <w:szCs w:val="22"/>
        </w:rPr>
        <w:t xml:space="preserve"> (lásd </w:t>
      </w:r>
      <w:r w:rsidR="00685319">
        <w:rPr>
          <w:sz w:val="22"/>
          <w:szCs w:val="22"/>
        </w:rPr>
        <w:t xml:space="preserve">4.2, </w:t>
      </w:r>
      <w:r w:rsidRPr="00345BCE">
        <w:rPr>
          <w:sz w:val="22"/>
          <w:szCs w:val="22"/>
        </w:rPr>
        <w:t>4.4</w:t>
      </w:r>
      <w:r w:rsidR="00685319">
        <w:rPr>
          <w:sz w:val="22"/>
          <w:szCs w:val="22"/>
        </w:rPr>
        <w:t>, 4.5</w:t>
      </w:r>
      <w:r w:rsidRPr="00345BCE">
        <w:rPr>
          <w:sz w:val="22"/>
          <w:szCs w:val="22"/>
        </w:rPr>
        <w:t xml:space="preserve"> és 5.1 pont).</w:t>
      </w:r>
    </w:p>
    <w:p w14:paraId="7B155F73" w14:textId="77777777" w:rsidR="002F7971" w:rsidRPr="00345BCE" w:rsidRDefault="002F7971" w:rsidP="00C560EC">
      <w:pPr>
        <w:tabs>
          <w:tab w:val="left" w:pos="567"/>
        </w:tabs>
        <w:rPr>
          <w:b/>
          <w:sz w:val="22"/>
          <w:szCs w:val="22"/>
          <w:u w:val="single"/>
        </w:rPr>
      </w:pPr>
    </w:p>
    <w:p w14:paraId="7DFBC352" w14:textId="77777777" w:rsidR="000A7E88" w:rsidRPr="00345BCE" w:rsidRDefault="000A7E88" w:rsidP="00C560EC">
      <w:pPr>
        <w:tabs>
          <w:tab w:val="left" w:pos="567"/>
        </w:tabs>
        <w:rPr>
          <w:b/>
          <w:bCs/>
          <w:sz w:val="22"/>
          <w:szCs w:val="22"/>
        </w:rPr>
      </w:pPr>
      <w:r w:rsidRPr="00345BCE">
        <w:rPr>
          <w:b/>
          <w:bCs/>
          <w:sz w:val="22"/>
          <w:szCs w:val="22"/>
        </w:rPr>
        <w:t>4.2</w:t>
      </w:r>
      <w:r w:rsidRPr="00345BCE">
        <w:rPr>
          <w:b/>
          <w:bCs/>
          <w:sz w:val="22"/>
          <w:szCs w:val="22"/>
        </w:rPr>
        <w:tab/>
      </w:r>
      <w:r w:rsidR="00513BDA" w:rsidRPr="00345BCE">
        <w:rPr>
          <w:b/>
          <w:sz w:val="22"/>
          <w:szCs w:val="22"/>
        </w:rPr>
        <w:t>Adagolás és alkalmazás</w:t>
      </w:r>
    </w:p>
    <w:p w14:paraId="3E812D6E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7CB8AC8C" w14:textId="77777777" w:rsidR="00D47C06" w:rsidRPr="00706E72" w:rsidRDefault="00D47C06" w:rsidP="00C560EC">
      <w:pPr>
        <w:tabs>
          <w:tab w:val="left" w:pos="567"/>
        </w:tabs>
        <w:rPr>
          <w:bCs/>
          <w:i/>
          <w:iCs/>
          <w:sz w:val="22"/>
          <w:szCs w:val="22"/>
          <w:u w:val="single"/>
        </w:rPr>
      </w:pPr>
      <w:r w:rsidRPr="00D91645">
        <w:rPr>
          <w:bCs/>
          <w:i/>
          <w:iCs/>
          <w:sz w:val="22"/>
          <w:szCs w:val="22"/>
          <w:u w:val="single"/>
        </w:rPr>
        <w:lastRenderedPageBreak/>
        <w:t>Adagolás</w:t>
      </w:r>
    </w:p>
    <w:p w14:paraId="53C08406" w14:textId="77777777" w:rsidR="00973E00" w:rsidRPr="00D23D88" w:rsidRDefault="00973E00" w:rsidP="00C560EC">
      <w:pPr>
        <w:tabs>
          <w:tab w:val="left" w:pos="567"/>
        </w:tabs>
        <w:rPr>
          <w:bCs/>
          <w:i/>
          <w:iCs/>
          <w:sz w:val="22"/>
          <w:szCs w:val="22"/>
          <w:u w:val="single"/>
        </w:rPr>
      </w:pPr>
    </w:p>
    <w:p w14:paraId="1B95BC1D" w14:textId="77777777" w:rsidR="00973E00" w:rsidRPr="00345BCE" w:rsidRDefault="002321C3" w:rsidP="00C560EC">
      <w:pPr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Hypertonia</w:t>
      </w:r>
    </w:p>
    <w:p w14:paraId="5A5E6785" w14:textId="77777777" w:rsidR="00973E00" w:rsidRDefault="00973E00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A Valsartan Sandoz ajánlott kezdő adagja naponta egyszer 80 mg. Az antihipertenzív hatás két héten belül kialakul, maximális hatását négy héten belül éri el. Azoknál a betegeknél, akiknek a vérnyomása a fenti adaggal nem állítható be megfelelően, az adag 160 mg-ig, illetve maximum 320 mg-ig emelhető.</w:t>
      </w:r>
    </w:p>
    <w:p w14:paraId="72B641FD" w14:textId="77777777" w:rsidR="009533A2" w:rsidRPr="00345BCE" w:rsidRDefault="009533A2" w:rsidP="00C560EC">
      <w:pPr>
        <w:rPr>
          <w:sz w:val="22"/>
          <w:szCs w:val="22"/>
        </w:rPr>
      </w:pPr>
    </w:p>
    <w:p w14:paraId="550E7D98" w14:textId="77777777" w:rsidR="00973E00" w:rsidRPr="00345BCE" w:rsidRDefault="00973E00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A Valsartan Sandoz együtt adható egyéb antihipertenzív készítményekkel</w:t>
      </w:r>
      <w:r w:rsidR="0071777A">
        <w:rPr>
          <w:sz w:val="22"/>
          <w:szCs w:val="22"/>
        </w:rPr>
        <w:t xml:space="preserve"> </w:t>
      </w:r>
      <w:r w:rsidR="0071777A" w:rsidRPr="0071777A">
        <w:rPr>
          <w:rFonts w:eastAsia="HG Mincho Light J"/>
          <w:sz w:val="22"/>
          <w:szCs w:val="22"/>
        </w:rPr>
        <w:t>(lásd 4.3, 4.4, 4.5 és 5.1 pont)</w:t>
      </w:r>
      <w:r w:rsidRPr="00345BCE">
        <w:rPr>
          <w:sz w:val="22"/>
          <w:szCs w:val="22"/>
        </w:rPr>
        <w:t>. Ezeknél a betegeknél diuretikum, mint például hidroklortiazid együttes adásával a vérnyomás tovább is csökkenthető.</w:t>
      </w:r>
    </w:p>
    <w:p w14:paraId="27F525A2" w14:textId="77777777" w:rsidR="00973E00" w:rsidRPr="00345BCE" w:rsidRDefault="00973E00" w:rsidP="00C560EC">
      <w:pPr>
        <w:rPr>
          <w:sz w:val="22"/>
          <w:szCs w:val="22"/>
          <w:u w:val="single"/>
        </w:rPr>
      </w:pPr>
    </w:p>
    <w:p w14:paraId="02B18389" w14:textId="395EBEAF" w:rsidR="00973E00" w:rsidRPr="00345BCE" w:rsidRDefault="00973E00" w:rsidP="00C560EC">
      <w:pPr>
        <w:rPr>
          <w:sz w:val="22"/>
          <w:szCs w:val="22"/>
          <w:u w:val="single"/>
        </w:rPr>
      </w:pPr>
      <w:r w:rsidRPr="009115A8">
        <w:rPr>
          <w:sz w:val="22"/>
          <w:szCs w:val="22"/>
          <w:u w:val="single"/>
        </w:rPr>
        <w:t xml:space="preserve">Nemrégiben bekövetkezett myocardialis infarctus </w:t>
      </w:r>
    </w:p>
    <w:p w14:paraId="6F0FBD6A" w14:textId="77777777" w:rsidR="009115A8" w:rsidRPr="00DE08A1" w:rsidRDefault="00114567" w:rsidP="009115A8">
      <w:pPr>
        <w:pStyle w:val="Normal1"/>
        <w:tabs>
          <w:tab w:val="left" w:pos="567"/>
        </w:tabs>
        <w:rPr>
          <w:sz w:val="22"/>
          <w:szCs w:val="22"/>
        </w:rPr>
      </w:pPr>
      <w:r w:rsidRPr="00345BCE">
        <w:rPr>
          <w:iCs/>
          <w:sz w:val="22"/>
          <w:szCs w:val="22"/>
        </w:rPr>
        <w:t>Klinikailag stabil betegeknél a</w:t>
      </w:r>
      <w:r w:rsidR="000A7E88" w:rsidRPr="00345BCE">
        <w:rPr>
          <w:sz w:val="22"/>
          <w:szCs w:val="22"/>
        </w:rPr>
        <w:t xml:space="preserve"> kezelést már 12 órával a szívizominfarktus után el lehet kezdeni. A naponta kétszer 20</w:t>
      </w:r>
      <w:r w:rsidR="00B46B5D" w:rsidRPr="00345BCE">
        <w:rPr>
          <w:sz w:val="22"/>
          <w:szCs w:val="22"/>
        </w:rPr>
        <w:t> </w:t>
      </w:r>
      <w:r w:rsidR="000A7E88" w:rsidRPr="00345BCE">
        <w:rPr>
          <w:sz w:val="22"/>
          <w:szCs w:val="22"/>
        </w:rPr>
        <w:t xml:space="preserve">mg-os kezdő adag után a </w:t>
      </w:r>
      <w:r w:rsidR="0015303D" w:rsidRPr="00345BCE">
        <w:rPr>
          <w:sz w:val="22"/>
          <w:szCs w:val="22"/>
        </w:rPr>
        <w:t>valzartán</w:t>
      </w:r>
      <w:r w:rsidR="000A7E88" w:rsidRPr="00345BCE">
        <w:rPr>
          <w:sz w:val="22"/>
          <w:szCs w:val="22"/>
        </w:rPr>
        <w:t xml:space="preserve"> adagját fokozatosan kell emelni a naponta kétszer 4</w:t>
      </w:r>
      <w:r w:rsidR="00B46B5D" w:rsidRPr="00345BCE">
        <w:rPr>
          <w:sz w:val="22"/>
          <w:szCs w:val="22"/>
        </w:rPr>
        <w:t>0 </w:t>
      </w:r>
      <w:r w:rsidR="000A7E88" w:rsidRPr="00345BCE">
        <w:rPr>
          <w:sz w:val="22"/>
          <w:szCs w:val="22"/>
        </w:rPr>
        <w:t xml:space="preserve">mg, </w:t>
      </w:r>
      <w:r w:rsidR="000A7E88" w:rsidRPr="006C63E2">
        <w:rPr>
          <w:sz w:val="22"/>
          <w:szCs w:val="22"/>
        </w:rPr>
        <w:t>80</w:t>
      </w:r>
      <w:r w:rsidR="00B46B5D" w:rsidRPr="006C63E2">
        <w:rPr>
          <w:sz w:val="22"/>
          <w:szCs w:val="22"/>
        </w:rPr>
        <w:t> </w:t>
      </w:r>
      <w:r w:rsidR="000A7E88" w:rsidRPr="006C63E2">
        <w:rPr>
          <w:sz w:val="22"/>
          <w:szCs w:val="22"/>
        </w:rPr>
        <w:t>mg, ill. 160</w:t>
      </w:r>
      <w:r w:rsidR="00B46B5D" w:rsidRPr="006C63E2">
        <w:rPr>
          <w:sz w:val="22"/>
          <w:szCs w:val="22"/>
        </w:rPr>
        <w:t> </w:t>
      </w:r>
      <w:r w:rsidR="000A7E88" w:rsidRPr="006C63E2">
        <w:rPr>
          <w:sz w:val="22"/>
          <w:szCs w:val="22"/>
        </w:rPr>
        <w:t xml:space="preserve">mg-os adagra a következő néhány hét során. </w:t>
      </w:r>
      <w:r w:rsidR="009115A8" w:rsidRPr="006C63E2">
        <w:rPr>
          <w:sz w:val="22"/>
          <w:szCs w:val="22"/>
        </w:rPr>
        <w:t>A Valsartan Sandoz filmtablett</w:t>
      </w:r>
      <w:r w:rsidR="006C63E2">
        <w:rPr>
          <w:sz w:val="22"/>
          <w:szCs w:val="22"/>
        </w:rPr>
        <w:t>ával</w:t>
      </w:r>
      <w:r w:rsidR="009115A8" w:rsidRPr="006C63E2">
        <w:rPr>
          <w:sz w:val="22"/>
          <w:szCs w:val="22"/>
        </w:rPr>
        <w:t xml:space="preserve"> </w:t>
      </w:r>
      <w:r w:rsidR="006C63E2" w:rsidRPr="006C63E2">
        <w:rPr>
          <w:sz w:val="22"/>
          <w:szCs w:val="22"/>
        </w:rPr>
        <w:t>a 20</w:t>
      </w:r>
      <w:r w:rsidR="006C63E2" w:rsidRPr="00DE08A1">
        <w:rPr>
          <w:sz w:val="22"/>
          <w:szCs w:val="22"/>
        </w:rPr>
        <w:t> mg-os és a</w:t>
      </w:r>
      <w:r w:rsidR="009115A8" w:rsidRPr="006C63E2">
        <w:rPr>
          <w:sz w:val="22"/>
          <w:szCs w:val="22"/>
        </w:rPr>
        <w:t xml:space="preserve"> 40</w:t>
      </w:r>
      <w:r w:rsidR="006C63E2">
        <w:rPr>
          <w:sz w:val="22"/>
          <w:szCs w:val="22"/>
        </w:rPr>
        <w:t> </w:t>
      </w:r>
      <w:r w:rsidR="009115A8" w:rsidRPr="006C63E2">
        <w:rPr>
          <w:sz w:val="22"/>
          <w:szCs w:val="22"/>
        </w:rPr>
        <w:t xml:space="preserve">mg-os </w:t>
      </w:r>
      <w:r w:rsidR="006C63E2" w:rsidRPr="006C63E2">
        <w:rPr>
          <w:sz w:val="22"/>
          <w:szCs w:val="22"/>
        </w:rPr>
        <w:t xml:space="preserve">dózis </w:t>
      </w:r>
      <w:r w:rsidR="006C63E2">
        <w:rPr>
          <w:sz w:val="22"/>
          <w:szCs w:val="22"/>
        </w:rPr>
        <w:t xml:space="preserve">alkalmazása </w:t>
      </w:r>
      <w:r w:rsidR="006C63E2" w:rsidRPr="006C63E2">
        <w:rPr>
          <w:sz w:val="22"/>
          <w:szCs w:val="22"/>
        </w:rPr>
        <w:t>nem valósítható meg</w:t>
      </w:r>
      <w:r w:rsidR="009115A8" w:rsidRPr="006C63E2">
        <w:rPr>
          <w:sz w:val="22"/>
          <w:szCs w:val="22"/>
        </w:rPr>
        <w:t>.</w:t>
      </w:r>
    </w:p>
    <w:p w14:paraId="49E27083" w14:textId="77777777" w:rsidR="009533A2" w:rsidRPr="00345BCE" w:rsidRDefault="009533A2" w:rsidP="00C560EC">
      <w:pPr>
        <w:pStyle w:val="paragraph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p w14:paraId="0F033CD1" w14:textId="77777777" w:rsidR="000A7E88" w:rsidRDefault="000A7E88" w:rsidP="00C560EC">
      <w:pPr>
        <w:pStyle w:val="paragraph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  <w:r w:rsidRPr="00345BCE">
        <w:rPr>
          <w:sz w:val="22"/>
          <w:szCs w:val="22"/>
          <w:lang w:val="hu-HU"/>
        </w:rPr>
        <w:t xml:space="preserve">A </w:t>
      </w:r>
      <w:r w:rsidR="00C75B34" w:rsidRPr="00345BCE">
        <w:rPr>
          <w:sz w:val="22"/>
          <w:szCs w:val="22"/>
          <w:lang w:val="hu-HU"/>
        </w:rPr>
        <w:t xml:space="preserve">maximális céldózis </w:t>
      </w:r>
      <w:r w:rsidRPr="00345BCE">
        <w:rPr>
          <w:sz w:val="22"/>
          <w:szCs w:val="22"/>
          <w:lang w:val="hu-HU"/>
        </w:rPr>
        <w:t>naponta kétszer 160</w:t>
      </w:r>
      <w:r w:rsidR="00B46B5D" w:rsidRPr="00345BCE">
        <w:rPr>
          <w:sz w:val="22"/>
          <w:szCs w:val="22"/>
          <w:lang w:val="hu-HU"/>
        </w:rPr>
        <w:t> </w:t>
      </w:r>
      <w:r w:rsidRPr="00345BCE">
        <w:rPr>
          <w:sz w:val="22"/>
          <w:szCs w:val="22"/>
          <w:lang w:val="hu-HU"/>
        </w:rPr>
        <w:t>mg. Általánosságban a napi 2</w:t>
      </w:r>
      <w:r w:rsidR="00A32219">
        <w:rPr>
          <w:sz w:val="22"/>
          <w:szCs w:val="22"/>
          <w:lang w:val="hu-HU"/>
        </w:rPr>
        <w:t>×</w:t>
      </w:r>
      <w:r w:rsidRPr="00345BCE">
        <w:rPr>
          <w:sz w:val="22"/>
          <w:szCs w:val="22"/>
          <w:lang w:val="hu-HU"/>
        </w:rPr>
        <w:t>80</w:t>
      </w:r>
      <w:r w:rsidR="00B46B5D" w:rsidRPr="00345BCE">
        <w:rPr>
          <w:sz w:val="22"/>
          <w:szCs w:val="22"/>
          <w:lang w:val="hu-HU"/>
        </w:rPr>
        <w:t> </w:t>
      </w:r>
      <w:r w:rsidRPr="00345BCE">
        <w:rPr>
          <w:sz w:val="22"/>
          <w:szCs w:val="22"/>
          <w:lang w:val="hu-HU"/>
        </w:rPr>
        <w:t>mg adagot a kezelés megkezdését követően 2 héttel</w:t>
      </w:r>
      <w:r w:rsidR="00C75B34" w:rsidRPr="00345BCE">
        <w:rPr>
          <w:sz w:val="22"/>
          <w:szCs w:val="22"/>
          <w:lang w:val="hu-HU"/>
        </w:rPr>
        <w:t>,</w:t>
      </w:r>
      <w:r w:rsidRPr="00345BCE">
        <w:rPr>
          <w:sz w:val="22"/>
          <w:szCs w:val="22"/>
          <w:lang w:val="hu-HU"/>
        </w:rPr>
        <w:t xml:space="preserve"> a maximális céldózist</w:t>
      </w:r>
      <w:r w:rsidR="00C75B34" w:rsidRPr="00345BCE">
        <w:rPr>
          <w:sz w:val="22"/>
          <w:szCs w:val="22"/>
          <w:lang w:val="hu-HU"/>
        </w:rPr>
        <w:t>, vagyis a napi 2</w:t>
      </w:r>
      <w:r w:rsidR="00A32219">
        <w:rPr>
          <w:sz w:val="22"/>
          <w:szCs w:val="22"/>
          <w:lang w:val="hu-HU"/>
        </w:rPr>
        <w:t>×</w:t>
      </w:r>
      <w:r w:rsidR="00C75B34" w:rsidRPr="00345BCE">
        <w:rPr>
          <w:sz w:val="22"/>
          <w:szCs w:val="22"/>
          <w:lang w:val="hu-HU"/>
        </w:rPr>
        <w:t>160 mg adagot</w:t>
      </w:r>
      <w:r w:rsidRPr="00345BCE">
        <w:rPr>
          <w:sz w:val="22"/>
          <w:szCs w:val="22"/>
          <w:lang w:val="hu-HU"/>
        </w:rPr>
        <w:t xml:space="preserve"> 3 hónappal </w:t>
      </w:r>
      <w:r w:rsidR="00C75B34" w:rsidRPr="00345BCE">
        <w:rPr>
          <w:sz w:val="22"/>
          <w:szCs w:val="22"/>
          <w:lang w:val="hu-HU"/>
        </w:rPr>
        <w:t xml:space="preserve">a kezelés megkezdése után </w:t>
      </w:r>
      <w:r w:rsidRPr="00345BCE">
        <w:rPr>
          <w:sz w:val="22"/>
          <w:szCs w:val="22"/>
          <w:lang w:val="hu-HU"/>
        </w:rPr>
        <w:t>javasolt elérni</w:t>
      </w:r>
      <w:r w:rsidR="00C75B34" w:rsidRPr="00345BCE">
        <w:rPr>
          <w:sz w:val="22"/>
          <w:szCs w:val="22"/>
          <w:lang w:val="hu-HU"/>
        </w:rPr>
        <w:t xml:space="preserve"> </w:t>
      </w:r>
      <w:r w:rsidR="00B46B5D" w:rsidRPr="00345BCE">
        <w:rPr>
          <w:sz w:val="22"/>
          <w:szCs w:val="22"/>
          <w:lang w:val="hu-HU"/>
        </w:rPr>
        <w:t xml:space="preserve">figyelembe véve </w:t>
      </w:r>
      <w:r w:rsidR="00C75B34" w:rsidRPr="00345BCE">
        <w:rPr>
          <w:sz w:val="22"/>
          <w:szCs w:val="22"/>
          <w:lang w:val="hu-HU"/>
        </w:rPr>
        <w:t>azt, hogy a beteg mennyire tolerálja a gyógyszert</w:t>
      </w:r>
      <w:r w:rsidRPr="00345BCE">
        <w:rPr>
          <w:sz w:val="22"/>
          <w:szCs w:val="22"/>
          <w:lang w:val="hu-HU"/>
        </w:rPr>
        <w:t xml:space="preserve">. Tünetekkel járó vérnyomáscsökkenés vagy veseműködési zavar előfordulása esetén </w:t>
      </w:r>
      <w:r w:rsidR="00B46B5D" w:rsidRPr="00345BCE">
        <w:rPr>
          <w:sz w:val="22"/>
          <w:szCs w:val="22"/>
          <w:lang w:val="hu-HU"/>
        </w:rPr>
        <w:t xml:space="preserve">mérlegelni </w:t>
      </w:r>
      <w:r w:rsidRPr="00345BCE">
        <w:rPr>
          <w:sz w:val="22"/>
          <w:szCs w:val="22"/>
          <w:lang w:val="hu-HU"/>
        </w:rPr>
        <w:t>k</w:t>
      </w:r>
      <w:r w:rsidR="00F633B7" w:rsidRPr="00345BCE">
        <w:rPr>
          <w:sz w:val="22"/>
          <w:szCs w:val="22"/>
          <w:lang w:val="hu-HU"/>
        </w:rPr>
        <w:t>ell az adag csökkentését.</w:t>
      </w:r>
    </w:p>
    <w:p w14:paraId="0A40CEA2" w14:textId="77777777" w:rsidR="009533A2" w:rsidRPr="00345BCE" w:rsidRDefault="009533A2" w:rsidP="00C560EC">
      <w:pPr>
        <w:pStyle w:val="paragraph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p w14:paraId="7343D2DF" w14:textId="77777777" w:rsidR="000A7E88" w:rsidRPr="00345BCE" w:rsidRDefault="000A7E88" w:rsidP="00C560EC">
      <w:pPr>
        <w:pStyle w:val="paragraph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  <w:r w:rsidRPr="00345BCE">
        <w:rPr>
          <w:sz w:val="22"/>
          <w:szCs w:val="22"/>
          <w:lang w:val="hu-HU"/>
        </w:rPr>
        <w:t xml:space="preserve">A </w:t>
      </w:r>
      <w:r w:rsidR="0015303D" w:rsidRPr="00345BCE">
        <w:rPr>
          <w:sz w:val="22"/>
          <w:szCs w:val="22"/>
          <w:lang w:val="hu-HU"/>
        </w:rPr>
        <w:t>valzartán</w:t>
      </w:r>
      <w:r w:rsidRPr="00D91645">
        <w:rPr>
          <w:sz w:val="22"/>
          <w:szCs w:val="22"/>
          <w:lang w:val="hu-HU"/>
        </w:rPr>
        <w:t xml:space="preserve"> a szívizominfarktus utáni egyéb kezeléseket – trombol</w:t>
      </w:r>
      <w:r w:rsidR="004052A0" w:rsidRPr="00706E72">
        <w:rPr>
          <w:sz w:val="22"/>
          <w:szCs w:val="22"/>
          <w:lang w:val="hu-HU"/>
        </w:rPr>
        <w:t>i</w:t>
      </w:r>
      <w:r w:rsidRPr="00706E72">
        <w:rPr>
          <w:sz w:val="22"/>
          <w:szCs w:val="22"/>
          <w:lang w:val="hu-HU"/>
        </w:rPr>
        <w:t xml:space="preserve">tikumokat, acetilszalicilsavat, </w:t>
      </w:r>
      <w:r w:rsidR="00C75B34" w:rsidRPr="00706E72">
        <w:rPr>
          <w:sz w:val="22"/>
          <w:szCs w:val="22"/>
          <w:lang w:val="hu-HU"/>
        </w:rPr>
        <w:t>béta</w:t>
      </w:r>
      <w:r w:rsidR="00A32219">
        <w:rPr>
          <w:sz w:val="22"/>
          <w:szCs w:val="22"/>
          <w:lang w:val="hu-HU"/>
        </w:rPr>
        <w:noBreakHyphen/>
      </w:r>
      <w:r w:rsidRPr="00D23D88">
        <w:rPr>
          <w:sz w:val="22"/>
          <w:szCs w:val="22"/>
          <w:lang w:val="hu-HU"/>
        </w:rPr>
        <w:t>blokkolókat</w:t>
      </w:r>
      <w:r w:rsidR="00C75B34" w:rsidRPr="00D23D88">
        <w:rPr>
          <w:sz w:val="22"/>
          <w:szCs w:val="22"/>
          <w:lang w:val="hu-HU"/>
        </w:rPr>
        <w:t>,</w:t>
      </w:r>
      <w:r w:rsidRPr="00D23D88">
        <w:rPr>
          <w:sz w:val="22"/>
          <w:szCs w:val="22"/>
          <w:lang w:val="hu-HU"/>
        </w:rPr>
        <w:t xml:space="preserve"> sztatinokat </w:t>
      </w:r>
      <w:r w:rsidR="00C75B34" w:rsidRPr="00345BCE">
        <w:rPr>
          <w:sz w:val="22"/>
          <w:szCs w:val="22"/>
          <w:lang w:val="hu-HU"/>
        </w:rPr>
        <w:t xml:space="preserve">vagy diuretikumokat </w:t>
      </w:r>
      <w:r w:rsidRPr="00345BCE">
        <w:rPr>
          <w:sz w:val="22"/>
          <w:szCs w:val="22"/>
          <w:lang w:val="hu-HU"/>
        </w:rPr>
        <w:t>– kapó be</w:t>
      </w:r>
      <w:r w:rsidR="00F633B7" w:rsidRPr="00345BCE">
        <w:rPr>
          <w:sz w:val="22"/>
          <w:szCs w:val="22"/>
          <w:lang w:val="hu-HU"/>
        </w:rPr>
        <w:t>tegek esetében is alkalmazható.</w:t>
      </w:r>
      <w:r w:rsidR="00C75B34" w:rsidRPr="00345BCE">
        <w:rPr>
          <w:sz w:val="22"/>
          <w:szCs w:val="22"/>
          <w:lang w:val="hu-HU"/>
        </w:rPr>
        <w:t xml:space="preserve"> </w:t>
      </w:r>
      <w:r w:rsidR="00C75B34" w:rsidRPr="00116CBC">
        <w:rPr>
          <w:sz w:val="22"/>
          <w:szCs w:val="22"/>
          <w:lang w:val="hu-HU"/>
        </w:rPr>
        <w:t>Az ACE</w:t>
      </w:r>
      <w:r w:rsidR="00A32219">
        <w:rPr>
          <w:sz w:val="22"/>
          <w:szCs w:val="22"/>
          <w:lang w:val="hu-HU"/>
        </w:rPr>
        <w:noBreakHyphen/>
      </w:r>
      <w:r w:rsidR="00C75B34" w:rsidRPr="00116CBC">
        <w:rPr>
          <w:sz w:val="22"/>
          <w:szCs w:val="22"/>
          <w:lang w:val="hu-HU"/>
        </w:rPr>
        <w:t>gátlóval való kombináció nem ajánlott (lásd 4.4 és 5.1 pont).</w:t>
      </w:r>
    </w:p>
    <w:p w14:paraId="0BFDB3CB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Myocardialis infar</w:t>
      </w:r>
      <w:r w:rsidR="00F9007A">
        <w:rPr>
          <w:sz w:val="22"/>
          <w:szCs w:val="22"/>
        </w:rPr>
        <w:t>c</w:t>
      </w:r>
      <w:r w:rsidRPr="00345BCE">
        <w:rPr>
          <w:sz w:val="22"/>
          <w:szCs w:val="22"/>
        </w:rPr>
        <w:t>tus utáni állapotban levő betegek kezelése során mindig meg kell határoz</w:t>
      </w:r>
      <w:r w:rsidR="00F633B7" w:rsidRPr="00345BCE">
        <w:rPr>
          <w:sz w:val="22"/>
          <w:szCs w:val="22"/>
        </w:rPr>
        <w:t>ni a vesefunkciós értékeket is.</w:t>
      </w:r>
    </w:p>
    <w:p w14:paraId="1EE7331D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26A09423" w14:textId="02C60BB5" w:rsidR="004B7D6A" w:rsidRPr="009115A8" w:rsidRDefault="00C75B34" w:rsidP="00C560EC">
      <w:pPr>
        <w:rPr>
          <w:sz w:val="22"/>
          <w:szCs w:val="22"/>
          <w:u w:val="single"/>
        </w:rPr>
      </w:pPr>
      <w:r w:rsidRPr="009115A8">
        <w:rPr>
          <w:sz w:val="22"/>
          <w:szCs w:val="22"/>
          <w:u w:val="single"/>
        </w:rPr>
        <w:t>Szívelégtelenség</w:t>
      </w:r>
      <w:r w:rsidR="004B7D6A" w:rsidRPr="009115A8">
        <w:rPr>
          <w:sz w:val="22"/>
          <w:szCs w:val="22"/>
          <w:u w:val="single"/>
        </w:rPr>
        <w:t xml:space="preserve"> </w:t>
      </w:r>
    </w:p>
    <w:p w14:paraId="795FC9D2" w14:textId="77777777" w:rsidR="00C75B34" w:rsidRDefault="00C75B34" w:rsidP="00DE08A1">
      <w:pPr>
        <w:pStyle w:val="Normal1"/>
        <w:tabs>
          <w:tab w:val="left" w:pos="567"/>
        </w:tabs>
        <w:rPr>
          <w:sz w:val="22"/>
          <w:szCs w:val="22"/>
        </w:rPr>
      </w:pPr>
      <w:r w:rsidRPr="009115A8">
        <w:rPr>
          <w:sz w:val="22"/>
          <w:szCs w:val="22"/>
        </w:rPr>
        <w:t>A</w:t>
      </w:r>
      <w:r w:rsidR="00B46B5D" w:rsidRPr="009115A8">
        <w:rPr>
          <w:sz w:val="22"/>
          <w:szCs w:val="22"/>
        </w:rPr>
        <w:t>z</w:t>
      </w:r>
      <w:r w:rsidRPr="009115A8">
        <w:rPr>
          <w:sz w:val="22"/>
          <w:szCs w:val="22"/>
        </w:rPr>
        <w:t xml:space="preserve"> ajánlott kezdő adagja naponta kétszer 40 mg</w:t>
      </w:r>
      <w:r w:rsidR="00B46B5D" w:rsidRPr="009115A8">
        <w:rPr>
          <w:sz w:val="22"/>
          <w:szCs w:val="22"/>
        </w:rPr>
        <w:t xml:space="preserve"> valzartán</w:t>
      </w:r>
      <w:r w:rsidR="00411310">
        <w:rPr>
          <w:sz w:val="22"/>
          <w:szCs w:val="22"/>
        </w:rPr>
        <w:t xml:space="preserve">. </w:t>
      </w:r>
      <w:r w:rsidR="00411310" w:rsidRPr="006C63E2">
        <w:rPr>
          <w:sz w:val="22"/>
          <w:szCs w:val="22"/>
        </w:rPr>
        <w:t>A Valsartan Sandoz filmtablett</w:t>
      </w:r>
      <w:r w:rsidR="00411310">
        <w:rPr>
          <w:sz w:val="22"/>
          <w:szCs w:val="22"/>
        </w:rPr>
        <w:t>ával</w:t>
      </w:r>
      <w:r w:rsidR="00411310" w:rsidRPr="006C63E2">
        <w:rPr>
          <w:sz w:val="22"/>
          <w:szCs w:val="22"/>
        </w:rPr>
        <w:t xml:space="preserve"> </w:t>
      </w:r>
      <w:r w:rsidR="00411310" w:rsidRPr="002B1977">
        <w:rPr>
          <w:sz w:val="22"/>
          <w:szCs w:val="22"/>
        </w:rPr>
        <w:t>a</w:t>
      </w:r>
      <w:r w:rsidR="00411310" w:rsidRPr="006C63E2">
        <w:rPr>
          <w:sz w:val="22"/>
          <w:szCs w:val="22"/>
        </w:rPr>
        <w:t xml:space="preserve"> 40</w:t>
      </w:r>
      <w:r w:rsidR="00411310">
        <w:rPr>
          <w:sz w:val="22"/>
          <w:szCs w:val="22"/>
        </w:rPr>
        <w:t> </w:t>
      </w:r>
      <w:r w:rsidR="00411310" w:rsidRPr="006C63E2">
        <w:rPr>
          <w:sz w:val="22"/>
          <w:szCs w:val="22"/>
        </w:rPr>
        <w:t xml:space="preserve">mg-os dózis </w:t>
      </w:r>
      <w:r w:rsidR="00411310">
        <w:rPr>
          <w:sz w:val="22"/>
          <w:szCs w:val="22"/>
        </w:rPr>
        <w:t xml:space="preserve">alkalmazása </w:t>
      </w:r>
      <w:r w:rsidR="00411310" w:rsidRPr="006C63E2">
        <w:rPr>
          <w:sz w:val="22"/>
          <w:szCs w:val="22"/>
        </w:rPr>
        <w:t>nem valósítható meg.</w:t>
      </w:r>
      <w:r w:rsidR="00411310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Az adag naponta kétszer 80, ill. 160 mg-ig emelhető legalább kéthetes intervallumokban, a beteg által tolerált legnagyobb dózisig. Az egyidejűleg adott diuretikumok adagját ajánlott csökkenteni. Klinikai vizsgálatokban napi 320 mg volt a maximális adag több részletben elosztva.</w:t>
      </w:r>
    </w:p>
    <w:p w14:paraId="6ACE6596" w14:textId="77777777" w:rsidR="009533A2" w:rsidRPr="00345BCE" w:rsidRDefault="009533A2" w:rsidP="00C560EC">
      <w:pPr>
        <w:tabs>
          <w:tab w:val="left" w:pos="567"/>
        </w:tabs>
        <w:rPr>
          <w:sz w:val="22"/>
          <w:szCs w:val="22"/>
        </w:rPr>
      </w:pPr>
    </w:p>
    <w:p w14:paraId="0B1C25B4" w14:textId="77777777" w:rsidR="00C75B34" w:rsidRPr="00345BCE" w:rsidRDefault="00C75B34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valzartán együtt adható a szívelégtelenség kezelésére szolgáló egyéb gyógyszerekkel. Mindemellett, az ACE-gátló, </w:t>
      </w:r>
      <w:r w:rsidR="00861401">
        <w:rPr>
          <w:sz w:val="22"/>
          <w:szCs w:val="22"/>
        </w:rPr>
        <w:t xml:space="preserve">valzartán és </w:t>
      </w:r>
      <w:r w:rsidRPr="00345BCE">
        <w:rPr>
          <w:sz w:val="22"/>
          <w:szCs w:val="22"/>
        </w:rPr>
        <w:t>béta</w:t>
      </w:r>
      <w:r w:rsidR="00B46B5D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blokkoló </w:t>
      </w:r>
      <w:r w:rsidR="00861401">
        <w:rPr>
          <w:sz w:val="22"/>
          <w:szCs w:val="22"/>
        </w:rPr>
        <w:t xml:space="preserve">vagy </w:t>
      </w:r>
      <w:r w:rsidR="00861401" w:rsidRPr="00490038">
        <w:rPr>
          <w:sz w:val="22"/>
          <w:szCs w:val="22"/>
        </w:rPr>
        <w:t xml:space="preserve">káliummegtakarító diuretikum </w:t>
      </w:r>
      <w:r w:rsidRPr="00345BCE">
        <w:rPr>
          <w:sz w:val="22"/>
          <w:szCs w:val="22"/>
        </w:rPr>
        <w:t>hármas kombinációja nem ajánlott (lásd 4.4 és 5.1 pont).</w:t>
      </w:r>
    </w:p>
    <w:p w14:paraId="51DF27C2" w14:textId="77777777" w:rsidR="00C75B34" w:rsidRPr="00345BCE" w:rsidRDefault="00C75B34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Szívelégtelenségben szenvedő betegek kivizsgálása során mindig fel kell mérni a vesefunkciókat is.</w:t>
      </w:r>
    </w:p>
    <w:p w14:paraId="79050E3F" w14:textId="77777777" w:rsidR="00C75B34" w:rsidRPr="00345BCE" w:rsidRDefault="00C75B34" w:rsidP="00C560EC">
      <w:pPr>
        <w:tabs>
          <w:tab w:val="left" w:pos="567"/>
        </w:tabs>
        <w:rPr>
          <w:b/>
          <w:sz w:val="22"/>
          <w:szCs w:val="22"/>
        </w:rPr>
      </w:pPr>
    </w:p>
    <w:p w14:paraId="52007FBF" w14:textId="77777777" w:rsidR="00C75B34" w:rsidRPr="00345BCE" w:rsidRDefault="00411310" w:rsidP="00C560EC">
      <w:pPr>
        <w:tabs>
          <w:tab w:val="left" w:pos="567"/>
        </w:tabs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t>Különleges</w:t>
      </w:r>
      <w:r w:rsidRPr="00345BCE">
        <w:rPr>
          <w:bCs/>
          <w:i/>
          <w:iCs/>
          <w:sz w:val="22"/>
          <w:szCs w:val="22"/>
          <w:u w:val="single"/>
        </w:rPr>
        <w:t xml:space="preserve"> </w:t>
      </w:r>
      <w:r w:rsidR="00A32219" w:rsidRPr="00A32219">
        <w:rPr>
          <w:bCs/>
          <w:i/>
          <w:iCs/>
          <w:sz w:val="22"/>
          <w:szCs w:val="22"/>
          <w:u w:val="single"/>
        </w:rPr>
        <w:t>betegcsoportok</w:t>
      </w:r>
      <w:r w:rsidR="00C75B34" w:rsidRPr="00345BCE">
        <w:rPr>
          <w:bCs/>
          <w:i/>
          <w:iCs/>
          <w:sz w:val="22"/>
          <w:szCs w:val="22"/>
          <w:u w:val="single"/>
        </w:rPr>
        <w:t>ra vonatkozó további információk</w:t>
      </w:r>
    </w:p>
    <w:p w14:paraId="78319BC6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  <w:u w:val="single"/>
        </w:rPr>
      </w:pPr>
    </w:p>
    <w:p w14:paraId="2231EF85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  <w:u w:val="single"/>
        </w:rPr>
      </w:pPr>
      <w:r w:rsidRPr="00414C40">
        <w:rPr>
          <w:bCs/>
          <w:sz w:val="22"/>
          <w:szCs w:val="22"/>
          <w:u w:val="single"/>
        </w:rPr>
        <w:t>Idősek</w:t>
      </w:r>
    </w:p>
    <w:p w14:paraId="70BE8D11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</w:rPr>
      </w:pPr>
      <w:r w:rsidRPr="00345BCE">
        <w:rPr>
          <w:sz w:val="22"/>
          <w:szCs w:val="22"/>
        </w:rPr>
        <w:t>I</w:t>
      </w:r>
      <w:r w:rsidRPr="00345BCE">
        <w:rPr>
          <w:bCs/>
          <w:sz w:val="22"/>
          <w:szCs w:val="22"/>
        </w:rPr>
        <w:t>dőseknél n</w:t>
      </w:r>
      <w:r w:rsidRPr="00345BCE">
        <w:rPr>
          <w:sz w:val="22"/>
          <w:szCs w:val="22"/>
        </w:rPr>
        <w:t>em szükséges a dózis módosítása</w:t>
      </w:r>
      <w:r w:rsidRPr="00345BCE">
        <w:rPr>
          <w:bCs/>
          <w:sz w:val="22"/>
          <w:szCs w:val="22"/>
        </w:rPr>
        <w:t>.</w:t>
      </w:r>
    </w:p>
    <w:p w14:paraId="5936B784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</w:rPr>
      </w:pPr>
    </w:p>
    <w:p w14:paraId="232B23FD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  <w:u w:val="single"/>
        </w:rPr>
      </w:pPr>
      <w:r w:rsidRPr="00345BCE">
        <w:rPr>
          <w:bCs/>
          <w:sz w:val="22"/>
          <w:szCs w:val="22"/>
          <w:u w:val="single"/>
        </w:rPr>
        <w:t>Vesekárosodás</w:t>
      </w:r>
    </w:p>
    <w:p w14:paraId="49105D01" w14:textId="77777777" w:rsidR="004B4318" w:rsidRPr="00345BCE" w:rsidRDefault="004B4318" w:rsidP="00C560EC">
      <w:pPr>
        <w:rPr>
          <w:sz w:val="22"/>
          <w:szCs w:val="22"/>
        </w:rPr>
      </w:pPr>
      <w:r w:rsidRPr="00345BCE">
        <w:rPr>
          <w:bCs/>
          <w:sz w:val="22"/>
          <w:szCs w:val="22"/>
        </w:rPr>
        <w:t>Nem szükséges a dózis módosítása azoknál a felnőtt betegeknél, akik</w:t>
      </w:r>
      <w:r w:rsidR="00BE2C56">
        <w:rPr>
          <w:bCs/>
          <w:sz w:val="22"/>
          <w:szCs w:val="22"/>
        </w:rPr>
        <w:t xml:space="preserve">nek a </w:t>
      </w:r>
      <w:r w:rsidRPr="00345BCE">
        <w:rPr>
          <w:bCs/>
          <w:sz w:val="22"/>
          <w:szCs w:val="22"/>
        </w:rPr>
        <w:t>kreatinin</w:t>
      </w:r>
      <w:r w:rsidR="003B293D">
        <w:rPr>
          <w:bCs/>
          <w:sz w:val="22"/>
          <w:szCs w:val="22"/>
        </w:rPr>
        <w:noBreakHyphen/>
      </w:r>
      <w:r w:rsidRPr="00345BCE">
        <w:rPr>
          <w:bCs/>
          <w:sz w:val="22"/>
          <w:szCs w:val="22"/>
        </w:rPr>
        <w:t xml:space="preserve">clearance-e </w:t>
      </w:r>
      <w:r w:rsidRPr="00345BCE">
        <w:rPr>
          <w:sz w:val="22"/>
          <w:szCs w:val="22"/>
        </w:rPr>
        <w:t>&gt;</w:t>
      </w:r>
      <w:r w:rsidR="003B293D">
        <w:rPr>
          <w:sz w:val="22"/>
          <w:szCs w:val="22"/>
        </w:rPr>
        <w:t> </w:t>
      </w:r>
      <w:r w:rsidRPr="00345BCE">
        <w:rPr>
          <w:sz w:val="22"/>
          <w:szCs w:val="22"/>
        </w:rPr>
        <w:t>10 ml/perc (lásd 4.4 és 5.2 pont).</w:t>
      </w:r>
    </w:p>
    <w:p w14:paraId="13CCBCC4" w14:textId="77777777" w:rsidR="00C75B34" w:rsidRDefault="00151ED1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Vesekárosodásban szenvedő betegek</w:t>
      </w:r>
      <w:r w:rsidR="006A6133">
        <w:rPr>
          <w:sz w:val="22"/>
          <w:szCs w:val="22"/>
        </w:rPr>
        <w:t>nél</w:t>
      </w:r>
      <w:r>
        <w:rPr>
          <w:sz w:val="22"/>
          <w:szCs w:val="22"/>
        </w:rPr>
        <w:t xml:space="preserve"> (</w:t>
      </w:r>
      <w:r w:rsidRPr="00151ED1">
        <w:rPr>
          <w:sz w:val="22"/>
          <w:szCs w:val="22"/>
        </w:rPr>
        <w:t xml:space="preserve">GFR </w:t>
      </w:r>
      <w:r w:rsidR="008B4E1F">
        <w:rPr>
          <w:sz w:val="22"/>
          <w:szCs w:val="22"/>
        </w:rPr>
        <w:t xml:space="preserve">[glomeruláris filtrációs ráta] </w:t>
      </w:r>
      <w:r w:rsidRPr="00151ED1">
        <w:rPr>
          <w:sz w:val="22"/>
          <w:szCs w:val="22"/>
        </w:rPr>
        <w:t>&lt;</w:t>
      </w:r>
      <w:r w:rsidR="003B293D">
        <w:rPr>
          <w:sz w:val="22"/>
          <w:szCs w:val="22"/>
        </w:rPr>
        <w:t> </w:t>
      </w:r>
      <w:r w:rsidRPr="00151ED1">
        <w:rPr>
          <w:sz w:val="22"/>
          <w:szCs w:val="22"/>
        </w:rPr>
        <w:t>60 m</w:t>
      </w:r>
      <w:r w:rsidR="00355A5E">
        <w:rPr>
          <w:sz w:val="22"/>
          <w:szCs w:val="22"/>
        </w:rPr>
        <w:t>l</w:t>
      </w:r>
      <w:r w:rsidRPr="00151ED1">
        <w:rPr>
          <w:sz w:val="22"/>
          <w:szCs w:val="22"/>
        </w:rPr>
        <w:t>/</w:t>
      </w:r>
      <w:r w:rsidR="00355A5E">
        <w:rPr>
          <w:sz w:val="22"/>
          <w:szCs w:val="22"/>
        </w:rPr>
        <w:t>perc</w:t>
      </w:r>
      <w:r w:rsidRPr="00151ED1">
        <w:rPr>
          <w:sz w:val="22"/>
          <w:szCs w:val="22"/>
        </w:rPr>
        <w:t>/1</w:t>
      </w:r>
      <w:r w:rsidR="003B293D">
        <w:rPr>
          <w:sz w:val="22"/>
          <w:szCs w:val="22"/>
        </w:rPr>
        <w:t>,</w:t>
      </w:r>
      <w:r w:rsidRPr="00151ED1">
        <w:rPr>
          <w:sz w:val="22"/>
          <w:szCs w:val="22"/>
        </w:rPr>
        <w:t>73</w:t>
      </w:r>
      <w:r w:rsidR="003B293D">
        <w:rPr>
          <w:sz w:val="22"/>
          <w:szCs w:val="22"/>
        </w:rPr>
        <w:t> </w:t>
      </w:r>
      <w:r w:rsidRPr="00151ED1">
        <w:rPr>
          <w:sz w:val="22"/>
          <w:szCs w:val="22"/>
        </w:rPr>
        <w:t>m</w:t>
      </w:r>
      <w:r w:rsidRPr="00151ED1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) a valzartán alis</w:t>
      </w:r>
      <w:r w:rsidR="006A6133">
        <w:rPr>
          <w:sz w:val="22"/>
          <w:szCs w:val="22"/>
        </w:rPr>
        <w:t>z</w:t>
      </w:r>
      <w:r>
        <w:rPr>
          <w:sz w:val="22"/>
          <w:szCs w:val="22"/>
        </w:rPr>
        <w:t>kir</w:t>
      </w:r>
      <w:r w:rsidR="003B293D">
        <w:rPr>
          <w:sz w:val="22"/>
          <w:szCs w:val="22"/>
        </w:rPr>
        <w:t>é</w:t>
      </w:r>
      <w:r>
        <w:rPr>
          <w:sz w:val="22"/>
          <w:szCs w:val="22"/>
        </w:rPr>
        <w:t>nnel történő</w:t>
      </w:r>
      <w:r w:rsidR="006A6133">
        <w:rPr>
          <w:sz w:val="22"/>
          <w:szCs w:val="22"/>
        </w:rPr>
        <w:t xml:space="preserve"> együttes alkalmazása</w:t>
      </w:r>
      <w:r>
        <w:rPr>
          <w:sz w:val="22"/>
          <w:szCs w:val="22"/>
        </w:rPr>
        <w:t xml:space="preserve"> ellenjavallt (lásd 4.3 pont).</w:t>
      </w:r>
    </w:p>
    <w:p w14:paraId="30727708" w14:textId="77777777" w:rsidR="00151ED1" w:rsidRDefault="00151ED1" w:rsidP="00C560EC">
      <w:pPr>
        <w:tabs>
          <w:tab w:val="left" w:pos="567"/>
        </w:tabs>
        <w:rPr>
          <w:sz w:val="22"/>
          <w:szCs w:val="22"/>
        </w:rPr>
      </w:pPr>
    </w:p>
    <w:p w14:paraId="324D40DA" w14:textId="77777777" w:rsidR="006A6133" w:rsidRPr="007B1252" w:rsidRDefault="006A6133" w:rsidP="00C560EC">
      <w:pPr>
        <w:tabs>
          <w:tab w:val="left" w:pos="567"/>
        </w:tabs>
        <w:rPr>
          <w:sz w:val="22"/>
          <w:szCs w:val="22"/>
          <w:u w:val="single"/>
        </w:rPr>
      </w:pPr>
      <w:r w:rsidRPr="007B1252">
        <w:rPr>
          <w:sz w:val="22"/>
          <w:szCs w:val="22"/>
          <w:u w:val="single"/>
        </w:rPr>
        <w:t>Diabetes mellitus</w:t>
      </w:r>
    </w:p>
    <w:p w14:paraId="58BDC7F5" w14:textId="77777777" w:rsidR="006A6133" w:rsidRDefault="006A6133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Diabetes mellitusban szenvedő betegeknél a valzartán aliszkir</w:t>
      </w:r>
      <w:r w:rsidR="006D4DB0">
        <w:rPr>
          <w:sz w:val="22"/>
          <w:szCs w:val="22"/>
        </w:rPr>
        <w:t>é</w:t>
      </w:r>
      <w:r>
        <w:rPr>
          <w:sz w:val="22"/>
          <w:szCs w:val="22"/>
        </w:rPr>
        <w:t>nnel történő együttes alkalmazása ellenjavallt (lásd 4.3 pont).</w:t>
      </w:r>
    </w:p>
    <w:p w14:paraId="03ACD6E7" w14:textId="77777777" w:rsidR="006A6133" w:rsidRPr="00345BCE" w:rsidRDefault="006A6133" w:rsidP="00C560EC">
      <w:pPr>
        <w:tabs>
          <w:tab w:val="left" w:pos="567"/>
        </w:tabs>
        <w:rPr>
          <w:sz w:val="22"/>
          <w:szCs w:val="22"/>
        </w:rPr>
      </w:pPr>
    </w:p>
    <w:p w14:paraId="18BD07AE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  <w:u w:val="single"/>
        </w:rPr>
      </w:pPr>
      <w:r w:rsidRPr="00345BCE">
        <w:rPr>
          <w:bCs/>
          <w:sz w:val="22"/>
          <w:szCs w:val="22"/>
          <w:u w:val="single"/>
        </w:rPr>
        <w:lastRenderedPageBreak/>
        <w:t>Májkárosodás</w:t>
      </w:r>
    </w:p>
    <w:p w14:paraId="26DC54B0" w14:textId="77777777" w:rsidR="00001928" w:rsidRPr="00345BCE" w:rsidRDefault="00001928" w:rsidP="00C560EC">
      <w:pPr>
        <w:rPr>
          <w:bCs/>
          <w:sz w:val="22"/>
          <w:szCs w:val="22"/>
        </w:rPr>
      </w:pPr>
      <w:r w:rsidRPr="00345BCE">
        <w:rPr>
          <w:bCs/>
          <w:sz w:val="22"/>
          <w:szCs w:val="22"/>
        </w:rPr>
        <w:t xml:space="preserve">Súlyos májkárosodásban, biliaris cirrhosisban, valamint cholestasisban szenvedő betegeknél a Valsartan Sandoz ellenjavallt (lásd 4.3, 4.4 és 5.2 pont). A </w:t>
      </w:r>
      <w:r w:rsidRPr="00345BCE">
        <w:rPr>
          <w:sz w:val="22"/>
          <w:szCs w:val="22"/>
        </w:rPr>
        <w:t xml:space="preserve">cholestasissal nem járó </w:t>
      </w:r>
      <w:r w:rsidRPr="00345BCE">
        <w:rPr>
          <w:bCs/>
          <w:sz w:val="22"/>
          <w:szCs w:val="22"/>
        </w:rPr>
        <w:t>enyhe vagy közepesen súlyos májkárosodásban szenvedő betegeknél a valzartán dózis nem haladhatja meg a 80 mg</w:t>
      </w:r>
      <w:r w:rsidRPr="00345BCE">
        <w:rPr>
          <w:bCs/>
          <w:sz w:val="22"/>
          <w:szCs w:val="22"/>
        </w:rPr>
        <w:noBreakHyphen/>
        <w:t>ot.</w:t>
      </w:r>
    </w:p>
    <w:p w14:paraId="6DA9996F" w14:textId="77777777" w:rsidR="00C75B34" w:rsidRPr="00345BCE" w:rsidRDefault="00C75B34" w:rsidP="00C560EC">
      <w:pPr>
        <w:tabs>
          <w:tab w:val="left" w:pos="567"/>
        </w:tabs>
        <w:rPr>
          <w:bCs/>
          <w:sz w:val="22"/>
          <w:szCs w:val="22"/>
          <w:u w:val="single"/>
        </w:rPr>
      </w:pPr>
    </w:p>
    <w:p w14:paraId="1E702BB1" w14:textId="77777777" w:rsidR="00B46B5D" w:rsidRPr="00345BCE" w:rsidRDefault="00C75B34" w:rsidP="00C560EC">
      <w:pPr>
        <w:tabs>
          <w:tab w:val="left" w:pos="567"/>
        </w:tabs>
        <w:rPr>
          <w:bCs/>
          <w:i/>
          <w:sz w:val="22"/>
          <w:szCs w:val="22"/>
          <w:u w:val="single"/>
        </w:rPr>
      </w:pPr>
      <w:r w:rsidRPr="00345BCE">
        <w:rPr>
          <w:bCs/>
          <w:i/>
          <w:sz w:val="22"/>
          <w:szCs w:val="22"/>
          <w:u w:val="single"/>
        </w:rPr>
        <w:t>Gyermek</w:t>
      </w:r>
      <w:r w:rsidR="006D4DB0">
        <w:rPr>
          <w:bCs/>
          <w:i/>
          <w:sz w:val="22"/>
          <w:szCs w:val="22"/>
          <w:u w:val="single"/>
        </w:rPr>
        <w:t>ek és serdülők</w:t>
      </w:r>
    </w:p>
    <w:p w14:paraId="5048DC39" w14:textId="77777777" w:rsidR="00001928" w:rsidRPr="00345BCE" w:rsidRDefault="00001928" w:rsidP="00C560EC">
      <w:pPr>
        <w:tabs>
          <w:tab w:val="left" w:pos="567"/>
        </w:tabs>
        <w:rPr>
          <w:bCs/>
          <w:i/>
          <w:sz w:val="22"/>
          <w:szCs w:val="22"/>
        </w:rPr>
      </w:pPr>
    </w:p>
    <w:p w14:paraId="16355605" w14:textId="77777777" w:rsidR="00001928" w:rsidRDefault="00001928" w:rsidP="00C560EC">
      <w:pPr>
        <w:rPr>
          <w:iCs/>
          <w:sz w:val="22"/>
          <w:szCs w:val="22"/>
          <w:u w:val="single"/>
        </w:rPr>
      </w:pPr>
      <w:r w:rsidRPr="00345BCE">
        <w:rPr>
          <w:iCs/>
          <w:sz w:val="22"/>
          <w:szCs w:val="22"/>
          <w:u w:val="single"/>
        </w:rPr>
        <w:t xml:space="preserve">Gyermekkori </w:t>
      </w:r>
      <w:r w:rsidR="002321C3">
        <w:rPr>
          <w:iCs/>
          <w:sz w:val="22"/>
          <w:szCs w:val="22"/>
          <w:u w:val="single"/>
        </w:rPr>
        <w:t>hypertonia</w:t>
      </w:r>
    </w:p>
    <w:p w14:paraId="4A56D2FC" w14:textId="4D45E65D" w:rsidR="004C76FE" w:rsidRPr="002D680A" w:rsidRDefault="004C76FE" w:rsidP="00AE2B27">
      <w:pPr>
        <w:rPr>
          <w:iCs/>
          <w:sz w:val="22"/>
          <w:szCs w:val="22"/>
        </w:rPr>
      </w:pPr>
      <w:bookmarkStart w:id="1" w:name="_Hlk212464624"/>
      <w:r w:rsidRPr="002D680A">
        <w:rPr>
          <w:iCs/>
          <w:sz w:val="22"/>
          <w:szCs w:val="22"/>
        </w:rPr>
        <w:t xml:space="preserve">A Valsartan Sandoz nem elérhető belsőleges oldat </w:t>
      </w:r>
      <w:r w:rsidR="0040428E">
        <w:rPr>
          <w:iCs/>
          <w:sz w:val="22"/>
          <w:szCs w:val="22"/>
        </w:rPr>
        <w:t>gyógyszer</w:t>
      </w:r>
      <w:r w:rsidRPr="002D680A">
        <w:rPr>
          <w:iCs/>
          <w:sz w:val="22"/>
          <w:szCs w:val="22"/>
        </w:rPr>
        <w:t xml:space="preserve">formájában. </w:t>
      </w:r>
      <w:r w:rsidR="00DD56E7">
        <w:rPr>
          <w:iCs/>
          <w:sz w:val="22"/>
          <w:szCs w:val="22"/>
        </w:rPr>
        <w:t>Ha b</w:t>
      </w:r>
      <w:r w:rsidRPr="002D680A">
        <w:rPr>
          <w:iCs/>
          <w:sz w:val="22"/>
          <w:szCs w:val="22"/>
        </w:rPr>
        <w:t>elsőleges oldat</w:t>
      </w:r>
      <w:r w:rsidR="00DD56E7">
        <w:rPr>
          <w:iCs/>
          <w:sz w:val="22"/>
          <w:szCs w:val="22"/>
        </w:rPr>
        <w:t xml:space="preserve"> </w:t>
      </w:r>
      <w:r w:rsidRPr="002D680A">
        <w:rPr>
          <w:iCs/>
          <w:sz w:val="22"/>
          <w:szCs w:val="22"/>
        </w:rPr>
        <w:t>alkalmazás</w:t>
      </w:r>
      <w:r w:rsidR="00DD56E7">
        <w:rPr>
          <w:iCs/>
          <w:sz w:val="22"/>
          <w:szCs w:val="22"/>
        </w:rPr>
        <w:t xml:space="preserve">a szükséges, </w:t>
      </w:r>
      <w:r w:rsidRPr="002D680A">
        <w:rPr>
          <w:iCs/>
          <w:sz w:val="22"/>
          <w:szCs w:val="22"/>
        </w:rPr>
        <w:t xml:space="preserve">kérjük </w:t>
      </w:r>
      <w:r w:rsidR="006D4AF3" w:rsidRPr="002D680A">
        <w:rPr>
          <w:iCs/>
          <w:sz w:val="22"/>
          <w:szCs w:val="22"/>
        </w:rPr>
        <w:t>keressen</w:t>
      </w:r>
      <w:r w:rsidRPr="002D680A">
        <w:rPr>
          <w:iCs/>
          <w:sz w:val="22"/>
          <w:szCs w:val="22"/>
        </w:rPr>
        <w:t xml:space="preserve"> </w:t>
      </w:r>
      <w:r w:rsidR="00DD56E7">
        <w:rPr>
          <w:iCs/>
          <w:sz w:val="22"/>
          <w:szCs w:val="22"/>
        </w:rPr>
        <w:t>másik,</w:t>
      </w:r>
      <w:r w:rsidR="006D4AF3" w:rsidRPr="002D680A">
        <w:rPr>
          <w:iCs/>
          <w:sz w:val="22"/>
          <w:szCs w:val="22"/>
        </w:rPr>
        <w:t xml:space="preserve"> forgalomban</w:t>
      </w:r>
      <w:r w:rsidRPr="002D680A">
        <w:rPr>
          <w:iCs/>
          <w:sz w:val="22"/>
          <w:szCs w:val="22"/>
        </w:rPr>
        <w:t xml:space="preserve"> elérhető </w:t>
      </w:r>
      <w:r w:rsidR="00DD56E7">
        <w:rPr>
          <w:iCs/>
          <w:sz w:val="22"/>
          <w:szCs w:val="22"/>
        </w:rPr>
        <w:t>készítményt</w:t>
      </w:r>
      <w:r w:rsidRPr="002D680A">
        <w:rPr>
          <w:iCs/>
          <w:sz w:val="22"/>
          <w:szCs w:val="22"/>
        </w:rPr>
        <w:t>.</w:t>
      </w:r>
    </w:p>
    <w:bookmarkEnd w:id="1"/>
    <w:p w14:paraId="0606B8DF" w14:textId="77777777" w:rsidR="00AE2B27" w:rsidRPr="002D680A" w:rsidRDefault="00AE2B27" w:rsidP="00C560EC">
      <w:pPr>
        <w:rPr>
          <w:iCs/>
          <w:sz w:val="22"/>
          <w:szCs w:val="22"/>
        </w:rPr>
      </w:pPr>
    </w:p>
    <w:p w14:paraId="24362802" w14:textId="40A0A8A5" w:rsidR="00AE2B27" w:rsidRPr="002D680A" w:rsidRDefault="00AE2B27" w:rsidP="00C560EC">
      <w:pPr>
        <w:rPr>
          <w:iCs/>
          <w:sz w:val="22"/>
          <w:szCs w:val="22"/>
        </w:rPr>
      </w:pPr>
      <w:r w:rsidRPr="002D680A">
        <w:rPr>
          <w:iCs/>
          <w:sz w:val="22"/>
          <w:szCs w:val="22"/>
        </w:rPr>
        <w:t xml:space="preserve">Azoknak a gyermekeknek és serdülőknek, akik nem tudják a tablettákat lenyelni, a </w:t>
      </w:r>
      <w:r w:rsidR="00F12ED5" w:rsidRPr="002D680A">
        <w:rPr>
          <w:iCs/>
          <w:sz w:val="22"/>
          <w:szCs w:val="22"/>
        </w:rPr>
        <w:t>valzartán</w:t>
      </w:r>
      <w:r w:rsidRPr="002D680A">
        <w:rPr>
          <w:iCs/>
          <w:sz w:val="22"/>
          <w:szCs w:val="22"/>
        </w:rPr>
        <w:t xml:space="preserve"> belsőleges oldat alkalmazása javasolt. A valzartán szisztémás expozíciója 1,7</w:t>
      </w:r>
      <w:r w:rsidR="00DB59E0" w:rsidRPr="002D680A">
        <w:rPr>
          <w:iCs/>
          <w:sz w:val="22"/>
          <w:szCs w:val="22"/>
        </w:rPr>
        <w:t>-</w:t>
      </w:r>
      <w:r w:rsidRPr="002D680A">
        <w:rPr>
          <w:iCs/>
          <w:sz w:val="22"/>
          <w:szCs w:val="22"/>
        </w:rPr>
        <w:t>szer, maximális plazmakoncentrációja pedig 2,2</w:t>
      </w:r>
      <w:r w:rsidR="00DB59E0" w:rsidRPr="002D680A">
        <w:rPr>
          <w:iCs/>
          <w:sz w:val="22"/>
          <w:szCs w:val="22"/>
        </w:rPr>
        <w:t>-</w:t>
      </w:r>
      <w:r w:rsidRPr="002D680A">
        <w:rPr>
          <w:iCs/>
          <w:sz w:val="22"/>
          <w:szCs w:val="22"/>
        </w:rPr>
        <w:t>szer nagyobb az oldat alkalmazása esetén a tablettákhoz képest.</w:t>
      </w:r>
    </w:p>
    <w:p w14:paraId="620B4206" w14:textId="77777777" w:rsidR="00AE2B27" w:rsidRPr="002D680A" w:rsidRDefault="00AE2B27" w:rsidP="00C560EC">
      <w:pPr>
        <w:rPr>
          <w:iCs/>
          <w:sz w:val="22"/>
          <w:szCs w:val="22"/>
        </w:rPr>
      </w:pPr>
    </w:p>
    <w:p w14:paraId="1731B318" w14:textId="30DDC010" w:rsidR="00001928" w:rsidRPr="00345BCE" w:rsidRDefault="00001928" w:rsidP="00C560EC">
      <w:pPr>
        <w:rPr>
          <w:i/>
          <w:sz w:val="22"/>
          <w:szCs w:val="22"/>
        </w:rPr>
      </w:pPr>
      <w:r w:rsidRPr="00345BCE">
        <w:rPr>
          <w:i/>
          <w:sz w:val="22"/>
          <w:szCs w:val="22"/>
        </w:rPr>
        <w:t xml:space="preserve">Gyermekek és serdülők, </w:t>
      </w:r>
      <w:r w:rsidR="00DD56E7" w:rsidRPr="00DD56E7">
        <w:rPr>
          <w:i/>
          <w:sz w:val="22"/>
          <w:szCs w:val="22"/>
        </w:rPr>
        <w:t>l</w:t>
      </w:r>
      <w:r w:rsidR="00DD56E7" w:rsidRPr="002D680A">
        <w:rPr>
          <w:i/>
          <w:sz w:val="22"/>
          <w:szCs w:val="22"/>
        </w:rPr>
        <w:t>egalább 6 éves, de 18 évesnél fiatalabb</w:t>
      </w:r>
      <w:r w:rsidR="00DD56E7" w:rsidRPr="00DD56E7">
        <w:rPr>
          <w:i/>
          <w:sz w:val="22"/>
          <w:szCs w:val="22"/>
        </w:rPr>
        <w:t xml:space="preserve"> életkor</w:t>
      </w:r>
    </w:p>
    <w:p w14:paraId="68B058D0" w14:textId="21660E83" w:rsidR="00411310" w:rsidRPr="002B1977" w:rsidRDefault="00001928" w:rsidP="00411310">
      <w:pPr>
        <w:pStyle w:val="Normal1"/>
        <w:tabs>
          <w:tab w:val="left" w:pos="567"/>
        </w:tabs>
        <w:rPr>
          <w:sz w:val="22"/>
          <w:szCs w:val="22"/>
        </w:rPr>
      </w:pPr>
      <w:r w:rsidRPr="009115A8">
        <w:rPr>
          <w:sz w:val="22"/>
          <w:szCs w:val="22"/>
        </w:rPr>
        <w:t xml:space="preserve">A </w:t>
      </w:r>
      <w:r w:rsidR="00AE2B27" w:rsidRPr="00AE2B27">
        <w:rPr>
          <w:sz w:val="22"/>
          <w:szCs w:val="22"/>
        </w:rPr>
        <w:t xml:space="preserve">Valsartan Sandoz </w:t>
      </w:r>
      <w:r w:rsidR="00AE2B27">
        <w:rPr>
          <w:sz w:val="22"/>
          <w:szCs w:val="22"/>
        </w:rPr>
        <w:t xml:space="preserve">filmtabletta </w:t>
      </w:r>
      <w:r w:rsidRPr="009115A8">
        <w:rPr>
          <w:sz w:val="22"/>
          <w:szCs w:val="22"/>
        </w:rPr>
        <w:t xml:space="preserve">kezdő </w:t>
      </w:r>
      <w:r w:rsidR="00DD56E7">
        <w:rPr>
          <w:sz w:val="22"/>
          <w:szCs w:val="22"/>
        </w:rPr>
        <w:t>dózisa</w:t>
      </w:r>
      <w:r w:rsidR="00DD56E7" w:rsidRPr="009115A8">
        <w:rPr>
          <w:sz w:val="22"/>
          <w:szCs w:val="22"/>
        </w:rPr>
        <w:t xml:space="preserve"> </w:t>
      </w:r>
      <w:r w:rsidRPr="009115A8">
        <w:rPr>
          <w:sz w:val="22"/>
          <w:szCs w:val="22"/>
        </w:rPr>
        <w:t>35 kg alatti testtömegű gyermekek esetén naponta egyszer 40 mg, és 35</w:t>
      </w:r>
      <w:r w:rsidRPr="00345BCE">
        <w:rPr>
          <w:sz w:val="22"/>
          <w:szCs w:val="22"/>
        </w:rPr>
        <w:t> kg</w:t>
      </w:r>
      <w:r w:rsidRPr="00345BCE">
        <w:rPr>
          <w:sz w:val="22"/>
          <w:szCs w:val="22"/>
        </w:rPr>
        <w:noBreakHyphen/>
        <w:t xml:space="preserve">os vagy annál nagyobb testtömegű gyermekek esetén naponta egyszer 80 mg. </w:t>
      </w:r>
      <w:r w:rsidR="00411310" w:rsidRPr="006C63E2">
        <w:rPr>
          <w:sz w:val="22"/>
          <w:szCs w:val="22"/>
        </w:rPr>
        <w:t>A Valsartan Sandoz filmtablett</w:t>
      </w:r>
      <w:r w:rsidR="00411310">
        <w:rPr>
          <w:sz w:val="22"/>
          <w:szCs w:val="22"/>
        </w:rPr>
        <w:t>ával</w:t>
      </w:r>
      <w:r w:rsidR="00411310" w:rsidRPr="006C63E2">
        <w:rPr>
          <w:sz w:val="22"/>
          <w:szCs w:val="22"/>
        </w:rPr>
        <w:t xml:space="preserve"> a 40</w:t>
      </w:r>
      <w:r w:rsidR="00411310">
        <w:rPr>
          <w:sz w:val="22"/>
          <w:szCs w:val="22"/>
        </w:rPr>
        <w:t> </w:t>
      </w:r>
      <w:r w:rsidR="00411310" w:rsidRPr="006C63E2">
        <w:rPr>
          <w:sz w:val="22"/>
          <w:szCs w:val="22"/>
        </w:rPr>
        <w:t xml:space="preserve">mg-os dózis </w:t>
      </w:r>
      <w:r w:rsidR="00411310">
        <w:rPr>
          <w:sz w:val="22"/>
          <w:szCs w:val="22"/>
        </w:rPr>
        <w:t xml:space="preserve">alkalmazása </w:t>
      </w:r>
      <w:r w:rsidR="00411310" w:rsidRPr="006C63E2">
        <w:rPr>
          <w:sz w:val="22"/>
          <w:szCs w:val="22"/>
        </w:rPr>
        <w:t>nem valósítható meg.</w:t>
      </w:r>
    </w:p>
    <w:p w14:paraId="504C0D23" w14:textId="783243C2" w:rsidR="00001928" w:rsidRPr="00345BCE" w:rsidRDefault="00001928" w:rsidP="00DE08A1">
      <w:pPr>
        <w:pStyle w:val="Normal1"/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DD56E7">
        <w:rPr>
          <w:sz w:val="22"/>
          <w:szCs w:val="22"/>
        </w:rPr>
        <w:t>dózist</w:t>
      </w:r>
      <w:r w:rsidR="00DD56E7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 xml:space="preserve">a vérnyomásban bekövetkező válaszreakció </w:t>
      </w:r>
      <w:r w:rsidR="00AE2B27" w:rsidRPr="00AE2B27">
        <w:rPr>
          <w:sz w:val="22"/>
          <w:szCs w:val="22"/>
        </w:rPr>
        <w:t xml:space="preserve">és a tolerálhatóság </w:t>
      </w:r>
      <w:r w:rsidRPr="00345BCE">
        <w:rPr>
          <w:sz w:val="22"/>
          <w:szCs w:val="22"/>
        </w:rPr>
        <w:t xml:space="preserve">alapján kell módosítani. A klinikai vizsgálatokban értékelt maximális </w:t>
      </w:r>
      <w:r w:rsidR="00DD56E7">
        <w:rPr>
          <w:sz w:val="22"/>
          <w:szCs w:val="22"/>
        </w:rPr>
        <w:t>dózisokat</w:t>
      </w:r>
      <w:r w:rsidR="00DD56E7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lásd az alábbi táblázatban.</w:t>
      </w:r>
    </w:p>
    <w:p w14:paraId="10A0CEEF" w14:textId="3B5E6C01" w:rsidR="00001928" w:rsidRPr="00345BCE" w:rsidRDefault="00001928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Az itt felsoroltnál </w:t>
      </w:r>
      <w:r w:rsidR="00DD56E7">
        <w:rPr>
          <w:sz w:val="22"/>
          <w:szCs w:val="22"/>
        </w:rPr>
        <w:t>nagyobb</w:t>
      </w:r>
      <w:r w:rsidR="00DD56E7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dózisokat nem vizsgálták, ezért azok alkalmazása nem javasolt.</w:t>
      </w:r>
    </w:p>
    <w:p w14:paraId="042F6ACA" w14:textId="77777777" w:rsidR="00001928" w:rsidRPr="00345BCE" w:rsidRDefault="00001928" w:rsidP="00C560EC">
      <w:pPr>
        <w:rPr>
          <w:sz w:val="22"/>
          <w:szCs w:val="22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5"/>
        <w:gridCol w:w="5056"/>
      </w:tblGrid>
      <w:tr w:rsidR="00001928" w:rsidRPr="00345BCE" w14:paraId="48B213B6" w14:textId="77777777">
        <w:tc>
          <w:tcPr>
            <w:tcW w:w="2315" w:type="dxa"/>
          </w:tcPr>
          <w:p w14:paraId="2A207132" w14:textId="77777777" w:rsidR="00001928" w:rsidRPr="00345BCE" w:rsidRDefault="00001928" w:rsidP="00C560EC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Testtömeg</w:t>
            </w:r>
          </w:p>
        </w:tc>
        <w:tc>
          <w:tcPr>
            <w:tcW w:w="5056" w:type="dxa"/>
          </w:tcPr>
          <w:p w14:paraId="39A34C47" w14:textId="40598ED8" w:rsidR="00001928" w:rsidRPr="00345BCE" w:rsidRDefault="00001928" w:rsidP="00DD56E7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A klinikai vizsgálatokban </w:t>
            </w:r>
            <w:r w:rsidR="00DD56E7" w:rsidRPr="000E06B3">
              <w:rPr>
                <w:sz w:val="22"/>
                <w:szCs w:val="22"/>
              </w:rPr>
              <w:t xml:space="preserve">tabletta </w:t>
            </w:r>
            <w:r w:rsidR="00DD56E7">
              <w:rPr>
                <w:sz w:val="22"/>
                <w:szCs w:val="22"/>
              </w:rPr>
              <w:t xml:space="preserve">alkalmazásával </w:t>
            </w:r>
            <w:r w:rsidRPr="00345BCE">
              <w:rPr>
                <w:sz w:val="22"/>
                <w:szCs w:val="22"/>
              </w:rPr>
              <w:t xml:space="preserve">értékelt maximális </w:t>
            </w:r>
            <w:r w:rsidR="000E06B3" w:rsidRPr="000E06B3">
              <w:rPr>
                <w:sz w:val="22"/>
                <w:szCs w:val="22"/>
              </w:rPr>
              <w:t>dózisok</w:t>
            </w:r>
          </w:p>
        </w:tc>
      </w:tr>
      <w:tr w:rsidR="00001928" w:rsidRPr="00345BCE" w14:paraId="19A78BE6" w14:textId="77777777">
        <w:tc>
          <w:tcPr>
            <w:tcW w:w="2315" w:type="dxa"/>
          </w:tcPr>
          <w:p w14:paraId="72AB17BD" w14:textId="77777777" w:rsidR="00001928" w:rsidRPr="00345BCE" w:rsidRDefault="00001928" w:rsidP="00B0458C">
            <w:pPr>
              <w:rPr>
                <w:sz w:val="22"/>
                <w:szCs w:val="22"/>
              </w:rPr>
            </w:pPr>
            <w:r w:rsidRPr="00B0458C">
              <w:rPr>
                <w:sz w:val="22"/>
                <w:szCs w:val="22"/>
              </w:rPr>
              <w:t>≥</w:t>
            </w:r>
            <w:r w:rsidR="00B0458C" w:rsidRPr="00C560EC">
              <w:rPr>
                <w:sz w:val="22"/>
                <w:szCs w:val="22"/>
              </w:rPr>
              <w:t> </w:t>
            </w:r>
            <w:r w:rsidR="00D66429" w:rsidRPr="00C560EC">
              <w:rPr>
                <w:sz w:val="22"/>
                <w:szCs w:val="22"/>
              </w:rPr>
              <w:t>18</w:t>
            </w:r>
            <w:r w:rsidR="006D4DB0" w:rsidRPr="00345BCE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kg - &lt;</w:t>
            </w:r>
            <w:r w:rsidR="006D4DB0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35 kg</w:t>
            </w:r>
          </w:p>
        </w:tc>
        <w:tc>
          <w:tcPr>
            <w:tcW w:w="5056" w:type="dxa"/>
          </w:tcPr>
          <w:p w14:paraId="28BA99B5" w14:textId="77777777" w:rsidR="00001928" w:rsidRPr="00345BCE" w:rsidRDefault="00001928" w:rsidP="00EA386A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80 mg</w:t>
            </w:r>
          </w:p>
        </w:tc>
      </w:tr>
      <w:tr w:rsidR="00001928" w:rsidRPr="00345BCE" w14:paraId="6E667D44" w14:textId="77777777">
        <w:tc>
          <w:tcPr>
            <w:tcW w:w="2315" w:type="dxa"/>
          </w:tcPr>
          <w:p w14:paraId="4BAEB38C" w14:textId="77777777" w:rsidR="00001928" w:rsidRPr="00345BCE" w:rsidRDefault="00001928" w:rsidP="001C2BD7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≥</w:t>
            </w:r>
            <w:r w:rsidR="006D4DB0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35 kg - &lt;</w:t>
            </w:r>
            <w:r w:rsidR="006D4DB0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80 kg</w:t>
            </w:r>
          </w:p>
        </w:tc>
        <w:tc>
          <w:tcPr>
            <w:tcW w:w="5056" w:type="dxa"/>
          </w:tcPr>
          <w:p w14:paraId="082AD628" w14:textId="77777777" w:rsidR="00001928" w:rsidRPr="00345BCE" w:rsidRDefault="00001928" w:rsidP="00EA386A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160 mg</w:t>
            </w:r>
          </w:p>
        </w:tc>
      </w:tr>
      <w:tr w:rsidR="00001928" w:rsidRPr="00345BCE" w14:paraId="371B4F7A" w14:textId="77777777">
        <w:tc>
          <w:tcPr>
            <w:tcW w:w="2315" w:type="dxa"/>
          </w:tcPr>
          <w:p w14:paraId="6CE09781" w14:textId="77777777" w:rsidR="00001928" w:rsidRPr="00345BCE" w:rsidRDefault="00001928" w:rsidP="001C2BD7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≥</w:t>
            </w:r>
            <w:r w:rsidR="006D4DB0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80 kg - ≤</w:t>
            </w:r>
            <w:r w:rsidR="006D4DB0">
              <w:rPr>
                <w:sz w:val="22"/>
                <w:szCs w:val="22"/>
              </w:rPr>
              <w:t> </w:t>
            </w:r>
            <w:r w:rsidRPr="00345BCE">
              <w:rPr>
                <w:sz w:val="22"/>
                <w:szCs w:val="22"/>
              </w:rPr>
              <w:t>160 kg</w:t>
            </w:r>
          </w:p>
        </w:tc>
        <w:tc>
          <w:tcPr>
            <w:tcW w:w="5056" w:type="dxa"/>
          </w:tcPr>
          <w:p w14:paraId="7F212F2A" w14:textId="77777777" w:rsidR="00001928" w:rsidRPr="00345BCE" w:rsidRDefault="00001928" w:rsidP="00EA386A">
            <w:pPr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320 mg</w:t>
            </w:r>
          </w:p>
        </w:tc>
      </w:tr>
    </w:tbl>
    <w:p w14:paraId="2DC4C07B" w14:textId="77777777" w:rsidR="00001928" w:rsidRPr="00345BCE" w:rsidRDefault="00001928" w:rsidP="001C2BD7">
      <w:pPr>
        <w:rPr>
          <w:sz w:val="22"/>
          <w:szCs w:val="22"/>
        </w:rPr>
      </w:pPr>
    </w:p>
    <w:p w14:paraId="2602FE14" w14:textId="45C04C99" w:rsidR="000E06B3" w:rsidRPr="002D680A" w:rsidRDefault="000E06B3" w:rsidP="000E06B3">
      <w:pPr>
        <w:rPr>
          <w:sz w:val="22"/>
          <w:szCs w:val="22"/>
        </w:rPr>
      </w:pPr>
      <w:r w:rsidRPr="002D680A">
        <w:rPr>
          <w:sz w:val="22"/>
          <w:szCs w:val="22"/>
        </w:rPr>
        <w:t xml:space="preserve">A 6 éves kor előtt már valzartánnal kezelt gyermekek esetében lásd a </w:t>
      </w:r>
      <w:r w:rsidR="00942DEF">
        <w:rPr>
          <w:sz w:val="22"/>
          <w:szCs w:val="22"/>
        </w:rPr>
        <w:t>valzartán</w:t>
      </w:r>
      <w:r w:rsidRPr="002D680A">
        <w:rPr>
          <w:sz w:val="22"/>
          <w:szCs w:val="22"/>
        </w:rPr>
        <w:t xml:space="preserve"> belsőleges oldat adagolását (Gyermekek, </w:t>
      </w:r>
      <w:r w:rsidR="00DD56E7">
        <w:rPr>
          <w:sz w:val="22"/>
          <w:szCs w:val="22"/>
        </w:rPr>
        <w:t xml:space="preserve">legalább </w:t>
      </w:r>
      <w:r w:rsidRPr="002D680A">
        <w:rPr>
          <w:sz w:val="22"/>
          <w:szCs w:val="22"/>
        </w:rPr>
        <w:t>1</w:t>
      </w:r>
      <w:r w:rsidR="00DD56E7">
        <w:rPr>
          <w:sz w:val="22"/>
          <w:szCs w:val="22"/>
        </w:rPr>
        <w:t xml:space="preserve"> éves de </w:t>
      </w:r>
      <w:r w:rsidRPr="002D680A">
        <w:rPr>
          <w:sz w:val="22"/>
          <w:szCs w:val="22"/>
        </w:rPr>
        <w:t>6 évesnél fiatalabb kor</w:t>
      </w:r>
      <w:r w:rsidR="00DD56E7">
        <w:rPr>
          <w:sz w:val="22"/>
          <w:szCs w:val="22"/>
        </w:rPr>
        <w:t>úak</w:t>
      </w:r>
      <w:r w:rsidRPr="002D680A">
        <w:rPr>
          <w:sz w:val="22"/>
          <w:szCs w:val="22"/>
        </w:rPr>
        <w:t>).</w:t>
      </w:r>
    </w:p>
    <w:p w14:paraId="5839341B" w14:textId="77777777" w:rsidR="000E06B3" w:rsidRPr="00B86A8A" w:rsidRDefault="000E06B3" w:rsidP="000E06B3">
      <w:pPr>
        <w:rPr>
          <w:szCs w:val="22"/>
        </w:rPr>
      </w:pPr>
    </w:p>
    <w:p w14:paraId="7018FB42" w14:textId="0BFB56D2" w:rsidR="00001928" w:rsidRPr="00EF51F9" w:rsidRDefault="00001928" w:rsidP="00EA386A">
      <w:pPr>
        <w:rPr>
          <w:color w:val="000000"/>
          <w:sz w:val="22"/>
          <w:szCs w:val="22"/>
        </w:rPr>
      </w:pPr>
      <w:r w:rsidRPr="00EF51F9">
        <w:rPr>
          <w:i/>
          <w:sz w:val="22"/>
          <w:szCs w:val="22"/>
        </w:rPr>
        <w:t>6 év</w:t>
      </w:r>
      <w:r w:rsidR="00DD56E7">
        <w:rPr>
          <w:i/>
          <w:sz w:val="22"/>
          <w:szCs w:val="22"/>
        </w:rPr>
        <w:t>es</w:t>
      </w:r>
      <w:r w:rsidRPr="00EF51F9">
        <w:rPr>
          <w:i/>
          <w:sz w:val="22"/>
          <w:szCs w:val="22"/>
        </w:rPr>
        <w:t>nél fiatalabb gyermekek</w:t>
      </w:r>
    </w:p>
    <w:p w14:paraId="096C053F" w14:textId="29D5A0C1" w:rsidR="00001928" w:rsidRPr="00345BCE" w:rsidRDefault="00803AAA" w:rsidP="00EA386A">
      <w:pPr>
        <w:rPr>
          <w:color w:val="000000"/>
          <w:sz w:val="22"/>
          <w:szCs w:val="22"/>
        </w:rPr>
      </w:pPr>
      <w:r w:rsidRPr="00803AAA">
        <w:rPr>
          <w:color w:val="000000"/>
          <w:sz w:val="22"/>
          <w:szCs w:val="22"/>
        </w:rPr>
        <w:t>Az 1</w:t>
      </w:r>
      <w:r w:rsidR="003879DD">
        <w:rPr>
          <w:color w:val="000000"/>
          <w:sz w:val="22"/>
          <w:szCs w:val="22"/>
        </w:rPr>
        <w:t>-</w:t>
      </w:r>
      <w:r w:rsidRPr="00803AAA">
        <w:rPr>
          <w:color w:val="000000"/>
          <w:sz w:val="22"/>
          <w:szCs w:val="22"/>
        </w:rPr>
        <w:t>5 éves gyermekeknek és azoknak, akik</w:t>
      </w:r>
      <w:r w:rsidR="00DD56E7">
        <w:rPr>
          <w:color w:val="000000"/>
          <w:sz w:val="22"/>
          <w:szCs w:val="22"/>
        </w:rPr>
        <w:t xml:space="preserve">nek nehézséget okoz </w:t>
      </w:r>
      <w:r w:rsidRPr="00803AAA">
        <w:rPr>
          <w:color w:val="000000"/>
          <w:sz w:val="22"/>
          <w:szCs w:val="22"/>
        </w:rPr>
        <w:t>a tabletta lenyel</w:t>
      </w:r>
      <w:r w:rsidR="00DD56E7">
        <w:rPr>
          <w:color w:val="000000"/>
          <w:sz w:val="22"/>
          <w:szCs w:val="22"/>
        </w:rPr>
        <w:t>ése</w:t>
      </w:r>
      <w:r w:rsidRPr="00803AAA">
        <w:rPr>
          <w:color w:val="000000"/>
          <w:sz w:val="22"/>
          <w:szCs w:val="22"/>
        </w:rPr>
        <w:t xml:space="preserve">, a </w:t>
      </w:r>
      <w:r w:rsidR="00394882">
        <w:rPr>
          <w:color w:val="000000"/>
          <w:sz w:val="22"/>
          <w:szCs w:val="22"/>
        </w:rPr>
        <w:t>valzartán</w:t>
      </w:r>
      <w:r w:rsidRPr="00803AAA">
        <w:rPr>
          <w:color w:val="000000"/>
          <w:sz w:val="22"/>
          <w:szCs w:val="22"/>
        </w:rPr>
        <w:t xml:space="preserve"> belsőleges oldat alkalmazása javasolt. </w:t>
      </w:r>
      <w:r w:rsidR="00001928" w:rsidRPr="00345BCE">
        <w:rPr>
          <w:color w:val="000000"/>
          <w:sz w:val="22"/>
          <w:szCs w:val="22"/>
        </w:rPr>
        <w:t>A rendelkezésre álló adatok a 4.8, 5.1 és 5.2 pont alatt kerülnek ismertetésre. A V</w:t>
      </w:r>
      <w:r w:rsidR="007E7681" w:rsidRPr="00345BCE">
        <w:rPr>
          <w:color w:val="000000"/>
          <w:sz w:val="22"/>
          <w:szCs w:val="22"/>
        </w:rPr>
        <w:t>a</w:t>
      </w:r>
      <w:r w:rsidR="00001928" w:rsidRPr="00345BCE">
        <w:rPr>
          <w:color w:val="000000"/>
          <w:sz w:val="22"/>
          <w:szCs w:val="22"/>
        </w:rPr>
        <w:t xml:space="preserve">lsartan Sandoz biztonságosságát és hatásosságát </w:t>
      </w:r>
      <w:r w:rsidRPr="002D680A">
        <w:rPr>
          <w:sz w:val="22"/>
          <w:szCs w:val="22"/>
        </w:rPr>
        <w:t>1 évesnél fiatalabb</w:t>
      </w:r>
      <w:r w:rsidRPr="00345BCE">
        <w:rPr>
          <w:color w:val="000000"/>
          <w:sz w:val="22"/>
          <w:szCs w:val="22"/>
        </w:rPr>
        <w:t xml:space="preserve"> </w:t>
      </w:r>
      <w:r w:rsidR="00001928" w:rsidRPr="00345BCE">
        <w:rPr>
          <w:color w:val="000000"/>
          <w:sz w:val="22"/>
          <w:szCs w:val="22"/>
        </w:rPr>
        <w:t>gyermekek esetében nem igazolták.</w:t>
      </w:r>
    </w:p>
    <w:p w14:paraId="1011F584" w14:textId="77777777" w:rsidR="00001928" w:rsidRDefault="00001928" w:rsidP="00EA386A">
      <w:pPr>
        <w:rPr>
          <w:color w:val="000000"/>
          <w:sz w:val="22"/>
          <w:szCs w:val="22"/>
        </w:rPr>
      </w:pPr>
    </w:p>
    <w:p w14:paraId="130F9969" w14:textId="703686C6" w:rsidR="00803AAA" w:rsidRPr="002D680A" w:rsidRDefault="00803AAA" w:rsidP="00803AAA">
      <w:pPr>
        <w:rPr>
          <w:sz w:val="22"/>
          <w:szCs w:val="22"/>
          <w:u w:val="single"/>
        </w:rPr>
      </w:pPr>
      <w:r w:rsidRPr="002D680A">
        <w:rPr>
          <w:rFonts w:ascii="TimesNewRomanPS-ItalicMT" w:hAnsi="TimesNewRomanPS-ItalicMT" w:cs="TimesNewRomanPS-ItalicMT"/>
          <w:i/>
          <w:iCs/>
          <w:sz w:val="22"/>
          <w:szCs w:val="22"/>
          <w:u w:val="single"/>
        </w:rPr>
        <w:t>Váltás a valzartán belsőleges oldatról valzartán filmtablettára</w:t>
      </w:r>
    </w:p>
    <w:p w14:paraId="587D1015" w14:textId="1DCC04C0" w:rsidR="00803AAA" w:rsidRPr="002D680A" w:rsidRDefault="00803AAA" w:rsidP="00803AAA">
      <w:pPr>
        <w:rPr>
          <w:sz w:val="22"/>
          <w:szCs w:val="22"/>
          <w:u w:val="single"/>
        </w:rPr>
      </w:pPr>
      <w:r w:rsidRPr="002D680A">
        <w:rPr>
          <w:sz w:val="22"/>
          <w:szCs w:val="22"/>
        </w:rPr>
        <w:t>Amennyiben a valzartán belsőleges oldatról a valzartán filmtablettára történő áttérés klinikai okból feltétlenül szükséges, kezdetben azonos milligrammnyi dózist kell alkalmazni. Ezt követően gyakori vérnyomás</w:t>
      </w:r>
      <w:r w:rsidRPr="002D680A">
        <w:rPr>
          <w:sz w:val="22"/>
          <w:szCs w:val="22"/>
        </w:rPr>
        <w:noBreakHyphen/>
        <w:t>ellenőrzést kell végezni, tekintettel az aluldozírozás lehetőségére; a dózist szükség esetén tovább kell emelni a vérnyomásban bekövetkező válaszreakció és a tolerálhatóság alapján.</w:t>
      </w:r>
    </w:p>
    <w:p w14:paraId="4F7AF16C" w14:textId="77777777" w:rsidR="00803AAA" w:rsidRPr="00345BCE" w:rsidRDefault="00803AAA" w:rsidP="00EA386A">
      <w:pPr>
        <w:rPr>
          <w:color w:val="000000"/>
          <w:sz w:val="22"/>
          <w:szCs w:val="22"/>
        </w:rPr>
      </w:pPr>
    </w:p>
    <w:p w14:paraId="1C048233" w14:textId="33E97AB7" w:rsidR="00001928" w:rsidRPr="00345BCE" w:rsidRDefault="00001928" w:rsidP="0097699A">
      <w:pPr>
        <w:rPr>
          <w:i/>
          <w:color w:val="000000"/>
          <w:sz w:val="22"/>
          <w:szCs w:val="22"/>
          <w:u w:val="single"/>
        </w:rPr>
      </w:pPr>
      <w:r w:rsidRPr="00345BCE">
        <w:rPr>
          <w:i/>
          <w:color w:val="000000"/>
          <w:sz w:val="22"/>
          <w:szCs w:val="22"/>
          <w:u w:val="single"/>
        </w:rPr>
        <w:t xml:space="preserve">Alkalmazása </w:t>
      </w:r>
      <w:r w:rsidR="00DD56E7" w:rsidRPr="002D680A">
        <w:rPr>
          <w:i/>
          <w:sz w:val="22"/>
          <w:szCs w:val="22"/>
          <w:u w:val="single"/>
        </w:rPr>
        <w:t>legalább 6 éves, de 18 évesnél fiatalabb életkor</w:t>
      </w:r>
      <w:r w:rsidR="00DD56E7">
        <w:rPr>
          <w:i/>
          <w:sz w:val="22"/>
          <w:szCs w:val="22"/>
          <w:u w:val="single"/>
        </w:rPr>
        <w:t>ú</w:t>
      </w:r>
      <w:r w:rsidRPr="00DD56E7">
        <w:rPr>
          <w:i/>
          <w:color w:val="000000"/>
          <w:sz w:val="22"/>
          <w:szCs w:val="22"/>
          <w:u w:val="single"/>
        </w:rPr>
        <w:t xml:space="preserve">, </w:t>
      </w:r>
      <w:r w:rsidR="00803AAA">
        <w:rPr>
          <w:i/>
          <w:color w:val="000000"/>
          <w:sz w:val="22"/>
          <w:szCs w:val="22"/>
          <w:u w:val="single"/>
        </w:rPr>
        <w:t>vese</w:t>
      </w:r>
      <w:r w:rsidRPr="00345BCE">
        <w:rPr>
          <w:i/>
          <w:color w:val="000000"/>
          <w:sz w:val="22"/>
          <w:szCs w:val="22"/>
          <w:u w:val="single"/>
        </w:rPr>
        <w:t>károsod</w:t>
      </w:r>
      <w:r w:rsidR="00803AAA">
        <w:rPr>
          <w:i/>
          <w:color w:val="000000"/>
          <w:sz w:val="22"/>
          <w:szCs w:val="22"/>
          <w:u w:val="single"/>
        </w:rPr>
        <w:t>ásban szenvedő gyermekeknél és serdülőknél</w:t>
      </w:r>
    </w:p>
    <w:p w14:paraId="7403AFAC" w14:textId="7382F895" w:rsidR="00001928" w:rsidRPr="002D680A" w:rsidRDefault="00001928" w:rsidP="00666A5A">
      <w:pPr>
        <w:rPr>
          <w:color w:val="000000"/>
          <w:sz w:val="22"/>
          <w:szCs w:val="22"/>
        </w:rPr>
      </w:pPr>
      <w:r w:rsidRPr="002D680A">
        <w:rPr>
          <w:color w:val="000000"/>
          <w:sz w:val="22"/>
          <w:szCs w:val="22"/>
        </w:rPr>
        <w:t xml:space="preserve">Alkalmazását azoknál a </w:t>
      </w:r>
      <w:r w:rsidR="006C0708" w:rsidRPr="006C0708">
        <w:rPr>
          <w:color w:val="000000"/>
          <w:sz w:val="22"/>
          <w:szCs w:val="22"/>
        </w:rPr>
        <w:t>gyermekeknél és serdülőknél</w:t>
      </w:r>
      <w:r w:rsidRPr="002D680A">
        <w:rPr>
          <w:color w:val="000000"/>
          <w:sz w:val="22"/>
          <w:szCs w:val="22"/>
        </w:rPr>
        <w:t>, akiknek a kreatitnin</w:t>
      </w:r>
      <w:r w:rsidRPr="002D680A">
        <w:rPr>
          <w:color w:val="000000"/>
          <w:sz w:val="22"/>
          <w:szCs w:val="22"/>
        </w:rPr>
        <w:noBreakHyphen/>
        <w:t>clearance</w:t>
      </w:r>
      <w:r w:rsidRPr="002D680A">
        <w:rPr>
          <w:color w:val="000000"/>
          <w:sz w:val="22"/>
          <w:szCs w:val="22"/>
        </w:rPr>
        <w:noBreakHyphen/>
        <w:t>e &lt;</w:t>
      </w:r>
      <w:r w:rsidR="006D4DB0" w:rsidRPr="002D680A">
        <w:rPr>
          <w:color w:val="000000"/>
          <w:sz w:val="22"/>
          <w:szCs w:val="22"/>
        </w:rPr>
        <w:t> </w:t>
      </w:r>
      <w:r w:rsidRPr="002D680A">
        <w:rPr>
          <w:color w:val="000000"/>
          <w:sz w:val="22"/>
          <w:szCs w:val="22"/>
        </w:rPr>
        <w:t xml:space="preserve">30 ml/perc, valamint a dialízis alatt álló </w:t>
      </w:r>
      <w:r w:rsidR="006C0708" w:rsidRPr="006C0708">
        <w:rPr>
          <w:color w:val="000000"/>
          <w:sz w:val="22"/>
          <w:szCs w:val="22"/>
        </w:rPr>
        <w:t>gyermekeknél és serdülőknél</w:t>
      </w:r>
      <w:r w:rsidRPr="002D680A">
        <w:rPr>
          <w:color w:val="000000"/>
          <w:sz w:val="22"/>
          <w:szCs w:val="22"/>
        </w:rPr>
        <w:t xml:space="preserve"> nem vizsgálták, ezért a valzartán ezeknek a betegeknek nem javasolt. Nem szükséges a dózis módosítása azoknál a </w:t>
      </w:r>
      <w:r w:rsidR="006C0708" w:rsidRPr="006C0708">
        <w:rPr>
          <w:color w:val="000000"/>
          <w:sz w:val="22"/>
          <w:szCs w:val="22"/>
        </w:rPr>
        <w:t>gyermekeknél és serdülőknél</w:t>
      </w:r>
      <w:r w:rsidRPr="002D680A">
        <w:rPr>
          <w:color w:val="000000"/>
          <w:sz w:val="22"/>
          <w:szCs w:val="22"/>
        </w:rPr>
        <w:t>, akik kreatinin</w:t>
      </w:r>
      <w:r w:rsidRPr="002D680A">
        <w:rPr>
          <w:color w:val="000000"/>
          <w:sz w:val="22"/>
          <w:szCs w:val="22"/>
        </w:rPr>
        <w:noBreakHyphen/>
        <w:t>clearance</w:t>
      </w:r>
      <w:r w:rsidRPr="002D680A">
        <w:rPr>
          <w:color w:val="000000"/>
          <w:sz w:val="22"/>
          <w:szCs w:val="22"/>
        </w:rPr>
        <w:noBreakHyphen/>
        <w:t>e &gt;30 ml/perc. A vesefunkciót és a szérum káliumszint</w:t>
      </w:r>
      <w:r w:rsidR="00DD56E7">
        <w:rPr>
          <w:color w:val="000000"/>
          <w:sz w:val="22"/>
          <w:szCs w:val="22"/>
        </w:rPr>
        <w:t>jé</w:t>
      </w:r>
      <w:r w:rsidRPr="002D680A">
        <w:rPr>
          <w:color w:val="000000"/>
          <w:sz w:val="22"/>
          <w:szCs w:val="22"/>
        </w:rPr>
        <w:t xml:space="preserve">t szorosan </w:t>
      </w:r>
      <w:r w:rsidR="00DD56E7">
        <w:rPr>
          <w:color w:val="000000"/>
          <w:sz w:val="22"/>
          <w:szCs w:val="22"/>
        </w:rPr>
        <w:t>monitorozni</w:t>
      </w:r>
      <w:r w:rsidR="00DD56E7" w:rsidRPr="002D680A">
        <w:rPr>
          <w:color w:val="000000"/>
          <w:sz w:val="22"/>
          <w:szCs w:val="22"/>
        </w:rPr>
        <w:t xml:space="preserve"> </w:t>
      </w:r>
      <w:r w:rsidRPr="002D680A">
        <w:rPr>
          <w:color w:val="000000"/>
          <w:sz w:val="22"/>
          <w:szCs w:val="22"/>
        </w:rPr>
        <w:t>kell (lásd 4.4 és 5.2 pont).</w:t>
      </w:r>
    </w:p>
    <w:p w14:paraId="4C774ED2" w14:textId="77777777" w:rsidR="00001928" w:rsidRPr="00345BCE" w:rsidRDefault="00001928" w:rsidP="00666A5A">
      <w:pPr>
        <w:rPr>
          <w:color w:val="000000"/>
          <w:sz w:val="22"/>
          <w:szCs w:val="22"/>
        </w:rPr>
      </w:pPr>
    </w:p>
    <w:p w14:paraId="1817B984" w14:textId="601B2296" w:rsidR="00001928" w:rsidRPr="00345BCE" w:rsidRDefault="00001928" w:rsidP="001902F4">
      <w:pPr>
        <w:rPr>
          <w:i/>
          <w:color w:val="000000"/>
          <w:sz w:val="22"/>
          <w:szCs w:val="22"/>
          <w:u w:val="single"/>
        </w:rPr>
      </w:pPr>
      <w:r w:rsidRPr="00345BCE">
        <w:rPr>
          <w:i/>
          <w:color w:val="000000"/>
          <w:sz w:val="22"/>
          <w:szCs w:val="22"/>
          <w:u w:val="single"/>
        </w:rPr>
        <w:t xml:space="preserve">Alkalmazása </w:t>
      </w:r>
      <w:r w:rsidR="00DD56E7" w:rsidRPr="003467C2">
        <w:rPr>
          <w:i/>
          <w:sz w:val="22"/>
          <w:szCs w:val="22"/>
          <w:u w:val="single"/>
        </w:rPr>
        <w:t>legalább 6 éves, de 18 évesnél fiatalabb életkor</w:t>
      </w:r>
      <w:r w:rsidR="00DD56E7">
        <w:rPr>
          <w:i/>
          <w:sz w:val="22"/>
          <w:szCs w:val="22"/>
          <w:u w:val="single"/>
        </w:rPr>
        <w:t xml:space="preserve">ú, </w:t>
      </w:r>
      <w:r w:rsidR="00E76BE7">
        <w:rPr>
          <w:i/>
          <w:color w:val="000000"/>
          <w:sz w:val="22"/>
          <w:szCs w:val="22"/>
          <w:u w:val="single"/>
        </w:rPr>
        <w:t>máj</w:t>
      </w:r>
      <w:r w:rsidRPr="00345BCE">
        <w:rPr>
          <w:i/>
          <w:color w:val="000000"/>
          <w:sz w:val="22"/>
          <w:szCs w:val="22"/>
          <w:u w:val="single"/>
        </w:rPr>
        <w:t>károsod</w:t>
      </w:r>
      <w:r w:rsidR="00E76BE7">
        <w:rPr>
          <w:i/>
          <w:color w:val="000000"/>
          <w:sz w:val="22"/>
          <w:szCs w:val="22"/>
          <w:u w:val="single"/>
        </w:rPr>
        <w:t>ásban szenvedő</w:t>
      </w:r>
      <w:r w:rsidRPr="00345BCE">
        <w:rPr>
          <w:i/>
          <w:color w:val="000000"/>
          <w:sz w:val="22"/>
          <w:szCs w:val="22"/>
          <w:u w:val="single"/>
        </w:rPr>
        <w:t xml:space="preserve"> </w:t>
      </w:r>
      <w:r w:rsidR="00E76BE7">
        <w:rPr>
          <w:i/>
          <w:color w:val="000000"/>
          <w:sz w:val="22"/>
          <w:szCs w:val="22"/>
          <w:u w:val="single"/>
        </w:rPr>
        <w:t>gyermekeknél és serdülőknél</w:t>
      </w:r>
    </w:p>
    <w:p w14:paraId="6134ADA8" w14:textId="4610DDEA" w:rsidR="00001928" w:rsidRPr="00345BCE" w:rsidRDefault="00001928" w:rsidP="001902F4">
      <w:pPr>
        <w:rPr>
          <w:color w:val="000000"/>
          <w:sz w:val="22"/>
          <w:szCs w:val="22"/>
        </w:rPr>
      </w:pPr>
      <w:r w:rsidRPr="00345BCE">
        <w:rPr>
          <w:color w:val="000000"/>
          <w:sz w:val="22"/>
          <w:szCs w:val="22"/>
        </w:rPr>
        <w:t>A felnőttekhez hasonlóan a s</w:t>
      </w:r>
      <w:r w:rsidRPr="002D680A">
        <w:rPr>
          <w:color w:val="000000"/>
          <w:sz w:val="22"/>
          <w:szCs w:val="22"/>
        </w:rPr>
        <w:t xml:space="preserve">úlyos májkárosodásban, biliaris cirrhosisban, valamint cholestasisban szenvedő </w:t>
      </w:r>
      <w:r w:rsidR="006C0708" w:rsidRPr="006C0708">
        <w:rPr>
          <w:color w:val="000000"/>
          <w:sz w:val="22"/>
          <w:szCs w:val="22"/>
        </w:rPr>
        <w:t>gyermekeknél és serdülőknél</w:t>
      </w:r>
      <w:r w:rsidRPr="002D680A">
        <w:rPr>
          <w:color w:val="000000"/>
          <w:sz w:val="22"/>
          <w:szCs w:val="22"/>
        </w:rPr>
        <w:t xml:space="preserve"> a </w:t>
      </w:r>
      <w:r w:rsidR="007E7681" w:rsidRPr="002D680A">
        <w:rPr>
          <w:color w:val="000000"/>
          <w:sz w:val="22"/>
          <w:szCs w:val="22"/>
        </w:rPr>
        <w:t>Valsartan Sandoz</w:t>
      </w:r>
      <w:r w:rsidRPr="002D680A">
        <w:rPr>
          <w:color w:val="000000"/>
          <w:sz w:val="22"/>
          <w:szCs w:val="22"/>
        </w:rPr>
        <w:t xml:space="preserve"> ellenjavallt (lásd 4.3, 4.4 és 5.2 pont)</w:t>
      </w:r>
      <w:r w:rsidRPr="00345BCE">
        <w:rPr>
          <w:color w:val="000000"/>
          <w:sz w:val="22"/>
          <w:szCs w:val="22"/>
        </w:rPr>
        <w:t xml:space="preserve">. Az </w:t>
      </w:r>
      <w:r w:rsidRPr="002D680A">
        <w:rPr>
          <w:color w:val="000000"/>
          <w:sz w:val="22"/>
          <w:szCs w:val="22"/>
        </w:rPr>
        <w:lastRenderedPageBreak/>
        <w:t xml:space="preserve">enyhe vagy közepesen súlyos májkárosodásban szenvedő </w:t>
      </w:r>
      <w:r w:rsidR="006C0708" w:rsidRPr="006C0708">
        <w:rPr>
          <w:color w:val="000000"/>
          <w:sz w:val="22"/>
          <w:szCs w:val="22"/>
        </w:rPr>
        <w:t>gyermekeknél és serdülőknél</w:t>
      </w:r>
      <w:r w:rsidRPr="002D680A">
        <w:rPr>
          <w:color w:val="000000"/>
          <w:sz w:val="22"/>
          <w:szCs w:val="22"/>
        </w:rPr>
        <w:t xml:space="preserve"> a </w:t>
      </w:r>
      <w:r w:rsidR="009533A2" w:rsidRPr="002D680A">
        <w:rPr>
          <w:color w:val="000000"/>
          <w:sz w:val="22"/>
          <w:szCs w:val="22"/>
        </w:rPr>
        <w:t>valzartánnal</w:t>
      </w:r>
      <w:r w:rsidRPr="002D680A">
        <w:rPr>
          <w:color w:val="000000"/>
          <w:sz w:val="22"/>
          <w:szCs w:val="22"/>
        </w:rPr>
        <w:t xml:space="preserve"> szerzett klinikai tapasztalat korlátozott. </w:t>
      </w:r>
      <w:r w:rsidRPr="00345BCE">
        <w:rPr>
          <w:color w:val="000000"/>
          <w:sz w:val="22"/>
          <w:szCs w:val="22"/>
        </w:rPr>
        <w:t>A valzartán dózisa ezeknél a betegeknél nem haladhatja meg a 80 mg</w:t>
      </w:r>
      <w:r w:rsidRPr="00345BCE">
        <w:rPr>
          <w:color w:val="000000"/>
          <w:sz w:val="22"/>
          <w:szCs w:val="22"/>
        </w:rPr>
        <w:noBreakHyphen/>
        <w:t>ot.</w:t>
      </w:r>
    </w:p>
    <w:p w14:paraId="3CF6E26B" w14:textId="77777777" w:rsidR="00001928" w:rsidRPr="00345BCE" w:rsidRDefault="00001928" w:rsidP="00B0458C">
      <w:pPr>
        <w:rPr>
          <w:color w:val="000000"/>
          <w:sz w:val="22"/>
          <w:szCs w:val="22"/>
        </w:rPr>
      </w:pPr>
    </w:p>
    <w:p w14:paraId="6658FB49" w14:textId="101E3B0B" w:rsidR="00001928" w:rsidRPr="00345BCE" w:rsidRDefault="00001928" w:rsidP="00C560EC">
      <w:pPr>
        <w:rPr>
          <w:bCs/>
          <w:i/>
          <w:iCs/>
          <w:color w:val="000000"/>
          <w:sz w:val="22"/>
          <w:szCs w:val="22"/>
          <w:u w:val="single"/>
        </w:rPr>
      </w:pPr>
      <w:r w:rsidRPr="00345BCE">
        <w:rPr>
          <w:bCs/>
          <w:i/>
          <w:iCs/>
          <w:color w:val="000000"/>
          <w:sz w:val="22"/>
          <w:szCs w:val="22"/>
          <w:u w:val="single"/>
        </w:rPr>
        <w:t xml:space="preserve">Szívelégtelenség és nemrégiben lezajlott myocardialis infarctus </w:t>
      </w:r>
      <w:r w:rsidR="004A25AD" w:rsidRPr="004A25AD">
        <w:rPr>
          <w:bCs/>
          <w:i/>
          <w:iCs/>
          <w:color w:val="000000"/>
          <w:sz w:val="22"/>
          <w:szCs w:val="22"/>
          <w:u w:val="single"/>
        </w:rPr>
        <w:t>gyermekeknél és serdülőknél</w:t>
      </w:r>
    </w:p>
    <w:p w14:paraId="7EAD063E" w14:textId="77777777" w:rsidR="00001928" w:rsidRPr="00345BCE" w:rsidRDefault="00001928" w:rsidP="00C560EC">
      <w:pPr>
        <w:rPr>
          <w:bCs/>
          <w:iCs/>
          <w:color w:val="000000"/>
          <w:sz w:val="22"/>
          <w:szCs w:val="22"/>
        </w:rPr>
      </w:pPr>
      <w:r w:rsidRPr="00345BCE">
        <w:rPr>
          <w:bCs/>
          <w:iCs/>
          <w:color w:val="000000"/>
          <w:sz w:val="22"/>
          <w:szCs w:val="22"/>
        </w:rPr>
        <w:t xml:space="preserve">A </w:t>
      </w:r>
      <w:r w:rsidR="00F847EA" w:rsidRPr="00345BCE">
        <w:rPr>
          <w:bCs/>
          <w:sz w:val="22"/>
          <w:szCs w:val="22"/>
        </w:rPr>
        <w:t>Valsartan Sandoz</w:t>
      </w:r>
      <w:r w:rsidR="00F847EA" w:rsidRPr="00345BCE">
        <w:rPr>
          <w:bCs/>
          <w:iCs/>
          <w:color w:val="000000"/>
          <w:sz w:val="22"/>
          <w:szCs w:val="22"/>
        </w:rPr>
        <w:t xml:space="preserve"> </w:t>
      </w:r>
      <w:r w:rsidRPr="00345BCE">
        <w:rPr>
          <w:bCs/>
          <w:iCs/>
          <w:color w:val="000000"/>
          <w:sz w:val="22"/>
          <w:szCs w:val="22"/>
        </w:rPr>
        <w:t>nem javasolt 18 év alatti gyermekek és serdülők számára szívelégtelenség vagy nemrégiben lezajlott myocardialis infarctus kezelésére</w:t>
      </w:r>
      <w:r w:rsidR="00630D4E">
        <w:rPr>
          <w:bCs/>
          <w:iCs/>
          <w:color w:val="000000"/>
          <w:sz w:val="22"/>
          <w:szCs w:val="22"/>
        </w:rPr>
        <w:t>,</w:t>
      </w:r>
      <w:r w:rsidRPr="00345BCE">
        <w:rPr>
          <w:bCs/>
          <w:iCs/>
          <w:color w:val="000000"/>
          <w:sz w:val="22"/>
          <w:szCs w:val="22"/>
        </w:rPr>
        <w:t xml:space="preserve"> a biztonságosságra és a hatásosságra vonatkozó adatok hiánya miatt.</w:t>
      </w:r>
    </w:p>
    <w:p w14:paraId="4ED579D9" w14:textId="77777777" w:rsidR="00001928" w:rsidRPr="00345BCE" w:rsidRDefault="00001928" w:rsidP="00C560EC">
      <w:pPr>
        <w:rPr>
          <w:bCs/>
          <w:color w:val="000000"/>
          <w:sz w:val="22"/>
          <w:szCs w:val="22"/>
        </w:rPr>
      </w:pPr>
    </w:p>
    <w:p w14:paraId="6EB06773" w14:textId="77777777" w:rsidR="00001928" w:rsidRPr="00345BCE" w:rsidRDefault="00001928" w:rsidP="00C560EC">
      <w:pPr>
        <w:rPr>
          <w:bCs/>
          <w:color w:val="000000"/>
          <w:sz w:val="22"/>
          <w:szCs w:val="22"/>
          <w:u w:val="single"/>
        </w:rPr>
      </w:pPr>
      <w:r w:rsidRPr="00345BCE">
        <w:rPr>
          <w:bCs/>
          <w:i/>
          <w:color w:val="000000"/>
          <w:sz w:val="22"/>
          <w:szCs w:val="22"/>
          <w:u w:val="single"/>
        </w:rPr>
        <w:t>Az alkalmazás módja</w:t>
      </w:r>
    </w:p>
    <w:p w14:paraId="007D9D05" w14:textId="77777777" w:rsidR="00001928" w:rsidRPr="00345BCE" w:rsidRDefault="00001928" w:rsidP="00C560EC">
      <w:pPr>
        <w:rPr>
          <w:bCs/>
          <w:sz w:val="22"/>
          <w:szCs w:val="22"/>
        </w:rPr>
      </w:pPr>
      <w:r w:rsidRPr="00345BCE">
        <w:rPr>
          <w:bCs/>
          <w:sz w:val="22"/>
          <w:szCs w:val="22"/>
        </w:rPr>
        <w:t xml:space="preserve">A </w:t>
      </w:r>
      <w:r w:rsidR="00F847EA" w:rsidRPr="00345BCE">
        <w:rPr>
          <w:bCs/>
          <w:sz w:val="22"/>
          <w:szCs w:val="22"/>
        </w:rPr>
        <w:t>Valsartan Sandoz</w:t>
      </w:r>
      <w:r w:rsidRPr="00345BCE">
        <w:rPr>
          <w:bCs/>
          <w:sz w:val="22"/>
          <w:szCs w:val="22"/>
        </w:rPr>
        <w:t xml:space="preserve"> bevehető étkezéstől függetlenül, és vízzel kell bevenni.</w:t>
      </w:r>
    </w:p>
    <w:p w14:paraId="6DFD6E34" w14:textId="77777777" w:rsidR="004E703F" w:rsidRPr="00345BCE" w:rsidRDefault="004E703F" w:rsidP="00C560EC">
      <w:pPr>
        <w:tabs>
          <w:tab w:val="left" w:pos="567"/>
        </w:tabs>
        <w:rPr>
          <w:b/>
          <w:sz w:val="22"/>
          <w:szCs w:val="22"/>
        </w:rPr>
      </w:pPr>
    </w:p>
    <w:p w14:paraId="2E79B33C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4.3</w:t>
      </w:r>
      <w:r w:rsidRPr="00345BCE">
        <w:rPr>
          <w:b/>
          <w:sz w:val="22"/>
          <w:szCs w:val="22"/>
        </w:rPr>
        <w:tab/>
        <w:t>Ellenjavallatok</w:t>
      </w:r>
    </w:p>
    <w:p w14:paraId="0DDDCADC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</w:p>
    <w:p w14:paraId="10BC0708" w14:textId="77777777" w:rsidR="000A7E88" w:rsidRPr="00345BCE" w:rsidRDefault="000A7E88" w:rsidP="00C560EC">
      <w:pPr>
        <w:numPr>
          <w:ilvl w:val="0"/>
          <w:numId w:val="9"/>
        </w:numPr>
        <w:tabs>
          <w:tab w:val="clear" w:pos="360"/>
          <w:tab w:val="num" w:pos="567"/>
          <w:tab w:val="left" w:pos="2122"/>
        </w:tabs>
        <w:ind w:left="567" w:hanging="567"/>
        <w:rPr>
          <w:sz w:val="22"/>
          <w:szCs w:val="22"/>
        </w:rPr>
      </w:pPr>
      <w:r w:rsidRPr="00345BCE">
        <w:rPr>
          <w:sz w:val="22"/>
          <w:szCs w:val="22"/>
        </w:rPr>
        <w:t xml:space="preserve">A készítmény </w:t>
      </w:r>
      <w:r w:rsidR="0015303D" w:rsidRPr="00345BCE">
        <w:rPr>
          <w:sz w:val="22"/>
          <w:szCs w:val="22"/>
        </w:rPr>
        <w:t xml:space="preserve">hatóanyagával vagy </w:t>
      </w:r>
      <w:r w:rsidR="00924020">
        <w:rPr>
          <w:sz w:val="22"/>
          <w:szCs w:val="22"/>
        </w:rPr>
        <w:t xml:space="preserve">a 6.1 pontban felsorolt </w:t>
      </w:r>
      <w:r w:rsidRPr="00345BCE">
        <w:rPr>
          <w:sz w:val="22"/>
          <w:szCs w:val="22"/>
        </w:rPr>
        <w:t xml:space="preserve">bármely </w:t>
      </w:r>
      <w:r w:rsidR="0015303D" w:rsidRPr="00345BCE">
        <w:rPr>
          <w:sz w:val="22"/>
          <w:szCs w:val="22"/>
        </w:rPr>
        <w:t xml:space="preserve">segédanyagával </w:t>
      </w:r>
      <w:r w:rsidRPr="00345BCE">
        <w:rPr>
          <w:sz w:val="22"/>
          <w:szCs w:val="22"/>
        </w:rPr>
        <w:t>szembeni túlérzékenység.</w:t>
      </w:r>
    </w:p>
    <w:p w14:paraId="18667EB9" w14:textId="77777777" w:rsidR="00C75B34" w:rsidRPr="00345BCE" w:rsidRDefault="00C75B34" w:rsidP="00C560EC">
      <w:pPr>
        <w:numPr>
          <w:ilvl w:val="0"/>
          <w:numId w:val="9"/>
        </w:numPr>
        <w:tabs>
          <w:tab w:val="clear" w:pos="360"/>
          <w:tab w:val="num" w:pos="567"/>
          <w:tab w:val="left" w:pos="2122"/>
        </w:tabs>
        <w:ind w:left="567" w:hanging="567"/>
        <w:rPr>
          <w:sz w:val="22"/>
          <w:szCs w:val="22"/>
        </w:rPr>
      </w:pPr>
      <w:r w:rsidRPr="00345BCE">
        <w:rPr>
          <w:sz w:val="22"/>
          <w:szCs w:val="22"/>
        </w:rPr>
        <w:t>Súlyos májkárosodás, továbbá biliaris cirrhosis és cholestasis.</w:t>
      </w:r>
    </w:p>
    <w:p w14:paraId="2F183741" w14:textId="77777777" w:rsidR="000A7E88" w:rsidRDefault="00C75B34" w:rsidP="00C560EC">
      <w:pPr>
        <w:numPr>
          <w:ilvl w:val="0"/>
          <w:numId w:val="9"/>
        </w:numPr>
        <w:tabs>
          <w:tab w:val="clear" w:pos="360"/>
          <w:tab w:val="num" w:pos="567"/>
          <w:tab w:val="left" w:pos="2122"/>
        </w:tabs>
        <w:ind w:left="567" w:hanging="567"/>
        <w:rPr>
          <w:sz w:val="22"/>
          <w:szCs w:val="22"/>
        </w:rPr>
      </w:pPr>
      <w:r w:rsidRPr="00345BCE">
        <w:rPr>
          <w:sz w:val="22"/>
          <w:szCs w:val="22"/>
        </w:rPr>
        <w:t>A t</w:t>
      </w:r>
      <w:r w:rsidR="000A7E88" w:rsidRPr="00345BCE">
        <w:rPr>
          <w:sz w:val="22"/>
          <w:szCs w:val="22"/>
        </w:rPr>
        <w:t xml:space="preserve">erhesség </w:t>
      </w:r>
      <w:r w:rsidRPr="00D91645">
        <w:rPr>
          <w:sz w:val="22"/>
          <w:szCs w:val="22"/>
        </w:rPr>
        <w:t>második és harmadik tri</w:t>
      </w:r>
      <w:r w:rsidRPr="00706E72">
        <w:rPr>
          <w:sz w:val="22"/>
          <w:szCs w:val="22"/>
        </w:rPr>
        <w:t xml:space="preserve">mesztere </w:t>
      </w:r>
      <w:r w:rsidR="000A7E88" w:rsidRPr="00706E72">
        <w:rPr>
          <w:sz w:val="22"/>
          <w:szCs w:val="22"/>
        </w:rPr>
        <w:t xml:space="preserve">(lásd </w:t>
      </w:r>
      <w:r w:rsidRPr="00706E72">
        <w:rPr>
          <w:sz w:val="22"/>
          <w:szCs w:val="22"/>
        </w:rPr>
        <w:t xml:space="preserve">4.4 és </w:t>
      </w:r>
      <w:r w:rsidR="000A7E88" w:rsidRPr="00D23D88">
        <w:rPr>
          <w:sz w:val="22"/>
          <w:szCs w:val="22"/>
        </w:rPr>
        <w:t>4.6</w:t>
      </w:r>
      <w:r w:rsidRPr="00D23D88">
        <w:rPr>
          <w:sz w:val="22"/>
          <w:szCs w:val="22"/>
        </w:rPr>
        <w:t> pont</w:t>
      </w:r>
      <w:r w:rsidR="000A7E88" w:rsidRPr="00D23D88">
        <w:rPr>
          <w:sz w:val="22"/>
          <w:szCs w:val="22"/>
        </w:rPr>
        <w:t>).</w:t>
      </w:r>
    </w:p>
    <w:p w14:paraId="4F0C8D5B" w14:textId="77777777" w:rsidR="001F39B9" w:rsidRPr="001F39B9" w:rsidRDefault="001F39B9" w:rsidP="00C560EC">
      <w:pPr>
        <w:numPr>
          <w:ilvl w:val="0"/>
          <w:numId w:val="9"/>
        </w:numPr>
        <w:tabs>
          <w:tab w:val="clear" w:pos="360"/>
          <w:tab w:val="num" w:pos="567"/>
          <w:tab w:val="left" w:pos="2122"/>
        </w:tabs>
        <w:ind w:left="567" w:hanging="567"/>
        <w:rPr>
          <w:sz w:val="22"/>
          <w:szCs w:val="22"/>
        </w:rPr>
      </w:pPr>
      <w:r w:rsidRPr="00934BB1">
        <w:rPr>
          <w:sz w:val="22"/>
          <w:szCs w:val="22"/>
        </w:rPr>
        <w:t>A</w:t>
      </w:r>
      <w:r w:rsidRPr="00080734">
        <w:rPr>
          <w:sz w:val="22"/>
          <w:szCs w:val="22"/>
        </w:rPr>
        <w:t xml:space="preserve"> </w:t>
      </w:r>
      <w:r w:rsidR="007746EF" w:rsidRPr="00080734">
        <w:rPr>
          <w:sz w:val="22"/>
          <w:szCs w:val="22"/>
        </w:rPr>
        <w:t xml:space="preserve">Valsartan Sandoz </w:t>
      </w:r>
      <w:r w:rsidR="007746EF" w:rsidRPr="006E4511">
        <w:rPr>
          <w:sz w:val="22"/>
          <w:szCs w:val="22"/>
        </w:rPr>
        <w:t xml:space="preserve">egyidejű alkalmazása </w:t>
      </w:r>
      <w:r w:rsidRPr="006E4511">
        <w:rPr>
          <w:sz w:val="22"/>
          <w:szCs w:val="22"/>
        </w:rPr>
        <w:t>aliszkir</w:t>
      </w:r>
      <w:r w:rsidR="00630D4E">
        <w:rPr>
          <w:sz w:val="22"/>
          <w:szCs w:val="22"/>
        </w:rPr>
        <w:t>é</w:t>
      </w:r>
      <w:r w:rsidRPr="006E4511">
        <w:rPr>
          <w:sz w:val="22"/>
          <w:szCs w:val="22"/>
        </w:rPr>
        <w:t>n</w:t>
      </w:r>
      <w:r w:rsidR="008B765F">
        <w:rPr>
          <w:sz w:val="22"/>
          <w:szCs w:val="22"/>
        </w:rPr>
        <w:t>-</w:t>
      </w:r>
      <w:r w:rsidR="008F7E57" w:rsidRPr="006E4511">
        <w:rPr>
          <w:sz w:val="22"/>
          <w:szCs w:val="22"/>
        </w:rPr>
        <w:t>tartalmú készítményekkel</w:t>
      </w:r>
      <w:r w:rsidRPr="006E4511">
        <w:rPr>
          <w:sz w:val="22"/>
          <w:szCs w:val="22"/>
        </w:rPr>
        <w:t xml:space="preserve"> </w:t>
      </w:r>
      <w:r w:rsidR="007F408B" w:rsidRPr="009F7C7F">
        <w:rPr>
          <w:sz w:val="22"/>
          <w:szCs w:val="22"/>
        </w:rPr>
        <w:t xml:space="preserve">ellenjavallt </w:t>
      </w:r>
      <w:r w:rsidRPr="00EA799B">
        <w:rPr>
          <w:sz w:val="22"/>
          <w:szCs w:val="22"/>
        </w:rPr>
        <w:t>diabetes mellitus</w:t>
      </w:r>
      <w:r w:rsidRPr="0007553A">
        <w:rPr>
          <w:sz w:val="22"/>
          <w:szCs w:val="22"/>
        </w:rPr>
        <w:t>ban szenvedő</w:t>
      </w:r>
      <w:r w:rsidR="00630D4E">
        <w:rPr>
          <w:sz w:val="22"/>
          <w:szCs w:val="22"/>
        </w:rPr>
        <w:t>,</w:t>
      </w:r>
      <w:r w:rsidRPr="0007553A">
        <w:rPr>
          <w:sz w:val="22"/>
          <w:szCs w:val="22"/>
        </w:rPr>
        <w:t xml:space="preserve"> </w:t>
      </w:r>
      <w:r w:rsidRPr="0025785A">
        <w:rPr>
          <w:sz w:val="22"/>
          <w:szCs w:val="22"/>
        </w:rPr>
        <w:t xml:space="preserve">vagy </w:t>
      </w:r>
      <w:r w:rsidR="00355A5E" w:rsidRPr="007B273E">
        <w:rPr>
          <w:sz w:val="22"/>
          <w:szCs w:val="22"/>
        </w:rPr>
        <w:t>károsod</w:t>
      </w:r>
      <w:r w:rsidR="007F408B" w:rsidRPr="0095063C">
        <w:rPr>
          <w:sz w:val="22"/>
          <w:szCs w:val="22"/>
        </w:rPr>
        <w:t>ott</w:t>
      </w:r>
      <w:r w:rsidR="00355A5E" w:rsidRPr="0095063C">
        <w:rPr>
          <w:sz w:val="22"/>
          <w:szCs w:val="22"/>
        </w:rPr>
        <w:t xml:space="preserve"> </w:t>
      </w:r>
      <w:r w:rsidR="007F408B" w:rsidRPr="0095063C">
        <w:rPr>
          <w:sz w:val="22"/>
          <w:szCs w:val="22"/>
        </w:rPr>
        <w:t>veseműködésű</w:t>
      </w:r>
      <w:r w:rsidR="00355A5E" w:rsidRPr="00E04EDD">
        <w:rPr>
          <w:sz w:val="22"/>
          <w:szCs w:val="22"/>
        </w:rPr>
        <w:t xml:space="preserve"> </w:t>
      </w:r>
      <w:r w:rsidRPr="00F66E13">
        <w:rPr>
          <w:sz w:val="22"/>
          <w:szCs w:val="22"/>
        </w:rPr>
        <w:t>betegeknél</w:t>
      </w:r>
      <w:r w:rsidRPr="001F39B9">
        <w:rPr>
          <w:sz w:val="22"/>
          <w:szCs w:val="22"/>
        </w:rPr>
        <w:t xml:space="preserve"> (GFR</w:t>
      </w:r>
      <w:r w:rsidR="00355A5E">
        <w:rPr>
          <w:sz w:val="22"/>
          <w:szCs w:val="22"/>
        </w:rPr>
        <w:t> </w:t>
      </w:r>
      <w:r w:rsidRPr="001F39B9">
        <w:rPr>
          <w:sz w:val="22"/>
          <w:szCs w:val="22"/>
        </w:rPr>
        <w:t>&lt;</w:t>
      </w:r>
      <w:r w:rsidR="00630D4E">
        <w:rPr>
          <w:sz w:val="22"/>
          <w:szCs w:val="22"/>
        </w:rPr>
        <w:t> </w:t>
      </w:r>
      <w:r w:rsidRPr="001F39B9">
        <w:rPr>
          <w:sz w:val="22"/>
          <w:szCs w:val="22"/>
        </w:rPr>
        <w:t>60ml/perc/1,73m</w:t>
      </w:r>
      <w:r w:rsidRPr="001F39B9">
        <w:rPr>
          <w:sz w:val="22"/>
          <w:szCs w:val="22"/>
          <w:vertAlign w:val="superscript"/>
        </w:rPr>
        <w:t>2</w:t>
      </w:r>
      <w:r w:rsidRPr="001F39B9">
        <w:rPr>
          <w:sz w:val="22"/>
          <w:szCs w:val="22"/>
        </w:rPr>
        <w:t>)</w:t>
      </w:r>
      <w:r>
        <w:rPr>
          <w:sz w:val="22"/>
          <w:szCs w:val="22"/>
        </w:rPr>
        <w:t xml:space="preserve"> (lásd 4.</w:t>
      </w:r>
      <w:r w:rsidR="007F408B">
        <w:rPr>
          <w:sz w:val="22"/>
          <w:szCs w:val="22"/>
        </w:rPr>
        <w:t xml:space="preserve">5 </w:t>
      </w:r>
      <w:r>
        <w:rPr>
          <w:sz w:val="22"/>
          <w:szCs w:val="22"/>
        </w:rPr>
        <w:t>és 5</w:t>
      </w:r>
      <w:r w:rsidR="007F408B">
        <w:rPr>
          <w:sz w:val="22"/>
          <w:szCs w:val="22"/>
        </w:rPr>
        <w:t>.1</w:t>
      </w:r>
      <w:r>
        <w:rPr>
          <w:sz w:val="22"/>
          <w:szCs w:val="22"/>
        </w:rPr>
        <w:t> </w:t>
      </w:r>
      <w:r w:rsidRPr="001F39B9">
        <w:rPr>
          <w:sz w:val="22"/>
          <w:szCs w:val="22"/>
        </w:rPr>
        <w:t>pont).</w:t>
      </w:r>
    </w:p>
    <w:p w14:paraId="2F97C69C" w14:textId="77777777" w:rsidR="001C285A" w:rsidRPr="00345BCE" w:rsidRDefault="001C285A" w:rsidP="00C560EC">
      <w:pPr>
        <w:tabs>
          <w:tab w:val="left" w:pos="567"/>
          <w:tab w:val="left" w:pos="707"/>
        </w:tabs>
        <w:rPr>
          <w:b/>
          <w:sz w:val="22"/>
          <w:szCs w:val="22"/>
        </w:rPr>
      </w:pPr>
    </w:p>
    <w:p w14:paraId="6CAB0D62" w14:textId="77777777" w:rsidR="000A7E88" w:rsidRPr="00345BCE" w:rsidRDefault="000A7E88" w:rsidP="00C560EC">
      <w:pPr>
        <w:tabs>
          <w:tab w:val="left" w:pos="567"/>
          <w:tab w:val="left" w:pos="1274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4.4</w:t>
      </w:r>
      <w:r w:rsidRPr="00345BCE">
        <w:rPr>
          <w:b/>
          <w:sz w:val="22"/>
          <w:szCs w:val="22"/>
        </w:rPr>
        <w:tab/>
        <w:t>Különleges figyelmeztetések és az alkalmazással kapcsolatos óvintézkedések</w:t>
      </w:r>
    </w:p>
    <w:p w14:paraId="792D6A13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5E4B564F" w14:textId="77777777" w:rsidR="00C75B34" w:rsidRPr="00345BCE" w:rsidRDefault="003416C4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H</w:t>
      </w:r>
      <w:r w:rsidR="00F9007A">
        <w:rPr>
          <w:sz w:val="22"/>
          <w:szCs w:val="22"/>
          <w:u w:val="single"/>
        </w:rPr>
        <w:t>y</w:t>
      </w:r>
      <w:r w:rsidRPr="00345BCE">
        <w:rPr>
          <w:sz w:val="22"/>
          <w:szCs w:val="22"/>
          <w:u w:val="single"/>
        </w:rPr>
        <w:t>perkal</w:t>
      </w:r>
      <w:r w:rsidR="00F9007A">
        <w:rPr>
          <w:sz w:val="22"/>
          <w:szCs w:val="22"/>
          <w:u w:val="single"/>
        </w:rPr>
        <w:t>a</w:t>
      </w:r>
      <w:r w:rsidR="00F64D46">
        <w:rPr>
          <w:sz w:val="22"/>
          <w:szCs w:val="22"/>
          <w:u w:val="single"/>
        </w:rPr>
        <w:t>e</w:t>
      </w:r>
      <w:r w:rsidRPr="00345BCE">
        <w:rPr>
          <w:sz w:val="22"/>
          <w:szCs w:val="22"/>
          <w:u w:val="single"/>
        </w:rPr>
        <w:t>mia</w:t>
      </w:r>
    </w:p>
    <w:p w14:paraId="0B3AF4D6" w14:textId="77777777" w:rsidR="00C75B34" w:rsidRPr="00345BCE" w:rsidRDefault="00C75B34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Egyidejű adása káliumpótló készítményekkel, káliummegtakarító diuretikumokkal, káliumtartalmú sópótlókkal vagy egyéb</w:t>
      </w:r>
      <w:r w:rsidR="00580B60" w:rsidRPr="00345BCE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a káliumszintet </w:t>
      </w:r>
      <w:r w:rsidR="00580B60" w:rsidRPr="00345BCE">
        <w:rPr>
          <w:sz w:val="22"/>
          <w:szCs w:val="22"/>
        </w:rPr>
        <w:t xml:space="preserve">növelő szerekkel </w:t>
      </w:r>
      <w:r w:rsidRPr="00345BCE">
        <w:rPr>
          <w:sz w:val="22"/>
          <w:szCs w:val="22"/>
        </w:rPr>
        <w:t>(heparin, stb.) nem ajánlott. Az esettől függően a káliumszintet monitorozni kell.</w:t>
      </w:r>
    </w:p>
    <w:p w14:paraId="6FCF6AF0" w14:textId="77777777" w:rsidR="00DC2186" w:rsidRPr="00345BCE" w:rsidRDefault="00DC2186" w:rsidP="00C560EC">
      <w:pPr>
        <w:pStyle w:val="Cmsor1"/>
        <w:numPr>
          <w:ilvl w:val="0"/>
          <w:numId w:val="0"/>
        </w:numPr>
        <w:tabs>
          <w:tab w:val="left" w:pos="567"/>
        </w:tabs>
        <w:rPr>
          <w:b/>
          <w:sz w:val="22"/>
          <w:szCs w:val="22"/>
        </w:rPr>
      </w:pPr>
    </w:p>
    <w:p w14:paraId="0346780C" w14:textId="77777777" w:rsidR="00DC2186" w:rsidRPr="00345BCE" w:rsidRDefault="00DC2186" w:rsidP="00C560EC">
      <w:pPr>
        <w:widowControl/>
        <w:numPr>
          <w:ilvl w:val="0"/>
          <w:numId w:val="10"/>
        </w:numPr>
        <w:tabs>
          <w:tab w:val="left" w:pos="567"/>
        </w:tabs>
        <w:suppressAutoHyphens w:val="0"/>
        <w:spacing w:line="260" w:lineRule="exact"/>
        <w:rPr>
          <w:sz w:val="22"/>
          <w:szCs w:val="22"/>
          <w:u w:val="single"/>
        </w:rPr>
      </w:pPr>
      <w:r w:rsidRPr="00345BCE">
        <w:rPr>
          <w:bCs/>
          <w:sz w:val="22"/>
          <w:szCs w:val="22"/>
          <w:u w:val="single"/>
        </w:rPr>
        <w:t>Vesekárosodás</w:t>
      </w:r>
    </w:p>
    <w:p w14:paraId="41780567" w14:textId="77777777" w:rsidR="00DC2186" w:rsidRPr="00345BCE" w:rsidRDefault="00DC2186" w:rsidP="00C560EC">
      <w:pPr>
        <w:widowControl/>
        <w:numPr>
          <w:ilvl w:val="0"/>
          <w:numId w:val="10"/>
        </w:numPr>
        <w:suppressAutoHyphens w:val="0"/>
        <w:rPr>
          <w:sz w:val="22"/>
          <w:szCs w:val="22"/>
        </w:rPr>
      </w:pPr>
      <w:r w:rsidRPr="00345BCE">
        <w:rPr>
          <w:sz w:val="22"/>
          <w:szCs w:val="22"/>
        </w:rPr>
        <w:t xml:space="preserve">Azoknál a </w:t>
      </w:r>
      <w:r w:rsidRPr="00345BCE">
        <w:rPr>
          <w:color w:val="000000"/>
          <w:sz w:val="22"/>
          <w:szCs w:val="22"/>
          <w:lang w:bidi="th-TH"/>
        </w:rPr>
        <w:t>betegeknél, akiknek a kreatitnin</w:t>
      </w:r>
      <w:r w:rsidRPr="00345BCE">
        <w:rPr>
          <w:color w:val="000000"/>
          <w:sz w:val="22"/>
          <w:szCs w:val="22"/>
          <w:lang w:bidi="th-TH"/>
        </w:rPr>
        <w:noBreakHyphen/>
        <w:t>clearance</w:t>
      </w:r>
      <w:r w:rsidRPr="00345BCE">
        <w:rPr>
          <w:color w:val="000000"/>
          <w:sz w:val="22"/>
          <w:szCs w:val="22"/>
          <w:lang w:bidi="th-TH"/>
        </w:rPr>
        <w:noBreakHyphen/>
        <w:t>e &lt;</w:t>
      </w:r>
      <w:r w:rsidR="00630D4E">
        <w:rPr>
          <w:color w:val="000000"/>
          <w:sz w:val="22"/>
          <w:szCs w:val="22"/>
          <w:lang w:bidi="th-TH"/>
        </w:rPr>
        <w:t> </w:t>
      </w:r>
      <w:r w:rsidRPr="00345BCE">
        <w:rPr>
          <w:color w:val="000000"/>
          <w:sz w:val="22"/>
          <w:szCs w:val="22"/>
          <w:lang w:bidi="th-TH"/>
        </w:rPr>
        <w:t xml:space="preserve">10 ml/perc, valamint a dialízis alatt alló betegeknél </w:t>
      </w:r>
      <w:r w:rsidRPr="00345BCE">
        <w:rPr>
          <w:sz w:val="22"/>
          <w:szCs w:val="22"/>
        </w:rPr>
        <w:t>jelenleg nincs a biztonságos alkalmazásra vonatkozó tapasztalat, ezért a valzartánt ezeknél a betegeknél óvatosan kell alkalmazni.</w:t>
      </w:r>
      <w:r w:rsidRPr="00345BCE">
        <w:rPr>
          <w:bCs/>
          <w:sz w:val="22"/>
          <w:szCs w:val="22"/>
        </w:rPr>
        <w:t xml:space="preserve"> Nem szükséges a dózis módosítása azoknál a felnőtt betegeknél, akik</w:t>
      </w:r>
      <w:r w:rsidR="00BE2C56">
        <w:rPr>
          <w:bCs/>
          <w:sz w:val="22"/>
          <w:szCs w:val="22"/>
        </w:rPr>
        <w:t xml:space="preserve">nek a </w:t>
      </w:r>
      <w:r w:rsidRPr="00345BCE">
        <w:rPr>
          <w:bCs/>
          <w:sz w:val="22"/>
          <w:szCs w:val="22"/>
        </w:rPr>
        <w:t xml:space="preserve"> kreatinin</w:t>
      </w:r>
      <w:r w:rsidRPr="00345BCE">
        <w:rPr>
          <w:bCs/>
          <w:sz w:val="22"/>
          <w:szCs w:val="22"/>
        </w:rPr>
        <w:noBreakHyphen/>
        <w:t>clearance</w:t>
      </w:r>
      <w:r w:rsidRPr="00345BCE">
        <w:rPr>
          <w:bCs/>
          <w:sz w:val="22"/>
          <w:szCs w:val="22"/>
        </w:rPr>
        <w:noBreakHyphen/>
        <w:t xml:space="preserve">e </w:t>
      </w:r>
      <w:r w:rsidRPr="00345BCE">
        <w:rPr>
          <w:sz w:val="22"/>
          <w:szCs w:val="22"/>
        </w:rPr>
        <w:t>&gt;</w:t>
      </w:r>
      <w:r w:rsidR="00630D4E">
        <w:rPr>
          <w:sz w:val="22"/>
          <w:szCs w:val="22"/>
        </w:rPr>
        <w:t> </w:t>
      </w:r>
      <w:r w:rsidRPr="00345BCE">
        <w:rPr>
          <w:sz w:val="22"/>
          <w:szCs w:val="22"/>
        </w:rPr>
        <w:t>10 ml/perc (lásd 4.2 és 5.2 pont).</w:t>
      </w:r>
    </w:p>
    <w:p w14:paraId="34741E3B" w14:textId="77777777" w:rsidR="0051702A" w:rsidRPr="001F39B9" w:rsidRDefault="0051702A" w:rsidP="00C560EC">
      <w:pPr>
        <w:numPr>
          <w:ilvl w:val="0"/>
          <w:numId w:val="10"/>
        </w:numPr>
        <w:tabs>
          <w:tab w:val="left" w:pos="567"/>
          <w:tab w:val="left" w:pos="2122"/>
        </w:tabs>
        <w:rPr>
          <w:sz w:val="22"/>
          <w:szCs w:val="22"/>
        </w:rPr>
      </w:pPr>
      <w:r>
        <w:rPr>
          <w:sz w:val="22"/>
          <w:szCs w:val="22"/>
        </w:rPr>
        <w:t>Az aliszkir</w:t>
      </w:r>
      <w:r w:rsidR="00630D4E">
        <w:rPr>
          <w:sz w:val="22"/>
          <w:szCs w:val="22"/>
        </w:rPr>
        <w:t>é</w:t>
      </w:r>
      <w:r>
        <w:rPr>
          <w:sz w:val="22"/>
          <w:szCs w:val="22"/>
        </w:rPr>
        <w:t>n ARB-kel (</w:t>
      </w:r>
      <w:r w:rsidR="000A5BD1">
        <w:rPr>
          <w:sz w:val="22"/>
          <w:szCs w:val="22"/>
        </w:rPr>
        <w:t>beleértve a valzartánt</w:t>
      </w:r>
      <w:r>
        <w:rPr>
          <w:sz w:val="22"/>
          <w:szCs w:val="22"/>
        </w:rPr>
        <w:t xml:space="preserve">) vagy </w:t>
      </w:r>
      <w:r w:rsidRPr="001F39B9">
        <w:rPr>
          <w:sz w:val="22"/>
          <w:szCs w:val="22"/>
        </w:rPr>
        <w:t>ACE</w:t>
      </w:r>
      <w:r>
        <w:rPr>
          <w:sz w:val="22"/>
          <w:szCs w:val="22"/>
        </w:rPr>
        <w:t>-</w:t>
      </w:r>
      <w:r w:rsidRPr="001F39B9">
        <w:rPr>
          <w:sz w:val="22"/>
          <w:szCs w:val="22"/>
        </w:rPr>
        <w:t xml:space="preserve">gátlókkal történő egyidejű </w:t>
      </w:r>
      <w:r>
        <w:rPr>
          <w:sz w:val="22"/>
          <w:szCs w:val="22"/>
        </w:rPr>
        <w:t xml:space="preserve">alkalmazása </w:t>
      </w:r>
      <w:r w:rsidR="00355A5E">
        <w:rPr>
          <w:sz w:val="22"/>
          <w:szCs w:val="22"/>
        </w:rPr>
        <w:t xml:space="preserve">vesekárosodásban szenvedő </w:t>
      </w:r>
      <w:r w:rsidRPr="001F39B9">
        <w:rPr>
          <w:sz w:val="22"/>
          <w:szCs w:val="22"/>
        </w:rPr>
        <w:t>betegeknél (GFR &lt;</w:t>
      </w:r>
      <w:r w:rsidR="00630D4E">
        <w:rPr>
          <w:sz w:val="22"/>
          <w:szCs w:val="22"/>
        </w:rPr>
        <w:t> </w:t>
      </w:r>
      <w:r w:rsidRPr="001F39B9">
        <w:rPr>
          <w:sz w:val="22"/>
          <w:szCs w:val="22"/>
        </w:rPr>
        <w:t>60ml/perc/1,73m</w:t>
      </w:r>
      <w:r w:rsidRPr="001F39B9">
        <w:rPr>
          <w:sz w:val="22"/>
          <w:szCs w:val="22"/>
          <w:vertAlign w:val="superscript"/>
        </w:rPr>
        <w:t>2</w:t>
      </w:r>
      <w:r w:rsidRPr="001F39B9">
        <w:rPr>
          <w:sz w:val="22"/>
          <w:szCs w:val="22"/>
        </w:rPr>
        <w:t>)</w:t>
      </w:r>
      <w:r>
        <w:rPr>
          <w:sz w:val="22"/>
          <w:szCs w:val="22"/>
        </w:rPr>
        <w:t xml:space="preserve"> ellenjavallt (lásd 4.3 és 4.5 </w:t>
      </w:r>
      <w:r w:rsidRPr="001F39B9">
        <w:rPr>
          <w:sz w:val="22"/>
          <w:szCs w:val="22"/>
        </w:rPr>
        <w:t>pont).</w:t>
      </w:r>
    </w:p>
    <w:p w14:paraId="65B897CC" w14:textId="77777777" w:rsidR="00DC2186" w:rsidRPr="00345BCE" w:rsidRDefault="00DC2186" w:rsidP="00C560EC">
      <w:pPr>
        <w:tabs>
          <w:tab w:val="left" w:pos="567"/>
        </w:tabs>
        <w:rPr>
          <w:sz w:val="22"/>
          <w:szCs w:val="22"/>
        </w:rPr>
      </w:pPr>
    </w:p>
    <w:p w14:paraId="75A44931" w14:textId="77777777" w:rsidR="00EF46BA" w:rsidRPr="00345BCE" w:rsidRDefault="00EF46BA" w:rsidP="00C560EC">
      <w:pPr>
        <w:widowControl/>
        <w:numPr>
          <w:ilvl w:val="0"/>
          <w:numId w:val="10"/>
        </w:numPr>
        <w:tabs>
          <w:tab w:val="left" w:pos="567"/>
        </w:tabs>
        <w:suppressAutoHyphens w:val="0"/>
        <w:spacing w:line="260" w:lineRule="exact"/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Májkárosodás</w:t>
      </w:r>
    </w:p>
    <w:p w14:paraId="3A98E612" w14:textId="77777777" w:rsidR="00EF46BA" w:rsidRPr="00345BCE" w:rsidRDefault="00EF46BA" w:rsidP="00C560EC">
      <w:pPr>
        <w:widowControl/>
        <w:tabs>
          <w:tab w:val="left" w:pos="567"/>
        </w:tabs>
        <w:suppressAutoHyphens w:val="0"/>
        <w:spacing w:line="260" w:lineRule="exact"/>
        <w:rPr>
          <w:sz w:val="22"/>
          <w:szCs w:val="22"/>
        </w:rPr>
      </w:pPr>
      <w:r w:rsidRPr="00345BCE">
        <w:rPr>
          <w:color w:val="000000"/>
          <w:sz w:val="22"/>
          <w:szCs w:val="22"/>
        </w:rPr>
        <w:t xml:space="preserve">A cholestasissal nem járó, </w:t>
      </w:r>
      <w:r w:rsidRPr="00345BCE">
        <w:rPr>
          <w:bCs/>
          <w:sz w:val="22"/>
          <w:szCs w:val="22"/>
        </w:rPr>
        <w:t>enyhe vagy közepesen súlyos májkárosodásban szenvedő betegeknél</w:t>
      </w:r>
      <w:r w:rsidRPr="00345BCE">
        <w:rPr>
          <w:sz w:val="22"/>
          <w:szCs w:val="22"/>
        </w:rPr>
        <w:t xml:space="preserve"> a Valsartan Sandozt óvatosan kell alkalmazni (lásd 4.2 és 5.2 pont).</w:t>
      </w:r>
    </w:p>
    <w:p w14:paraId="16BF1164" w14:textId="77777777" w:rsidR="00EF46BA" w:rsidRPr="00345BCE" w:rsidRDefault="00EF46BA" w:rsidP="00C560EC">
      <w:pPr>
        <w:widowControl/>
        <w:tabs>
          <w:tab w:val="left" w:pos="567"/>
        </w:tabs>
        <w:suppressAutoHyphens w:val="0"/>
        <w:spacing w:line="260" w:lineRule="exact"/>
        <w:rPr>
          <w:sz w:val="22"/>
          <w:szCs w:val="22"/>
          <w:u w:val="single"/>
        </w:rPr>
      </w:pPr>
    </w:p>
    <w:p w14:paraId="3B0ADC6E" w14:textId="77777777" w:rsidR="00EF46BA" w:rsidRPr="00345BCE" w:rsidRDefault="00EF46BA" w:rsidP="00C560EC">
      <w:pPr>
        <w:widowControl/>
        <w:tabs>
          <w:tab w:val="left" w:pos="567"/>
        </w:tabs>
        <w:suppressAutoHyphens w:val="0"/>
        <w:spacing w:line="260" w:lineRule="exact"/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Nátrium- és/vagy volumenhiányos betegek</w:t>
      </w:r>
    </w:p>
    <w:p w14:paraId="2AB73D28" w14:textId="77777777" w:rsidR="00EF46BA" w:rsidRPr="00345BCE" w:rsidRDefault="00EF46BA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Súlyos nátrium- és/vagy volumenhiányos (pl. nagy dózisú diuretikus kezelésben részesülő) betegekben ritkán szimptómás </w:t>
      </w:r>
      <w:r w:rsidR="002321C3">
        <w:rPr>
          <w:sz w:val="22"/>
          <w:szCs w:val="22"/>
        </w:rPr>
        <w:t>hypotonia</w:t>
      </w:r>
      <w:r w:rsidRPr="00345BCE">
        <w:rPr>
          <w:sz w:val="22"/>
          <w:szCs w:val="22"/>
        </w:rPr>
        <w:t xml:space="preserve"> fordulhat elő a </w:t>
      </w:r>
      <w:r w:rsidR="002964C0">
        <w:rPr>
          <w:sz w:val="22"/>
          <w:szCs w:val="22"/>
        </w:rPr>
        <w:t>v</w:t>
      </w:r>
      <w:r w:rsidRPr="00345BCE">
        <w:rPr>
          <w:sz w:val="22"/>
          <w:szCs w:val="22"/>
        </w:rPr>
        <w:t>al</w:t>
      </w:r>
      <w:r w:rsidR="0084535E">
        <w:rPr>
          <w:sz w:val="22"/>
          <w:szCs w:val="22"/>
        </w:rPr>
        <w:t>z</w:t>
      </w:r>
      <w:r w:rsidRPr="00345BCE">
        <w:rPr>
          <w:sz w:val="22"/>
          <w:szCs w:val="22"/>
        </w:rPr>
        <w:t>art</w:t>
      </w:r>
      <w:r w:rsidR="0084535E">
        <w:rPr>
          <w:sz w:val="22"/>
          <w:szCs w:val="22"/>
        </w:rPr>
        <w:t>á</w:t>
      </w:r>
      <w:r w:rsidRPr="00345BCE">
        <w:rPr>
          <w:sz w:val="22"/>
          <w:szCs w:val="22"/>
        </w:rPr>
        <w:t>n</w:t>
      </w:r>
      <w:r w:rsidRPr="00345BCE">
        <w:rPr>
          <w:sz w:val="22"/>
          <w:szCs w:val="22"/>
        </w:rPr>
        <w:noBreakHyphen/>
        <w:t xml:space="preserve">kezelés megkezdésekor. A nátrium- és/vagy volumenhiányt a </w:t>
      </w:r>
      <w:r w:rsidR="00542311">
        <w:rPr>
          <w:sz w:val="22"/>
          <w:szCs w:val="22"/>
        </w:rPr>
        <w:t>valzartán</w:t>
      </w:r>
      <w:r w:rsidR="00630D4E">
        <w:rPr>
          <w:sz w:val="22"/>
          <w:szCs w:val="22"/>
        </w:rPr>
        <w:t>-</w:t>
      </w:r>
      <w:r w:rsidRPr="00345BCE">
        <w:rPr>
          <w:sz w:val="22"/>
          <w:szCs w:val="22"/>
        </w:rPr>
        <w:t>kezelés megkezdése előtt rendezni kell, pl. a diuretikum dózisának csökkentésével.</w:t>
      </w:r>
    </w:p>
    <w:p w14:paraId="52B1EF29" w14:textId="77777777" w:rsidR="000A7E88" w:rsidRPr="00345BCE" w:rsidRDefault="000A7E88" w:rsidP="00C560EC">
      <w:pPr>
        <w:tabs>
          <w:tab w:val="left" w:pos="567"/>
        </w:tabs>
        <w:rPr>
          <w:b/>
          <w:i/>
          <w:sz w:val="22"/>
          <w:szCs w:val="22"/>
        </w:rPr>
      </w:pPr>
    </w:p>
    <w:p w14:paraId="0F30EA9D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Art</w:t>
      </w:r>
      <w:r w:rsidR="007B1252">
        <w:rPr>
          <w:sz w:val="22"/>
          <w:szCs w:val="22"/>
          <w:u w:val="single"/>
        </w:rPr>
        <w:t>e</w:t>
      </w:r>
      <w:r w:rsidRPr="00345BCE">
        <w:rPr>
          <w:sz w:val="22"/>
          <w:szCs w:val="22"/>
          <w:u w:val="single"/>
        </w:rPr>
        <w:t>ria ren</w:t>
      </w:r>
      <w:r w:rsidR="007B1252">
        <w:rPr>
          <w:sz w:val="22"/>
          <w:szCs w:val="22"/>
          <w:u w:val="single"/>
        </w:rPr>
        <w:t>a</w:t>
      </w:r>
      <w:r w:rsidRPr="00345BCE">
        <w:rPr>
          <w:sz w:val="22"/>
          <w:szCs w:val="22"/>
          <w:u w:val="single"/>
        </w:rPr>
        <w:t>lis sten</w:t>
      </w:r>
      <w:r w:rsidR="007B1252">
        <w:rPr>
          <w:sz w:val="22"/>
          <w:szCs w:val="22"/>
          <w:u w:val="single"/>
        </w:rPr>
        <w:t>osis</w:t>
      </w:r>
    </w:p>
    <w:p w14:paraId="62A54008" w14:textId="77777777" w:rsidR="00AF4F04" w:rsidRPr="00345BCE" w:rsidRDefault="00AF4F04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Kétoldali art</w:t>
      </w:r>
      <w:r w:rsidR="007B1252">
        <w:rPr>
          <w:sz w:val="22"/>
          <w:szCs w:val="22"/>
        </w:rPr>
        <w:t>e</w:t>
      </w:r>
      <w:r w:rsidRPr="00D91645">
        <w:rPr>
          <w:sz w:val="22"/>
          <w:szCs w:val="22"/>
        </w:rPr>
        <w:t>ria</w:t>
      </w:r>
      <w:r w:rsidRPr="00706E72">
        <w:rPr>
          <w:sz w:val="22"/>
          <w:szCs w:val="22"/>
        </w:rPr>
        <w:t xml:space="preserve"> ren</w:t>
      </w:r>
      <w:r w:rsidR="007B1252">
        <w:rPr>
          <w:sz w:val="22"/>
          <w:szCs w:val="22"/>
        </w:rPr>
        <w:t>alis</w:t>
      </w:r>
      <w:r w:rsidRPr="00706E72">
        <w:rPr>
          <w:sz w:val="22"/>
          <w:szCs w:val="22"/>
        </w:rPr>
        <w:t xml:space="preserve"> s</w:t>
      </w:r>
      <w:r w:rsidRPr="00D23D88">
        <w:rPr>
          <w:sz w:val="22"/>
          <w:szCs w:val="22"/>
        </w:rPr>
        <w:t>ten</w:t>
      </w:r>
      <w:r w:rsidR="007B1252">
        <w:rPr>
          <w:sz w:val="22"/>
          <w:szCs w:val="22"/>
        </w:rPr>
        <w:t>osis</w:t>
      </w:r>
      <w:r w:rsidRPr="00345BCE">
        <w:rPr>
          <w:sz w:val="22"/>
          <w:szCs w:val="22"/>
        </w:rPr>
        <w:t xml:space="preserve">ban vagy </w:t>
      </w:r>
      <w:r w:rsidR="00580B60" w:rsidRPr="00345BCE">
        <w:rPr>
          <w:sz w:val="22"/>
          <w:szCs w:val="22"/>
        </w:rPr>
        <w:t xml:space="preserve">szoliter veséjű, </w:t>
      </w:r>
      <w:r w:rsidRPr="00345BCE">
        <w:rPr>
          <w:sz w:val="22"/>
          <w:szCs w:val="22"/>
        </w:rPr>
        <w:t>egyoldali sten</w:t>
      </w:r>
      <w:r w:rsidR="007B1252">
        <w:rPr>
          <w:sz w:val="22"/>
          <w:szCs w:val="22"/>
        </w:rPr>
        <w:t>osisb</w:t>
      </w:r>
      <w:r w:rsidRPr="00345BCE">
        <w:rPr>
          <w:sz w:val="22"/>
          <w:szCs w:val="22"/>
        </w:rPr>
        <w:t xml:space="preserve">an szenvedő betegeknél nem igazolták a </w:t>
      </w:r>
      <w:r w:rsidR="00580B60" w:rsidRPr="00345BCE">
        <w:rPr>
          <w:sz w:val="22"/>
          <w:szCs w:val="22"/>
        </w:rPr>
        <w:t>Valsartan Sandoz</w:t>
      </w:r>
      <w:r w:rsidRPr="00345BCE">
        <w:rPr>
          <w:sz w:val="22"/>
          <w:szCs w:val="22"/>
        </w:rPr>
        <w:t xml:space="preserve"> biztonságos használatát.</w:t>
      </w:r>
    </w:p>
    <w:p w14:paraId="7896592E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Egyoldali arteria renalis </w:t>
      </w:r>
      <w:r w:rsidR="00811854" w:rsidRPr="00345BCE">
        <w:rPr>
          <w:sz w:val="22"/>
          <w:szCs w:val="22"/>
        </w:rPr>
        <w:t>sten</w:t>
      </w:r>
      <w:r w:rsidR="007B1252">
        <w:rPr>
          <w:sz w:val="22"/>
          <w:szCs w:val="22"/>
        </w:rPr>
        <w:t>osis</w:t>
      </w:r>
      <w:r w:rsidRPr="00345BCE">
        <w:rPr>
          <w:sz w:val="22"/>
          <w:szCs w:val="22"/>
        </w:rPr>
        <w:t xml:space="preserve"> következtében kialakult renovas</w:t>
      </w:r>
      <w:r w:rsidR="00AD7889" w:rsidRPr="00345BCE">
        <w:rPr>
          <w:sz w:val="22"/>
          <w:szCs w:val="22"/>
        </w:rPr>
        <w:t>cularis</w:t>
      </w:r>
      <w:r w:rsidRPr="00345BCE">
        <w:rPr>
          <w:sz w:val="22"/>
          <w:szCs w:val="22"/>
        </w:rPr>
        <w:t xml:space="preserve"> </w:t>
      </w:r>
      <w:r w:rsidR="002321C3">
        <w:rPr>
          <w:sz w:val="22"/>
          <w:szCs w:val="22"/>
        </w:rPr>
        <w:t>hypertoniá</w:t>
      </w:r>
      <w:r w:rsidR="007B1252">
        <w:rPr>
          <w:sz w:val="22"/>
          <w:szCs w:val="22"/>
        </w:rPr>
        <w:t>ban</w:t>
      </w:r>
      <w:r w:rsidRPr="00345BCE">
        <w:rPr>
          <w:sz w:val="22"/>
          <w:szCs w:val="22"/>
        </w:rPr>
        <w:t xml:space="preserve"> szenvedő 12</w:t>
      </w:r>
      <w:r w:rsidR="006B096E" w:rsidRPr="00345BCE">
        <w:rPr>
          <w:sz w:val="22"/>
          <w:szCs w:val="22"/>
        </w:rPr>
        <w:t> </w:t>
      </w:r>
      <w:r w:rsidRPr="00345BCE">
        <w:rPr>
          <w:sz w:val="22"/>
          <w:szCs w:val="22"/>
        </w:rPr>
        <w:t>betegnél</w:t>
      </w:r>
      <w:r w:rsidR="001D7712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rövid ideig alkalmazva a </w:t>
      </w:r>
      <w:r w:rsidR="002964C0">
        <w:rPr>
          <w:sz w:val="22"/>
          <w:szCs w:val="22"/>
        </w:rPr>
        <w:t>v</w:t>
      </w:r>
      <w:r w:rsidR="00580B60" w:rsidRPr="00345BCE">
        <w:rPr>
          <w:sz w:val="22"/>
          <w:szCs w:val="22"/>
        </w:rPr>
        <w:t>al</w:t>
      </w:r>
      <w:r w:rsidR="00291880">
        <w:rPr>
          <w:sz w:val="22"/>
          <w:szCs w:val="22"/>
        </w:rPr>
        <w:t>z</w:t>
      </w:r>
      <w:r w:rsidR="00580B60" w:rsidRPr="00345BCE">
        <w:rPr>
          <w:sz w:val="22"/>
          <w:szCs w:val="22"/>
        </w:rPr>
        <w:t>art</w:t>
      </w:r>
      <w:r w:rsidR="00291880">
        <w:rPr>
          <w:sz w:val="22"/>
          <w:szCs w:val="22"/>
        </w:rPr>
        <w:t>á</w:t>
      </w:r>
      <w:r w:rsidR="00580B60" w:rsidRPr="00345BCE">
        <w:rPr>
          <w:sz w:val="22"/>
          <w:szCs w:val="22"/>
        </w:rPr>
        <w:t>n</w:t>
      </w:r>
      <w:r w:rsidRPr="00345BCE">
        <w:rPr>
          <w:sz w:val="22"/>
          <w:szCs w:val="22"/>
        </w:rPr>
        <w:t>t, nem változott szig</w:t>
      </w:r>
      <w:r w:rsidR="006B096E" w:rsidRPr="00345BCE">
        <w:rPr>
          <w:sz w:val="22"/>
          <w:szCs w:val="22"/>
        </w:rPr>
        <w:t>nifikáns mértékben a vese hemo</w:t>
      </w:r>
      <w:r w:rsidRPr="00345BCE">
        <w:rPr>
          <w:sz w:val="22"/>
          <w:szCs w:val="22"/>
        </w:rPr>
        <w:t>dinamikája, a szérum</w:t>
      </w:r>
      <w:r w:rsidR="00AD7889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 xml:space="preserve">kreatinin és </w:t>
      </w:r>
      <w:r w:rsidR="00F85D13" w:rsidRPr="00345BCE">
        <w:rPr>
          <w:sz w:val="22"/>
          <w:szCs w:val="22"/>
        </w:rPr>
        <w:t xml:space="preserve">a vér </w:t>
      </w:r>
      <w:r w:rsidRPr="00345BCE">
        <w:rPr>
          <w:sz w:val="22"/>
          <w:szCs w:val="22"/>
        </w:rPr>
        <w:t>karbamid</w:t>
      </w:r>
      <w:r w:rsidR="003F18BA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nitrogén </w:t>
      </w:r>
      <w:r w:rsidR="00AF4F04" w:rsidRPr="00345BCE">
        <w:rPr>
          <w:sz w:val="22"/>
          <w:szCs w:val="22"/>
        </w:rPr>
        <w:t>(BUN)</w:t>
      </w:r>
      <w:r w:rsidR="00F85D13" w:rsidRPr="00345BCE">
        <w:rPr>
          <w:sz w:val="22"/>
          <w:szCs w:val="22"/>
        </w:rPr>
        <w:t xml:space="preserve"> szintje</w:t>
      </w:r>
      <w:r w:rsidRPr="00345BCE">
        <w:rPr>
          <w:sz w:val="22"/>
          <w:szCs w:val="22"/>
        </w:rPr>
        <w:t xml:space="preserve">. </w:t>
      </w:r>
      <w:r w:rsidR="001D7712">
        <w:rPr>
          <w:sz w:val="22"/>
          <w:szCs w:val="22"/>
        </w:rPr>
        <w:t>Ugyanakkor</w:t>
      </w:r>
      <w:r w:rsidRPr="00345BCE">
        <w:rPr>
          <w:sz w:val="22"/>
          <w:szCs w:val="22"/>
        </w:rPr>
        <w:t>, mivel e</w:t>
      </w:r>
      <w:r w:rsidR="006B096E" w:rsidRPr="00345BCE">
        <w:rPr>
          <w:sz w:val="22"/>
          <w:szCs w:val="22"/>
        </w:rPr>
        <w:t>gyéb, a renin-angio</w:t>
      </w:r>
      <w:r w:rsidRPr="00345BCE">
        <w:rPr>
          <w:sz w:val="22"/>
          <w:szCs w:val="22"/>
        </w:rPr>
        <w:t xml:space="preserve">tenzin-aldoszteron rendszerre ható gyógyszerek fokozhatják a </w:t>
      </w:r>
      <w:r w:rsidR="00F85D13" w:rsidRPr="00345BCE">
        <w:rPr>
          <w:sz w:val="22"/>
          <w:szCs w:val="22"/>
        </w:rPr>
        <w:t xml:space="preserve">vér </w:t>
      </w:r>
      <w:r w:rsidR="00E86DD7" w:rsidRPr="00345BCE">
        <w:rPr>
          <w:sz w:val="22"/>
          <w:szCs w:val="22"/>
        </w:rPr>
        <w:t>karbamid</w:t>
      </w:r>
      <w:r w:rsidR="003F18BA" w:rsidRPr="00345BCE">
        <w:rPr>
          <w:sz w:val="22"/>
          <w:szCs w:val="22"/>
        </w:rPr>
        <w:t>-</w:t>
      </w:r>
      <w:r w:rsidR="00E86DD7" w:rsidRPr="00345BCE">
        <w:rPr>
          <w:sz w:val="22"/>
          <w:szCs w:val="22"/>
        </w:rPr>
        <w:t xml:space="preserve">nitrogén- és </w:t>
      </w:r>
      <w:r w:rsidR="00F85D13" w:rsidRPr="00345BCE">
        <w:rPr>
          <w:sz w:val="22"/>
          <w:szCs w:val="22"/>
        </w:rPr>
        <w:t xml:space="preserve">szérum </w:t>
      </w:r>
      <w:r w:rsidR="00E86DD7" w:rsidRPr="00345BCE">
        <w:rPr>
          <w:sz w:val="22"/>
          <w:szCs w:val="22"/>
        </w:rPr>
        <w:t>kreatinin</w:t>
      </w:r>
      <w:r w:rsidRPr="00345BCE">
        <w:rPr>
          <w:sz w:val="22"/>
          <w:szCs w:val="22"/>
        </w:rPr>
        <w:t>szintet egyoldali art</w:t>
      </w:r>
      <w:r w:rsidR="007B1252">
        <w:rPr>
          <w:sz w:val="22"/>
          <w:szCs w:val="22"/>
        </w:rPr>
        <w:t>e</w:t>
      </w:r>
      <w:r w:rsidRPr="00345BCE">
        <w:rPr>
          <w:sz w:val="22"/>
          <w:szCs w:val="22"/>
        </w:rPr>
        <w:t>ria ren</w:t>
      </w:r>
      <w:r w:rsidR="007B1252">
        <w:rPr>
          <w:sz w:val="22"/>
          <w:szCs w:val="22"/>
        </w:rPr>
        <w:t>alis</w:t>
      </w:r>
      <w:r w:rsidRPr="00345BCE">
        <w:rPr>
          <w:sz w:val="22"/>
          <w:szCs w:val="22"/>
        </w:rPr>
        <w:t xml:space="preserve"> </w:t>
      </w:r>
      <w:r w:rsidR="00811854" w:rsidRPr="00345BCE">
        <w:rPr>
          <w:sz w:val="22"/>
          <w:szCs w:val="22"/>
        </w:rPr>
        <w:t>sten</w:t>
      </w:r>
      <w:r w:rsidR="007B1252">
        <w:rPr>
          <w:sz w:val="22"/>
          <w:szCs w:val="22"/>
        </w:rPr>
        <w:t>osis</w:t>
      </w:r>
      <w:r w:rsidRPr="00345BCE">
        <w:rPr>
          <w:sz w:val="22"/>
          <w:szCs w:val="22"/>
        </w:rPr>
        <w:t xml:space="preserve">ban szenvedő </w:t>
      </w:r>
      <w:r w:rsidR="00AF4F04" w:rsidRPr="00345BCE">
        <w:rPr>
          <w:sz w:val="22"/>
          <w:szCs w:val="22"/>
        </w:rPr>
        <w:t>személyeknél, a betegek valzartánnal való kezelésekor ajánlott monitorozni a vesefunkció</w:t>
      </w:r>
      <w:r w:rsidR="001D7712">
        <w:rPr>
          <w:sz w:val="22"/>
          <w:szCs w:val="22"/>
        </w:rPr>
        <w:t>-</w:t>
      </w:r>
      <w:r w:rsidR="00AF4F04" w:rsidRPr="00345BCE">
        <w:rPr>
          <w:sz w:val="22"/>
          <w:szCs w:val="22"/>
        </w:rPr>
        <w:t>értékeket</w:t>
      </w:r>
      <w:r w:rsidR="006B096E" w:rsidRPr="00345BCE">
        <w:rPr>
          <w:sz w:val="22"/>
          <w:szCs w:val="22"/>
        </w:rPr>
        <w:t>.</w:t>
      </w:r>
    </w:p>
    <w:p w14:paraId="3AE83797" w14:textId="77777777" w:rsidR="000A7E88" w:rsidRPr="00345BCE" w:rsidRDefault="000A7E88" w:rsidP="00C560EC">
      <w:pPr>
        <w:tabs>
          <w:tab w:val="left" w:pos="567"/>
        </w:tabs>
        <w:rPr>
          <w:b/>
          <w:i/>
          <w:sz w:val="22"/>
          <w:szCs w:val="22"/>
        </w:rPr>
      </w:pPr>
    </w:p>
    <w:p w14:paraId="79A97BB0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lastRenderedPageBreak/>
        <w:t>Veseátültetés</w:t>
      </w:r>
    </w:p>
    <w:p w14:paraId="75FAF4FD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Jelenleg nincs tapasztalat a </w:t>
      </w:r>
      <w:r w:rsidR="002964C0">
        <w:rPr>
          <w:sz w:val="22"/>
          <w:szCs w:val="22"/>
        </w:rPr>
        <w:t>v</w:t>
      </w:r>
      <w:r w:rsidR="00580B60" w:rsidRPr="00345BCE">
        <w:rPr>
          <w:sz w:val="22"/>
          <w:szCs w:val="22"/>
        </w:rPr>
        <w:t>al</w:t>
      </w:r>
      <w:r w:rsidR="00A65E8C">
        <w:rPr>
          <w:sz w:val="22"/>
          <w:szCs w:val="22"/>
        </w:rPr>
        <w:t>z</w:t>
      </w:r>
      <w:r w:rsidR="00580B60" w:rsidRPr="00345BCE">
        <w:rPr>
          <w:sz w:val="22"/>
          <w:szCs w:val="22"/>
        </w:rPr>
        <w:t>art</w:t>
      </w:r>
      <w:r w:rsidR="00A65E8C">
        <w:rPr>
          <w:sz w:val="22"/>
          <w:szCs w:val="22"/>
        </w:rPr>
        <w:t>á</w:t>
      </w:r>
      <w:r w:rsidR="00580B60" w:rsidRPr="00345BCE">
        <w:rPr>
          <w:sz w:val="22"/>
          <w:szCs w:val="22"/>
        </w:rPr>
        <w:t>n</w:t>
      </w:r>
      <w:r w:rsidRPr="00345BCE">
        <w:rPr>
          <w:sz w:val="22"/>
          <w:szCs w:val="22"/>
        </w:rPr>
        <w:t xml:space="preserve"> veseátültetésen átesett betegeknél való biztonságos alkalmazására vonatkozóan.</w:t>
      </w:r>
    </w:p>
    <w:p w14:paraId="37957709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</w:rPr>
      </w:pPr>
    </w:p>
    <w:p w14:paraId="7C04681C" w14:textId="77777777" w:rsidR="00937715" w:rsidRPr="00345BCE" w:rsidRDefault="007B1252" w:rsidP="00C560EC">
      <w:pPr>
        <w:tabs>
          <w:tab w:val="left" w:pos="567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Prim</w:t>
      </w:r>
      <w:r w:rsidR="001D7712">
        <w:rPr>
          <w:sz w:val="22"/>
          <w:szCs w:val="22"/>
          <w:u w:val="single"/>
        </w:rPr>
        <w:t>a</w:t>
      </w:r>
      <w:r>
        <w:rPr>
          <w:sz w:val="22"/>
          <w:szCs w:val="22"/>
          <w:u w:val="single"/>
        </w:rPr>
        <w:t>er</w:t>
      </w:r>
      <w:r w:rsidR="00937715" w:rsidRPr="00345BCE">
        <w:rPr>
          <w:sz w:val="22"/>
          <w:szCs w:val="22"/>
          <w:u w:val="single"/>
        </w:rPr>
        <w:t xml:space="preserve"> h</w:t>
      </w:r>
      <w:r>
        <w:rPr>
          <w:sz w:val="22"/>
          <w:szCs w:val="22"/>
          <w:u w:val="single"/>
        </w:rPr>
        <w:t>y</w:t>
      </w:r>
      <w:r w:rsidR="00937715" w:rsidRPr="00345BCE">
        <w:rPr>
          <w:sz w:val="22"/>
          <w:szCs w:val="22"/>
          <w:u w:val="single"/>
        </w:rPr>
        <w:t>peraldosteron</w:t>
      </w:r>
      <w:r>
        <w:rPr>
          <w:sz w:val="22"/>
          <w:szCs w:val="22"/>
          <w:u w:val="single"/>
        </w:rPr>
        <w:t>ismus</w:t>
      </w:r>
    </w:p>
    <w:p w14:paraId="501B0430" w14:textId="77777777" w:rsidR="00937715" w:rsidRPr="00345BCE" w:rsidRDefault="007B1252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Prim</w:t>
      </w:r>
      <w:r w:rsidR="001D7712">
        <w:rPr>
          <w:sz w:val="22"/>
          <w:szCs w:val="22"/>
        </w:rPr>
        <w:t>a</w:t>
      </w:r>
      <w:r>
        <w:rPr>
          <w:sz w:val="22"/>
          <w:szCs w:val="22"/>
        </w:rPr>
        <w:t>er</w:t>
      </w:r>
      <w:r w:rsidR="00937715" w:rsidRPr="00345BCE">
        <w:rPr>
          <w:sz w:val="22"/>
          <w:szCs w:val="22"/>
        </w:rPr>
        <w:t xml:space="preserve"> h</w:t>
      </w:r>
      <w:r>
        <w:rPr>
          <w:sz w:val="22"/>
          <w:szCs w:val="22"/>
        </w:rPr>
        <w:t>y</w:t>
      </w:r>
      <w:r w:rsidR="00937715" w:rsidRPr="00345BCE">
        <w:rPr>
          <w:sz w:val="22"/>
          <w:szCs w:val="22"/>
        </w:rPr>
        <w:t>peraldosteroni</w:t>
      </w:r>
      <w:r>
        <w:rPr>
          <w:sz w:val="22"/>
          <w:szCs w:val="22"/>
        </w:rPr>
        <w:t>s</w:t>
      </w:r>
      <w:r w:rsidR="00937715" w:rsidRPr="00345BCE">
        <w:rPr>
          <w:sz w:val="22"/>
          <w:szCs w:val="22"/>
        </w:rPr>
        <w:t xml:space="preserve">musban szenvedő betegek nem </w:t>
      </w:r>
      <w:r w:rsidR="00811854" w:rsidRPr="00345BCE">
        <w:rPr>
          <w:sz w:val="22"/>
          <w:szCs w:val="22"/>
        </w:rPr>
        <w:t>kezelhetők</w:t>
      </w:r>
      <w:r w:rsidR="00937715" w:rsidRPr="00345BCE">
        <w:rPr>
          <w:sz w:val="22"/>
          <w:szCs w:val="22"/>
        </w:rPr>
        <w:t xml:space="preserve"> </w:t>
      </w:r>
      <w:r w:rsidR="002964C0">
        <w:rPr>
          <w:bCs/>
          <w:sz w:val="22"/>
          <w:szCs w:val="22"/>
        </w:rPr>
        <w:t>v</w:t>
      </w:r>
      <w:r w:rsidR="00357DAE" w:rsidRPr="00345BCE">
        <w:rPr>
          <w:bCs/>
          <w:sz w:val="22"/>
          <w:szCs w:val="22"/>
        </w:rPr>
        <w:t>al</w:t>
      </w:r>
      <w:r w:rsidR="00F65A0E">
        <w:rPr>
          <w:bCs/>
          <w:sz w:val="22"/>
          <w:szCs w:val="22"/>
        </w:rPr>
        <w:t>z</w:t>
      </w:r>
      <w:r w:rsidR="00357DAE" w:rsidRPr="00345BCE">
        <w:rPr>
          <w:bCs/>
          <w:sz w:val="22"/>
          <w:szCs w:val="22"/>
        </w:rPr>
        <w:t>art</w:t>
      </w:r>
      <w:r w:rsidR="00F65A0E">
        <w:rPr>
          <w:bCs/>
          <w:sz w:val="22"/>
          <w:szCs w:val="22"/>
        </w:rPr>
        <w:t>á</w:t>
      </w:r>
      <w:r w:rsidR="00357DAE" w:rsidRPr="00345BCE">
        <w:rPr>
          <w:bCs/>
          <w:sz w:val="22"/>
          <w:szCs w:val="22"/>
        </w:rPr>
        <w:t>n</w:t>
      </w:r>
      <w:r w:rsidR="002964C0">
        <w:rPr>
          <w:bCs/>
          <w:sz w:val="22"/>
          <w:szCs w:val="22"/>
        </w:rPr>
        <w:t>nal</w:t>
      </w:r>
      <w:r w:rsidR="00937715" w:rsidRPr="00345BCE">
        <w:rPr>
          <w:sz w:val="22"/>
          <w:szCs w:val="22"/>
        </w:rPr>
        <w:t xml:space="preserve"> mivel náluk a renin-angiotenzin</w:t>
      </w:r>
      <w:r w:rsidR="00591469">
        <w:rPr>
          <w:sz w:val="22"/>
          <w:szCs w:val="22"/>
        </w:rPr>
        <w:t>-</w:t>
      </w:r>
      <w:r w:rsidR="00937715" w:rsidRPr="00345BCE">
        <w:rPr>
          <w:sz w:val="22"/>
          <w:szCs w:val="22"/>
        </w:rPr>
        <w:t>rendszer nem aktív.</w:t>
      </w:r>
    </w:p>
    <w:p w14:paraId="377C95C1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</w:rPr>
      </w:pPr>
    </w:p>
    <w:p w14:paraId="4189F1AB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Aorta- vagy mitrális billentyűszűkület, h</w:t>
      </w:r>
      <w:r w:rsidR="007B1252">
        <w:rPr>
          <w:sz w:val="22"/>
          <w:szCs w:val="22"/>
          <w:u w:val="single"/>
        </w:rPr>
        <w:t>y</w:t>
      </w:r>
      <w:r w:rsidRPr="00345BCE">
        <w:rPr>
          <w:sz w:val="22"/>
          <w:szCs w:val="22"/>
          <w:u w:val="single"/>
        </w:rPr>
        <w:t>pertr</w:t>
      </w:r>
      <w:r w:rsidR="007B1252">
        <w:rPr>
          <w:sz w:val="22"/>
          <w:szCs w:val="22"/>
          <w:u w:val="single"/>
        </w:rPr>
        <w:t>ophiás</w:t>
      </w:r>
      <w:r w:rsidRPr="00345BCE">
        <w:rPr>
          <w:sz w:val="22"/>
          <w:szCs w:val="22"/>
          <w:u w:val="single"/>
        </w:rPr>
        <w:t xml:space="preserve"> obstru</w:t>
      </w:r>
      <w:r w:rsidR="007B1252">
        <w:rPr>
          <w:sz w:val="22"/>
          <w:szCs w:val="22"/>
          <w:u w:val="single"/>
        </w:rPr>
        <w:t>c</w:t>
      </w:r>
      <w:r w:rsidRPr="00345BCE">
        <w:rPr>
          <w:sz w:val="22"/>
          <w:szCs w:val="22"/>
          <w:u w:val="single"/>
        </w:rPr>
        <w:t>t</w:t>
      </w:r>
      <w:r w:rsidR="007B1252">
        <w:rPr>
          <w:sz w:val="22"/>
          <w:szCs w:val="22"/>
          <w:u w:val="single"/>
        </w:rPr>
        <w:t>i</w:t>
      </w:r>
      <w:r w:rsidRPr="00345BCE">
        <w:rPr>
          <w:sz w:val="22"/>
          <w:szCs w:val="22"/>
          <w:u w:val="single"/>
        </w:rPr>
        <w:t xml:space="preserve">v </w:t>
      </w:r>
      <w:r w:rsidR="007B1252">
        <w:rPr>
          <w:sz w:val="22"/>
          <w:szCs w:val="22"/>
          <w:u w:val="single"/>
        </w:rPr>
        <w:t>cardiomyopathia</w:t>
      </w:r>
    </w:p>
    <w:p w14:paraId="6408FDD1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</w:t>
      </w:r>
      <w:r w:rsidR="00811854" w:rsidRPr="00345BCE">
        <w:rPr>
          <w:sz w:val="22"/>
          <w:szCs w:val="22"/>
        </w:rPr>
        <w:t xml:space="preserve"> többi</w:t>
      </w:r>
      <w:r w:rsidRPr="00345BCE">
        <w:rPr>
          <w:sz w:val="22"/>
          <w:szCs w:val="22"/>
        </w:rPr>
        <w:t xml:space="preserve"> értágító készítmény</w:t>
      </w:r>
      <w:r w:rsidR="00811854" w:rsidRPr="00345BCE">
        <w:rPr>
          <w:sz w:val="22"/>
          <w:szCs w:val="22"/>
        </w:rPr>
        <w:t>hez hasonlóan</w:t>
      </w:r>
      <w:r w:rsidRPr="00345BCE">
        <w:rPr>
          <w:sz w:val="22"/>
          <w:szCs w:val="22"/>
        </w:rPr>
        <w:t>, az aorta- vagy mitrális billentyűszűkületben, illetve h</w:t>
      </w:r>
      <w:r w:rsidR="007B1252">
        <w:rPr>
          <w:sz w:val="22"/>
          <w:szCs w:val="22"/>
        </w:rPr>
        <w:t>y</w:t>
      </w:r>
      <w:r w:rsidRPr="00345BCE">
        <w:rPr>
          <w:sz w:val="22"/>
          <w:szCs w:val="22"/>
        </w:rPr>
        <w:t>pertró</w:t>
      </w:r>
      <w:r w:rsidR="007B1252">
        <w:rPr>
          <w:sz w:val="22"/>
          <w:szCs w:val="22"/>
        </w:rPr>
        <w:t>phi</w:t>
      </w:r>
      <w:r w:rsidRPr="00345BCE">
        <w:rPr>
          <w:sz w:val="22"/>
          <w:szCs w:val="22"/>
        </w:rPr>
        <w:t>ás obstru</w:t>
      </w:r>
      <w:r w:rsidR="007B1252">
        <w:rPr>
          <w:sz w:val="22"/>
          <w:szCs w:val="22"/>
        </w:rPr>
        <w:t>ctiv</w:t>
      </w:r>
      <w:r w:rsidRPr="00345BCE">
        <w:rPr>
          <w:sz w:val="22"/>
          <w:szCs w:val="22"/>
        </w:rPr>
        <w:t xml:space="preserve"> </w:t>
      </w:r>
      <w:r w:rsidR="007B1252">
        <w:rPr>
          <w:sz w:val="22"/>
          <w:szCs w:val="22"/>
        </w:rPr>
        <w:t xml:space="preserve">cardiomyopathiában </w:t>
      </w:r>
      <w:r w:rsidRPr="00345BCE">
        <w:rPr>
          <w:sz w:val="22"/>
          <w:szCs w:val="22"/>
        </w:rPr>
        <w:t>(HOCM) szenvedő betegeknél különös óvatosság szükséges.</w:t>
      </w:r>
    </w:p>
    <w:p w14:paraId="47FE2CD1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  <w:u w:val="single"/>
        </w:rPr>
      </w:pPr>
    </w:p>
    <w:p w14:paraId="7D0A2B5C" w14:textId="77777777" w:rsidR="00937715" w:rsidRPr="00345BCE" w:rsidRDefault="00937715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Terhesség</w:t>
      </w:r>
    </w:p>
    <w:p w14:paraId="0A2E55AC" w14:textId="77777777" w:rsidR="00EF46BA" w:rsidRPr="00345BCE" w:rsidRDefault="00EF46BA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Terhesség alatt nem szabad angiotenzin</w:t>
      </w:r>
      <w:r w:rsidRPr="00345BCE">
        <w:rPr>
          <w:sz w:val="22"/>
          <w:szCs w:val="22"/>
        </w:rPr>
        <w:noBreakHyphen/>
        <w:t>II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="008F7E57">
        <w:rPr>
          <w:sz w:val="22"/>
          <w:szCs w:val="22"/>
        </w:rPr>
        <w:t>blokkoló</w:t>
      </w:r>
      <w:r w:rsidR="008F7E57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(AIIRA) kezelést kezdeni. Hacsak az AIIRA</w:t>
      </w:r>
      <w:r w:rsidR="009825F5">
        <w:rPr>
          <w:sz w:val="22"/>
          <w:szCs w:val="22"/>
        </w:rPr>
        <w:noBreakHyphen/>
      </w:r>
      <w:r w:rsidRPr="00345BCE">
        <w:rPr>
          <w:sz w:val="22"/>
          <w:szCs w:val="22"/>
        </w:rPr>
        <w:t>kezelés folytatása nem létfontosságú, azoknál a betegeknél, akik terhességet terveznek, olyan alternatív vérnyomáscsökkentő kezelésre kell átváltani, amely biztonságosan alkalmazható terhesség ideje alatt. Terhesség megállapítása esetén az AIIRA</w:t>
      </w:r>
      <w:r w:rsidR="009825F5">
        <w:rPr>
          <w:sz w:val="22"/>
          <w:szCs w:val="22"/>
        </w:rPr>
        <w:t>-</w:t>
      </w:r>
      <w:r w:rsidRPr="00345BCE">
        <w:rPr>
          <w:sz w:val="22"/>
          <w:szCs w:val="22"/>
        </w:rPr>
        <w:t>kezelést azonnal meg kell szakítani és – szükség esetén – alternatív kezelést kell megkezdeni (lásd 4.3 és 4.6 pont).</w:t>
      </w:r>
    </w:p>
    <w:p w14:paraId="2E9954AB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4B51EBE7" w14:textId="72CBD116" w:rsidR="00FC380E" w:rsidRPr="00345BCE" w:rsidRDefault="00FC380E" w:rsidP="00C560EC">
      <w:pPr>
        <w:rPr>
          <w:sz w:val="22"/>
          <w:szCs w:val="22"/>
          <w:u w:val="single"/>
        </w:rPr>
      </w:pPr>
      <w:r w:rsidRPr="009115A8">
        <w:rPr>
          <w:sz w:val="22"/>
          <w:szCs w:val="22"/>
          <w:u w:val="single"/>
        </w:rPr>
        <w:t xml:space="preserve">Nemrégiben bekövetkezett myocardialis infarctus </w:t>
      </w:r>
    </w:p>
    <w:p w14:paraId="20D3D735" w14:textId="77777777" w:rsidR="00FC380E" w:rsidRPr="00345BCE" w:rsidRDefault="00FC380E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A kaptopril és valzartán kombinálása nem jelentett plusz klinikai előnyt, de növelte a mellékhatások kockázatát ahhoz képest, amikor a valzartánt vagy a kaptoprilt monoterápiában alkalmazták (lásd 4.2 és 5.1 pont). Ezért a valzartán ACE-gátlóval való kombinálása nem ajánlott.</w:t>
      </w:r>
    </w:p>
    <w:p w14:paraId="79F3E15F" w14:textId="77777777" w:rsidR="00FC380E" w:rsidRPr="00345BCE" w:rsidRDefault="00FC380E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M</w:t>
      </w:r>
      <w:r w:rsidRPr="00345BCE">
        <w:rPr>
          <w:color w:val="000000"/>
          <w:sz w:val="22"/>
          <w:szCs w:val="22"/>
        </w:rPr>
        <w:t xml:space="preserve">yocardialis infarctus utáni állapotban lévő betegeknél a kezelés megkezdésekor óvatosságra van szükség. </w:t>
      </w:r>
      <w:r w:rsidRPr="00345BCE">
        <w:rPr>
          <w:sz w:val="22"/>
          <w:szCs w:val="22"/>
        </w:rPr>
        <w:t>Myocardialis infarctus utáni állapotban lévő betegek kivizsgálása során mindig fel kell mérni a vesefunkciót is (lásd 4.2 pont).</w:t>
      </w:r>
    </w:p>
    <w:p w14:paraId="1C19E08A" w14:textId="77777777" w:rsidR="00FC380E" w:rsidRPr="00345BCE" w:rsidRDefault="00FC380E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M</w:t>
      </w:r>
      <w:r w:rsidRPr="00345BCE">
        <w:rPr>
          <w:color w:val="000000"/>
          <w:sz w:val="22"/>
          <w:szCs w:val="22"/>
        </w:rPr>
        <w:t xml:space="preserve">yocardialis infarctus utáni állapotban lévő betegeknél a </w:t>
      </w:r>
      <w:r w:rsidR="00C26627">
        <w:rPr>
          <w:color w:val="000000"/>
          <w:sz w:val="22"/>
          <w:szCs w:val="22"/>
        </w:rPr>
        <w:t>v</w:t>
      </w:r>
      <w:r w:rsidR="00345BCE" w:rsidRPr="00345BCE">
        <w:rPr>
          <w:color w:val="000000"/>
          <w:sz w:val="22"/>
          <w:szCs w:val="22"/>
        </w:rPr>
        <w:t>al</w:t>
      </w:r>
      <w:r w:rsidR="00CC1CFE">
        <w:rPr>
          <w:color w:val="000000"/>
          <w:sz w:val="22"/>
          <w:szCs w:val="22"/>
        </w:rPr>
        <w:t>z</w:t>
      </w:r>
      <w:r w:rsidR="00345BCE" w:rsidRPr="00345BCE">
        <w:rPr>
          <w:color w:val="000000"/>
          <w:sz w:val="22"/>
          <w:szCs w:val="22"/>
        </w:rPr>
        <w:t>art</w:t>
      </w:r>
      <w:r w:rsidR="00CC1CFE">
        <w:rPr>
          <w:color w:val="000000"/>
          <w:sz w:val="22"/>
          <w:szCs w:val="22"/>
        </w:rPr>
        <w:t>á</w:t>
      </w:r>
      <w:r w:rsidR="00345BCE" w:rsidRPr="00345BCE">
        <w:rPr>
          <w:color w:val="000000"/>
          <w:sz w:val="22"/>
          <w:szCs w:val="22"/>
        </w:rPr>
        <w:t xml:space="preserve">n </w:t>
      </w:r>
      <w:r w:rsidRPr="00345BCE">
        <w:rPr>
          <w:color w:val="000000"/>
          <w:sz w:val="22"/>
          <w:szCs w:val="22"/>
        </w:rPr>
        <w:t xml:space="preserve">szedése némi vérnyomáscsökkenést eredményez, de tüneteket okozó </w:t>
      </w:r>
      <w:r w:rsidR="002321C3">
        <w:rPr>
          <w:color w:val="000000"/>
          <w:sz w:val="22"/>
          <w:szCs w:val="22"/>
        </w:rPr>
        <w:t>hypotonia</w:t>
      </w:r>
      <w:r w:rsidRPr="00345BCE">
        <w:rPr>
          <w:color w:val="000000"/>
          <w:sz w:val="22"/>
          <w:szCs w:val="22"/>
        </w:rPr>
        <w:t xml:space="preserve"> miatt a kezelés megszakítására általában nincs szükség, ha az adagolási utasításokat követjük (lásd 4.2 pont).</w:t>
      </w:r>
    </w:p>
    <w:p w14:paraId="27C7DEAF" w14:textId="77777777" w:rsidR="007328FA" w:rsidRPr="00345BCE" w:rsidRDefault="007328FA" w:rsidP="00C560EC">
      <w:pPr>
        <w:tabs>
          <w:tab w:val="left" w:pos="567"/>
        </w:tabs>
        <w:rPr>
          <w:sz w:val="22"/>
          <w:szCs w:val="22"/>
        </w:rPr>
      </w:pPr>
    </w:p>
    <w:p w14:paraId="39B69D2A" w14:textId="10212CC2" w:rsidR="009825F5" w:rsidRDefault="000A7E88" w:rsidP="00C560EC">
      <w:pPr>
        <w:pStyle w:val="Text"/>
        <w:spacing w:before="0"/>
        <w:jc w:val="left"/>
        <w:rPr>
          <w:sz w:val="22"/>
          <w:szCs w:val="22"/>
          <w:lang w:val="hu-HU"/>
        </w:rPr>
      </w:pPr>
      <w:r w:rsidRPr="009115A8">
        <w:rPr>
          <w:sz w:val="22"/>
          <w:szCs w:val="22"/>
          <w:u w:val="single"/>
          <w:lang w:val="hu-HU"/>
        </w:rPr>
        <w:t>Szívelégtelenség</w:t>
      </w:r>
    </w:p>
    <w:p w14:paraId="2DB839F0" w14:textId="77777777" w:rsidR="00610002" w:rsidRPr="0054224C" w:rsidRDefault="00A13598" w:rsidP="00C560EC">
      <w:pPr>
        <w:pStyle w:val="Text"/>
        <w:spacing w:before="0"/>
        <w:jc w:val="left"/>
        <w:rPr>
          <w:color w:val="000000"/>
          <w:sz w:val="22"/>
          <w:szCs w:val="22"/>
          <w:lang w:val="hu-HU"/>
        </w:rPr>
      </w:pPr>
      <w:r w:rsidRPr="0054224C">
        <w:rPr>
          <w:color w:val="000000"/>
          <w:sz w:val="22"/>
          <w:szCs w:val="22"/>
          <w:lang w:val="hu-HU"/>
        </w:rPr>
        <w:t xml:space="preserve">A mellékhatások, különösen a </w:t>
      </w:r>
      <w:r w:rsidR="002321C3">
        <w:rPr>
          <w:color w:val="000000"/>
          <w:sz w:val="22"/>
          <w:szCs w:val="22"/>
          <w:lang w:val="hu-HU"/>
        </w:rPr>
        <w:t>hypotonia</w:t>
      </w:r>
      <w:r w:rsidRPr="0054224C">
        <w:rPr>
          <w:color w:val="000000"/>
          <w:sz w:val="22"/>
          <w:szCs w:val="22"/>
          <w:lang w:val="hu-HU"/>
        </w:rPr>
        <w:t xml:space="preserve">, </w:t>
      </w:r>
      <w:r w:rsidR="002321C3">
        <w:rPr>
          <w:color w:val="000000"/>
          <w:sz w:val="22"/>
          <w:szCs w:val="22"/>
          <w:lang w:val="hu-HU"/>
        </w:rPr>
        <w:t>hyperkalaemia</w:t>
      </w:r>
      <w:r w:rsidRPr="0054224C">
        <w:rPr>
          <w:color w:val="000000"/>
          <w:sz w:val="22"/>
          <w:szCs w:val="22"/>
          <w:lang w:val="hu-HU"/>
        </w:rPr>
        <w:t xml:space="preserve"> és csökkent veseműködés (beleértve az akut veseelégtelenséget is) kockázata nőhet, ha a </w:t>
      </w:r>
      <w:r>
        <w:rPr>
          <w:color w:val="000000"/>
          <w:sz w:val="22"/>
          <w:szCs w:val="22"/>
          <w:lang w:val="hu-HU"/>
        </w:rPr>
        <w:t>Valsartan Sandoz</w:t>
      </w:r>
      <w:r w:rsidR="005E1A32" w:rsidRPr="000720D3">
        <w:rPr>
          <w:sz w:val="22"/>
          <w:szCs w:val="22"/>
          <w:lang w:val="hu-HU"/>
        </w:rPr>
        <w:t>-</w:t>
      </w:r>
      <w:r w:rsidRPr="000720D3">
        <w:rPr>
          <w:color w:val="000000"/>
          <w:sz w:val="22"/>
          <w:szCs w:val="22"/>
          <w:lang w:val="hu-HU"/>
        </w:rPr>
        <w:t>t</w:t>
      </w:r>
      <w:r w:rsidRPr="0054224C">
        <w:rPr>
          <w:color w:val="000000"/>
          <w:sz w:val="22"/>
          <w:szCs w:val="22"/>
          <w:lang w:val="hu-HU"/>
        </w:rPr>
        <w:t xml:space="preserve"> ACE-gátlóval kombinációban alkalmazzák. </w:t>
      </w:r>
      <w:r w:rsidR="00A611C2" w:rsidRPr="00345BCE">
        <w:rPr>
          <w:sz w:val="22"/>
          <w:szCs w:val="22"/>
          <w:lang w:val="hu-HU"/>
        </w:rPr>
        <w:t xml:space="preserve">Szívelégtelenségben szenvedő betegeknél az ACE-gátló, béta-blokkoló és </w:t>
      </w:r>
      <w:r w:rsidR="00610002">
        <w:rPr>
          <w:sz w:val="22"/>
          <w:szCs w:val="22"/>
          <w:lang w:val="hu-HU"/>
        </w:rPr>
        <w:t>V</w:t>
      </w:r>
      <w:r w:rsidR="00345BCE" w:rsidRPr="00345BCE">
        <w:rPr>
          <w:sz w:val="22"/>
          <w:szCs w:val="22"/>
          <w:lang w:val="hu-HU"/>
        </w:rPr>
        <w:t>al</w:t>
      </w:r>
      <w:r w:rsidR="00610002">
        <w:rPr>
          <w:sz w:val="22"/>
          <w:szCs w:val="22"/>
          <w:lang w:val="hu-HU"/>
        </w:rPr>
        <w:t>s</w:t>
      </w:r>
      <w:r w:rsidR="00345BCE" w:rsidRPr="00345BCE">
        <w:rPr>
          <w:sz w:val="22"/>
          <w:szCs w:val="22"/>
          <w:lang w:val="hu-HU"/>
        </w:rPr>
        <w:t>art</w:t>
      </w:r>
      <w:r w:rsidR="00610002">
        <w:rPr>
          <w:sz w:val="22"/>
          <w:szCs w:val="22"/>
          <w:lang w:val="hu-HU"/>
        </w:rPr>
        <w:t>a</w:t>
      </w:r>
      <w:r w:rsidR="00345BCE" w:rsidRPr="00345BCE">
        <w:rPr>
          <w:sz w:val="22"/>
          <w:szCs w:val="22"/>
          <w:lang w:val="hu-HU"/>
        </w:rPr>
        <w:t xml:space="preserve">n </w:t>
      </w:r>
      <w:r w:rsidR="00610002">
        <w:rPr>
          <w:sz w:val="22"/>
          <w:szCs w:val="22"/>
          <w:lang w:val="hu-HU"/>
        </w:rPr>
        <w:t xml:space="preserve">Sandoz </w:t>
      </w:r>
      <w:r w:rsidR="00A611C2" w:rsidRPr="00345BCE">
        <w:rPr>
          <w:sz w:val="22"/>
          <w:szCs w:val="22"/>
          <w:lang w:val="hu-HU"/>
        </w:rPr>
        <w:t>hármas kombinációja nem jelentett klinikai előnyt (lásd 5.1 pont). Úgy tűnik, ez a kombináció növeli a mellékhatások kockázatát, ezért alkalmazása nem ajánlott.</w:t>
      </w:r>
      <w:r w:rsidR="00610002">
        <w:rPr>
          <w:sz w:val="22"/>
          <w:szCs w:val="22"/>
          <w:lang w:val="hu-HU"/>
        </w:rPr>
        <w:t xml:space="preserve"> </w:t>
      </w:r>
      <w:r w:rsidR="00610002" w:rsidRPr="0054224C">
        <w:rPr>
          <w:color w:val="000000"/>
          <w:sz w:val="22"/>
          <w:szCs w:val="22"/>
          <w:lang w:val="hu-HU"/>
        </w:rPr>
        <w:t>Az ACE-gátló, mineralokortikoid</w:t>
      </w:r>
      <w:r w:rsidR="00161A6B">
        <w:rPr>
          <w:color w:val="000000"/>
          <w:sz w:val="22"/>
          <w:szCs w:val="22"/>
          <w:lang w:val="hu-HU"/>
        </w:rPr>
        <w:noBreakHyphen/>
      </w:r>
      <w:r w:rsidR="00610002" w:rsidRPr="0054224C">
        <w:rPr>
          <w:color w:val="000000"/>
          <w:sz w:val="22"/>
          <w:szCs w:val="22"/>
          <w:lang w:val="hu-HU"/>
        </w:rPr>
        <w:t>receptor</w:t>
      </w:r>
      <w:r w:rsidR="00161A6B">
        <w:rPr>
          <w:color w:val="000000"/>
          <w:sz w:val="22"/>
          <w:szCs w:val="22"/>
          <w:lang w:val="hu-HU"/>
        </w:rPr>
        <w:noBreakHyphen/>
      </w:r>
      <w:r w:rsidR="00610002" w:rsidRPr="0054224C">
        <w:rPr>
          <w:color w:val="000000"/>
          <w:sz w:val="22"/>
          <w:szCs w:val="22"/>
          <w:lang w:val="hu-HU"/>
        </w:rPr>
        <w:t xml:space="preserve">antagonista és valzartán hármas kombináció szintén nem javasolt. Ezek a kombinációk csak szakorvos felügyeletével, a vesefunkció, </w:t>
      </w:r>
      <w:r w:rsidR="00BE2C56">
        <w:rPr>
          <w:color w:val="000000"/>
          <w:sz w:val="22"/>
          <w:szCs w:val="22"/>
          <w:lang w:val="hu-HU"/>
        </w:rPr>
        <w:t xml:space="preserve">az </w:t>
      </w:r>
      <w:r w:rsidR="00610002" w:rsidRPr="0054224C">
        <w:rPr>
          <w:color w:val="000000"/>
          <w:sz w:val="22"/>
          <w:szCs w:val="22"/>
          <w:lang w:val="hu-HU"/>
        </w:rPr>
        <w:t>elektrolitszintek és a vérnyomás gyakori és szoros ellenőrzése mellett alkalmazhatók.</w:t>
      </w:r>
    </w:p>
    <w:p w14:paraId="0F937253" w14:textId="77777777" w:rsidR="00A611C2" w:rsidRPr="00345BCE" w:rsidRDefault="00A611C2" w:rsidP="00C560EC">
      <w:pPr>
        <w:pStyle w:val="Text"/>
        <w:spacing w:before="0"/>
        <w:jc w:val="left"/>
        <w:rPr>
          <w:sz w:val="22"/>
          <w:szCs w:val="22"/>
          <w:lang w:val="hu-HU"/>
        </w:rPr>
      </w:pPr>
    </w:p>
    <w:p w14:paraId="26958E3B" w14:textId="77777777" w:rsidR="00A611C2" w:rsidRDefault="00A611C2" w:rsidP="00C560EC">
      <w:pPr>
        <w:pStyle w:val="Text"/>
        <w:spacing w:before="0"/>
        <w:jc w:val="left"/>
        <w:rPr>
          <w:sz w:val="22"/>
          <w:szCs w:val="22"/>
          <w:lang w:val="hu-HU"/>
        </w:rPr>
      </w:pPr>
      <w:r w:rsidRPr="00345BCE">
        <w:rPr>
          <w:sz w:val="22"/>
          <w:szCs w:val="22"/>
          <w:lang w:val="hu-HU"/>
        </w:rPr>
        <w:t xml:space="preserve">Szívelégtelenségben szenvedő </w:t>
      </w:r>
      <w:r w:rsidRPr="00345BCE">
        <w:rPr>
          <w:color w:val="000000"/>
          <w:sz w:val="22"/>
          <w:szCs w:val="22"/>
          <w:lang w:val="hu-HU"/>
        </w:rPr>
        <w:t xml:space="preserve">betegeknél a kezelés megkezdésekor óvatosságra van szükség. </w:t>
      </w:r>
      <w:r w:rsidRPr="00345BCE">
        <w:rPr>
          <w:sz w:val="22"/>
          <w:szCs w:val="22"/>
          <w:lang w:val="hu-HU"/>
        </w:rPr>
        <w:t>Szívelégtelenségben szenvedő betegek kivizsgálása során mindig fel kell mérni a vesefunkciót is (lásd 4.2 pont).</w:t>
      </w:r>
    </w:p>
    <w:p w14:paraId="527E2A20" w14:textId="77777777" w:rsidR="00610002" w:rsidRPr="00345BCE" w:rsidRDefault="00610002" w:rsidP="00C560EC">
      <w:pPr>
        <w:pStyle w:val="Text"/>
        <w:spacing w:before="0"/>
        <w:jc w:val="left"/>
        <w:rPr>
          <w:sz w:val="22"/>
          <w:szCs w:val="22"/>
          <w:lang w:val="hu-HU"/>
        </w:rPr>
      </w:pPr>
    </w:p>
    <w:p w14:paraId="4D22EC69" w14:textId="77777777" w:rsidR="00A611C2" w:rsidRDefault="00A611C2" w:rsidP="00C560EC">
      <w:pPr>
        <w:pStyle w:val="Text"/>
        <w:spacing w:before="0"/>
        <w:jc w:val="left"/>
        <w:rPr>
          <w:color w:val="000000"/>
          <w:sz w:val="22"/>
          <w:szCs w:val="22"/>
          <w:lang w:val="hu-HU"/>
        </w:rPr>
      </w:pPr>
      <w:r w:rsidRPr="00345BCE">
        <w:rPr>
          <w:sz w:val="22"/>
          <w:szCs w:val="22"/>
          <w:lang w:val="hu-HU"/>
        </w:rPr>
        <w:t>Szívelégtelenségben szenvedő</w:t>
      </w:r>
      <w:r w:rsidRPr="00345BCE">
        <w:rPr>
          <w:color w:val="000000"/>
          <w:sz w:val="22"/>
          <w:szCs w:val="22"/>
          <w:lang w:val="hu-HU"/>
        </w:rPr>
        <w:t xml:space="preserve"> betegeknél a </w:t>
      </w:r>
      <w:r w:rsidR="00610002">
        <w:rPr>
          <w:color w:val="000000"/>
          <w:sz w:val="22"/>
          <w:szCs w:val="22"/>
          <w:lang w:val="hu-HU"/>
        </w:rPr>
        <w:t>V</w:t>
      </w:r>
      <w:r w:rsidR="00610002" w:rsidRPr="00345BCE">
        <w:rPr>
          <w:color w:val="000000"/>
          <w:sz w:val="22"/>
          <w:szCs w:val="22"/>
          <w:lang w:val="hu-HU"/>
        </w:rPr>
        <w:t>al</w:t>
      </w:r>
      <w:r w:rsidR="00610002">
        <w:rPr>
          <w:color w:val="000000"/>
          <w:sz w:val="22"/>
          <w:szCs w:val="22"/>
          <w:lang w:val="hu-HU"/>
        </w:rPr>
        <w:t>s</w:t>
      </w:r>
      <w:r w:rsidR="00610002" w:rsidRPr="00345BCE">
        <w:rPr>
          <w:color w:val="000000"/>
          <w:sz w:val="22"/>
          <w:szCs w:val="22"/>
          <w:lang w:val="hu-HU"/>
        </w:rPr>
        <w:t>art</w:t>
      </w:r>
      <w:r w:rsidR="00610002">
        <w:rPr>
          <w:color w:val="000000"/>
          <w:sz w:val="22"/>
          <w:szCs w:val="22"/>
          <w:lang w:val="hu-HU"/>
        </w:rPr>
        <w:t>a</w:t>
      </w:r>
      <w:r w:rsidR="00610002" w:rsidRPr="00345BCE">
        <w:rPr>
          <w:color w:val="000000"/>
          <w:sz w:val="22"/>
          <w:szCs w:val="22"/>
          <w:lang w:val="hu-HU"/>
        </w:rPr>
        <w:t xml:space="preserve">n </w:t>
      </w:r>
      <w:r w:rsidR="00610002">
        <w:rPr>
          <w:color w:val="000000"/>
          <w:sz w:val="22"/>
          <w:szCs w:val="22"/>
          <w:lang w:val="hu-HU"/>
        </w:rPr>
        <w:t xml:space="preserve">Sandoz </w:t>
      </w:r>
      <w:r w:rsidRPr="00345BCE">
        <w:rPr>
          <w:color w:val="000000"/>
          <w:sz w:val="22"/>
          <w:szCs w:val="22"/>
          <w:lang w:val="hu-HU"/>
        </w:rPr>
        <w:t xml:space="preserve">szedése némi vérnyomáscsökkenést eredményez, de tüneteket okozó </w:t>
      </w:r>
      <w:r w:rsidR="002321C3">
        <w:rPr>
          <w:color w:val="000000"/>
          <w:sz w:val="22"/>
          <w:szCs w:val="22"/>
          <w:lang w:val="hu-HU"/>
        </w:rPr>
        <w:t>hypotonia</w:t>
      </w:r>
      <w:r w:rsidRPr="00345BCE">
        <w:rPr>
          <w:color w:val="000000"/>
          <w:sz w:val="22"/>
          <w:szCs w:val="22"/>
          <w:lang w:val="hu-HU"/>
        </w:rPr>
        <w:t xml:space="preserve"> miatt a kezelés megszakítására általában nincs szükség, ha az adagolási utasításokat követjük (lásd 4.2 pont).</w:t>
      </w:r>
    </w:p>
    <w:p w14:paraId="4FD4495E" w14:textId="77777777" w:rsidR="00610002" w:rsidRPr="00345BCE" w:rsidRDefault="00610002" w:rsidP="00C560EC">
      <w:pPr>
        <w:pStyle w:val="Text"/>
        <w:spacing w:before="0"/>
        <w:jc w:val="left"/>
        <w:rPr>
          <w:color w:val="000000"/>
          <w:sz w:val="22"/>
          <w:szCs w:val="22"/>
          <w:lang w:val="hu-HU"/>
        </w:rPr>
      </w:pPr>
    </w:p>
    <w:p w14:paraId="2F04670E" w14:textId="7C21C51E" w:rsidR="003879DD" w:rsidRDefault="003879DD" w:rsidP="00C560EC">
      <w:pPr>
        <w:rPr>
          <w:sz w:val="22"/>
          <w:szCs w:val="22"/>
        </w:rPr>
      </w:pPr>
      <w:r w:rsidRPr="003879DD">
        <w:rPr>
          <w:sz w:val="22"/>
          <w:szCs w:val="22"/>
        </w:rPr>
        <w:t>Azoknál a betegeknél, akiknek a vesefunkciója a renin-angiotenzin-aldoszteron rendszer aktivitásától függhet (például a súlyos pangásos szívelégtelenségben szenvedő betegeknél), az ACE-gátló</w:t>
      </w:r>
      <w:r w:rsidR="00DD56E7">
        <w:rPr>
          <w:sz w:val="22"/>
          <w:szCs w:val="22"/>
        </w:rPr>
        <w:t>-</w:t>
      </w:r>
      <w:r w:rsidRPr="003879DD">
        <w:rPr>
          <w:sz w:val="22"/>
          <w:szCs w:val="22"/>
        </w:rPr>
        <w:t>kezelés oliguriával és/vagy progresszív azotaemiával, valamint ritkán akut veseelégtelenséggel és/vagy halállal volt összefüggésbe hozható. Mivel a valzartán egy angiotenzin II</w:t>
      </w:r>
      <w:r w:rsidR="00DD56E7">
        <w:rPr>
          <w:sz w:val="22"/>
          <w:szCs w:val="22"/>
        </w:rPr>
        <w:t>-</w:t>
      </w:r>
      <w:r w:rsidRPr="003879DD">
        <w:rPr>
          <w:sz w:val="22"/>
          <w:szCs w:val="22"/>
        </w:rPr>
        <w:t>receptor</w:t>
      </w:r>
      <w:r w:rsidR="00DD56E7">
        <w:rPr>
          <w:sz w:val="22"/>
          <w:szCs w:val="22"/>
        </w:rPr>
        <w:t>-</w:t>
      </w:r>
      <w:r w:rsidRPr="003879DD">
        <w:rPr>
          <w:sz w:val="22"/>
          <w:szCs w:val="22"/>
        </w:rPr>
        <w:t xml:space="preserve">blokkoló, nem zárható ki, hogy a </w:t>
      </w:r>
      <w:r w:rsidR="00393667" w:rsidRPr="00393667">
        <w:rPr>
          <w:sz w:val="22"/>
          <w:szCs w:val="22"/>
        </w:rPr>
        <w:t>valzartán</w:t>
      </w:r>
      <w:r w:rsidRPr="003879DD">
        <w:rPr>
          <w:sz w:val="22"/>
          <w:szCs w:val="22"/>
        </w:rPr>
        <w:t xml:space="preserve"> alkalmazása kapcsolatban állhat a vesefunkció romlásával.</w:t>
      </w:r>
    </w:p>
    <w:p w14:paraId="79EE46D8" w14:textId="77777777" w:rsidR="003879DD" w:rsidRDefault="003879DD" w:rsidP="00C560EC">
      <w:pPr>
        <w:rPr>
          <w:sz w:val="22"/>
          <w:szCs w:val="22"/>
        </w:rPr>
      </w:pPr>
    </w:p>
    <w:p w14:paraId="5172664E" w14:textId="77777777" w:rsidR="006A5AB0" w:rsidRPr="0054224C" w:rsidRDefault="006A5AB0" w:rsidP="00C560EC">
      <w:pPr>
        <w:pStyle w:val="Text"/>
        <w:spacing w:before="0"/>
        <w:jc w:val="left"/>
        <w:rPr>
          <w:color w:val="000000"/>
          <w:sz w:val="22"/>
          <w:szCs w:val="22"/>
          <w:lang w:val="hu-HU"/>
        </w:rPr>
      </w:pPr>
      <w:r w:rsidRPr="0054224C">
        <w:rPr>
          <w:color w:val="000000"/>
          <w:sz w:val="22"/>
          <w:szCs w:val="22"/>
          <w:lang w:val="hu-HU"/>
        </w:rPr>
        <w:t>Az ACE-gátlók és angiotenzin</w:t>
      </w:r>
      <w:r w:rsidR="002B7DB7">
        <w:rPr>
          <w:color w:val="000000"/>
          <w:sz w:val="22"/>
          <w:szCs w:val="22"/>
          <w:lang w:val="hu-HU"/>
        </w:rPr>
        <w:t>-</w:t>
      </w:r>
      <w:r w:rsidRPr="0054224C">
        <w:rPr>
          <w:color w:val="000000"/>
          <w:sz w:val="22"/>
          <w:szCs w:val="22"/>
          <w:lang w:val="hu-HU"/>
        </w:rPr>
        <w:t>II</w:t>
      </w:r>
      <w:r w:rsidR="002B7DB7">
        <w:rPr>
          <w:color w:val="000000"/>
          <w:sz w:val="22"/>
          <w:szCs w:val="22"/>
          <w:lang w:val="hu-HU"/>
        </w:rPr>
        <w:t>-</w:t>
      </w:r>
      <w:r w:rsidRPr="0054224C">
        <w:rPr>
          <w:color w:val="000000"/>
          <w:sz w:val="22"/>
          <w:szCs w:val="22"/>
          <w:lang w:val="hu-HU"/>
        </w:rPr>
        <w:t>receptor</w:t>
      </w:r>
      <w:r w:rsidR="006E5D87">
        <w:rPr>
          <w:color w:val="000000"/>
          <w:sz w:val="22"/>
          <w:szCs w:val="22"/>
          <w:lang w:val="hu-HU"/>
        </w:rPr>
        <w:t>-</w:t>
      </w:r>
      <w:r w:rsidRPr="0054224C">
        <w:rPr>
          <w:color w:val="000000"/>
          <w:sz w:val="22"/>
          <w:szCs w:val="22"/>
          <w:lang w:val="hu-HU"/>
        </w:rPr>
        <w:t xml:space="preserve">blokkolók </w:t>
      </w:r>
      <w:r w:rsidR="00A62294" w:rsidRPr="000720D3">
        <w:rPr>
          <w:color w:val="000000"/>
          <w:sz w:val="22"/>
          <w:szCs w:val="22"/>
          <w:lang w:val="hu-HU"/>
        </w:rPr>
        <w:t>nem alkalmazhatók egyidejűleg diabeteses nephropathiában szenvedő betegeknél.</w:t>
      </w:r>
    </w:p>
    <w:p w14:paraId="2CCBAE35" w14:textId="77777777" w:rsidR="006A5AB0" w:rsidRPr="00345BCE" w:rsidRDefault="006A5AB0" w:rsidP="00C560EC">
      <w:pPr>
        <w:rPr>
          <w:sz w:val="22"/>
          <w:szCs w:val="22"/>
        </w:rPr>
      </w:pPr>
    </w:p>
    <w:p w14:paraId="1CE6E200" w14:textId="77777777" w:rsidR="00CB6BFA" w:rsidRPr="00F81379" w:rsidRDefault="00CB6BFA" w:rsidP="00C560EC">
      <w:pPr>
        <w:widowControl/>
        <w:tabs>
          <w:tab w:val="left" w:pos="567"/>
        </w:tabs>
        <w:suppressAutoHyphens w:val="0"/>
        <w:spacing w:line="260" w:lineRule="exact"/>
        <w:rPr>
          <w:rFonts w:eastAsia="Times New Roman"/>
          <w:iCs/>
          <w:sz w:val="22"/>
          <w:szCs w:val="22"/>
          <w:u w:val="single"/>
          <w:lang w:eastAsia="en-US"/>
        </w:rPr>
      </w:pPr>
      <w:r w:rsidRPr="00F81379">
        <w:rPr>
          <w:rFonts w:eastAsia="Times New Roman"/>
          <w:iCs/>
          <w:sz w:val="22"/>
          <w:szCs w:val="22"/>
          <w:u w:val="single"/>
          <w:lang w:eastAsia="en-US"/>
        </w:rPr>
        <w:t>Anamnézisben szereplő angio</w:t>
      </w:r>
      <w:r w:rsidR="00161A6B">
        <w:rPr>
          <w:rFonts w:eastAsia="Times New Roman"/>
          <w:iCs/>
          <w:sz w:val="22"/>
          <w:szCs w:val="22"/>
          <w:u w:val="single"/>
          <w:lang w:eastAsia="en-US"/>
        </w:rPr>
        <w:t>oe</w:t>
      </w:r>
      <w:r w:rsidRPr="00F81379">
        <w:rPr>
          <w:rFonts w:eastAsia="Times New Roman"/>
          <w:iCs/>
          <w:sz w:val="22"/>
          <w:szCs w:val="22"/>
          <w:u w:val="single"/>
          <w:lang w:eastAsia="en-US"/>
        </w:rPr>
        <w:t>d</w:t>
      </w:r>
      <w:r w:rsidR="00161A6B">
        <w:rPr>
          <w:rFonts w:eastAsia="Times New Roman"/>
          <w:iCs/>
          <w:sz w:val="22"/>
          <w:szCs w:val="22"/>
          <w:u w:val="single"/>
          <w:lang w:eastAsia="en-US"/>
        </w:rPr>
        <w:t>e</w:t>
      </w:r>
      <w:r w:rsidRPr="00F81379">
        <w:rPr>
          <w:rFonts w:eastAsia="Times New Roman"/>
          <w:iCs/>
          <w:sz w:val="22"/>
          <w:szCs w:val="22"/>
          <w:u w:val="single"/>
          <w:lang w:eastAsia="en-US"/>
        </w:rPr>
        <w:t>ma</w:t>
      </w:r>
    </w:p>
    <w:p w14:paraId="6078DD0F" w14:textId="77777777" w:rsidR="00CB6BFA" w:rsidRPr="00465A4C" w:rsidRDefault="00CB6BFA" w:rsidP="00C560EC">
      <w:pPr>
        <w:widowControl/>
        <w:tabs>
          <w:tab w:val="left" w:pos="567"/>
        </w:tabs>
        <w:suppressAutoHyphens w:val="0"/>
        <w:spacing w:line="260" w:lineRule="exact"/>
        <w:rPr>
          <w:rFonts w:eastAsia="Times New Roman"/>
          <w:iCs/>
          <w:sz w:val="22"/>
          <w:szCs w:val="22"/>
          <w:lang w:eastAsia="en-US"/>
        </w:rPr>
      </w:pPr>
      <w:r w:rsidRPr="00465A4C">
        <w:rPr>
          <w:rFonts w:eastAsia="Times New Roman"/>
          <w:iCs/>
          <w:sz w:val="22"/>
          <w:szCs w:val="22"/>
          <w:lang w:eastAsia="en-US"/>
        </w:rPr>
        <w:t xml:space="preserve">Valzartánnal kezelt betegeknél </w:t>
      </w:r>
      <w:r w:rsidR="00AF42FB" w:rsidRPr="007E2BBE">
        <w:rPr>
          <w:rFonts w:eastAsia="Times New Roman"/>
          <w:iCs/>
          <w:sz w:val="22"/>
          <w:szCs w:val="22"/>
          <w:lang w:eastAsia="en-US"/>
        </w:rPr>
        <w:t>angio</w:t>
      </w:r>
      <w:r w:rsidR="00161A6B">
        <w:rPr>
          <w:rFonts w:eastAsia="Times New Roman"/>
          <w:iCs/>
          <w:sz w:val="22"/>
          <w:szCs w:val="22"/>
          <w:lang w:eastAsia="en-US"/>
        </w:rPr>
        <w:t>oe</w:t>
      </w:r>
      <w:r w:rsidR="00AF42FB" w:rsidRPr="007E2BBE">
        <w:rPr>
          <w:rFonts w:eastAsia="Times New Roman"/>
          <w:iCs/>
          <w:sz w:val="22"/>
          <w:szCs w:val="22"/>
          <w:lang w:eastAsia="en-US"/>
        </w:rPr>
        <w:t>d</w:t>
      </w:r>
      <w:r w:rsidR="00161A6B">
        <w:rPr>
          <w:rFonts w:eastAsia="Times New Roman"/>
          <w:iCs/>
          <w:sz w:val="22"/>
          <w:szCs w:val="22"/>
          <w:lang w:eastAsia="en-US"/>
        </w:rPr>
        <w:t>e</w:t>
      </w:r>
      <w:r w:rsidR="00AF42FB" w:rsidRPr="007E2BBE">
        <w:rPr>
          <w:rFonts w:eastAsia="Times New Roman"/>
          <w:iCs/>
          <w:sz w:val="22"/>
          <w:szCs w:val="22"/>
          <w:lang w:eastAsia="en-US"/>
        </w:rPr>
        <w:t>m</w:t>
      </w:r>
      <w:r w:rsidR="00AF42FB">
        <w:rPr>
          <w:rFonts w:eastAsia="Times New Roman"/>
          <w:iCs/>
          <w:sz w:val="22"/>
          <w:szCs w:val="22"/>
          <w:lang w:eastAsia="en-US"/>
        </w:rPr>
        <w:t xml:space="preserve">a előfordulásáról is 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beszámoltak (beleértve </w:t>
      </w:r>
      <w:r w:rsidR="00AF42FB">
        <w:rPr>
          <w:rFonts w:eastAsia="Times New Roman"/>
          <w:iCs/>
          <w:sz w:val="22"/>
          <w:szCs w:val="22"/>
          <w:lang w:eastAsia="en-US"/>
        </w:rPr>
        <w:t>a légutak elzáródását okozó</w:t>
      </w:r>
      <w:r w:rsidR="00AF42FB" w:rsidRPr="007E2BBE">
        <w:rPr>
          <w:rFonts w:eastAsia="Times New Roman"/>
          <w:iCs/>
          <w:sz w:val="22"/>
          <w:szCs w:val="22"/>
          <w:lang w:eastAsia="en-US"/>
        </w:rPr>
        <w:t xml:space="preserve"> </w:t>
      </w:r>
      <w:r w:rsidRPr="00465A4C">
        <w:rPr>
          <w:rFonts w:eastAsia="Times New Roman"/>
          <w:iCs/>
          <w:sz w:val="22"/>
          <w:szCs w:val="22"/>
          <w:lang w:eastAsia="en-US"/>
        </w:rPr>
        <w:t>gége</w:t>
      </w:r>
      <w:r w:rsidR="00AF42FB">
        <w:rPr>
          <w:rFonts w:eastAsia="Times New Roman"/>
          <w:iCs/>
          <w:sz w:val="22"/>
          <w:szCs w:val="22"/>
          <w:lang w:eastAsia="en-US"/>
        </w:rPr>
        <w:t>-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és glottis</w:t>
      </w:r>
      <w:r w:rsidR="00AF42FB">
        <w:rPr>
          <w:rFonts w:eastAsia="Times New Roman"/>
          <w:iCs/>
          <w:sz w:val="22"/>
          <w:szCs w:val="22"/>
          <w:lang w:eastAsia="en-US"/>
        </w:rPr>
        <w:t>-duzzanatot,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és/vagy az arc, az ajkak, a garat és/vagy a nyelv </w:t>
      </w:r>
      <w:r w:rsidR="00AF42FB">
        <w:rPr>
          <w:rFonts w:eastAsia="Times New Roman"/>
          <w:iCs/>
          <w:sz w:val="22"/>
          <w:szCs w:val="22"/>
          <w:lang w:eastAsia="en-US"/>
        </w:rPr>
        <w:t>megduzzadását is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). Közülük néhány beteg esetében már </w:t>
      </w:r>
      <w:r w:rsidR="00AF42FB">
        <w:rPr>
          <w:rFonts w:eastAsia="Times New Roman"/>
          <w:iCs/>
          <w:sz w:val="22"/>
          <w:szCs w:val="22"/>
          <w:lang w:eastAsia="en-US"/>
        </w:rPr>
        <w:t>korábban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is </w:t>
      </w:r>
      <w:r w:rsidR="00AF42FB">
        <w:rPr>
          <w:rFonts w:eastAsia="Times New Roman"/>
          <w:iCs/>
          <w:sz w:val="22"/>
          <w:szCs w:val="22"/>
          <w:lang w:eastAsia="en-US"/>
        </w:rPr>
        <w:t>előfordult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angio</w:t>
      </w:r>
      <w:r w:rsidR="00C54E87">
        <w:rPr>
          <w:rFonts w:eastAsia="Times New Roman"/>
          <w:iCs/>
          <w:sz w:val="22"/>
          <w:szCs w:val="22"/>
          <w:lang w:eastAsia="en-US"/>
        </w:rPr>
        <w:t>oe</w:t>
      </w:r>
      <w:r w:rsidRPr="00465A4C">
        <w:rPr>
          <w:rFonts w:eastAsia="Times New Roman"/>
          <w:iCs/>
          <w:sz w:val="22"/>
          <w:szCs w:val="22"/>
          <w:lang w:eastAsia="en-US"/>
        </w:rPr>
        <w:t>d</w:t>
      </w:r>
      <w:r w:rsidR="00C54E87">
        <w:rPr>
          <w:rFonts w:eastAsia="Times New Roman"/>
          <w:iCs/>
          <w:sz w:val="22"/>
          <w:szCs w:val="22"/>
          <w:lang w:eastAsia="en-US"/>
        </w:rPr>
        <w:t>e</w:t>
      </w:r>
      <w:r w:rsidRPr="00465A4C">
        <w:rPr>
          <w:rFonts w:eastAsia="Times New Roman"/>
          <w:iCs/>
          <w:sz w:val="22"/>
          <w:szCs w:val="22"/>
          <w:lang w:eastAsia="en-US"/>
        </w:rPr>
        <w:t>ma egyéb gyógyszerek (beleértve az ACE</w:t>
      </w:r>
      <w:r w:rsidRPr="00465A4C">
        <w:rPr>
          <w:rFonts w:eastAsia="Times New Roman"/>
          <w:iCs/>
          <w:sz w:val="22"/>
          <w:szCs w:val="22"/>
          <w:lang w:eastAsia="en-US"/>
        </w:rPr>
        <w:noBreakHyphen/>
        <w:t xml:space="preserve">gátlókat) szedése mellett. </w:t>
      </w:r>
      <w:r w:rsidR="003A1345">
        <w:rPr>
          <w:rFonts w:eastAsia="Times New Roman"/>
          <w:iCs/>
          <w:sz w:val="22"/>
          <w:szCs w:val="22"/>
          <w:lang w:eastAsia="en-US"/>
        </w:rPr>
        <w:t>Amennyiben a betegnél angio</w:t>
      </w:r>
      <w:r w:rsidR="00C54E87">
        <w:rPr>
          <w:rFonts w:eastAsia="Times New Roman"/>
          <w:iCs/>
          <w:sz w:val="22"/>
          <w:szCs w:val="22"/>
          <w:lang w:eastAsia="en-US"/>
        </w:rPr>
        <w:t>oe</w:t>
      </w:r>
      <w:r w:rsidR="003A1345">
        <w:rPr>
          <w:rFonts w:eastAsia="Times New Roman"/>
          <w:iCs/>
          <w:sz w:val="22"/>
          <w:szCs w:val="22"/>
          <w:lang w:eastAsia="en-US"/>
        </w:rPr>
        <w:t>d</w:t>
      </w:r>
      <w:r w:rsidR="00C54E87">
        <w:rPr>
          <w:rFonts w:eastAsia="Times New Roman"/>
          <w:iCs/>
          <w:sz w:val="22"/>
          <w:szCs w:val="22"/>
          <w:lang w:eastAsia="en-US"/>
        </w:rPr>
        <w:t>e</w:t>
      </w:r>
      <w:r w:rsidR="003A1345">
        <w:rPr>
          <w:rFonts w:eastAsia="Times New Roman"/>
          <w:iCs/>
          <w:sz w:val="22"/>
          <w:szCs w:val="22"/>
          <w:lang w:eastAsia="en-US"/>
        </w:rPr>
        <w:t>ma alakul ki, a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</w:t>
      </w:r>
      <w:r w:rsidRPr="00483A53">
        <w:rPr>
          <w:rFonts w:eastAsia="Times New Roman"/>
          <w:iCs/>
          <w:sz w:val="22"/>
          <w:szCs w:val="22"/>
          <w:lang w:eastAsia="en-US"/>
        </w:rPr>
        <w:t>Valsartan Sandoz szedését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azonnal abba kell hagyni</w:t>
      </w:r>
      <w:r w:rsidR="003A1345">
        <w:rPr>
          <w:rFonts w:eastAsia="Times New Roman"/>
          <w:iCs/>
          <w:sz w:val="22"/>
          <w:szCs w:val="22"/>
          <w:lang w:eastAsia="en-US"/>
        </w:rPr>
        <w:t>, és ez a beteg a későbbiekben sem kaphat valzartán-hatóanyagú készítményt</w:t>
      </w:r>
      <w:r w:rsidR="00F2257F">
        <w:rPr>
          <w:rFonts w:eastAsia="Times New Roman"/>
          <w:iCs/>
          <w:sz w:val="22"/>
          <w:szCs w:val="22"/>
          <w:lang w:eastAsia="en-US"/>
        </w:rPr>
        <w:t xml:space="preserve"> (lásd 4.8 pont)</w:t>
      </w:r>
      <w:r w:rsidR="003A1345">
        <w:rPr>
          <w:rFonts w:eastAsia="Times New Roman"/>
          <w:iCs/>
          <w:sz w:val="22"/>
          <w:szCs w:val="22"/>
          <w:lang w:eastAsia="en-US"/>
        </w:rPr>
        <w:t>.</w:t>
      </w:r>
      <w:r w:rsidRPr="00465A4C">
        <w:rPr>
          <w:rFonts w:eastAsia="Times New Roman"/>
          <w:iCs/>
          <w:sz w:val="22"/>
          <w:szCs w:val="22"/>
          <w:lang w:eastAsia="en-US"/>
        </w:rPr>
        <w:t xml:space="preserve"> </w:t>
      </w:r>
    </w:p>
    <w:p w14:paraId="17C57818" w14:textId="77777777" w:rsidR="00CB6BFA" w:rsidRDefault="00CB6BFA" w:rsidP="00C560EC">
      <w:pPr>
        <w:tabs>
          <w:tab w:val="left" w:pos="567"/>
        </w:tabs>
        <w:rPr>
          <w:color w:val="000000"/>
          <w:sz w:val="22"/>
          <w:szCs w:val="22"/>
        </w:rPr>
      </w:pPr>
    </w:p>
    <w:p w14:paraId="0D9CFCED" w14:textId="77777777" w:rsidR="00477037" w:rsidRPr="00A86E3E" w:rsidRDefault="00477037" w:rsidP="00477037">
      <w:pPr>
        <w:tabs>
          <w:tab w:val="left" w:pos="567"/>
        </w:tabs>
        <w:rPr>
          <w:sz w:val="22"/>
          <w:szCs w:val="22"/>
          <w:u w:val="single"/>
        </w:rPr>
      </w:pPr>
      <w:r w:rsidRPr="00A86E3E">
        <w:rPr>
          <w:sz w:val="22"/>
          <w:szCs w:val="22"/>
          <w:u w:val="single"/>
        </w:rPr>
        <w:t>Intestinalis angiooedema</w:t>
      </w:r>
    </w:p>
    <w:p w14:paraId="5A9FB928" w14:textId="74D464A7" w:rsidR="00477037" w:rsidRPr="0029174A" w:rsidRDefault="00477037" w:rsidP="00477037">
      <w:pPr>
        <w:tabs>
          <w:tab w:val="left" w:pos="567"/>
        </w:tabs>
        <w:rPr>
          <w:sz w:val="22"/>
          <w:szCs w:val="22"/>
        </w:rPr>
      </w:pPr>
      <w:r w:rsidRPr="0029174A">
        <w:rPr>
          <w:sz w:val="22"/>
          <w:szCs w:val="22"/>
        </w:rPr>
        <w:t xml:space="preserve">Intestinalis angiooedemáról számoltak be angiotenzin II-receptor-blokkolóval </w:t>
      </w:r>
      <w:r w:rsidR="00023DF9">
        <w:rPr>
          <w:sz w:val="22"/>
          <w:szCs w:val="22"/>
        </w:rPr>
        <w:t>(</w:t>
      </w:r>
      <w:r w:rsidRPr="0029174A">
        <w:rPr>
          <w:sz w:val="22"/>
          <w:szCs w:val="22"/>
        </w:rPr>
        <w:t>többek között a valzartánnal</w:t>
      </w:r>
      <w:r w:rsidR="00023DF9">
        <w:rPr>
          <w:sz w:val="22"/>
          <w:szCs w:val="22"/>
        </w:rPr>
        <w:t>)</w:t>
      </w:r>
      <w:r w:rsidRPr="0029174A">
        <w:rPr>
          <w:sz w:val="22"/>
          <w:szCs w:val="22"/>
        </w:rPr>
        <w:t xml:space="preserve"> kezelt betegek esetén (lásd 4.8 pont). Ezeknél a betegeknél abdominalis fájdalom, hányinger, hányás és hasmenés jelentkezett. A tünetek az angiotenzin II-receptor-blokkolóval végzett kezelés leállítása után megszűntek. Amennyiben intestinalis angiooedemát diagnosztizálnak, a valzartán-kezelést le kell állítani, és a beteget megfelelően monitorozni kell mindaddig, amíg a tünetek teljes mértékben meg nem szűnnek.</w:t>
      </w:r>
    </w:p>
    <w:p w14:paraId="3C8F220D" w14:textId="77777777" w:rsidR="00477037" w:rsidRPr="00345BCE" w:rsidRDefault="00477037" w:rsidP="00C560EC">
      <w:pPr>
        <w:tabs>
          <w:tab w:val="left" w:pos="567"/>
        </w:tabs>
        <w:rPr>
          <w:color w:val="000000"/>
          <w:sz w:val="22"/>
          <w:szCs w:val="22"/>
        </w:rPr>
      </w:pPr>
    </w:p>
    <w:p w14:paraId="0847A41A" w14:textId="77777777" w:rsidR="00163E70" w:rsidRPr="000A5BD1" w:rsidRDefault="00163E70" w:rsidP="00C560EC">
      <w:pPr>
        <w:tabs>
          <w:tab w:val="left" w:pos="567"/>
        </w:tabs>
        <w:rPr>
          <w:sz w:val="22"/>
          <w:szCs w:val="22"/>
          <w:u w:val="single"/>
        </w:rPr>
      </w:pPr>
      <w:r w:rsidRPr="000A5BD1">
        <w:rPr>
          <w:sz w:val="22"/>
          <w:szCs w:val="22"/>
          <w:u w:val="single"/>
        </w:rPr>
        <w:t>A renin-angiotenzin-aldoszteron rendszer (RAAS) kettős blokádja</w:t>
      </w:r>
    </w:p>
    <w:p w14:paraId="3F6F3C22" w14:textId="77777777" w:rsidR="0014272B" w:rsidRPr="0054224C" w:rsidRDefault="0014272B" w:rsidP="00C560EC">
      <w:pPr>
        <w:rPr>
          <w:sz w:val="22"/>
          <w:szCs w:val="22"/>
        </w:rPr>
      </w:pPr>
      <w:r w:rsidRPr="0054224C">
        <w:rPr>
          <w:sz w:val="22"/>
          <w:szCs w:val="22"/>
        </w:rPr>
        <w:t>Bizonyíték van rá, hogy az ACE-gátlók, angiotenzin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receptor</w:t>
      </w:r>
      <w:r w:rsidR="001C2BD7">
        <w:rPr>
          <w:sz w:val="22"/>
          <w:szCs w:val="22"/>
        </w:rPr>
        <w:t>-</w:t>
      </w:r>
      <w:r w:rsidRPr="0054224C">
        <w:rPr>
          <w:sz w:val="22"/>
          <w:szCs w:val="22"/>
        </w:rPr>
        <w:t>blokkolók vagy aliszkir</w:t>
      </w:r>
      <w:r w:rsidR="001C2BD7">
        <w:rPr>
          <w:sz w:val="22"/>
          <w:szCs w:val="22"/>
        </w:rPr>
        <w:t>é</w:t>
      </w:r>
      <w:r w:rsidRPr="0054224C">
        <w:rPr>
          <w:sz w:val="22"/>
          <w:szCs w:val="22"/>
        </w:rPr>
        <w:t xml:space="preserve">n egyidejű alkalmazása fokozza a </w:t>
      </w:r>
      <w:r w:rsidR="002321C3">
        <w:rPr>
          <w:sz w:val="22"/>
          <w:szCs w:val="22"/>
        </w:rPr>
        <w:t>hypotonia</w:t>
      </w:r>
      <w:r w:rsidRPr="0054224C">
        <w:rPr>
          <w:sz w:val="22"/>
          <w:szCs w:val="22"/>
        </w:rPr>
        <w:t xml:space="preserve">, </w:t>
      </w:r>
      <w:r w:rsidR="002321C3">
        <w:rPr>
          <w:sz w:val="22"/>
          <w:szCs w:val="22"/>
        </w:rPr>
        <w:t>hyperkalaemia</w:t>
      </w:r>
      <w:r w:rsidR="00BC312B">
        <w:rPr>
          <w:sz w:val="22"/>
          <w:szCs w:val="22"/>
        </w:rPr>
        <w:t xml:space="preserve"> </w:t>
      </w:r>
      <w:r w:rsidRPr="0054224C">
        <w:rPr>
          <w:sz w:val="22"/>
          <w:szCs w:val="22"/>
        </w:rPr>
        <w:t>és csökkent veseműködés (beleértve az akut veseelégtelenség) kockázatát. A RAAS ACE-gátlók, angiotenzin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Pr="0054224C">
        <w:rPr>
          <w:sz w:val="22"/>
          <w:szCs w:val="22"/>
        </w:rPr>
        <w:t>blokkolók vagy aliszkir</w:t>
      </w:r>
      <w:r w:rsidR="001C2BD7">
        <w:rPr>
          <w:sz w:val="22"/>
          <w:szCs w:val="22"/>
        </w:rPr>
        <w:t>é</w:t>
      </w:r>
      <w:r w:rsidRPr="0054224C">
        <w:rPr>
          <w:sz w:val="22"/>
          <w:szCs w:val="22"/>
        </w:rPr>
        <w:t>n kombinált alkalmazásával történő kettős blokádja ezért nem javasolt (lásd 4.5 és 5.1 pont).</w:t>
      </w:r>
    </w:p>
    <w:p w14:paraId="2962B128" w14:textId="77777777" w:rsidR="0014272B" w:rsidRPr="0054224C" w:rsidRDefault="0014272B" w:rsidP="00C560EC">
      <w:pPr>
        <w:rPr>
          <w:sz w:val="22"/>
          <w:szCs w:val="22"/>
        </w:rPr>
      </w:pPr>
      <w:r w:rsidRPr="0054224C">
        <w:rPr>
          <w:sz w:val="22"/>
          <w:szCs w:val="22"/>
        </w:rPr>
        <w:t>Ha a kettős-blokád</w:t>
      </w:r>
      <w:r w:rsidR="001C2BD7">
        <w:rPr>
          <w:sz w:val="22"/>
          <w:szCs w:val="22"/>
        </w:rPr>
        <w:t>-</w:t>
      </w:r>
      <w:r w:rsidRPr="0054224C">
        <w:rPr>
          <w:sz w:val="22"/>
          <w:szCs w:val="22"/>
        </w:rPr>
        <w:t xml:space="preserve">kezelést abszolút szükségesnek ítélik, ez csak szakorvos felügyeletével, a vesefunkció, </w:t>
      </w:r>
      <w:r w:rsidR="00BE2C56">
        <w:rPr>
          <w:sz w:val="22"/>
          <w:szCs w:val="22"/>
        </w:rPr>
        <w:t xml:space="preserve">az </w:t>
      </w:r>
      <w:r w:rsidRPr="0054224C">
        <w:rPr>
          <w:sz w:val="22"/>
          <w:szCs w:val="22"/>
        </w:rPr>
        <w:t>elektrolitszintek és a vérnyomás gyakori és szoros ellenőrzése mellett történhet.</w:t>
      </w:r>
    </w:p>
    <w:p w14:paraId="4A3305FA" w14:textId="77777777" w:rsidR="000A5BD1" w:rsidRDefault="0014272B" w:rsidP="001C2BD7">
      <w:pPr>
        <w:tabs>
          <w:tab w:val="left" w:pos="567"/>
        </w:tabs>
        <w:rPr>
          <w:sz w:val="22"/>
          <w:szCs w:val="22"/>
        </w:rPr>
      </w:pPr>
      <w:r w:rsidRPr="0054224C">
        <w:rPr>
          <w:sz w:val="22"/>
          <w:szCs w:val="22"/>
        </w:rPr>
        <w:t>Az ACE-gátlók és angiotenzin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Pr="0054224C">
        <w:rPr>
          <w:sz w:val="22"/>
          <w:szCs w:val="22"/>
        </w:rPr>
        <w:t xml:space="preserve">blokkolók </w:t>
      </w:r>
      <w:r w:rsidR="00A62294" w:rsidRPr="000720D3">
        <w:rPr>
          <w:sz w:val="22"/>
          <w:szCs w:val="22"/>
        </w:rPr>
        <w:t>nem alkalmazhatók egyidejűleg diabeteses nephropathiában szenvedő betegeknél</w:t>
      </w:r>
      <w:r w:rsidRPr="0054224C">
        <w:rPr>
          <w:sz w:val="22"/>
          <w:szCs w:val="22"/>
        </w:rPr>
        <w:t>.</w:t>
      </w:r>
    </w:p>
    <w:p w14:paraId="22791560" w14:textId="77777777" w:rsidR="0014272B" w:rsidRPr="00345BCE" w:rsidRDefault="0014272B" w:rsidP="00EA386A">
      <w:pPr>
        <w:tabs>
          <w:tab w:val="left" w:pos="567"/>
        </w:tabs>
        <w:rPr>
          <w:sz w:val="22"/>
          <w:szCs w:val="22"/>
        </w:rPr>
      </w:pPr>
    </w:p>
    <w:p w14:paraId="1A35B747" w14:textId="77777777" w:rsidR="003E659B" w:rsidRPr="00345BCE" w:rsidRDefault="003E659B" w:rsidP="00EA386A">
      <w:pPr>
        <w:rPr>
          <w:i/>
          <w:iCs/>
          <w:color w:val="000000"/>
          <w:sz w:val="22"/>
          <w:szCs w:val="22"/>
          <w:u w:val="single"/>
        </w:rPr>
      </w:pPr>
      <w:r w:rsidRPr="00345BCE">
        <w:rPr>
          <w:i/>
          <w:iCs/>
          <w:color w:val="000000"/>
          <w:sz w:val="22"/>
          <w:szCs w:val="22"/>
          <w:u w:val="single"/>
        </w:rPr>
        <w:t>Gyermek</w:t>
      </w:r>
      <w:r w:rsidR="0051702A" w:rsidRPr="00B0458C">
        <w:rPr>
          <w:i/>
          <w:iCs/>
          <w:color w:val="000000"/>
          <w:sz w:val="22"/>
          <w:szCs w:val="22"/>
          <w:u w:val="single"/>
        </w:rPr>
        <w:t>ek</w:t>
      </w:r>
      <w:r w:rsidR="00582120" w:rsidRPr="00B0458C">
        <w:rPr>
          <w:i/>
          <w:iCs/>
          <w:color w:val="000000"/>
          <w:sz w:val="22"/>
          <w:szCs w:val="22"/>
          <w:u w:val="single"/>
        </w:rPr>
        <w:t xml:space="preserve"> </w:t>
      </w:r>
      <w:r w:rsidR="00582120" w:rsidRPr="00C560EC">
        <w:rPr>
          <w:i/>
          <w:iCs/>
          <w:color w:val="000000"/>
          <w:sz w:val="22"/>
          <w:szCs w:val="22"/>
          <w:u w:val="single"/>
        </w:rPr>
        <w:t>és serdülők</w:t>
      </w:r>
    </w:p>
    <w:p w14:paraId="19C4E980" w14:textId="77777777" w:rsidR="003E659B" w:rsidRPr="00345BCE" w:rsidRDefault="003E659B" w:rsidP="00EA386A">
      <w:pPr>
        <w:rPr>
          <w:color w:val="000000"/>
          <w:sz w:val="22"/>
          <w:szCs w:val="22"/>
        </w:rPr>
      </w:pPr>
    </w:p>
    <w:p w14:paraId="323E8AA6" w14:textId="77777777" w:rsidR="003E659B" w:rsidRPr="00345BCE" w:rsidRDefault="003E659B" w:rsidP="0097699A">
      <w:pPr>
        <w:rPr>
          <w:color w:val="000000"/>
          <w:sz w:val="22"/>
          <w:szCs w:val="22"/>
          <w:u w:val="single"/>
        </w:rPr>
      </w:pPr>
      <w:r w:rsidRPr="00345BCE">
        <w:rPr>
          <w:color w:val="000000"/>
          <w:sz w:val="22"/>
          <w:szCs w:val="22"/>
          <w:u w:val="single"/>
        </w:rPr>
        <w:t>Vesekárosodás</w:t>
      </w:r>
    </w:p>
    <w:p w14:paraId="2459D028" w14:textId="58A1B5C8" w:rsidR="003E659B" w:rsidRPr="002D680A" w:rsidRDefault="003E659B" w:rsidP="00666A5A">
      <w:pPr>
        <w:rPr>
          <w:sz w:val="22"/>
          <w:szCs w:val="22"/>
        </w:rPr>
      </w:pPr>
      <w:r w:rsidRPr="002D680A">
        <w:rPr>
          <w:sz w:val="22"/>
          <w:szCs w:val="22"/>
        </w:rPr>
        <w:t xml:space="preserve">Alkalmazását azoknál a </w:t>
      </w:r>
      <w:r w:rsidR="004A25AD" w:rsidRPr="004A25AD">
        <w:rPr>
          <w:sz w:val="22"/>
          <w:szCs w:val="22"/>
        </w:rPr>
        <w:t>gyermekeknél és serdülőknél</w:t>
      </w:r>
      <w:r w:rsidRPr="002D680A">
        <w:rPr>
          <w:sz w:val="22"/>
          <w:szCs w:val="22"/>
        </w:rPr>
        <w:t>, akiknek a kreatitnin</w:t>
      </w:r>
      <w:r w:rsidRPr="002D680A">
        <w:rPr>
          <w:sz w:val="22"/>
          <w:szCs w:val="22"/>
        </w:rPr>
        <w:noBreakHyphen/>
        <w:t>clearance</w:t>
      </w:r>
      <w:r w:rsidRPr="002D680A">
        <w:rPr>
          <w:sz w:val="22"/>
          <w:szCs w:val="22"/>
        </w:rPr>
        <w:noBreakHyphen/>
        <w:t>e &lt;</w:t>
      </w:r>
      <w:r w:rsidR="00450388" w:rsidRPr="002D680A">
        <w:rPr>
          <w:sz w:val="22"/>
          <w:szCs w:val="22"/>
        </w:rPr>
        <w:t> </w:t>
      </w:r>
      <w:r w:rsidRPr="002D680A">
        <w:rPr>
          <w:sz w:val="22"/>
          <w:szCs w:val="22"/>
        </w:rPr>
        <w:t xml:space="preserve">30 ml/perc, valamint a dialízis alatt álló </w:t>
      </w:r>
      <w:r w:rsidR="004A25AD" w:rsidRPr="004A25AD">
        <w:rPr>
          <w:sz w:val="22"/>
          <w:szCs w:val="22"/>
        </w:rPr>
        <w:t>gyermekeknél és serdülőknél</w:t>
      </w:r>
      <w:r w:rsidRPr="002D680A">
        <w:rPr>
          <w:sz w:val="22"/>
          <w:szCs w:val="22"/>
        </w:rPr>
        <w:t xml:space="preserve"> nem vizsgálták, ezért a valzartán ezeknek a betegeknek nem javasolt. </w:t>
      </w:r>
      <w:r w:rsidRPr="003879DD">
        <w:rPr>
          <w:sz w:val="22"/>
          <w:szCs w:val="22"/>
        </w:rPr>
        <w:t>Nem szükséges a dózis módosítása azoknál a</w:t>
      </w:r>
      <w:r w:rsidRPr="002D680A">
        <w:rPr>
          <w:sz w:val="22"/>
          <w:szCs w:val="22"/>
        </w:rPr>
        <w:t xml:space="preserve"> </w:t>
      </w:r>
      <w:r w:rsidR="004A25AD" w:rsidRPr="004A25AD">
        <w:rPr>
          <w:sz w:val="22"/>
          <w:szCs w:val="22"/>
        </w:rPr>
        <w:t>gyermekeknél és serdülőknél</w:t>
      </w:r>
      <w:r w:rsidRPr="003879DD">
        <w:rPr>
          <w:sz w:val="22"/>
          <w:szCs w:val="22"/>
        </w:rPr>
        <w:t>, akik</w:t>
      </w:r>
      <w:r w:rsidR="00BE2C56" w:rsidRPr="003879DD">
        <w:rPr>
          <w:sz w:val="22"/>
          <w:szCs w:val="22"/>
        </w:rPr>
        <w:t>nek a</w:t>
      </w:r>
      <w:r w:rsidRPr="003879DD">
        <w:rPr>
          <w:sz w:val="22"/>
          <w:szCs w:val="22"/>
        </w:rPr>
        <w:t xml:space="preserve"> kreatinin</w:t>
      </w:r>
      <w:r w:rsidRPr="003879DD">
        <w:rPr>
          <w:sz w:val="22"/>
          <w:szCs w:val="22"/>
        </w:rPr>
        <w:noBreakHyphen/>
        <w:t>clearance</w:t>
      </w:r>
      <w:r w:rsidRPr="003879DD">
        <w:rPr>
          <w:sz w:val="22"/>
          <w:szCs w:val="22"/>
        </w:rPr>
        <w:noBreakHyphen/>
        <w:t xml:space="preserve">e </w:t>
      </w:r>
      <w:r w:rsidRPr="00345BCE">
        <w:rPr>
          <w:sz w:val="22"/>
          <w:szCs w:val="22"/>
        </w:rPr>
        <w:t>&gt;</w:t>
      </w:r>
      <w:r w:rsidR="00450388">
        <w:rPr>
          <w:sz w:val="22"/>
          <w:szCs w:val="22"/>
        </w:rPr>
        <w:t> </w:t>
      </w:r>
      <w:r w:rsidRPr="00345BCE">
        <w:rPr>
          <w:sz w:val="22"/>
          <w:szCs w:val="22"/>
        </w:rPr>
        <w:t>30 ml/perc (lásd 4.2 és 5.2 pont)</w:t>
      </w:r>
      <w:r w:rsidRPr="002D680A">
        <w:rPr>
          <w:sz w:val="22"/>
          <w:szCs w:val="22"/>
        </w:rPr>
        <w:t>. A vesefunkciót és a szérum káliumszintet szorosan ellenőrizni kell a valzartán</w:t>
      </w:r>
      <w:r w:rsidRPr="002D680A">
        <w:rPr>
          <w:sz w:val="22"/>
          <w:szCs w:val="22"/>
        </w:rPr>
        <w:noBreakHyphen/>
        <w:t>kezelés során. Ez különösen érvényes abban az esetben, amikor a valzartánt egyéb, olyan betegségek (láz, dehydratio) fennállásakor adják, melyek a vesefunkció károsodásához vezethetnek.</w:t>
      </w:r>
    </w:p>
    <w:p w14:paraId="24935DCF" w14:textId="77777777" w:rsidR="000A5BD1" w:rsidRPr="001F39B9" w:rsidRDefault="000A5BD1" w:rsidP="002D680A">
      <w:pPr>
        <w:rPr>
          <w:sz w:val="22"/>
          <w:szCs w:val="22"/>
        </w:rPr>
      </w:pPr>
      <w:r>
        <w:rPr>
          <w:sz w:val="22"/>
          <w:szCs w:val="22"/>
        </w:rPr>
        <w:t>Az aliszkir</w:t>
      </w:r>
      <w:r w:rsidR="00450388">
        <w:rPr>
          <w:sz w:val="22"/>
          <w:szCs w:val="22"/>
        </w:rPr>
        <w:t>é</w:t>
      </w:r>
      <w:r>
        <w:rPr>
          <w:sz w:val="22"/>
          <w:szCs w:val="22"/>
        </w:rPr>
        <w:t xml:space="preserve">n ARB-kel (beleértve a valzartánt) vagy </w:t>
      </w:r>
      <w:r w:rsidRPr="001F39B9">
        <w:rPr>
          <w:sz w:val="22"/>
          <w:szCs w:val="22"/>
        </w:rPr>
        <w:t>ACE</w:t>
      </w:r>
      <w:r>
        <w:rPr>
          <w:sz w:val="22"/>
          <w:szCs w:val="22"/>
        </w:rPr>
        <w:t>-</w:t>
      </w:r>
      <w:r w:rsidRPr="001F39B9">
        <w:rPr>
          <w:sz w:val="22"/>
          <w:szCs w:val="22"/>
        </w:rPr>
        <w:t xml:space="preserve">gátlókkal történő egyidejű </w:t>
      </w:r>
      <w:r>
        <w:rPr>
          <w:sz w:val="22"/>
          <w:szCs w:val="22"/>
        </w:rPr>
        <w:t xml:space="preserve">alkalmazása </w:t>
      </w:r>
      <w:r w:rsidR="00355A5E">
        <w:rPr>
          <w:sz w:val="22"/>
          <w:szCs w:val="22"/>
        </w:rPr>
        <w:t xml:space="preserve">vesekárosodásban szenvedő </w:t>
      </w:r>
      <w:r w:rsidRPr="001F39B9">
        <w:rPr>
          <w:sz w:val="22"/>
          <w:szCs w:val="22"/>
        </w:rPr>
        <w:t>betegeknél (GFR &lt;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60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ml/perc/1,73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m</w:t>
      </w:r>
      <w:r w:rsidRPr="001F39B9">
        <w:rPr>
          <w:sz w:val="22"/>
          <w:szCs w:val="22"/>
          <w:vertAlign w:val="superscript"/>
        </w:rPr>
        <w:t>2</w:t>
      </w:r>
      <w:r w:rsidRPr="001F39B9">
        <w:rPr>
          <w:sz w:val="22"/>
          <w:szCs w:val="22"/>
        </w:rPr>
        <w:t>)</w:t>
      </w:r>
      <w:r>
        <w:rPr>
          <w:sz w:val="22"/>
          <w:szCs w:val="22"/>
        </w:rPr>
        <w:t xml:space="preserve"> ellenjavallt (lásd 4.3 és 4.5 </w:t>
      </w:r>
      <w:r w:rsidRPr="001F39B9">
        <w:rPr>
          <w:sz w:val="22"/>
          <w:szCs w:val="22"/>
        </w:rPr>
        <w:t>pont).</w:t>
      </w:r>
    </w:p>
    <w:p w14:paraId="4482886B" w14:textId="77777777" w:rsidR="003E659B" w:rsidRPr="00345BCE" w:rsidRDefault="003E659B" w:rsidP="001902F4">
      <w:pPr>
        <w:rPr>
          <w:rFonts w:ascii="TimesNewRomanPSMT" w:hAnsi="TimesNewRomanPSMT" w:cs="TimesNewRomanPSMT"/>
          <w:color w:val="000000"/>
          <w:sz w:val="22"/>
          <w:szCs w:val="22"/>
          <w:lang w:bidi="th-TH"/>
        </w:rPr>
      </w:pPr>
    </w:p>
    <w:p w14:paraId="5EB84FE1" w14:textId="77777777" w:rsidR="003E659B" w:rsidRPr="00345BCE" w:rsidRDefault="003E659B" w:rsidP="001902F4">
      <w:pPr>
        <w:rPr>
          <w:color w:val="000000"/>
          <w:sz w:val="22"/>
          <w:szCs w:val="22"/>
          <w:u w:val="single"/>
        </w:rPr>
      </w:pPr>
      <w:r w:rsidRPr="00345BCE">
        <w:rPr>
          <w:color w:val="000000"/>
          <w:sz w:val="22"/>
          <w:szCs w:val="22"/>
          <w:u w:val="single"/>
        </w:rPr>
        <w:t>Májkárosodás</w:t>
      </w:r>
    </w:p>
    <w:p w14:paraId="5FDD50DD" w14:textId="3B619B4E" w:rsidR="003E659B" w:rsidRPr="00345BCE" w:rsidRDefault="003E659B" w:rsidP="00B0458C">
      <w:pPr>
        <w:rPr>
          <w:color w:val="000000"/>
          <w:sz w:val="22"/>
          <w:szCs w:val="22"/>
        </w:rPr>
      </w:pPr>
      <w:r w:rsidRPr="00345BCE">
        <w:rPr>
          <w:color w:val="000000"/>
          <w:sz w:val="22"/>
          <w:szCs w:val="22"/>
        </w:rPr>
        <w:t>A felnőttekhez hasonlóan a s</w:t>
      </w:r>
      <w:r w:rsidRPr="00345BCE">
        <w:rPr>
          <w:bCs/>
          <w:sz w:val="22"/>
          <w:szCs w:val="22"/>
        </w:rPr>
        <w:t xml:space="preserve">úlyos májkárosodásban, biliaris cirrhosisban, valamint cholestasisban szenvedő </w:t>
      </w:r>
      <w:r w:rsidR="004A25AD" w:rsidRPr="002D680A">
        <w:rPr>
          <w:color w:val="000000"/>
          <w:sz w:val="22"/>
          <w:szCs w:val="22"/>
        </w:rPr>
        <w:t>gyermekeknél és serdülőknél</w:t>
      </w:r>
      <w:r w:rsidRPr="002D680A">
        <w:rPr>
          <w:color w:val="000000"/>
          <w:sz w:val="22"/>
          <w:szCs w:val="22"/>
        </w:rPr>
        <w:t xml:space="preserve"> </w:t>
      </w:r>
      <w:r w:rsidRPr="00345BCE">
        <w:rPr>
          <w:bCs/>
          <w:sz w:val="22"/>
          <w:szCs w:val="22"/>
        </w:rPr>
        <w:t xml:space="preserve">a </w:t>
      </w:r>
      <w:r w:rsidR="00345BCE" w:rsidRPr="00345BCE">
        <w:rPr>
          <w:bCs/>
          <w:sz w:val="22"/>
          <w:szCs w:val="22"/>
        </w:rPr>
        <w:t>Valsartan Sandoz</w:t>
      </w:r>
      <w:r w:rsidRPr="00345BCE">
        <w:rPr>
          <w:bCs/>
          <w:sz w:val="22"/>
          <w:szCs w:val="22"/>
        </w:rPr>
        <w:t xml:space="preserve"> ellenjavallt (lásd 4.3 és 5.2 pont)</w:t>
      </w:r>
      <w:r w:rsidRPr="00345BCE">
        <w:rPr>
          <w:color w:val="000000"/>
          <w:sz w:val="22"/>
          <w:szCs w:val="22"/>
        </w:rPr>
        <w:t xml:space="preserve">. Az </w:t>
      </w:r>
      <w:r w:rsidRPr="00345BCE">
        <w:rPr>
          <w:bCs/>
          <w:sz w:val="22"/>
          <w:szCs w:val="22"/>
        </w:rPr>
        <w:t xml:space="preserve">enyhe vagy közepesen súlyos májkárosodásban szenvedő </w:t>
      </w:r>
      <w:r w:rsidR="004A25AD" w:rsidRPr="004A25AD">
        <w:rPr>
          <w:bCs/>
          <w:sz w:val="22"/>
          <w:szCs w:val="22"/>
        </w:rPr>
        <w:t>gyermekeknél és serdülőknél</w:t>
      </w:r>
      <w:r w:rsidRPr="00345BCE">
        <w:rPr>
          <w:bCs/>
          <w:sz w:val="22"/>
          <w:szCs w:val="22"/>
        </w:rPr>
        <w:t xml:space="preserve"> a </w:t>
      </w:r>
      <w:r w:rsidR="00903A65">
        <w:rPr>
          <w:bCs/>
          <w:sz w:val="22"/>
          <w:szCs w:val="22"/>
        </w:rPr>
        <w:t>v</w:t>
      </w:r>
      <w:r w:rsidR="00345BCE" w:rsidRPr="00345BCE">
        <w:rPr>
          <w:bCs/>
          <w:sz w:val="22"/>
          <w:szCs w:val="22"/>
        </w:rPr>
        <w:t>al</w:t>
      </w:r>
      <w:r w:rsidR="00F06F37">
        <w:rPr>
          <w:bCs/>
          <w:sz w:val="22"/>
          <w:szCs w:val="22"/>
        </w:rPr>
        <w:t>z</w:t>
      </w:r>
      <w:r w:rsidR="00345BCE" w:rsidRPr="00345BCE">
        <w:rPr>
          <w:bCs/>
          <w:sz w:val="22"/>
          <w:szCs w:val="22"/>
        </w:rPr>
        <w:t>art</w:t>
      </w:r>
      <w:r w:rsidR="00F06F37">
        <w:rPr>
          <w:bCs/>
          <w:sz w:val="22"/>
          <w:szCs w:val="22"/>
        </w:rPr>
        <w:t>á</w:t>
      </w:r>
      <w:r w:rsidR="00345BCE" w:rsidRPr="00345BCE">
        <w:rPr>
          <w:bCs/>
          <w:sz w:val="22"/>
          <w:szCs w:val="22"/>
        </w:rPr>
        <w:t>n</w:t>
      </w:r>
      <w:r w:rsidRPr="00345BCE">
        <w:rPr>
          <w:bCs/>
          <w:sz w:val="22"/>
          <w:szCs w:val="22"/>
        </w:rPr>
        <w:t xml:space="preserve">nal szerzett klinikai tapasztalat korlátozott. </w:t>
      </w:r>
      <w:r w:rsidRPr="00345BCE">
        <w:rPr>
          <w:color w:val="000000"/>
          <w:sz w:val="22"/>
          <w:szCs w:val="22"/>
        </w:rPr>
        <w:t>A valzartán dózisa ezeknél a betegeknél nem haladhatja meg a 80 mg</w:t>
      </w:r>
      <w:r w:rsidRPr="00345BCE">
        <w:rPr>
          <w:color w:val="000000"/>
          <w:sz w:val="22"/>
          <w:szCs w:val="22"/>
        </w:rPr>
        <w:noBreakHyphen/>
        <w:t>ot.</w:t>
      </w:r>
    </w:p>
    <w:p w14:paraId="48741E3A" w14:textId="77777777" w:rsidR="001918C6" w:rsidRPr="00345BCE" w:rsidRDefault="001918C6" w:rsidP="00C560EC">
      <w:pPr>
        <w:tabs>
          <w:tab w:val="left" w:pos="567"/>
        </w:tabs>
        <w:rPr>
          <w:sz w:val="22"/>
          <w:szCs w:val="22"/>
        </w:rPr>
      </w:pPr>
    </w:p>
    <w:p w14:paraId="29B87F26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4.5</w:t>
      </w:r>
      <w:r w:rsidRPr="00345BCE">
        <w:rPr>
          <w:b/>
          <w:sz w:val="22"/>
          <w:szCs w:val="22"/>
        </w:rPr>
        <w:tab/>
        <w:t>Gyógyszerkölcsönhatások és egyéb interakciók</w:t>
      </w:r>
    </w:p>
    <w:p w14:paraId="25F293BF" w14:textId="77777777" w:rsidR="000A7E88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661AD00A" w14:textId="77777777" w:rsidR="000A5BD1" w:rsidRDefault="000A5BD1" w:rsidP="00C560EC">
      <w:pPr>
        <w:tabs>
          <w:tab w:val="left" w:pos="567"/>
        </w:tabs>
        <w:rPr>
          <w:i/>
          <w:sz w:val="22"/>
          <w:szCs w:val="22"/>
          <w:u w:val="single"/>
        </w:rPr>
      </w:pPr>
      <w:r w:rsidRPr="000A5BD1">
        <w:rPr>
          <w:i/>
          <w:sz w:val="22"/>
          <w:szCs w:val="22"/>
          <w:u w:val="single"/>
        </w:rPr>
        <w:t>A renin-angiotenzin-aldoszteron rendszer (RAAS) kettős blokádja ARB-kel, ACE-gátlókkal vagy aliszkir</w:t>
      </w:r>
      <w:r w:rsidR="00450388">
        <w:rPr>
          <w:i/>
          <w:sz w:val="22"/>
          <w:szCs w:val="22"/>
          <w:u w:val="single"/>
        </w:rPr>
        <w:t>é</w:t>
      </w:r>
      <w:r w:rsidRPr="000A5BD1">
        <w:rPr>
          <w:i/>
          <w:sz w:val="22"/>
          <w:szCs w:val="22"/>
          <w:u w:val="single"/>
        </w:rPr>
        <w:t>nnel</w:t>
      </w:r>
    </w:p>
    <w:p w14:paraId="2DABFEAE" w14:textId="77777777" w:rsidR="00331013" w:rsidRPr="0054224C" w:rsidRDefault="00331013" w:rsidP="00C560EC">
      <w:pPr>
        <w:tabs>
          <w:tab w:val="left" w:pos="567"/>
        </w:tabs>
        <w:rPr>
          <w:sz w:val="22"/>
          <w:szCs w:val="22"/>
        </w:rPr>
      </w:pPr>
      <w:r w:rsidRPr="0054224C">
        <w:rPr>
          <w:sz w:val="22"/>
          <w:szCs w:val="22"/>
        </w:rPr>
        <w:t>A klinikai vizsgálati adatok azt mutatták, hogy a renin-angiotenzin-aldoszteron rendszernek (RAAS) ACE</w:t>
      </w:r>
      <w:r w:rsidR="00450388">
        <w:rPr>
          <w:sz w:val="22"/>
          <w:szCs w:val="22"/>
        </w:rPr>
        <w:noBreakHyphen/>
      </w:r>
      <w:r w:rsidRPr="0054224C">
        <w:rPr>
          <w:sz w:val="22"/>
          <w:szCs w:val="22"/>
        </w:rPr>
        <w:t>gátlók, angiotenzin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54224C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Pr="0054224C">
        <w:rPr>
          <w:sz w:val="22"/>
          <w:szCs w:val="22"/>
        </w:rPr>
        <w:t>blokkolók vagy aliszkir</w:t>
      </w:r>
      <w:r w:rsidR="00450388">
        <w:rPr>
          <w:sz w:val="22"/>
          <w:szCs w:val="22"/>
        </w:rPr>
        <w:t>é</w:t>
      </w:r>
      <w:r w:rsidRPr="0054224C">
        <w:rPr>
          <w:sz w:val="22"/>
          <w:szCs w:val="22"/>
        </w:rPr>
        <w:t>n kombinációjával történő kettős blokádja nagyobb gyakorisággal okoz mellékhatásokat, például h</w:t>
      </w:r>
      <w:r w:rsidR="002321C3">
        <w:rPr>
          <w:sz w:val="22"/>
          <w:szCs w:val="22"/>
        </w:rPr>
        <w:t>y</w:t>
      </w:r>
      <w:r w:rsidRPr="0054224C">
        <w:rPr>
          <w:sz w:val="22"/>
          <w:szCs w:val="22"/>
        </w:rPr>
        <w:t>pot</w:t>
      </w:r>
      <w:r w:rsidR="002321C3">
        <w:rPr>
          <w:sz w:val="22"/>
          <w:szCs w:val="22"/>
        </w:rPr>
        <w:t>o</w:t>
      </w:r>
      <w:r w:rsidRPr="0054224C">
        <w:rPr>
          <w:sz w:val="22"/>
          <w:szCs w:val="22"/>
        </w:rPr>
        <w:t>niát, h</w:t>
      </w:r>
      <w:r w:rsidR="002321C3">
        <w:rPr>
          <w:sz w:val="22"/>
          <w:szCs w:val="22"/>
        </w:rPr>
        <w:t>y</w:t>
      </w:r>
      <w:r w:rsidRPr="0054224C">
        <w:rPr>
          <w:sz w:val="22"/>
          <w:szCs w:val="22"/>
        </w:rPr>
        <w:t>perkal</w:t>
      </w:r>
      <w:r w:rsidR="002321C3">
        <w:rPr>
          <w:sz w:val="22"/>
          <w:szCs w:val="22"/>
        </w:rPr>
        <w:t>ae</w:t>
      </w:r>
      <w:r w:rsidRPr="0054224C">
        <w:rPr>
          <w:sz w:val="22"/>
          <w:szCs w:val="22"/>
        </w:rPr>
        <w:t>miát vagy beszűkült veseműködést (többek között akut veseelégtelenséget), mint csak egyféle RAAS-ra ható szer alkalmazása (lásd 4.3, 4.4 és 5.1 pont).</w:t>
      </w:r>
    </w:p>
    <w:p w14:paraId="3A561408" w14:textId="77777777" w:rsidR="00331013" w:rsidRDefault="00331013" w:rsidP="00C560EC">
      <w:pPr>
        <w:tabs>
          <w:tab w:val="left" w:pos="567"/>
        </w:tabs>
        <w:rPr>
          <w:sz w:val="22"/>
          <w:szCs w:val="22"/>
        </w:rPr>
      </w:pPr>
    </w:p>
    <w:p w14:paraId="134B40F0" w14:textId="77777777" w:rsidR="00573067" w:rsidRPr="00163E70" w:rsidRDefault="00573067" w:rsidP="00C560EC">
      <w:pPr>
        <w:tabs>
          <w:tab w:val="left" w:pos="567"/>
        </w:tabs>
        <w:rPr>
          <w:sz w:val="22"/>
          <w:szCs w:val="22"/>
        </w:rPr>
      </w:pPr>
      <w:r w:rsidRPr="000720D3">
        <w:rPr>
          <w:sz w:val="22"/>
          <w:szCs w:val="22"/>
        </w:rPr>
        <w:lastRenderedPageBreak/>
        <w:t>Óvatosság szükséges az ARB-k (beleértve a valzartánt) és más renin-angiotenzin rendszert gátló hatóanyagok, így az ACE-gátlók vagy az aliszkir</w:t>
      </w:r>
      <w:r w:rsidR="00450388">
        <w:rPr>
          <w:sz w:val="22"/>
          <w:szCs w:val="22"/>
        </w:rPr>
        <w:t>é</w:t>
      </w:r>
      <w:r w:rsidRPr="000720D3">
        <w:rPr>
          <w:sz w:val="22"/>
          <w:szCs w:val="22"/>
        </w:rPr>
        <w:t>n együttes alkalmazásakor (lásd 4.4 pont).</w:t>
      </w:r>
    </w:p>
    <w:p w14:paraId="4906FC59" w14:textId="77777777" w:rsidR="00573067" w:rsidRDefault="00573067" w:rsidP="00C560EC">
      <w:pPr>
        <w:tabs>
          <w:tab w:val="left" w:pos="567"/>
        </w:tabs>
        <w:rPr>
          <w:sz w:val="22"/>
          <w:szCs w:val="22"/>
        </w:rPr>
      </w:pPr>
    </w:p>
    <w:p w14:paraId="2C0BAEE9" w14:textId="77777777" w:rsidR="000A5BD1" w:rsidRPr="000A5BD1" w:rsidRDefault="000A5BD1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Az aliszkir</w:t>
      </w:r>
      <w:r w:rsidR="00450388">
        <w:rPr>
          <w:sz w:val="22"/>
          <w:szCs w:val="22"/>
        </w:rPr>
        <w:t>é</w:t>
      </w:r>
      <w:r>
        <w:rPr>
          <w:sz w:val="22"/>
          <w:szCs w:val="22"/>
        </w:rPr>
        <w:t>n angiotenzin</w:t>
      </w:r>
      <w:r w:rsidR="002B7DB7">
        <w:rPr>
          <w:sz w:val="22"/>
          <w:szCs w:val="22"/>
        </w:rPr>
        <w:t>-</w:t>
      </w:r>
      <w:r>
        <w:rPr>
          <w:sz w:val="22"/>
          <w:szCs w:val="22"/>
        </w:rPr>
        <w:t>receptor</w:t>
      </w:r>
      <w:r w:rsidR="002B7DB7">
        <w:rPr>
          <w:sz w:val="22"/>
          <w:szCs w:val="22"/>
        </w:rPr>
        <w:t>-</w:t>
      </w:r>
      <w:r>
        <w:rPr>
          <w:sz w:val="22"/>
          <w:szCs w:val="22"/>
        </w:rPr>
        <w:t>antagonistákkal (ARB</w:t>
      </w:r>
      <w:r w:rsidR="00355A5E">
        <w:rPr>
          <w:sz w:val="22"/>
          <w:szCs w:val="22"/>
        </w:rPr>
        <w:t>-k</w:t>
      </w:r>
      <w:r>
        <w:rPr>
          <w:sz w:val="22"/>
          <w:szCs w:val="22"/>
        </w:rPr>
        <w:t xml:space="preserve">, beleértve a valzartánt) vagy </w:t>
      </w:r>
      <w:r w:rsidRPr="00345BCE">
        <w:rPr>
          <w:sz w:val="22"/>
          <w:szCs w:val="22"/>
        </w:rPr>
        <w:t>angiotenzin</w:t>
      </w:r>
      <w:r w:rsidR="00450388">
        <w:rPr>
          <w:sz w:val="22"/>
          <w:szCs w:val="22"/>
        </w:rPr>
        <w:noBreakHyphen/>
      </w:r>
      <w:r w:rsidRPr="00345BCE">
        <w:rPr>
          <w:sz w:val="22"/>
          <w:szCs w:val="22"/>
        </w:rPr>
        <w:t>konvertáló</w:t>
      </w:r>
      <w:r w:rsidR="006E5D87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enzim </w:t>
      </w:r>
      <w:r>
        <w:rPr>
          <w:sz w:val="22"/>
          <w:szCs w:val="22"/>
        </w:rPr>
        <w:t>(</w:t>
      </w:r>
      <w:r w:rsidRPr="001F39B9">
        <w:rPr>
          <w:sz w:val="22"/>
          <w:szCs w:val="22"/>
        </w:rPr>
        <w:t>ACE</w:t>
      </w:r>
      <w:r>
        <w:rPr>
          <w:sz w:val="22"/>
          <w:szCs w:val="22"/>
        </w:rPr>
        <w:t>)</w:t>
      </w:r>
      <w:r w:rsidR="006E5D87">
        <w:rPr>
          <w:sz w:val="22"/>
          <w:szCs w:val="22"/>
        </w:rPr>
        <w:t>-</w:t>
      </w:r>
      <w:r w:rsidRPr="001F39B9">
        <w:rPr>
          <w:sz w:val="22"/>
          <w:szCs w:val="22"/>
        </w:rPr>
        <w:t>gátlókkal történő egyidejű alkalmazása diabetes mellitusban</w:t>
      </w:r>
      <w:r>
        <w:rPr>
          <w:sz w:val="22"/>
          <w:szCs w:val="22"/>
        </w:rPr>
        <w:t xml:space="preserve"> </w:t>
      </w:r>
      <w:r w:rsidRPr="001F39B9">
        <w:rPr>
          <w:sz w:val="22"/>
          <w:szCs w:val="22"/>
        </w:rPr>
        <w:t xml:space="preserve">szenvedő betegeknél vagy </w:t>
      </w:r>
      <w:r w:rsidR="00355A5E">
        <w:rPr>
          <w:sz w:val="22"/>
          <w:szCs w:val="22"/>
        </w:rPr>
        <w:t xml:space="preserve">vesekárosodásban szenvedő </w:t>
      </w:r>
      <w:r w:rsidRPr="001F39B9">
        <w:rPr>
          <w:sz w:val="22"/>
          <w:szCs w:val="22"/>
        </w:rPr>
        <w:t>betegeknél (GFR &lt;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60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ml/perc/1,73</w:t>
      </w:r>
      <w:r w:rsidR="00450388">
        <w:rPr>
          <w:sz w:val="22"/>
          <w:szCs w:val="22"/>
        </w:rPr>
        <w:t> </w:t>
      </w:r>
      <w:r w:rsidRPr="001F39B9">
        <w:rPr>
          <w:sz w:val="22"/>
          <w:szCs w:val="22"/>
        </w:rPr>
        <w:t>m</w:t>
      </w:r>
      <w:r w:rsidRPr="001F39B9">
        <w:rPr>
          <w:sz w:val="22"/>
          <w:szCs w:val="22"/>
          <w:vertAlign w:val="superscript"/>
        </w:rPr>
        <w:t>2</w:t>
      </w:r>
      <w:r w:rsidRPr="001F39B9">
        <w:rPr>
          <w:sz w:val="22"/>
          <w:szCs w:val="22"/>
        </w:rPr>
        <w:t>)</w:t>
      </w:r>
      <w:r>
        <w:rPr>
          <w:sz w:val="22"/>
          <w:szCs w:val="22"/>
        </w:rPr>
        <w:t xml:space="preserve"> ellenjavallt (lásd 4.3 </w:t>
      </w:r>
      <w:r w:rsidRPr="001F39B9">
        <w:rPr>
          <w:sz w:val="22"/>
          <w:szCs w:val="22"/>
        </w:rPr>
        <w:t>pont).</w:t>
      </w:r>
    </w:p>
    <w:p w14:paraId="5741EC8C" w14:textId="77777777" w:rsidR="000A5BD1" w:rsidRPr="00345BCE" w:rsidRDefault="000A5BD1" w:rsidP="00C560EC">
      <w:pPr>
        <w:tabs>
          <w:tab w:val="left" w:pos="567"/>
        </w:tabs>
        <w:rPr>
          <w:b/>
          <w:sz w:val="22"/>
          <w:szCs w:val="22"/>
        </w:rPr>
      </w:pPr>
    </w:p>
    <w:p w14:paraId="171C90C7" w14:textId="77777777" w:rsidR="00280771" w:rsidRPr="00345BCE" w:rsidRDefault="00280771" w:rsidP="00C560EC">
      <w:pPr>
        <w:tabs>
          <w:tab w:val="left" w:pos="567"/>
        </w:tabs>
        <w:rPr>
          <w:bCs/>
          <w:i/>
          <w:iCs/>
          <w:sz w:val="22"/>
          <w:szCs w:val="22"/>
          <w:u w:val="single"/>
        </w:rPr>
      </w:pPr>
      <w:r w:rsidRPr="00345BCE">
        <w:rPr>
          <w:bCs/>
          <w:i/>
          <w:iCs/>
          <w:sz w:val="22"/>
          <w:szCs w:val="22"/>
          <w:u w:val="single"/>
        </w:rPr>
        <w:t>Az egyidejű alkalmazás nem ajánlott</w:t>
      </w:r>
    </w:p>
    <w:p w14:paraId="3DEAD492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74E9BA4E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</w:rPr>
      </w:pPr>
      <w:r w:rsidRPr="00345BCE">
        <w:rPr>
          <w:i/>
          <w:iCs/>
          <w:sz w:val="22"/>
          <w:szCs w:val="22"/>
        </w:rPr>
        <w:t>Lítium</w:t>
      </w:r>
    </w:p>
    <w:p w14:paraId="459D374D" w14:textId="77777777" w:rsidR="00280771" w:rsidRPr="00345BCE" w:rsidRDefault="00B61C32" w:rsidP="00C560EC">
      <w:pPr>
        <w:rPr>
          <w:sz w:val="22"/>
          <w:szCs w:val="22"/>
        </w:rPr>
      </w:pPr>
      <w:r>
        <w:rPr>
          <w:sz w:val="22"/>
          <w:szCs w:val="22"/>
        </w:rPr>
        <w:t xml:space="preserve">A lítium </w:t>
      </w:r>
      <w:r w:rsidRPr="00127DDD">
        <w:rPr>
          <w:sz w:val="22"/>
          <w:szCs w:val="22"/>
        </w:rPr>
        <w:t>angiotenzin</w:t>
      </w:r>
      <w:r w:rsidR="006E5D87">
        <w:rPr>
          <w:sz w:val="22"/>
          <w:szCs w:val="22"/>
        </w:rPr>
        <w:t>-</w:t>
      </w:r>
      <w:r w:rsidRPr="00127DDD">
        <w:rPr>
          <w:sz w:val="22"/>
          <w:szCs w:val="22"/>
        </w:rPr>
        <w:t>konvertáló</w:t>
      </w:r>
      <w:r w:rsidR="006E5D87">
        <w:rPr>
          <w:sz w:val="22"/>
          <w:szCs w:val="22"/>
        </w:rPr>
        <w:t>-</w:t>
      </w:r>
      <w:r w:rsidRPr="00127DDD">
        <w:rPr>
          <w:sz w:val="22"/>
          <w:szCs w:val="22"/>
        </w:rPr>
        <w:t>enzimgátlók</w:t>
      </w:r>
      <w:r>
        <w:rPr>
          <w:sz w:val="22"/>
          <w:szCs w:val="22"/>
        </w:rPr>
        <w:t>kal</w:t>
      </w:r>
      <w:r w:rsidRPr="00127DDD">
        <w:rPr>
          <w:sz w:val="22"/>
          <w:szCs w:val="22"/>
        </w:rPr>
        <w:t xml:space="preserve"> vagy angiotenzin</w:t>
      </w:r>
      <w:r w:rsidR="002B7DB7">
        <w:rPr>
          <w:sz w:val="22"/>
          <w:szCs w:val="22"/>
        </w:rPr>
        <w:t>-</w:t>
      </w:r>
      <w:r w:rsidRPr="00127DDD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127DDD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>
        <w:rPr>
          <w:sz w:val="22"/>
          <w:szCs w:val="22"/>
        </w:rPr>
        <w:t>antagonist</w:t>
      </w:r>
      <w:r w:rsidR="006F1986">
        <w:rPr>
          <w:sz w:val="22"/>
          <w:szCs w:val="22"/>
        </w:rPr>
        <w:t>á</w:t>
      </w:r>
      <w:r w:rsidRPr="00127DDD">
        <w:rPr>
          <w:sz w:val="22"/>
          <w:szCs w:val="22"/>
        </w:rPr>
        <w:t>k</w:t>
      </w:r>
      <w:r>
        <w:rPr>
          <w:sz w:val="22"/>
          <w:szCs w:val="22"/>
        </w:rPr>
        <w:t>kal (mint a valzartán)</w:t>
      </w:r>
      <w:r w:rsidR="0008000D" w:rsidRPr="00B61C32" w:rsidDel="00272477">
        <w:rPr>
          <w:sz w:val="22"/>
          <w:szCs w:val="22"/>
        </w:rPr>
        <w:t xml:space="preserve"> </w:t>
      </w:r>
      <w:r w:rsidR="00280771" w:rsidRPr="00345BCE">
        <w:rPr>
          <w:sz w:val="22"/>
          <w:szCs w:val="22"/>
        </w:rPr>
        <w:t xml:space="preserve">való egyidejű adása esetén a szérum lítiumszint és </w:t>
      </w:r>
      <w:r w:rsidR="00C90B55" w:rsidRPr="00345BCE">
        <w:rPr>
          <w:sz w:val="22"/>
          <w:szCs w:val="22"/>
        </w:rPr>
        <w:t>-</w:t>
      </w:r>
      <w:r w:rsidR="00280771" w:rsidRPr="00345BCE">
        <w:rPr>
          <w:sz w:val="22"/>
          <w:szCs w:val="22"/>
        </w:rPr>
        <w:t xml:space="preserve">toxicitás </w:t>
      </w:r>
      <w:r w:rsidR="00C90B55" w:rsidRPr="00345BCE">
        <w:rPr>
          <w:sz w:val="22"/>
          <w:szCs w:val="22"/>
        </w:rPr>
        <w:t xml:space="preserve">reverzibilis </w:t>
      </w:r>
      <w:r w:rsidR="00280771" w:rsidRPr="00345BCE">
        <w:rPr>
          <w:sz w:val="22"/>
          <w:szCs w:val="22"/>
        </w:rPr>
        <w:t>emelkedéséről számoltak be. Amennyiben együttadásuk szükséges, a szérum lítiumszint</w:t>
      </w:r>
      <w:r w:rsidR="00C90B55" w:rsidRPr="00345BCE">
        <w:rPr>
          <w:sz w:val="22"/>
          <w:szCs w:val="22"/>
        </w:rPr>
        <w:t>ek</w:t>
      </w:r>
      <w:r w:rsidR="00280771" w:rsidRPr="00345BCE">
        <w:rPr>
          <w:sz w:val="22"/>
          <w:szCs w:val="22"/>
        </w:rPr>
        <w:t xml:space="preserve"> gondos monitorozása ajánlott.</w:t>
      </w:r>
      <w:r w:rsidR="00805EFD">
        <w:rPr>
          <w:sz w:val="22"/>
          <w:szCs w:val="22"/>
        </w:rPr>
        <w:t xml:space="preserve"> </w:t>
      </w:r>
      <w:r w:rsidR="009E0803">
        <w:rPr>
          <w:sz w:val="22"/>
          <w:szCs w:val="22"/>
        </w:rPr>
        <w:t>Diuretikum egyidejű alkalmazása esetén</w:t>
      </w:r>
      <w:r w:rsidRPr="00B61C32">
        <w:rPr>
          <w:sz w:val="22"/>
          <w:szCs w:val="22"/>
        </w:rPr>
        <w:t xml:space="preserve"> a lítiumtoxicitás kockázata tovább n</w:t>
      </w:r>
      <w:r w:rsidR="009E0803">
        <w:rPr>
          <w:sz w:val="22"/>
          <w:szCs w:val="22"/>
        </w:rPr>
        <w:t>övekedhet</w:t>
      </w:r>
      <w:r w:rsidRPr="00B61C32">
        <w:rPr>
          <w:sz w:val="22"/>
          <w:szCs w:val="22"/>
        </w:rPr>
        <w:t>.</w:t>
      </w:r>
    </w:p>
    <w:p w14:paraId="3B5F4D47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5224817F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</w:rPr>
      </w:pPr>
      <w:r w:rsidRPr="00345BCE">
        <w:rPr>
          <w:i/>
          <w:iCs/>
          <w:sz w:val="22"/>
          <w:szCs w:val="22"/>
        </w:rPr>
        <w:t xml:space="preserve">Kálium-megtakarító diuretikumok, káliumpótlók, káliumtartalmú sópótlók és </w:t>
      </w:r>
      <w:r w:rsidR="00C90B55" w:rsidRPr="00345BCE">
        <w:rPr>
          <w:i/>
          <w:iCs/>
          <w:sz w:val="22"/>
          <w:szCs w:val="22"/>
        </w:rPr>
        <w:t xml:space="preserve">a káliumszintet növelő </w:t>
      </w:r>
      <w:r w:rsidRPr="00345BCE">
        <w:rPr>
          <w:i/>
          <w:iCs/>
          <w:sz w:val="22"/>
          <w:szCs w:val="22"/>
        </w:rPr>
        <w:t>egyéb készítmények</w:t>
      </w:r>
    </w:p>
    <w:p w14:paraId="5D88C3C5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Amennyiben szükségesnek tartják egy káliumszintet befolyásoló gyógyszer és a valzartán egyidejű alkalmazását, a plazma káliumszint monitorozása ajánlott.</w:t>
      </w:r>
    </w:p>
    <w:p w14:paraId="62CB4637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2B518A2B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  <w:u w:val="single"/>
        </w:rPr>
      </w:pPr>
      <w:r w:rsidRPr="00345BCE">
        <w:rPr>
          <w:i/>
          <w:iCs/>
          <w:sz w:val="22"/>
          <w:szCs w:val="22"/>
          <w:u w:val="single"/>
        </w:rPr>
        <w:t>Egyidejű alkalmazás esetén betartandó óvintézkedések</w:t>
      </w:r>
    </w:p>
    <w:p w14:paraId="722E5375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  <w:u w:val="single"/>
        </w:rPr>
      </w:pPr>
    </w:p>
    <w:p w14:paraId="7644A66A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</w:rPr>
      </w:pPr>
      <w:r w:rsidRPr="00345BCE">
        <w:rPr>
          <w:i/>
          <w:iCs/>
          <w:sz w:val="22"/>
          <w:szCs w:val="22"/>
        </w:rPr>
        <w:t>Nem</w:t>
      </w:r>
      <w:r w:rsidR="00D83585">
        <w:rPr>
          <w:i/>
          <w:iCs/>
          <w:sz w:val="22"/>
          <w:szCs w:val="22"/>
        </w:rPr>
        <w:t>-</w:t>
      </w:r>
      <w:r w:rsidRPr="00345BCE">
        <w:rPr>
          <w:i/>
          <w:iCs/>
          <w:sz w:val="22"/>
          <w:szCs w:val="22"/>
        </w:rPr>
        <w:t>szteroid gyulladás</w:t>
      </w:r>
      <w:r w:rsidR="00037457" w:rsidRPr="00345BCE">
        <w:rPr>
          <w:i/>
          <w:iCs/>
          <w:sz w:val="22"/>
          <w:szCs w:val="22"/>
        </w:rPr>
        <w:t>gátlók</w:t>
      </w:r>
      <w:r w:rsidRPr="00345BCE">
        <w:rPr>
          <w:i/>
          <w:iCs/>
          <w:sz w:val="22"/>
          <w:szCs w:val="22"/>
        </w:rPr>
        <w:t xml:space="preserve"> (NSAID</w:t>
      </w:r>
      <w:r w:rsidRPr="00345BCE">
        <w:rPr>
          <w:i/>
          <w:iCs/>
          <w:sz w:val="22"/>
          <w:szCs w:val="22"/>
        </w:rPr>
        <w:noBreakHyphen/>
        <w:t>ok), beleértve a COX-2</w:t>
      </w:r>
      <w:r w:rsidR="00450388">
        <w:rPr>
          <w:i/>
          <w:iCs/>
          <w:sz w:val="22"/>
          <w:szCs w:val="22"/>
        </w:rPr>
        <w:t>-</w:t>
      </w:r>
      <w:r w:rsidRPr="00345BCE">
        <w:rPr>
          <w:i/>
          <w:iCs/>
          <w:sz w:val="22"/>
          <w:szCs w:val="22"/>
        </w:rPr>
        <w:t>gátlókat, acetilszalicilsavat (&gt;</w:t>
      </w:r>
      <w:r w:rsidR="00450388">
        <w:rPr>
          <w:i/>
          <w:iCs/>
          <w:sz w:val="22"/>
          <w:szCs w:val="22"/>
        </w:rPr>
        <w:t> </w:t>
      </w:r>
      <w:r w:rsidRPr="00345BCE">
        <w:rPr>
          <w:i/>
          <w:iCs/>
          <w:sz w:val="22"/>
          <w:szCs w:val="22"/>
        </w:rPr>
        <w:t>3</w:t>
      </w:r>
      <w:r w:rsidR="00450388">
        <w:rPr>
          <w:i/>
          <w:iCs/>
          <w:sz w:val="22"/>
          <w:szCs w:val="22"/>
        </w:rPr>
        <w:t> </w:t>
      </w:r>
      <w:r w:rsidRPr="00345BCE">
        <w:rPr>
          <w:i/>
          <w:iCs/>
          <w:sz w:val="22"/>
          <w:szCs w:val="22"/>
        </w:rPr>
        <w:t>g/nap) és a nem</w:t>
      </w:r>
      <w:r w:rsidR="00450388">
        <w:rPr>
          <w:i/>
          <w:iCs/>
          <w:sz w:val="22"/>
          <w:szCs w:val="22"/>
        </w:rPr>
        <w:t>-</w:t>
      </w:r>
      <w:r w:rsidRPr="00345BCE">
        <w:rPr>
          <w:i/>
          <w:iCs/>
          <w:sz w:val="22"/>
          <w:szCs w:val="22"/>
        </w:rPr>
        <w:t>szelektív nem</w:t>
      </w:r>
      <w:r w:rsidR="00D83585">
        <w:rPr>
          <w:i/>
          <w:iCs/>
          <w:sz w:val="22"/>
          <w:szCs w:val="22"/>
        </w:rPr>
        <w:t>-</w:t>
      </w:r>
      <w:r w:rsidRPr="00345BCE">
        <w:rPr>
          <w:i/>
          <w:iCs/>
          <w:sz w:val="22"/>
          <w:szCs w:val="22"/>
        </w:rPr>
        <w:t>szteroid gyulladás</w:t>
      </w:r>
      <w:r w:rsidR="00037457" w:rsidRPr="00345BCE">
        <w:rPr>
          <w:i/>
          <w:iCs/>
          <w:sz w:val="22"/>
          <w:szCs w:val="22"/>
        </w:rPr>
        <w:t>gátlókat</w:t>
      </w:r>
    </w:p>
    <w:p w14:paraId="42B1148A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Az angiotenzin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antagonisták és nem</w:t>
      </w:r>
      <w:r w:rsidR="00D83585">
        <w:rPr>
          <w:sz w:val="22"/>
          <w:szCs w:val="22"/>
        </w:rPr>
        <w:t>-</w:t>
      </w:r>
      <w:r w:rsidRPr="00345BCE">
        <w:rPr>
          <w:sz w:val="22"/>
          <w:szCs w:val="22"/>
        </w:rPr>
        <w:t>szteroid gyulladás</w:t>
      </w:r>
      <w:r w:rsidR="00037457" w:rsidRPr="00345BCE">
        <w:rPr>
          <w:sz w:val="22"/>
          <w:szCs w:val="22"/>
        </w:rPr>
        <w:t>gátlók</w:t>
      </w:r>
      <w:r w:rsidRPr="00345BCE">
        <w:rPr>
          <w:sz w:val="22"/>
          <w:szCs w:val="22"/>
        </w:rPr>
        <w:t xml:space="preserve"> egyidejű alkalmazása az antihipertenzív hatás csökkenésével járhat. Továbbá, az angiotenzin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antagonisták és nem</w:t>
      </w:r>
      <w:r w:rsidR="006E5D87">
        <w:rPr>
          <w:sz w:val="22"/>
          <w:szCs w:val="22"/>
        </w:rPr>
        <w:t>-</w:t>
      </w:r>
      <w:r w:rsidRPr="00345BCE">
        <w:rPr>
          <w:sz w:val="22"/>
          <w:szCs w:val="22"/>
        </w:rPr>
        <w:t>szteroid gyulladás</w:t>
      </w:r>
      <w:r w:rsidR="00037457" w:rsidRPr="00345BCE">
        <w:rPr>
          <w:sz w:val="22"/>
          <w:szCs w:val="22"/>
        </w:rPr>
        <w:t>gátlók</w:t>
      </w:r>
      <w:r w:rsidRPr="00345BCE">
        <w:rPr>
          <w:sz w:val="22"/>
          <w:szCs w:val="22"/>
        </w:rPr>
        <w:t xml:space="preserve"> egyidejű alkalmazása </w:t>
      </w:r>
      <w:r w:rsidR="006A3C6E" w:rsidRPr="00345BCE">
        <w:rPr>
          <w:sz w:val="22"/>
          <w:szCs w:val="22"/>
        </w:rPr>
        <w:t>fokozhatja</w:t>
      </w:r>
      <w:r w:rsidR="00855311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a vese</w:t>
      </w:r>
      <w:r w:rsidR="006A1949">
        <w:rPr>
          <w:sz w:val="22"/>
          <w:szCs w:val="22"/>
        </w:rPr>
        <w:t>funkció rosszabodásának</w:t>
      </w:r>
      <w:r w:rsidRPr="00345BCE">
        <w:rPr>
          <w:sz w:val="22"/>
          <w:szCs w:val="22"/>
        </w:rPr>
        <w:t xml:space="preserve"> kocká</w:t>
      </w:r>
      <w:r w:rsidR="00C637F0" w:rsidRPr="00345BCE">
        <w:rPr>
          <w:sz w:val="22"/>
          <w:szCs w:val="22"/>
        </w:rPr>
        <w:t>zat</w:t>
      </w:r>
      <w:r w:rsidR="00855311" w:rsidRPr="00345BCE">
        <w:rPr>
          <w:sz w:val="22"/>
          <w:szCs w:val="22"/>
        </w:rPr>
        <w:t>át</w:t>
      </w:r>
      <w:r w:rsidR="00C637F0" w:rsidRPr="00345BCE">
        <w:rPr>
          <w:sz w:val="22"/>
          <w:szCs w:val="22"/>
        </w:rPr>
        <w:t xml:space="preserve"> és a szér</w:t>
      </w:r>
      <w:r w:rsidRPr="00345BCE">
        <w:rPr>
          <w:sz w:val="22"/>
          <w:szCs w:val="22"/>
        </w:rPr>
        <w:t xml:space="preserve">um káliumszint emelkedéséhez vezethet. Ezért a kezelés elején </w:t>
      </w:r>
      <w:r w:rsidR="00C90B55" w:rsidRPr="00345BCE">
        <w:rPr>
          <w:sz w:val="22"/>
          <w:szCs w:val="22"/>
        </w:rPr>
        <w:t xml:space="preserve">javasolt </w:t>
      </w:r>
      <w:r w:rsidRPr="00345BCE">
        <w:rPr>
          <w:sz w:val="22"/>
          <w:szCs w:val="22"/>
        </w:rPr>
        <w:t>a veseműködés</w:t>
      </w:r>
      <w:r w:rsidR="00C90B55" w:rsidRPr="00345BCE">
        <w:rPr>
          <w:sz w:val="22"/>
          <w:szCs w:val="22"/>
        </w:rPr>
        <w:t xml:space="preserve"> monitorozása</w:t>
      </w:r>
      <w:r w:rsidRPr="00345BCE">
        <w:rPr>
          <w:sz w:val="22"/>
          <w:szCs w:val="22"/>
        </w:rPr>
        <w:t>, illetve biztosítani kell a beteg megfelelő hidrálását.</w:t>
      </w:r>
    </w:p>
    <w:p w14:paraId="1E6DB87E" w14:textId="77777777" w:rsidR="00280771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724B82C0" w14:textId="77777777" w:rsidR="00806D95" w:rsidRPr="008E01EF" w:rsidRDefault="00806D95" w:rsidP="00C560EC">
      <w:pPr>
        <w:pStyle w:val="CM8"/>
        <w:spacing w:after="0"/>
        <w:rPr>
          <w:i/>
          <w:iCs/>
          <w:sz w:val="22"/>
          <w:szCs w:val="22"/>
          <w:lang w:val="hu-HU"/>
        </w:rPr>
      </w:pPr>
      <w:r w:rsidRPr="008E01EF">
        <w:rPr>
          <w:i/>
          <w:iCs/>
          <w:sz w:val="22"/>
          <w:szCs w:val="22"/>
          <w:lang w:val="hu-HU"/>
        </w:rPr>
        <w:t>Transzporterek</w:t>
      </w:r>
    </w:p>
    <w:p w14:paraId="55E3FCCE" w14:textId="77777777" w:rsidR="00806D95" w:rsidRPr="00F2257F" w:rsidRDefault="00EA3F87" w:rsidP="00C560EC">
      <w:pPr>
        <w:pStyle w:val="CM8"/>
        <w:spacing w:after="0"/>
        <w:rPr>
          <w:iCs/>
          <w:sz w:val="22"/>
          <w:szCs w:val="22"/>
          <w:lang w:val="hu-HU"/>
        </w:rPr>
      </w:pPr>
      <w:r w:rsidRPr="00C560EC">
        <w:rPr>
          <w:i/>
          <w:iCs/>
          <w:sz w:val="22"/>
          <w:szCs w:val="22"/>
          <w:lang w:val="hu-HU"/>
        </w:rPr>
        <w:t>I</w:t>
      </w:r>
      <w:r w:rsidR="00806D95" w:rsidRPr="00EA3F87">
        <w:rPr>
          <w:i/>
          <w:iCs/>
          <w:sz w:val="22"/>
          <w:szCs w:val="22"/>
          <w:lang w:val="hu-HU"/>
        </w:rPr>
        <w:t xml:space="preserve">n vitro </w:t>
      </w:r>
      <w:r>
        <w:rPr>
          <w:iCs/>
          <w:sz w:val="22"/>
          <w:szCs w:val="22"/>
          <w:lang w:val="hu-HU"/>
        </w:rPr>
        <w:t>adatok</w:t>
      </w:r>
      <w:r w:rsidR="00806D95" w:rsidRPr="00EA3F87">
        <w:rPr>
          <w:iCs/>
          <w:sz w:val="22"/>
          <w:szCs w:val="22"/>
          <w:lang w:val="hu-HU"/>
        </w:rPr>
        <w:t xml:space="preserve"> </w:t>
      </w:r>
      <w:r>
        <w:rPr>
          <w:iCs/>
          <w:sz w:val="22"/>
          <w:szCs w:val="22"/>
          <w:lang w:val="hu-HU"/>
        </w:rPr>
        <w:t>arra utalnak, hogy</w:t>
      </w:r>
      <w:r w:rsidR="00806D95" w:rsidRPr="00EA3F87">
        <w:rPr>
          <w:iCs/>
          <w:sz w:val="22"/>
          <w:szCs w:val="22"/>
          <w:lang w:val="hu-HU"/>
        </w:rPr>
        <w:t xml:space="preserve"> a valzartán az </w:t>
      </w:r>
      <w:r w:rsidR="00806D95" w:rsidRPr="00EA3F87">
        <w:rPr>
          <w:sz w:val="22"/>
          <w:szCs w:val="22"/>
          <w:lang w:val="hu-HU"/>
        </w:rPr>
        <w:t>OATP1B</w:t>
      </w:r>
      <w:r w:rsidR="00EA386A">
        <w:rPr>
          <w:sz w:val="22"/>
          <w:szCs w:val="22"/>
          <w:lang w:val="hu-HU"/>
        </w:rPr>
        <w:t> 1/</w:t>
      </w:r>
      <w:r w:rsidR="008E01EF" w:rsidRPr="00EA3F87">
        <w:rPr>
          <w:sz w:val="22"/>
          <w:szCs w:val="22"/>
          <w:lang w:val="hu-HU"/>
        </w:rPr>
        <w:t>OATP1B3</w:t>
      </w:r>
      <w:r w:rsidR="00806D95" w:rsidRPr="00EA3F87">
        <w:rPr>
          <w:sz w:val="22"/>
          <w:szCs w:val="22"/>
          <w:lang w:val="hu-HU"/>
        </w:rPr>
        <w:t xml:space="preserve"> </w:t>
      </w:r>
      <w:r w:rsidR="00806D95" w:rsidRPr="00EA3F87">
        <w:rPr>
          <w:iCs/>
          <w:sz w:val="22"/>
          <w:szCs w:val="22"/>
          <w:lang w:val="hu-HU"/>
        </w:rPr>
        <w:t>hepatikus uptake transzporter</w:t>
      </w:r>
      <w:r w:rsidR="008E01EF" w:rsidRPr="00EA3F87">
        <w:rPr>
          <w:iCs/>
          <w:sz w:val="22"/>
          <w:szCs w:val="22"/>
          <w:lang w:val="hu-HU"/>
        </w:rPr>
        <w:t xml:space="preserve"> </w:t>
      </w:r>
      <w:r w:rsidR="00806D95" w:rsidRPr="00C96562">
        <w:rPr>
          <w:sz w:val="22"/>
          <w:szCs w:val="22"/>
          <w:lang w:val="hu-HU"/>
        </w:rPr>
        <w:t>és az MRP2 hepatikus efflux transzporter</w:t>
      </w:r>
      <w:r w:rsidR="00806D95" w:rsidRPr="008E01EF">
        <w:rPr>
          <w:sz w:val="22"/>
          <w:szCs w:val="22"/>
          <w:lang w:val="hu-HU"/>
        </w:rPr>
        <w:t xml:space="preserve"> </w:t>
      </w:r>
      <w:r w:rsidR="00806D95" w:rsidRPr="008E01EF">
        <w:rPr>
          <w:iCs/>
          <w:sz w:val="22"/>
          <w:szCs w:val="22"/>
          <w:lang w:val="hu-HU"/>
        </w:rPr>
        <w:t>szubsztrátja</w:t>
      </w:r>
      <w:r w:rsidR="00806D95" w:rsidRPr="008E01EF">
        <w:rPr>
          <w:sz w:val="22"/>
          <w:szCs w:val="22"/>
          <w:lang w:val="hu-HU"/>
        </w:rPr>
        <w:t xml:space="preserve">. </w:t>
      </w:r>
      <w:r w:rsidR="008E01EF" w:rsidRPr="008E01EF">
        <w:rPr>
          <w:sz w:val="22"/>
          <w:szCs w:val="22"/>
          <w:lang w:val="hu-HU"/>
        </w:rPr>
        <w:t>N</w:t>
      </w:r>
      <w:r w:rsidR="00F2257F">
        <w:rPr>
          <w:sz w:val="22"/>
          <w:szCs w:val="22"/>
          <w:lang w:val="hu-HU"/>
        </w:rPr>
        <w:t>em ismeretes, hogy ennek</w:t>
      </w:r>
      <w:r w:rsidR="008E01EF" w:rsidRPr="00F2257F">
        <w:rPr>
          <w:sz w:val="22"/>
          <w:szCs w:val="22"/>
          <w:lang w:val="hu-HU"/>
        </w:rPr>
        <w:t xml:space="preserve"> a felismerés</w:t>
      </w:r>
      <w:r w:rsidR="00F2257F">
        <w:rPr>
          <w:sz w:val="22"/>
          <w:szCs w:val="22"/>
          <w:lang w:val="hu-HU"/>
        </w:rPr>
        <w:t>nek van-e</w:t>
      </w:r>
      <w:r w:rsidR="008E01EF" w:rsidRPr="00F2257F">
        <w:rPr>
          <w:sz w:val="22"/>
          <w:szCs w:val="22"/>
          <w:lang w:val="hu-HU"/>
        </w:rPr>
        <w:t xml:space="preserve"> </w:t>
      </w:r>
      <w:r w:rsidR="00F2257F">
        <w:rPr>
          <w:sz w:val="22"/>
          <w:szCs w:val="22"/>
          <w:lang w:val="hu-HU"/>
        </w:rPr>
        <w:t>bármiféle</w:t>
      </w:r>
      <w:r w:rsidR="008E01EF" w:rsidRPr="00F2257F">
        <w:rPr>
          <w:sz w:val="22"/>
          <w:szCs w:val="22"/>
          <w:lang w:val="hu-HU"/>
        </w:rPr>
        <w:t xml:space="preserve"> klinikai</w:t>
      </w:r>
      <w:r w:rsidR="00F2257F">
        <w:rPr>
          <w:sz w:val="22"/>
          <w:szCs w:val="22"/>
          <w:lang w:val="hu-HU"/>
        </w:rPr>
        <w:t xml:space="preserve"> relevanciája</w:t>
      </w:r>
      <w:r w:rsidR="008E01EF" w:rsidRPr="00F2257F">
        <w:rPr>
          <w:sz w:val="22"/>
          <w:szCs w:val="22"/>
          <w:lang w:val="hu-HU"/>
        </w:rPr>
        <w:t>.</w:t>
      </w:r>
    </w:p>
    <w:p w14:paraId="26664AD2" w14:textId="77777777" w:rsidR="00806D95" w:rsidRPr="008E01EF" w:rsidRDefault="00806D95" w:rsidP="00C560EC">
      <w:pPr>
        <w:rPr>
          <w:sz w:val="22"/>
          <w:szCs w:val="22"/>
        </w:rPr>
      </w:pPr>
      <w:r w:rsidRPr="008E01EF">
        <w:rPr>
          <w:sz w:val="22"/>
          <w:szCs w:val="22"/>
          <w:lang w:eastAsia="en-GB"/>
        </w:rPr>
        <w:t xml:space="preserve">Az uptake transzporter </w:t>
      </w:r>
      <w:r w:rsidR="000122BA" w:rsidRPr="008E01EF">
        <w:rPr>
          <w:sz w:val="22"/>
          <w:szCs w:val="22"/>
          <w:lang w:eastAsia="en-GB"/>
        </w:rPr>
        <w:t xml:space="preserve">inhibitorainak </w:t>
      </w:r>
      <w:r w:rsidRPr="008E01EF">
        <w:rPr>
          <w:sz w:val="22"/>
          <w:szCs w:val="22"/>
          <w:lang w:eastAsia="en-GB"/>
        </w:rPr>
        <w:t>(</w:t>
      </w:r>
      <w:r w:rsidR="008E01EF">
        <w:rPr>
          <w:sz w:val="22"/>
          <w:szCs w:val="22"/>
          <w:lang w:eastAsia="en-GB"/>
        </w:rPr>
        <w:t xml:space="preserve">pl. </w:t>
      </w:r>
      <w:r w:rsidRPr="008E01EF">
        <w:rPr>
          <w:sz w:val="22"/>
          <w:szCs w:val="22"/>
        </w:rPr>
        <w:t>rifampi</w:t>
      </w:r>
      <w:r w:rsidR="006F0053" w:rsidRPr="008E01EF">
        <w:rPr>
          <w:sz w:val="22"/>
          <w:szCs w:val="22"/>
        </w:rPr>
        <w:t>ci</w:t>
      </w:r>
      <w:r w:rsidRPr="008E01EF">
        <w:rPr>
          <w:sz w:val="22"/>
          <w:szCs w:val="22"/>
        </w:rPr>
        <w:t xml:space="preserve">n, ciclosporin) vagy az efflux transzporter </w:t>
      </w:r>
      <w:r w:rsidR="000122BA" w:rsidRPr="008E01EF">
        <w:rPr>
          <w:sz w:val="22"/>
          <w:szCs w:val="22"/>
          <w:lang w:eastAsia="en-GB"/>
        </w:rPr>
        <w:t>inhibitorainak</w:t>
      </w:r>
      <w:r w:rsidR="000122BA" w:rsidRPr="008E01EF">
        <w:rPr>
          <w:sz w:val="22"/>
          <w:szCs w:val="22"/>
        </w:rPr>
        <w:t xml:space="preserve"> </w:t>
      </w:r>
      <w:r w:rsidRPr="008E01EF">
        <w:rPr>
          <w:sz w:val="22"/>
          <w:szCs w:val="22"/>
        </w:rPr>
        <w:t>(</w:t>
      </w:r>
      <w:r w:rsidR="008E01EF">
        <w:rPr>
          <w:sz w:val="22"/>
          <w:szCs w:val="22"/>
        </w:rPr>
        <w:t xml:space="preserve">pl. </w:t>
      </w:r>
      <w:r w:rsidRPr="008E01EF">
        <w:rPr>
          <w:sz w:val="22"/>
          <w:szCs w:val="22"/>
        </w:rPr>
        <w:t>ritonavir) együttes alkalmazása növelheti a valzartán szisztémás expozícióját</w:t>
      </w:r>
      <w:r w:rsidR="008E01EF">
        <w:rPr>
          <w:sz w:val="22"/>
          <w:szCs w:val="22"/>
        </w:rPr>
        <w:t xml:space="preserve">: megfelelő gondossággal kell eljárni, ha </w:t>
      </w:r>
      <w:r w:rsidR="00F2257F">
        <w:rPr>
          <w:sz w:val="22"/>
          <w:szCs w:val="22"/>
        </w:rPr>
        <w:t xml:space="preserve">a </w:t>
      </w:r>
      <w:r w:rsidR="008E01EF">
        <w:rPr>
          <w:sz w:val="22"/>
          <w:szCs w:val="22"/>
        </w:rPr>
        <w:t xml:space="preserve">valzartán </w:t>
      </w:r>
      <w:r w:rsidR="00F2257F">
        <w:rPr>
          <w:sz w:val="22"/>
          <w:szCs w:val="22"/>
        </w:rPr>
        <w:t xml:space="preserve">alkalmazása </w:t>
      </w:r>
      <w:r w:rsidR="008E01EF">
        <w:rPr>
          <w:sz w:val="22"/>
          <w:szCs w:val="22"/>
        </w:rPr>
        <w:t xml:space="preserve">mellett </w:t>
      </w:r>
      <w:r w:rsidR="00F2257F">
        <w:rPr>
          <w:sz w:val="22"/>
          <w:szCs w:val="22"/>
        </w:rPr>
        <w:t xml:space="preserve">egyidejűleg </w:t>
      </w:r>
      <w:r w:rsidR="008E01EF">
        <w:rPr>
          <w:sz w:val="22"/>
          <w:szCs w:val="22"/>
        </w:rPr>
        <w:t xml:space="preserve">ilyen gyógyszerrel indítanak vagy </w:t>
      </w:r>
      <w:r w:rsidR="00F2257F">
        <w:rPr>
          <w:sz w:val="22"/>
          <w:szCs w:val="22"/>
        </w:rPr>
        <w:t>állítanak le kezelést.</w:t>
      </w:r>
    </w:p>
    <w:p w14:paraId="3D5127EA" w14:textId="77777777" w:rsidR="00431A09" w:rsidRPr="00806D95" w:rsidRDefault="00431A09" w:rsidP="00C560EC">
      <w:pPr>
        <w:tabs>
          <w:tab w:val="left" w:pos="567"/>
        </w:tabs>
        <w:rPr>
          <w:sz w:val="22"/>
          <w:szCs w:val="22"/>
        </w:rPr>
      </w:pPr>
    </w:p>
    <w:p w14:paraId="6D751CBD" w14:textId="77777777" w:rsidR="00280771" w:rsidRPr="00345BCE" w:rsidRDefault="00280771" w:rsidP="00C560EC">
      <w:pPr>
        <w:tabs>
          <w:tab w:val="left" w:pos="567"/>
        </w:tabs>
        <w:rPr>
          <w:i/>
          <w:iCs/>
          <w:sz w:val="22"/>
          <w:szCs w:val="22"/>
        </w:rPr>
      </w:pPr>
      <w:r w:rsidRPr="00345BCE">
        <w:rPr>
          <w:i/>
          <w:iCs/>
          <w:sz w:val="22"/>
          <w:szCs w:val="22"/>
        </w:rPr>
        <w:t>Egyéb készítmények</w:t>
      </w:r>
    </w:p>
    <w:p w14:paraId="40DC6B9B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Valzartánnal végzett gyógyszerkölcsönhatási vizsgálatokban nem észleltek klinikailag jelentős gyógyszerkölcsönhatásokat a valzartán és a következő vegyületek egyike között</w:t>
      </w:r>
      <w:r w:rsidR="009E3669" w:rsidRPr="00345BCE">
        <w:rPr>
          <w:sz w:val="22"/>
          <w:szCs w:val="22"/>
        </w:rPr>
        <w:t xml:space="preserve"> sem</w:t>
      </w:r>
      <w:r w:rsidRPr="00345BCE">
        <w:rPr>
          <w:sz w:val="22"/>
          <w:szCs w:val="22"/>
        </w:rPr>
        <w:t>: cimetidin, warfarin, furoszemid, digoxin, atenolol, indometacin, hidroklorotiazid, amlodipin, glibenklamid.</w:t>
      </w:r>
    </w:p>
    <w:p w14:paraId="6318F757" w14:textId="77777777" w:rsidR="004650A7" w:rsidRPr="00345BCE" w:rsidRDefault="004650A7" w:rsidP="00C560EC">
      <w:pPr>
        <w:tabs>
          <w:tab w:val="left" w:pos="567"/>
        </w:tabs>
        <w:rPr>
          <w:sz w:val="22"/>
          <w:szCs w:val="22"/>
        </w:rPr>
      </w:pPr>
    </w:p>
    <w:p w14:paraId="4FD5C33C" w14:textId="77777777" w:rsidR="00D23111" w:rsidRPr="00C560EC" w:rsidRDefault="00D23111" w:rsidP="00C560EC">
      <w:pPr>
        <w:rPr>
          <w:i/>
          <w:iCs/>
          <w:sz w:val="22"/>
          <w:szCs w:val="22"/>
          <w:u w:val="single"/>
        </w:rPr>
      </w:pPr>
      <w:r w:rsidRPr="00B0458C">
        <w:rPr>
          <w:i/>
          <w:iCs/>
          <w:sz w:val="22"/>
          <w:szCs w:val="22"/>
          <w:u w:val="single"/>
        </w:rPr>
        <w:t>Gyermek</w:t>
      </w:r>
      <w:r w:rsidR="0051702A" w:rsidRPr="00C560EC">
        <w:rPr>
          <w:i/>
          <w:iCs/>
          <w:sz w:val="22"/>
          <w:szCs w:val="22"/>
          <w:u w:val="single"/>
        </w:rPr>
        <w:t>ek</w:t>
      </w:r>
      <w:r w:rsidR="00444AF6" w:rsidRPr="00C560EC">
        <w:rPr>
          <w:i/>
          <w:iCs/>
          <w:sz w:val="22"/>
          <w:szCs w:val="22"/>
          <w:u w:val="single"/>
        </w:rPr>
        <w:t xml:space="preserve"> és serdülők</w:t>
      </w:r>
    </w:p>
    <w:p w14:paraId="56AFAD96" w14:textId="77777777" w:rsidR="00D23111" w:rsidRPr="00345BCE" w:rsidRDefault="002321C3" w:rsidP="00C560EC">
      <w:pPr>
        <w:rPr>
          <w:color w:val="000000"/>
          <w:sz w:val="22"/>
          <w:szCs w:val="22"/>
          <w:lang w:bidi="th-TH"/>
        </w:rPr>
      </w:pPr>
      <w:r w:rsidRPr="00C560EC">
        <w:rPr>
          <w:color w:val="000000"/>
          <w:sz w:val="22"/>
          <w:szCs w:val="22"/>
          <w:lang w:bidi="th-TH"/>
        </w:rPr>
        <w:t>Hypertoni</w:t>
      </w:r>
      <w:r w:rsidR="000122BA" w:rsidRPr="00C560EC">
        <w:rPr>
          <w:color w:val="000000"/>
          <w:sz w:val="22"/>
          <w:szCs w:val="22"/>
          <w:lang w:bidi="th-TH"/>
        </w:rPr>
        <w:t>á</w:t>
      </w:r>
      <w:r w:rsidR="003F66A1" w:rsidRPr="00C560EC">
        <w:rPr>
          <w:color w:val="000000"/>
          <w:sz w:val="22"/>
          <w:szCs w:val="22"/>
          <w:lang w:bidi="th-TH"/>
        </w:rPr>
        <w:t>s</w:t>
      </w:r>
      <w:r w:rsidR="00D23111" w:rsidRPr="00C560EC">
        <w:rPr>
          <w:color w:val="000000"/>
          <w:sz w:val="22"/>
          <w:szCs w:val="22"/>
          <w:lang w:bidi="th-TH"/>
        </w:rPr>
        <w:t xml:space="preserve"> gyermekeknél és serdülőknél, akiknél a vesebetegség gyakori alapbetegség, a valzartán egyéb, olyan hatóanyagokkal való együttes alkalmazásakor, amelyek gátolják a renin</w:t>
      </w:r>
      <w:r w:rsidR="00D23111" w:rsidRPr="00C560EC">
        <w:rPr>
          <w:color w:val="000000"/>
          <w:sz w:val="22"/>
          <w:szCs w:val="22"/>
          <w:lang w:bidi="th-TH"/>
        </w:rPr>
        <w:noBreakHyphen/>
        <w:t>angiotenzin</w:t>
      </w:r>
      <w:r w:rsidR="00D23111" w:rsidRPr="00C560EC">
        <w:rPr>
          <w:color w:val="000000"/>
          <w:sz w:val="22"/>
          <w:szCs w:val="22"/>
          <w:lang w:bidi="th-TH"/>
        </w:rPr>
        <w:noBreakHyphen/>
        <w:t>aldoszteron rendszert,</w:t>
      </w:r>
      <w:r w:rsidR="000122BA" w:rsidRPr="00C560EC">
        <w:rPr>
          <w:color w:val="000000"/>
          <w:sz w:val="22"/>
          <w:szCs w:val="22"/>
          <w:lang w:bidi="th-TH"/>
        </w:rPr>
        <w:t xml:space="preserve"> és</w:t>
      </w:r>
      <w:r w:rsidR="00A652F2" w:rsidRPr="00C560EC">
        <w:rPr>
          <w:color w:val="000000"/>
          <w:sz w:val="22"/>
          <w:szCs w:val="22"/>
          <w:lang w:bidi="th-TH"/>
        </w:rPr>
        <w:t xml:space="preserve"> ez</w:t>
      </w:r>
      <w:r w:rsidR="00D23111" w:rsidRPr="00345BCE">
        <w:rPr>
          <w:color w:val="000000"/>
          <w:sz w:val="22"/>
          <w:szCs w:val="22"/>
          <w:lang w:bidi="th-TH"/>
        </w:rPr>
        <w:t xml:space="preserve"> emelheti a szérumkáliumszintet, elővigyázatosság javasolt. </w:t>
      </w:r>
      <w:r w:rsidR="00D23111" w:rsidRPr="002D680A">
        <w:rPr>
          <w:color w:val="000000"/>
          <w:sz w:val="22"/>
          <w:szCs w:val="22"/>
          <w:lang w:bidi="th-TH"/>
        </w:rPr>
        <w:t>A vesefunkciót és a szérum káliumszintet szorosan ellenőrizni kell.</w:t>
      </w:r>
    </w:p>
    <w:p w14:paraId="2CA336B3" w14:textId="77777777" w:rsidR="00D23111" w:rsidRPr="00345BCE" w:rsidRDefault="00D23111" w:rsidP="00C560EC">
      <w:pPr>
        <w:tabs>
          <w:tab w:val="left" w:pos="567"/>
        </w:tabs>
        <w:rPr>
          <w:sz w:val="22"/>
          <w:szCs w:val="22"/>
        </w:rPr>
      </w:pPr>
    </w:p>
    <w:p w14:paraId="0C763763" w14:textId="77777777" w:rsidR="00270DDA" w:rsidRPr="00345BCE" w:rsidRDefault="000A7E88" w:rsidP="00C560EC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4.6</w:t>
      </w:r>
      <w:r w:rsidRPr="00345BCE">
        <w:rPr>
          <w:b/>
          <w:sz w:val="22"/>
          <w:szCs w:val="22"/>
        </w:rPr>
        <w:tab/>
      </w:r>
      <w:r w:rsidR="00270DDA" w:rsidRPr="00345BCE">
        <w:rPr>
          <w:b/>
          <w:sz w:val="22"/>
          <w:szCs w:val="22"/>
        </w:rPr>
        <w:t>Termékenység, terhesség és szoptatás</w:t>
      </w:r>
    </w:p>
    <w:p w14:paraId="2E3799F2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2619AF9C" w14:textId="77777777" w:rsidR="000A7E88" w:rsidRPr="00345BCE" w:rsidRDefault="000A7E88" w:rsidP="00C560EC">
      <w:pPr>
        <w:tabs>
          <w:tab w:val="left" w:pos="567"/>
        </w:tabs>
        <w:rPr>
          <w:i/>
          <w:sz w:val="22"/>
          <w:szCs w:val="22"/>
          <w:u w:val="single"/>
        </w:rPr>
      </w:pPr>
      <w:r w:rsidRPr="00345BCE">
        <w:rPr>
          <w:i/>
          <w:sz w:val="22"/>
          <w:szCs w:val="22"/>
          <w:u w:val="single"/>
        </w:rPr>
        <w:t>Terhesség</w:t>
      </w:r>
    </w:p>
    <w:p w14:paraId="4272AD38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446C0400" w14:textId="77777777" w:rsidR="00280771" w:rsidRPr="00345BCE" w:rsidRDefault="00280771" w:rsidP="00C560EC">
      <w:pPr>
        <w:pBdr>
          <w:top w:val="single" w:sz="4" w:space="1" w:color="auto"/>
          <w:left w:val="single" w:sz="4" w:space="4" w:color="auto"/>
          <w:bottom w:val="single" w:sz="4" w:space="4" w:color="auto"/>
          <w:right w:val="single" w:sz="4" w:space="4" w:color="auto"/>
        </w:pBd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Az angiotenzin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receptor</w:t>
      </w:r>
      <w:r w:rsidR="00614020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antagonisták (AIIRA) alkalmazása nem javasolt a terhesség első trimeszterében (lásd 4.4 pont). Az AIIRA alkalmazása ellenjavallt a terhesség második és harmadik </w:t>
      </w:r>
      <w:r w:rsidRPr="00345BCE">
        <w:rPr>
          <w:sz w:val="22"/>
          <w:szCs w:val="22"/>
        </w:rPr>
        <w:lastRenderedPageBreak/>
        <w:t>trimeszterében (lásd 4.3</w:t>
      </w:r>
      <w:r w:rsidR="00EA240F">
        <w:rPr>
          <w:sz w:val="22"/>
          <w:szCs w:val="22"/>
        </w:rPr>
        <w:t> </w:t>
      </w:r>
      <w:r w:rsidRPr="00345BCE">
        <w:rPr>
          <w:sz w:val="22"/>
          <w:szCs w:val="22"/>
        </w:rPr>
        <w:t xml:space="preserve">és 4.4 pont). </w:t>
      </w:r>
    </w:p>
    <w:p w14:paraId="7EE258DA" w14:textId="77777777" w:rsidR="00280771" w:rsidRPr="00345BCE" w:rsidRDefault="00280771" w:rsidP="00C560EC">
      <w:pPr>
        <w:tabs>
          <w:tab w:val="left" w:pos="567"/>
        </w:tabs>
        <w:rPr>
          <w:sz w:val="22"/>
          <w:szCs w:val="22"/>
        </w:rPr>
      </w:pPr>
    </w:p>
    <w:p w14:paraId="4C778FC4" w14:textId="77777777" w:rsidR="00C03530" w:rsidRPr="00345BCE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terhesség első trimeszterében alkalmazott ACE-gátlókkal történő kezelést követően fellépő teratogenitás kockázatával kapcsolatos epidemiológiai bizonyítékok nem meggyőzőek. Ennek ellenére, a kockázat enyhe növekedése ne</w:t>
      </w:r>
      <w:r w:rsidR="00C637F0" w:rsidRPr="00345BCE">
        <w:rPr>
          <w:sz w:val="22"/>
          <w:szCs w:val="22"/>
        </w:rPr>
        <w:t>m zárható ki. Jóllehet az AIIRA</w:t>
      </w:r>
      <w:r w:rsidR="00C82975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kezelés kockázatára vonatkozó kontroll</w:t>
      </w:r>
      <w:r w:rsidR="005211FA">
        <w:rPr>
          <w:sz w:val="22"/>
          <w:szCs w:val="22"/>
        </w:rPr>
        <w:t>os</w:t>
      </w:r>
      <w:r w:rsidRPr="00345BCE">
        <w:rPr>
          <w:sz w:val="22"/>
          <w:szCs w:val="22"/>
        </w:rPr>
        <w:t xml:space="preserve"> epidemiológiai adatok nem állnak rendelkezésre, az említett gyógyszercsoport esetében hasonló kockázat állhat fenn. Hacsak az AIIRA</w:t>
      </w:r>
      <w:r w:rsidR="00EA240F">
        <w:rPr>
          <w:sz w:val="22"/>
          <w:szCs w:val="22"/>
        </w:rPr>
        <w:t>-</w:t>
      </w:r>
      <w:r w:rsidRPr="00345BCE">
        <w:rPr>
          <w:sz w:val="22"/>
          <w:szCs w:val="22"/>
        </w:rPr>
        <w:t>kezelés folytatása nem létfontosságú, a</w:t>
      </w:r>
      <w:r w:rsidR="00C82975" w:rsidRPr="00345BCE">
        <w:rPr>
          <w:sz w:val="22"/>
          <w:szCs w:val="22"/>
        </w:rPr>
        <w:t xml:space="preserve"> terhességet</w:t>
      </w:r>
      <w:r w:rsidRPr="00345BCE">
        <w:rPr>
          <w:sz w:val="22"/>
          <w:szCs w:val="22"/>
        </w:rPr>
        <w:t xml:space="preserve"> tervez</w:t>
      </w:r>
      <w:r w:rsidR="00C82975" w:rsidRPr="00345BCE">
        <w:rPr>
          <w:sz w:val="22"/>
          <w:szCs w:val="22"/>
        </w:rPr>
        <w:t>ő betegeknél</w:t>
      </w:r>
      <w:r w:rsidRPr="00345BCE">
        <w:rPr>
          <w:sz w:val="22"/>
          <w:szCs w:val="22"/>
        </w:rPr>
        <w:t xml:space="preserve"> olyan alternatív vérnyomáscsökkentő kezelésre kell váltani, amely biztonságosan alkalmazható terhesség ideje alatt. Terhesség megállapítása esetén az AIIRA</w:t>
      </w:r>
      <w:r w:rsidR="00EA240F">
        <w:rPr>
          <w:sz w:val="22"/>
          <w:szCs w:val="22"/>
        </w:rPr>
        <w:t>-</w:t>
      </w:r>
      <w:r w:rsidRPr="00345BCE">
        <w:rPr>
          <w:sz w:val="22"/>
          <w:szCs w:val="22"/>
        </w:rPr>
        <w:t>kezelést azonnal meg kell szakítani és – szükség esetén – alternatív kezelést kell kezdeni.</w:t>
      </w:r>
    </w:p>
    <w:p w14:paraId="21D333B0" w14:textId="77777777" w:rsidR="00C03530" w:rsidRPr="00D23D88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Az AIIRA</w:t>
      </w:r>
      <w:r w:rsidR="00EA240F">
        <w:rPr>
          <w:sz w:val="22"/>
          <w:szCs w:val="22"/>
        </w:rPr>
        <w:t>-</w:t>
      </w:r>
      <w:r w:rsidRPr="00D91645">
        <w:rPr>
          <w:sz w:val="22"/>
          <w:szCs w:val="22"/>
        </w:rPr>
        <w:t xml:space="preserve">kezelésnek a terhesség II. és III. trimeszterében történő alkalmazásával kapcsolatban ismert, hogy magzatkárosító hatást (csökkent veseműködés, </w:t>
      </w:r>
      <w:r w:rsidRPr="00706E72">
        <w:rPr>
          <w:sz w:val="22"/>
          <w:szCs w:val="22"/>
        </w:rPr>
        <w:t xml:space="preserve">oligohydramnion, a koponyacsontosodás megkésése) és újszülöttkori toxicitást (veseelégtelenség, </w:t>
      </w:r>
      <w:r w:rsidR="002321C3">
        <w:rPr>
          <w:sz w:val="22"/>
          <w:szCs w:val="22"/>
        </w:rPr>
        <w:t>hypotonia</w:t>
      </w:r>
      <w:r w:rsidRPr="00706E72">
        <w:rPr>
          <w:sz w:val="22"/>
          <w:szCs w:val="22"/>
        </w:rPr>
        <w:t xml:space="preserve">, </w:t>
      </w:r>
      <w:r w:rsidR="003416C4" w:rsidRPr="00D23D88">
        <w:rPr>
          <w:sz w:val="22"/>
          <w:szCs w:val="22"/>
        </w:rPr>
        <w:t>h</w:t>
      </w:r>
      <w:r w:rsidR="00F9007A">
        <w:rPr>
          <w:sz w:val="22"/>
          <w:szCs w:val="22"/>
        </w:rPr>
        <w:t>y</w:t>
      </w:r>
      <w:r w:rsidR="003416C4" w:rsidRPr="00D23D88">
        <w:rPr>
          <w:sz w:val="22"/>
          <w:szCs w:val="22"/>
        </w:rPr>
        <w:t>perkal</w:t>
      </w:r>
      <w:r w:rsidR="00F9007A">
        <w:rPr>
          <w:sz w:val="22"/>
          <w:szCs w:val="22"/>
        </w:rPr>
        <w:t>ae</w:t>
      </w:r>
      <w:r w:rsidR="003416C4" w:rsidRPr="00D23D88">
        <w:rPr>
          <w:sz w:val="22"/>
          <w:szCs w:val="22"/>
        </w:rPr>
        <w:t>mia</w:t>
      </w:r>
      <w:r w:rsidRPr="00D23D88">
        <w:rPr>
          <w:sz w:val="22"/>
          <w:szCs w:val="22"/>
        </w:rPr>
        <w:t>) fejt ki; lásd továbbá az 5.3 „Preklinikai biztonságossági adatok” pontot.</w:t>
      </w:r>
    </w:p>
    <w:p w14:paraId="3E72A67A" w14:textId="77777777" w:rsidR="00C03530" w:rsidRPr="00345BCE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Amennyiben az AIIRA hatása a terhesség második trimeszterében lépett fel, a veseműködés és a koponyacsont ultrahangos vizsgálata ajánlott.</w:t>
      </w:r>
    </w:p>
    <w:p w14:paraId="4F69715C" w14:textId="77777777" w:rsidR="00C03530" w:rsidRPr="00345BCE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Azok</w:t>
      </w:r>
      <w:r w:rsidR="00C82975" w:rsidRPr="00345BCE">
        <w:rPr>
          <w:sz w:val="22"/>
          <w:szCs w:val="22"/>
        </w:rPr>
        <w:t>at</w:t>
      </w:r>
      <w:r w:rsidRPr="00345BCE">
        <w:rPr>
          <w:sz w:val="22"/>
          <w:szCs w:val="22"/>
        </w:rPr>
        <w:t xml:space="preserve"> az újszülöttek</w:t>
      </w:r>
      <w:r w:rsidR="00C82975" w:rsidRPr="00345BCE">
        <w:rPr>
          <w:sz w:val="22"/>
          <w:szCs w:val="22"/>
        </w:rPr>
        <w:t>et</w:t>
      </w:r>
      <w:r w:rsidRPr="00345BCE">
        <w:rPr>
          <w:sz w:val="22"/>
          <w:szCs w:val="22"/>
        </w:rPr>
        <w:t xml:space="preserve">, akiknek </w:t>
      </w:r>
      <w:r w:rsidR="00C32FB8">
        <w:rPr>
          <w:sz w:val="22"/>
          <w:szCs w:val="22"/>
        </w:rPr>
        <w:t xml:space="preserve">az </w:t>
      </w:r>
      <w:r w:rsidRPr="00345BCE">
        <w:rPr>
          <w:sz w:val="22"/>
          <w:szCs w:val="22"/>
        </w:rPr>
        <w:t xml:space="preserve">anyja AIIRA-t szedett, szorosan kell </w:t>
      </w:r>
      <w:r w:rsidR="00C82975" w:rsidRPr="00345BCE">
        <w:rPr>
          <w:sz w:val="22"/>
          <w:szCs w:val="22"/>
        </w:rPr>
        <w:t xml:space="preserve">monitorozni </w:t>
      </w:r>
      <w:r w:rsidRPr="00345BCE">
        <w:rPr>
          <w:sz w:val="22"/>
          <w:szCs w:val="22"/>
        </w:rPr>
        <w:t>h</w:t>
      </w:r>
      <w:r w:rsidR="00F9007A">
        <w:rPr>
          <w:sz w:val="22"/>
          <w:szCs w:val="22"/>
        </w:rPr>
        <w:t>y</w:t>
      </w:r>
      <w:r w:rsidRPr="00345BCE">
        <w:rPr>
          <w:sz w:val="22"/>
          <w:szCs w:val="22"/>
        </w:rPr>
        <w:t>pot</w:t>
      </w:r>
      <w:r w:rsidR="00F9007A">
        <w:rPr>
          <w:sz w:val="22"/>
          <w:szCs w:val="22"/>
        </w:rPr>
        <w:t>o</w:t>
      </w:r>
      <w:r w:rsidRPr="00345BCE">
        <w:rPr>
          <w:sz w:val="22"/>
          <w:szCs w:val="22"/>
        </w:rPr>
        <w:t xml:space="preserve">nia </w:t>
      </w:r>
      <w:r w:rsidR="00C82975" w:rsidRPr="00345BCE">
        <w:rPr>
          <w:sz w:val="22"/>
          <w:szCs w:val="22"/>
        </w:rPr>
        <w:t xml:space="preserve">irányában </w:t>
      </w:r>
      <w:r w:rsidRPr="00345BCE">
        <w:rPr>
          <w:sz w:val="22"/>
          <w:szCs w:val="22"/>
        </w:rPr>
        <w:t>(lásd 4.3 és 4.4 pont).</w:t>
      </w:r>
    </w:p>
    <w:p w14:paraId="1B2EA480" w14:textId="77777777" w:rsidR="000A7E88" w:rsidRPr="00345BCE" w:rsidRDefault="000A7E88" w:rsidP="00C560EC">
      <w:pPr>
        <w:tabs>
          <w:tab w:val="left" w:pos="567"/>
        </w:tabs>
        <w:rPr>
          <w:i/>
          <w:sz w:val="22"/>
          <w:szCs w:val="22"/>
        </w:rPr>
      </w:pPr>
    </w:p>
    <w:p w14:paraId="67698050" w14:textId="77777777" w:rsidR="000A7E88" w:rsidRPr="00345BCE" w:rsidRDefault="000A7E88" w:rsidP="00C560EC">
      <w:pPr>
        <w:tabs>
          <w:tab w:val="left" w:pos="567"/>
        </w:tabs>
        <w:rPr>
          <w:i/>
          <w:sz w:val="22"/>
          <w:szCs w:val="22"/>
          <w:u w:val="single"/>
        </w:rPr>
      </w:pPr>
      <w:r w:rsidRPr="00345BCE">
        <w:rPr>
          <w:i/>
          <w:sz w:val="22"/>
          <w:szCs w:val="22"/>
          <w:u w:val="single"/>
        </w:rPr>
        <w:t>Szoptatás</w:t>
      </w:r>
    </w:p>
    <w:p w14:paraId="556C77A5" w14:textId="77777777" w:rsidR="000A7E88" w:rsidRPr="00345BCE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Mivel nem állnak rendelkezésre adatok a valzartán szoptatás ideje alatt történő alkalmazásával kapcsolatosan, a </w:t>
      </w:r>
      <w:r w:rsidR="00580B60" w:rsidRPr="00345BCE">
        <w:rPr>
          <w:sz w:val="22"/>
          <w:szCs w:val="22"/>
        </w:rPr>
        <w:t>Valsartan Sandoz</w:t>
      </w:r>
      <w:r w:rsidRPr="00345BCE">
        <w:rPr>
          <w:sz w:val="22"/>
          <w:szCs w:val="22"/>
        </w:rPr>
        <w:t xml:space="preserve"> alkalmazása nem ajánlott, és olyan alternatív kezelést kell előnyben részesíteni a szoptatás ideje alatt, amely biztonságossági profilja jobban ismert, különösen az újszülöttek vagy koraszülöttek esetében.</w:t>
      </w:r>
    </w:p>
    <w:p w14:paraId="3D36D513" w14:textId="77777777" w:rsidR="00270DDA" w:rsidRPr="00345BCE" w:rsidRDefault="00270DDA" w:rsidP="00C560EC">
      <w:pPr>
        <w:tabs>
          <w:tab w:val="left" w:pos="567"/>
        </w:tabs>
        <w:rPr>
          <w:sz w:val="22"/>
          <w:szCs w:val="22"/>
        </w:rPr>
      </w:pPr>
    </w:p>
    <w:p w14:paraId="7B991576" w14:textId="77777777" w:rsidR="00270DDA" w:rsidRPr="00345BCE" w:rsidRDefault="00270DDA" w:rsidP="00C560EC">
      <w:pPr>
        <w:ind w:left="567" w:hanging="567"/>
        <w:outlineLvl w:val="0"/>
        <w:rPr>
          <w:i/>
          <w:iCs/>
          <w:color w:val="000000"/>
          <w:sz w:val="22"/>
          <w:szCs w:val="22"/>
          <w:u w:val="single"/>
        </w:rPr>
      </w:pPr>
      <w:r w:rsidRPr="00345BCE">
        <w:rPr>
          <w:i/>
          <w:iCs/>
          <w:color w:val="000000"/>
          <w:sz w:val="22"/>
          <w:szCs w:val="22"/>
          <w:u w:val="single"/>
        </w:rPr>
        <w:t>Termékenység</w:t>
      </w:r>
    </w:p>
    <w:p w14:paraId="3AD94EB9" w14:textId="2A8FC4CC" w:rsidR="00270DDA" w:rsidRPr="00345BCE" w:rsidRDefault="00270DDA" w:rsidP="00C560EC">
      <w:pPr>
        <w:outlineLvl w:val="0"/>
        <w:rPr>
          <w:color w:val="000000"/>
          <w:sz w:val="22"/>
          <w:szCs w:val="22"/>
        </w:rPr>
      </w:pPr>
      <w:r w:rsidRPr="00345BCE">
        <w:rPr>
          <w:color w:val="000000"/>
          <w:sz w:val="22"/>
          <w:szCs w:val="22"/>
        </w:rPr>
        <w:t>A valzartánnak hím és nőstény patkányok esetén 200 mg/kg/nap</w:t>
      </w:r>
      <w:r w:rsidRPr="00345BCE">
        <w:rPr>
          <w:color w:val="000000"/>
          <w:sz w:val="22"/>
          <w:szCs w:val="22"/>
        </w:rPr>
        <w:noBreakHyphen/>
        <w:t xml:space="preserve">os </w:t>
      </w:r>
      <w:r w:rsidRPr="00C560EC">
        <w:rPr>
          <w:i/>
          <w:color w:val="000000"/>
          <w:sz w:val="22"/>
          <w:szCs w:val="22"/>
        </w:rPr>
        <w:t>pe</w:t>
      </w:r>
      <w:r w:rsidR="00347F79">
        <w:rPr>
          <w:i/>
          <w:color w:val="000000"/>
          <w:sz w:val="22"/>
          <w:szCs w:val="22"/>
        </w:rPr>
        <w:t>r</w:t>
      </w:r>
      <w:r w:rsidRPr="00C560EC">
        <w:rPr>
          <w:i/>
          <w:color w:val="000000"/>
          <w:sz w:val="22"/>
          <w:szCs w:val="22"/>
        </w:rPr>
        <w:t xml:space="preserve"> os</w:t>
      </w:r>
      <w:r w:rsidRPr="00345BCE">
        <w:rPr>
          <w:color w:val="000000"/>
          <w:sz w:val="22"/>
          <w:szCs w:val="22"/>
        </w:rPr>
        <w:t xml:space="preserve"> dózisig nincs a reproduktív teljesítményre gyakorolt mellékhatása. Ez a dózis a mg/m</w:t>
      </w:r>
      <w:r w:rsidRPr="00345BCE">
        <w:rPr>
          <w:color w:val="000000"/>
          <w:sz w:val="22"/>
          <w:szCs w:val="22"/>
          <w:vertAlign w:val="superscript"/>
        </w:rPr>
        <w:t>2</w:t>
      </w:r>
      <w:r w:rsidRPr="00345BCE">
        <w:rPr>
          <w:color w:val="000000"/>
          <w:sz w:val="22"/>
          <w:szCs w:val="22"/>
        </w:rPr>
        <w:t xml:space="preserve"> alapon számított maximális javasolt humán dózis 6</w:t>
      </w:r>
      <w:r w:rsidRPr="00345BCE">
        <w:rPr>
          <w:color w:val="000000"/>
          <w:sz w:val="22"/>
          <w:szCs w:val="22"/>
        </w:rPr>
        <w:noBreakHyphen/>
        <w:t>szorosa (a számítások napi 320 mg</w:t>
      </w:r>
      <w:r w:rsidRPr="00345BCE">
        <w:rPr>
          <w:color w:val="000000"/>
          <w:sz w:val="22"/>
          <w:szCs w:val="22"/>
        </w:rPr>
        <w:noBreakHyphen/>
        <w:t xml:space="preserve">os </w:t>
      </w:r>
      <w:r w:rsidRPr="00C560EC">
        <w:rPr>
          <w:i/>
          <w:color w:val="000000"/>
          <w:sz w:val="22"/>
          <w:szCs w:val="22"/>
        </w:rPr>
        <w:t>per os</w:t>
      </w:r>
      <w:r w:rsidRPr="00345BCE">
        <w:rPr>
          <w:color w:val="000000"/>
          <w:sz w:val="22"/>
          <w:szCs w:val="22"/>
        </w:rPr>
        <w:t xml:space="preserve"> dózist és egy 60 kg</w:t>
      </w:r>
      <w:r w:rsidRPr="00345BCE">
        <w:rPr>
          <w:color w:val="000000"/>
          <w:sz w:val="22"/>
          <w:szCs w:val="22"/>
        </w:rPr>
        <w:noBreakHyphen/>
        <w:t>os beteget tételeznek fel).</w:t>
      </w:r>
    </w:p>
    <w:p w14:paraId="3DADD69D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510F22D8" w14:textId="77777777" w:rsidR="000A7E88" w:rsidRPr="00345BCE" w:rsidRDefault="000A7E88" w:rsidP="00C560EC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4.7</w:t>
      </w:r>
      <w:r w:rsidRPr="00345BCE">
        <w:rPr>
          <w:b/>
          <w:sz w:val="22"/>
          <w:szCs w:val="22"/>
        </w:rPr>
        <w:tab/>
        <w:t xml:space="preserve">A készítmény hatásai a gépjárművezetéshez és </w:t>
      </w:r>
      <w:r w:rsidR="00B31882">
        <w:rPr>
          <w:b/>
          <w:sz w:val="22"/>
          <w:szCs w:val="22"/>
        </w:rPr>
        <w:t xml:space="preserve">a </w:t>
      </w:r>
      <w:r w:rsidRPr="00345BCE">
        <w:rPr>
          <w:b/>
          <w:sz w:val="22"/>
          <w:szCs w:val="22"/>
        </w:rPr>
        <w:t xml:space="preserve">gépek </w:t>
      </w:r>
      <w:r w:rsidR="00C637F0" w:rsidRPr="00345BCE">
        <w:rPr>
          <w:b/>
          <w:sz w:val="22"/>
          <w:szCs w:val="22"/>
        </w:rPr>
        <w:t>kezel</w:t>
      </w:r>
      <w:r w:rsidRPr="00345BCE">
        <w:rPr>
          <w:b/>
          <w:sz w:val="22"/>
          <w:szCs w:val="22"/>
        </w:rPr>
        <w:t>éséhez szükséges képességekre</w:t>
      </w:r>
    </w:p>
    <w:p w14:paraId="4CB8A231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23316F4" w14:textId="687D8832" w:rsidR="000A7E88" w:rsidRPr="00345BCE" w:rsidRDefault="00C0353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készítménynek a gépjárművezetéshez szükséges képességeket befolyásoló hatásait nem vizsgálták. Gépjárművezetés vagy gépek kezelése során figyelembe kell venni, hogy szédülés vagy fáradtság fordulhat elő.</w:t>
      </w:r>
    </w:p>
    <w:p w14:paraId="5D0470B8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0E653A22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4.8</w:t>
      </w:r>
      <w:r w:rsidRPr="00345BCE">
        <w:rPr>
          <w:b/>
          <w:sz w:val="22"/>
          <w:szCs w:val="22"/>
        </w:rPr>
        <w:tab/>
        <w:t>Nemkívánatos hatások, mellékhatások</w:t>
      </w:r>
    </w:p>
    <w:p w14:paraId="5C73E46B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650ED44E" w14:textId="77777777" w:rsidR="000A7E88" w:rsidRPr="00345BCE" w:rsidRDefault="00706E72" w:rsidP="00C560EC">
      <w:pPr>
        <w:tabs>
          <w:tab w:val="left" w:pos="567"/>
        </w:tabs>
        <w:ind w:right="30"/>
        <w:rPr>
          <w:sz w:val="22"/>
          <w:szCs w:val="22"/>
        </w:rPr>
      </w:pPr>
      <w:r>
        <w:rPr>
          <w:sz w:val="22"/>
          <w:szCs w:val="22"/>
        </w:rPr>
        <w:t>Felnőtt,</w:t>
      </w:r>
      <w:r w:rsidRPr="00345BCE">
        <w:rPr>
          <w:sz w:val="22"/>
          <w:szCs w:val="22"/>
        </w:rPr>
        <w:t xml:space="preserve">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="00C82975" w:rsidRPr="00345BCE">
        <w:rPr>
          <w:sz w:val="22"/>
          <w:szCs w:val="22"/>
        </w:rPr>
        <w:t xml:space="preserve"> betegeken végzett </w:t>
      </w:r>
      <w:r w:rsidR="000A7E88" w:rsidRPr="00345BCE">
        <w:rPr>
          <w:sz w:val="22"/>
          <w:szCs w:val="22"/>
        </w:rPr>
        <w:t>kontroll</w:t>
      </w:r>
      <w:r w:rsidR="00C03530" w:rsidRPr="00345BCE">
        <w:rPr>
          <w:sz w:val="22"/>
          <w:szCs w:val="22"/>
        </w:rPr>
        <w:t>os</w:t>
      </w:r>
      <w:r w:rsidR="000A7E88" w:rsidRPr="00345BCE">
        <w:rPr>
          <w:sz w:val="22"/>
          <w:szCs w:val="22"/>
        </w:rPr>
        <w:t xml:space="preserve"> klinikai vizsgálatok</w:t>
      </w:r>
      <w:r w:rsidR="00C03530" w:rsidRPr="00345BCE">
        <w:rPr>
          <w:sz w:val="22"/>
          <w:szCs w:val="22"/>
        </w:rPr>
        <w:t>ban</w:t>
      </w:r>
      <w:r w:rsidR="000A7E88" w:rsidRPr="00345BCE">
        <w:rPr>
          <w:sz w:val="22"/>
          <w:szCs w:val="22"/>
        </w:rPr>
        <w:t xml:space="preserve"> a mellékhatások összesített incidenciája megegyezett a placebóval kezelt betegekével</w:t>
      </w:r>
      <w:r w:rsidR="00C03530" w:rsidRPr="00345BCE">
        <w:rPr>
          <w:sz w:val="22"/>
          <w:szCs w:val="22"/>
        </w:rPr>
        <w:t>, és összhangban van a valzartán farmakológiai tulajdonságaival. Egyik mellékhatás incidenciája sem mutatott összefüggést a dózissal vagy a kezelés időtartamával, illetve a nemmel, korral vagy rasszal sem.</w:t>
      </w:r>
    </w:p>
    <w:p w14:paraId="04F3A2B6" w14:textId="77777777" w:rsidR="000245A2" w:rsidRPr="00D91645" w:rsidRDefault="000245A2" w:rsidP="00C560EC">
      <w:pPr>
        <w:tabs>
          <w:tab w:val="left" w:pos="567"/>
        </w:tabs>
        <w:rPr>
          <w:sz w:val="22"/>
          <w:szCs w:val="22"/>
        </w:rPr>
      </w:pPr>
    </w:p>
    <w:p w14:paraId="11B5C296" w14:textId="77777777" w:rsidR="00C03530" w:rsidRPr="00D23D88" w:rsidRDefault="00C03530" w:rsidP="00C560EC">
      <w:pPr>
        <w:tabs>
          <w:tab w:val="left" w:pos="567"/>
        </w:tabs>
        <w:rPr>
          <w:iCs/>
          <w:sz w:val="22"/>
          <w:szCs w:val="22"/>
        </w:rPr>
      </w:pPr>
      <w:r w:rsidRPr="00706E72">
        <w:rPr>
          <w:sz w:val="22"/>
          <w:szCs w:val="22"/>
        </w:rPr>
        <w:t xml:space="preserve">A klinikai vizsgálatokban, illetve a forgalomba hozatalt követően és laboratóriumi vizsgálatok </w:t>
      </w:r>
      <w:r w:rsidRPr="00706E72">
        <w:rPr>
          <w:iCs/>
          <w:sz w:val="22"/>
          <w:szCs w:val="22"/>
        </w:rPr>
        <w:t>alapján jelentett mellékhatásokat az alábbi</w:t>
      </w:r>
      <w:r w:rsidR="00C82975" w:rsidRPr="00D23D88">
        <w:rPr>
          <w:iCs/>
          <w:sz w:val="22"/>
          <w:szCs w:val="22"/>
        </w:rPr>
        <w:t>akban</w:t>
      </w:r>
      <w:r w:rsidRPr="00D23D88">
        <w:rPr>
          <w:iCs/>
          <w:sz w:val="22"/>
          <w:szCs w:val="22"/>
        </w:rPr>
        <w:t xml:space="preserve"> szervrendszerek szerinti bontásban </w:t>
      </w:r>
      <w:r w:rsidR="00C82975" w:rsidRPr="00D23D88">
        <w:rPr>
          <w:iCs/>
          <w:sz w:val="22"/>
          <w:szCs w:val="22"/>
        </w:rPr>
        <w:t>ismertetjük</w:t>
      </w:r>
      <w:r w:rsidRPr="00D23D88">
        <w:rPr>
          <w:iCs/>
          <w:sz w:val="22"/>
          <w:szCs w:val="22"/>
        </w:rPr>
        <w:t>.</w:t>
      </w:r>
    </w:p>
    <w:p w14:paraId="04F6BD40" w14:textId="77777777" w:rsidR="000A7E88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78D2BC3B" w14:textId="6761C284" w:rsidR="00AC1A09" w:rsidRPr="00AC1A09" w:rsidRDefault="00AC1A09" w:rsidP="002D680A">
      <w:pPr>
        <w:keepNext/>
        <w:rPr>
          <w:sz w:val="22"/>
          <w:szCs w:val="22"/>
        </w:rPr>
      </w:pPr>
      <w:r w:rsidRPr="002D680A">
        <w:rPr>
          <w:b/>
          <w:sz w:val="22"/>
          <w:szCs w:val="22"/>
        </w:rPr>
        <w:t>Gyógyszermellékhatások</w:t>
      </w:r>
    </w:p>
    <w:p w14:paraId="6457C0E8" w14:textId="1EA8A3A1" w:rsidR="009A33AD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AC1A09">
        <w:rPr>
          <w:sz w:val="22"/>
          <w:szCs w:val="22"/>
        </w:rPr>
        <w:t>gyógyszer</w:t>
      </w:r>
      <w:r w:rsidRPr="00345BCE">
        <w:rPr>
          <w:sz w:val="22"/>
          <w:szCs w:val="22"/>
        </w:rPr>
        <w:t>mellékhatások gyakoriság szerint</w:t>
      </w:r>
      <w:r w:rsidR="00AC1A09">
        <w:rPr>
          <w:sz w:val="22"/>
          <w:szCs w:val="22"/>
        </w:rPr>
        <w:t>i csökkenő sorrendben</w:t>
      </w:r>
      <w:r w:rsidR="00C03530" w:rsidRPr="00345BCE">
        <w:rPr>
          <w:i/>
          <w:sz w:val="22"/>
          <w:szCs w:val="22"/>
        </w:rPr>
        <w:t xml:space="preserve"> </w:t>
      </w:r>
      <w:r w:rsidR="00C03530" w:rsidRPr="00345BCE">
        <w:rPr>
          <w:sz w:val="22"/>
          <w:szCs w:val="22"/>
        </w:rPr>
        <w:t>kerülnek megadásra, a következő egyezmény alapján:</w:t>
      </w:r>
      <w:r w:rsidR="00342164" w:rsidRPr="00345BCE">
        <w:rPr>
          <w:sz w:val="22"/>
          <w:szCs w:val="22"/>
        </w:rPr>
        <w:t xml:space="preserve"> n</w:t>
      </w:r>
      <w:r w:rsidRPr="00345BCE">
        <w:rPr>
          <w:sz w:val="22"/>
          <w:szCs w:val="22"/>
        </w:rPr>
        <w:t xml:space="preserve">agyon gyakori </w:t>
      </w:r>
      <w:r w:rsidR="00342164" w:rsidRPr="00345BCE">
        <w:rPr>
          <w:sz w:val="22"/>
          <w:szCs w:val="22"/>
        </w:rPr>
        <w:t>(</w:t>
      </w:r>
      <w:r w:rsidRPr="00345BCE">
        <w:rPr>
          <w:sz w:val="22"/>
          <w:szCs w:val="22"/>
        </w:rPr>
        <w:t>≥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</w:t>
      </w:r>
      <w:r w:rsidR="00342164" w:rsidRPr="00345BCE">
        <w:rPr>
          <w:sz w:val="22"/>
          <w:szCs w:val="22"/>
        </w:rPr>
        <w:t>)</w:t>
      </w:r>
      <w:r w:rsidRPr="00345BCE">
        <w:rPr>
          <w:sz w:val="22"/>
          <w:szCs w:val="22"/>
        </w:rPr>
        <w:t xml:space="preserve">; </w:t>
      </w:r>
      <w:r w:rsidR="00342164" w:rsidRPr="00345BCE">
        <w:rPr>
          <w:sz w:val="22"/>
          <w:szCs w:val="22"/>
        </w:rPr>
        <w:t>g</w:t>
      </w:r>
      <w:r w:rsidRPr="00345BCE">
        <w:rPr>
          <w:sz w:val="22"/>
          <w:szCs w:val="22"/>
        </w:rPr>
        <w:t xml:space="preserve">yakori </w:t>
      </w:r>
      <w:r w:rsidR="00342164" w:rsidRPr="00345BCE">
        <w:rPr>
          <w:sz w:val="22"/>
          <w:szCs w:val="22"/>
        </w:rPr>
        <w:t>(</w:t>
      </w:r>
      <w:r w:rsidRPr="00345BCE">
        <w:rPr>
          <w:sz w:val="22"/>
          <w:szCs w:val="22"/>
        </w:rPr>
        <w:t>≥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100</w:t>
      </w:r>
      <w:r w:rsidR="00342164" w:rsidRPr="00345BCE">
        <w:rPr>
          <w:sz w:val="22"/>
          <w:szCs w:val="22"/>
        </w:rPr>
        <w:t xml:space="preserve"> -</w:t>
      </w:r>
      <w:r w:rsidRPr="00345BCE">
        <w:rPr>
          <w:sz w:val="22"/>
          <w:szCs w:val="22"/>
        </w:rPr>
        <w:t xml:space="preserve"> &lt;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</w:t>
      </w:r>
      <w:r w:rsidR="00342164" w:rsidRPr="00345BCE">
        <w:rPr>
          <w:sz w:val="22"/>
          <w:szCs w:val="22"/>
        </w:rPr>
        <w:t>)</w:t>
      </w:r>
      <w:r w:rsidRPr="00345BCE">
        <w:rPr>
          <w:sz w:val="22"/>
          <w:szCs w:val="22"/>
        </w:rPr>
        <w:t xml:space="preserve">; </w:t>
      </w:r>
      <w:r w:rsidR="00342164" w:rsidRPr="00345BCE">
        <w:rPr>
          <w:sz w:val="22"/>
          <w:szCs w:val="22"/>
        </w:rPr>
        <w:t>n</w:t>
      </w:r>
      <w:r w:rsidRPr="00345BCE">
        <w:rPr>
          <w:sz w:val="22"/>
          <w:szCs w:val="22"/>
        </w:rPr>
        <w:t xml:space="preserve">em gyakori </w:t>
      </w:r>
      <w:r w:rsidR="00342164" w:rsidRPr="00345BCE">
        <w:rPr>
          <w:sz w:val="22"/>
          <w:szCs w:val="22"/>
        </w:rPr>
        <w:t>(</w:t>
      </w:r>
      <w:r w:rsidRPr="00345BCE">
        <w:rPr>
          <w:sz w:val="22"/>
          <w:szCs w:val="22"/>
        </w:rPr>
        <w:t>≥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1000</w:t>
      </w:r>
      <w:r w:rsidR="00342164" w:rsidRPr="00345BCE">
        <w:rPr>
          <w:sz w:val="22"/>
          <w:szCs w:val="22"/>
        </w:rPr>
        <w:t xml:space="preserve"> -</w:t>
      </w:r>
      <w:r w:rsidRPr="00345BCE">
        <w:rPr>
          <w:sz w:val="22"/>
          <w:szCs w:val="22"/>
        </w:rPr>
        <w:t xml:space="preserve"> &lt;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100</w:t>
      </w:r>
      <w:r w:rsidR="00342164" w:rsidRPr="00345BCE">
        <w:rPr>
          <w:sz w:val="22"/>
          <w:szCs w:val="22"/>
        </w:rPr>
        <w:t>)</w:t>
      </w:r>
      <w:r w:rsidRPr="00345BCE">
        <w:rPr>
          <w:sz w:val="22"/>
          <w:szCs w:val="22"/>
        </w:rPr>
        <w:t xml:space="preserve">; </w:t>
      </w:r>
      <w:r w:rsidR="00342164" w:rsidRPr="00345BCE">
        <w:rPr>
          <w:sz w:val="22"/>
          <w:szCs w:val="22"/>
        </w:rPr>
        <w:t>r</w:t>
      </w:r>
      <w:r w:rsidRPr="00345BCE">
        <w:rPr>
          <w:sz w:val="22"/>
          <w:szCs w:val="22"/>
        </w:rPr>
        <w:t xml:space="preserve">itka </w:t>
      </w:r>
      <w:r w:rsidR="00342164" w:rsidRPr="00345BCE">
        <w:rPr>
          <w:sz w:val="22"/>
          <w:szCs w:val="22"/>
        </w:rPr>
        <w:t>(</w:t>
      </w:r>
      <w:r w:rsidRPr="00345BCE">
        <w:rPr>
          <w:sz w:val="22"/>
          <w:szCs w:val="22"/>
        </w:rPr>
        <w:t>≥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</w:t>
      </w:r>
      <w:r w:rsidR="006B096E" w:rsidRPr="00345BCE">
        <w:rPr>
          <w:sz w:val="22"/>
          <w:szCs w:val="22"/>
        </w:rPr>
        <w:t> </w:t>
      </w:r>
      <w:r w:rsidRPr="00345BCE">
        <w:rPr>
          <w:sz w:val="22"/>
          <w:szCs w:val="22"/>
        </w:rPr>
        <w:t>000</w:t>
      </w:r>
      <w:r w:rsidR="00342164" w:rsidRPr="00345BCE">
        <w:rPr>
          <w:sz w:val="22"/>
          <w:szCs w:val="22"/>
        </w:rPr>
        <w:t xml:space="preserve"> -</w:t>
      </w:r>
      <w:r w:rsidRPr="00345BCE">
        <w:rPr>
          <w:sz w:val="22"/>
          <w:szCs w:val="22"/>
        </w:rPr>
        <w:t xml:space="preserve"> &lt;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1000</w:t>
      </w:r>
      <w:r w:rsidR="00342164" w:rsidRPr="00345BCE">
        <w:rPr>
          <w:sz w:val="22"/>
          <w:szCs w:val="22"/>
        </w:rPr>
        <w:t>)</w:t>
      </w:r>
      <w:r w:rsidRPr="00345BCE">
        <w:rPr>
          <w:sz w:val="22"/>
          <w:szCs w:val="22"/>
        </w:rPr>
        <w:t xml:space="preserve">; </w:t>
      </w:r>
      <w:r w:rsidR="00342164" w:rsidRPr="00345BCE">
        <w:rPr>
          <w:sz w:val="22"/>
          <w:szCs w:val="22"/>
        </w:rPr>
        <w:t>n</w:t>
      </w:r>
      <w:r w:rsidRPr="00345BCE">
        <w:rPr>
          <w:sz w:val="22"/>
          <w:szCs w:val="22"/>
        </w:rPr>
        <w:t xml:space="preserve">agyon ritka </w:t>
      </w:r>
      <w:r w:rsidR="00342164" w:rsidRPr="00345BCE">
        <w:rPr>
          <w:sz w:val="22"/>
          <w:szCs w:val="22"/>
        </w:rPr>
        <w:t>(</w:t>
      </w:r>
      <w:r w:rsidRPr="00345BCE">
        <w:rPr>
          <w:sz w:val="22"/>
          <w:szCs w:val="22"/>
        </w:rPr>
        <w:t>&lt;</w:t>
      </w:r>
      <w:r w:rsidR="00EA386A">
        <w:rPr>
          <w:sz w:val="22"/>
          <w:szCs w:val="22"/>
        </w:rPr>
        <w:t> 1/</w:t>
      </w:r>
      <w:r w:rsidRPr="00345BCE">
        <w:rPr>
          <w:sz w:val="22"/>
          <w:szCs w:val="22"/>
        </w:rPr>
        <w:t>10</w:t>
      </w:r>
      <w:r w:rsidR="006B096E" w:rsidRPr="00345BCE">
        <w:rPr>
          <w:sz w:val="22"/>
          <w:szCs w:val="22"/>
        </w:rPr>
        <w:t> </w:t>
      </w:r>
      <w:r w:rsidRPr="00345BCE">
        <w:rPr>
          <w:sz w:val="22"/>
          <w:szCs w:val="22"/>
        </w:rPr>
        <w:t>000</w:t>
      </w:r>
      <w:r w:rsidR="00342164" w:rsidRPr="00345BCE">
        <w:rPr>
          <w:sz w:val="22"/>
          <w:szCs w:val="22"/>
        </w:rPr>
        <w:t xml:space="preserve">), </w:t>
      </w:r>
      <w:r w:rsidR="00AC1A09" w:rsidRPr="00AC1A09">
        <w:rPr>
          <w:sz w:val="22"/>
          <w:szCs w:val="22"/>
        </w:rPr>
        <w:t>nem ismert (a gyakoriság a rendelkezésre álló adatokból nem állapítható meg).</w:t>
      </w:r>
    </w:p>
    <w:p w14:paraId="05492BE5" w14:textId="77777777" w:rsidR="009A33AD" w:rsidRDefault="009A33AD" w:rsidP="00C560EC">
      <w:pPr>
        <w:tabs>
          <w:tab w:val="left" w:pos="567"/>
        </w:tabs>
        <w:rPr>
          <w:sz w:val="22"/>
          <w:szCs w:val="22"/>
        </w:rPr>
      </w:pPr>
    </w:p>
    <w:p w14:paraId="55A5FF8A" w14:textId="12FCBF72" w:rsidR="000A7E88" w:rsidRDefault="00342164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Az egyes gyakorisági kategóriákon belül a mellékhatások csökkenő súlyosság szerint kerülnek megadásra.</w:t>
      </w:r>
    </w:p>
    <w:p w14:paraId="5CC98FE1" w14:textId="77777777" w:rsidR="009A33AD" w:rsidRPr="00345BCE" w:rsidRDefault="009A33AD" w:rsidP="00C560EC">
      <w:pPr>
        <w:tabs>
          <w:tab w:val="left" w:pos="567"/>
        </w:tabs>
        <w:rPr>
          <w:sz w:val="22"/>
          <w:szCs w:val="22"/>
        </w:rPr>
      </w:pPr>
    </w:p>
    <w:p w14:paraId="5C493D07" w14:textId="77777777" w:rsidR="00342164" w:rsidRPr="00345BCE" w:rsidRDefault="00342164" w:rsidP="00C560EC">
      <w:pPr>
        <w:pStyle w:val="Text"/>
        <w:tabs>
          <w:tab w:val="left" w:pos="567"/>
        </w:tabs>
        <w:spacing w:before="0"/>
        <w:jc w:val="left"/>
        <w:rPr>
          <w:iCs/>
          <w:sz w:val="22"/>
          <w:szCs w:val="22"/>
          <w:lang w:val="hu-HU"/>
        </w:rPr>
      </w:pPr>
      <w:r w:rsidRPr="00345BCE">
        <w:rPr>
          <w:sz w:val="22"/>
          <w:szCs w:val="22"/>
          <w:lang w:val="hu-HU"/>
        </w:rPr>
        <w:lastRenderedPageBreak/>
        <w:t xml:space="preserve">A </w:t>
      </w:r>
      <w:r w:rsidRPr="00345BCE">
        <w:rPr>
          <w:iCs/>
          <w:sz w:val="22"/>
          <w:szCs w:val="22"/>
          <w:lang w:val="hu-HU"/>
        </w:rPr>
        <w:t>készítmény forgalomba kerülése után és a laboratóriumi eredmények alapján jelentett mellékhatások esetében nem mindig lehet megállapítani a gyakoriságot, ezért ezek a táblázatban „Nem ismert” gyakorisággal szerepelnek.</w:t>
      </w:r>
    </w:p>
    <w:p w14:paraId="00B724F7" w14:textId="77777777" w:rsidR="00342164" w:rsidRPr="00345BCE" w:rsidRDefault="00342164" w:rsidP="00C560EC">
      <w:pPr>
        <w:pStyle w:val="Text"/>
        <w:tabs>
          <w:tab w:val="left" w:pos="567"/>
        </w:tabs>
        <w:spacing w:before="0"/>
        <w:jc w:val="left"/>
        <w:rPr>
          <w:iCs/>
          <w:sz w:val="22"/>
          <w:szCs w:val="22"/>
          <w:lang w:val="hu-HU"/>
        </w:rPr>
      </w:pPr>
    </w:p>
    <w:p w14:paraId="0D11CF08" w14:textId="77777777" w:rsidR="00342164" w:rsidRPr="00345BCE" w:rsidRDefault="002321C3" w:rsidP="00C560EC">
      <w:pPr>
        <w:keepNext/>
        <w:widowControl/>
        <w:numPr>
          <w:ilvl w:val="0"/>
          <w:numId w:val="5"/>
        </w:numPr>
        <w:tabs>
          <w:tab w:val="clear" w:pos="502"/>
          <w:tab w:val="left" w:pos="567"/>
        </w:tabs>
        <w:suppressAutoHyphens w:val="0"/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Hypertonia</w:t>
      </w:r>
    </w:p>
    <w:p w14:paraId="7F401B54" w14:textId="77777777" w:rsidR="00342164" w:rsidRPr="00345BCE" w:rsidRDefault="00342164" w:rsidP="00C560EC">
      <w:pPr>
        <w:pStyle w:val="Text"/>
        <w:keepNext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80"/>
        <w:gridCol w:w="58"/>
        <w:gridCol w:w="52"/>
        <w:gridCol w:w="4569"/>
      </w:tblGrid>
      <w:tr w:rsidR="00342164" w:rsidRPr="00345BCE" w14:paraId="20E3D22A" w14:textId="77777777">
        <w:tc>
          <w:tcPr>
            <w:tcW w:w="9322" w:type="dxa"/>
            <w:gridSpan w:val="4"/>
          </w:tcPr>
          <w:p w14:paraId="59655E69" w14:textId="77777777" w:rsidR="00342164" w:rsidRPr="00345BCE" w:rsidRDefault="00342164" w:rsidP="00C560EC">
            <w:pPr>
              <w:keepNext/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Vérképzőszervi és nyirokrendszeri betegségek és tünetek</w:t>
            </w:r>
          </w:p>
        </w:tc>
      </w:tr>
      <w:tr w:rsidR="00342164" w:rsidRPr="00345BCE" w14:paraId="34BA3172" w14:textId="77777777">
        <w:trPr>
          <w:trHeight w:val="601"/>
        </w:trPr>
        <w:tc>
          <w:tcPr>
            <w:tcW w:w="4608" w:type="dxa"/>
            <w:gridSpan w:val="2"/>
          </w:tcPr>
          <w:p w14:paraId="5F025DF0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  <w:p w14:paraId="78DAA15E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4714" w:type="dxa"/>
            <w:gridSpan w:val="2"/>
          </w:tcPr>
          <w:p w14:paraId="766D838A" w14:textId="77777777" w:rsidR="00EA386A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Hemoglobinszint</w:t>
            </w:r>
            <w:r w:rsidR="00EA386A">
              <w:rPr>
                <w:sz w:val="22"/>
                <w:szCs w:val="22"/>
              </w:rPr>
              <w:t>-</w:t>
            </w:r>
            <w:r w:rsidRPr="00345BCE">
              <w:rPr>
                <w:sz w:val="22"/>
                <w:szCs w:val="22"/>
              </w:rPr>
              <w:t>csökkenés, Hematokritszint</w:t>
            </w:r>
            <w:r w:rsidR="00EA386A">
              <w:rPr>
                <w:sz w:val="22"/>
                <w:szCs w:val="22"/>
              </w:rPr>
              <w:noBreakHyphen/>
            </w:r>
            <w:r w:rsidRPr="00345BCE">
              <w:rPr>
                <w:sz w:val="22"/>
                <w:szCs w:val="22"/>
              </w:rPr>
              <w:t>csökkenés,</w:t>
            </w:r>
          </w:p>
          <w:p w14:paraId="625C30A7" w14:textId="77777777" w:rsidR="00EA386A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Neutropenia,</w:t>
            </w:r>
          </w:p>
          <w:p w14:paraId="05C369B0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Thrombocytopenia </w:t>
            </w:r>
          </w:p>
        </w:tc>
      </w:tr>
      <w:tr w:rsidR="00342164" w:rsidRPr="00345BCE" w14:paraId="5132A245" w14:textId="77777777">
        <w:tc>
          <w:tcPr>
            <w:tcW w:w="9322" w:type="dxa"/>
            <w:gridSpan w:val="4"/>
          </w:tcPr>
          <w:p w14:paraId="6607B834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Immunrendszeri betegségek és tünetek</w:t>
            </w:r>
          </w:p>
        </w:tc>
      </w:tr>
      <w:tr w:rsidR="00342164" w:rsidRPr="00345BCE" w14:paraId="6415B8D6" w14:textId="77777777">
        <w:tc>
          <w:tcPr>
            <w:tcW w:w="4608" w:type="dxa"/>
            <w:gridSpan w:val="2"/>
          </w:tcPr>
          <w:p w14:paraId="1E8802D1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62E0C5EB" w14:textId="77777777" w:rsidR="00342164" w:rsidRPr="00345BCE" w:rsidRDefault="00342164" w:rsidP="00EA386A">
            <w:pPr>
              <w:keepNext/>
              <w:keepLines/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Túlérzékenység, beleértve a szérumbetegséget</w:t>
            </w:r>
          </w:p>
        </w:tc>
      </w:tr>
      <w:tr w:rsidR="00342164" w:rsidRPr="00345BCE" w14:paraId="0EEDB241" w14:textId="77777777">
        <w:tc>
          <w:tcPr>
            <w:tcW w:w="9322" w:type="dxa"/>
            <w:gridSpan w:val="4"/>
          </w:tcPr>
          <w:p w14:paraId="3060DC3C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Anyagcsere- és táplálkozási betegségek és tünetek</w:t>
            </w:r>
          </w:p>
        </w:tc>
      </w:tr>
      <w:tr w:rsidR="00342164" w:rsidRPr="00345BCE" w14:paraId="47D9B6BE" w14:textId="77777777">
        <w:trPr>
          <w:trHeight w:val="310"/>
        </w:trPr>
        <w:tc>
          <w:tcPr>
            <w:tcW w:w="4608" w:type="dxa"/>
            <w:gridSpan w:val="2"/>
          </w:tcPr>
          <w:p w14:paraId="4FDC33E4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Nem </w:t>
            </w:r>
            <w:r w:rsidR="00C82975" w:rsidRPr="00345BCE">
              <w:rPr>
                <w:sz w:val="22"/>
                <w:szCs w:val="22"/>
              </w:rPr>
              <w:t>ismert</w:t>
            </w:r>
          </w:p>
        </w:tc>
        <w:tc>
          <w:tcPr>
            <w:tcW w:w="4714" w:type="dxa"/>
            <w:gridSpan w:val="2"/>
          </w:tcPr>
          <w:p w14:paraId="4DBF8838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Emelkedett szérum káliumszint</w:t>
            </w:r>
            <w:r w:rsidR="00DF4C04">
              <w:rPr>
                <w:sz w:val="22"/>
                <w:szCs w:val="22"/>
              </w:rPr>
              <w:t>, hyponatraemia</w:t>
            </w:r>
            <w:r w:rsidRPr="00345BCE">
              <w:rPr>
                <w:sz w:val="22"/>
                <w:szCs w:val="22"/>
              </w:rPr>
              <w:t xml:space="preserve"> </w:t>
            </w:r>
          </w:p>
        </w:tc>
      </w:tr>
      <w:tr w:rsidR="00342164" w:rsidRPr="00345BCE" w14:paraId="0A43249E" w14:textId="77777777">
        <w:tc>
          <w:tcPr>
            <w:tcW w:w="9322" w:type="dxa"/>
            <w:gridSpan w:val="4"/>
          </w:tcPr>
          <w:p w14:paraId="06446E2B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fül-, és az egyensúly-érzékelő szerv betegségei és tünetei</w:t>
            </w:r>
          </w:p>
        </w:tc>
      </w:tr>
      <w:tr w:rsidR="00342164" w:rsidRPr="00345BCE" w14:paraId="1B1F14D8" w14:textId="77777777">
        <w:tc>
          <w:tcPr>
            <w:tcW w:w="4608" w:type="dxa"/>
            <w:gridSpan w:val="2"/>
          </w:tcPr>
          <w:p w14:paraId="4CE06F54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591BD09E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Vertigo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342164" w:rsidRPr="00345BCE" w14:paraId="541B9844" w14:textId="77777777">
        <w:tc>
          <w:tcPr>
            <w:tcW w:w="9322" w:type="dxa"/>
            <w:gridSpan w:val="4"/>
          </w:tcPr>
          <w:p w14:paraId="126F54F9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Érbetegségek és tünetek</w:t>
            </w:r>
          </w:p>
        </w:tc>
      </w:tr>
      <w:tr w:rsidR="00342164" w:rsidRPr="00345BCE" w14:paraId="09E2E77A" w14:textId="77777777">
        <w:tc>
          <w:tcPr>
            <w:tcW w:w="4608" w:type="dxa"/>
            <w:gridSpan w:val="2"/>
          </w:tcPr>
          <w:p w14:paraId="41AD514E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3114E6B1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Vasculitis </w:t>
            </w:r>
          </w:p>
        </w:tc>
      </w:tr>
      <w:tr w:rsidR="00342164" w:rsidRPr="00345BCE" w14:paraId="2D334ADF" w14:textId="77777777">
        <w:tc>
          <w:tcPr>
            <w:tcW w:w="9322" w:type="dxa"/>
            <w:gridSpan w:val="4"/>
          </w:tcPr>
          <w:p w14:paraId="60D6D842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Légzőrendszeri, mellkasi és mediastinalis betegségek és tünetek</w:t>
            </w:r>
          </w:p>
        </w:tc>
      </w:tr>
      <w:tr w:rsidR="00342164" w:rsidRPr="00345BCE" w14:paraId="003F99AA" w14:textId="77777777">
        <w:tc>
          <w:tcPr>
            <w:tcW w:w="4608" w:type="dxa"/>
            <w:gridSpan w:val="2"/>
          </w:tcPr>
          <w:p w14:paraId="23CC2042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68FE563F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Köhögés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342164" w:rsidRPr="00345BCE" w14:paraId="6E97B434" w14:textId="77777777">
        <w:tc>
          <w:tcPr>
            <w:tcW w:w="9322" w:type="dxa"/>
            <w:gridSpan w:val="4"/>
          </w:tcPr>
          <w:p w14:paraId="22F6BC04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Emésztőrendszeri betegségek és tünetek</w:t>
            </w:r>
          </w:p>
        </w:tc>
      </w:tr>
      <w:tr w:rsidR="00342164" w:rsidRPr="00345BCE" w14:paraId="081E5CCF" w14:textId="77777777">
        <w:tc>
          <w:tcPr>
            <w:tcW w:w="4608" w:type="dxa"/>
            <w:gridSpan w:val="2"/>
          </w:tcPr>
          <w:p w14:paraId="4CE91372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249BCD44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Hasi fájdalom</w:t>
            </w:r>
          </w:p>
        </w:tc>
      </w:tr>
      <w:tr w:rsidR="00477037" w:rsidRPr="00345BCE" w14:paraId="1BFD6C7D" w14:textId="77777777">
        <w:tc>
          <w:tcPr>
            <w:tcW w:w="4608" w:type="dxa"/>
            <w:gridSpan w:val="2"/>
          </w:tcPr>
          <w:p w14:paraId="0FDB2008" w14:textId="77777777" w:rsidR="00477037" w:rsidRPr="00345BCE" w:rsidRDefault="00477037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477037">
              <w:rPr>
                <w:sz w:val="22"/>
                <w:szCs w:val="22"/>
              </w:rPr>
              <w:t>Nagyon ritka</w:t>
            </w:r>
          </w:p>
        </w:tc>
        <w:tc>
          <w:tcPr>
            <w:tcW w:w="4714" w:type="dxa"/>
            <w:gridSpan w:val="2"/>
          </w:tcPr>
          <w:p w14:paraId="64689A89" w14:textId="77777777" w:rsidR="00477037" w:rsidRPr="00345BCE" w:rsidRDefault="00477037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</w:t>
            </w:r>
            <w:r w:rsidRPr="00477037">
              <w:rPr>
                <w:sz w:val="22"/>
                <w:szCs w:val="22"/>
              </w:rPr>
              <w:t>ntestinalis angiooedema</w:t>
            </w:r>
          </w:p>
        </w:tc>
      </w:tr>
      <w:tr w:rsidR="00342164" w:rsidRPr="00345BCE" w14:paraId="472AB20F" w14:textId="77777777">
        <w:tc>
          <w:tcPr>
            <w:tcW w:w="9322" w:type="dxa"/>
            <w:gridSpan w:val="4"/>
          </w:tcPr>
          <w:p w14:paraId="6437AE68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Máj</w:t>
            </w:r>
            <w:r w:rsidR="00256F57">
              <w:rPr>
                <w:b/>
                <w:sz w:val="22"/>
                <w:szCs w:val="22"/>
              </w:rPr>
              <w:t>-és epebetegségek, illetve tünetek</w:t>
            </w:r>
          </w:p>
        </w:tc>
      </w:tr>
      <w:tr w:rsidR="00342164" w:rsidRPr="00345BCE" w14:paraId="24EFB15E" w14:textId="77777777">
        <w:trPr>
          <w:trHeight w:val="520"/>
        </w:trPr>
        <w:tc>
          <w:tcPr>
            <w:tcW w:w="4608" w:type="dxa"/>
            <w:gridSpan w:val="2"/>
          </w:tcPr>
          <w:p w14:paraId="4BFDC0F7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60E0A390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 májműködés értékeinek emelkedése, beleértve a szérum bilirubinszint emelkedés</w:t>
            </w:r>
            <w:r w:rsidR="00E27F6E">
              <w:rPr>
                <w:sz w:val="22"/>
                <w:szCs w:val="22"/>
              </w:rPr>
              <w:t>ét</w:t>
            </w:r>
            <w:r w:rsidRPr="00345BCE">
              <w:rPr>
                <w:sz w:val="22"/>
                <w:szCs w:val="22"/>
              </w:rPr>
              <w:t xml:space="preserve"> </w:t>
            </w:r>
          </w:p>
        </w:tc>
      </w:tr>
      <w:tr w:rsidR="00342164" w:rsidRPr="00345BCE" w14:paraId="74D96FAC" w14:textId="77777777">
        <w:tc>
          <w:tcPr>
            <w:tcW w:w="9322" w:type="dxa"/>
            <w:gridSpan w:val="4"/>
          </w:tcPr>
          <w:p w14:paraId="1A7425C3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bőr és a bőralatti szövet betegségei és tünetei</w:t>
            </w:r>
          </w:p>
        </w:tc>
      </w:tr>
      <w:tr w:rsidR="00342164" w:rsidRPr="00345BCE" w14:paraId="4D21F7BB" w14:textId="77777777">
        <w:tc>
          <w:tcPr>
            <w:tcW w:w="4661" w:type="dxa"/>
            <w:gridSpan w:val="3"/>
          </w:tcPr>
          <w:p w14:paraId="549DFE69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661" w:type="dxa"/>
          </w:tcPr>
          <w:p w14:paraId="4C35F5C2" w14:textId="77777777" w:rsidR="00342164" w:rsidRPr="00345BCE" w:rsidRDefault="00342164" w:rsidP="00E27F6E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Angio</w:t>
            </w:r>
            <w:r w:rsidR="00E27F6E">
              <w:rPr>
                <w:bCs/>
                <w:sz w:val="22"/>
                <w:szCs w:val="22"/>
              </w:rPr>
              <w:t>oe</w:t>
            </w:r>
            <w:r w:rsidR="00502D9F" w:rsidRPr="00345BCE">
              <w:rPr>
                <w:bCs/>
                <w:sz w:val="22"/>
                <w:szCs w:val="22"/>
              </w:rPr>
              <w:t>d</w:t>
            </w:r>
            <w:r w:rsidR="00E27F6E">
              <w:rPr>
                <w:bCs/>
                <w:sz w:val="22"/>
                <w:szCs w:val="22"/>
              </w:rPr>
              <w:t>e</w:t>
            </w:r>
            <w:r w:rsidR="00502D9F" w:rsidRPr="00345BCE">
              <w:rPr>
                <w:bCs/>
                <w:sz w:val="22"/>
                <w:szCs w:val="22"/>
              </w:rPr>
              <w:t>ma</w:t>
            </w:r>
            <w:r w:rsidRPr="00345BCE">
              <w:rPr>
                <w:bCs/>
                <w:sz w:val="22"/>
                <w:szCs w:val="22"/>
              </w:rPr>
              <w:t xml:space="preserve">, </w:t>
            </w:r>
            <w:r w:rsidR="00E27F6E">
              <w:rPr>
                <w:bCs/>
                <w:sz w:val="22"/>
                <w:szCs w:val="22"/>
              </w:rPr>
              <w:t>b</w:t>
            </w:r>
            <w:r w:rsidR="003F66A1">
              <w:rPr>
                <w:bCs/>
                <w:sz w:val="22"/>
                <w:szCs w:val="22"/>
              </w:rPr>
              <w:t>ullosus d</w:t>
            </w:r>
            <w:r w:rsidR="00507D16" w:rsidRPr="00507D16">
              <w:rPr>
                <w:bCs/>
                <w:sz w:val="22"/>
                <w:szCs w:val="22"/>
              </w:rPr>
              <w:t>ermatitis,</w:t>
            </w:r>
            <w:r w:rsidR="00507D16" w:rsidRPr="00345BCE">
              <w:rPr>
                <w:bCs/>
                <w:sz w:val="22"/>
                <w:szCs w:val="22"/>
              </w:rPr>
              <w:t xml:space="preserve"> </w:t>
            </w:r>
            <w:r w:rsidR="00E27F6E">
              <w:rPr>
                <w:bCs/>
                <w:sz w:val="22"/>
                <w:szCs w:val="22"/>
              </w:rPr>
              <w:t>k</w:t>
            </w:r>
            <w:r w:rsidRPr="00345BCE">
              <w:rPr>
                <w:bCs/>
                <w:sz w:val="22"/>
                <w:szCs w:val="22"/>
              </w:rPr>
              <w:t xml:space="preserve">iütés, </w:t>
            </w:r>
            <w:r w:rsidR="00E27F6E">
              <w:rPr>
                <w:bCs/>
                <w:sz w:val="22"/>
                <w:szCs w:val="22"/>
              </w:rPr>
              <w:t>p</w:t>
            </w:r>
            <w:r w:rsidRPr="00345BCE">
              <w:rPr>
                <w:bCs/>
                <w:sz w:val="22"/>
                <w:szCs w:val="22"/>
              </w:rPr>
              <w:t>ruritus</w:t>
            </w:r>
          </w:p>
        </w:tc>
      </w:tr>
      <w:tr w:rsidR="00342164" w:rsidRPr="00345BCE" w14:paraId="76572D45" w14:textId="77777777">
        <w:tc>
          <w:tcPr>
            <w:tcW w:w="9322" w:type="dxa"/>
            <w:gridSpan w:val="4"/>
          </w:tcPr>
          <w:p w14:paraId="2B299C1F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csont-</w:t>
            </w:r>
            <w:r w:rsidR="00732571" w:rsidRPr="00345BCE">
              <w:rPr>
                <w:b/>
                <w:bCs/>
                <w:sz w:val="22"/>
                <w:szCs w:val="22"/>
              </w:rPr>
              <w:t xml:space="preserve"> és </w:t>
            </w:r>
            <w:r w:rsidRPr="00345BCE">
              <w:rPr>
                <w:b/>
                <w:bCs/>
                <w:sz w:val="22"/>
                <w:szCs w:val="22"/>
              </w:rPr>
              <w:t>izomrendszer</w:t>
            </w:r>
            <w:r w:rsidR="00732571" w:rsidRPr="00345BCE">
              <w:rPr>
                <w:b/>
                <w:bCs/>
                <w:sz w:val="22"/>
                <w:szCs w:val="22"/>
              </w:rPr>
              <w:t xml:space="preserve">, valamint </w:t>
            </w:r>
            <w:r w:rsidRPr="00345BCE">
              <w:rPr>
                <w:b/>
                <w:bCs/>
                <w:sz w:val="22"/>
                <w:szCs w:val="22"/>
              </w:rPr>
              <w:t>a kötőszövet betegségei és tünetei</w:t>
            </w:r>
          </w:p>
        </w:tc>
      </w:tr>
      <w:tr w:rsidR="00342164" w:rsidRPr="00345BCE" w14:paraId="5DA358DB" w14:textId="77777777">
        <w:tc>
          <w:tcPr>
            <w:tcW w:w="4661" w:type="dxa"/>
            <w:gridSpan w:val="3"/>
          </w:tcPr>
          <w:p w14:paraId="0970B25F" w14:textId="77777777" w:rsidR="00342164" w:rsidRPr="00345BCE" w:rsidRDefault="00342164" w:rsidP="001C2BD7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661" w:type="dxa"/>
          </w:tcPr>
          <w:p w14:paraId="43779531" w14:textId="77777777" w:rsidR="00342164" w:rsidRPr="00345BCE" w:rsidRDefault="00342164" w:rsidP="00EA386A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Myalgia</w:t>
            </w:r>
          </w:p>
        </w:tc>
      </w:tr>
      <w:tr w:rsidR="00342164" w:rsidRPr="00345BCE" w14:paraId="0C43D891" w14:textId="77777777">
        <w:tc>
          <w:tcPr>
            <w:tcW w:w="9322" w:type="dxa"/>
            <w:gridSpan w:val="4"/>
          </w:tcPr>
          <w:p w14:paraId="5E94C484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Vese- és húgyúti betegségek és tünetek</w:t>
            </w:r>
          </w:p>
        </w:tc>
      </w:tr>
      <w:tr w:rsidR="00342164" w:rsidRPr="00345BCE" w14:paraId="5AEE8159" w14:textId="77777777">
        <w:trPr>
          <w:trHeight w:val="489"/>
        </w:trPr>
        <w:tc>
          <w:tcPr>
            <w:tcW w:w="4548" w:type="dxa"/>
          </w:tcPr>
          <w:p w14:paraId="21D7F9A3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Nem </w:t>
            </w:r>
            <w:r w:rsidR="00834B34">
              <w:rPr>
                <w:sz w:val="22"/>
                <w:szCs w:val="22"/>
              </w:rPr>
              <w:t>ismert</w:t>
            </w:r>
          </w:p>
          <w:p w14:paraId="75909636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</w:p>
        </w:tc>
        <w:tc>
          <w:tcPr>
            <w:tcW w:w="4774" w:type="dxa"/>
            <w:gridSpan w:val="3"/>
          </w:tcPr>
          <w:p w14:paraId="46DF9811" w14:textId="77777777" w:rsidR="00E27F6E" w:rsidRDefault="00342164" w:rsidP="00E27F6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Veseelégtelenség és vesekárosodás</w:t>
            </w:r>
          </w:p>
          <w:p w14:paraId="0AD9A729" w14:textId="77777777" w:rsidR="00342164" w:rsidRPr="00345BCE" w:rsidRDefault="00342164" w:rsidP="00E27F6E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 szérum kreatininszint emelkedése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342164" w:rsidRPr="00345BCE" w14:paraId="0F8AAA6B" w14:textId="77777777">
        <w:trPr>
          <w:trHeight w:val="273"/>
        </w:trPr>
        <w:tc>
          <w:tcPr>
            <w:tcW w:w="9322" w:type="dxa"/>
            <w:gridSpan w:val="4"/>
          </w:tcPr>
          <w:p w14:paraId="0AE508AE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Általános tünetek, az alkalmazás helyén fellépő reakciók</w:t>
            </w:r>
          </w:p>
        </w:tc>
      </w:tr>
      <w:tr w:rsidR="00342164" w:rsidRPr="00345BCE" w14:paraId="7B6E497A" w14:textId="77777777">
        <w:trPr>
          <w:trHeight w:val="273"/>
        </w:trPr>
        <w:tc>
          <w:tcPr>
            <w:tcW w:w="4548" w:type="dxa"/>
          </w:tcPr>
          <w:p w14:paraId="55B88EFB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74" w:type="dxa"/>
            <w:gridSpan w:val="3"/>
          </w:tcPr>
          <w:p w14:paraId="2452114C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Fáradtság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</w:tbl>
    <w:p w14:paraId="5105C85A" w14:textId="77777777" w:rsidR="0038161D" w:rsidRPr="00345BCE" w:rsidRDefault="0038161D" w:rsidP="001C2BD7">
      <w:pPr>
        <w:pStyle w:val="Text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p w14:paraId="65E4086C" w14:textId="77777777" w:rsidR="0038161D" w:rsidRPr="00345BCE" w:rsidRDefault="0038161D" w:rsidP="00EA386A">
      <w:pPr>
        <w:rPr>
          <w:i/>
          <w:sz w:val="22"/>
          <w:szCs w:val="22"/>
          <w:u w:val="single"/>
        </w:rPr>
      </w:pPr>
      <w:r w:rsidRPr="00B0458C">
        <w:rPr>
          <w:i/>
          <w:sz w:val="22"/>
          <w:szCs w:val="22"/>
          <w:u w:val="single"/>
        </w:rPr>
        <w:t>G</w:t>
      </w:r>
      <w:r w:rsidRPr="00C560EC">
        <w:rPr>
          <w:i/>
          <w:sz w:val="22"/>
          <w:szCs w:val="22"/>
          <w:u w:val="single"/>
        </w:rPr>
        <w:t>yermek</w:t>
      </w:r>
      <w:r w:rsidR="0051702A" w:rsidRPr="00C560EC">
        <w:rPr>
          <w:i/>
          <w:sz w:val="22"/>
          <w:szCs w:val="22"/>
          <w:u w:val="single"/>
        </w:rPr>
        <w:t>ek</w:t>
      </w:r>
      <w:r w:rsidR="0035770F" w:rsidRPr="00C560EC">
        <w:rPr>
          <w:i/>
          <w:sz w:val="22"/>
          <w:szCs w:val="22"/>
          <w:u w:val="single"/>
        </w:rPr>
        <w:t xml:space="preserve"> és serdülők</w:t>
      </w:r>
    </w:p>
    <w:p w14:paraId="78240E5E" w14:textId="77777777" w:rsidR="0038161D" w:rsidRPr="00345BCE" w:rsidRDefault="0038161D" w:rsidP="00EA386A">
      <w:pPr>
        <w:rPr>
          <w:i/>
          <w:sz w:val="22"/>
          <w:szCs w:val="22"/>
          <w:u w:val="single"/>
        </w:rPr>
      </w:pPr>
    </w:p>
    <w:p w14:paraId="1A482503" w14:textId="77777777" w:rsidR="0038161D" w:rsidRPr="00345BCE" w:rsidRDefault="002321C3" w:rsidP="0097699A">
      <w:pPr>
        <w:rPr>
          <w:iCs/>
          <w:color w:val="000000"/>
          <w:sz w:val="22"/>
          <w:szCs w:val="22"/>
          <w:u w:val="single"/>
        </w:rPr>
      </w:pPr>
      <w:r>
        <w:rPr>
          <w:iCs/>
          <w:color w:val="000000"/>
          <w:sz w:val="22"/>
          <w:szCs w:val="22"/>
          <w:u w:val="single"/>
        </w:rPr>
        <w:t>Hypertonia</w:t>
      </w:r>
    </w:p>
    <w:p w14:paraId="5CC0971D" w14:textId="77777777" w:rsidR="0038161D" w:rsidRPr="00345BCE" w:rsidRDefault="0038161D" w:rsidP="00666A5A">
      <w:pPr>
        <w:rPr>
          <w:color w:val="000000"/>
          <w:sz w:val="22"/>
          <w:szCs w:val="22"/>
        </w:rPr>
      </w:pPr>
    </w:p>
    <w:p w14:paraId="6372281F" w14:textId="53F2839F" w:rsidR="0038161D" w:rsidRPr="00345BCE" w:rsidRDefault="0038161D" w:rsidP="00666A5A">
      <w:pPr>
        <w:rPr>
          <w:i/>
          <w:iCs/>
          <w:color w:val="000000"/>
          <w:sz w:val="22"/>
          <w:szCs w:val="22"/>
        </w:rPr>
      </w:pPr>
      <w:r w:rsidRPr="00345BCE">
        <w:rPr>
          <w:color w:val="000000"/>
          <w:sz w:val="22"/>
          <w:szCs w:val="22"/>
        </w:rPr>
        <w:t>A valzartán vérnyomáscsökkentő hatását két randomizált, kettő</w:t>
      </w:r>
      <w:r w:rsidR="00346645">
        <w:rPr>
          <w:color w:val="000000"/>
          <w:sz w:val="22"/>
          <w:szCs w:val="22"/>
        </w:rPr>
        <w:t>s v</w:t>
      </w:r>
      <w:r w:rsidRPr="00345BCE">
        <w:rPr>
          <w:color w:val="000000"/>
          <w:sz w:val="22"/>
          <w:szCs w:val="22"/>
        </w:rPr>
        <w:t>ak klinikai vizsgálatban</w:t>
      </w:r>
      <w:r w:rsidR="001131B3">
        <w:rPr>
          <w:color w:val="000000"/>
          <w:sz w:val="22"/>
          <w:szCs w:val="22"/>
        </w:rPr>
        <w:t xml:space="preserve"> </w:t>
      </w:r>
      <w:r w:rsidR="001131B3" w:rsidRPr="00EF51F9">
        <w:rPr>
          <w:sz w:val="22"/>
          <w:szCs w:val="22"/>
        </w:rPr>
        <w:t>(mindegyiket a vizsgálat egy kiterjesztett időszaka követte) és egy nyílt elrendezésű vizsgálatban</w:t>
      </w:r>
      <w:r w:rsidRPr="00485477">
        <w:rPr>
          <w:color w:val="000000"/>
          <w:sz w:val="22"/>
          <w:szCs w:val="22"/>
        </w:rPr>
        <w:t xml:space="preserve"> értékelték. </w:t>
      </w:r>
      <w:r w:rsidR="00D679F0" w:rsidRPr="00EF51F9">
        <w:rPr>
          <w:sz w:val="22"/>
          <w:szCs w:val="22"/>
        </w:rPr>
        <w:t xml:space="preserve">Ezekben a vizsgálatokban 711, </w:t>
      </w:r>
      <w:r w:rsidR="00347F79" w:rsidRPr="002D680A">
        <w:rPr>
          <w:sz w:val="22"/>
          <w:szCs w:val="22"/>
        </w:rPr>
        <w:t>legalább 6 éves, de 18 évesnél fiatalabb életkorú</w:t>
      </w:r>
      <w:r w:rsidR="00D679F0" w:rsidRPr="00EF51F9">
        <w:rPr>
          <w:sz w:val="22"/>
          <w:szCs w:val="22"/>
        </w:rPr>
        <w:t xml:space="preserve">, olyan, krónikus vesebetegségben szenvedő, vagy abban nem szenvedő </w:t>
      </w:r>
      <w:r w:rsidR="004A25AD" w:rsidRPr="004A25AD">
        <w:rPr>
          <w:sz w:val="22"/>
          <w:szCs w:val="22"/>
        </w:rPr>
        <w:t>gyermek és serdülő</w:t>
      </w:r>
      <w:r w:rsidR="00D679F0" w:rsidRPr="00EF51F9">
        <w:rPr>
          <w:sz w:val="22"/>
          <w:szCs w:val="22"/>
        </w:rPr>
        <w:t xml:space="preserve"> vett részt, akik közül 560 beteg valzartánt kapott. </w:t>
      </w:r>
      <w:r w:rsidRPr="000B0D21">
        <w:rPr>
          <w:color w:val="000000"/>
          <w:sz w:val="22"/>
          <w:szCs w:val="22"/>
        </w:rPr>
        <w:t xml:space="preserve">Az izolált emésztőrendszeri </w:t>
      </w:r>
      <w:r w:rsidR="00D679F0" w:rsidRPr="00EF51F9">
        <w:rPr>
          <w:sz w:val="22"/>
          <w:szCs w:val="22"/>
        </w:rPr>
        <w:t>betegségek és</w:t>
      </w:r>
      <w:r w:rsidR="00D679F0" w:rsidRPr="000B0D21">
        <w:rPr>
          <w:color w:val="000000"/>
          <w:sz w:val="22"/>
          <w:szCs w:val="22"/>
        </w:rPr>
        <w:t xml:space="preserve"> </w:t>
      </w:r>
      <w:r w:rsidRPr="00485477">
        <w:rPr>
          <w:color w:val="000000"/>
          <w:sz w:val="22"/>
          <w:szCs w:val="22"/>
        </w:rPr>
        <w:t>tünetek (</w:t>
      </w:r>
      <w:r w:rsidR="00D679F0" w:rsidRPr="00EF51F9">
        <w:rPr>
          <w:sz w:val="22"/>
          <w:szCs w:val="22"/>
        </w:rPr>
        <w:t>mint</w:t>
      </w:r>
      <w:r w:rsidR="00D679F0" w:rsidRPr="000B0D21">
        <w:rPr>
          <w:color w:val="000000"/>
          <w:sz w:val="22"/>
          <w:szCs w:val="22"/>
        </w:rPr>
        <w:t xml:space="preserve"> </w:t>
      </w:r>
      <w:r w:rsidRPr="00485477">
        <w:rPr>
          <w:color w:val="000000"/>
          <w:sz w:val="22"/>
          <w:szCs w:val="22"/>
        </w:rPr>
        <w:t xml:space="preserve">például hasi fájdalom, hányinger, hányás) és a szédülés kivételével a </w:t>
      </w:r>
      <w:r w:rsidR="00A8579B" w:rsidRPr="00F357EE">
        <w:rPr>
          <w:color w:val="000000"/>
          <w:sz w:val="22"/>
          <w:szCs w:val="22"/>
        </w:rPr>
        <w:t>6 </w:t>
      </w:r>
      <w:r w:rsidR="00A8579B" w:rsidRPr="00414C40">
        <w:rPr>
          <w:color w:val="000000"/>
          <w:sz w:val="22"/>
          <w:szCs w:val="22"/>
        </w:rPr>
        <w:t xml:space="preserve">évestől 18 évesnél fiatalabb korú </w:t>
      </w:r>
      <w:r w:rsidR="004A25AD" w:rsidRPr="004A25AD">
        <w:rPr>
          <w:color w:val="000000"/>
          <w:sz w:val="22"/>
          <w:szCs w:val="22"/>
        </w:rPr>
        <w:t>gyermekekre és serdülőkre</w:t>
      </w:r>
      <w:r w:rsidR="004A25AD">
        <w:rPr>
          <w:color w:val="000000"/>
          <w:sz w:val="22"/>
          <w:szCs w:val="22"/>
        </w:rPr>
        <w:t xml:space="preserve"> vonatkozó</w:t>
      </w:r>
      <w:r w:rsidRPr="00B17BE3">
        <w:rPr>
          <w:color w:val="000000"/>
          <w:sz w:val="22"/>
          <w:szCs w:val="22"/>
        </w:rPr>
        <w:t xml:space="preserve"> </w:t>
      </w:r>
      <w:r w:rsidR="00A8579B" w:rsidRPr="00EF51F9">
        <w:rPr>
          <w:sz w:val="22"/>
          <w:szCs w:val="22"/>
        </w:rPr>
        <w:t>biztonságossági profilja és a felnőtt betegeknél korábban jelentett biztonságossági profil között a mellékhatások típusát, gyakoriságát és súlyosságát illetően nem azonosítottak jelentős különbségeket.</w:t>
      </w:r>
    </w:p>
    <w:p w14:paraId="2D7A1F61" w14:textId="77777777" w:rsidR="0038161D" w:rsidRDefault="0038161D" w:rsidP="001902F4">
      <w:pPr>
        <w:rPr>
          <w:color w:val="000000"/>
          <w:sz w:val="22"/>
          <w:szCs w:val="22"/>
        </w:rPr>
      </w:pPr>
    </w:p>
    <w:p w14:paraId="005E5DB8" w14:textId="49DBC6FA" w:rsidR="009A33AD" w:rsidRPr="002D680A" w:rsidRDefault="009A33AD" w:rsidP="009A33AD">
      <w:pPr>
        <w:rPr>
          <w:snapToGrid w:val="0"/>
          <w:sz w:val="22"/>
          <w:szCs w:val="22"/>
        </w:rPr>
      </w:pPr>
      <w:r w:rsidRPr="002D680A">
        <w:rPr>
          <w:sz w:val="22"/>
          <w:szCs w:val="22"/>
        </w:rPr>
        <w:t xml:space="preserve">A legfeljebb 1 éven át tartó </w:t>
      </w:r>
      <w:r>
        <w:rPr>
          <w:sz w:val="22"/>
          <w:szCs w:val="22"/>
        </w:rPr>
        <w:t>valzartán</w:t>
      </w:r>
      <w:r w:rsidRPr="002D680A">
        <w:rPr>
          <w:sz w:val="22"/>
          <w:szCs w:val="22"/>
        </w:rPr>
        <w:noBreakHyphen/>
        <w:t>kezelés után a 6</w:t>
      </w:r>
      <w:r w:rsidRPr="002D680A">
        <w:rPr>
          <w:sz w:val="22"/>
          <w:szCs w:val="22"/>
        </w:rPr>
        <w:noBreakHyphen/>
        <w:t xml:space="preserve">16 éves gyermekek és serdülők </w:t>
      </w:r>
      <w:r w:rsidRPr="002D680A">
        <w:rPr>
          <w:snapToGrid w:val="0"/>
          <w:sz w:val="22"/>
          <w:szCs w:val="22"/>
        </w:rPr>
        <w:t>neurokognitív vizsgálata és fejlődésének értékelése összességében nem mutatott ki semmilyen, klinikailag jelentős ártalmas hatást.</w:t>
      </w:r>
    </w:p>
    <w:p w14:paraId="52165FB1" w14:textId="77777777" w:rsidR="009A33AD" w:rsidRDefault="009A33AD" w:rsidP="001902F4">
      <w:pPr>
        <w:rPr>
          <w:color w:val="000000"/>
          <w:sz w:val="22"/>
          <w:szCs w:val="22"/>
        </w:rPr>
      </w:pPr>
    </w:p>
    <w:p w14:paraId="41129837" w14:textId="52148E57" w:rsidR="00B17BE3" w:rsidRPr="006C21FC" w:rsidRDefault="00B17BE3" w:rsidP="00B17BE3">
      <w:pPr>
        <w:rPr>
          <w:sz w:val="22"/>
          <w:szCs w:val="22"/>
        </w:rPr>
      </w:pPr>
      <w:r w:rsidRPr="006C21FC">
        <w:rPr>
          <w:sz w:val="22"/>
          <w:szCs w:val="22"/>
        </w:rPr>
        <w:lastRenderedPageBreak/>
        <w:t>Ötszázhatvan (560) vagy valzartán</w:t>
      </w:r>
      <w:r w:rsidR="00347F79">
        <w:rPr>
          <w:sz w:val="22"/>
          <w:szCs w:val="22"/>
        </w:rPr>
        <w:t>-</w:t>
      </w:r>
      <w:r w:rsidRPr="006C21FC">
        <w:rPr>
          <w:sz w:val="22"/>
          <w:szCs w:val="22"/>
        </w:rPr>
        <w:t xml:space="preserve">monoterápiát [n = 483] vagy valzartánt is tartalmazó, kombinált vérnyomáscsökkentő kezelést [n = 77] kapó hypertoniás </w:t>
      </w:r>
      <w:r w:rsidR="004A25AD" w:rsidRPr="004A25AD">
        <w:rPr>
          <w:sz w:val="22"/>
          <w:szCs w:val="22"/>
        </w:rPr>
        <w:t>gyermek és serdülő</w:t>
      </w:r>
      <w:r w:rsidRPr="006C21FC">
        <w:rPr>
          <w:sz w:val="22"/>
          <w:szCs w:val="22"/>
        </w:rPr>
        <w:t xml:space="preserve"> (6</w:t>
      </w:r>
      <w:r w:rsidRPr="006C21FC">
        <w:rPr>
          <w:sz w:val="22"/>
          <w:szCs w:val="22"/>
        </w:rPr>
        <w:noBreakHyphen/>
        <w:t>17 éves) összesített analízisét végezték el. Az 560 betegből 85</w:t>
      </w:r>
      <w:r w:rsidRPr="006C21FC">
        <w:rPr>
          <w:sz w:val="22"/>
          <w:szCs w:val="22"/>
        </w:rPr>
        <w:noBreakHyphen/>
        <w:t>nek (15,2%) volt krónikus vesebetegsége (kiindulási GFR &lt; 90 ml/perc/1,73m</w:t>
      </w:r>
      <w:r w:rsidRPr="006C21FC">
        <w:rPr>
          <w:sz w:val="22"/>
          <w:szCs w:val="22"/>
          <w:vertAlign w:val="superscript"/>
        </w:rPr>
        <w:t>2</w:t>
      </w:r>
      <w:r w:rsidRPr="006C21FC">
        <w:rPr>
          <w:sz w:val="22"/>
          <w:szCs w:val="22"/>
        </w:rPr>
        <w:t>). Összesen 45 (8,0%) beteg hagyta abba a vizsgálatban való részvételt nemkívánatos események miatt. Összesen 111 (19,8%) beteg észlelt gyógyszer okozta mellékhatást, és a fejfájás (5,4%), szédülés (2,3%) és hyperkalemia (2,3%) volt a leggyakoribb. A krónikus vesebetegségben szenvedő betegeknél a leggyakoribb gyógyszer okozta mellékhatás a hyperkalaemia (12,9%), a fejfájás (7,1%), a vér emelkedett kreatininszintje (5,9%) és a hypotonia volt (4,7%). A krónikus vesebetegségben nem szenvedő betegeknél a leggyakoribb gyógyszer okozta mellékhatás a fejfájás (5,1%) és a szédülés volt (2,7%). Gyógyszer okozta mellékhatásokat gyakrabban észleltek a más vérnyomáscsökkentőkkel kombinációban valzartánt kapó betegeknél, mint a valzartán</w:t>
      </w:r>
      <w:r w:rsidR="00347F79">
        <w:rPr>
          <w:sz w:val="22"/>
          <w:szCs w:val="22"/>
        </w:rPr>
        <w:t>-</w:t>
      </w:r>
      <w:r w:rsidRPr="006C21FC">
        <w:rPr>
          <w:sz w:val="22"/>
          <w:szCs w:val="22"/>
        </w:rPr>
        <w:t>monoterápiát kapóknál.</w:t>
      </w:r>
    </w:p>
    <w:p w14:paraId="4E1F30CE" w14:textId="77777777" w:rsidR="0038161D" w:rsidRPr="00345BCE" w:rsidRDefault="0038161D" w:rsidP="00B0458C">
      <w:pPr>
        <w:rPr>
          <w:snapToGrid w:val="0"/>
          <w:sz w:val="22"/>
          <w:szCs w:val="22"/>
        </w:rPr>
      </w:pPr>
    </w:p>
    <w:p w14:paraId="3CD5AB61" w14:textId="2C7C818E" w:rsidR="00F966C3" w:rsidRPr="00F966C3" w:rsidRDefault="00DD3731" w:rsidP="00F966C3">
      <w:pPr>
        <w:autoSpaceDE w:val="0"/>
        <w:autoSpaceDN w:val="0"/>
        <w:adjustRightInd w:val="0"/>
        <w:rPr>
          <w:sz w:val="22"/>
          <w:szCs w:val="22"/>
        </w:rPr>
      </w:pPr>
      <w:r w:rsidRPr="00DD3731">
        <w:rPr>
          <w:sz w:val="22"/>
          <w:szCs w:val="22"/>
        </w:rPr>
        <w:t xml:space="preserve">A valzartán vérnyomáscsökkentő hatását </w:t>
      </w:r>
      <w:r w:rsidR="00347F79">
        <w:rPr>
          <w:sz w:val="22"/>
          <w:szCs w:val="22"/>
        </w:rPr>
        <w:t xml:space="preserve">legalább </w:t>
      </w:r>
      <w:r w:rsidRPr="00DD3731">
        <w:rPr>
          <w:sz w:val="22"/>
          <w:szCs w:val="22"/>
        </w:rPr>
        <w:t>1</w:t>
      </w:r>
      <w:r w:rsidR="00347F79">
        <w:rPr>
          <w:sz w:val="22"/>
          <w:szCs w:val="22"/>
        </w:rPr>
        <w:t xml:space="preserve"> éves, de </w:t>
      </w:r>
      <w:r w:rsidRPr="00DD3731">
        <w:rPr>
          <w:sz w:val="22"/>
          <w:szCs w:val="22"/>
        </w:rPr>
        <w:t xml:space="preserve">6 évesnél fiatalabb </w:t>
      </w:r>
      <w:r w:rsidR="00347F79">
        <w:rPr>
          <w:sz w:val="22"/>
          <w:szCs w:val="22"/>
        </w:rPr>
        <w:t xml:space="preserve">korú </w:t>
      </w:r>
      <w:r w:rsidRPr="00DD3731">
        <w:rPr>
          <w:sz w:val="22"/>
          <w:szCs w:val="22"/>
        </w:rPr>
        <w:t xml:space="preserve">gyermekeknél értékelték három randomizált, kettős vak klinikai vizsgálatban (mindegyiket egy kiterjesztett szakasz is követett). Az első vizsgálatban 90, </w:t>
      </w:r>
      <w:r w:rsidR="00347F79">
        <w:rPr>
          <w:sz w:val="22"/>
          <w:szCs w:val="22"/>
        </w:rPr>
        <w:t xml:space="preserve">legalább </w:t>
      </w:r>
      <w:r w:rsidR="00347F79" w:rsidRPr="00DD3731">
        <w:rPr>
          <w:sz w:val="22"/>
          <w:szCs w:val="22"/>
        </w:rPr>
        <w:t>1</w:t>
      </w:r>
      <w:r w:rsidR="00347F79">
        <w:rPr>
          <w:sz w:val="22"/>
          <w:szCs w:val="22"/>
        </w:rPr>
        <w:t xml:space="preserve"> éves, de </w:t>
      </w:r>
      <w:r w:rsidR="00347F79" w:rsidRPr="00DD3731">
        <w:rPr>
          <w:sz w:val="22"/>
          <w:szCs w:val="22"/>
        </w:rPr>
        <w:t xml:space="preserve">6 évesnél fiatalabb </w:t>
      </w:r>
      <w:r w:rsidR="00347F79">
        <w:rPr>
          <w:sz w:val="22"/>
          <w:szCs w:val="22"/>
        </w:rPr>
        <w:t xml:space="preserve">korú </w:t>
      </w:r>
      <w:r w:rsidRPr="00DD3731">
        <w:rPr>
          <w:sz w:val="22"/>
          <w:szCs w:val="22"/>
        </w:rPr>
        <w:t>gyermeknél két halálesetet és a hepaticus transzaminázok aktivitásának jelentős emelkedésének elszigetelt eseteit észlelték.</w:t>
      </w:r>
      <w:r>
        <w:rPr>
          <w:sz w:val="22"/>
          <w:szCs w:val="22"/>
        </w:rPr>
        <w:t xml:space="preserve"> </w:t>
      </w:r>
      <w:r w:rsidR="0038161D" w:rsidRPr="00345BCE">
        <w:rPr>
          <w:sz w:val="22"/>
          <w:szCs w:val="22"/>
        </w:rPr>
        <w:t xml:space="preserve">Ezek az esetek egy olyan </w:t>
      </w:r>
      <w:r w:rsidR="00E47A24">
        <w:rPr>
          <w:sz w:val="22"/>
          <w:szCs w:val="22"/>
        </w:rPr>
        <w:t>betegcsoportban</w:t>
      </w:r>
      <w:r w:rsidR="0038161D" w:rsidRPr="00345BCE">
        <w:rPr>
          <w:sz w:val="22"/>
          <w:szCs w:val="22"/>
        </w:rPr>
        <w:t xml:space="preserve"> következtek be, amelyben komoly kísérőbetegségek fordultak elő. A </w:t>
      </w:r>
      <w:r w:rsidR="004567AE">
        <w:rPr>
          <w:sz w:val="22"/>
          <w:szCs w:val="22"/>
        </w:rPr>
        <w:t>v</w:t>
      </w:r>
      <w:r w:rsidR="00345BCE" w:rsidRPr="00345BCE">
        <w:rPr>
          <w:sz w:val="22"/>
          <w:szCs w:val="22"/>
        </w:rPr>
        <w:t>al</w:t>
      </w:r>
      <w:r w:rsidR="006B56A6">
        <w:rPr>
          <w:sz w:val="22"/>
          <w:szCs w:val="22"/>
        </w:rPr>
        <w:t>z</w:t>
      </w:r>
      <w:r w:rsidR="00345BCE" w:rsidRPr="00345BCE">
        <w:rPr>
          <w:sz w:val="22"/>
          <w:szCs w:val="22"/>
        </w:rPr>
        <w:t>art</w:t>
      </w:r>
      <w:r w:rsidR="006B56A6">
        <w:rPr>
          <w:sz w:val="22"/>
          <w:szCs w:val="22"/>
        </w:rPr>
        <w:t>á</w:t>
      </w:r>
      <w:r w:rsidR="00345BCE" w:rsidRPr="00345BCE">
        <w:rPr>
          <w:sz w:val="22"/>
          <w:szCs w:val="22"/>
        </w:rPr>
        <w:t>n</w:t>
      </w:r>
      <w:r w:rsidR="0038161D" w:rsidRPr="00345BCE">
        <w:rPr>
          <w:sz w:val="22"/>
          <w:szCs w:val="22"/>
        </w:rPr>
        <w:t xml:space="preserve">nal való ok-okozati összefüggést nem állapították meg. </w:t>
      </w:r>
      <w:r w:rsidR="00F966C3" w:rsidRPr="00F966C3">
        <w:rPr>
          <w:sz w:val="22"/>
          <w:szCs w:val="22"/>
        </w:rPr>
        <w:t xml:space="preserve">A következő két vizsgálatban, amelybe 202, </w:t>
      </w:r>
      <w:r w:rsidR="00347F79">
        <w:rPr>
          <w:sz w:val="22"/>
          <w:szCs w:val="22"/>
        </w:rPr>
        <w:t xml:space="preserve">legalább </w:t>
      </w:r>
      <w:r w:rsidR="00347F79" w:rsidRPr="00DD3731">
        <w:rPr>
          <w:sz w:val="22"/>
          <w:szCs w:val="22"/>
        </w:rPr>
        <w:t>1</w:t>
      </w:r>
      <w:r w:rsidR="00347F79">
        <w:rPr>
          <w:sz w:val="22"/>
          <w:szCs w:val="22"/>
        </w:rPr>
        <w:t xml:space="preserve"> éves, de </w:t>
      </w:r>
      <w:r w:rsidR="00347F79" w:rsidRPr="00DD3731">
        <w:rPr>
          <w:sz w:val="22"/>
          <w:szCs w:val="22"/>
        </w:rPr>
        <w:t xml:space="preserve">6 évesnél fiatalabb </w:t>
      </w:r>
      <w:r w:rsidR="00347F79">
        <w:rPr>
          <w:sz w:val="22"/>
          <w:szCs w:val="22"/>
        </w:rPr>
        <w:t xml:space="preserve">korú </w:t>
      </w:r>
      <w:r w:rsidR="00F966C3" w:rsidRPr="00F966C3">
        <w:rPr>
          <w:sz w:val="22"/>
          <w:szCs w:val="22"/>
        </w:rPr>
        <w:t>gyermeket soroltak be random módon, a valzartán-kezelés során sem a hepaticus transzaminázok aktivitásának jelentős emelkedését, sem halálesetet nem észleltek.</w:t>
      </w:r>
    </w:p>
    <w:p w14:paraId="6C1C7842" w14:textId="77777777" w:rsidR="00F966C3" w:rsidRPr="00F966C3" w:rsidRDefault="00F966C3" w:rsidP="00F966C3">
      <w:pPr>
        <w:autoSpaceDE w:val="0"/>
        <w:autoSpaceDN w:val="0"/>
        <w:adjustRightInd w:val="0"/>
        <w:rPr>
          <w:sz w:val="22"/>
          <w:szCs w:val="22"/>
        </w:rPr>
      </w:pPr>
    </w:p>
    <w:p w14:paraId="1DA0247C" w14:textId="5FE68DE2" w:rsidR="0038161D" w:rsidRPr="00345BCE" w:rsidRDefault="00F966C3" w:rsidP="00F966C3">
      <w:pPr>
        <w:autoSpaceDE w:val="0"/>
        <w:autoSpaceDN w:val="0"/>
        <w:adjustRightInd w:val="0"/>
        <w:rPr>
          <w:sz w:val="22"/>
          <w:szCs w:val="22"/>
        </w:rPr>
      </w:pPr>
      <w:r w:rsidRPr="00F966C3">
        <w:rPr>
          <w:sz w:val="22"/>
          <w:szCs w:val="22"/>
        </w:rPr>
        <w:t>A kétszázkettő (202) hypertoniás gyermek (</w:t>
      </w:r>
      <w:r w:rsidR="00347F79">
        <w:rPr>
          <w:sz w:val="22"/>
          <w:szCs w:val="22"/>
        </w:rPr>
        <w:t xml:space="preserve">legalább </w:t>
      </w:r>
      <w:r w:rsidR="00347F79" w:rsidRPr="00DD3731">
        <w:rPr>
          <w:sz w:val="22"/>
          <w:szCs w:val="22"/>
        </w:rPr>
        <w:t>1</w:t>
      </w:r>
      <w:r w:rsidR="00347F79">
        <w:rPr>
          <w:sz w:val="22"/>
          <w:szCs w:val="22"/>
        </w:rPr>
        <w:t xml:space="preserve"> éves, de </w:t>
      </w:r>
      <w:r w:rsidR="00347F79" w:rsidRPr="00DD3731">
        <w:rPr>
          <w:sz w:val="22"/>
          <w:szCs w:val="22"/>
        </w:rPr>
        <w:t xml:space="preserve">6 évesnél fiatalabb </w:t>
      </w:r>
      <w:r w:rsidR="00347F79">
        <w:rPr>
          <w:sz w:val="22"/>
          <w:szCs w:val="22"/>
        </w:rPr>
        <w:t>korúak</w:t>
      </w:r>
      <w:r w:rsidRPr="00F966C3">
        <w:rPr>
          <w:sz w:val="22"/>
          <w:szCs w:val="22"/>
        </w:rPr>
        <w:t>) bevonásával végzett két következő vizsgálat összesített analízisében minden beteg valzartán-monoterápiát kapott a kettős vak szakaszokban (kivéve a placebo megvonásos szakaszt). Közülük 186 beteg folytatta a kezelést, vagy kiterjesztett vizsgálatban, vagy nyílt elrendezésű vizsgálati szakaszban. A 202 betegből 33</w:t>
      </w:r>
      <w:r w:rsidR="00347F79">
        <w:rPr>
          <w:sz w:val="22"/>
          <w:szCs w:val="22"/>
        </w:rPr>
        <w:t>-</w:t>
      </w:r>
      <w:r w:rsidRPr="00F966C3">
        <w:rPr>
          <w:sz w:val="22"/>
          <w:szCs w:val="22"/>
        </w:rPr>
        <w:t>nak (16,3%) volt krónikus vesebetegsége (kiindulási érték: eGFR &lt; 90</w:t>
      </w:r>
      <w:r w:rsidR="00347F79">
        <w:rPr>
          <w:sz w:val="22"/>
          <w:szCs w:val="22"/>
        </w:rPr>
        <w:t> </w:t>
      </w:r>
      <w:r w:rsidRPr="00F966C3">
        <w:rPr>
          <w:sz w:val="22"/>
          <w:szCs w:val="22"/>
        </w:rPr>
        <w:t xml:space="preserve">ml/perc). A kettős vak szakaszban két beteg (1%), a nyílt elrendezésű vagy a kiterjesztett vizsgálatban pedig négy beteg (2,1%) hagyta abba a vizsgálatot nemkívánatos esemény miatt. A kettős vak szakaszban 13 beteg (7,0%) tapasztalt legalább egy mellékhatást. A leggyakoribb mellékhatások a hányás </w:t>
      </w:r>
      <w:r w:rsidR="00347F79">
        <w:rPr>
          <w:sz w:val="22"/>
          <w:szCs w:val="22"/>
        </w:rPr>
        <w:t>(</w:t>
      </w:r>
      <w:r w:rsidRPr="00F966C3">
        <w:rPr>
          <w:sz w:val="22"/>
          <w:szCs w:val="22"/>
        </w:rPr>
        <w:t>n = 3</w:t>
      </w:r>
      <w:r w:rsidR="00347F79">
        <w:rPr>
          <w:sz w:val="22"/>
          <w:szCs w:val="22"/>
        </w:rPr>
        <w:t>,</w:t>
      </w:r>
      <w:r w:rsidRPr="00F966C3">
        <w:rPr>
          <w:sz w:val="22"/>
          <w:szCs w:val="22"/>
        </w:rPr>
        <w:t xml:space="preserve"> 1,6%) és hasmenés </w:t>
      </w:r>
      <w:r w:rsidR="00347F79">
        <w:rPr>
          <w:sz w:val="22"/>
          <w:szCs w:val="22"/>
        </w:rPr>
        <w:t>(</w:t>
      </w:r>
      <w:r w:rsidRPr="00F966C3">
        <w:rPr>
          <w:sz w:val="22"/>
          <w:szCs w:val="22"/>
        </w:rPr>
        <w:t>n = 2</w:t>
      </w:r>
      <w:r w:rsidR="00347F79">
        <w:rPr>
          <w:sz w:val="22"/>
          <w:szCs w:val="22"/>
        </w:rPr>
        <w:t>,</w:t>
      </w:r>
      <w:r w:rsidRPr="00F966C3">
        <w:rPr>
          <w:sz w:val="22"/>
          <w:szCs w:val="22"/>
        </w:rPr>
        <w:t xml:space="preserve"> 1,1%) voltak.</w:t>
      </w:r>
      <w:r w:rsidR="005824A0">
        <w:rPr>
          <w:sz w:val="22"/>
          <w:szCs w:val="22"/>
        </w:rPr>
        <w:t xml:space="preserve"> </w:t>
      </w:r>
      <w:r w:rsidRPr="00F966C3">
        <w:rPr>
          <w:sz w:val="22"/>
          <w:szCs w:val="22"/>
        </w:rPr>
        <w:t>A krónikus vesebetegek csoportjában egy mellékhatás (hasmenés) volt. A nyílt elrendezésű vizsgálati szakaszban a betegek 5,4%-a (10/186) tapasztalt legalább egy mellékhatást. A leggyakoribb mellékhatás az étvágycsökkenés volt, amit két beteg (1,1%) jelentett. Mind a kettős vak szakaszban, mind a nyílt elrendezésű szakaszokban jelentettek hyperkalaemiát, mindkét szakaszban egy-egy betegnél. Sem a kettős vak, sem a nyílt elrendezésű vizsgálatokban nem jelentettek hypot</w:t>
      </w:r>
      <w:r w:rsidR="00347F79">
        <w:rPr>
          <w:sz w:val="22"/>
          <w:szCs w:val="22"/>
        </w:rPr>
        <w:t>e</w:t>
      </w:r>
      <w:r w:rsidRPr="00F966C3">
        <w:rPr>
          <w:sz w:val="22"/>
          <w:szCs w:val="22"/>
        </w:rPr>
        <w:t>n</w:t>
      </w:r>
      <w:r w:rsidR="00347F79">
        <w:rPr>
          <w:sz w:val="22"/>
          <w:szCs w:val="22"/>
        </w:rPr>
        <w:t>s</w:t>
      </w:r>
      <w:r w:rsidRPr="00F966C3">
        <w:rPr>
          <w:sz w:val="22"/>
          <w:szCs w:val="22"/>
        </w:rPr>
        <w:t>i</w:t>
      </w:r>
      <w:r w:rsidR="00347F79">
        <w:rPr>
          <w:sz w:val="22"/>
          <w:szCs w:val="22"/>
        </w:rPr>
        <w:t>ó</w:t>
      </w:r>
      <w:r w:rsidRPr="00F966C3">
        <w:rPr>
          <w:sz w:val="22"/>
          <w:szCs w:val="22"/>
        </w:rPr>
        <w:t>t vagy szédülést.</w:t>
      </w:r>
    </w:p>
    <w:p w14:paraId="23A4593A" w14:textId="77777777" w:rsidR="0038161D" w:rsidRPr="00345BCE" w:rsidRDefault="0038161D" w:rsidP="00C560EC">
      <w:pPr>
        <w:rPr>
          <w:sz w:val="22"/>
          <w:szCs w:val="22"/>
        </w:rPr>
      </w:pPr>
    </w:p>
    <w:p w14:paraId="72FFD80A" w14:textId="3271B009" w:rsidR="0038161D" w:rsidRPr="00345BCE" w:rsidRDefault="005824A0" w:rsidP="00C560EC">
      <w:pPr>
        <w:rPr>
          <w:sz w:val="22"/>
          <w:szCs w:val="22"/>
        </w:rPr>
      </w:pPr>
      <w:r w:rsidRPr="005824A0">
        <w:rPr>
          <w:sz w:val="22"/>
          <w:szCs w:val="22"/>
        </w:rPr>
        <w:t xml:space="preserve">Hyperkalaemiát gyakrabban figyeltek meg krónikus vesebetegségben szenvedő </w:t>
      </w:r>
      <w:r w:rsidR="00B1779D">
        <w:rPr>
          <w:sz w:val="22"/>
          <w:szCs w:val="22"/>
        </w:rPr>
        <w:t xml:space="preserve">legalább </w:t>
      </w:r>
      <w:r w:rsidR="00B1779D" w:rsidRPr="00DD3731">
        <w:rPr>
          <w:sz w:val="22"/>
          <w:szCs w:val="22"/>
        </w:rPr>
        <w:t>1</w:t>
      </w:r>
      <w:r w:rsidR="00B1779D">
        <w:rPr>
          <w:sz w:val="22"/>
          <w:szCs w:val="22"/>
        </w:rPr>
        <w:t xml:space="preserve"> éves, de 18</w:t>
      </w:r>
      <w:r w:rsidR="00B1779D" w:rsidRPr="00DD3731">
        <w:rPr>
          <w:sz w:val="22"/>
          <w:szCs w:val="22"/>
        </w:rPr>
        <w:t xml:space="preserve"> évesnél fiatalabb </w:t>
      </w:r>
      <w:r w:rsidR="00B1779D">
        <w:rPr>
          <w:sz w:val="22"/>
          <w:szCs w:val="22"/>
        </w:rPr>
        <w:t xml:space="preserve">korú </w:t>
      </w:r>
      <w:r w:rsidRPr="005824A0">
        <w:rPr>
          <w:sz w:val="22"/>
          <w:szCs w:val="22"/>
        </w:rPr>
        <w:t>gyermekeknél és serdülőknél. A hyperkalaemia kockázata magasabb lehet az 1</w:t>
      </w:r>
      <w:r>
        <w:rPr>
          <w:sz w:val="22"/>
          <w:szCs w:val="22"/>
        </w:rPr>
        <w:t>-</w:t>
      </w:r>
      <w:r w:rsidRPr="005824A0">
        <w:rPr>
          <w:sz w:val="22"/>
          <w:szCs w:val="22"/>
        </w:rPr>
        <w:t xml:space="preserve">5 éves gyermekeknél, mint a </w:t>
      </w:r>
      <w:r w:rsidR="00B1779D">
        <w:rPr>
          <w:sz w:val="22"/>
          <w:szCs w:val="22"/>
        </w:rPr>
        <w:t>legalább 6 éves, de 18</w:t>
      </w:r>
      <w:r w:rsidR="00B1779D" w:rsidRPr="00DD3731">
        <w:rPr>
          <w:sz w:val="22"/>
          <w:szCs w:val="22"/>
        </w:rPr>
        <w:t xml:space="preserve"> évesnél fiatalabb </w:t>
      </w:r>
      <w:r w:rsidR="00B1779D">
        <w:rPr>
          <w:sz w:val="22"/>
          <w:szCs w:val="22"/>
        </w:rPr>
        <w:t xml:space="preserve">korú </w:t>
      </w:r>
      <w:r w:rsidRPr="005824A0">
        <w:rPr>
          <w:sz w:val="22"/>
          <w:szCs w:val="22"/>
        </w:rPr>
        <w:t>gyermekeknél és serdülőknél.</w:t>
      </w:r>
    </w:p>
    <w:p w14:paraId="19C300C2" w14:textId="77777777" w:rsidR="005824A0" w:rsidRDefault="005824A0" w:rsidP="00C560EC">
      <w:pPr>
        <w:rPr>
          <w:sz w:val="22"/>
          <w:szCs w:val="22"/>
        </w:rPr>
      </w:pPr>
    </w:p>
    <w:p w14:paraId="5C0FECE5" w14:textId="24C44CCC" w:rsidR="0038161D" w:rsidRPr="00345BCE" w:rsidRDefault="0038161D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 kontrollos klinikai vizsgálatokban a myocardialis infarctuson átesett és/vagy szívelégtelenségben szenvedő felnőtt betegeknél észlelt biztonságossági profil eltér a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betegeknél észlelt általános biztonságossági profiltól. Ez a betegek alapbetegségével függhet össze. A myocardialis infarctuson átesett és/vagy szívelégtelenségben szenvedő felnőtt betegeknél észlelt gyógyszer okozta mellékhatások az alábbiakban kerülnek felsorolásra.</w:t>
      </w:r>
    </w:p>
    <w:p w14:paraId="69FFF15E" w14:textId="77777777" w:rsidR="00502D9F" w:rsidRPr="00345BCE" w:rsidRDefault="00502D9F" w:rsidP="00C560EC">
      <w:pPr>
        <w:pStyle w:val="Text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p w14:paraId="1ADB9DBC" w14:textId="77777777" w:rsidR="0038161D" w:rsidRPr="00345BCE" w:rsidRDefault="00342164" w:rsidP="00C560EC">
      <w:pPr>
        <w:widowControl/>
        <w:numPr>
          <w:ilvl w:val="0"/>
          <w:numId w:val="5"/>
        </w:numPr>
        <w:tabs>
          <w:tab w:val="clear" w:pos="502"/>
          <w:tab w:val="num" w:pos="567"/>
        </w:tabs>
        <w:suppressAutoHyphens w:val="0"/>
        <w:ind w:left="567" w:hanging="567"/>
        <w:rPr>
          <w:sz w:val="22"/>
          <w:szCs w:val="22"/>
          <w:u w:val="single"/>
        </w:rPr>
      </w:pPr>
      <w:r w:rsidRPr="00345BCE">
        <w:rPr>
          <w:b/>
          <w:sz w:val="22"/>
          <w:szCs w:val="22"/>
        </w:rPr>
        <w:t>Myocardialis infarctus utáni állapot és/vagy szívelégtelenség</w:t>
      </w:r>
      <w:r w:rsidR="0038161D" w:rsidRPr="00345BCE">
        <w:rPr>
          <w:b/>
          <w:sz w:val="22"/>
          <w:szCs w:val="22"/>
        </w:rPr>
        <w:t xml:space="preserve"> </w:t>
      </w:r>
      <w:r w:rsidR="0038161D" w:rsidRPr="00345BCE">
        <w:rPr>
          <w:sz w:val="22"/>
          <w:szCs w:val="22"/>
          <w:u w:val="single"/>
        </w:rPr>
        <w:t>(csak felnőtt betegeknél vizsgálták)</w:t>
      </w:r>
    </w:p>
    <w:p w14:paraId="763EEF10" w14:textId="77777777" w:rsidR="00342164" w:rsidRPr="00345BCE" w:rsidRDefault="00342164" w:rsidP="005760F3">
      <w:pPr>
        <w:widowControl/>
        <w:tabs>
          <w:tab w:val="left" w:pos="567"/>
        </w:tabs>
        <w:suppressAutoHyphens w:val="0"/>
        <w:ind w:left="360"/>
        <w:rPr>
          <w:b/>
          <w:sz w:val="22"/>
          <w:szCs w:val="22"/>
        </w:rPr>
      </w:pPr>
    </w:p>
    <w:p w14:paraId="67663ABC" w14:textId="77777777" w:rsidR="00342164" w:rsidRPr="00345BCE" w:rsidRDefault="00342164" w:rsidP="0097699A">
      <w:pPr>
        <w:pStyle w:val="Text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02"/>
        <w:gridCol w:w="58"/>
        <w:gridCol w:w="51"/>
        <w:gridCol w:w="4548"/>
      </w:tblGrid>
      <w:tr w:rsidR="00342164" w:rsidRPr="00345BCE" w14:paraId="0384883F" w14:textId="77777777" w:rsidTr="00C560EC">
        <w:tc>
          <w:tcPr>
            <w:tcW w:w="9322" w:type="dxa"/>
            <w:gridSpan w:val="4"/>
          </w:tcPr>
          <w:p w14:paraId="57E83D4D" w14:textId="77777777" w:rsidR="00342164" w:rsidRPr="00345BCE" w:rsidRDefault="00342164" w:rsidP="00666A5A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Vérképzőszervi és nyirokrendszeri betegségek és tünetek</w:t>
            </w:r>
          </w:p>
        </w:tc>
      </w:tr>
      <w:tr w:rsidR="00342164" w:rsidRPr="00345BCE" w14:paraId="7C075F4A" w14:textId="77777777" w:rsidTr="00C560EC">
        <w:tc>
          <w:tcPr>
            <w:tcW w:w="4608" w:type="dxa"/>
            <w:gridSpan w:val="2"/>
          </w:tcPr>
          <w:p w14:paraId="0E6B8120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4D4570DB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Thrombocytopenia </w:t>
            </w:r>
          </w:p>
        </w:tc>
      </w:tr>
      <w:tr w:rsidR="00342164" w:rsidRPr="00345BCE" w14:paraId="3B7D206D" w14:textId="77777777" w:rsidTr="00C560EC">
        <w:tc>
          <w:tcPr>
            <w:tcW w:w="9322" w:type="dxa"/>
            <w:gridSpan w:val="4"/>
          </w:tcPr>
          <w:p w14:paraId="41DFA300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Immunrendszeri betegségek és tünetek</w:t>
            </w:r>
          </w:p>
        </w:tc>
      </w:tr>
      <w:tr w:rsidR="00342164" w:rsidRPr="00345BCE" w14:paraId="57FCB1F9" w14:textId="77777777" w:rsidTr="00C560EC">
        <w:tc>
          <w:tcPr>
            <w:tcW w:w="4608" w:type="dxa"/>
            <w:gridSpan w:val="2"/>
          </w:tcPr>
          <w:p w14:paraId="4A51BEE1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3D1489F1" w14:textId="77777777" w:rsidR="00342164" w:rsidRPr="00345BCE" w:rsidRDefault="00342164" w:rsidP="00EA386A">
            <w:pPr>
              <w:keepNext/>
              <w:keepLines/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Túlérzékenység, beleértve a szérumbetegséget</w:t>
            </w:r>
          </w:p>
        </w:tc>
      </w:tr>
      <w:tr w:rsidR="00342164" w:rsidRPr="00345BCE" w14:paraId="24BACC97" w14:textId="77777777" w:rsidTr="00C560EC">
        <w:tc>
          <w:tcPr>
            <w:tcW w:w="9322" w:type="dxa"/>
            <w:gridSpan w:val="4"/>
          </w:tcPr>
          <w:p w14:paraId="14448BFB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lastRenderedPageBreak/>
              <w:t>Anyagcsere- és táplálkozási betegségek és tünetek</w:t>
            </w:r>
          </w:p>
        </w:tc>
      </w:tr>
      <w:tr w:rsidR="00342164" w:rsidRPr="00345BCE" w14:paraId="0D217997" w14:textId="77777777" w:rsidTr="00C560EC">
        <w:tc>
          <w:tcPr>
            <w:tcW w:w="4608" w:type="dxa"/>
            <w:gridSpan w:val="2"/>
          </w:tcPr>
          <w:p w14:paraId="2D477D5F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2AA1680D" w14:textId="77777777" w:rsidR="00342164" w:rsidRPr="00345BCE" w:rsidRDefault="003416C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H</w:t>
            </w:r>
            <w:r w:rsidR="00834B34">
              <w:rPr>
                <w:sz w:val="22"/>
                <w:szCs w:val="22"/>
              </w:rPr>
              <w:t>y</w:t>
            </w:r>
            <w:r w:rsidRPr="00345BCE">
              <w:rPr>
                <w:sz w:val="22"/>
                <w:szCs w:val="22"/>
              </w:rPr>
              <w:t>perkal</w:t>
            </w:r>
            <w:r w:rsidR="00834B34">
              <w:rPr>
                <w:sz w:val="22"/>
                <w:szCs w:val="22"/>
              </w:rPr>
              <w:t>ae</w:t>
            </w:r>
            <w:r w:rsidRPr="00345BCE">
              <w:rPr>
                <w:sz w:val="22"/>
                <w:szCs w:val="22"/>
              </w:rPr>
              <w:t xml:space="preserve">mia </w:t>
            </w:r>
          </w:p>
        </w:tc>
      </w:tr>
      <w:tr w:rsidR="00342164" w:rsidRPr="00345BCE" w14:paraId="6344D96A" w14:textId="77777777" w:rsidTr="00C560EC">
        <w:tc>
          <w:tcPr>
            <w:tcW w:w="4608" w:type="dxa"/>
            <w:gridSpan w:val="2"/>
          </w:tcPr>
          <w:p w14:paraId="5842588A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044B994D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Emelkedett szérum káliumszint</w:t>
            </w:r>
            <w:r w:rsidR="00E725BF">
              <w:rPr>
                <w:sz w:val="22"/>
                <w:szCs w:val="22"/>
              </w:rPr>
              <w:t>, hyponatraemia</w:t>
            </w:r>
          </w:p>
        </w:tc>
      </w:tr>
      <w:tr w:rsidR="00342164" w:rsidRPr="00345BCE" w14:paraId="689E27FF" w14:textId="77777777" w:rsidTr="00C560EC">
        <w:tc>
          <w:tcPr>
            <w:tcW w:w="9322" w:type="dxa"/>
            <w:gridSpan w:val="4"/>
          </w:tcPr>
          <w:p w14:paraId="6355AB6C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Idegrendszeri betegségek és tünetek</w:t>
            </w:r>
          </w:p>
        </w:tc>
      </w:tr>
      <w:tr w:rsidR="00342164" w:rsidRPr="00345BCE" w14:paraId="58EF8BC4" w14:textId="77777777" w:rsidTr="00C560EC">
        <w:tc>
          <w:tcPr>
            <w:tcW w:w="4661" w:type="dxa"/>
            <w:gridSpan w:val="3"/>
          </w:tcPr>
          <w:p w14:paraId="167152B5" w14:textId="77777777" w:rsidR="00342164" w:rsidRPr="00345BCE" w:rsidRDefault="00342164" w:rsidP="001C2BD7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Gyakori</w:t>
            </w:r>
          </w:p>
        </w:tc>
        <w:tc>
          <w:tcPr>
            <w:tcW w:w="4661" w:type="dxa"/>
          </w:tcPr>
          <w:p w14:paraId="147EA0E7" w14:textId="77777777" w:rsidR="00342164" w:rsidRPr="00345BCE" w:rsidRDefault="00342164" w:rsidP="00EA386A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 xml:space="preserve">Szédülés, </w:t>
            </w:r>
            <w:r w:rsidR="00B45063">
              <w:rPr>
                <w:bCs/>
                <w:sz w:val="22"/>
                <w:szCs w:val="22"/>
              </w:rPr>
              <w:t>p</w:t>
            </w:r>
            <w:r w:rsidRPr="00345BCE">
              <w:rPr>
                <w:bCs/>
                <w:sz w:val="22"/>
                <w:szCs w:val="22"/>
              </w:rPr>
              <w:t>ostur</w:t>
            </w:r>
            <w:r w:rsidR="005760F3">
              <w:rPr>
                <w:bCs/>
                <w:sz w:val="22"/>
                <w:szCs w:val="22"/>
              </w:rPr>
              <w:t>a</w:t>
            </w:r>
            <w:r w:rsidRPr="00345BCE">
              <w:rPr>
                <w:bCs/>
                <w:sz w:val="22"/>
                <w:szCs w:val="22"/>
              </w:rPr>
              <w:t>lis szédülés</w:t>
            </w:r>
          </w:p>
        </w:tc>
      </w:tr>
      <w:tr w:rsidR="00342164" w:rsidRPr="00345BCE" w14:paraId="5E9EA205" w14:textId="77777777" w:rsidTr="00C560EC">
        <w:tc>
          <w:tcPr>
            <w:tcW w:w="4661" w:type="dxa"/>
            <w:gridSpan w:val="3"/>
          </w:tcPr>
          <w:p w14:paraId="78D1D3D6" w14:textId="77777777" w:rsidR="00342164" w:rsidRPr="00345BCE" w:rsidRDefault="00342164" w:rsidP="001C2BD7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Nem gyakori</w:t>
            </w:r>
          </w:p>
        </w:tc>
        <w:tc>
          <w:tcPr>
            <w:tcW w:w="4661" w:type="dxa"/>
          </w:tcPr>
          <w:p w14:paraId="24B8BFB1" w14:textId="77777777" w:rsidR="00342164" w:rsidRPr="00345BCE" w:rsidRDefault="00342164" w:rsidP="00EA386A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Syncope, </w:t>
            </w:r>
            <w:r w:rsidR="00B45063">
              <w:rPr>
                <w:sz w:val="22"/>
                <w:szCs w:val="22"/>
              </w:rPr>
              <w:t>f</w:t>
            </w:r>
            <w:r w:rsidRPr="00345BCE">
              <w:rPr>
                <w:sz w:val="22"/>
                <w:szCs w:val="22"/>
              </w:rPr>
              <w:t>ejfájás</w:t>
            </w:r>
          </w:p>
        </w:tc>
      </w:tr>
      <w:tr w:rsidR="00342164" w:rsidRPr="00345BCE" w14:paraId="3CD68478" w14:textId="77777777" w:rsidTr="00C560EC">
        <w:tc>
          <w:tcPr>
            <w:tcW w:w="9322" w:type="dxa"/>
            <w:gridSpan w:val="4"/>
          </w:tcPr>
          <w:p w14:paraId="06BA86EA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fül-, és az egyensúly-érzékelő szerv betegségei és tünetei</w:t>
            </w:r>
          </w:p>
        </w:tc>
      </w:tr>
      <w:tr w:rsidR="00342164" w:rsidRPr="00345BCE" w14:paraId="538D88AF" w14:textId="77777777" w:rsidTr="00C560EC">
        <w:tc>
          <w:tcPr>
            <w:tcW w:w="4608" w:type="dxa"/>
            <w:gridSpan w:val="2"/>
          </w:tcPr>
          <w:p w14:paraId="0CA4B1AF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254141FF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Vertigo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342164" w:rsidRPr="00345BCE" w14:paraId="581DBB59" w14:textId="77777777" w:rsidTr="00C560EC">
        <w:tc>
          <w:tcPr>
            <w:tcW w:w="9322" w:type="dxa"/>
            <w:gridSpan w:val="4"/>
          </w:tcPr>
          <w:p w14:paraId="77C1927D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Szívbetegségek és a szívvel kapcsolatos tünetek</w:t>
            </w:r>
          </w:p>
        </w:tc>
      </w:tr>
      <w:tr w:rsidR="00342164" w:rsidRPr="00345BCE" w14:paraId="2641A7AC" w14:textId="77777777" w:rsidTr="00C560EC">
        <w:tc>
          <w:tcPr>
            <w:tcW w:w="4661" w:type="dxa"/>
            <w:gridSpan w:val="3"/>
          </w:tcPr>
          <w:p w14:paraId="07A91B94" w14:textId="77777777" w:rsidR="00342164" w:rsidRPr="00345BCE" w:rsidRDefault="00342164" w:rsidP="001C2BD7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Nem gyakori</w:t>
            </w:r>
          </w:p>
        </w:tc>
        <w:tc>
          <w:tcPr>
            <w:tcW w:w="4661" w:type="dxa"/>
          </w:tcPr>
          <w:p w14:paraId="7D93B2DC" w14:textId="77777777" w:rsidR="00342164" w:rsidRPr="00345BCE" w:rsidRDefault="00342164" w:rsidP="00EA386A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Szívelégtelenség</w:t>
            </w:r>
          </w:p>
        </w:tc>
      </w:tr>
      <w:tr w:rsidR="00342164" w:rsidRPr="00345BCE" w14:paraId="4A4BF3C7" w14:textId="77777777" w:rsidTr="00C560EC">
        <w:tc>
          <w:tcPr>
            <w:tcW w:w="9322" w:type="dxa"/>
            <w:gridSpan w:val="4"/>
          </w:tcPr>
          <w:p w14:paraId="3FCA2DCD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Érbetegségek és tünetek</w:t>
            </w:r>
          </w:p>
        </w:tc>
      </w:tr>
      <w:tr w:rsidR="00342164" w:rsidRPr="00345BCE" w14:paraId="411EBB13" w14:textId="77777777" w:rsidTr="00C560EC">
        <w:tc>
          <w:tcPr>
            <w:tcW w:w="4608" w:type="dxa"/>
            <w:gridSpan w:val="2"/>
          </w:tcPr>
          <w:p w14:paraId="5ED3FF1E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Gyakori</w:t>
            </w:r>
          </w:p>
        </w:tc>
        <w:tc>
          <w:tcPr>
            <w:tcW w:w="4714" w:type="dxa"/>
            <w:gridSpan w:val="2"/>
          </w:tcPr>
          <w:p w14:paraId="05EF1C56" w14:textId="77777777" w:rsidR="00342164" w:rsidRPr="00345BCE" w:rsidRDefault="00502D9F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H</w:t>
            </w:r>
            <w:r w:rsidR="00834B34">
              <w:rPr>
                <w:sz w:val="22"/>
                <w:szCs w:val="22"/>
              </w:rPr>
              <w:t>y</w:t>
            </w:r>
            <w:r w:rsidRPr="00345BCE">
              <w:rPr>
                <w:sz w:val="22"/>
                <w:szCs w:val="22"/>
              </w:rPr>
              <w:t>pot</w:t>
            </w:r>
            <w:r w:rsidR="00D57EB0">
              <w:rPr>
                <w:sz w:val="22"/>
                <w:szCs w:val="22"/>
              </w:rPr>
              <w:t>onia</w:t>
            </w:r>
            <w:r w:rsidR="00342164" w:rsidRPr="00345BCE">
              <w:rPr>
                <w:sz w:val="22"/>
                <w:szCs w:val="22"/>
              </w:rPr>
              <w:t xml:space="preserve">, </w:t>
            </w:r>
            <w:r w:rsidR="00B45063">
              <w:rPr>
                <w:sz w:val="22"/>
                <w:szCs w:val="22"/>
              </w:rPr>
              <w:t>o</w:t>
            </w:r>
            <w:r w:rsidR="00342164" w:rsidRPr="00345BCE">
              <w:rPr>
                <w:sz w:val="22"/>
                <w:szCs w:val="22"/>
              </w:rPr>
              <w:t xml:space="preserve">rthostaticus </w:t>
            </w:r>
            <w:r w:rsidR="002321C3">
              <w:rPr>
                <w:sz w:val="22"/>
                <w:szCs w:val="22"/>
              </w:rPr>
              <w:t>hypotonia</w:t>
            </w:r>
          </w:p>
        </w:tc>
      </w:tr>
      <w:tr w:rsidR="00342164" w:rsidRPr="00345BCE" w14:paraId="7126D482" w14:textId="77777777" w:rsidTr="00C560EC">
        <w:tc>
          <w:tcPr>
            <w:tcW w:w="4608" w:type="dxa"/>
            <w:gridSpan w:val="2"/>
          </w:tcPr>
          <w:p w14:paraId="52FBABB5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1BF7167F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Vasculitis </w:t>
            </w:r>
          </w:p>
        </w:tc>
      </w:tr>
      <w:tr w:rsidR="00342164" w:rsidRPr="00345BCE" w14:paraId="7626B0F7" w14:textId="77777777" w:rsidTr="00C560EC">
        <w:tc>
          <w:tcPr>
            <w:tcW w:w="9322" w:type="dxa"/>
            <w:gridSpan w:val="4"/>
          </w:tcPr>
          <w:p w14:paraId="79B37F47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Légzőrendszeri, mellkasi és mediastinalis betegségek és tünetek</w:t>
            </w:r>
          </w:p>
        </w:tc>
      </w:tr>
      <w:tr w:rsidR="00342164" w:rsidRPr="00345BCE" w14:paraId="0D3884BB" w14:textId="77777777" w:rsidTr="00C560EC">
        <w:tc>
          <w:tcPr>
            <w:tcW w:w="4608" w:type="dxa"/>
            <w:gridSpan w:val="2"/>
          </w:tcPr>
          <w:p w14:paraId="455FDC68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0997522F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Köhögés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  <w:tr w:rsidR="00342164" w:rsidRPr="00345BCE" w14:paraId="1E33C429" w14:textId="77777777" w:rsidTr="00C560EC">
        <w:tc>
          <w:tcPr>
            <w:tcW w:w="9322" w:type="dxa"/>
            <w:gridSpan w:val="4"/>
          </w:tcPr>
          <w:p w14:paraId="4C48C17D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Emésztőrendszeri betegségek és tünetek</w:t>
            </w:r>
          </w:p>
        </w:tc>
      </w:tr>
      <w:tr w:rsidR="00342164" w:rsidRPr="00345BCE" w14:paraId="4F709750" w14:textId="77777777" w:rsidTr="00C560EC">
        <w:tc>
          <w:tcPr>
            <w:tcW w:w="4608" w:type="dxa"/>
            <w:gridSpan w:val="2"/>
          </w:tcPr>
          <w:p w14:paraId="42F91403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14" w:type="dxa"/>
            <w:gridSpan w:val="2"/>
          </w:tcPr>
          <w:p w14:paraId="68819CFD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Hányinger, Hasmenés </w:t>
            </w:r>
          </w:p>
        </w:tc>
      </w:tr>
      <w:tr w:rsidR="00023DF9" w:rsidRPr="00345BCE" w14:paraId="6329BFF2" w14:textId="77777777" w:rsidTr="00C560EC">
        <w:tc>
          <w:tcPr>
            <w:tcW w:w="4608" w:type="dxa"/>
            <w:gridSpan w:val="2"/>
          </w:tcPr>
          <w:p w14:paraId="6481FA8C" w14:textId="017A2A35" w:rsidR="00023DF9" w:rsidRPr="00345BCE" w:rsidRDefault="00023DF9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4714" w:type="dxa"/>
            <w:gridSpan w:val="2"/>
          </w:tcPr>
          <w:p w14:paraId="6975B190" w14:textId="31C829D9" w:rsidR="00023DF9" w:rsidRPr="00345BCE" w:rsidRDefault="00023DF9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Intestinalis angiooedema</w:t>
            </w:r>
          </w:p>
        </w:tc>
      </w:tr>
      <w:tr w:rsidR="00342164" w:rsidRPr="00345BCE" w14:paraId="491770E5" w14:textId="77777777" w:rsidTr="00C560EC">
        <w:tc>
          <w:tcPr>
            <w:tcW w:w="9322" w:type="dxa"/>
            <w:gridSpan w:val="4"/>
          </w:tcPr>
          <w:p w14:paraId="2D69A624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Máj</w:t>
            </w:r>
            <w:r w:rsidR="00502D9F" w:rsidRPr="00345BCE">
              <w:rPr>
                <w:b/>
                <w:sz w:val="22"/>
                <w:szCs w:val="22"/>
              </w:rPr>
              <w:t>- és epe</w:t>
            </w:r>
            <w:r w:rsidRPr="00345BCE">
              <w:rPr>
                <w:b/>
                <w:sz w:val="22"/>
                <w:szCs w:val="22"/>
              </w:rPr>
              <w:t>betegségek</w:t>
            </w:r>
            <w:r w:rsidR="00C30769">
              <w:rPr>
                <w:b/>
                <w:sz w:val="22"/>
                <w:szCs w:val="22"/>
              </w:rPr>
              <w:t>, illetve tünetek</w:t>
            </w:r>
          </w:p>
        </w:tc>
      </w:tr>
      <w:tr w:rsidR="00342164" w:rsidRPr="00345BCE" w14:paraId="01EE685C" w14:textId="77777777" w:rsidTr="00C560EC">
        <w:tc>
          <w:tcPr>
            <w:tcW w:w="4608" w:type="dxa"/>
            <w:gridSpan w:val="2"/>
          </w:tcPr>
          <w:p w14:paraId="2352D56A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14" w:type="dxa"/>
            <w:gridSpan w:val="2"/>
          </w:tcPr>
          <w:p w14:paraId="3BD1FD47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 máj</w:t>
            </w:r>
            <w:r w:rsidR="00502D9F" w:rsidRPr="00345BCE">
              <w:rPr>
                <w:sz w:val="22"/>
                <w:szCs w:val="22"/>
              </w:rPr>
              <w:t>funkciós</w:t>
            </w:r>
            <w:r w:rsidRPr="00345BCE">
              <w:rPr>
                <w:sz w:val="22"/>
                <w:szCs w:val="22"/>
              </w:rPr>
              <w:t xml:space="preserve"> értékek emelkedése</w:t>
            </w:r>
          </w:p>
        </w:tc>
      </w:tr>
      <w:tr w:rsidR="00342164" w:rsidRPr="00345BCE" w14:paraId="00FA3F90" w14:textId="77777777" w:rsidTr="00C560EC">
        <w:tc>
          <w:tcPr>
            <w:tcW w:w="9322" w:type="dxa"/>
            <w:gridSpan w:val="4"/>
          </w:tcPr>
          <w:p w14:paraId="3226438D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bőr és a bőralatti szövet betegségei és tünetei</w:t>
            </w:r>
          </w:p>
        </w:tc>
      </w:tr>
      <w:tr w:rsidR="00342164" w:rsidRPr="00345BCE" w14:paraId="5E2CFBC3" w14:textId="77777777" w:rsidTr="00C560EC">
        <w:tc>
          <w:tcPr>
            <w:tcW w:w="4661" w:type="dxa"/>
            <w:gridSpan w:val="3"/>
          </w:tcPr>
          <w:p w14:paraId="1B65186F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661" w:type="dxa"/>
          </w:tcPr>
          <w:p w14:paraId="106718BE" w14:textId="77777777" w:rsidR="00342164" w:rsidRPr="00345BCE" w:rsidRDefault="00342164" w:rsidP="00B45063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Angio</w:t>
            </w:r>
            <w:r w:rsidR="00B45063">
              <w:rPr>
                <w:bCs/>
                <w:sz w:val="22"/>
                <w:szCs w:val="22"/>
              </w:rPr>
              <w:t>oe</w:t>
            </w:r>
            <w:r w:rsidR="00502D9F" w:rsidRPr="00345BCE">
              <w:rPr>
                <w:bCs/>
                <w:sz w:val="22"/>
                <w:szCs w:val="22"/>
              </w:rPr>
              <w:t>d</w:t>
            </w:r>
            <w:r w:rsidR="00B45063">
              <w:rPr>
                <w:bCs/>
                <w:sz w:val="22"/>
                <w:szCs w:val="22"/>
              </w:rPr>
              <w:t>e</w:t>
            </w:r>
            <w:r w:rsidR="00502D9F" w:rsidRPr="00345BCE">
              <w:rPr>
                <w:bCs/>
                <w:sz w:val="22"/>
                <w:szCs w:val="22"/>
              </w:rPr>
              <w:t>ma</w:t>
            </w:r>
          </w:p>
        </w:tc>
      </w:tr>
      <w:tr w:rsidR="00342164" w:rsidRPr="00345BCE" w14:paraId="552268FE" w14:textId="77777777" w:rsidTr="00C560EC">
        <w:tc>
          <w:tcPr>
            <w:tcW w:w="4661" w:type="dxa"/>
            <w:gridSpan w:val="3"/>
          </w:tcPr>
          <w:p w14:paraId="7EC35C03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661" w:type="dxa"/>
          </w:tcPr>
          <w:p w14:paraId="27ADE477" w14:textId="77777777" w:rsidR="00342164" w:rsidRPr="00345BCE" w:rsidRDefault="003F66A1" w:rsidP="00B45063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Bullosus d</w:t>
            </w:r>
            <w:r w:rsidR="00507D16" w:rsidRPr="00127DDD">
              <w:rPr>
                <w:bCs/>
                <w:sz w:val="22"/>
                <w:szCs w:val="22"/>
              </w:rPr>
              <w:t>ermatitis</w:t>
            </w:r>
            <w:r w:rsidR="00507D16">
              <w:rPr>
                <w:bCs/>
                <w:sz w:val="22"/>
                <w:szCs w:val="22"/>
              </w:rPr>
              <w:t>,</w:t>
            </w:r>
            <w:r w:rsidR="00507D16" w:rsidRPr="00345BCE">
              <w:rPr>
                <w:bCs/>
                <w:sz w:val="22"/>
                <w:szCs w:val="22"/>
              </w:rPr>
              <w:t xml:space="preserve"> </w:t>
            </w:r>
            <w:r w:rsidR="00B45063">
              <w:rPr>
                <w:bCs/>
                <w:sz w:val="22"/>
                <w:szCs w:val="22"/>
              </w:rPr>
              <w:t>k</w:t>
            </w:r>
            <w:r w:rsidR="00342164" w:rsidRPr="00345BCE">
              <w:rPr>
                <w:bCs/>
                <w:sz w:val="22"/>
                <w:szCs w:val="22"/>
              </w:rPr>
              <w:t xml:space="preserve">iütés, </w:t>
            </w:r>
            <w:r w:rsidR="00B45063">
              <w:rPr>
                <w:bCs/>
                <w:sz w:val="22"/>
                <w:szCs w:val="22"/>
              </w:rPr>
              <w:t>p</w:t>
            </w:r>
            <w:r w:rsidR="00342164" w:rsidRPr="00345BCE">
              <w:rPr>
                <w:bCs/>
                <w:sz w:val="22"/>
                <w:szCs w:val="22"/>
              </w:rPr>
              <w:t>ruritus</w:t>
            </w:r>
          </w:p>
        </w:tc>
      </w:tr>
      <w:tr w:rsidR="00342164" w:rsidRPr="00345BCE" w14:paraId="6567CE0E" w14:textId="77777777" w:rsidTr="00C560EC">
        <w:tc>
          <w:tcPr>
            <w:tcW w:w="9322" w:type="dxa"/>
            <w:gridSpan w:val="4"/>
          </w:tcPr>
          <w:p w14:paraId="2422C838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A csont-</w:t>
            </w:r>
            <w:r w:rsidR="00732571" w:rsidRPr="00345BCE">
              <w:rPr>
                <w:b/>
                <w:bCs/>
                <w:sz w:val="22"/>
                <w:szCs w:val="22"/>
              </w:rPr>
              <w:t xml:space="preserve"> és </w:t>
            </w:r>
            <w:r w:rsidRPr="00345BCE">
              <w:rPr>
                <w:b/>
                <w:bCs/>
                <w:sz w:val="22"/>
                <w:szCs w:val="22"/>
              </w:rPr>
              <w:t>izomrendszer</w:t>
            </w:r>
            <w:r w:rsidR="00732571" w:rsidRPr="00345BCE">
              <w:rPr>
                <w:b/>
                <w:bCs/>
                <w:sz w:val="22"/>
                <w:szCs w:val="22"/>
              </w:rPr>
              <w:t xml:space="preserve">, valamint </w:t>
            </w:r>
            <w:r w:rsidRPr="00345BCE">
              <w:rPr>
                <w:b/>
                <w:bCs/>
                <w:sz w:val="22"/>
                <w:szCs w:val="22"/>
              </w:rPr>
              <w:t>a kötőszövet betegségei és tünetei</w:t>
            </w:r>
          </w:p>
        </w:tc>
      </w:tr>
      <w:tr w:rsidR="00342164" w:rsidRPr="00345BCE" w14:paraId="43C9913A" w14:textId="77777777" w:rsidTr="00C560EC">
        <w:tc>
          <w:tcPr>
            <w:tcW w:w="4661" w:type="dxa"/>
            <w:gridSpan w:val="3"/>
          </w:tcPr>
          <w:p w14:paraId="5A58D463" w14:textId="77777777" w:rsidR="00342164" w:rsidRPr="00345BCE" w:rsidRDefault="00342164" w:rsidP="001C2BD7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661" w:type="dxa"/>
          </w:tcPr>
          <w:p w14:paraId="1CD8C9FC" w14:textId="77777777" w:rsidR="00342164" w:rsidRPr="00345BCE" w:rsidRDefault="00342164" w:rsidP="00EA386A">
            <w:pPr>
              <w:tabs>
                <w:tab w:val="left" w:pos="567"/>
              </w:tabs>
              <w:rPr>
                <w:bCs/>
                <w:sz w:val="22"/>
                <w:szCs w:val="22"/>
              </w:rPr>
            </w:pPr>
            <w:r w:rsidRPr="00345BCE">
              <w:rPr>
                <w:bCs/>
                <w:sz w:val="22"/>
                <w:szCs w:val="22"/>
              </w:rPr>
              <w:t>Myalgia</w:t>
            </w:r>
          </w:p>
        </w:tc>
      </w:tr>
      <w:tr w:rsidR="00342164" w:rsidRPr="00345BCE" w14:paraId="5DE86AA4" w14:textId="77777777" w:rsidTr="00C560EC">
        <w:tc>
          <w:tcPr>
            <w:tcW w:w="9322" w:type="dxa"/>
            <w:gridSpan w:val="4"/>
          </w:tcPr>
          <w:p w14:paraId="26D53F41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bCs/>
                <w:sz w:val="22"/>
                <w:szCs w:val="22"/>
              </w:rPr>
            </w:pPr>
            <w:r w:rsidRPr="00345BCE">
              <w:rPr>
                <w:b/>
                <w:bCs/>
                <w:sz w:val="22"/>
                <w:szCs w:val="22"/>
              </w:rPr>
              <w:t>Vese- és húgyúti betegségek és tünetek</w:t>
            </w:r>
          </w:p>
        </w:tc>
      </w:tr>
      <w:tr w:rsidR="00342164" w:rsidRPr="00345BCE" w14:paraId="71182514" w14:textId="77777777" w:rsidTr="00C560EC">
        <w:tc>
          <w:tcPr>
            <w:tcW w:w="4548" w:type="dxa"/>
          </w:tcPr>
          <w:p w14:paraId="3850011A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Gyakori</w:t>
            </w:r>
          </w:p>
        </w:tc>
        <w:tc>
          <w:tcPr>
            <w:tcW w:w="4774" w:type="dxa"/>
            <w:gridSpan w:val="3"/>
          </w:tcPr>
          <w:p w14:paraId="70470F05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Veseelégtelenség és vesekárosodás</w:t>
            </w:r>
          </w:p>
        </w:tc>
      </w:tr>
      <w:tr w:rsidR="00342164" w:rsidRPr="00345BCE" w14:paraId="2D73383E" w14:textId="77777777" w:rsidTr="00C560EC">
        <w:tc>
          <w:tcPr>
            <w:tcW w:w="4548" w:type="dxa"/>
          </w:tcPr>
          <w:p w14:paraId="4653709E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74" w:type="dxa"/>
            <w:gridSpan w:val="3"/>
          </w:tcPr>
          <w:p w14:paraId="0A143D16" w14:textId="77777777" w:rsidR="00B45063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Akut veseelégtelenség,</w:t>
            </w:r>
          </w:p>
          <w:p w14:paraId="457826BF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 szérum kreatininszint emelkedése</w:t>
            </w:r>
          </w:p>
        </w:tc>
      </w:tr>
      <w:tr w:rsidR="00342164" w:rsidRPr="00345BCE" w14:paraId="2242472F" w14:textId="77777777" w:rsidTr="00C560EC">
        <w:tc>
          <w:tcPr>
            <w:tcW w:w="4548" w:type="dxa"/>
          </w:tcPr>
          <w:p w14:paraId="3841679C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ismert</w:t>
            </w:r>
          </w:p>
        </w:tc>
        <w:tc>
          <w:tcPr>
            <w:tcW w:w="4774" w:type="dxa"/>
            <w:gridSpan w:val="3"/>
          </w:tcPr>
          <w:p w14:paraId="40309148" w14:textId="77777777" w:rsidR="00342164" w:rsidRPr="00345BCE" w:rsidRDefault="00342164" w:rsidP="00B45063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A vér karbamid</w:t>
            </w:r>
            <w:r w:rsidR="00B45063">
              <w:rPr>
                <w:sz w:val="22"/>
                <w:szCs w:val="22"/>
              </w:rPr>
              <w:t>-</w:t>
            </w:r>
            <w:r w:rsidRPr="00345BCE">
              <w:rPr>
                <w:sz w:val="22"/>
                <w:szCs w:val="22"/>
              </w:rPr>
              <w:t>nitrogénszint emelkedése</w:t>
            </w:r>
          </w:p>
        </w:tc>
      </w:tr>
      <w:tr w:rsidR="00342164" w:rsidRPr="00345BCE" w14:paraId="2CEB386A" w14:textId="77777777" w:rsidTr="00C560EC">
        <w:tc>
          <w:tcPr>
            <w:tcW w:w="9322" w:type="dxa"/>
            <w:gridSpan w:val="4"/>
          </w:tcPr>
          <w:p w14:paraId="63B18940" w14:textId="77777777" w:rsidR="00342164" w:rsidRPr="00345BCE" w:rsidRDefault="00342164" w:rsidP="001C2BD7">
            <w:pPr>
              <w:tabs>
                <w:tab w:val="left" w:pos="567"/>
              </w:tabs>
              <w:rPr>
                <w:b/>
                <w:sz w:val="22"/>
                <w:szCs w:val="22"/>
              </w:rPr>
            </w:pPr>
            <w:r w:rsidRPr="00345BCE">
              <w:rPr>
                <w:b/>
                <w:sz w:val="22"/>
                <w:szCs w:val="22"/>
              </w:rPr>
              <w:t>Általános tünetek, az alkalmazás helyén fellépő reakciók</w:t>
            </w:r>
          </w:p>
        </w:tc>
      </w:tr>
      <w:tr w:rsidR="00342164" w:rsidRPr="00345BCE" w14:paraId="0839F857" w14:textId="77777777" w:rsidTr="00C560EC">
        <w:tc>
          <w:tcPr>
            <w:tcW w:w="4548" w:type="dxa"/>
          </w:tcPr>
          <w:p w14:paraId="56DFFE04" w14:textId="77777777" w:rsidR="00342164" w:rsidRPr="00345BCE" w:rsidRDefault="00342164" w:rsidP="001C2BD7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>Nem gyakori</w:t>
            </w:r>
          </w:p>
        </w:tc>
        <w:tc>
          <w:tcPr>
            <w:tcW w:w="4774" w:type="dxa"/>
            <w:gridSpan w:val="3"/>
          </w:tcPr>
          <w:p w14:paraId="6A20D28A" w14:textId="77777777" w:rsidR="00342164" w:rsidRPr="00345BCE" w:rsidRDefault="00342164" w:rsidP="00EA386A">
            <w:pPr>
              <w:tabs>
                <w:tab w:val="left" w:pos="567"/>
              </w:tabs>
              <w:rPr>
                <w:sz w:val="22"/>
                <w:szCs w:val="22"/>
              </w:rPr>
            </w:pPr>
            <w:r w:rsidRPr="00345BCE">
              <w:rPr>
                <w:sz w:val="22"/>
                <w:szCs w:val="22"/>
              </w:rPr>
              <w:t xml:space="preserve">Asthenia, </w:t>
            </w:r>
            <w:r w:rsidR="00B45063">
              <w:rPr>
                <w:sz w:val="22"/>
                <w:szCs w:val="22"/>
              </w:rPr>
              <w:t>f</w:t>
            </w:r>
            <w:r w:rsidRPr="00345BCE">
              <w:rPr>
                <w:sz w:val="22"/>
                <w:szCs w:val="22"/>
              </w:rPr>
              <w:t>áradtság</w:t>
            </w:r>
            <w:r w:rsidRPr="00345BCE">
              <w:rPr>
                <w:sz w:val="22"/>
                <w:szCs w:val="22"/>
                <w:vertAlign w:val="superscript"/>
              </w:rPr>
              <w:t xml:space="preserve"> </w:t>
            </w:r>
          </w:p>
        </w:tc>
      </w:tr>
    </w:tbl>
    <w:p w14:paraId="32F8CCEA" w14:textId="77777777" w:rsidR="000A7E88" w:rsidRDefault="000A7E88" w:rsidP="001C2BD7">
      <w:pPr>
        <w:tabs>
          <w:tab w:val="left" w:pos="567"/>
        </w:tabs>
        <w:rPr>
          <w:b/>
          <w:sz w:val="22"/>
          <w:szCs w:val="22"/>
        </w:rPr>
      </w:pPr>
    </w:p>
    <w:p w14:paraId="0DDA0667" w14:textId="77777777" w:rsidR="00B31882" w:rsidRPr="00355A5E" w:rsidRDefault="00B31882" w:rsidP="00EA386A">
      <w:pPr>
        <w:rPr>
          <w:sz w:val="22"/>
          <w:szCs w:val="22"/>
          <w:u w:val="single"/>
        </w:rPr>
      </w:pPr>
      <w:r w:rsidRPr="00355A5E">
        <w:rPr>
          <w:sz w:val="22"/>
          <w:szCs w:val="22"/>
          <w:u w:val="single"/>
        </w:rPr>
        <w:t>Feltételezett mellékhatások bejelentése</w:t>
      </w:r>
    </w:p>
    <w:p w14:paraId="00344549" w14:textId="77777777" w:rsidR="00B31882" w:rsidRPr="00355A5E" w:rsidRDefault="00B31882" w:rsidP="00EA386A">
      <w:pPr>
        <w:rPr>
          <w:sz w:val="22"/>
          <w:szCs w:val="22"/>
        </w:rPr>
      </w:pPr>
      <w:r w:rsidRPr="00355A5E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7052A6E8" w14:textId="77777777" w:rsidR="000A5BD1" w:rsidRPr="00355A5E" w:rsidRDefault="00B31882" w:rsidP="0097699A">
      <w:pPr>
        <w:tabs>
          <w:tab w:val="left" w:pos="567"/>
        </w:tabs>
        <w:rPr>
          <w:sz w:val="22"/>
          <w:szCs w:val="22"/>
        </w:rPr>
      </w:pPr>
      <w:r w:rsidRPr="00355A5E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Pr="00355A5E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355A5E">
        <w:rPr>
          <w:sz w:val="22"/>
          <w:szCs w:val="22"/>
          <w:highlight w:val="lightGray"/>
        </w:rPr>
        <w:t xml:space="preserve"> található elérhetőségek valamelyikén keresztül</w:t>
      </w:r>
      <w:r w:rsidRPr="00355A5E">
        <w:rPr>
          <w:sz w:val="22"/>
          <w:szCs w:val="22"/>
        </w:rPr>
        <w:t>.</w:t>
      </w:r>
    </w:p>
    <w:p w14:paraId="2DDA04A0" w14:textId="77777777" w:rsidR="00B31882" w:rsidRPr="00355A5E" w:rsidRDefault="00B31882" w:rsidP="00666A5A">
      <w:pPr>
        <w:tabs>
          <w:tab w:val="left" w:pos="567"/>
        </w:tabs>
        <w:rPr>
          <w:b/>
          <w:sz w:val="22"/>
          <w:szCs w:val="22"/>
        </w:rPr>
      </w:pPr>
    </w:p>
    <w:p w14:paraId="1FF03708" w14:textId="77777777" w:rsidR="000A7E88" w:rsidRPr="00345BCE" w:rsidRDefault="000A7E88" w:rsidP="00666A5A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4.9</w:t>
      </w:r>
      <w:r w:rsidRPr="00345BCE">
        <w:rPr>
          <w:b/>
          <w:sz w:val="22"/>
          <w:szCs w:val="22"/>
        </w:rPr>
        <w:tab/>
        <w:t>Túladagolás</w:t>
      </w:r>
    </w:p>
    <w:p w14:paraId="5D7BFDA1" w14:textId="77777777" w:rsidR="000A7E88" w:rsidRPr="00345BCE" w:rsidRDefault="000A7E88" w:rsidP="00666A5A">
      <w:pPr>
        <w:tabs>
          <w:tab w:val="left" w:pos="567"/>
        </w:tabs>
        <w:rPr>
          <w:b/>
          <w:sz w:val="22"/>
          <w:szCs w:val="22"/>
        </w:rPr>
      </w:pPr>
    </w:p>
    <w:p w14:paraId="78BDED84" w14:textId="77777777" w:rsidR="00342164" w:rsidRPr="00345BCE" w:rsidRDefault="00342164" w:rsidP="001902F4">
      <w:pPr>
        <w:tabs>
          <w:tab w:val="left" w:pos="567"/>
        </w:tabs>
        <w:rPr>
          <w:bCs/>
          <w:sz w:val="22"/>
          <w:szCs w:val="22"/>
          <w:u w:val="single"/>
        </w:rPr>
      </w:pPr>
      <w:r w:rsidRPr="00345BCE">
        <w:rPr>
          <w:bCs/>
          <w:sz w:val="22"/>
          <w:szCs w:val="22"/>
          <w:u w:val="single"/>
        </w:rPr>
        <w:t>Tünetek</w:t>
      </w:r>
    </w:p>
    <w:p w14:paraId="294DCD9A" w14:textId="77777777" w:rsidR="000A7E88" w:rsidRPr="00345BCE" w:rsidRDefault="006B096E" w:rsidP="001902F4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F54DB9" w:rsidRPr="00345BCE">
        <w:rPr>
          <w:sz w:val="22"/>
          <w:szCs w:val="22"/>
        </w:rPr>
        <w:t>valzartán</w:t>
      </w:r>
      <w:r w:rsidR="003A5F35">
        <w:rPr>
          <w:sz w:val="22"/>
          <w:szCs w:val="22"/>
        </w:rPr>
        <w:t>-</w:t>
      </w:r>
      <w:r w:rsidR="000A7E88" w:rsidRPr="00345BCE">
        <w:rPr>
          <w:sz w:val="22"/>
          <w:szCs w:val="22"/>
        </w:rPr>
        <w:t>túladagolás nagy</w:t>
      </w:r>
      <w:r w:rsidR="00F54DB9" w:rsidRPr="00345BCE">
        <w:rPr>
          <w:sz w:val="22"/>
          <w:szCs w:val="22"/>
        </w:rPr>
        <w:t>fokú</w:t>
      </w:r>
      <w:r w:rsidR="000A7E88" w:rsidRPr="00345BCE">
        <w:rPr>
          <w:sz w:val="22"/>
          <w:szCs w:val="22"/>
        </w:rPr>
        <w:t xml:space="preserve"> </w:t>
      </w:r>
      <w:r w:rsidR="002321C3">
        <w:rPr>
          <w:sz w:val="22"/>
          <w:szCs w:val="22"/>
        </w:rPr>
        <w:t>hypotoni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t</w:t>
      </w:r>
      <w:r w:rsidR="00834B34" w:rsidRPr="00345BCE">
        <w:rPr>
          <w:sz w:val="22"/>
          <w:szCs w:val="22"/>
        </w:rPr>
        <w:t xml:space="preserve"> </w:t>
      </w:r>
      <w:r w:rsidR="000A7E88" w:rsidRPr="00345BCE">
        <w:rPr>
          <w:sz w:val="22"/>
          <w:szCs w:val="22"/>
        </w:rPr>
        <w:t>okozhat</w:t>
      </w:r>
      <w:r w:rsidR="008D3E5B" w:rsidRPr="00345BCE">
        <w:rPr>
          <w:sz w:val="22"/>
          <w:szCs w:val="22"/>
        </w:rPr>
        <w:t>,</w:t>
      </w:r>
      <w:r w:rsidR="000A7E88" w:rsidRPr="00345BCE">
        <w:rPr>
          <w:sz w:val="22"/>
          <w:szCs w:val="22"/>
        </w:rPr>
        <w:t xml:space="preserve"> ami eszméletvesztéshez, a keringés összeomlásához és/vagy sokkhoz vezethet.</w:t>
      </w:r>
    </w:p>
    <w:p w14:paraId="28D54F1C" w14:textId="77777777" w:rsidR="00AF2563" w:rsidRPr="00345BCE" w:rsidRDefault="00AF2563" w:rsidP="00B0458C">
      <w:pPr>
        <w:tabs>
          <w:tab w:val="left" w:pos="567"/>
        </w:tabs>
        <w:rPr>
          <w:sz w:val="22"/>
          <w:szCs w:val="22"/>
          <w:u w:val="single"/>
        </w:rPr>
      </w:pPr>
    </w:p>
    <w:p w14:paraId="1A48A790" w14:textId="77777777" w:rsidR="00AF2563" w:rsidRPr="00345BCE" w:rsidRDefault="00AF2563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Kezelés</w:t>
      </w:r>
    </w:p>
    <w:p w14:paraId="7050F03D" w14:textId="77777777" w:rsidR="00AF2563" w:rsidRPr="00345BCE" w:rsidRDefault="00AF2563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terápiás intézkedések a </w:t>
      </w:r>
      <w:r w:rsidR="00F54DB9" w:rsidRPr="00345BCE">
        <w:rPr>
          <w:sz w:val="22"/>
          <w:szCs w:val="22"/>
        </w:rPr>
        <w:t xml:space="preserve">bevétel </w:t>
      </w:r>
      <w:r w:rsidRPr="00345BCE">
        <w:rPr>
          <w:sz w:val="22"/>
          <w:szCs w:val="22"/>
        </w:rPr>
        <w:t>időpontjától, illetve a tünetek típusától és súlyosságától függnek; a vérkeringés stabilizálása elsődleges jelentőségű.</w:t>
      </w:r>
    </w:p>
    <w:p w14:paraId="6C1D4573" w14:textId="77777777" w:rsidR="00AF2563" w:rsidRPr="00345BCE" w:rsidRDefault="00834B34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Hypotonia</w:t>
      </w:r>
      <w:r w:rsidRPr="00345BCE">
        <w:rPr>
          <w:sz w:val="22"/>
          <w:szCs w:val="22"/>
        </w:rPr>
        <w:t xml:space="preserve"> </w:t>
      </w:r>
      <w:r w:rsidR="00AF2563" w:rsidRPr="00345BCE">
        <w:rPr>
          <w:sz w:val="22"/>
          <w:szCs w:val="22"/>
        </w:rPr>
        <w:t xml:space="preserve">előfordulása esetén a beteget </w:t>
      </w:r>
      <w:r w:rsidR="00686775" w:rsidRPr="00345BCE">
        <w:rPr>
          <w:sz w:val="22"/>
          <w:szCs w:val="22"/>
        </w:rPr>
        <w:t>hanyatt</w:t>
      </w:r>
      <w:r w:rsidR="00F54DB9" w:rsidRPr="00345BCE">
        <w:rPr>
          <w:sz w:val="22"/>
          <w:szCs w:val="22"/>
        </w:rPr>
        <w:t xml:space="preserve"> kell fektetni</w:t>
      </w:r>
      <w:r w:rsidR="00AF2563" w:rsidRPr="00345BCE">
        <w:rPr>
          <w:sz w:val="22"/>
          <w:szCs w:val="22"/>
        </w:rPr>
        <w:t xml:space="preserve">, és </w:t>
      </w:r>
      <w:r w:rsidR="00686775" w:rsidRPr="00345BCE">
        <w:rPr>
          <w:sz w:val="22"/>
          <w:szCs w:val="22"/>
        </w:rPr>
        <w:t xml:space="preserve">korrigálni kell a </w:t>
      </w:r>
      <w:r w:rsidR="00AF2563" w:rsidRPr="00345BCE">
        <w:rPr>
          <w:sz w:val="22"/>
          <w:szCs w:val="22"/>
        </w:rPr>
        <w:t>vérvolumen</w:t>
      </w:r>
      <w:r w:rsidR="00686775" w:rsidRPr="00345BCE">
        <w:rPr>
          <w:sz w:val="22"/>
          <w:szCs w:val="22"/>
        </w:rPr>
        <w:t>t</w:t>
      </w:r>
      <w:r w:rsidR="00AF2563" w:rsidRPr="00345BCE">
        <w:rPr>
          <w:sz w:val="22"/>
          <w:szCs w:val="22"/>
        </w:rPr>
        <w:t>.</w:t>
      </w:r>
    </w:p>
    <w:p w14:paraId="39FE3F32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 xml:space="preserve"> nagy valószínűséggel nem távolítható el hemodialízissel.</w:t>
      </w:r>
    </w:p>
    <w:p w14:paraId="69CB22B9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310010F0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A969915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5.</w:t>
      </w:r>
      <w:r w:rsidRPr="00345BCE">
        <w:rPr>
          <w:b/>
          <w:sz w:val="22"/>
          <w:szCs w:val="22"/>
        </w:rPr>
        <w:tab/>
        <w:t>FARMAKOLÓGIAI TULAJDONSÁGOK</w:t>
      </w:r>
    </w:p>
    <w:p w14:paraId="2E7BA8ED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sz w:val="22"/>
          <w:szCs w:val="22"/>
        </w:rPr>
      </w:pPr>
    </w:p>
    <w:p w14:paraId="590C4DF5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5.1</w:t>
      </w:r>
      <w:r w:rsidRPr="00345BCE">
        <w:rPr>
          <w:b/>
          <w:sz w:val="22"/>
          <w:szCs w:val="22"/>
        </w:rPr>
        <w:tab/>
        <w:t>Farmakodinámiás tulajdonságok</w:t>
      </w:r>
    </w:p>
    <w:p w14:paraId="4817A33E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4DDE694C" w14:textId="77777777" w:rsidR="00732571" w:rsidRPr="00345BCE" w:rsidRDefault="000A7E88" w:rsidP="00C560EC">
      <w:pPr>
        <w:pStyle w:val="Szvegtrzs"/>
        <w:widowControl/>
        <w:tabs>
          <w:tab w:val="left" w:pos="567"/>
        </w:tabs>
        <w:spacing w:after="0"/>
        <w:rPr>
          <w:sz w:val="22"/>
          <w:szCs w:val="22"/>
        </w:rPr>
      </w:pPr>
      <w:r w:rsidRPr="00345BCE">
        <w:rPr>
          <w:sz w:val="22"/>
          <w:szCs w:val="22"/>
        </w:rPr>
        <w:t xml:space="preserve">Farmakoterápiás csoport: </w:t>
      </w:r>
      <w:r w:rsidR="00CD0158" w:rsidRPr="00345BCE">
        <w:rPr>
          <w:sz w:val="22"/>
          <w:szCs w:val="22"/>
        </w:rPr>
        <w:t>Angiotenzin</w:t>
      </w:r>
      <w:r w:rsidR="002B7DB7">
        <w:rPr>
          <w:sz w:val="22"/>
          <w:szCs w:val="22"/>
        </w:rPr>
        <w:t>-</w:t>
      </w:r>
      <w:r w:rsidR="00CD0158" w:rsidRPr="00345BCE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="00CD0158" w:rsidRPr="00345BCE">
        <w:rPr>
          <w:sz w:val="22"/>
          <w:szCs w:val="22"/>
        </w:rPr>
        <w:t>antagonisták önmagukban</w:t>
      </w:r>
    </w:p>
    <w:p w14:paraId="687A7866" w14:textId="77777777" w:rsidR="000A7E88" w:rsidRPr="00345BCE" w:rsidRDefault="000A7E88" w:rsidP="00C560EC">
      <w:pPr>
        <w:pStyle w:val="Szvegtrzs"/>
        <w:widowControl/>
        <w:tabs>
          <w:tab w:val="left" w:pos="567"/>
        </w:tabs>
        <w:spacing w:after="0"/>
        <w:rPr>
          <w:sz w:val="22"/>
          <w:szCs w:val="22"/>
        </w:rPr>
      </w:pPr>
      <w:r w:rsidRPr="00345BCE">
        <w:rPr>
          <w:sz w:val="22"/>
          <w:szCs w:val="22"/>
        </w:rPr>
        <w:t>ATC</w:t>
      </w:r>
      <w:r w:rsidR="00411310">
        <w:rPr>
          <w:sz w:val="22"/>
          <w:szCs w:val="22"/>
        </w:rPr>
        <w:t>-</w:t>
      </w:r>
      <w:r w:rsidRPr="00345BCE">
        <w:rPr>
          <w:sz w:val="22"/>
          <w:szCs w:val="22"/>
        </w:rPr>
        <w:t>kód: C09CA03</w:t>
      </w:r>
    </w:p>
    <w:p w14:paraId="3D69E18F" w14:textId="77777777" w:rsidR="000A7E88" w:rsidRPr="00345BCE" w:rsidRDefault="000A7E88" w:rsidP="00C560EC">
      <w:pPr>
        <w:pStyle w:val="Szvegtrzs"/>
        <w:widowControl/>
        <w:tabs>
          <w:tab w:val="left" w:pos="567"/>
        </w:tabs>
        <w:spacing w:after="0"/>
        <w:rPr>
          <w:sz w:val="22"/>
          <w:szCs w:val="22"/>
        </w:rPr>
      </w:pPr>
    </w:p>
    <w:p w14:paraId="21FEF222" w14:textId="77777777" w:rsidR="000A7E88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 xml:space="preserve"> </w:t>
      </w:r>
      <w:r w:rsidR="00AF2563" w:rsidRPr="00345BCE">
        <w:rPr>
          <w:sz w:val="22"/>
          <w:szCs w:val="22"/>
        </w:rPr>
        <w:t>orálisan aktív,</w:t>
      </w:r>
      <w:r w:rsidRPr="00345BCE">
        <w:rPr>
          <w:sz w:val="22"/>
          <w:szCs w:val="22"/>
        </w:rPr>
        <w:t xml:space="preserve"> hatékony, specifikus </w:t>
      </w:r>
      <w:r w:rsidR="003416C4" w:rsidRPr="00345BCE">
        <w:rPr>
          <w:sz w:val="22"/>
          <w:szCs w:val="22"/>
        </w:rPr>
        <w:t>angiotenzin</w:t>
      </w:r>
      <w:r w:rsidR="002B7DB7">
        <w:rPr>
          <w:sz w:val="22"/>
          <w:szCs w:val="22"/>
        </w:rPr>
        <w:t>-</w:t>
      </w:r>
      <w:r w:rsidR="003416C4" w:rsidRPr="00345BCE">
        <w:rPr>
          <w:sz w:val="22"/>
          <w:szCs w:val="22"/>
        </w:rPr>
        <w:t xml:space="preserve">II </w:t>
      </w:r>
      <w:r w:rsidRPr="00345BCE">
        <w:rPr>
          <w:sz w:val="22"/>
          <w:szCs w:val="22"/>
        </w:rPr>
        <w:t>(Ang</w:t>
      </w:r>
      <w:r w:rsidR="003416C4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II)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antagonista. 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 xml:space="preserve"> szelektíven hat az AT</w:t>
      </w:r>
      <w:r w:rsidRPr="00345BCE">
        <w:rPr>
          <w:sz w:val="22"/>
          <w:szCs w:val="22"/>
          <w:vertAlign w:val="subscript"/>
        </w:rPr>
        <w:t>1</w:t>
      </w:r>
      <w:r w:rsidRPr="00345BCE">
        <w:rPr>
          <w:sz w:val="22"/>
          <w:szCs w:val="22"/>
        </w:rPr>
        <w:t xml:space="preserve"> receptoraltípusra, ami az </w:t>
      </w:r>
      <w:r w:rsidR="003416C4" w:rsidRPr="00345BCE">
        <w:rPr>
          <w:sz w:val="22"/>
          <w:szCs w:val="22"/>
        </w:rPr>
        <w:t>angiotenzin</w:t>
      </w:r>
      <w:r w:rsidR="002B7DB7">
        <w:rPr>
          <w:sz w:val="22"/>
          <w:szCs w:val="22"/>
        </w:rPr>
        <w:t>-</w:t>
      </w:r>
      <w:r w:rsidR="003416C4" w:rsidRPr="00345BCE">
        <w:rPr>
          <w:sz w:val="22"/>
          <w:szCs w:val="22"/>
        </w:rPr>
        <w:t xml:space="preserve">II </w:t>
      </w:r>
      <w:r w:rsidRPr="00345BCE">
        <w:rPr>
          <w:sz w:val="22"/>
          <w:szCs w:val="22"/>
        </w:rPr>
        <w:t xml:space="preserve">ismert hatásaiért felelős. </w:t>
      </w:r>
      <w:r w:rsidR="00AB7358" w:rsidRPr="00345BCE">
        <w:rPr>
          <w:sz w:val="22"/>
          <w:szCs w:val="22"/>
        </w:rPr>
        <w:t>A valzartán okozta AT</w:t>
      </w:r>
      <w:r w:rsidR="00AB7358" w:rsidRPr="00345BCE">
        <w:rPr>
          <w:sz w:val="22"/>
          <w:szCs w:val="22"/>
          <w:vertAlign w:val="subscript"/>
        </w:rPr>
        <w:t>1</w:t>
      </w:r>
      <w:r w:rsidR="0097699A">
        <w:rPr>
          <w:sz w:val="22"/>
          <w:szCs w:val="22"/>
        </w:rPr>
        <w:t>-</w:t>
      </w:r>
      <w:r w:rsidR="00AB7358" w:rsidRPr="00345BCE">
        <w:rPr>
          <w:sz w:val="22"/>
          <w:szCs w:val="22"/>
        </w:rPr>
        <w:t>receptor</w:t>
      </w:r>
      <w:r w:rsidR="0097699A">
        <w:rPr>
          <w:sz w:val="22"/>
          <w:szCs w:val="22"/>
        </w:rPr>
        <w:t>-</w:t>
      </w:r>
      <w:r w:rsidR="00AB7358" w:rsidRPr="00345BCE">
        <w:rPr>
          <w:sz w:val="22"/>
          <w:szCs w:val="22"/>
        </w:rPr>
        <w:t xml:space="preserve">blokád miatt a felszaporodó </w:t>
      </w:r>
      <w:r w:rsidR="003416C4" w:rsidRPr="00345BCE">
        <w:rPr>
          <w:sz w:val="22"/>
          <w:szCs w:val="22"/>
        </w:rPr>
        <w:t>angiotenzin</w:t>
      </w:r>
      <w:r w:rsidR="002B7DB7">
        <w:rPr>
          <w:sz w:val="22"/>
          <w:szCs w:val="22"/>
        </w:rPr>
        <w:t>-</w:t>
      </w:r>
      <w:r w:rsidR="003416C4" w:rsidRPr="00345BCE">
        <w:rPr>
          <w:sz w:val="22"/>
          <w:szCs w:val="22"/>
        </w:rPr>
        <w:t xml:space="preserve">II </w:t>
      </w:r>
      <w:r w:rsidR="00AB7358" w:rsidRPr="00345BCE">
        <w:rPr>
          <w:sz w:val="22"/>
          <w:szCs w:val="22"/>
        </w:rPr>
        <w:t>stimulálhatja a blokkolás alatt nem álló AT</w:t>
      </w:r>
      <w:r w:rsidR="00AB7358" w:rsidRPr="00345BCE">
        <w:rPr>
          <w:sz w:val="22"/>
          <w:szCs w:val="22"/>
          <w:vertAlign w:val="subscript"/>
        </w:rPr>
        <w:t>2</w:t>
      </w:r>
      <w:r w:rsidR="0097699A">
        <w:rPr>
          <w:sz w:val="22"/>
          <w:szCs w:val="22"/>
        </w:rPr>
        <w:noBreakHyphen/>
      </w:r>
      <w:r w:rsidR="00AB7358" w:rsidRPr="00345BCE">
        <w:rPr>
          <w:sz w:val="22"/>
          <w:szCs w:val="22"/>
        </w:rPr>
        <w:t>receptort, ami úgy tűnik, ellensúlyozza az AT</w:t>
      </w:r>
      <w:r w:rsidR="00AB7358" w:rsidRPr="00345BCE">
        <w:rPr>
          <w:sz w:val="22"/>
          <w:szCs w:val="22"/>
          <w:vertAlign w:val="subscript"/>
        </w:rPr>
        <w:t>1</w:t>
      </w:r>
      <w:r w:rsidR="0097699A">
        <w:rPr>
          <w:sz w:val="22"/>
          <w:szCs w:val="22"/>
        </w:rPr>
        <w:t>-</w:t>
      </w:r>
      <w:r w:rsidR="00AB7358" w:rsidRPr="00345BCE">
        <w:rPr>
          <w:sz w:val="22"/>
          <w:szCs w:val="22"/>
        </w:rPr>
        <w:t>receptorhatást.</w:t>
      </w:r>
      <w:r w:rsidRPr="00345BCE">
        <w:rPr>
          <w:sz w:val="22"/>
          <w:szCs w:val="22"/>
        </w:rPr>
        <w:t xml:space="preserve"> 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 xml:space="preserve"> nem fejt ki </w:t>
      </w:r>
      <w:r w:rsidR="00B40917" w:rsidRPr="00345BCE">
        <w:rPr>
          <w:sz w:val="22"/>
          <w:szCs w:val="22"/>
        </w:rPr>
        <w:t xml:space="preserve">parciális </w:t>
      </w:r>
      <w:r w:rsidRPr="00345BCE">
        <w:rPr>
          <w:sz w:val="22"/>
          <w:szCs w:val="22"/>
        </w:rPr>
        <w:t>agonista hatást az AT</w:t>
      </w:r>
      <w:r w:rsidRPr="00345BCE">
        <w:rPr>
          <w:sz w:val="22"/>
          <w:szCs w:val="22"/>
          <w:vertAlign w:val="subscript"/>
        </w:rPr>
        <w:t>1</w:t>
      </w:r>
      <w:r w:rsidR="0097699A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receptorokon, és sokkal nagyobb (kb. 20 000-szeres) </w:t>
      </w:r>
      <w:r w:rsidR="00686775" w:rsidRPr="00345BCE">
        <w:rPr>
          <w:sz w:val="22"/>
          <w:szCs w:val="22"/>
        </w:rPr>
        <w:t xml:space="preserve">affinitással </w:t>
      </w:r>
      <w:r w:rsidRPr="00345BCE">
        <w:rPr>
          <w:sz w:val="22"/>
          <w:szCs w:val="22"/>
        </w:rPr>
        <w:t>kötődik az AT</w:t>
      </w:r>
      <w:r w:rsidRPr="00345BCE">
        <w:rPr>
          <w:sz w:val="22"/>
          <w:szCs w:val="22"/>
          <w:vertAlign w:val="subscript"/>
        </w:rPr>
        <w:t>1</w:t>
      </w:r>
      <w:r w:rsidR="0097699A">
        <w:rPr>
          <w:sz w:val="22"/>
          <w:szCs w:val="22"/>
        </w:rPr>
        <w:noBreakHyphen/>
      </w:r>
      <w:r w:rsidRPr="00345BCE">
        <w:rPr>
          <w:sz w:val="22"/>
          <w:szCs w:val="22"/>
        </w:rPr>
        <w:t>receptorokhoz, mint az AT</w:t>
      </w:r>
      <w:r w:rsidRPr="00345BCE">
        <w:rPr>
          <w:sz w:val="22"/>
          <w:szCs w:val="22"/>
          <w:vertAlign w:val="subscript"/>
        </w:rPr>
        <w:t>2</w:t>
      </w:r>
      <w:r w:rsidR="0097699A">
        <w:rPr>
          <w:sz w:val="22"/>
          <w:szCs w:val="22"/>
        </w:rPr>
        <w:t>-</w:t>
      </w:r>
      <w:r w:rsidRPr="00345BCE">
        <w:rPr>
          <w:sz w:val="22"/>
          <w:szCs w:val="22"/>
        </w:rPr>
        <w:t>receptorokhoz.</w:t>
      </w:r>
      <w:r w:rsidR="00AF2563" w:rsidRPr="00345BCE">
        <w:rPr>
          <w:sz w:val="22"/>
          <w:szCs w:val="22"/>
        </w:rPr>
        <w:t xml:space="preserve"> A valzartán nem kötődik </w:t>
      </w:r>
      <w:r w:rsidR="00686775" w:rsidRPr="00345BCE">
        <w:rPr>
          <w:sz w:val="22"/>
          <w:szCs w:val="22"/>
        </w:rPr>
        <w:t>más,</w:t>
      </w:r>
      <w:r w:rsidR="00AF2563" w:rsidRPr="00345BCE">
        <w:rPr>
          <w:sz w:val="22"/>
          <w:szCs w:val="22"/>
        </w:rPr>
        <w:t xml:space="preserve"> a </w:t>
      </w:r>
      <w:r w:rsidR="00686775" w:rsidRPr="00345BCE">
        <w:rPr>
          <w:sz w:val="22"/>
          <w:szCs w:val="22"/>
        </w:rPr>
        <w:t xml:space="preserve">kardiovaszkuláris </w:t>
      </w:r>
      <w:r w:rsidR="00AF2563" w:rsidRPr="00345BCE">
        <w:rPr>
          <w:sz w:val="22"/>
          <w:szCs w:val="22"/>
        </w:rPr>
        <w:t>szabályozásban jelentős szerepet játszó hormonreceptorokhoz vagy ioncsatornákhoz, ill. azokat nem is blokkolja.</w:t>
      </w:r>
    </w:p>
    <w:p w14:paraId="14B303E7" w14:textId="77777777" w:rsidR="005824A0" w:rsidRPr="00345BCE" w:rsidRDefault="005824A0" w:rsidP="00C560EC">
      <w:pPr>
        <w:tabs>
          <w:tab w:val="left" w:pos="567"/>
        </w:tabs>
        <w:rPr>
          <w:sz w:val="22"/>
          <w:szCs w:val="22"/>
        </w:rPr>
      </w:pPr>
    </w:p>
    <w:p w14:paraId="4C9BCB42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 xml:space="preserve"> nem gátolja </w:t>
      </w:r>
      <w:r w:rsidR="00686775" w:rsidRPr="00345BCE">
        <w:rPr>
          <w:sz w:val="22"/>
          <w:szCs w:val="22"/>
        </w:rPr>
        <w:t>a</w:t>
      </w:r>
      <w:r w:rsidRPr="00345BCE">
        <w:rPr>
          <w:sz w:val="22"/>
          <w:szCs w:val="22"/>
        </w:rPr>
        <w:t>z A</w:t>
      </w:r>
      <w:r w:rsidR="0097699A">
        <w:rPr>
          <w:sz w:val="22"/>
          <w:szCs w:val="22"/>
        </w:rPr>
        <w:t>T </w:t>
      </w:r>
      <w:r w:rsidRPr="00345BCE">
        <w:rPr>
          <w:sz w:val="22"/>
          <w:szCs w:val="22"/>
        </w:rPr>
        <w:t>I-et A</w:t>
      </w:r>
      <w:r w:rsidR="0097699A">
        <w:rPr>
          <w:sz w:val="22"/>
          <w:szCs w:val="22"/>
        </w:rPr>
        <w:t>T </w:t>
      </w:r>
      <w:r w:rsidRPr="00345BCE">
        <w:rPr>
          <w:sz w:val="22"/>
          <w:szCs w:val="22"/>
        </w:rPr>
        <w:t>II-vé alakít</w:t>
      </w:r>
      <w:r w:rsidR="00686775" w:rsidRPr="00345BCE">
        <w:rPr>
          <w:sz w:val="22"/>
          <w:szCs w:val="22"/>
        </w:rPr>
        <w:t>ó</w:t>
      </w:r>
      <w:r w:rsidRPr="00345BCE">
        <w:rPr>
          <w:sz w:val="22"/>
          <w:szCs w:val="22"/>
        </w:rPr>
        <w:t xml:space="preserve"> és a bradikinint lebont</w:t>
      </w:r>
      <w:r w:rsidR="00686775" w:rsidRPr="00345BCE">
        <w:rPr>
          <w:sz w:val="22"/>
          <w:szCs w:val="22"/>
        </w:rPr>
        <w:t>ó ACE, más néven kinináz-II működését</w:t>
      </w:r>
      <w:r w:rsidRPr="00345BCE">
        <w:rPr>
          <w:sz w:val="22"/>
          <w:szCs w:val="22"/>
        </w:rPr>
        <w:t>.</w:t>
      </w:r>
      <w:r w:rsidR="006C232D" w:rsidRPr="00345BCE">
        <w:rPr>
          <w:sz w:val="22"/>
          <w:szCs w:val="22"/>
        </w:rPr>
        <w:t xml:space="preserve"> </w:t>
      </w:r>
      <w:r w:rsidR="00686775" w:rsidRPr="00345BCE">
        <w:rPr>
          <w:sz w:val="22"/>
          <w:szCs w:val="22"/>
        </w:rPr>
        <w:t>Mivel nem hatnak az ACE-ra, és nem potenciálják a bradikinint és a P</w:t>
      </w:r>
      <w:r w:rsidR="0097699A">
        <w:rPr>
          <w:sz w:val="22"/>
          <w:szCs w:val="22"/>
        </w:rPr>
        <w:t>-</w:t>
      </w:r>
      <w:r w:rsidR="00686775" w:rsidRPr="00345BCE">
        <w:rPr>
          <w:sz w:val="22"/>
          <w:szCs w:val="22"/>
        </w:rPr>
        <w:t>anyagot, a</w:t>
      </w:r>
      <w:r w:rsidRPr="00345BCE">
        <w:rPr>
          <w:sz w:val="22"/>
          <w:szCs w:val="22"/>
        </w:rPr>
        <w:t xml:space="preserve">z </w:t>
      </w:r>
      <w:r w:rsidR="003416C4" w:rsidRPr="00345BCE">
        <w:rPr>
          <w:sz w:val="22"/>
          <w:szCs w:val="22"/>
        </w:rPr>
        <w:t>angiotenzin</w:t>
      </w:r>
      <w:r w:rsidR="0097699A">
        <w:rPr>
          <w:sz w:val="22"/>
          <w:szCs w:val="22"/>
        </w:rPr>
        <w:noBreakHyphen/>
      </w:r>
      <w:r w:rsidR="003416C4" w:rsidRPr="00345BCE">
        <w:rPr>
          <w:sz w:val="22"/>
          <w:szCs w:val="22"/>
        </w:rPr>
        <w:t>II</w:t>
      </w:r>
      <w:r w:rsidR="002B7DB7">
        <w:rPr>
          <w:sz w:val="22"/>
          <w:szCs w:val="22"/>
        </w:rPr>
        <w:t>-</w:t>
      </w:r>
      <w:r w:rsidRPr="00345BCE">
        <w:rPr>
          <w:sz w:val="22"/>
          <w:szCs w:val="22"/>
        </w:rPr>
        <w:t>receptor</w:t>
      </w:r>
      <w:r w:rsidR="006E5D87">
        <w:rPr>
          <w:sz w:val="22"/>
          <w:szCs w:val="22"/>
        </w:rPr>
        <w:t>-</w:t>
      </w:r>
      <w:r w:rsidRPr="00345BCE">
        <w:rPr>
          <w:sz w:val="22"/>
          <w:szCs w:val="22"/>
        </w:rPr>
        <w:t>antagonisták nagy valószínűséggel nem okoznak köhögést</w:t>
      </w:r>
      <w:r w:rsidR="006B096E" w:rsidRPr="00345BCE">
        <w:rPr>
          <w:sz w:val="22"/>
          <w:szCs w:val="22"/>
        </w:rPr>
        <w:t>.</w:t>
      </w:r>
    </w:p>
    <w:p w14:paraId="0FD172B4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Azokban a klinikai vizsgálatokban, melyekben 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>t ACE</w:t>
      </w:r>
      <w:r w:rsidR="00805329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gátlóval hasonlították össze, a száraz köhögés incidenciája szignifikánsan (p</w:t>
      </w:r>
      <w:r w:rsidR="0097699A">
        <w:rPr>
          <w:sz w:val="22"/>
          <w:szCs w:val="22"/>
        </w:rPr>
        <w:t> </w:t>
      </w:r>
      <w:r w:rsidRPr="00345BCE">
        <w:rPr>
          <w:sz w:val="22"/>
          <w:szCs w:val="22"/>
        </w:rPr>
        <w:t>&lt;</w:t>
      </w:r>
      <w:r w:rsidR="0097699A">
        <w:rPr>
          <w:sz w:val="22"/>
          <w:szCs w:val="22"/>
        </w:rPr>
        <w:t> </w:t>
      </w:r>
      <w:r w:rsidRPr="00345BCE">
        <w:rPr>
          <w:sz w:val="22"/>
          <w:szCs w:val="22"/>
        </w:rPr>
        <w:t xml:space="preserve">0,05) kisebb volt 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>nal kezelt csoportban, mint az ACE</w:t>
      </w:r>
      <w:r w:rsidR="0097699A">
        <w:rPr>
          <w:sz w:val="22"/>
          <w:szCs w:val="22"/>
        </w:rPr>
        <w:noBreakHyphen/>
      </w:r>
      <w:r w:rsidRPr="00345BCE">
        <w:rPr>
          <w:sz w:val="22"/>
          <w:szCs w:val="22"/>
        </w:rPr>
        <w:t>gátlóval kezelt csoportban (2,6%, ill. 7,9%). Egy olyan klinikai</w:t>
      </w:r>
      <w:r w:rsidR="006B096E" w:rsidRPr="00345BCE">
        <w:rPr>
          <w:sz w:val="22"/>
          <w:szCs w:val="22"/>
        </w:rPr>
        <w:t xml:space="preserve"> vizsgálatban, melyet azon bete</w:t>
      </w:r>
      <w:r w:rsidRPr="00345BCE">
        <w:rPr>
          <w:sz w:val="22"/>
          <w:szCs w:val="22"/>
        </w:rPr>
        <w:t>gek bevonásával végeztek, akiknek az anamnézisében ACE</w:t>
      </w:r>
      <w:r w:rsidR="00D309E4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gátló</w:t>
      </w:r>
      <w:r w:rsidR="00032186">
        <w:rPr>
          <w:sz w:val="22"/>
          <w:szCs w:val="22"/>
        </w:rPr>
        <w:t>-</w:t>
      </w:r>
      <w:r w:rsidRPr="00345BCE">
        <w:rPr>
          <w:sz w:val="22"/>
          <w:szCs w:val="22"/>
        </w:rPr>
        <w:t>keze</w:t>
      </w:r>
      <w:r w:rsidR="006B096E" w:rsidRPr="00345BCE">
        <w:rPr>
          <w:sz w:val="22"/>
          <w:szCs w:val="22"/>
        </w:rPr>
        <w:t>lés alatt kialakuló száraz köhö</w:t>
      </w:r>
      <w:r w:rsidRPr="00345BCE">
        <w:rPr>
          <w:sz w:val="22"/>
          <w:szCs w:val="22"/>
        </w:rPr>
        <w:t xml:space="preserve">gés szerepel, a </w:t>
      </w:r>
      <w:r w:rsidR="0015303D" w:rsidRPr="00345BCE">
        <w:rPr>
          <w:sz w:val="22"/>
          <w:szCs w:val="22"/>
        </w:rPr>
        <w:t>valzartán</w:t>
      </w:r>
      <w:r w:rsidRPr="00345BCE">
        <w:rPr>
          <w:sz w:val="22"/>
          <w:szCs w:val="22"/>
        </w:rPr>
        <w:t>t szedő betegek 19,5%-ában, a tiazid diuret</w:t>
      </w:r>
      <w:r w:rsidR="006B096E" w:rsidRPr="00345BCE">
        <w:rPr>
          <w:sz w:val="22"/>
          <w:szCs w:val="22"/>
        </w:rPr>
        <w:t>ikumot szedők 19,0%-ában jelent</w:t>
      </w:r>
      <w:r w:rsidRPr="00345BCE">
        <w:rPr>
          <w:sz w:val="22"/>
          <w:szCs w:val="22"/>
        </w:rPr>
        <w:t>kezett köhögés, míg az ACE</w:t>
      </w:r>
      <w:r w:rsidR="00D309E4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gátlót szed</w:t>
      </w:r>
      <w:r w:rsidR="006B096E" w:rsidRPr="00345BCE">
        <w:rPr>
          <w:sz w:val="22"/>
          <w:szCs w:val="22"/>
        </w:rPr>
        <w:t>ők esetében 68,5%-ban (p</w:t>
      </w:r>
      <w:r w:rsidR="00032186">
        <w:rPr>
          <w:sz w:val="22"/>
          <w:szCs w:val="22"/>
        </w:rPr>
        <w:t> </w:t>
      </w:r>
      <w:r w:rsidR="006B096E" w:rsidRPr="00345BCE">
        <w:rPr>
          <w:sz w:val="22"/>
          <w:szCs w:val="22"/>
        </w:rPr>
        <w:t>&lt;</w:t>
      </w:r>
      <w:r w:rsidR="00032186">
        <w:rPr>
          <w:sz w:val="22"/>
          <w:szCs w:val="22"/>
        </w:rPr>
        <w:t> </w:t>
      </w:r>
      <w:r w:rsidR="006B096E" w:rsidRPr="00345BCE">
        <w:rPr>
          <w:sz w:val="22"/>
          <w:szCs w:val="22"/>
        </w:rPr>
        <w:t>0,05).</w:t>
      </w:r>
    </w:p>
    <w:p w14:paraId="712A210E" w14:textId="77777777" w:rsidR="004323DF" w:rsidRPr="00345BCE" w:rsidRDefault="004323DF" w:rsidP="00C560EC">
      <w:pPr>
        <w:tabs>
          <w:tab w:val="left" w:pos="567"/>
        </w:tabs>
        <w:rPr>
          <w:sz w:val="22"/>
          <w:szCs w:val="22"/>
        </w:rPr>
      </w:pPr>
    </w:p>
    <w:p w14:paraId="784302BB" w14:textId="77777777" w:rsidR="004323DF" w:rsidRPr="00345BCE" w:rsidRDefault="002321C3" w:rsidP="00C560EC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Hypertonia</w:t>
      </w:r>
    </w:p>
    <w:p w14:paraId="3DCCA876" w14:textId="77777777" w:rsidR="004323DF" w:rsidRDefault="002321C3" w:rsidP="00C560EC">
      <w:pPr>
        <w:rPr>
          <w:sz w:val="22"/>
          <w:szCs w:val="22"/>
        </w:rPr>
      </w:pPr>
      <w:r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="004323DF" w:rsidRPr="00345BCE">
        <w:rPr>
          <w:sz w:val="22"/>
          <w:szCs w:val="22"/>
        </w:rPr>
        <w:t xml:space="preserve"> betegeknek adva a valzartánt, a vérnyomáscsökkenés a pulzusszám változása nélkül következik be.</w:t>
      </w:r>
    </w:p>
    <w:p w14:paraId="612DDFAF" w14:textId="77777777" w:rsidR="005824A0" w:rsidRPr="00345BCE" w:rsidRDefault="005824A0" w:rsidP="00C560EC">
      <w:pPr>
        <w:rPr>
          <w:sz w:val="22"/>
          <w:szCs w:val="22"/>
        </w:rPr>
      </w:pPr>
    </w:p>
    <w:p w14:paraId="6F677953" w14:textId="77777777" w:rsidR="004323DF" w:rsidRDefault="004323DF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 legtöbb betegben, egyszeri </w:t>
      </w:r>
      <w:r w:rsidRPr="00C560EC">
        <w:rPr>
          <w:i/>
          <w:sz w:val="22"/>
          <w:szCs w:val="22"/>
        </w:rPr>
        <w:t>per os</w:t>
      </w:r>
      <w:r w:rsidRPr="00345BCE">
        <w:rPr>
          <w:sz w:val="22"/>
          <w:szCs w:val="22"/>
        </w:rPr>
        <w:t xml:space="preserve"> alkalmazása után az antihipertenzív hatás 2 órán belül kezdődik, és a vérnyomáscsökkenés kb. 4-6 órán belül éri el maximumát. Az antihipertenzív hatás a bevétel után 24 órán keresztül fennáll. Ismételt adagolás során a vérnyomáscsökkenés 2 héten belül kialakul, a maximális hatás 4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héten belül várható és hosszú távú kezelés során is megmarad. Hidroklorotiaziddal kombinálva további jelentős vérnyomáscsökkenés érhető el.</w:t>
      </w:r>
    </w:p>
    <w:p w14:paraId="555568C4" w14:textId="77777777" w:rsidR="00B11AA4" w:rsidRPr="00345BCE" w:rsidRDefault="00B11AA4" w:rsidP="00C560EC">
      <w:pPr>
        <w:rPr>
          <w:sz w:val="22"/>
          <w:szCs w:val="22"/>
        </w:rPr>
      </w:pPr>
    </w:p>
    <w:p w14:paraId="6FA669C6" w14:textId="77777777" w:rsidR="004323DF" w:rsidRDefault="004323DF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E725BF">
        <w:rPr>
          <w:sz w:val="22"/>
          <w:szCs w:val="22"/>
        </w:rPr>
        <w:t>v</w:t>
      </w:r>
      <w:r w:rsidR="00345BCE" w:rsidRPr="00345BCE">
        <w:rPr>
          <w:sz w:val="22"/>
          <w:szCs w:val="22"/>
        </w:rPr>
        <w:t>al</w:t>
      </w:r>
      <w:r w:rsidR="00E725BF">
        <w:rPr>
          <w:sz w:val="22"/>
          <w:szCs w:val="22"/>
        </w:rPr>
        <w:t>z</w:t>
      </w:r>
      <w:r w:rsidR="00345BCE" w:rsidRPr="00345BCE">
        <w:rPr>
          <w:sz w:val="22"/>
          <w:szCs w:val="22"/>
        </w:rPr>
        <w:t>art</w:t>
      </w:r>
      <w:r w:rsidR="00E725BF">
        <w:rPr>
          <w:sz w:val="22"/>
          <w:szCs w:val="22"/>
        </w:rPr>
        <w:t>á</w:t>
      </w:r>
      <w:r w:rsidR="00345BCE" w:rsidRPr="00345BCE">
        <w:rPr>
          <w:sz w:val="22"/>
          <w:szCs w:val="22"/>
        </w:rPr>
        <w:t xml:space="preserve">n </w:t>
      </w:r>
      <w:r w:rsidRPr="00345BCE">
        <w:rPr>
          <w:sz w:val="22"/>
          <w:szCs w:val="22"/>
        </w:rPr>
        <w:t xml:space="preserve">hirtelen megvonása nem eredményezett rebound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t</w:t>
      </w:r>
      <w:r w:rsidRPr="00345BCE">
        <w:rPr>
          <w:sz w:val="22"/>
          <w:szCs w:val="22"/>
        </w:rPr>
        <w:t xml:space="preserve"> és egyéb nemkíván</w:t>
      </w:r>
      <w:r w:rsidR="00666A5A">
        <w:rPr>
          <w:sz w:val="22"/>
          <w:szCs w:val="22"/>
        </w:rPr>
        <w:t>a</w:t>
      </w:r>
      <w:r w:rsidRPr="00345BCE">
        <w:rPr>
          <w:sz w:val="22"/>
          <w:szCs w:val="22"/>
        </w:rPr>
        <w:t>t</w:t>
      </w:r>
      <w:r w:rsidR="00666A5A">
        <w:rPr>
          <w:sz w:val="22"/>
          <w:szCs w:val="22"/>
        </w:rPr>
        <w:t>os</w:t>
      </w:r>
      <w:r w:rsidRPr="00345BCE">
        <w:rPr>
          <w:sz w:val="22"/>
          <w:szCs w:val="22"/>
        </w:rPr>
        <w:t xml:space="preserve"> klinikai eseményt.</w:t>
      </w:r>
    </w:p>
    <w:p w14:paraId="528947E9" w14:textId="77777777" w:rsidR="00B11AA4" w:rsidRPr="00345BCE" w:rsidRDefault="00B11AA4" w:rsidP="00C560EC">
      <w:pPr>
        <w:rPr>
          <w:sz w:val="22"/>
          <w:szCs w:val="22"/>
        </w:rPr>
      </w:pPr>
    </w:p>
    <w:p w14:paraId="5E34BE40" w14:textId="77777777" w:rsidR="004323DF" w:rsidRDefault="004323DF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A 2</w:t>
      </w:r>
      <w:r w:rsidRPr="00345BCE">
        <w:rPr>
          <w:sz w:val="22"/>
          <w:szCs w:val="22"/>
        </w:rPr>
        <w:noBreakHyphen/>
        <w:t xml:space="preserve">es típusú diabetesben és microalbuminuriában is szenvedő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betegeknél a valzartánról kimutatták, hogy csökkenti az albumin vizelet útján történő kiválasztását. A MARVAL (Micro Albuminuria Reduction with Valsartan) vizsgálatban 332</w:t>
      </w:r>
      <w:r w:rsidR="00666A5A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2</w:t>
      </w:r>
      <w:r w:rsidRPr="00345BCE">
        <w:rPr>
          <w:sz w:val="22"/>
          <w:szCs w:val="22"/>
        </w:rPr>
        <w:noBreakHyphen/>
        <w:t>es típusú diabetesben és microalbuminuriában szenvedő, normális vagy magas vérnyomású és megfelelő veseműködésű (szérum</w:t>
      </w:r>
      <w:r w:rsidR="00666A5A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kreatinin</w:t>
      </w:r>
      <w:r w:rsidR="00666A5A">
        <w:rPr>
          <w:sz w:val="22"/>
          <w:szCs w:val="22"/>
        </w:rPr>
        <w:t>:</w:t>
      </w:r>
      <w:r w:rsidRPr="00345BCE">
        <w:rPr>
          <w:sz w:val="22"/>
          <w:szCs w:val="22"/>
        </w:rPr>
        <w:t xml:space="preserve"> &lt;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120 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mol/l) betegnél (átlagos életkor: 58 év; 265 férfi) tanulmányozták a vizelettel kiválasztott albumin (UAE) csökkenését a valzartán (80-160 mg/nap) hatására az amplodipinhez (5-10 mg/nap) képest (valzartán: 58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/perc; amlodipin: 55,4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/perc). 24 hét után a valzartán 42%-kal (</w:t>
      </w:r>
      <w:r w:rsidR="00666A5A">
        <w:rPr>
          <w:sz w:val="22"/>
          <w:szCs w:val="22"/>
        </w:rPr>
        <w:noBreakHyphen/>
      </w:r>
      <w:r w:rsidRPr="00345BCE">
        <w:rPr>
          <w:sz w:val="22"/>
          <w:szCs w:val="22"/>
        </w:rPr>
        <w:t>24</w:t>
      </w:r>
      <w:r w:rsidR="00666A5A">
        <w:rPr>
          <w:sz w:val="22"/>
          <w:szCs w:val="22"/>
        </w:rPr>
        <w:t>,</w:t>
      </w:r>
      <w:r w:rsidRPr="00345BCE">
        <w:rPr>
          <w:sz w:val="22"/>
          <w:szCs w:val="22"/>
        </w:rPr>
        <w:t>2 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/perc; 95% CI: –40,4 - –19,1), az amlopidin pedig kb. 3%-kal (–1</w:t>
      </w:r>
      <w:r w:rsidR="00666A5A">
        <w:rPr>
          <w:sz w:val="22"/>
          <w:szCs w:val="22"/>
        </w:rPr>
        <w:t>,</w:t>
      </w:r>
      <w:r w:rsidRPr="00345BCE">
        <w:rPr>
          <w:sz w:val="22"/>
          <w:szCs w:val="22"/>
        </w:rPr>
        <w:t>7 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/perc; 95% CI: –5,6 - 14,9) csökkentette az albumin vizelet útján történő ürülését (p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&lt;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0</w:t>
      </w:r>
      <w:r w:rsidR="00666A5A">
        <w:rPr>
          <w:sz w:val="22"/>
          <w:szCs w:val="22"/>
        </w:rPr>
        <w:t>,</w:t>
      </w:r>
      <w:r w:rsidRPr="00345BCE">
        <w:rPr>
          <w:sz w:val="22"/>
          <w:szCs w:val="22"/>
        </w:rPr>
        <w:t>001) annak ellenére, hogy a vérnyomás hasonló mértékben csökkent a két csoportban.</w:t>
      </w:r>
    </w:p>
    <w:p w14:paraId="08DAD125" w14:textId="77777777" w:rsidR="00B11AA4" w:rsidRPr="00345BCE" w:rsidRDefault="00B11AA4" w:rsidP="00C560EC">
      <w:pPr>
        <w:rPr>
          <w:sz w:val="22"/>
          <w:szCs w:val="22"/>
        </w:rPr>
      </w:pPr>
    </w:p>
    <w:p w14:paraId="287377B1" w14:textId="77777777" w:rsidR="004323DF" w:rsidRPr="00345BCE" w:rsidRDefault="004323DF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 </w:t>
      </w:r>
      <w:r w:rsidR="0092371C">
        <w:rPr>
          <w:sz w:val="22"/>
          <w:szCs w:val="22"/>
        </w:rPr>
        <w:t>Diovan</w:t>
      </w:r>
      <w:r w:rsidRPr="00345BCE">
        <w:rPr>
          <w:sz w:val="22"/>
          <w:szCs w:val="22"/>
        </w:rPr>
        <w:t xml:space="preserve"> Reduction of Proteinuria (DROP) vizsgálatban 391</w:t>
      </w:r>
      <w:r w:rsidR="00666A5A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2</w:t>
      </w:r>
      <w:r w:rsidRPr="00345BCE">
        <w:rPr>
          <w:sz w:val="22"/>
          <w:szCs w:val="22"/>
        </w:rPr>
        <w:noBreakHyphen/>
        <w:t>es típusú diabetesben és albuminuriában szenvedő (átlag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=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102 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/perc; 20-700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>g</w:t>
      </w:r>
      <w:r w:rsidR="00666A5A">
        <w:rPr>
          <w:sz w:val="22"/>
          <w:szCs w:val="22"/>
        </w:rPr>
        <w:t>ramm</w:t>
      </w:r>
      <w:r w:rsidRPr="00345BCE">
        <w:rPr>
          <w:sz w:val="22"/>
          <w:szCs w:val="22"/>
        </w:rPr>
        <w:t>/perc), megfelelő veseműködésű (</w:t>
      </w:r>
      <w:r w:rsidR="00666A5A">
        <w:rPr>
          <w:sz w:val="22"/>
          <w:szCs w:val="22"/>
        </w:rPr>
        <w:t xml:space="preserve">az </w:t>
      </w:r>
      <w:r w:rsidRPr="00345BCE">
        <w:rPr>
          <w:sz w:val="22"/>
          <w:szCs w:val="22"/>
        </w:rPr>
        <w:t>átlagos szérum</w:t>
      </w:r>
      <w:r w:rsidR="00666A5A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kreatinin</w:t>
      </w:r>
      <w:r w:rsidR="00666A5A">
        <w:rPr>
          <w:sz w:val="22"/>
          <w:szCs w:val="22"/>
        </w:rPr>
        <w:t>szint </w:t>
      </w:r>
      <w:r w:rsidRPr="00345BCE">
        <w:rPr>
          <w:sz w:val="22"/>
          <w:szCs w:val="22"/>
        </w:rPr>
        <w:t>=</w:t>
      </w:r>
      <w:r w:rsidR="00666A5A">
        <w:rPr>
          <w:sz w:val="22"/>
          <w:szCs w:val="22"/>
        </w:rPr>
        <w:t> </w:t>
      </w:r>
      <w:r w:rsidRPr="00345BCE">
        <w:rPr>
          <w:sz w:val="22"/>
          <w:szCs w:val="22"/>
        </w:rPr>
        <w:t>80 </w:t>
      </w:r>
      <w:r w:rsidR="00666A5A">
        <w:rPr>
          <w:sz w:val="22"/>
          <w:szCs w:val="22"/>
        </w:rPr>
        <w:t>mikro</w:t>
      </w:r>
      <w:r w:rsidRPr="00345BCE">
        <w:rPr>
          <w:sz w:val="22"/>
          <w:szCs w:val="22"/>
        </w:rPr>
        <w:t xml:space="preserve">mol/l),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(vérnyomás = 150/88 Hgmm) beteg részvételével mélyrehatóbban tanulmányozták a valzartán hatását a vizelettel kiválasztott albumin csökkenésére. A betegeket véletlenszerűen a három különböző valzartán dózissal (160, 320, ill. 640 mg/nap) kezelt csoport egyikébe sorolták, majd 30 hétig kezelték. A vizsgálat célja az optimális valzartán dózis megállapítása volt, amellyel a 2</w:t>
      </w:r>
      <w:r w:rsidRPr="00345BCE">
        <w:rPr>
          <w:sz w:val="22"/>
          <w:szCs w:val="22"/>
        </w:rPr>
        <w:noBreakHyphen/>
        <w:t xml:space="preserve">es típusú diabetesben szenvedő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betegeknél csökkenthető az albumin vizelet útján történő kiválasztása. 30 hét után az albumin vizelet útján történő kiválasztásának százalékos változása a 160 mg valzartán hatására </w:t>
      </w:r>
      <w:r w:rsidRPr="00345BCE">
        <w:rPr>
          <w:sz w:val="22"/>
          <w:szCs w:val="22"/>
        </w:rPr>
        <w:lastRenderedPageBreak/>
        <w:t>jelentős mértékben, 36%-kal (95% CI: 22 – 47%), 320 mg valzartán hatására pedig 44%-kal csökkent (95% CI: 31 – 54%) az alapszinthez viszonyítva. Ennek alapján arra következtettek, hogy a 2</w:t>
      </w:r>
      <w:r w:rsidRPr="00345BCE">
        <w:rPr>
          <w:sz w:val="22"/>
          <w:szCs w:val="22"/>
        </w:rPr>
        <w:noBreakHyphen/>
        <w:t xml:space="preserve">es típusú diabetesben szenvedő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betegekben a 160-320 mg valzartán klinikailag jelentős csökkenést idézett elő az albumin vizelet útján történő kiválasztásában.</w:t>
      </w:r>
    </w:p>
    <w:p w14:paraId="70C37DFD" w14:textId="77777777" w:rsidR="007923B0" w:rsidRPr="00345BCE" w:rsidRDefault="007923B0" w:rsidP="00C560EC">
      <w:pPr>
        <w:rPr>
          <w:sz w:val="22"/>
          <w:szCs w:val="22"/>
        </w:rPr>
      </w:pPr>
    </w:p>
    <w:p w14:paraId="16C55810" w14:textId="11D160D3" w:rsidR="007923B0" w:rsidRPr="00345BCE" w:rsidRDefault="007923B0" w:rsidP="00C560EC">
      <w:pPr>
        <w:rPr>
          <w:sz w:val="22"/>
          <w:szCs w:val="22"/>
          <w:u w:val="single"/>
        </w:rPr>
      </w:pPr>
      <w:r w:rsidRPr="009115A8">
        <w:rPr>
          <w:bCs/>
          <w:sz w:val="22"/>
          <w:szCs w:val="22"/>
          <w:u w:val="single"/>
        </w:rPr>
        <w:t>Nemrégiben bekövetkezett m</w:t>
      </w:r>
      <w:r w:rsidRPr="009115A8">
        <w:rPr>
          <w:sz w:val="22"/>
          <w:szCs w:val="22"/>
          <w:u w:val="single"/>
        </w:rPr>
        <w:t xml:space="preserve">yocardialis infarctus </w:t>
      </w:r>
    </w:p>
    <w:p w14:paraId="2BD008BF" w14:textId="77777777" w:rsidR="00B40917" w:rsidRDefault="00B40917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VALsartan In Acute myocardial iNfarcTion vizsgálat (VALIANT) randomizált, kontrollos, kettő</w:t>
      </w:r>
      <w:r w:rsidR="00346645">
        <w:rPr>
          <w:sz w:val="22"/>
          <w:szCs w:val="22"/>
        </w:rPr>
        <w:t>s v</w:t>
      </w:r>
      <w:r w:rsidRPr="00345BCE">
        <w:rPr>
          <w:sz w:val="22"/>
          <w:szCs w:val="22"/>
        </w:rPr>
        <w:t>ak, 14 703 olyan beteg bevonásával végzett nemzetközi tanulmány volt, akik heveny szívizominfarktuson estek át, és pangásos szívelégtelenség tüneteit, illetve radiológiai jeleit és/vagy a bal kamrai szisztolés funkció zavarát mutatták (ejekciós frakció ≤</w:t>
      </w:r>
      <w:r w:rsidR="004972CE">
        <w:rPr>
          <w:sz w:val="22"/>
          <w:szCs w:val="22"/>
        </w:rPr>
        <w:t> </w:t>
      </w:r>
      <w:r w:rsidRPr="00345BCE">
        <w:rPr>
          <w:sz w:val="22"/>
          <w:szCs w:val="22"/>
        </w:rPr>
        <w:t>40% volt a radioizotópos ventriculographia során, vagy ≤</w:t>
      </w:r>
      <w:r w:rsidR="004972CE">
        <w:rPr>
          <w:sz w:val="22"/>
          <w:szCs w:val="22"/>
        </w:rPr>
        <w:t> </w:t>
      </w:r>
      <w:r w:rsidRPr="00345BCE">
        <w:rPr>
          <w:sz w:val="22"/>
          <w:szCs w:val="22"/>
        </w:rPr>
        <w:t>35% az echocardiographia, illetve kamrai kontrasztos angiographia alkalmával). A betegeket a myocardialis infarctus kezdete után, 12 órától 10 napig terjedő időszakon belül véletlenszerűen sorolták a három kezelési csoport egyikébe: valzartán, kaptopril, vagy valzartán + kaptopril kombinált kezelés. A kezelés átlagosan két évig tartott. Az elsődleges végpont a bármely okból eredő halálozásig eltelt idő volt.</w:t>
      </w:r>
    </w:p>
    <w:p w14:paraId="0D9E2218" w14:textId="77777777" w:rsidR="00B11AA4" w:rsidRPr="00345BCE" w:rsidRDefault="00B11AA4" w:rsidP="00C560EC">
      <w:pPr>
        <w:tabs>
          <w:tab w:val="left" w:pos="567"/>
        </w:tabs>
        <w:rPr>
          <w:sz w:val="22"/>
          <w:szCs w:val="22"/>
        </w:rPr>
      </w:pPr>
    </w:p>
    <w:p w14:paraId="66EC644C" w14:textId="77777777" w:rsidR="00B40917" w:rsidRDefault="00B40917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valzartán ugyanolyan hatékony volt a szívizominfarktus utáni, bármely okból bekövetkező halálozás csökkentésében, mint a kaptopril. A bármely okból eredő halálozás a valzartán (19,9%), a kaptopril (19,5%) és a valzartán + kaptopril (19,3%) kezelést kapó csoportban is hasonló volt. A valzartán és a kaptopril kombinálása nem jelentett plusz előnyt a magában adott kaptoprilhez képest. Az életkor, a nem, a rassz, az induláskor alkalmazott kezelések, vagy az alapbetegség alapján nem volt különbség a valzartán és a kaptopril között a bármely okból eredő halálozásban. A valzartán hatásos volt a szív- és érrendszeri eredetű halálozás csökkentésében, </w:t>
      </w:r>
      <w:r w:rsidR="004F5E0D" w:rsidRPr="00345BCE">
        <w:rPr>
          <w:sz w:val="22"/>
          <w:szCs w:val="22"/>
        </w:rPr>
        <w:t>az addig eltelt</w:t>
      </w:r>
      <w:r w:rsidRPr="00345BCE">
        <w:rPr>
          <w:sz w:val="22"/>
          <w:szCs w:val="22"/>
        </w:rPr>
        <w:t xml:space="preserve"> időt</w:t>
      </w:r>
      <w:r w:rsidR="004F5E0D" w:rsidRPr="00345BCE">
        <w:rPr>
          <w:sz w:val="22"/>
          <w:szCs w:val="22"/>
        </w:rPr>
        <w:t xml:space="preserve"> megnyújtotta</w:t>
      </w:r>
      <w:r w:rsidRPr="00345BCE">
        <w:rPr>
          <w:sz w:val="22"/>
          <w:szCs w:val="22"/>
        </w:rPr>
        <w:t xml:space="preserve">, </w:t>
      </w:r>
      <w:r w:rsidR="004F5E0D" w:rsidRPr="00345BCE">
        <w:rPr>
          <w:sz w:val="22"/>
          <w:szCs w:val="22"/>
        </w:rPr>
        <w:t xml:space="preserve">csökkentette </w:t>
      </w:r>
      <w:r w:rsidRPr="00345BCE">
        <w:rPr>
          <w:sz w:val="22"/>
          <w:szCs w:val="22"/>
        </w:rPr>
        <w:t>a szívelégtelenség miatt szükségessé váló kórházi felvételeket</w:t>
      </w:r>
      <w:r w:rsidR="004F5E0D" w:rsidRPr="00345BCE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a szívizominfarktus ismétlődését, az újraélesztést </w:t>
      </w:r>
      <w:r w:rsidR="004F5E0D" w:rsidRPr="00345BCE">
        <w:rPr>
          <w:sz w:val="22"/>
          <w:szCs w:val="22"/>
        </w:rPr>
        <w:t xml:space="preserve">szükségessé tevő szívmegállást </w:t>
      </w:r>
      <w:r w:rsidRPr="00345BCE">
        <w:rPr>
          <w:sz w:val="22"/>
          <w:szCs w:val="22"/>
        </w:rPr>
        <w:t>és a nem</w:t>
      </w:r>
      <w:r w:rsidR="004972CE">
        <w:rPr>
          <w:sz w:val="22"/>
          <w:szCs w:val="22"/>
        </w:rPr>
        <w:t>-</w:t>
      </w:r>
      <w:r w:rsidRPr="00345BCE">
        <w:rPr>
          <w:sz w:val="22"/>
          <w:szCs w:val="22"/>
        </w:rPr>
        <w:t>fatális kimenetelű stroke-ot (másodlagos</w:t>
      </w:r>
      <w:r w:rsidR="004F5E0D" w:rsidRPr="00345BCE">
        <w:rPr>
          <w:sz w:val="22"/>
          <w:szCs w:val="22"/>
        </w:rPr>
        <w:t xml:space="preserve"> összetett végpont)</w:t>
      </w:r>
      <w:r w:rsidRPr="00345BCE">
        <w:rPr>
          <w:sz w:val="22"/>
          <w:szCs w:val="22"/>
        </w:rPr>
        <w:t>.</w:t>
      </w:r>
    </w:p>
    <w:p w14:paraId="21EC1613" w14:textId="77777777" w:rsidR="00B11AA4" w:rsidRPr="00345BCE" w:rsidRDefault="00B11AA4" w:rsidP="00C560EC">
      <w:pPr>
        <w:tabs>
          <w:tab w:val="left" w:pos="567"/>
        </w:tabs>
        <w:rPr>
          <w:sz w:val="22"/>
          <w:szCs w:val="22"/>
        </w:rPr>
      </w:pPr>
    </w:p>
    <w:p w14:paraId="15D09A71" w14:textId="77777777" w:rsidR="00B40917" w:rsidRPr="00345BCE" w:rsidRDefault="00B40917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valzartán biztonságossága összhangban van a szívizominfarktus utáni betegek állapotának klinikai lefolyásával. A veseműködés tekintetében a szérum kreatin</w:t>
      </w:r>
      <w:r w:rsidR="004972CE">
        <w:rPr>
          <w:sz w:val="22"/>
          <w:szCs w:val="22"/>
        </w:rPr>
        <w:t>in</w:t>
      </w:r>
      <w:r w:rsidRPr="00345BCE">
        <w:rPr>
          <w:sz w:val="22"/>
          <w:szCs w:val="22"/>
        </w:rPr>
        <w:t>szint megkétszereződését a valzartánnal kezelt betegek 4,2%</w:t>
      </w:r>
      <w:r w:rsidR="004F5E0D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nál, a valzartán</w:t>
      </w:r>
      <w:r w:rsidR="004972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+</w:t>
      </w:r>
      <w:r w:rsidR="004972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kaptopril kombinációval kezelt betegek 4,8%-nál, míg a kaptoprillal kezelt betegek 3,4%</w:t>
      </w:r>
      <w:r w:rsidR="004F5E0D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nál figyelték meg. A kezelést a valzartánnal kezelt betegek 1,1%</w:t>
      </w:r>
      <w:r w:rsidR="004F5E0D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nál, a valzartán</w:t>
      </w:r>
      <w:r w:rsidR="004972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+</w:t>
      </w:r>
      <w:r w:rsidR="004972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kaptopril kombinációval kezelt betegek 1,3%</w:t>
      </w:r>
      <w:r w:rsidR="004F5E0D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nál, míg a kaptoprillal kezelt bete</w:t>
      </w:r>
      <w:r w:rsidR="004F5E0D" w:rsidRPr="00345BCE">
        <w:rPr>
          <w:sz w:val="22"/>
          <w:szCs w:val="22"/>
        </w:rPr>
        <w:t>gek 0,8%-</w:t>
      </w:r>
      <w:r w:rsidRPr="00345BCE">
        <w:rPr>
          <w:sz w:val="22"/>
          <w:szCs w:val="22"/>
        </w:rPr>
        <w:t>nál kellett megszakítani a veseműködés különböző zavarai miatt. Myocardialis infar</w:t>
      </w:r>
      <w:r w:rsidR="004972CE">
        <w:rPr>
          <w:sz w:val="22"/>
          <w:szCs w:val="22"/>
        </w:rPr>
        <w:t>c</w:t>
      </w:r>
      <w:r w:rsidRPr="00345BCE">
        <w:rPr>
          <w:sz w:val="22"/>
          <w:szCs w:val="22"/>
        </w:rPr>
        <w:t>tus utáni állapotban levő betegek kezelése során mindig meg kell határozni a vesefunkciós értékeket is.</w:t>
      </w:r>
    </w:p>
    <w:p w14:paraId="0E150597" w14:textId="77777777" w:rsidR="00B11AA4" w:rsidRDefault="00B11AA4" w:rsidP="00C560EC">
      <w:pPr>
        <w:tabs>
          <w:tab w:val="left" w:pos="567"/>
        </w:tabs>
        <w:rPr>
          <w:sz w:val="22"/>
          <w:szCs w:val="22"/>
        </w:rPr>
      </w:pPr>
    </w:p>
    <w:p w14:paraId="7EC1AAED" w14:textId="2473EB42" w:rsidR="00B40917" w:rsidRPr="00345BCE" w:rsidRDefault="00B40917" w:rsidP="00C560EC">
      <w:pPr>
        <w:tabs>
          <w:tab w:val="left" w:pos="567"/>
        </w:tabs>
        <w:rPr>
          <w:sz w:val="22"/>
          <w:szCs w:val="22"/>
        </w:rPr>
      </w:pPr>
      <w:r w:rsidRPr="00D91645">
        <w:rPr>
          <w:sz w:val="22"/>
          <w:szCs w:val="22"/>
        </w:rPr>
        <w:t>Nem volt különbség a bármely okból eredő, illetve a szív- és érrendszeri eredetű halálozásban vagy morbiditásban, ha béta-blokkolókat alkalmaztak együtt a valza</w:t>
      </w:r>
      <w:r w:rsidRPr="00706E72">
        <w:rPr>
          <w:sz w:val="22"/>
          <w:szCs w:val="22"/>
        </w:rPr>
        <w:t xml:space="preserve">rtán + kaptopril kombinációval, </w:t>
      </w:r>
      <w:r w:rsidR="004F5E0D" w:rsidRPr="00D23D88">
        <w:rPr>
          <w:sz w:val="22"/>
          <w:szCs w:val="22"/>
        </w:rPr>
        <w:t xml:space="preserve">önmagában adott </w:t>
      </w:r>
      <w:r w:rsidRPr="00D23D88">
        <w:rPr>
          <w:sz w:val="22"/>
          <w:szCs w:val="22"/>
        </w:rPr>
        <w:t xml:space="preserve">valzartánnal, vagy </w:t>
      </w:r>
      <w:r w:rsidR="004F5E0D" w:rsidRPr="00D23D88">
        <w:rPr>
          <w:sz w:val="22"/>
          <w:szCs w:val="22"/>
        </w:rPr>
        <w:t xml:space="preserve">önmagában adott </w:t>
      </w:r>
      <w:r w:rsidRPr="00345BCE">
        <w:rPr>
          <w:sz w:val="22"/>
          <w:szCs w:val="22"/>
        </w:rPr>
        <w:t>kaptoprillel. A gyógyszeres kezeléstől függetlenül a halálozás kisebb volt a béta-blokkolókkal kezelt betegek csoportjában, ami arra utal, hogy a béta</w:t>
      </w:r>
      <w:r w:rsidR="004F5E0D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blokkolóknak az e betegek körében ismert kedvező hatása a jelen vizsgálatban is megmaradt.</w:t>
      </w:r>
    </w:p>
    <w:p w14:paraId="66C74A0B" w14:textId="77777777" w:rsidR="00B40917" w:rsidRPr="00345BCE" w:rsidRDefault="00B40917" w:rsidP="00C560EC">
      <w:pPr>
        <w:tabs>
          <w:tab w:val="left" w:pos="567"/>
        </w:tabs>
        <w:rPr>
          <w:b/>
          <w:sz w:val="22"/>
          <w:szCs w:val="22"/>
        </w:rPr>
      </w:pPr>
    </w:p>
    <w:p w14:paraId="06708342" w14:textId="7FAAAC36" w:rsidR="00B40917" w:rsidRPr="00AD7EAB" w:rsidRDefault="00B40917" w:rsidP="00C560EC">
      <w:pPr>
        <w:rPr>
          <w:sz w:val="22"/>
          <w:szCs w:val="22"/>
          <w:u w:val="single"/>
        </w:rPr>
      </w:pPr>
      <w:r w:rsidRPr="009115A8">
        <w:rPr>
          <w:iCs/>
          <w:sz w:val="22"/>
          <w:szCs w:val="22"/>
          <w:u w:val="single"/>
        </w:rPr>
        <w:t>Szívelégtelenség</w:t>
      </w:r>
      <w:r w:rsidR="007923B0" w:rsidRPr="009115A8">
        <w:rPr>
          <w:iCs/>
          <w:sz w:val="22"/>
          <w:szCs w:val="22"/>
          <w:u w:val="single"/>
        </w:rPr>
        <w:t xml:space="preserve"> </w:t>
      </w:r>
    </w:p>
    <w:p w14:paraId="256826BD" w14:textId="77777777" w:rsidR="00B40917" w:rsidRDefault="00B40917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Val-HeFT randomizált, placeb</w:t>
      </w:r>
      <w:r w:rsidR="00353FF9">
        <w:rPr>
          <w:sz w:val="22"/>
          <w:szCs w:val="22"/>
        </w:rPr>
        <w:t>ok</w:t>
      </w:r>
      <w:r w:rsidRPr="00345BCE">
        <w:rPr>
          <w:sz w:val="22"/>
          <w:szCs w:val="22"/>
        </w:rPr>
        <w:t>ontrollos, nemzetközi klinikai vizsgálat</w:t>
      </w:r>
      <w:r w:rsidR="007137E0" w:rsidRPr="00345BCE">
        <w:rPr>
          <w:sz w:val="22"/>
          <w:szCs w:val="22"/>
        </w:rPr>
        <w:t>ban</w:t>
      </w:r>
      <w:r w:rsidRPr="00345BCE">
        <w:rPr>
          <w:sz w:val="22"/>
          <w:szCs w:val="22"/>
        </w:rPr>
        <w:t xml:space="preserve"> a valzartán NYHA II (62%), III (36%) és IV (2%) stádiumú, szívelégtelenségben szenvedő betegek morbiditására és mortalitásra kifejtett hatását vizsgálták 5010 olyan betegben, akiknek a balkamrai ejekciós frakciója &lt;</w:t>
      </w:r>
      <w:r w:rsidR="007214B8">
        <w:rPr>
          <w:sz w:val="22"/>
          <w:szCs w:val="22"/>
        </w:rPr>
        <w:t> </w:t>
      </w:r>
      <w:r w:rsidRPr="00345BCE">
        <w:rPr>
          <w:sz w:val="22"/>
          <w:szCs w:val="22"/>
        </w:rPr>
        <w:t>40%, a balkamrai belső diasztolés átmérő (LVIDD) &gt;</w:t>
      </w:r>
      <w:r w:rsidR="007214B8">
        <w:rPr>
          <w:sz w:val="22"/>
          <w:szCs w:val="22"/>
        </w:rPr>
        <w:t> </w:t>
      </w:r>
      <w:r w:rsidRPr="00345BCE">
        <w:rPr>
          <w:sz w:val="22"/>
          <w:szCs w:val="22"/>
        </w:rPr>
        <w:t>2,9 cm/m</w:t>
      </w:r>
      <w:r w:rsidRPr="00345BCE">
        <w:rPr>
          <w:sz w:val="22"/>
          <w:szCs w:val="22"/>
          <w:vertAlign w:val="superscript"/>
        </w:rPr>
        <w:t>2</w:t>
      </w:r>
      <w:r w:rsidRPr="00345BCE">
        <w:rPr>
          <w:sz w:val="22"/>
          <w:szCs w:val="22"/>
        </w:rPr>
        <w:t xml:space="preserve"> volt és konvencionális terápiában részesültek. A</w:t>
      </w:r>
      <w:r w:rsidR="007137E0" w:rsidRPr="00345BCE">
        <w:rPr>
          <w:sz w:val="22"/>
          <w:szCs w:val="22"/>
        </w:rPr>
        <w:t xml:space="preserve"> kiinduláskor alkalmazott</w:t>
      </w:r>
      <w:r w:rsidRPr="00345BCE">
        <w:rPr>
          <w:sz w:val="22"/>
          <w:szCs w:val="22"/>
        </w:rPr>
        <w:t xml:space="preserve"> kezelés </w:t>
      </w:r>
      <w:r w:rsidR="007137E0" w:rsidRPr="00345BCE">
        <w:rPr>
          <w:sz w:val="22"/>
          <w:szCs w:val="22"/>
        </w:rPr>
        <w:t xml:space="preserve">során </w:t>
      </w:r>
      <w:r w:rsidRPr="00345BCE">
        <w:rPr>
          <w:sz w:val="22"/>
          <w:szCs w:val="22"/>
        </w:rPr>
        <w:t xml:space="preserve">ACE-gátlókat (93%), diuretikumokat (86%), digoxint (67%), béta-blokkolókat (36%) </w:t>
      </w:r>
      <w:r w:rsidR="007137E0" w:rsidRPr="00345BCE">
        <w:rPr>
          <w:sz w:val="22"/>
          <w:szCs w:val="22"/>
        </w:rPr>
        <w:t>adtak</w:t>
      </w:r>
      <w:r w:rsidRPr="00345BCE">
        <w:rPr>
          <w:sz w:val="22"/>
          <w:szCs w:val="22"/>
        </w:rPr>
        <w:t xml:space="preserve">. Az átlagos nyomonkövetés csaknem 2 év volt. A Val-HeFT-ben a </w:t>
      </w:r>
      <w:r w:rsidR="007137E0" w:rsidRPr="00345BCE">
        <w:rPr>
          <w:sz w:val="22"/>
          <w:szCs w:val="22"/>
        </w:rPr>
        <w:t xml:space="preserve">valzartán </w:t>
      </w:r>
      <w:r w:rsidRPr="00345BCE">
        <w:rPr>
          <w:sz w:val="22"/>
          <w:szCs w:val="22"/>
        </w:rPr>
        <w:t xml:space="preserve">átlagos napi adagja 254 mg volt. A vizsgálatnak 2 primer végpontja volt: bármely okból eredő halálozás (a halálig eltelt idő), illetve összetett mortalitás és szívelégtelenségi morbiditás (az első betegséggel kapcsolatos eseményig eltelt idő), úgymint halál, hirtelen halál újraélesztéssel, szívelégtelenség miatti hospitalizáció, </w:t>
      </w:r>
      <w:r w:rsidR="007137E0" w:rsidRPr="00345BCE">
        <w:rPr>
          <w:sz w:val="22"/>
          <w:szCs w:val="22"/>
        </w:rPr>
        <w:t>inotr</w:t>
      </w:r>
      <w:r w:rsidR="007214B8">
        <w:rPr>
          <w:sz w:val="22"/>
          <w:szCs w:val="22"/>
        </w:rPr>
        <w:t>ó</w:t>
      </w:r>
      <w:r w:rsidR="007137E0" w:rsidRPr="00345BCE">
        <w:rPr>
          <w:sz w:val="22"/>
          <w:szCs w:val="22"/>
        </w:rPr>
        <w:t>p vagy va</w:t>
      </w:r>
      <w:r w:rsidR="007214B8">
        <w:rPr>
          <w:sz w:val="22"/>
          <w:szCs w:val="22"/>
        </w:rPr>
        <w:t>z</w:t>
      </w:r>
      <w:r w:rsidR="007137E0" w:rsidRPr="00345BCE">
        <w:rPr>
          <w:sz w:val="22"/>
          <w:szCs w:val="22"/>
        </w:rPr>
        <w:t>odilat</w:t>
      </w:r>
      <w:r w:rsidR="007214B8">
        <w:rPr>
          <w:sz w:val="22"/>
          <w:szCs w:val="22"/>
        </w:rPr>
        <w:t>á</w:t>
      </w:r>
      <w:r w:rsidR="007137E0" w:rsidRPr="00345BCE">
        <w:rPr>
          <w:sz w:val="22"/>
          <w:szCs w:val="22"/>
        </w:rPr>
        <w:t xml:space="preserve">tor gyógyszer </w:t>
      </w:r>
      <w:r w:rsidRPr="00345BCE">
        <w:rPr>
          <w:sz w:val="22"/>
          <w:szCs w:val="22"/>
        </w:rPr>
        <w:t>legalább négy órán át tartó ambuláns intravénás adása.</w:t>
      </w:r>
    </w:p>
    <w:p w14:paraId="27A2D723" w14:textId="77777777" w:rsidR="009C3885" w:rsidRPr="00345BCE" w:rsidRDefault="009C3885" w:rsidP="00C560EC">
      <w:pPr>
        <w:tabs>
          <w:tab w:val="left" w:pos="567"/>
        </w:tabs>
        <w:rPr>
          <w:sz w:val="22"/>
          <w:szCs w:val="22"/>
        </w:rPr>
      </w:pPr>
    </w:p>
    <w:p w14:paraId="2D240F37" w14:textId="77777777" w:rsidR="00B40917" w:rsidRDefault="00B40917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mortalitási okok a valzartán (19,7%) és</w:t>
      </w:r>
      <w:r w:rsidR="009C3885">
        <w:rPr>
          <w:sz w:val="22"/>
          <w:szCs w:val="22"/>
        </w:rPr>
        <w:t xml:space="preserve"> a </w:t>
      </w:r>
      <w:r w:rsidRPr="00345BCE">
        <w:rPr>
          <w:sz w:val="22"/>
          <w:szCs w:val="22"/>
        </w:rPr>
        <w:t>placeb</w:t>
      </w:r>
      <w:r w:rsidR="00353FF9">
        <w:rPr>
          <w:sz w:val="22"/>
          <w:szCs w:val="22"/>
        </w:rPr>
        <w:t>oc</w:t>
      </w:r>
      <w:r w:rsidRPr="00345BCE">
        <w:rPr>
          <w:sz w:val="22"/>
          <w:szCs w:val="22"/>
        </w:rPr>
        <w:t xml:space="preserve">soportban (19,4%) </w:t>
      </w:r>
      <w:r w:rsidR="007137E0" w:rsidRPr="00345BCE">
        <w:rPr>
          <w:sz w:val="22"/>
          <w:szCs w:val="22"/>
        </w:rPr>
        <w:t>hasonlók</w:t>
      </w:r>
      <w:r w:rsidRPr="00345BCE">
        <w:rPr>
          <w:sz w:val="22"/>
          <w:szCs w:val="22"/>
        </w:rPr>
        <w:t xml:space="preserve"> voltak (p</w:t>
      </w:r>
      <w:r w:rsidR="007214B8">
        <w:rPr>
          <w:sz w:val="22"/>
          <w:szCs w:val="22"/>
        </w:rPr>
        <w:t> </w:t>
      </w:r>
      <w:r w:rsidRPr="00345BCE">
        <w:rPr>
          <w:sz w:val="22"/>
          <w:szCs w:val="22"/>
        </w:rPr>
        <w:t>=</w:t>
      </w:r>
      <w:r w:rsidR="007214B8">
        <w:rPr>
          <w:sz w:val="22"/>
          <w:szCs w:val="22"/>
        </w:rPr>
        <w:t> </w:t>
      </w:r>
      <w:r w:rsidR="007137E0" w:rsidRPr="00345BCE">
        <w:rPr>
          <w:sz w:val="22"/>
          <w:szCs w:val="22"/>
        </w:rPr>
        <w:t xml:space="preserve">NS). A kezelés primer haszna a </w:t>
      </w:r>
      <w:r w:rsidRPr="00345BCE">
        <w:rPr>
          <w:sz w:val="22"/>
          <w:szCs w:val="22"/>
        </w:rPr>
        <w:t xml:space="preserve">szívelégtelenség miatti </w:t>
      </w:r>
      <w:r w:rsidR="007137E0" w:rsidRPr="00D91645">
        <w:rPr>
          <w:sz w:val="22"/>
          <w:szCs w:val="22"/>
        </w:rPr>
        <w:t xml:space="preserve">első </w:t>
      </w:r>
      <w:r w:rsidRPr="00706E72">
        <w:rPr>
          <w:sz w:val="22"/>
          <w:szCs w:val="22"/>
        </w:rPr>
        <w:t>hospitalizációig eltelt idő kockázatának 27,5%</w:t>
      </w:r>
      <w:r w:rsidR="007137E0" w:rsidRPr="00706E72">
        <w:rPr>
          <w:sz w:val="22"/>
          <w:szCs w:val="22"/>
        </w:rPr>
        <w:t xml:space="preserve">-os </w:t>
      </w:r>
      <w:r w:rsidR="007137E0" w:rsidRPr="00706E72">
        <w:rPr>
          <w:sz w:val="22"/>
          <w:szCs w:val="22"/>
        </w:rPr>
        <w:lastRenderedPageBreak/>
        <w:t>csökkenése volt (95% CI: 17</w:t>
      </w:r>
      <w:r w:rsidRPr="00D23D88">
        <w:rPr>
          <w:sz w:val="22"/>
          <w:szCs w:val="22"/>
        </w:rPr>
        <w:t xml:space="preserve">-37%) (13,9%, </w:t>
      </w:r>
      <w:r w:rsidR="007137E0" w:rsidRPr="00D23D88">
        <w:rPr>
          <w:sz w:val="22"/>
          <w:szCs w:val="22"/>
        </w:rPr>
        <w:t xml:space="preserve">vs. </w:t>
      </w:r>
      <w:r w:rsidRPr="00D23D88">
        <w:rPr>
          <w:sz w:val="22"/>
          <w:szCs w:val="22"/>
        </w:rPr>
        <w:t xml:space="preserve">18,5%). A </w:t>
      </w:r>
      <w:r w:rsidR="007137E0" w:rsidRPr="00345BCE">
        <w:rPr>
          <w:sz w:val="22"/>
          <w:szCs w:val="22"/>
        </w:rPr>
        <w:t xml:space="preserve">placebót előnyösebbnek ítélő eredményeket (összetett mortalitás és morbiditás a placebocsoportban 21,9%, a valzartán csoportban 25,4% volt) a </w:t>
      </w:r>
      <w:r w:rsidRPr="00345BCE">
        <w:rPr>
          <w:sz w:val="22"/>
          <w:szCs w:val="22"/>
        </w:rPr>
        <w:t>hármas kezelést</w:t>
      </w:r>
      <w:r w:rsidR="007137E0" w:rsidRPr="00345BCE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ACE-gátló</w:t>
      </w:r>
      <w:r w:rsidR="007137E0" w:rsidRPr="00345BCE">
        <w:rPr>
          <w:sz w:val="22"/>
          <w:szCs w:val="22"/>
        </w:rPr>
        <w:t>t</w:t>
      </w:r>
      <w:r w:rsidRPr="00345BCE">
        <w:rPr>
          <w:sz w:val="22"/>
          <w:szCs w:val="22"/>
        </w:rPr>
        <w:t>, béta-blokkoló</w:t>
      </w:r>
      <w:r w:rsidR="007137E0" w:rsidRPr="00345BCE">
        <w:rPr>
          <w:sz w:val="22"/>
          <w:szCs w:val="22"/>
        </w:rPr>
        <w:t>t és valzartánt kapó</w:t>
      </w:r>
      <w:r w:rsidRPr="00345BCE">
        <w:rPr>
          <w:sz w:val="22"/>
          <w:szCs w:val="22"/>
        </w:rPr>
        <w:t xml:space="preserve"> betegek esetében </w:t>
      </w:r>
      <w:r w:rsidR="007137E0" w:rsidRPr="00345BCE">
        <w:rPr>
          <w:sz w:val="22"/>
          <w:szCs w:val="22"/>
        </w:rPr>
        <w:t>kapták</w:t>
      </w:r>
      <w:r w:rsidRPr="00345BCE">
        <w:rPr>
          <w:sz w:val="22"/>
          <w:szCs w:val="22"/>
        </w:rPr>
        <w:t xml:space="preserve">. </w:t>
      </w:r>
    </w:p>
    <w:p w14:paraId="5B687EFB" w14:textId="77777777" w:rsidR="009C3885" w:rsidRPr="00345BCE" w:rsidRDefault="009C3885" w:rsidP="00C560EC">
      <w:pPr>
        <w:tabs>
          <w:tab w:val="left" w:pos="567"/>
        </w:tabs>
        <w:rPr>
          <w:sz w:val="22"/>
          <w:szCs w:val="22"/>
        </w:rPr>
      </w:pPr>
    </w:p>
    <w:p w14:paraId="52DC4065" w14:textId="77777777" w:rsidR="00B40917" w:rsidRDefault="00B40917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betegek ACE-gátlót </w:t>
      </w:r>
      <w:r w:rsidR="007137E0" w:rsidRPr="00345BCE">
        <w:rPr>
          <w:sz w:val="22"/>
          <w:szCs w:val="22"/>
        </w:rPr>
        <w:t xml:space="preserve">nem kapó alcsoportjában </w:t>
      </w:r>
      <w:r w:rsidRPr="00345BCE">
        <w:rPr>
          <w:sz w:val="22"/>
          <w:szCs w:val="22"/>
        </w:rPr>
        <w:t>(n</w:t>
      </w:r>
      <w:r w:rsidR="007214B8">
        <w:rPr>
          <w:sz w:val="22"/>
          <w:szCs w:val="22"/>
        </w:rPr>
        <w:t> </w:t>
      </w:r>
      <w:r w:rsidRPr="00345BCE">
        <w:rPr>
          <w:sz w:val="22"/>
          <w:szCs w:val="22"/>
        </w:rPr>
        <w:t>=</w:t>
      </w:r>
      <w:r w:rsidR="007214B8">
        <w:rPr>
          <w:sz w:val="22"/>
          <w:szCs w:val="22"/>
        </w:rPr>
        <w:t> </w:t>
      </w:r>
      <w:r w:rsidRPr="00345BCE">
        <w:rPr>
          <w:sz w:val="22"/>
          <w:szCs w:val="22"/>
        </w:rPr>
        <w:t>366) jelentkeztek a legjelentősebb előnyök a morbiditásban. Ebben az alcsoportban a valzartánnal a bármely okból bekövetkező halálozás jelentős mérték</w:t>
      </w:r>
      <w:r w:rsidR="007137E0" w:rsidRPr="00345BCE">
        <w:rPr>
          <w:sz w:val="22"/>
          <w:szCs w:val="22"/>
        </w:rPr>
        <w:t>ben</w:t>
      </w:r>
      <w:r w:rsidRPr="00345BCE">
        <w:rPr>
          <w:sz w:val="22"/>
          <w:szCs w:val="22"/>
        </w:rPr>
        <w:t>, 33%-</w:t>
      </w:r>
      <w:r w:rsidR="007137E0" w:rsidRPr="00345BCE">
        <w:rPr>
          <w:sz w:val="22"/>
          <w:szCs w:val="22"/>
        </w:rPr>
        <w:t>kal</w:t>
      </w:r>
      <w:r w:rsidRPr="00345BCE">
        <w:rPr>
          <w:sz w:val="22"/>
          <w:szCs w:val="22"/>
        </w:rPr>
        <w:t xml:space="preserve"> csökken</w:t>
      </w:r>
      <w:r w:rsidR="007137E0" w:rsidRPr="00345BCE">
        <w:rPr>
          <w:sz w:val="22"/>
          <w:szCs w:val="22"/>
        </w:rPr>
        <w:t>t</w:t>
      </w:r>
      <w:r w:rsidRPr="00345BCE">
        <w:rPr>
          <w:sz w:val="22"/>
          <w:szCs w:val="22"/>
        </w:rPr>
        <w:t xml:space="preserve"> a placebóhoz képes</w:t>
      </w:r>
      <w:r w:rsidR="007137E0" w:rsidRPr="00345BCE">
        <w:rPr>
          <w:sz w:val="22"/>
          <w:szCs w:val="22"/>
        </w:rPr>
        <w:t>t (95% CI: -6%-</w:t>
      </w:r>
      <w:r w:rsidRPr="00345BCE">
        <w:rPr>
          <w:sz w:val="22"/>
          <w:szCs w:val="22"/>
        </w:rPr>
        <w:t>58%) (valzartán: 17,3%, placebo: 27,1%); az összetett mortalitási és morbiditási kockázat is jelentős mértékben, 44%-kal csökkent (valzartán: 24,9%, placebo: 42,5%).</w:t>
      </w:r>
    </w:p>
    <w:p w14:paraId="669F3B08" w14:textId="77777777" w:rsidR="009C3885" w:rsidRPr="00345BCE" w:rsidRDefault="009C3885" w:rsidP="00C560EC">
      <w:pPr>
        <w:tabs>
          <w:tab w:val="left" w:pos="567"/>
        </w:tabs>
        <w:rPr>
          <w:sz w:val="22"/>
          <w:szCs w:val="22"/>
        </w:rPr>
      </w:pPr>
    </w:p>
    <w:p w14:paraId="05A881AB" w14:textId="77777777" w:rsidR="00B40917" w:rsidRDefault="00B40917" w:rsidP="00C560EC">
      <w:pPr>
        <w:pStyle w:val="Text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  <w:r w:rsidRPr="00345BCE">
        <w:rPr>
          <w:sz w:val="22"/>
          <w:szCs w:val="22"/>
          <w:lang w:val="hu-HU"/>
        </w:rPr>
        <w:t>A</w:t>
      </w:r>
      <w:r w:rsidR="00935F18" w:rsidRPr="00345BCE">
        <w:rPr>
          <w:sz w:val="22"/>
          <w:szCs w:val="22"/>
          <w:lang w:val="hu-HU"/>
        </w:rPr>
        <w:t>z</w:t>
      </w:r>
      <w:r w:rsidRPr="00345BCE">
        <w:rPr>
          <w:sz w:val="22"/>
          <w:szCs w:val="22"/>
          <w:lang w:val="hu-HU"/>
        </w:rPr>
        <w:t xml:space="preserve"> ACE-gátló</w:t>
      </w:r>
      <w:r w:rsidR="00935F18" w:rsidRPr="00345BCE">
        <w:rPr>
          <w:sz w:val="22"/>
          <w:szCs w:val="22"/>
          <w:lang w:val="hu-HU"/>
        </w:rPr>
        <w:t xml:space="preserve">t béta-blokkoló nélkül kapó </w:t>
      </w:r>
      <w:r w:rsidRPr="00345BCE">
        <w:rPr>
          <w:sz w:val="22"/>
          <w:szCs w:val="22"/>
          <w:lang w:val="hu-HU"/>
        </w:rPr>
        <w:t>betegeknél a bármely okból bekövetkező halálozás a valzartán (21,8%) és a placebo (22,5%) csoportban hasonló volt (p</w:t>
      </w:r>
      <w:r w:rsidR="007214B8">
        <w:rPr>
          <w:sz w:val="22"/>
          <w:szCs w:val="22"/>
          <w:lang w:val="hu-HU"/>
        </w:rPr>
        <w:t> </w:t>
      </w:r>
      <w:r w:rsidRPr="00345BCE">
        <w:rPr>
          <w:sz w:val="22"/>
          <w:szCs w:val="22"/>
          <w:lang w:val="hu-HU"/>
        </w:rPr>
        <w:t>=</w:t>
      </w:r>
      <w:r w:rsidR="007214B8">
        <w:rPr>
          <w:sz w:val="22"/>
          <w:szCs w:val="22"/>
          <w:lang w:val="hu-HU"/>
        </w:rPr>
        <w:t> </w:t>
      </w:r>
      <w:r w:rsidRPr="00345BCE">
        <w:rPr>
          <w:sz w:val="22"/>
          <w:szCs w:val="22"/>
          <w:lang w:val="hu-HU"/>
        </w:rPr>
        <w:t>NS). A valzartán hatására az összetett mortalitási és morbiditási kockázat jelentős mértékben, 18,3%-kal csökkent a placebóhoz képest (valzartán: 31,0%, placebo: 36,3%</w:t>
      </w:r>
      <w:r w:rsidR="00935F18" w:rsidRPr="00345BCE">
        <w:rPr>
          <w:sz w:val="22"/>
          <w:szCs w:val="22"/>
          <w:lang w:val="hu-HU"/>
        </w:rPr>
        <w:t>) (95% CI: 8%</w:t>
      </w:r>
      <w:r w:rsidRPr="00345BCE">
        <w:rPr>
          <w:sz w:val="22"/>
          <w:szCs w:val="22"/>
          <w:lang w:val="hu-HU"/>
        </w:rPr>
        <w:t>-28%).</w:t>
      </w:r>
    </w:p>
    <w:p w14:paraId="2C8335D8" w14:textId="77777777" w:rsidR="009C3885" w:rsidRPr="00345BCE" w:rsidRDefault="009C3885" w:rsidP="00C560EC">
      <w:pPr>
        <w:pStyle w:val="Text"/>
        <w:tabs>
          <w:tab w:val="left" w:pos="567"/>
        </w:tabs>
        <w:spacing w:before="0"/>
        <w:jc w:val="left"/>
        <w:rPr>
          <w:sz w:val="22"/>
          <w:szCs w:val="22"/>
          <w:lang w:val="hu-HU"/>
        </w:rPr>
      </w:pPr>
    </w:p>
    <w:p w14:paraId="40B56634" w14:textId="77777777" w:rsidR="00B40917" w:rsidRDefault="00B40917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Val-HeFT teljes populációjában a valzartánnal kezelt betegekben jelentős javulás mutatkozott a NYHA stádium</w:t>
      </w:r>
      <w:r w:rsidR="00914B2F" w:rsidRPr="00345BCE">
        <w:rPr>
          <w:sz w:val="22"/>
          <w:szCs w:val="22"/>
        </w:rPr>
        <w:t>ban</w:t>
      </w:r>
      <w:r w:rsidRPr="00345BCE">
        <w:rPr>
          <w:sz w:val="22"/>
          <w:szCs w:val="22"/>
        </w:rPr>
        <w:t xml:space="preserve">, a szívelégtelenségi tünetek, mint dyspnoe, fáradtság, ödéma és </w:t>
      </w:r>
      <w:r w:rsidR="00935F18" w:rsidRPr="00345BCE">
        <w:rPr>
          <w:sz w:val="22"/>
          <w:szCs w:val="22"/>
        </w:rPr>
        <w:t>szörtyzörejek</w:t>
      </w:r>
      <w:r w:rsidRPr="00345BCE">
        <w:rPr>
          <w:sz w:val="22"/>
          <w:szCs w:val="22"/>
        </w:rPr>
        <w:t xml:space="preserve"> tekintetében a placebóhoz viszonyítva. A valzartánnal kezelt betegek életminősége a</w:t>
      </w:r>
      <w:r w:rsidR="00935F18" w:rsidRPr="00345BCE">
        <w:rPr>
          <w:sz w:val="22"/>
          <w:szCs w:val="22"/>
        </w:rPr>
        <w:t xml:space="preserve"> kiindulási és végponti</w:t>
      </w:r>
      <w:r w:rsidRPr="00345BCE">
        <w:rPr>
          <w:sz w:val="22"/>
          <w:szCs w:val="22"/>
        </w:rPr>
        <w:t xml:space="preserve"> Minnesota Living with Heart Failure Quality of Life </w:t>
      </w:r>
      <w:r w:rsidR="00935F18" w:rsidRPr="00345BCE">
        <w:rPr>
          <w:sz w:val="22"/>
          <w:szCs w:val="22"/>
        </w:rPr>
        <w:t>pontszám alapján</w:t>
      </w:r>
      <w:r w:rsidRPr="00345BCE">
        <w:rPr>
          <w:sz w:val="22"/>
          <w:szCs w:val="22"/>
        </w:rPr>
        <w:t xml:space="preserve"> a placebóhoz képest jobb volt. Az ejekciós frakció a valzartánnal kezelt betegekben szignifikánsan növekedett, a LVIDD szignifikánsan csökkent a kiindulási értékhez képest a kezelés végé</w:t>
      </w:r>
      <w:r w:rsidR="00935F18" w:rsidRPr="00345BCE">
        <w:rPr>
          <w:sz w:val="22"/>
          <w:szCs w:val="22"/>
        </w:rPr>
        <w:t>re</w:t>
      </w:r>
      <w:r w:rsidRPr="00345BCE">
        <w:rPr>
          <w:sz w:val="22"/>
          <w:szCs w:val="22"/>
        </w:rPr>
        <w:t xml:space="preserve"> a placebóval összehasonlítva.</w:t>
      </w:r>
    </w:p>
    <w:p w14:paraId="0A1E9E5A" w14:textId="77777777" w:rsidR="00F760FF" w:rsidRDefault="00F760FF" w:rsidP="00EA386A">
      <w:pPr>
        <w:rPr>
          <w:sz w:val="22"/>
          <w:szCs w:val="22"/>
        </w:rPr>
      </w:pPr>
    </w:p>
    <w:p w14:paraId="7C605768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u w:val="single"/>
          <w:lang w:val="hu-HU"/>
        </w:rPr>
      </w:pPr>
      <w:r w:rsidRPr="00B86A8A">
        <w:rPr>
          <w:sz w:val="22"/>
          <w:szCs w:val="22"/>
          <w:u w:val="single"/>
          <w:lang w:val="hu-HU"/>
        </w:rPr>
        <w:t>Egyéb: A renin-angiotenzin-aldoszteron rendszer (RAAS) kettős blokádja</w:t>
      </w:r>
    </w:p>
    <w:p w14:paraId="1706229A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B86A8A">
        <w:rPr>
          <w:sz w:val="22"/>
          <w:szCs w:val="22"/>
          <w:lang w:val="hu-HU"/>
        </w:rPr>
        <w:t xml:space="preserve">Két nagy, randomizált, kontrollos vizsgálatban </w:t>
      </w:r>
      <w:r w:rsidRPr="00B86A8A">
        <w:rPr>
          <w:rFonts w:ascii="Verdana" w:hAnsi="Verdana"/>
          <w:sz w:val="22"/>
          <w:szCs w:val="22"/>
          <w:lang w:val="hu-HU"/>
        </w:rPr>
        <w:t>[</w:t>
      </w:r>
      <w:r w:rsidRPr="00B86A8A">
        <w:rPr>
          <w:sz w:val="22"/>
          <w:szCs w:val="22"/>
          <w:lang w:val="hu-HU"/>
        </w:rPr>
        <w:t>ONTARGET (ONgoing Telmisartan Alone and in combination with Ramipril Global Endpoint Trial) és VA NEPHRON</w:t>
      </w:r>
      <w:r w:rsidRPr="00B86A8A">
        <w:rPr>
          <w:sz w:val="22"/>
          <w:szCs w:val="22"/>
          <w:lang w:val="hu-HU"/>
        </w:rPr>
        <w:noBreakHyphen/>
        <w:t>D (The Veterans Affairs Nephropathy in Diabetes)] vizsgálták az ACE-gátló és angiotenzin II</w:t>
      </w:r>
      <w:r w:rsidRPr="00B86A8A">
        <w:rPr>
          <w:sz w:val="22"/>
          <w:szCs w:val="22"/>
          <w:lang w:val="hu-HU"/>
        </w:rPr>
        <w:noBreakHyphen/>
        <w:t>receptor</w:t>
      </w:r>
      <w:r w:rsidRPr="00B86A8A">
        <w:rPr>
          <w:sz w:val="22"/>
          <w:szCs w:val="22"/>
          <w:lang w:val="hu-HU"/>
        </w:rPr>
        <w:noBreakHyphen/>
        <w:t>blokkoló kombinált alkalmazását.</w:t>
      </w:r>
    </w:p>
    <w:p w14:paraId="616A1E1F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</w:p>
    <w:p w14:paraId="3F128399" w14:textId="279575EF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B86A8A">
        <w:rPr>
          <w:sz w:val="22"/>
          <w:szCs w:val="22"/>
          <w:lang w:val="hu-HU"/>
        </w:rPr>
        <w:t xml:space="preserve">Az ONTARGET vizsgálatot olyan betegeknél végezték, akiknek a kórtörténetében cardiovascularis vagy cerebrovascularis betegség, vagy szervkárosodással járó </w:t>
      </w:r>
      <w:r w:rsidR="00B1779D">
        <w:rPr>
          <w:sz w:val="22"/>
          <w:szCs w:val="22"/>
          <w:lang w:val="hu-HU"/>
        </w:rPr>
        <w:t>2-es</w:t>
      </w:r>
      <w:r w:rsidRPr="00B86A8A">
        <w:rPr>
          <w:sz w:val="22"/>
          <w:szCs w:val="22"/>
          <w:lang w:val="hu-HU"/>
        </w:rPr>
        <w:t xml:space="preserve"> típusú diabetes mellitus szerepelt. A VA NEPHRON-D vizsgálatot 2</w:t>
      </w:r>
      <w:r w:rsidRPr="00B86A8A">
        <w:rPr>
          <w:sz w:val="22"/>
          <w:szCs w:val="22"/>
          <w:lang w:val="hu-HU"/>
        </w:rPr>
        <w:noBreakHyphen/>
        <w:t>es típusú diabetesben és diabeteses nephropathiában szenvedő betegeknél végezték. Ezek a vizsgálatok nem mutattak ki szignifikánsan előnyös hatásokat a renalis és/vagy cardiovascularis kimenetel és a mortalitás vonatkozásában, miközben a monoterápia esetén megfigyelthez képest nőtt a hyperkalaemia, akut veseelégtelenség és/vagy hypotonia kockázata.</w:t>
      </w:r>
    </w:p>
    <w:p w14:paraId="444F537B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B86A8A">
        <w:rPr>
          <w:sz w:val="22"/>
          <w:szCs w:val="22"/>
          <w:lang w:val="hu-HU"/>
        </w:rPr>
        <w:t>A hasonló farmakodinámiás tulajdonságok alapján ezek az eredmények más ACE</w:t>
      </w:r>
      <w:r w:rsidRPr="00B86A8A">
        <w:rPr>
          <w:sz w:val="22"/>
          <w:szCs w:val="22"/>
          <w:lang w:val="hu-HU"/>
        </w:rPr>
        <w:noBreakHyphen/>
        <w:t>gátlók és angiotenzin</w:t>
      </w:r>
      <w:r w:rsidRPr="00B86A8A">
        <w:rPr>
          <w:lang w:val="hu-HU"/>
        </w:rPr>
        <w:t> </w:t>
      </w:r>
      <w:r w:rsidRPr="00B86A8A">
        <w:rPr>
          <w:sz w:val="22"/>
          <w:szCs w:val="22"/>
          <w:lang w:val="hu-HU"/>
        </w:rPr>
        <w:t>II</w:t>
      </w:r>
      <w:r w:rsidRPr="00B86A8A">
        <w:rPr>
          <w:sz w:val="22"/>
          <w:szCs w:val="22"/>
          <w:lang w:val="hu-HU"/>
        </w:rPr>
        <w:noBreakHyphen/>
        <w:t>receptor</w:t>
      </w:r>
      <w:r w:rsidRPr="00B86A8A">
        <w:rPr>
          <w:sz w:val="22"/>
          <w:szCs w:val="22"/>
          <w:lang w:val="hu-HU"/>
        </w:rPr>
        <w:noBreakHyphen/>
        <w:t>blokkolók esetében is relevánsak. Ezért az ACE-gátlók és angiotenzin II</w:t>
      </w:r>
      <w:r w:rsidRPr="00B86A8A">
        <w:rPr>
          <w:sz w:val="22"/>
          <w:szCs w:val="22"/>
          <w:lang w:val="hu-HU"/>
        </w:rPr>
        <w:noBreakHyphen/>
        <w:t>receptor</w:t>
      </w:r>
      <w:r w:rsidRPr="00B86A8A">
        <w:rPr>
          <w:sz w:val="22"/>
          <w:szCs w:val="22"/>
          <w:lang w:val="hu-HU"/>
        </w:rPr>
        <w:noBreakHyphen/>
        <w:t>blokkolók nem adhatók együtt diabeteses nephropathiában szenvedő betegeknek.</w:t>
      </w:r>
    </w:p>
    <w:p w14:paraId="324279CA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</w:p>
    <w:p w14:paraId="3B4707A2" w14:textId="77777777" w:rsidR="00B11AA4" w:rsidRPr="00B86A8A" w:rsidRDefault="00B11AA4" w:rsidP="00B11AA4">
      <w:pPr>
        <w:pStyle w:val="Text"/>
        <w:spacing w:before="0"/>
        <w:jc w:val="left"/>
        <w:rPr>
          <w:sz w:val="22"/>
          <w:szCs w:val="22"/>
          <w:lang w:val="hu-HU"/>
        </w:rPr>
      </w:pPr>
      <w:r w:rsidRPr="00B86A8A">
        <w:rPr>
          <w:sz w:val="22"/>
          <w:szCs w:val="22"/>
          <w:lang w:val="hu-HU"/>
        </w:rPr>
        <w:t>Az ALTITUDE (Aliskiren Trial in Type 2 Diabetes Using Cardiovascular and Renal Disease Endpoints) vizsgálat célja az volt, hogy megállapítsák, előnyös-e a standard ACE</w:t>
      </w:r>
      <w:r w:rsidRPr="00B86A8A">
        <w:rPr>
          <w:sz w:val="22"/>
          <w:szCs w:val="22"/>
          <w:lang w:val="hu-HU"/>
        </w:rPr>
        <w:noBreakHyphen/>
        <w:t>gátló vagy angiotenzin II</w:t>
      </w:r>
      <w:r w:rsidRPr="00B86A8A">
        <w:rPr>
          <w:sz w:val="22"/>
          <w:szCs w:val="22"/>
          <w:lang w:val="hu-HU"/>
        </w:rPr>
        <w:noBreakHyphen/>
        <w:t>receptor</w:t>
      </w:r>
      <w:r w:rsidRPr="00B86A8A">
        <w:rPr>
          <w:sz w:val="22"/>
          <w:szCs w:val="22"/>
          <w:lang w:val="hu-HU"/>
        </w:rPr>
        <w:noBreakHyphen/>
        <w:t>blokkoló</w:t>
      </w:r>
      <w:r w:rsidRPr="00B86A8A">
        <w:rPr>
          <w:sz w:val="22"/>
          <w:szCs w:val="22"/>
          <w:lang w:val="hu-HU"/>
        </w:rPr>
        <w:noBreakHyphen/>
        <w:t>kezelés kiegészítése aliszkirénnel 2</w:t>
      </w:r>
      <w:r w:rsidRPr="00B86A8A">
        <w:rPr>
          <w:sz w:val="22"/>
          <w:szCs w:val="22"/>
          <w:lang w:val="hu-HU"/>
        </w:rPr>
        <w:noBreakHyphen/>
        <w:t>es típusú diabetesben és krónikus vesebetegségben, illetve cardiovascularis betegségben vagy mindkettőben szenvedő betegeknél. A vizsgálatot idő előtt leállították, mert nőtt a mellékhatások kockázata. A cardiovascularis eredetű halál és a stroke szám szerint gyakoribb volt az aliszkirén</w:t>
      </w:r>
      <w:r w:rsidRPr="00B86A8A">
        <w:rPr>
          <w:sz w:val="22"/>
          <w:szCs w:val="22"/>
          <w:lang w:val="hu-HU"/>
        </w:rPr>
        <w:noBreakHyphen/>
        <w:t>csoportban, mint a placebocsoportban, és a jelentős mellékhatások, illetve súlyos mellékhatások (hyperkalaemia, hypotonia és veseműködési zavar) is gyakoribbak voltak az aliszkirén</w:t>
      </w:r>
      <w:r w:rsidRPr="00B86A8A">
        <w:rPr>
          <w:sz w:val="22"/>
          <w:szCs w:val="22"/>
          <w:lang w:val="hu-HU"/>
        </w:rPr>
        <w:noBreakHyphen/>
        <w:t>csoportban, mint a placebocsoportban.</w:t>
      </w:r>
    </w:p>
    <w:p w14:paraId="4D32D15F" w14:textId="77777777" w:rsidR="00B11AA4" w:rsidRDefault="00B11AA4" w:rsidP="00EA386A">
      <w:pPr>
        <w:rPr>
          <w:sz w:val="22"/>
          <w:szCs w:val="22"/>
        </w:rPr>
      </w:pPr>
    </w:p>
    <w:p w14:paraId="53ADA4C8" w14:textId="77777777" w:rsidR="00BE6734" w:rsidRPr="00345BCE" w:rsidRDefault="00BE6734" w:rsidP="00EA386A">
      <w:pPr>
        <w:rPr>
          <w:i/>
          <w:snapToGrid w:val="0"/>
          <w:sz w:val="22"/>
          <w:szCs w:val="22"/>
          <w:u w:val="single"/>
        </w:rPr>
      </w:pPr>
      <w:r w:rsidRPr="00345BCE">
        <w:rPr>
          <w:i/>
          <w:snapToGrid w:val="0"/>
          <w:sz w:val="22"/>
          <w:szCs w:val="22"/>
          <w:u w:val="single"/>
        </w:rPr>
        <w:t>Gyermek</w:t>
      </w:r>
      <w:r w:rsidR="0051702A">
        <w:rPr>
          <w:i/>
          <w:snapToGrid w:val="0"/>
          <w:sz w:val="22"/>
          <w:szCs w:val="22"/>
          <w:u w:val="single"/>
        </w:rPr>
        <w:t>ek</w:t>
      </w:r>
      <w:r w:rsidR="009E5EFC">
        <w:rPr>
          <w:i/>
          <w:snapToGrid w:val="0"/>
          <w:sz w:val="22"/>
          <w:szCs w:val="22"/>
          <w:u w:val="single"/>
        </w:rPr>
        <w:t xml:space="preserve"> és serdülők</w:t>
      </w:r>
    </w:p>
    <w:p w14:paraId="47976E70" w14:textId="77777777" w:rsidR="00BE6734" w:rsidRPr="00345BCE" w:rsidRDefault="00BE6734" w:rsidP="00EA386A">
      <w:pPr>
        <w:rPr>
          <w:i/>
          <w:snapToGrid w:val="0"/>
          <w:sz w:val="22"/>
          <w:szCs w:val="22"/>
          <w:u w:val="single"/>
        </w:rPr>
      </w:pPr>
    </w:p>
    <w:p w14:paraId="17749A1A" w14:textId="77777777" w:rsidR="00BE6734" w:rsidRPr="00345BCE" w:rsidRDefault="002321C3" w:rsidP="0097699A">
      <w:pPr>
        <w:rPr>
          <w:iCs/>
          <w:snapToGrid w:val="0"/>
          <w:sz w:val="22"/>
          <w:szCs w:val="22"/>
          <w:u w:val="single"/>
        </w:rPr>
      </w:pPr>
      <w:r>
        <w:rPr>
          <w:iCs/>
          <w:snapToGrid w:val="0"/>
          <w:sz w:val="22"/>
          <w:szCs w:val="22"/>
          <w:u w:val="single"/>
        </w:rPr>
        <w:t>Hypertonia</w:t>
      </w:r>
    </w:p>
    <w:p w14:paraId="6F48A1FF" w14:textId="77777777" w:rsidR="00BE6734" w:rsidRPr="00345BCE" w:rsidRDefault="00BE6734" w:rsidP="00666A5A">
      <w:pPr>
        <w:rPr>
          <w:iCs/>
          <w:snapToGrid w:val="0"/>
          <w:sz w:val="22"/>
          <w:szCs w:val="22"/>
          <w:u w:val="single"/>
        </w:rPr>
      </w:pPr>
    </w:p>
    <w:p w14:paraId="507BA993" w14:textId="6CB7873D" w:rsidR="00BE6734" w:rsidRPr="00345BCE" w:rsidRDefault="00BE6734" w:rsidP="00666A5A">
      <w:pPr>
        <w:rPr>
          <w:snapToGrid w:val="0"/>
          <w:sz w:val="22"/>
          <w:szCs w:val="22"/>
        </w:rPr>
      </w:pPr>
      <w:r w:rsidRPr="00345BCE">
        <w:rPr>
          <w:snapToGrid w:val="0"/>
          <w:sz w:val="22"/>
          <w:szCs w:val="22"/>
        </w:rPr>
        <w:t xml:space="preserve">A valzartán </w:t>
      </w:r>
      <w:r w:rsidRPr="00345BCE">
        <w:rPr>
          <w:color w:val="000000"/>
          <w:sz w:val="22"/>
          <w:szCs w:val="22"/>
        </w:rPr>
        <w:t xml:space="preserve">vérnyomáscsökkentő hatását </w:t>
      </w:r>
      <w:r w:rsidR="00F51BE2">
        <w:rPr>
          <w:color w:val="000000"/>
          <w:sz w:val="22"/>
          <w:szCs w:val="22"/>
        </w:rPr>
        <w:t>négy</w:t>
      </w:r>
      <w:r w:rsidR="00275948" w:rsidRPr="00345BCE">
        <w:rPr>
          <w:color w:val="000000"/>
          <w:sz w:val="22"/>
          <w:szCs w:val="22"/>
        </w:rPr>
        <w:t xml:space="preserve"> </w:t>
      </w:r>
      <w:r w:rsidRPr="00345BCE">
        <w:rPr>
          <w:color w:val="000000"/>
          <w:sz w:val="22"/>
          <w:szCs w:val="22"/>
        </w:rPr>
        <w:t>randomizált, kettő</w:t>
      </w:r>
      <w:r w:rsidR="00346645">
        <w:rPr>
          <w:color w:val="000000"/>
          <w:sz w:val="22"/>
          <w:szCs w:val="22"/>
        </w:rPr>
        <w:t>s v</w:t>
      </w:r>
      <w:r w:rsidRPr="00345BCE">
        <w:rPr>
          <w:color w:val="000000"/>
          <w:sz w:val="22"/>
          <w:szCs w:val="22"/>
        </w:rPr>
        <w:t xml:space="preserve">ak klinikai vizsgálatban, </w:t>
      </w:r>
      <w:r w:rsidR="007358F6">
        <w:rPr>
          <w:color w:val="000000"/>
          <w:sz w:val="22"/>
          <w:szCs w:val="22"/>
        </w:rPr>
        <w:t>56</w:t>
      </w:r>
      <w:r w:rsidR="007358F6" w:rsidRPr="00275948">
        <w:rPr>
          <w:color w:val="000000"/>
          <w:sz w:val="22"/>
          <w:szCs w:val="22"/>
        </w:rPr>
        <w:t>1</w:t>
      </w:r>
      <w:r w:rsidRPr="00275948">
        <w:rPr>
          <w:color w:val="000000"/>
          <w:sz w:val="22"/>
          <w:szCs w:val="22"/>
        </w:rPr>
        <w:t>,</w:t>
      </w:r>
      <w:r w:rsidRPr="00345BCE">
        <w:rPr>
          <w:color w:val="000000"/>
          <w:sz w:val="22"/>
          <w:szCs w:val="22"/>
        </w:rPr>
        <w:t xml:space="preserve"> </w:t>
      </w:r>
      <w:r w:rsidR="00B1779D">
        <w:rPr>
          <w:sz w:val="22"/>
          <w:szCs w:val="22"/>
        </w:rPr>
        <w:t>legalább 6 éves, de 18</w:t>
      </w:r>
      <w:r w:rsidR="00B1779D" w:rsidRPr="00DD3731">
        <w:rPr>
          <w:sz w:val="22"/>
          <w:szCs w:val="22"/>
        </w:rPr>
        <w:t xml:space="preserve"> évesnél fiatalabb </w:t>
      </w:r>
      <w:r w:rsidR="000822DD" w:rsidRPr="00EF51F9">
        <w:rPr>
          <w:color w:val="000000"/>
          <w:sz w:val="22"/>
          <w:szCs w:val="22"/>
        </w:rPr>
        <w:t>korú</w:t>
      </w:r>
      <w:r w:rsidR="007358F6" w:rsidRPr="007358F6">
        <w:t xml:space="preserve"> </w:t>
      </w:r>
      <w:r w:rsidR="007358F6" w:rsidRPr="007358F6">
        <w:rPr>
          <w:color w:val="000000"/>
          <w:sz w:val="22"/>
          <w:szCs w:val="22"/>
        </w:rPr>
        <w:t>gyermeknél és serdülőnél</w:t>
      </w:r>
      <w:r w:rsidRPr="00345BCE">
        <w:rPr>
          <w:color w:val="000000"/>
          <w:sz w:val="22"/>
          <w:szCs w:val="22"/>
        </w:rPr>
        <w:t xml:space="preserve">, valamint 165, </w:t>
      </w:r>
      <w:r w:rsidR="004A25AD" w:rsidRPr="004A25AD">
        <w:rPr>
          <w:color w:val="000000"/>
          <w:sz w:val="22"/>
          <w:szCs w:val="22"/>
        </w:rPr>
        <w:t xml:space="preserve">1 és 6 </w:t>
      </w:r>
      <w:r w:rsidR="007358F6" w:rsidRPr="007358F6">
        <w:rPr>
          <w:color w:val="000000"/>
          <w:sz w:val="22"/>
          <w:szCs w:val="22"/>
        </w:rPr>
        <w:t>éves kor közötti gyermeknél</w:t>
      </w:r>
      <w:r w:rsidR="007358F6" w:rsidRPr="007358F6" w:rsidDel="007358F6">
        <w:rPr>
          <w:color w:val="000000"/>
          <w:sz w:val="22"/>
          <w:szCs w:val="22"/>
        </w:rPr>
        <w:t xml:space="preserve"> </w:t>
      </w:r>
      <w:r w:rsidRPr="00345BCE">
        <w:rPr>
          <w:color w:val="000000"/>
          <w:sz w:val="22"/>
          <w:szCs w:val="22"/>
        </w:rPr>
        <w:t>értékelték</w:t>
      </w:r>
      <w:r w:rsidRPr="00345BCE">
        <w:rPr>
          <w:snapToGrid w:val="0"/>
          <w:sz w:val="22"/>
          <w:szCs w:val="22"/>
        </w:rPr>
        <w:t xml:space="preserve">. Az ezekbe a vizsgálatokba beválogatott gyermekeknél a leggyakoribb, a </w:t>
      </w:r>
      <w:r w:rsidR="002321C3">
        <w:rPr>
          <w:snapToGrid w:val="0"/>
          <w:sz w:val="22"/>
          <w:szCs w:val="22"/>
        </w:rPr>
        <w:t>hypertoni</w:t>
      </w:r>
      <w:r w:rsidR="00573067">
        <w:rPr>
          <w:snapToGrid w:val="0"/>
          <w:sz w:val="22"/>
          <w:szCs w:val="22"/>
        </w:rPr>
        <w:t>á</w:t>
      </w:r>
      <w:r w:rsidR="003F66A1">
        <w:rPr>
          <w:snapToGrid w:val="0"/>
          <w:sz w:val="22"/>
          <w:szCs w:val="22"/>
        </w:rPr>
        <w:t>h</w:t>
      </w:r>
      <w:r w:rsidRPr="00345BCE">
        <w:rPr>
          <w:snapToGrid w:val="0"/>
          <w:sz w:val="22"/>
          <w:szCs w:val="22"/>
        </w:rPr>
        <w:t>oz potenciálisan hozzájáruló, kezelésre szoruló alapbetegségek a vese- és húgyúti megbetegedések és az elhízás voltak.</w:t>
      </w:r>
    </w:p>
    <w:p w14:paraId="332542A5" w14:textId="77777777" w:rsidR="00BE6734" w:rsidRPr="00345BCE" w:rsidRDefault="00BE6734" w:rsidP="00666A5A">
      <w:pPr>
        <w:rPr>
          <w:snapToGrid w:val="0"/>
          <w:sz w:val="22"/>
          <w:szCs w:val="22"/>
        </w:rPr>
      </w:pPr>
    </w:p>
    <w:p w14:paraId="377A9067" w14:textId="77777777" w:rsidR="00BE6734" w:rsidRPr="00345BCE" w:rsidRDefault="00BE6734" w:rsidP="00666A5A">
      <w:pPr>
        <w:rPr>
          <w:i/>
          <w:snapToGrid w:val="0"/>
          <w:sz w:val="22"/>
          <w:szCs w:val="22"/>
          <w:u w:val="single"/>
        </w:rPr>
      </w:pPr>
      <w:r w:rsidRPr="00345BCE">
        <w:rPr>
          <w:i/>
          <w:snapToGrid w:val="0"/>
          <w:sz w:val="22"/>
          <w:szCs w:val="22"/>
          <w:u w:val="single"/>
        </w:rPr>
        <w:t>Klinikai tapasztalat a 6 éves és idősebb gyermekeknél</w:t>
      </w:r>
    </w:p>
    <w:p w14:paraId="74029ECD" w14:textId="57CC2193" w:rsidR="00BE6734" w:rsidRPr="00345BCE" w:rsidRDefault="00BE6734" w:rsidP="00E9784D">
      <w:pPr>
        <w:rPr>
          <w:snapToGrid w:val="0"/>
          <w:sz w:val="22"/>
          <w:szCs w:val="22"/>
        </w:rPr>
      </w:pPr>
      <w:r w:rsidRPr="00345BCE">
        <w:rPr>
          <w:snapToGrid w:val="0"/>
          <w:sz w:val="22"/>
          <w:szCs w:val="22"/>
        </w:rPr>
        <w:t>Egy 261, 6</w:t>
      </w:r>
      <w:r w:rsidRPr="00345BCE">
        <w:rPr>
          <w:snapToGrid w:val="0"/>
          <w:sz w:val="22"/>
          <w:szCs w:val="22"/>
        </w:rPr>
        <w:noBreakHyphen/>
        <w:t xml:space="preserve">16 éves, </w:t>
      </w:r>
      <w:r w:rsidR="002321C3">
        <w:rPr>
          <w:snapToGrid w:val="0"/>
          <w:sz w:val="22"/>
          <w:szCs w:val="22"/>
        </w:rPr>
        <w:t>hypertoni</w:t>
      </w:r>
      <w:r w:rsidR="00573067">
        <w:rPr>
          <w:snapToGrid w:val="0"/>
          <w:sz w:val="22"/>
          <w:szCs w:val="22"/>
        </w:rPr>
        <w:t>á</w:t>
      </w:r>
      <w:r w:rsidR="003F66A1">
        <w:rPr>
          <w:snapToGrid w:val="0"/>
          <w:sz w:val="22"/>
          <w:szCs w:val="22"/>
        </w:rPr>
        <w:t>s</w:t>
      </w:r>
      <w:r w:rsidRPr="00345BCE">
        <w:rPr>
          <w:snapToGrid w:val="0"/>
          <w:sz w:val="22"/>
          <w:szCs w:val="22"/>
        </w:rPr>
        <w:t xml:space="preserve"> </w:t>
      </w:r>
      <w:r w:rsidR="004A25AD" w:rsidRPr="004A25AD">
        <w:rPr>
          <w:color w:val="000000"/>
          <w:sz w:val="22"/>
          <w:szCs w:val="22"/>
        </w:rPr>
        <w:t>gyermeknél és serdülőnél</w:t>
      </w:r>
      <w:r w:rsidRPr="00345BCE">
        <w:rPr>
          <w:color w:val="000000"/>
          <w:sz w:val="22"/>
          <w:szCs w:val="22"/>
        </w:rPr>
        <w:t xml:space="preserve"> végzett klinikai vizsgálatban azok a betegek, akiknek a testtömege 35 kg alatt volt, </w:t>
      </w:r>
      <w:r w:rsidRPr="00345BCE">
        <w:rPr>
          <w:snapToGrid w:val="0"/>
          <w:sz w:val="22"/>
          <w:szCs w:val="22"/>
        </w:rPr>
        <w:t>10, 40 vagy 80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 xml:space="preserve">mg-os valzartán tablettát kaptak </w:t>
      </w:r>
      <w:r w:rsidRPr="00345BCE">
        <w:rPr>
          <w:color w:val="000000"/>
          <w:sz w:val="22"/>
          <w:szCs w:val="22"/>
        </w:rPr>
        <w:t>naponta</w:t>
      </w:r>
      <w:r w:rsidRPr="00345BCE">
        <w:rPr>
          <w:snapToGrid w:val="0"/>
          <w:sz w:val="22"/>
          <w:szCs w:val="22"/>
        </w:rPr>
        <w:t xml:space="preserve"> (alacsony, közepes és magas dózis), és azok a betegek, </w:t>
      </w:r>
      <w:r w:rsidRPr="00345BCE">
        <w:rPr>
          <w:color w:val="000000"/>
          <w:sz w:val="22"/>
          <w:szCs w:val="22"/>
        </w:rPr>
        <w:t xml:space="preserve">akiknek a testtömege 35 kg vagy annál magasabb volt, </w:t>
      </w:r>
      <w:r w:rsidRPr="00345BCE">
        <w:rPr>
          <w:snapToGrid w:val="0"/>
          <w:sz w:val="22"/>
          <w:szCs w:val="22"/>
        </w:rPr>
        <w:t>20, 80 és 160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 xml:space="preserve">mg-os valzartán tablettát kaptak </w:t>
      </w:r>
      <w:r w:rsidRPr="00345BCE">
        <w:rPr>
          <w:color w:val="000000"/>
          <w:sz w:val="22"/>
          <w:szCs w:val="22"/>
        </w:rPr>
        <w:t>naponta</w:t>
      </w:r>
      <w:r w:rsidRPr="00345BCE">
        <w:rPr>
          <w:snapToGrid w:val="0"/>
          <w:sz w:val="22"/>
          <w:szCs w:val="22"/>
        </w:rPr>
        <w:t xml:space="preserve"> (alacsony, közepes és magas dózis). A 2. hét végére a valzartán mind a szisztolés, mind a diasztolés vérnyomást dózisfüggő módon csökkentette. Összességében mindhárom valzartán dózisszint (alacsony, közepes és magas) jelentősen, sorrendben 8, 10, 12 Hgmm</w:t>
      </w:r>
      <w:r w:rsidRPr="00345BCE">
        <w:rPr>
          <w:snapToGrid w:val="0"/>
          <w:sz w:val="22"/>
          <w:szCs w:val="22"/>
        </w:rPr>
        <w:noBreakHyphen/>
        <w:t>rel csökkentette a kiindulási szisztolés vérnyomást. A betegeket ismételten randomizálták, és vagy ugyanazt a valzartán dózist kapták tovább, vagy placebóra váltottak át. Azoknál a betegeknél, akik tovább kapták a valzartán közepes vagy magas dózisait, a legalacsonyabb szisztolés vérnyomás -4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és -7 Hgmm</w:t>
      </w:r>
      <w:r w:rsidRPr="00345BCE">
        <w:rPr>
          <w:snapToGrid w:val="0"/>
          <w:sz w:val="22"/>
          <w:szCs w:val="22"/>
        </w:rPr>
        <w:noBreakHyphen/>
        <w:t>rel alacsonyabb volt, mint a placeb</w:t>
      </w:r>
      <w:r w:rsidR="00353FF9">
        <w:rPr>
          <w:snapToGrid w:val="0"/>
          <w:sz w:val="22"/>
          <w:szCs w:val="22"/>
        </w:rPr>
        <w:t>ok</w:t>
      </w:r>
      <w:r w:rsidRPr="00345BCE">
        <w:rPr>
          <w:snapToGrid w:val="0"/>
          <w:sz w:val="22"/>
          <w:szCs w:val="22"/>
        </w:rPr>
        <w:t>ezelést kapó betegeknél. A valzartán alacsony dózisát kapó betegek legalacsonyabb szisztolés vérnyomása hasonló volt a placeb</w:t>
      </w:r>
      <w:r w:rsidR="00353FF9">
        <w:rPr>
          <w:snapToGrid w:val="0"/>
          <w:sz w:val="22"/>
          <w:szCs w:val="22"/>
        </w:rPr>
        <w:t>ok</w:t>
      </w:r>
      <w:r w:rsidRPr="00345BCE">
        <w:rPr>
          <w:snapToGrid w:val="0"/>
          <w:sz w:val="22"/>
          <w:szCs w:val="22"/>
        </w:rPr>
        <w:t>ezelést kapó betegekéhez. Összességében a valzartán dózisfüggő vérnyomáscsökkentő hatása minden demográfiai alcsoportban hasonló volt.</w:t>
      </w:r>
    </w:p>
    <w:p w14:paraId="23930115" w14:textId="77777777" w:rsidR="00BE6734" w:rsidRPr="00345BCE" w:rsidRDefault="00BE6734" w:rsidP="001902F4">
      <w:pPr>
        <w:rPr>
          <w:snapToGrid w:val="0"/>
          <w:sz w:val="22"/>
          <w:szCs w:val="22"/>
        </w:rPr>
      </w:pPr>
    </w:p>
    <w:p w14:paraId="599D379A" w14:textId="4D30EC54" w:rsidR="00BE6734" w:rsidRPr="00345BCE" w:rsidRDefault="00BE6734" w:rsidP="001902F4">
      <w:pPr>
        <w:rPr>
          <w:snapToGrid w:val="0"/>
          <w:sz w:val="22"/>
          <w:szCs w:val="22"/>
        </w:rPr>
      </w:pPr>
      <w:r w:rsidRPr="00345BCE">
        <w:rPr>
          <w:snapToGrid w:val="0"/>
          <w:sz w:val="22"/>
          <w:szCs w:val="22"/>
        </w:rPr>
        <w:t>Egy más</w:t>
      </w:r>
      <w:r w:rsidR="000822DD">
        <w:rPr>
          <w:snapToGrid w:val="0"/>
          <w:sz w:val="22"/>
          <w:szCs w:val="22"/>
        </w:rPr>
        <w:t>od</w:t>
      </w:r>
      <w:r w:rsidRPr="00345BCE">
        <w:rPr>
          <w:snapToGrid w:val="0"/>
          <w:sz w:val="22"/>
          <w:szCs w:val="22"/>
        </w:rPr>
        <w:t>ik klinikai vizsgálatban 300, 6</w:t>
      </w:r>
      <w:r w:rsidRPr="00345BCE">
        <w:rPr>
          <w:snapToGrid w:val="0"/>
          <w:sz w:val="22"/>
          <w:szCs w:val="22"/>
        </w:rPr>
        <w:noBreakHyphen/>
        <w:t xml:space="preserve">18 éves </w:t>
      </w:r>
      <w:r w:rsidR="002321C3">
        <w:rPr>
          <w:snapToGrid w:val="0"/>
          <w:sz w:val="22"/>
          <w:szCs w:val="22"/>
        </w:rPr>
        <w:t>hypertoni</w:t>
      </w:r>
      <w:r w:rsidR="00573067">
        <w:rPr>
          <w:snapToGrid w:val="0"/>
          <w:sz w:val="22"/>
          <w:szCs w:val="22"/>
        </w:rPr>
        <w:t>á</w:t>
      </w:r>
      <w:r w:rsidR="003F66A1">
        <w:rPr>
          <w:snapToGrid w:val="0"/>
          <w:sz w:val="22"/>
          <w:szCs w:val="22"/>
        </w:rPr>
        <w:t>s</w:t>
      </w:r>
      <w:r w:rsidRPr="00345BCE">
        <w:rPr>
          <w:snapToGrid w:val="0"/>
          <w:sz w:val="22"/>
          <w:szCs w:val="22"/>
        </w:rPr>
        <w:t xml:space="preserve"> </w:t>
      </w:r>
      <w:r w:rsidRPr="00345BCE">
        <w:rPr>
          <w:color w:val="000000"/>
          <w:sz w:val="22"/>
          <w:szCs w:val="22"/>
        </w:rPr>
        <w:t>gyermek</w:t>
      </w:r>
      <w:r w:rsidR="007358F6">
        <w:rPr>
          <w:color w:val="000000"/>
          <w:sz w:val="22"/>
          <w:szCs w:val="22"/>
        </w:rPr>
        <w:t xml:space="preserve"> és serdülő</w:t>
      </w:r>
      <w:r w:rsidRPr="00345BCE">
        <w:rPr>
          <w:color w:val="000000"/>
          <w:sz w:val="22"/>
          <w:szCs w:val="22"/>
        </w:rPr>
        <w:t xml:space="preserve"> vett részt, és a vizsgálatban való részvételre alkalmas betegek </w:t>
      </w:r>
      <w:r w:rsidRPr="00345BCE">
        <w:rPr>
          <w:snapToGrid w:val="0"/>
          <w:sz w:val="22"/>
          <w:szCs w:val="22"/>
        </w:rPr>
        <w:t>12 héten keresztül</w:t>
      </w:r>
      <w:r w:rsidRPr="00345BCE">
        <w:rPr>
          <w:color w:val="000000"/>
          <w:sz w:val="22"/>
          <w:szCs w:val="22"/>
        </w:rPr>
        <w:t xml:space="preserve"> random módon valzartán vagy </w:t>
      </w:r>
      <w:r w:rsidRPr="00345BCE">
        <w:rPr>
          <w:snapToGrid w:val="0"/>
          <w:sz w:val="22"/>
          <w:szCs w:val="22"/>
        </w:rPr>
        <w:t>enalapril tablettát kaptak. A ≥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18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kg és &lt;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35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kg közötti testtömegű gyermekek 80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 xml:space="preserve">mg </w:t>
      </w:r>
      <w:r w:rsidRPr="00345BCE">
        <w:rPr>
          <w:color w:val="000000"/>
          <w:sz w:val="22"/>
          <w:szCs w:val="22"/>
        </w:rPr>
        <w:t xml:space="preserve">valzartánt </w:t>
      </w:r>
      <w:r w:rsidRPr="00345BCE">
        <w:rPr>
          <w:snapToGrid w:val="0"/>
          <w:sz w:val="22"/>
          <w:szCs w:val="22"/>
        </w:rPr>
        <w:t>vagy 10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mg enalapril kaptak. Azok, akiknek a testtömege ≥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35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kg és &lt;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80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kg között volt, 160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 xml:space="preserve">mg </w:t>
      </w:r>
      <w:r w:rsidRPr="00345BCE">
        <w:rPr>
          <w:color w:val="000000"/>
          <w:sz w:val="22"/>
          <w:szCs w:val="22"/>
        </w:rPr>
        <w:t xml:space="preserve">valzartánt </w:t>
      </w:r>
      <w:r w:rsidRPr="00345BCE">
        <w:rPr>
          <w:snapToGrid w:val="0"/>
          <w:sz w:val="22"/>
          <w:szCs w:val="22"/>
        </w:rPr>
        <w:t>vagy 20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mg enalapril kaptak. A ≥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80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kg testtömegűek 320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 xml:space="preserve">mg </w:t>
      </w:r>
      <w:r w:rsidRPr="00345BCE">
        <w:rPr>
          <w:color w:val="000000"/>
          <w:sz w:val="22"/>
          <w:szCs w:val="22"/>
        </w:rPr>
        <w:t xml:space="preserve">valzartánt </w:t>
      </w:r>
      <w:r w:rsidRPr="00345BCE">
        <w:rPr>
          <w:snapToGrid w:val="0"/>
          <w:sz w:val="22"/>
          <w:szCs w:val="22"/>
        </w:rPr>
        <w:t>vagy 40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mg enalapril kaptak. A szisztolés vérnyomásban bekövetkező csökkenés a valzartánt kapó betegeknél (15</w:t>
      </w:r>
      <w:r w:rsidRPr="00345BCE">
        <w:rPr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Hgmm) és az enalaprilt kapó betegeknél (14 Hgmm) hasonló volt („nem rosszabb, mint” [non-inferiority] p</w:t>
      </w:r>
      <w:r w:rsidRPr="00345BCE">
        <w:rPr>
          <w:snapToGrid w:val="0"/>
          <w:sz w:val="22"/>
          <w:szCs w:val="22"/>
        </w:rPr>
        <w:noBreakHyphen/>
        <w:t>érték &lt;</w:t>
      </w:r>
      <w:r w:rsidR="00EF2E79">
        <w:rPr>
          <w:snapToGrid w:val="0"/>
          <w:sz w:val="22"/>
          <w:szCs w:val="22"/>
        </w:rPr>
        <w:t> </w:t>
      </w:r>
      <w:r w:rsidRPr="00345BCE">
        <w:rPr>
          <w:snapToGrid w:val="0"/>
          <w:sz w:val="22"/>
          <w:szCs w:val="22"/>
        </w:rPr>
        <w:t>0,0001). Hasonló eredményeket észleltek a diasztolés vérnyomás esetén is, ami a valzartán mellett 9,1</w:t>
      </w:r>
      <w:r w:rsidRPr="00345BCE">
        <w:rPr>
          <w:sz w:val="22"/>
          <w:szCs w:val="22"/>
        </w:rPr>
        <w:t> Hg</w:t>
      </w:r>
      <w:r w:rsidRPr="00345BCE">
        <w:rPr>
          <w:snapToGrid w:val="0"/>
          <w:sz w:val="22"/>
          <w:szCs w:val="22"/>
        </w:rPr>
        <w:t>mm</w:t>
      </w:r>
      <w:r w:rsidRPr="00345BCE">
        <w:rPr>
          <w:snapToGrid w:val="0"/>
          <w:sz w:val="22"/>
          <w:szCs w:val="22"/>
        </w:rPr>
        <w:noBreakHyphen/>
        <w:t>rel, az enalapril mellett 8,5</w:t>
      </w:r>
      <w:r w:rsidRPr="00345BCE">
        <w:rPr>
          <w:sz w:val="22"/>
          <w:szCs w:val="22"/>
        </w:rPr>
        <w:t> Hg</w:t>
      </w:r>
      <w:r w:rsidRPr="00345BCE">
        <w:rPr>
          <w:snapToGrid w:val="0"/>
          <w:sz w:val="22"/>
          <w:szCs w:val="22"/>
        </w:rPr>
        <w:t>mm</w:t>
      </w:r>
      <w:r w:rsidRPr="00345BCE">
        <w:rPr>
          <w:snapToGrid w:val="0"/>
          <w:sz w:val="22"/>
          <w:szCs w:val="22"/>
        </w:rPr>
        <w:noBreakHyphen/>
        <w:t>rel csökkent.</w:t>
      </w:r>
    </w:p>
    <w:p w14:paraId="7F6AF8E4" w14:textId="77777777" w:rsidR="00BE6734" w:rsidRDefault="00BE6734" w:rsidP="00B0458C">
      <w:pPr>
        <w:rPr>
          <w:snapToGrid w:val="0"/>
          <w:sz w:val="22"/>
          <w:szCs w:val="22"/>
        </w:rPr>
      </w:pPr>
    </w:p>
    <w:p w14:paraId="45DB3CE3" w14:textId="68E729E1" w:rsidR="000822DD" w:rsidRDefault="000822DD" w:rsidP="000822DD">
      <w:pPr>
        <w:rPr>
          <w:snapToGrid w:val="0"/>
        </w:rPr>
      </w:pPr>
      <w:r w:rsidRPr="00EF51F9">
        <w:rPr>
          <w:snapToGrid w:val="0"/>
          <w:sz w:val="22"/>
          <w:szCs w:val="22"/>
        </w:rPr>
        <w:t>Egy harmadik, nyílt elrendezésű klinikai vizsgálatban, amelyben 150, 6</w:t>
      </w:r>
      <w:r w:rsidRPr="00EF51F9">
        <w:rPr>
          <w:snapToGrid w:val="0"/>
          <w:sz w:val="22"/>
          <w:szCs w:val="22"/>
        </w:rPr>
        <w:noBreakHyphen/>
        <w:t xml:space="preserve">17 éves hypertoniás </w:t>
      </w:r>
      <w:r w:rsidR="002F38B7" w:rsidRPr="002F38B7">
        <w:rPr>
          <w:snapToGrid w:val="0"/>
          <w:sz w:val="22"/>
          <w:szCs w:val="22"/>
        </w:rPr>
        <w:t>gyermek és serdülő</w:t>
      </w:r>
      <w:r w:rsidRPr="00EF51F9">
        <w:rPr>
          <w:snapToGrid w:val="0"/>
          <w:sz w:val="22"/>
          <w:szCs w:val="22"/>
        </w:rPr>
        <w:t xml:space="preserve"> vett részt, az arra alkalmas betegek (a szisztolés vérnyomás ≥ 95. percentilis az életkor, nem és testmagasság esetén) 18 hónapig kaptak valzartánt a biztonságosság és a tolerabilitás értékelése érdekében. Az ebben a vizsgálatban résztvevő 150 beteg közül 41 beteg kapott még egyidejűleg vérnyomáscsökkentő gyógyszert. A betegeknél az adagolás a kezdő és a fenntartó adag esetén a testtömeg</w:t>
      </w:r>
      <w:r w:rsidRPr="00EF51F9">
        <w:rPr>
          <w:snapToGrid w:val="0"/>
          <w:sz w:val="22"/>
          <w:szCs w:val="22"/>
        </w:rPr>
        <w:noBreakHyphen/>
        <w:t xml:space="preserve">kategóriákon alapult. A </w:t>
      </w:r>
      <w:r w:rsidR="00B26781" w:rsidRPr="00E675D9">
        <w:rPr>
          <w:snapToGrid w:val="0"/>
          <w:sz w:val="22"/>
          <w:szCs w:val="22"/>
        </w:rPr>
        <w:t>≥</w:t>
      </w:r>
      <w:r w:rsidR="009C3885">
        <w:rPr>
          <w:snapToGrid w:val="0"/>
          <w:sz w:val="22"/>
          <w:szCs w:val="22"/>
        </w:rPr>
        <w:t xml:space="preserve"> </w:t>
      </w:r>
      <w:r w:rsidRPr="00EF51F9">
        <w:rPr>
          <w:snapToGrid w:val="0"/>
          <w:sz w:val="22"/>
          <w:szCs w:val="22"/>
        </w:rPr>
        <w:t>18 - &lt; 35 kg</w:t>
      </w:r>
      <w:r w:rsidR="00275948">
        <w:rPr>
          <w:snapToGrid w:val="0"/>
          <w:sz w:val="22"/>
          <w:szCs w:val="22"/>
        </w:rPr>
        <w:t>-</w:t>
      </w:r>
      <w:r w:rsidRPr="00EF51F9">
        <w:rPr>
          <w:snapToGrid w:val="0"/>
          <w:sz w:val="22"/>
          <w:szCs w:val="22"/>
        </w:rPr>
        <w:t>os, a ≥ 35 - &lt; 80 kg-os és a ≥ 80 - &lt; 160 kg</w:t>
      </w:r>
      <w:r w:rsidR="00275948">
        <w:rPr>
          <w:snapToGrid w:val="0"/>
          <w:sz w:val="22"/>
          <w:szCs w:val="22"/>
        </w:rPr>
        <w:t>-</w:t>
      </w:r>
      <w:r w:rsidRPr="00EF51F9">
        <w:rPr>
          <w:snapToGrid w:val="0"/>
          <w:sz w:val="22"/>
          <w:szCs w:val="22"/>
        </w:rPr>
        <w:t>os testtömegű betegek sorrendben 40 mg</w:t>
      </w:r>
      <w:r w:rsidRPr="00EF51F9">
        <w:rPr>
          <w:snapToGrid w:val="0"/>
          <w:sz w:val="22"/>
          <w:szCs w:val="22"/>
        </w:rPr>
        <w:noBreakHyphen/>
        <w:t>ot, 80 mg</w:t>
      </w:r>
      <w:r w:rsidRPr="00EF51F9">
        <w:rPr>
          <w:snapToGrid w:val="0"/>
          <w:sz w:val="22"/>
          <w:szCs w:val="22"/>
        </w:rPr>
        <w:noBreakHyphen/>
        <w:t>ot és 160 mg</w:t>
      </w:r>
      <w:r w:rsidRPr="00EF51F9">
        <w:rPr>
          <w:snapToGrid w:val="0"/>
          <w:sz w:val="22"/>
          <w:szCs w:val="22"/>
        </w:rPr>
        <w:noBreakHyphen/>
        <w:t>ot kaptak, és az adagokat egy hét után sorrendben 80 mg</w:t>
      </w:r>
      <w:r w:rsidRPr="00EF51F9">
        <w:rPr>
          <w:snapToGrid w:val="0"/>
          <w:sz w:val="22"/>
          <w:szCs w:val="22"/>
        </w:rPr>
        <w:noBreakHyphen/>
        <w:t>ra, 160 mg</w:t>
      </w:r>
      <w:r w:rsidRPr="00EF51F9">
        <w:rPr>
          <w:snapToGrid w:val="0"/>
          <w:sz w:val="22"/>
          <w:szCs w:val="22"/>
        </w:rPr>
        <w:noBreakHyphen/>
        <w:t>ra és 320 mg</w:t>
      </w:r>
      <w:r w:rsidRPr="00EF51F9">
        <w:rPr>
          <w:snapToGrid w:val="0"/>
          <w:sz w:val="22"/>
          <w:szCs w:val="22"/>
        </w:rPr>
        <w:noBreakHyphen/>
        <w:t>ra emelték. A bevont betegek felének (50,0%, n = 75) krónikus vesebetegsége volt, a betegek 29,3%</w:t>
      </w:r>
      <w:r w:rsidRPr="00EF51F9">
        <w:rPr>
          <w:snapToGrid w:val="0"/>
          <w:sz w:val="22"/>
          <w:szCs w:val="22"/>
        </w:rPr>
        <w:noBreakHyphen/>
        <w:t>ának (44) 2. stádiumú (GFR 60</w:t>
      </w:r>
      <w:r w:rsidRPr="00EF51F9">
        <w:rPr>
          <w:snapToGrid w:val="0"/>
          <w:sz w:val="22"/>
          <w:szCs w:val="22"/>
        </w:rPr>
        <w:noBreakHyphen/>
        <w:t>89 ml/perc/1,73m</w:t>
      </w:r>
      <w:r w:rsidRPr="00EF51F9">
        <w:rPr>
          <w:snapToGrid w:val="0"/>
          <w:sz w:val="22"/>
          <w:szCs w:val="22"/>
          <w:vertAlign w:val="superscript"/>
        </w:rPr>
        <w:t>2</w:t>
      </w:r>
      <w:r w:rsidRPr="00EF51F9">
        <w:rPr>
          <w:snapToGrid w:val="0"/>
          <w:sz w:val="22"/>
          <w:szCs w:val="22"/>
        </w:rPr>
        <w:t>) vagy 3. stádiumú (GFR 30</w:t>
      </w:r>
      <w:r w:rsidRPr="00EF51F9">
        <w:rPr>
          <w:snapToGrid w:val="0"/>
          <w:sz w:val="22"/>
          <w:szCs w:val="22"/>
        </w:rPr>
        <w:noBreakHyphen/>
        <w:t>59 ml/perc/1,73m</w:t>
      </w:r>
      <w:r w:rsidRPr="00EF51F9">
        <w:rPr>
          <w:snapToGrid w:val="0"/>
          <w:sz w:val="22"/>
          <w:szCs w:val="22"/>
          <w:vertAlign w:val="superscript"/>
        </w:rPr>
        <w:t>2</w:t>
      </w:r>
      <w:r w:rsidRPr="00EF51F9">
        <w:rPr>
          <w:snapToGrid w:val="0"/>
          <w:sz w:val="22"/>
          <w:szCs w:val="22"/>
        </w:rPr>
        <w:t>) krónikus vesebetegsége volt. A szisztolés vérnyomás átlagos csökkenése 14,9 Hgmm volt az összes betegnél (kiindulási érték: 133,5 Hgmm), 18,4 Hgmm volt a krónikus vesebetegségben szenvedő betegeknél (kiindulási érték: 131,9 Hgmm), és 11,5 Hgmm volt a krónikus vesebetegségben nem szenvedő betegeknél (kiindulási érték: 135,1 Hgmm). A vérnyomás teljes beállítását elérő betegek százalékaránya (mind a szisztolés, mind a diasztolés vérnyomás &lt; 95. percentilis) kissé magasabb volt a krónikus vesebetegségben szenvedők csoportjában (79,5%), mint a krónikus vesebetegségben nem szenvedők csoportjában (72,2%)</w:t>
      </w:r>
      <w:r>
        <w:rPr>
          <w:snapToGrid w:val="0"/>
        </w:rPr>
        <w:t>.</w:t>
      </w:r>
    </w:p>
    <w:p w14:paraId="06BBA643" w14:textId="77777777" w:rsidR="000822DD" w:rsidRPr="00345BCE" w:rsidRDefault="000822DD" w:rsidP="00B0458C">
      <w:pPr>
        <w:rPr>
          <w:snapToGrid w:val="0"/>
          <w:sz w:val="22"/>
          <w:szCs w:val="22"/>
        </w:rPr>
      </w:pPr>
    </w:p>
    <w:p w14:paraId="67E60AFD" w14:textId="6FBA2D9A" w:rsidR="00BE6734" w:rsidRPr="00345BCE" w:rsidRDefault="00BE6734" w:rsidP="00C560EC">
      <w:pPr>
        <w:rPr>
          <w:i/>
          <w:snapToGrid w:val="0"/>
          <w:sz w:val="22"/>
          <w:szCs w:val="22"/>
          <w:u w:val="single"/>
        </w:rPr>
      </w:pPr>
      <w:r w:rsidRPr="00345BCE">
        <w:rPr>
          <w:i/>
          <w:snapToGrid w:val="0"/>
          <w:sz w:val="22"/>
          <w:szCs w:val="22"/>
          <w:u w:val="single"/>
        </w:rPr>
        <w:t>Klinikai tapasztalat a 6 év</w:t>
      </w:r>
      <w:r w:rsidR="00B1779D">
        <w:rPr>
          <w:i/>
          <w:snapToGrid w:val="0"/>
          <w:sz w:val="22"/>
          <w:szCs w:val="22"/>
          <w:u w:val="single"/>
        </w:rPr>
        <w:t>es</w:t>
      </w:r>
      <w:r w:rsidRPr="00345BCE">
        <w:rPr>
          <w:i/>
          <w:snapToGrid w:val="0"/>
          <w:sz w:val="22"/>
          <w:szCs w:val="22"/>
          <w:u w:val="single"/>
        </w:rPr>
        <w:t>nél fiatalabb gyermekeknél</w:t>
      </w:r>
    </w:p>
    <w:p w14:paraId="09B3D7C9" w14:textId="77777777" w:rsidR="007358F6" w:rsidRPr="007358F6" w:rsidRDefault="007358F6" w:rsidP="007358F6">
      <w:pPr>
        <w:autoSpaceDE w:val="0"/>
        <w:autoSpaceDN w:val="0"/>
        <w:adjustRightInd w:val="0"/>
        <w:rPr>
          <w:snapToGrid w:val="0"/>
          <w:sz w:val="22"/>
          <w:szCs w:val="22"/>
        </w:rPr>
      </w:pPr>
      <w:r w:rsidRPr="007358F6">
        <w:rPr>
          <w:snapToGrid w:val="0"/>
          <w:sz w:val="22"/>
          <w:szCs w:val="22"/>
        </w:rPr>
        <w:t>Három klinikai vizsgálatot végeztek 291, 1 és 5 éves kor közötti betegnél. Ezekbe a vizsgálatokba 1 éves kor alatti gyermekeket nem vontak be.</w:t>
      </w:r>
    </w:p>
    <w:p w14:paraId="5369DE5C" w14:textId="77777777" w:rsidR="007358F6" w:rsidRPr="007358F6" w:rsidRDefault="007358F6" w:rsidP="007358F6">
      <w:pPr>
        <w:autoSpaceDE w:val="0"/>
        <w:autoSpaceDN w:val="0"/>
        <w:adjustRightInd w:val="0"/>
        <w:rPr>
          <w:snapToGrid w:val="0"/>
          <w:sz w:val="22"/>
          <w:szCs w:val="22"/>
        </w:rPr>
      </w:pPr>
    </w:p>
    <w:p w14:paraId="1F844CEF" w14:textId="073E9501" w:rsidR="007358F6" w:rsidRPr="007358F6" w:rsidRDefault="007358F6" w:rsidP="007358F6">
      <w:pPr>
        <w:autoSpaceDE w:val="0"/>
        <w:autoSpaceDN w:val="0"/>
        <w:adjustRightInd w:val="0"/>
        <w:rPr>
          <w:snapToGrid w:val="0"/>
          <w:sz w:val="22"/>
          <w:szCs w:val="22"/>
        </w:rPr>
      </w:pPr>
      <w:r w:rsidRPr="007358F6">
        <w:rPr>
          <w:snapToGrid w:val="0"/>
          <w:sz w:val="22"/>
          <w:szCs w:val="22"/>
        </w:rPr>
        <w:t>A 90 betegnél végzett első vizsgálatban a dózisfüggő választ nem tudták kimutatni, de a 75 betegnél végzett második vizsgálatban a nagyobb valzartán</w:t>
      </w:r>
      <w:r w:rsidR="00B1779D">
        <w:rPr>
          <w:snapToGrid w:val="0"/>
          <w:sz w:val="22"/>
          <w:szCs w:val="22"/>
        </w:rPr>
        <w:t>-</w:t>
      </w:r>
      <w:r w:rsidRPr="007358F6">
        <w:rPr>
          <w:snapToGrid w:val="0"/>
          <w:sz w:val="22"/>
          <w:szCs w:val="22"/>
        </w:rPr>
        <w:t>dózisok nagyobb vérnyomáscsökkenéssel jártak.</w:t>
      </w:r>
    </w:p>
    <w:p w14:paraId="31883AAD" w14:textId="77777777" w:rsidR="007358F6" w:rsidRPr="007358F6" w:rsidRDefault="007358F6" w:rsidP="007358F6">
      <w:pPr>
        <w:autoSpaceDE w:val="0"/>
        <w:autoSpaceDN w:val="0"/>
        <w:adjustRightInd w:val="0"/>
        <w:rPr>
          <w:snapToGrid w:val="0"/>
          <w:sz w:val="22"/>
          <w:szCs w:val="22"/>
        </w:rPr>
      </w:pPr>
    </w:p>
    <w:p w14:paraId="523FCE1F" w14:textId="7FD5E0CA" w:rsidR="007358F6" w:rsidRPr="007358F6" w:rsidRDefault="007358F6">
      <w:pPr>
        <w:autoSpaceDE w:val="0"/>
        <w:autoSpaceDN w:val="0"/>
        <w:adjustRightInd w:val="0"/>
        <w:rPr>
          <w:snapToGrid w:val="0"/>
          <w:sz w:val="22"/>
          <w:szCs w:val="22"/>
        </w:rPr>
      </w:pPr>
      <w:r w:rsidRPr="007358F6">
        <w:rPr>
          <w:snapToGrid w:val="0"/>
          <w:sz w:val="22"/>
          <w:szCs w:val="22"/>
        </w:rPr>
        <w:t>A harmadik vizsgálat egy 6 hetes, randomizált, kettős vak vizsgálat volt, amelyben a valzartán dózisfüggő válaszát értékelték 126, 1 és 5 éves kor közötti, hypertoniás, krónikus vesebetegségben szenvedő vagy nem szenvedő gyermeknél, akiket 0,25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>mg/ttkg vagy 4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>mg/ttkg dózist kapó csoportokba randomizáltak. A végpontban az átlagos szisztolés vérnyomás/átlagos diasztolés vérnyomás csökkenése 4,0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 xml:space="preserve">mg/ttkg valzartán </w:t>
      </w:r>
      <w:r w:rsidR="006F3378">
        <w:rPr>
          <w:snapToGrid w:val="0"/>
          <w:sz w:val="22"/>
          <w:szCs w:val="22"/>
        </w:rPr>
        <w:t xml:space="preserve">adása </w:t>
      </w:r>
      <w:r w:rsidRPr="007358F6">
        <w:rPr>
          <w:snapToGrid w:val="0"/>
          <w:sz w:val="22"/>
          <w:szCs w:val="22"/>
        </w:rPr>
        <w:t>mellett 8,5/6,8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>Hgmm, míg 0,25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 xml:space="preserve">mg/ttkg valzartán </w:t>
      </w:r>
      <w:r w:rsidR="006F3378">
        <w:rPr>
          <w:snapToGrid w:val="0"/>
          <w:sz w:val="22"/>
          <w:szCs w:val="22"/>
        </w:rPr>
        <w:t xml:space="preserve">adása </w:t>
      </w:r>
      <w:r w:rsidRPr="007358F6">
        <w:rPr>
          <w:snapToGrid w:val="0"/>
          <w:sz w:val="22"/>
          <w:szCs w:val="22"/>
        </w:rPr>
        <w:t>mellett 4,1/0,3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 xml:space="preserve">Hgmm volt (p = 0,0157 / p &lt; 0,0001). Hasonlóképpen, a krónikus vesebetegségben szenvedő gyermekek alcsoportjában az átlagos szisztolés vérnyomás/átlagos </w:t>
      </w:r>
      <w:r w:rsidRPr="007358F6">
        <w:rPr>
          <w:snapToGrid w:val="0"/>
          <w:sz w:val="22"/>
          <w:szCs w:val="22"/>
        </w:rPr>
        <w:lastRenderedPageBreak/>
        <w:t>diasztolés vérnyomás szintén csökkenést mutatott, 4,0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 xml:space="preserve">mg/ttkg valzartán </w:t>
      </w:r>
      <w:r w:rsidR="00B1779D">
        <w:rPr>
          <w:snapToGrid w:val="0"/>
          <w:sz w:val="22"/>
          <w:szCs w:val="22"/>
        </w:rPr>
        <w:t xml:space="preserve">adása </w:t>
      </w:r>
      <w:r w:rsidRPr="007358F6">
        <w:rPr>
          <w:snapToGrid w:val="0"/>
          <w:sz w:val="22"/>
          <w:szCs w:val="22"/>
        </w:rPr>
        <w:t>mellett 9,2/6,5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>Hgmm</w:t>
      </w:r>
      <w:r w:rsidR="00B1779D">
        <w:rPr>
          <w:snapToGrid w:val="0"/>
          <w:sz w:val="22"/>
          <w:szCs w:val="22"/>
        </w:rPr>
        <w:t>-</w:t>
      </w:r>
      <w:r w:rsidRPr="007358F6">
        <w:rPr>
          <w:snapToGrid w:val="0"/>
          <w:sz w:val="22"/>
          <w:szCs w:val="22"/>
        </w:rPr>
        <w:t>rel, míg 0,25</w:t>
      </w:r>
      <w:r w:rsidR="00B1779D">
        <w:rPr>
          <w:snapToGrid w:val="0"/>
          <w:sz w:val="22"/>
          <w:szCs w:val="22"/>
        </w:rPr>
        <w:t> </w:t>
      </w:r>
      <w:r w:rsidRPr="007358F6">
        <w:rPr>
          <w:snapToGrid w:val="0"/>
          <w:sz w:val="22"/>
          <w:szCs w:val="22"/>
        </w:rPr>
        <w:t xml:space="preserve">mg/ttkg </w:t>
      </w:r>
      <w:r w:rsidR="006F3378">
        <w:rPr>
          <w:snapToGrid w:val="0"/>
          <w:sz w:val="22"/>
          <w:szCs w:val="22"/>
        </w:rPr>
        <w:t xml:space="preserve">adása </w:t>
      </w:r>
      <w:r w:rsidRPr="007358F6">
        <w:rPr>
          <w:snapToGrid w:val="0"/>
          <w:sz w:val="22"/>
          <w:szCs w:val="22"/>
        </w:rPr>
        <w:t>mellett 1,2/+1,3 Hgmm</w:t>
      </w:r>
      <w:r w:rsidR="00B1779D">
        <w:rPr>
          <w:snapToGrid w:val="0"/>
          <w:sz w:val="22"/>
          <w:szCs w:val="22"/>
        </w:rPr>
        <w:t>-</w:t>
      </w:r>
      <w:r w:rsidRPr="007358F6">
        <w:rPr>
          <w:snapToGrid w:val="0"/>
          <w:sz w:val="22"/>
          <w:szCs w:val="22"/>
        </w:rPr>
        <w:t>rel.</w:t>
      </w:r>
    </w:p>
    <w:p w14:paraId="6915942C" w14:textId="77777777" w:rsidR="00BE6734" w:rsidRPr="00345BCE" w:rsidRDefault="00BE6734" w:rsidP="00C560EC">
      <w:pPr>
        <w:pStyle w:val="NormlWeb"/>
        <w:spacing w:before="0" w:beforeAutospacing="0" w:after="0"/>
        <w:rPr>
          <w:sz w:val="22"/>
          <w:szCs w:val="22"/>
          <w:lang w:val="hu-HU"/>
        </w:rPr>
      </w:pPr>
    </w:p>
    <w:p w14:paraId="7BE24C99" w14:textId="77777777" w:rsidR="00BE6734" w:rsidRPr="00345BCE" w:rsidRDefault="00BE6734" w:rsidP="00C560EC">
      <w:pPr>
        <w:pStyle w:val="NormlWeb"/>
        <w:tabs>
          <w:tab w:val="left" w:pos="2280"/>
        </w:tabs>
        <w:spacing w:before="0" w:beforeAutospacing="0" w:after="0"/>
        <w:rPr>
          <w:sz w:val="22"/>
          <w:szCs w:val="22"/>
          <w:lang w:val="hu-HU"/>
        </w:rPr>
      </w:pPr>
      <w:r w:rsidRPr="00345BCE">
        <w:rPr>
          <w:rFonts w:eastAsia="SimSun"/>
          <w:sz w:val="22"/>
          <w:szCs w:val="22"/>
          <w:lang w:val="hu-HU" w:eastAsia="zh-CN"/>
        </w:rPr>
        <w:t xml:space="preserve">Az Európai Gyógyszerügynökség </w:t>
      </w:r>
      <w:r w:rsidR="00B31882">
        <w:rPr>
          <w:rFonts w:eastAsia="SimSun"/>
          <w:sz w:val="22"/>
          <w:szCs w:val="22"/>
          <w:lang w:val="hu-HU" w:eastAsia="zh-CN"/>
        </w:rPr>
        <w:t xml:space="preserve">a gyermekek esetén minden korosztályánál </w:t>
      </w:r>
      <w:r w:rsidRPr="00345BCE">
        <w:rPr>
          <w:rFonts w:eastAsia="SimSun"/>
          <w:sz w:val="22"/>
          <w:szCs w:val="22"/>
          <w:lang w:val="hu-HU" w:eastAsia="zh-CN"/>
        </w:rPr>
        <w:t xml:space="preserve">eltekint a </w:t>
      </w:r>
      <w:r w:rsidR="000E19C2">
        <w:rPr>
          <w:sz w:val="22"/>
          <w:szCs w:val="22"/>
          <w:lang w:val="hu-HU"/>
        </w:rPr>
        <w:t>v</w:t>
      </w:r>
      <w:r w:rsidR="00345BCE" w:rsidRPr="00345BCE">
        <w:rPr>
          <w:sz w:val="22"/>
          <w:szCs w:val="22"/>
          <w:lang w:val="hu-HU"/>
        </w:rPr>
        <w:t>al</w:t>
      </w:r>
      <w:r w:rsidR="000E19C2">
        <w:rPr>
          <w:sz w:val="22"/>
          <w:szCs w:val="22"/>
          <w:lang w:val="hu-HU"/>
        </w:rPr>
        <w:t>z</w:t>
      </w:r>
      <w:r w:rsidR="00345BCE" w:rsidRPr="00345BCE">
        <w:rPr>
          <w:sz w:val="22"/>
          <w:szCs w:val="22"/>
          <w:lang w:val="hu-HU"/>
        </w:rPr>
        <w:t>art</w:t>
      </w:r>
      <w:r w:rsidR="000E19C2">
        <w:rPr>
          <w:sz w:val="22"/>
          <w:szCs w:val="22"/>
          <w:lang w:val="hu-HU"/>
        </w:rPr>
        <w:t>á</w:t>
      </w:r>
      <w:r w:rsidR="00345BCE" w:rsidRPr="00345BCE">
        <w:rPr>
          <w:sz w:val="22"/>
          <w:szCs w:val="22"/>
          <w:lang w:val="hu-HU"/>
        </w:rPr>
        <w:t xml:space="preserve">n </w:t>
      </w:r>
      <w:r w:rsidR="00B31882">
        <w:rPr>
          <w:sz w:val="22"/>
          <w:szCs w:val="22"/>
          <w:lang w:val="hu-HU"/>
        </w:rPr>
        <w:t xml:space="preserve">tartalmú referenciakészítmény </w:t>
      </w:r>
      <w:r w:rsidRPr="00345BCE">
        <w:rPr>
          <w:rFonts w:eastAsia="SimSun"/>
          <w:sz w:val="22"/>
          <w:szCs w:val="22"/>
          <w:lang w:val="hu-HU" w:eastAsia="zh-CN"/>
        </w:rPr>
        <w:t xml:space="preserve">vizsgálati eredményeinek benyújtási kötelezettségétől </w:t>
      </w:r>
      <w:r w:rsidRPr="00345BCE">
        <w:rPr>
          <w:sz w:val="22"/>
          <w:szCs w:val="22"/>
          <w:lang w:val="hu-HU"/>
        </w:rPr>
        <w:t>szívelégtelenségben és a nemrégiben lezajlott myocardialis infarctus után szívelégtelenségben.</w:t>
      </w:r>
      <w:r w:rsidRPr="00345BCE">
        <w:rPr>
          <w:rFonts w:eastAsia="SimSun"/>
          <w:sz w:val="22"/>
          <w:szCs w:val="22"/>
          <w:lang w:val="hu-HU" w:eastAsia="zh-CN"/>
        </w:rPr>
        <w:t xml:space="preserve"> Lásd 4.2</w:t>
      </w:r>
      <w:r w:rsidR="00B31882">
        <w:rPr>
          <w:rFonts w:eastAsia="SimSun"/>
          <w:sz w:val="22"/>
          <w:szCs w:val="22"/>
          <w:lang w:val="hu-HU" w:eastAsia="zh-CN"/>
        </w:rPr>
        <w:t> </w:t>
      </w:r>
      <w:r w:rsidRPr="00345BCE">
        <w:rPr>
          <w:rFonts w:eastAsia="SimSun"/>
          <w:sz w:val="22"/>
          <w:szCs w:val="22"/>
          <w:lang w:val="hu-HU" w:eastAsia="zh-CN"/>
        </w:rPr>
        <w:t>pont</w:t>
      </w:r>
      <w:r w:rsidRPr="00393667">
        <w:rPr>
          <w:rFonts w:eastAsia="SimSun"/>
          <w:sz w:val="22"/>
          <w:szCs w:val="22"/>
          <w:lang w:val="hu-HU" w:eastAsia="zh-CN"/>
        </w:rPr>
        <w:t xml:space="preserve">, gyermekgyógyászati </w:t>
      </w:r>
      <w:r w:rsidR="00B31882" w:rsidRPr="00393667">
        <w:rPr>
          <w:rFonts w:eastAsia="SimSun"/>
          <w:sz w:val="22"/>
          <w:szCs w:val="22"/>
          <w:lang w:val="hu-HU" w:eastAsia="zh-CN"/>
        </w:rPr>
        <w:t>alkalmazásra</w:t>
      </w:r>
      <w:r w:rsidR="00B31882">
        <w:rPr>
          <w:rFonts w:eastAsia="SimSun"/>
          <w:sz w:val="22"/>
          <w:szCs w:val="22"/>
          <w:lang w:val="hu-HU" w:eastAsia="zh-CN"/>
        </w:rPr>
        <w:t xml:space="preserve"> vonatkozó </w:t>
      </w:r>
      <w:r w:rsidRPr="00345BCE">
        <w:rPr>
          <w:rFonts w:eastAsia="SimSun"/>
          <w:sz w:val="22"/>
          <w:szCs w:val="22"/>
          <w:lang w:val="hu-HU" w:eastAsia="zh-CN"/>
        </w:rPr>
        <w:t>információk.</w:t>
      </w:r>
    </w:p>
    <w:p w14:paraId="632C659E" w14:textId="77777777" w:rsidR="00F61288" w:rsidRPr="00345BCE" w:rsidRDefault="00F61288" w:rsidP="00C560EC">
      <w:pPr>
        <w:tabs>
          <w:tab w:val="left" w:pos="567"/>
        </w:tabs>
        <w:rPr>
          <w:b/>
          <w:sz w:val="22"/>
          <w:szCs w:val="22"/>
        </w:rPr>
      </w:pPr>
    </w:p>
    <w:p w14:paraId="39434C2B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5.2</w:t>
      </w:r>
      <w:r w:rsidRPr="00345BCE">
        <w:rPr>
          <w:b/>
          <w:sz w:val="22"/>
          <w:szCs w:val="22"/>
        </w:rPr>
        <w:tab/>
        <w:t>Farmakokinetikai tulajdonságok</w:t>
      </w:r>
    </w:p>
    <w:p w14:paraId="65CDEB6E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</w:p>
    <w:p w14:paraId="27CDC4B0" w14:textId="77777777" w:rsidR="00F61288" w:rsidRPr="00345BCE" w:rsidRDefault="00F61288" w:rsidP="00C560EC">
      <w:pPr>
        <w:tabs>
          <w:tab w:val="left" w:pos="567"/>
          <w:tab w:val="left" w:pos="708"/>
        </w:tabs>
        <w:ind w:left="567" w:hanging="567"/>
        <w:rPr>
          <w:bCs/>
          <w:i/>
          <w:iCs/>
          <w:sz w:val="22"/>
          <w:szCs w:val="22"/>
          <w:u w:val="single"/>
        </w:rPr>
      </w:pPr>
      <w:r w:rsidRPr="00345BCE">
        <w:rPr>
          <w:bCs/>
          <w:i/>
          <w:iCs/>
          <w:sz w:val="22"/>
          <w:szCs w:val="22"/>
          <w:u w:val="single"/>
        </w:rPr>
        <w:t>Felszívódás:</w:t>
      </w:r>
    </w:p>
    <w:p w14:paraId="1BFF52BB" w14:textId="6359C31F" w:rsidR="007C1F0D" w:rsidRPr="007358F6" w:rsidRDefault="007C1F0D" w:rsidP="002D680A">
      <w:pPr>
        <w:ind w:right="-367"/>
        <w:rPr>
          <w:sz w:val="22"/>
          <w:szCs w:val="22"/>
        </w:rPr>
      </w:pPr>
      <w:r w:rsidRPr="00345BCE">
        <w:rPr>
          <w:sz w:val="22"/>
          <w:szCs w:val="22"/>
        </w:rPr>
        <w:t>A valzartán önmagában történő orális alkalmazása után a készítmény 2-4 órán belül éri el a maximális plazmakoncentrációt a tabletta, és 1</w:t>
      </w:r>
      <w:r w:rsidRPr="00345BCE">
        <w:rPr>
          <w:sz w:val="22"/>
          <w:szCs w:val="22"/>
        </w:rPr>
        <w:noBreakHyphen/>
        <w:t xml:space="preserve">2 órán belül az oldat gyógyszerforma esetén. Az átlagos abszolút biohasznosulás 23% a tabletta, és 39% az oldat gyógyszerforma esetén. </w:t>
      </w:r>
      <w:r w:rsidR="007358F6" w:rsidRPr="002D680A">
        <w:rPr>
          <w:iCs/>
          <w:sz w:val="22"/>
          <w:szCs w:val="22"/>
        </w:rPr>
        <w:t>A valzartán szisztémás expozíciója 1,7</w:t>
      </w:r>
      <w:r w:rsidR="007358F6" w:rsidRPr="002D680A">
        <w:rPr>
          <w:iCs/>
          <w:sz w:val="22"/>
          <w:szCs w:val="22"/>
        </w:rPr>
        <w:noBreakHyphen/>
        <w:t>szer, maximális plazmakoncentrációja pedig 2,2</w:t>
      </w:r>
      <w:r w:rsidR="007358F6" w:rsidRPr="002D680A">
        <w:rPr>
          <w:iCs/>
          <w:sz w:val="22"/>
          <w:szCs w:val="22"/>
        </w:rPr>
        <w:noBreakHyphen/>
        <w:t>szer nagyobb az oldat alkalmazása esetén a tablettákhoz képest.</w:t>
      </w:r>
    </w:p>
    <w:p w14:paraId="31BAF098" w14:textId="77777777" w:rsidR="007358F6" w:rsidRPr="00345BCE" w:rsidRDefault="007358F6" w:rsidP="00C560EC">
      <w:pPr>
        <w:tabs>
          <w:tab w:val="left" w:pos="567"/>
        </w:tabs>
        <w:ind w:right="-367"/>
        <w:rPr>
          <w:sz w:val="22"/>
          <w:szCs w:val="22"/>
        </w:rPr>
      </w:pPr>
    </w:p>
    <w:p w14:paraId="2D158BA7" w14:textId="77777777" w:rsidR="00F61288" w:rsidRPr="00345BCE" w:rsidRDefault="00F61288" w:rsidP="00C560EC">
      <w:pPr>
        <w:tabs>
          <w:tab w:val="left" w:pos="567"/>
        </w:tabs>
        <w:ind w:right="-367"/>
        <w:rPr>
          <w:sz w:val="22"/>
          <w:szCs w:val="22"/>
        </w:rPr>
      </w:pPr>
      <w:r w:rsidRPr="00345BCE">
        <w:rPr>
          <w:sz w:val="22"/>
          <w:szCs w:val="22"/>
        </w:rPr>
        <w:t>Táplálékkal együtt való bevétele esetén a valzartán</w:t>
      </w:r>
      <w:r w:rsidR="00EF2E79">
        <w:rPr>
          <w:sz w:val="22"/>
          <w:szCs w:val="22"/>
        </w:rPr>
        <w:t>-</w:t>
      </w:r>
      <w:r w:rsidR="00DD303D" w:rsidRPr="00345BCE">
        <w:rPr>
          <w:sz w:val="22"/>
          <w:szCs w:val="22"/>
        </w:rPr>
        <w:t>expozíció</w:t>
      </w:r>
      <w:r w:rsidRPr="00345BCE">
        <w:rPr>
          <w:sz w:val="22"/>
          <w:szCs w:val="22"/>
        </w:rPr>
        <w:t xml:space="preserve"> (AUC</w:t>
      </w:r>
      <w:r w:rsidR="00DD303D" w:rsidRPr="00345BCE">
        <w:rPr>
          <w:sz w:val="22"/>
          <w:szCs w:val="22"/>
        </w:rPr>
        <w:t>-vel mérve</w:t>
      </w:r>
      <w:r w:rsidRPr="00345BCE">
        <w:rPr>
          <w:sz w:val="22"/>
          <w:szCs w:val="22"/>
        </w:rPr>
        <w:t>) kb. 40%-kal, a maximális plazmakoncentráció (C</w:t>
      </w:r>
      <w:r w:rsidRPr="00345BCE">
        <w:rPr>
          <w:sz w:val="22"/>
          <w:szCs w:val="22"/>
          <w:vertAlign w:val="subscript"/>
        </w:rPr>
        <w:t>max</w:t>
      </w:r>
      <w:r w:rsidRPr="00345BCE">
        <w:rPr>
          <w:sz w:val="22"/>
          <w:szCs w:val="22"/>
        </w:rPr>
        <w:t>) pedig kb. 50%-kal csökken, jóllehet a dózis bevételét követő 8 óra eltelte után a koncentráció</w:t>
      </w:r>
      <w:r w:rsidR="00DD303D" w:rsidRPr="00345BCE">
        <w:rPr>
          <w:sz w:val="22"/>
          <w:szCs w:val="22"/>
        </w:rPr>
        <w:t>k</w:t>
      </w:r>
      <w:r w:rsidRPr="00345BCE">
        <w:rPr>
          <w:sz w:val="22"/>
          <w:szCs w:val="22"/>
        </w:rPr>
        <w:t xml:space="preserve"> hasonló</w:t>
      </w:r>
      <w:r w:rsidR="00DD303D" w:rsidRPr="00345BCE">
        <w:rPr>
          <w:sz w:val="22"/>
          <w:szCs w:val="22"/>
        </w:rPr>
        <w:t>k</w:t>
      </w:r>
      <w:r w:rsidRPr="00345BCE">
        <w:rPr>
          <w:sz w:val="22"/>
          <w:szCs w:val="22"/>
        </w:rPr>
        <w:t xml:space="preserve"> volt</w:t>
      </w:r>
      <w:r w:rsidR="00DD303D" w:rsidRPr="00345BCE">
        <w:rPr>
          <w:sz w:val="22"/>
          <w:szCs w:val="22"/>
        </w:rPr>
        <w:t>ak</w:t>
      </w:r>
      <w:r w:rsidRPr="00345BCE">
        <w:rPr>
          <w:sz w:val="22"/>
          <w:szCs w:val="22"/>
        </w:rPr>
        <w:t xml:space="preserve"> táplálékkal és éhgyomorra történő bevétel esetén. Az AUC csökkenés</w:t>
      </w:r>
      <w:r w:rsidR="00F11BC8" w:rsidRPr="00345BCE">
        <w:rPr>
          <w:sz w:val="22"/>
          <w:szCs w:val="22"/>
        </w:rPr>
        <w:t>e</w:t>
      </w:r>
      <w:r w:rsidRPr="00345BCE">
        <w:rPr>
          <w:sz w:val="22"/>
          <w:szCs w:val="22"/>
        </w:rPr>
        <w:t xml:space="preserve"> azonban </w:t>
      </w:r>
      <w:r w:rsidR="00F11BC8" w:rsidRPr="00345BCE">
        <w:rPr>
          <w:sz w:val="22"/>
          <w:szCs w:val="22"/>
        </w:rPr>
        <w:t xml:space="preserve">nem vezet </w:t>
      </w:r>
      <w:r w:rsidRPr="00345BCE">
        <w:rPr>
          <w:sz w:val="22"/>
          <w:szCs w:val="22"/>
        </w:rPr>
        <w:t>a hatás klinikailag jelentős csökkenés</w:t>
      </w:r>
      <w:r w:rsidR="00F11BC8" w:rsidRPr="00345BCE">
        <w:rPr>
          <w:sz w:val="22"/>
          <w:szCs w:val="22"/>
        </w:rPr>
        <w:t>éhez</w:t>
      </w:r>
      <w:r w:rsidRPr="00345BCE">
        <w:rPr>
          <w:sz w:val="22"/>
          <w:szCs w:val="22"/>
        </w:rPr>
        <w:t xml:space="preserve">, ezért a </w:t>
      </w:r>
      <w:r w:rsidR="00DD303D" w:rsidRPr="00345BCE">
        <w:rPr>
          <w:sz w:val="22"/>
          <w:szCs w:val="22"/>
        </w:rPr>
        <w:t xml:space="preserve">valzartán </w:t>
      </w:r>
      <w:r w:rsidRPr="00345BCE">
        <w:rPr>
          <w:sz w:val="22"/>
          <w:szCs w:val="22"/>
        </w:rPr>
        <w:t xml:space="preserve">bevehető </w:t>
      </w:r>
      <w:r w:rsidR="00DD303D" w:rsidRPr="00345BCE">
        <w:rPr>
          <w:sz w:val="22"/>
          <w:szCs w:val="22"/>
        </w:rPr>
        <w:t xml:space="preserve">étkezés közben és attól </w:t>
      </w:r>
      <w:r w:rsidRPr="00345BCE">
        <w:rPr>
          <w:sz w:val="22"/>
          <w:szCs w:val="22"/>
        </w:rPr>
        <w:t>függetlenül is.</w:t>
      </w:r>
    </w:p>
    <w:p w14:paraId="2E9B5698" w14:textId="77777777" w:rsidR="00F61288" w:rsidRPr="00D91645" w:rsidRDefault="00F61288" w:rsidP="00C560EC">
      <w:pPr>
        <w:tabs>
          <w:tab w:val="left" w:pos="567"/>
        </w:tabs>
        <w:ind w:right="-133"/>
        <w:rPr>
          <w:sz w:val="22"/>
          <w:szCs w:val="22"/>
        </w:rPr>
      </w:pPr>
    </w:p>
    <w:p w14:paraId="1855BF4A" w14:textId="77777777" w:rsidR="00F61288" w:rsidRPr="00706E72" w:rsidRDefault="000134A0" w:rsidP="00C560EC">
      <w:pPr>
        <w:tabs>
          <w:tab w:val="left" w:pos="567"/>
        </w:tabs>
        <w:ind w:right="-133"/>
        <w:rPr>
          <w:sz w:val="22"/>
          <w:szCs w:val="22"/>
        </w:rPr>
      </w:pPr>
      <w:r>
        <w:rPr>
          <w:i/>
          <w:iCs/>
          <w:sz w:val="22"/>
          <w:szCs w:val="22"/>
          <w:u w:val="single"/>
        </w:rPr>
        <w:t>Eloszlás</w:t>
      </w:r>
      <w:r w:rsidR="00F61288" w:rsidRPr="00706E72">
        <w:rPr>
          <w:i/>
          <w:iCs/>
          <w:sz w:val="22"/>
          <w:szCs w:val="22"/>
          <w:u w:val="single"/>
        </w:rPr>
        <w:t>:</w:t>
      </w:r>
    </w:p>
    <w:p w14:paraId="2C984AF5" w14:textId="77777777" w:rsidR="00F61288" w:rsidRPr="00345BCE" w:rsidRDefault="00F61288" w:rsidP="00C560EC">
      <w:pPr>
        <w:tabs>
          <w:tab w:val="left" w:pos="567"/>
        </w:tabs>
        <w:rPr>
          <w:sz w:val="22"/>
          <w:szCs w:val="22"/>
        </w:rPr>
      </w:pPr>
      <w:r w:rsidRPr="00D23D88">
        <w:rPr>
          <w:sz w:val="22"/>
          <w:szCs w:val="22"/>
        </w:rPr>
        <w:t xml:space="preserve">A valzartán </w:t>
      </w:r>
      <w:r w:rsidRPr="00C560EC">
        <w:rPr>
          <w:i/>
          <w:sz w:val="22"/>
          <w:szCs w:val="22"/>
        </w:rPr>
        <w:t>steady-state</w:t>
      </w:r>
      <w:r w:rsidRPr="00D23D88">
        <w:rPr>
          <w:sz w:val="22"/>
          <w:szCs w:val="22"/>
        </w:rPr>
        <w:t xml:space="preserve"> (egyensúlyi állapot) megoszlási </w:t>
      </w:r>
      <w:r w:rsidR="00DD303D" w:rsidRPr="00D23D88">
        <w:rPr>
          <w:sz w:val="22"/>
          <w:szCs w:val="22"/>
        </w:rPr>
        <w:t xml:space="preserve">térfogata intravénás adás után </w:t>
      </w:r>
      <w:r w:rsidRPr="00345BCE">
        <w:rPr>
          <w:sz w:val="22"/>
          <w:szCs w:val="22"/>
        </w:rPr>
        <w:t>körülbelül 17</w:t>
      </w:r>
      <w:r w:rsidR="00DD303D" w:rsidRPr="00345BCE">
        <w:rPr>
          <w:sz w:val="22"/>
          <w:szCs w:val="22"/>
        </w:rPr>
        <w:t> </w:t>
      </w:r>
      <w:r w:rsidRPr="00345BCE">
        <w:rPr>
          <w:sz w:val="22"/>
          <w:szCs w:val="22"/>
        </w:rPr>
        <w:t>l, ami arra utal, hogy a valzartán nem oszlik el kiterjedten a szövetekben. A valzartán erősen kötődik szérumfehérjékhez (94-97%-ban), főleg szérum albuminhoz.</w:t>
      </w:r>
    </w:p>
    <w:p w14:paraId="69806102" w14:textId="77777777" w:rsidR="00DB7D09" w:rsidRPr="00345BCE" w:rsidRDefault="00DB7D09" w:rsidP="00C560EC">
      <w:pPr>
        <w:tabs>
          <w:tab w:val="left" w:pos="567"/>
        </w:tabs>
        <w:rPr>
          <w:sz w:val="22"/>
          <w:szCs w:val="22"/>
        </w:rPr>
      </w:pPr>
    </w:p>
    <w:p w14:paraId="7D1678EB" w14:textId="77777777" w:rsidR="00F61288" w:rsidRPr="00345BCE" w:rsidRDefault="00F61288" w:rsidP="00C560EC">
      <w:pPr>
        <w:tabs>
          <w:tab w:val="left" w:pos="567"/>
        </w:tabs>
        <w:rPr>
          <w:i/>
          <w:sz w:val="22"/>
          <w:szCs w:val="22"/>
          <w:u w:val="single"/>
        </w:rPr>
      </w:pPr>
      <w:r w:rsidRPr="00345BCE">
        <w:rPr>
          <w:i/>
          <w:sz w:val="22"/>
          <w:szCs w:val="22"/>
          <w:u w:val="single"/>
        </w:rPr>
        <w:t>Biotranszformáció:</w:t>
      </w:r>
    </w:p>
    <w:p w14:paraId="6229BE7D" w14:textId="77777777" w:rsidR="00F61288" w:rsidRPr="00345BCE" w:rsidRDefault="00F61288" w:rsidP="00C560EC">
      <w:pPr>
        <w:tabs>
          <w:tab w:val="left" w:pos="567"/>
        </w:tabs>
        <w:rPr>
          <w:iCs/>
          <w:sz w:val="22"/>
          <w:szCs w:val="22"/>
        </w:rPr>
      </w:pPr>
      <w:r w:rsidRPr="00345BCE">
        <w:rPr>
          <w:iCs/>
          <w:sz w:val="22"/>
          <w:szCs w:val="22"/>
        </w:rPr>
        <w:t>A valzartán nem megy át nagymértékű biotranszformáción, az adag csupán 20%-a nyerhető vissza metabolitok formájában. Egy hidroxi metabolitot azonosítottak a plazmában</w:t>
      </w:r>
      <w:r w:rsidR="00EF2E79">
        <w:rPr>
          <w:iCs/>
          <w:sz w:val="22"/>
          <w:szCs w:val="22"/>
        </w:rPr>
        <w:t>,</w:t>
      </w:r>
      <w:r w:rsidRPr="00345BCE">
        <w:rPr>
          <w:iCs/>
          <w:sz w:val="22"/>
          <w:szCs w:val="22"/>
        </w:rPr>
        <w:t xml:space="preserve"> alacsony koncentrációban (a valzartán </w:t>
      </w:r>
      <w:r w:rsidR="00DD303D" w:rsidRPr="00345BCE">
        <w:rPr>
          <w:iCs/>
          <w:sz w:val="22"/>
          <w:szCs w:val="22"/>
        </w:rPr>
        <w:t xml:space="preserve">AUC értékének </w:t>
      </w:r>
      <w:r w:rsidRPr="00345BCE">
        <w:rPr>
          <w:sz w:val="22"/>
          <w:szCs w:val="22"/>
        </w:rPr>
        <w:t>kevesebb</w:t>
      </w:r>
      <w:r w:rsidR="00353FF9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mint 10%</w:t>
      </w:r>
      <w:r w:rsidR="00DD303D" w:rsidRPr="00345BCE">
        <w:rPr>
          <w:sz w:val="22"/>
          <w:szCs w:val="22"/>
        </w:rPr>
        <w:t>-</w:t>
      </w:r>
      <w:r w:rsidRPr="00345BCE">
        <w:rPr>
          <w:sz w:val="22"/>
          <w:szCs w:val="22"/>
        </w:rPr>
        <w:t>a)</w:t>
      </w:r>
      <w:r w:rsidRPr="00345BCE">
        <w:rPr>
          <w:iCs/>
          <w:sz w:val="22"/>
          <w:szCs w:val="22"/>
        </w:rPr>
        <w:t>. Ez a metabolit farmakológiai szempontból inaktív.</w:t>
      </w:r>
    </w:p>
    <w:p w14:paraId="767DA9A2" w14:textId="77777777" w:rsidR="00F61288" w:rsidRPr="00345BCE" w:rsidRDefault="00F61288" w:rsidP="00C560EC">
      <w:pPr>
        <w:tabs>
          <w:tab w:val="left" w:pos="567"/>
        </w:tabs>
        <w:rPr>
          <w:iCs/>
          <w:sz w:val="22"/>
          <w:szCs w:val="22"/>
        </w:rPr>
      </w:pPr>
    </w:p>
    <w:p w14:paraId="4DE19F17" w14:textId="77777777" w:rsidR="00F61288" w:rsidRPr="00345BCE" w:rsidRDefault="000134A0" w:rsidP="00C560EC">
      <w:pPr>
        <w:tabs>
          <w:tab w:val="left" w:pos="567"/>
        </w:tabs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Elimináció</w:t>
      </w:r>
      <w:r w:rsidR="00F61288" w:rsidRPr="00345BCE">
        <w:rPr>
          <w:i/>
          <w:sz w:val="22"/>
          <w:szCs w:val="22"/>
          <w:u w:val="single"/>
        </w:rPr>
        <w:t>:</w:t>
      </w:r>
    </w:p>
    <w:p w14:paraId="63A11D47" w14:textId="77777777" w:rsidR="00F61288" w:rsidRPr="00345BCE" w:rsidRDefault="00F612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valzartán multiexponenciális bomlási kinetikát mutat (t</w:t>
      </w:r>
      <w:r w:rsidRPr="00345BCE">
        <w:rPr>
          <w:sz w:val="22"/>
          <w:szCs w:val="22"/>
          <w:vertAlign w:val="subscript"/>
        </w:rPr>
        <w:t>½</w:t>
      </w:r>
      <w:r w:rsidR="00EF2E79">
        <w:rPr>
          <w:sz w:val="22"/>
          <w:szCs w:val="22"/>
          <w:vertAlign w:val="subscript"/>
        </w:rPr>
        <w:t>alfa</w:t>
      </w:r>
      <w:r w:rsidRPr="00345BCE">
        <w:rPr>
          <w:sz w:val="22"/>
          <w:szCs w:val="22"/>
        </w:rPr>
        <w:t xml:space="preserve"> &lt;</w:t>
      </w:r>
      <w:r w:rsidR="00EF2E79">
        <w:rPr>
          <w:sz w:val="22"/>
          <w:szCs w:val="22"/>
        </w:rPr>
        <w:t> </w:t>
      </w:r>
      <w:r w:rsidRPr="00345BCE">
        <w:rPr>
          <w:sz w:val="22"/>
          <w:szCs w:val="22"/>
        </w:rPr>
        <w:t>1 óra és t</w:t>
      </w:r>
      <w:r w:rsidRPr="00345BCE">
        <w:rPr>
          <w:sz w:val="22"/>
          <w:szCs w:val="22"/>
          <w:vertAlign w:val="subscript"/>
        </w:rPr>
        <w:t>½</w:t>
      </w:r>
      <w:r w:rsidR="00EF2E79">
        <w:rPr>
          <w:sz w:val="22"/>
          <w:szCs w:val="22"/>
          <w:vertAlign w:val="subscript"/>
        </w:rPr>
        <w:t>béta</w:t>
      </w:r>
      <w:r w:rsidRPr="00345BCE">
        <w:rPr>
          <w:sz w:val="22"/>
          <w:szCs w:val="22"/>
        </w:rPr>
        <w:t xml:space="preserve"> kb. 9 óra). A valzartán elsősorban biliáris exkréció útján a széklettel (az adag kb. 83%-a) és renális exkréció útján a vizelettel (az adag kb. 13%-a) választódik ki, nagyrészt változatlan formában. Intravénás alkalmazás után a valzartán plazmaclearance-e kb. 2 l/óra, veseclearance-e pedig 0,62 l/óra (a teljes clearance kb. 30%</w:t>
      </w:r>
      <w:r w:rsidR="00834B34">
        <w:rPr>
          <w:sz w:val="22"/>
          <w:szCs w:val="22"/>
        </w:rPr>
        <w:noBreakHyphen/>
      </w:r>
      <w:r w:rsidRPr="00345BCE">
        <w:rPr>
          <w:sz w:val="22"/>
          <w:szCs w:val="22"/>
        </w:rPr>
        <w:t xml:space="preserve">a). A valzartán </w:t>
      </w:r>
      <w:r w:rsidR="00DD303D" w:rsidRPr="00345BCE">
        <w:rPr>
          <w:sz w:val="22"/>
          <w:szCs w:val="22"/>
        </w:rPr>
        <w:t xml:space="preserve">felezési ideje </w:t>
      </w:r>
      <w:r w:rsidRPr="00345BCE">
        <w:rPr>
          <w:sz w:val="22"/>
          <w:szCs w:val="22"/>
        </w:rPr>
        <w:t>6</w:t>
      </w:r>
      <w:r w:rsidR="00DD303D" w:rsidRPr="00345BCE">
        <w:rPr>
          <w:sz w:val="22"/>
          <w:szCs w:val="22"/>
        </w:rPr>
        <w:t> </w:t>
      </w:r>
      <w:r w:rsidRPr="00345BCE">
        <w:rPr>
          <w:sz w:val="22"/>
          <w:szCs w:val="22"/>
        </w:rPr>
        <w:t>óra.</w:t>
      </w:r>
    </w:p>
    <w:p w14:paraId="36ED2A86" w14:textId="77777777" w:rsidR="000B0F2A" w:rsidRPr="00345BCE" w:rsidRDefault="000B0F2A" w:rsidP="00C560EC">
      <w:pPr>
        <w:tabs>
          <w:tab w:val="left" w:pos="567"/>
        </w:tabs>
        <w:ind w:right="-133"/>
        <w:rPr>
          <w:sz w:val="22"/>
          <w:szCs w:val="22"/>
        </w:rPr>
      </w:pPr>
    </w:p>
    <w:p w14:paraId="43852894" w14:textId="059F7174" w:rsidR="00F61288" w:rsidRPr="00345BCE" w:rsidRDefault="00F61288" w:rsidP="00C560EC">
      <w:pPr>
        <w:tabs>
          <w:tab w:val="left" w:pos="567"/>
        </w:tabs>
        <w:ind w:right="-133"/>
        <w:rPr>
          <w:sz w:val="22"/>
          <w:szCs w:val="22"/>
          <w:u w:val="single"/>
        </w:rPr>
      </w:pPr>
      <w:r w:rsidRPr="009115A8">
        <w:rPr>
          <w:sz w:val="22"/>
          <w:szCs w:val="22"/>
          <w:u w:val="single"/>
        </w:rPr>
        <w:t>Szívelégtelenségben szenvedő betegekben:</w:t>
      </w:r>
      <w:r w:rsidR="007C1F0D" w:rsidRPr="009115A8">
        <w:rPr>
          <w:sz w:val="22"/>
          <w:szCs w:val="22"/>
          <w:u w:val="single"/>
        </w:rPr>
        <w:t xml:space="preserve"> </w:t>
      </w:r>
    </w:p>
    <w:p w14:paraId="66727DB2" w14:textId="77777777" w:rsidR="007C1F0D" w:rsidRPr="00345BCE" w:rsidRDefault="007C1F0D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Szívelégtelenségben szenvedő betegekben a valzartán csúcskoncentráció elérésének átlagos ideje és eliminációs féléletideje hasonló az egészséges önkéntesekben megfigyeltekhez. A valzartán AUC és C</w:t>
      </w:r>
      <w:r w:rsidRPr="00345BCE">
        <w:rPr>
          <w:sz w:val="22"/>
          <w:szCs w:val="22"/>
          <w:vertAlign w:val="subscript"/>
        </w:rPr>
        <w:t>max</w:t>
      </w:r>
      <w:r w:rsidRPr="00345BCE">
        <w:rPr>
          <w:sz w:val="22"/>
          <w:szCs w:val="22"/>
        </w:rPr>
        <w:t xml:space="preserve"> értékei a dózisok emelkedésével csaknem arányosak a klinikumban alkalmazott dózisok (napi kétszer 40</w:t>
      </w:r>
      <w:r w:rsidR="001902F4">
        <w:rPr>
          <w:sz w:val="22"/>
          <w:szCs w:val="22"/>
        </w:rPr>
        <w:noBreakHyphen/>
      </w:r>
      <w:r w:rsidRPr="00345BCE">
        <w:rPr>
          <w:sz w:val="22"/>
          <w:szCs w:val="22"/>
        </w:rPr>
        <w:t>160 mg) esetén. Az átlagos akkumulációs faktor kb. 1,7. Orális alkalmazás után a valzartán látszólagos clearance-e kb. 4,5 l/óra. Szívbetegekben az életkor nem befolyásolja a látszólagos clearance</w:t>
      </w:r>
      <w:r w:rsidR="001902F4">
        <w:rPr>
          <w:sz w:val="22"/>
          <w:szCs w:val="22"/>
        </w:rPr>
        <w:t>-</w:t>
      </w:r>
      <w:r w:rsidRPr="00345BCE">
        <w:rPr>
          <w:sz w:val="22"/>
          <w:szCs w:val="22"/>
        </w:rPr>
        <w:t>értéket.</w:t>
      </w:r>
    </w:p>
    <w:p w14:paraId="514CFDE3" w14:textId="77777777" w:rsidR="007C1F0D" w:rsidRPr="00345BCE" w:rsidRDefault="007C1F0D" w:rsidP="00C560EC">
      <w:pPr>
        <w:tabs>
          <w:tab w:val="left" w:pos="567"/>
        </w:tabs>
        <w:rPr>
          <w:sz w:val="22"/>
          <w:szCs w:val="22"/>
        </w:rPr>
      </w:pPr>
    </w:p>
    <w:p w14:paraId="11B4E0B5" w14:textId="77777777" w:rsidR="007C1F0D" w:rsidRPr="00345BCE" w:rsidRDefault="006E67EA" w:rsidP="00C560EC">
      <w:pPr>
        <w:pStyle w:val="Cmsor3"/>
        <w:widowControl/>
        <w:numPr>
          <w:ilvl w:val="2"/>
          <w:numId w:val="10"/>
        </w:numPr>
        <w:tabs>
          <w:tab w:val="left" w:pos="567"/>
        </w:tabs>
        <w:rPr>
          <w:b w:val="0"/>
          <w:bCs/>
          <w:i/>
          <w:sz w:val="22"/>
          <w:szCs w:val="22"/>
          <w:u w:val="single"/>
        </w:rPr>
      </w:pPr>
      <w:r>
        <w:rPr>
          <w:b w:val="0"/>
          <w:bCs/>
          <w:i/>
          <w:sz w:val="22"/>
          <w:szCs w:val="22"/>
          <w:u w:val="single"/>
        </w:rPr>
        <w:t>Különleges</w:t>
      </w:r>
      <w:r w:rsidRPr="00345BCE">
        <w:rPr>
          <w:b w:val="0"/>
          <w:bCs/>
          <w:i/>
          <w:sz w:val="22"/>
          <w:szCs w:val="22"/>
          <w:u w:val="single"/>
        </w:rPr>
        <w:t xml:space="preserve"> </w:t>
      </w:r>
      <w:r w:rsidR="001902F4">
        <w:rPr>
          <w:b w:val="0"/>
          <w:bCs/>
          <w:i/>
          <w:sz w:val="22"/>
          <w:szCs w:val="22"/>
          <w:u w:val="single"/>
        </w:rPr>
        <w:t>betegcsoproto</w:t>
      </w:r>
      <w:r w:rsidR="007C1F0D" w:rsidRPr="00345BCE">
        <w:rPr>
          <w:b w:val="0"/>
          <w:bCs/>
          <w:i/>
          <w:sz w:val="22"/>
          <w:szCs w:val="22"/>
          <w:u w:val="single"/>
        </w:rPr>
        <w:t>k</w:t>
      </w:r>
    </w:p>
    <w:p w14:paraId="631D412A" w14:textId="77777777" w:rsidR="001902F4" w:rsidRDefault="001902F4" w:rsidP="00C560EC">
      <w:pPr>
        <w:rPr>
          <w:iCs/>
          <w:sz w:val="22"/>
          <w:szCs w:val="22"/>
          <w:u w:val="single"/>
        </w:rPr>
      </w:pPr>
    </w:p>
    <w:p w14:paraId="7459D80C" w14:textId="77777777" w:rsidR="007C1F0D" w:rsidRPr="00345BCE" w:rsidRDefault="007C1F0D" w:rsidP="00C560EC">
      <w:pPr>
        <w:rPr>
          <w:iCs/>
          <w:sz w:val="22"/>
          <w:szCs w:val="22"/>
          <w:u w:val="single"/>
        </w:rPr>
      </w:pPr>
      <w:r w:rsidRPr="00345BCE">
        <w:rPr>
          <w:iCs/>
          <w:sz w:val="22"/>
          <w:szCs w:val="22"/>
          <w:u w:val="single"/>
        </w:rPr>
        <w:t>Idős</w:t>
      </w:r>
      <w:r w:rsidR="00D22521">
        <w:rPr>
          <w:iCs/>
          <w:sz w:val="22"/>
          <w:szCs w:val="22"/>
          <w:u w:val="single"/>
        </w:rPr>
        <w:t>e</w:t>
      </w:r>
      <w:r w:rsidR="000822DD">
        <w:rPr>
          <w:iCs/>
          <w:sz w:val="22"/>
          <w:szCs w:val="22"/>
          <w:u w:val="single"/>
        </w:rPr>
        <w:t>k</w:t>
      </w:r>
    </w:p>
    <w:p w14:paraId="35C244DD" w14:textId="77777777" w:rsidR="007C1F0D" w:rsidRPr="00345BCE" w:rsidRDefault="007C1F0D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Néhány </w:t>
      </w:r>
      <w:r w:rsidRPr="00D22521">
        <w:rPr>
          <w:sz w:val="22"/>
          <w:szCs w:val="22"/>
        </w:rPr>
        <w:t xml:space="preserve">idős </w:t>
      </w:r>
      <w:r w:rsidR="00D22521" w:rsidRPr="00EF51F9">
        <w:rPr>
          <w:sz w:val="22"/>
          <w:szCs w:val="22"/>
        </w:rPr>
        <w:t>egyén</w:t>
      </w:r>
      <w:r w:rsidR="00D22521" w:rsidRPr="00D22521">
        <w:rPr>
          <w:sz w:val="22"/>
          <w:szCs w:val="22"/>
        </w:rPr>
        <w:t>ben</w:t>
      </w:r>
      <w:r w:rsidR="00D22521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a valzartán szisztémás expozíciója a fiatalabbakhoz képest valamivel nagyobb volt, azonban ennek nem volt klinikai jelentősége.</w:t>
      </w:r>
    </w:p>
    <w:p w14:paraId="78D8998A" w14:textId="77777777" w:rsidR="007C1F0D" w:rsidRPr="00345BCE" w:rsidRDefault="007C1F0D" w:rsidP="00C560EC">
      <w:pPr>
        <w:rPr>
          <w:i/>
          <w:sz w:val="22"/>
          <w:szCs w:val="22"/>
        </w:rPr>
      </w:pPr>
    </w:p>
    <w:p w14:paraId="2887395F" w14:textId="77777777" w:rsidR="007C1F0D" w:rsidRPr="00345BCE" w:rsidRDefault="00363528" w:rsidP="00C560EC">
      <w:pPr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Károsodott</w:t>
      </w:r>
      <w:r w:rsidRPr="00345BCE">
        <w:rPr>
          <w:iCs/>
          <w:sz w:val="22"/>
          <w:szCs w:val="22"/>
          <w:u w:val="single"/>
        </w:rPr>
        <w:t xml:space="preserve"> </w:t>
      </w:r>
      <w:r w:rsidR="007C1F0D" w:rsidRPr="00345BCE">
        <w:rPr>
          <w:iCs/>
          <w:sz w:val="22"/>
          <w:szCs w:val="22"/>
          <w:u w:val="single"/>
        </w:rPr>
        <w:t>vesefunkció</w:t>
      </w:r>
    </w:p>
    <w:p w14:paraId="66B0BD43" w14:textId="77777777" w:rsidR="007C1F0D" w:rsidRPr="00345BCE" w:rsidRDefault="007C1F0D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 xml:space="preserve">Annak megfelelően, hogy e vegyület esetében a renalis clearance az összclearance 30%-át teszi ki, </w:t>
      </w:r>
      <w:r w:rsidRPr="00345BCE">
        <w:rPr>
          <w:sz w:val="22"/>
          <w:szCs w:val="22"/>
        </w:rPr>
        <w:lastRenderedPageBreak/>
        <w:t>nem figyeltek meg korrelációt a vesefunkció és a valzartán szisztémás expozíciója között. Ezért veseműködési zavar (kreatinin clearance &gt;</w:t>
      </w:r>
      <w:r w:rsidR="001902F4">
        <w:rPr>
          <w:sz w:val="22"/>
          <w:szCs w:val="22"/>
        </w:rPr>
        <w:t> </w:t>
      </w:r>
      <w:r w:rsidRPr="00345BCE">
        <w:rPr>
          <w:sz w:val="22"/>
          <w:szCs w:val="22"/>
        </w:rPr>
        <w:t>10 ml/perc) esetén nem szükséges a dózis módosítása. Nincs tapasztalat a biztonságos alkalmazásra vonatkozóan olyan betegeknél, akik kreatinin</w:t>
      </w:r>
      <w:r w:rsidRPr="00345BCE">
        <w:rPr>
          <w:sz w:val="22"/>
          <w:szCs w:val="22"/>
        </w:rPr>
        <w:noBreakHyphen/>
        <w:t>clearance</w:t>
      </w:r>
      <w:r w:rsidR="00834B34">
        <w:rPr>
          <w:sz w:val="22"/>
          <w:szCs w:val="22"/>
        </w:rPr>
        <w:noBreakHyphen/>
      </w:r>
      <w:r w:rsidRPr="00345BCE">
        <w:rPr>
          <w:sz w:val="22"/>
          <w:szCs w:val="22"/>
        </w:rPr>
        <w:t>e &lt;</w:t>
      </w:r>
      <w:r w:rsidR="001902F4">
        <w:rPr>
          <w:sz w:val="22"/>
          <w:szCs w:val="22"/>
        </w:rPr>
        <w:t> </w:t>
      </w:r>
      <w:r w:rsidRPr="00345BCE">
        <w:rPr>
          <w:sz w:val="22"/>
          <w:szCs w:val="22"/>
        </w:rPr>
        <w:t>10 ml/perc vagy dialízis kezelés alatt állnak, ezért a valzartánt óvatossággal kell alkalmazni ezeknél a betegeknél (lásd 4.2 és 4.4 pont).</w:t>
      </w:r>
    </w:p>
    <w:p w14:paraId="2559A5AF" w14:textId="77777777" w:rsidR="007C1F0D" w:rsidRPr="00345BCE" w:rsidRDefault="007C1F0D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A valzartán nagymértékben kötődik plazmafehérjékhez és nem valószínű, hogy eltávolítható dialízissel.</w:t>
      </w:r>
    </w:p>
    <w:p w14:paraId="7B35E517" w14:textId="77777777" w:rsidR="00F61288" w:rsidRPr="00345BCE" w:rsidRDefault="00F61288" w:rsidP="00C560EC">
      <w:pPr>
        <w:tabs>
          <w:tab w:val="left" w:pos="567"/>
        </w:tabs>
        <w:rPr>
          <w:i/>
          <w:sz w:val="22"/>
          <w:szCs w:val="22"/>
        </w:rPr>
      </w:pPr>
    </w:p>
    <w:p w14:paraId="5DA29E3D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Májkárosodás</w:t>
      </w:r>
    </w:p>
    <w:p w14:paraId="429D5FCE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felszívódott adag kb. 70%-a választódik ki az epével, </w:t>
      </w:r>
      <w:r w:rsidR="00E0454A" w:rsidRPr="00345BCE">
        <w:rPr>
          <w:sz w:val="22"/>
          <w:szCs w:val="22"/>
        </w:rPr>
        <w:t xml:space="preserve">lényegében </w:t>
      </w:r>
      <w:r w:rsidRPr="00345BCE">
        <w:rPr>
          <w:sz w:val="22"/>
          <w:szCs w:val="22"/>
        </w:rPr>
        <w:t xml:space="preserve">változatlan formában. </w:t>
      </w:r>
      <w:r w:rsidR="007D3498" w:rsidRPr="00345BCE">
        <w:rPr>
          <w:sz w:val="22"/>
          <w:szCs w:val="22"/>
        </w:rPr>
        <w:t xml:space="preserve">A valzartán nem megy át lényeges biotranszformáción. </w:t>
      </w:r>
      <w:r w:rsidR="00E0454A" w:rsidRPr="00345BCE">
        <w:rPr>
          <w:sz w:val="22"/>
          <w:szCs w:val="22"/>
        </w:rPr>
        <w:t xml:space="preserve">Az expozíció (AUC) megduplázódását figyelték meg az enyhe és közepesen súlyos májkárosodásban szenvedő betegekben az egészséges kísérleti alanyokhoz hasonlítva. Azonban nem figyeltek meg korrelációt a valzartán </w:t>
      </w:r>
      <w:r w:rsidR="007D3498" w:rsidRPr="00345BCE">
        <w:rPr>
          <w:sz w:val="22"/>
          <w:szCs w:val="22"/>
        </w:rPr>
        <w:t>plazma</w:t>
      </w:r>
      <w:r w:rsidR="00E0454A" w:rsidRPr="00345BCE">
        <w:rPr>
          <w:sz w:val="22"/>
          <w:szCs w:val="22"/>
        </w:rPr>
        <w:t xml:space="preserve">koncentrációja és a májműködési zavar </w:t>
      </w:r>
      <w:r w:rsidR="007D3498" w:rsidRPr="00345BCE">
        <w:rPr>
          <w:sz w:val="22"/>
          <w:szCs w:val="22"/>
        </w:rPr>
        <w:t xml:space="preserve">súlyossága </w:t>
      </w:r>
      <w:r w:rsidR="00E0454A" w:rsidRPr="00345BCE">
        <w:rPr>
          <w:sz w:val="22"/>
          <w:szCs w:val="22"/>
        </w:rPr>
        <w:t xml:space="preserve">között. A </w:t>
      </w:r>
      <w:r w:rsidR="007D3498" w:rsidRPr="00345BCE">
        <w:rPr>
          <w:sz w:val="22"/>
          <w:szCs w:val="22"/>
        </w:rPr>
        <w:t>valzartán</w:t>
      </w:r>
      <w:r w:rsidR="00E0454A" w:rsidRPr="00345BCE">
        <w:rPr>
          <w:sz w:val="22"/>
          <w:szCs w:val="22"/>
        </w:rPr>
        <w:t>t nem vizsgálták súlyos májműködési zavarban szenvedő betegekben (lásd 4.2, 4.3 és 4.4 pont).</w:t>
      </w:r>
    </w:p>
    <w:p w14:paraId="2A712CEA" w14:textId="77777777" w:rsidR="0031593C" w:rsidRPr="00345BCE" w:rsidRDefault="0031593C" w:rsidP="00C560EC">
      <w:pPr>
        <w:tabs>
          <w:tab w:val="left" w:pos="567"/>
        </w:tabs>
        <w:rPr>
          <w:sz w:val="22"/>
          <w:szCs w:val="22"/>
        </w:rPr>
      </w:pPr>
    </w:p>
    <w:p w14:paraId="52D4E6FF" w14:textId="77777777" w:rsidR="0031593C" w:rsidRPr="00345BCE" w:rsidRDefault="0031593C" w:rsidP="00C560EC">
      <w:pPr>
        <w:rPr>
          <w:i/>
          <w:iCs/>
          <w:sz w:val="22"/>
          <w:szCs w:val="22"/>
          <w:u w:val="single"/>
        </w:rPr>
      </w:pPr>
      <w:r w:rsidRPr="00B0458C">
        <w:rPr>
          <w:i/>
          <w:iCs/>
          <w:sz w:val="22"/>
          <w:szCs w:val="22"/>
          <w:u w:val="single"/>
        </w:rPr>
        <w:t>Gyermek</w:t>
      </w:r>
      <w:r w:rsidR="0051702A" w:rsidRPr="00C560EC">
        <w:rPr>
          <w:i/>
          <w:iCs/>
          <w:sz w:val="22"/>
          <w:szCs w:val="22"/>
          <w:u w:val="single"/>
        </w:rPr>
        <w:t>ek</w:t>
      </w:r>
      <w:r w:rsidR="00792D2B" w:rsidRPr="00C560EC">
        <w:rPr>
          <w:i/>
          <w:iCs/>
          <w:sz w:val="22"/>
          <w:szCs w:val="22"/>
          <w:u w:val="single"/>
        </w:rPr>
        <w:t xml:space="preserve"> és serdülők</w:t>
      </w:r>
    </w:p>
    <w:p w14:paraId="4CAEA43F" w14:textId="6E9327EC" w:rsidR="0031593C" w:rsidRPr="00533E6F" w:rsidRDefault="0031593C" w:rsidP="00C560EC">
      <w:pPr>
        <w:rPr>
          <w:sz w:val="22"/>
          <w:szCs w:val="22"/>
        </w:rPr>
      </w:pPr>
      <w:r w:rsidRPr="00345BCE">
        <w:rPr>
          <w:sz w:val="22"/>
          <w:szCs w:val="22"/>
        </w:rPr>
        <w:t>Egy</w:t>
      </w:r>
      <w:r w:rsidR="001902F4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26 </w:t>
      </w:r>
      <w:r w:rsidR="002321C3">
        <w:rPr>
          <w:sz w:val="22"/>
          <w:szCs w:val="22"/>
        </w:rPr>
        <w:t>hypertoni</w:t>
      </w:r>
      <w:r w:rsidR="00573067">
        <w:rPr>
          <w:sz w:val="22"/>
          <w:szCs w:val="22"/>
        </w:rPr>
        <w:t>á</w:t>
      </w:r>
      <w:r w:rsidR="003F66A1">
        <w:rPr>
          <w:sz w:val="22"/>
          <w:szCs w:val="22"/>
        </w:rPr>
        <w:t>s</w:t>
      </w:r>
      <w:r w:rsidRPr="00345BCE">
        <w:rPr>
          <w:sz w:val="22"/>
          <w:szCs w:val="22"/>
        </w:rPr>
        <w:t xml:space="preserve"> </w:t>
      </w:r>
      <w:r w:rsidR="004A25AD" w:rsidRPr="004A25AD">
        <w:rPr>
          <w:sz w:val="22"/>
          <w:szCs w:val="22"/>
        </w:rPr>
        <w:t>1 és 16 éves kor közötti gyermek és serdülő bevonásával</w:t>
      </w:r>
      <w:r w:rsidRPr="00345BCE">
        <w:rPr>
          <w:sz w:val="22"/>
          <w:szCs w:val="22"/>
        </w:rPr>
        <w:t xml:space="preserve"> végzett vizsgálatban</w:t>
      </w:r>
      <w:r w:rsidR="001902F4">
        <w:rPr>
          <w:sz w:val="22"/>
          <w:szCs w:val="22"/>
        </w:rPr>
        <w:t>,</w:t>
      </w:r>
      <w:r w:rsidRPr="00345BCE">
        <w:rPr>
          <w:sz w:val="22"/>
          <w:szCs w:val="22"/>
        </w:rPr>
        <w:t xml:space="preserve"> egyetlen adag valzartán szuszpenzió (átlag: 0,9-2 mg/</w:t>
      </w:r>
      <w:r w:rsidR="006F3378">
        <w:rPr>
          <w:sz w:val="22"/>
          <w:szCs w:val="22"/>
        </w:rPr>
        <w:t>tt</w:t>
      </w:r>
      <w:r w:rsidRPr="00345BCE">
        <w:rPr>
          <w:sz w:val="22"/>
          <w:szCs w:val="22"/>
        </w:rPr>
        <w:t>kg, 80 mg</w:t>
      </w:r>
      <w:r w:rsidRPr="00345BCE">
        <w:rPr>
          <w:sz w:val="22"/>
          <w:szCs w:val="22"/>
        </w:rPr>
        <w:noBreakHyphen/>
        <w:t>os maximális dózissal) adásakor a valzartán</w:t>
      </w:r>
      <w:r w:rsidRPr="00345BCE">
        <w:rPr>
          <w:sz w:val="22"/>
          <w:szCs w:val="22"/>
        </w:rPr>
        <w:noBreakHyphen/>
        <w:t>clearance (liter/óra/kg) a teljes, 1 évestől 16 éves korig terjedő életkor-tartományban hasonló volt, és az ugyanezt a gyógyszerformát kapó felnőtteknél észlelthez is hasonló volt</w:t>
      </w:r>
      <w:r w:rsidR="00533E6F">
        <w:rPr>
          <w:sz w:val="22"/>
          <w:szCs w:val="22"/>
        </w:rPr>
        <w:t xml:space="preserve"> </w:t>
      </w:r>
      <w:r w:rsidR="00533E6F" w:rsidRPr="002D680A">
        <w:rPr>
          <w:sz w:val="22"/>
          <w:szCs w:val="22"/>
        </w:rPr>
        <w:t>(lásd az 5.2 pontban</w:t>
      </w:r>
      <w:r w:rsidR="00533E6F" w:rsidRPr="002D680A" w:rsidDel="00A20233">
        <w:rPr>
          <w:sz w:val="22"/>
          <w:szCs w:val="22"/>
        </w:rPr>
        <w:t xml:space="preserve"> </w:t>
      </w:r>
      <w:r w:rsidR="00533E6F" w:rsidRPr="002D680A">
        <w:rPr>
          <w:sz w:val="22"/>
          <w:szCs w:val="22"/>
        </w:rPr>
        <w:t>a Felszívódás című részt)</w:t>
      </w:r>
      <w:r w:rsidRPr="00533E6F">
        <w:rPr>
          <w:sz w:val="22"/>
          <w:szCs w:val="22"/>
        </w:rPr>
        <w:t>.</w:t>
      </w:r>
    </w:p>
    <w:p w14:paraId="62DFD608" w14:textId="77777777" w:rsidR="0031593C" w:rsidRPr="00345BCE" w:rsidRDefault="0031593C" w:rsidP="00C560EC">
      <w:pPr>
        <w:rPr>
          <w:sz w:val="22"/>
          <w:szCs w:val="22"/>
        </w:rPr>
      </w:pPr>
    </w:p>
    <w:p w14:paraId="4022E63F" w14:textId="77777777" w:rsidR="0031593C" w:rsidRPr="00345BCE" w:rsidRDefault="0031593C" w:rsidP="00C560EC">
      <w:pPr>
        <w:rPr>
          <w:sz w:val="22"/>
          <w:szCs w:val="22"/>
          <w:u w:val="single"/>
        </w:rPr>
      </w:pPr>
      <w:r w:rsidRPr="00345BCE">
        <w:rPr>
          <w:sz w:val="22"/>
          <w:szCs w:val="22"/>
          <w:u w:val="single"/>
        </w:rPr>
        <w:t>Vesekárosodás</w:t>
      </w:r>
    </w:p>
    <w:p w14:paraId="15E7C399" w14:textId="09F6D127" w:rsidR="0031593C" w:rsidRPr="002D680A" w:rsidRDefault="0031593C" w:rsidP="00C560EC">
      <w:pPr>
        <w:rPr>
          <w:sz w:val="22"/>
          <w:szCs w:val="22"/>
        </w:rPr>
      </w:pPr>
      <w:r w:rsidRPr="002D680A">
        <w:rPr>
          <w:sz w:val="22"/>
          <w:szCs w:val="22"/>
        </w:rPr>
        <w:t xml:space="preserve">Alkalmazását azoknál a </w:t>
      </w:r>
      <w:r w:rsidR="004A25AD" w:rsidRPr="004A25AD">
        <w:rPr>
          <w:sz w:val="22"/>
          <w:szCs w:val="22"/>
        </w:rPr>
        <w:t>gyermekeknél és serdülőknél</w:t>
      </w:r>
      <w:r w:rsidRPr="002D680A">
        <w:rPr>
          <w:sz w:val="22"/>
          <w:szCs w:val="22"/>
        </w:rPr>
        <w:t>, akiknek a kreatitnin</w:t>
      </w:r>
      <w:r w:rsidRPr="002D680A">
        <w:rPr>
          <w:sz w:val="22"/>
          <w:szCs w:val="22"/>
        </w:rPr>
        <w:noBreakHyphen/>
        <w:t>clearance</w:t>
      </w:r>
      <w:r w:rsidRPr="002D680A">
        <w:rPr>
          <w:sz w:val="22"/>
          <w:szCs w:val="22"/>
        </w:rPr>
        <w:noBreakHyphen/>
        <w:t>e &lt;</w:t>
      </w:r>
      <w:r w:rsidR="001902F4" w:rsidRPr="002D680A">
        <w:rPr>
          <w:sz w:val="22"/>
          <w:szCs w:val="22"/>
        </w:rPr>
        <w:t> </w:t>
      </w:r>
      <w:r w:rsidRPr="002D680A">
        <w:rPr>
          <w:sz w:val="22"/>
          <w:szCs w:val="22"/>
        </w:rPr>
        <w:t xml:space="preserve">30 ml/perc, valamint a dialízis alatt álló </w:t>
      </w:r>
      <w:r w:rsidR="004A25AD" w:rsidRPr="004A25AD">
        <w:rPr>
          <w:sz w:val="22"/>
          <w:szCs w:val="22"/>
        </w:rPr>
        <w:t>gyermekeknél és serdülőknél</w:t>
      </w:r>
      <w:r w:rsidRPr="002D680A">
        <w:rPr>
          <w:sz w:val="22"/>
          <w:szCs w:val="22"/>
        </w:rPr>
        <w:t xml:space="preserve"> nem vizsgálták, ezért a valzartán ezeknek a betegeknek nem javasolt. </w:t>
      </w:r>
      <w:r w:rsidRPr="00533E6F">
        <w:rPr>
          <w:sz w:val="22"/>
          <w:szCs w:val="22"/>
        </w:rPr>
        <w:t xml:space="preserve">Nem szükséges a dózis módosítása azoknál a </w:t>
      </w:r>
      <w:r w:rsidR="004A25AD" w:rsidRPr="004A25AD">
        <w:rPr>
          <w:sz w:val="22"/>
          <w:szCs w:val="22"/>
        </w:rPr>
        <w:t>gyermekeknél és serdülőknél</w:t>
      </w:r>
      <w:r w:rsidRPr="00533E6F">
        <w:rPr>
          <w:sz w:val="22"/>
          <w:szCs w:val="22"/>
        </w:rPr>
        <w:t>, akik kreatinin</w:t>
      </w:r>
      <w:r w:rsidRPr="00533E6F">
        <w:rPr>
          <w:sz w:val="22"/>
          <w:szCs w:val="22"/>
        </w:rPr>
        <w:noBreakHyphen/>
        <w:t>clearance</w:t>
      </w:r>
      <w:r w:rsidRPr="00533E6F">
        <w:rPr>
          <w:sz w:val="22"/>
          <w:szCs w:val="22"/>
        </w:rPr>
        <w:noBreakHyphen/>
        <w:t xml:space="preserve">e </w:t>
      </w:r>
      <w:r w:rsidRPr="00345BCE">
        <w:rPr>
          <w:sz w:val="22"/>
          <w:szCs w:val="22"/>
        </w:rPr>
        <w:t>&gt;</w:t>
      </w:r>
      <w:r w:rsidR="001902F4">
        <w:rPr>
          <w:sz w:val="22"/>
          <w:szCs w:val="22"/>
        </w:rPr>
        <w:t> </w:t>
      </w:r>
      <w:r w:rsidRPr="00345BCE">
        <w:rPr>
          <w:sz w:val="22"/>
          <w:szCs w:val="22"/>
        </w:rPr>
        <w:t>30 ml/perc</w:t>
      </w:r>
      <w:r w:rsidRPr="002D680A">
        <w:rPr>
          <w:sz w:val="22"/>
          <w:szCs w:val="22"/>
        </w:rPr>
        <w:t>. A vesefunkciót és a szérum káliumszintet szorosan ellenőrizni kell (lásd 4.2 és 4.4 pont).</w:t>
      </w:r>
    </w:p>
    <w:p w14:paraId="77478DB6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0F1463C0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5.3</w:t>
      </w:r>
      <w:r w:rsidRPr="00345BCE">
        <w:rPr>
          <w:b/>
          <w:sz w:val="22"/>
          <w:szCs w:val="22"/>
        </w:rPr>
        <w:tab/>
        <w:t>A preklinikai biztonság</w:t>
      </w:r>
      <w:r w:rsidR="00626106" w:rsidRPr="00345BCE">
        <w:rPr>
          <w:b/>
          <w:sz w:val="22"/>
          <w:szCs w:val="22"/>
        </w:rPr>
        <w:t>osság</w:t>
      </w:r>
      <w:r w:rsidRPr="00345BCE">
        <w:rPr>
          <w:b/>
          <w:sz w:val="22"/>
          <w:szCs w:val="22"/>
        </w:rPr>
        <w:t>i vizsgálatok eredményei</w:t>
      </w:r>
    </w:p>
    <w:p w14:paraId="1C436E21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1E4B65D" w14:textId="77777777" w:rsidR="00E0454A" w:rsidRPr="00345BCE" w:rsidRDefault="00E0454A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A hagyományos – farmakológiai biztonságossági, ismételt </w:t>
      </w:r>
      <w:r w:rsidR="001902F4" w:rsidRPr="001902F4">
        <w:rPr>
          <w:sz w:val="22"/>
          <w:szCs w:val="22"/>
        </w:rPr>
        <w:t xml:space="preserve">adagolású </w:t>
      </w:r>
      <w:r w:rsidRPr="00345BCE">
        <w:rPr>
          <w:sz w:val="22"/>
          <w:szCs w:val="22"/>
        </w:rPr>
        <w:t>dózistoxicitási, genotoxicitási, karcinogenitási – vizsgálatokból származó nem</w:t>
      </w:r>
      <w:r w:rsidR="001902F4">
        <w:rPr>
          <w:sz w:val="22"/>
          <w:szCs w:val="22"/>
        </w:rPr>
        <w:t>-</w:t>
      </w:r>
      <w:r w:rsidRPr="00345BCE">
        <w:rPr>
          <w:sz w:val="22"/>
          <w:szCs w:val="22"/>
        </w:rPr>
        <w:t xml:space="preserve">klinikai jellegű adatok azt igazolták, hogy a készítmény </w:t>
      </w:r>
      <w:r w:rsidR="00B31882">
        <w:rPr>
          <w:sz w:val="22"/>
          <w:szCs w:val="22"/>
        </w:rPr>
        <w:t xml:space="preserve">alkalmazásakor humán vonatkozásban </w:t>
      </w:r>
      <w:r w:rsidRPr="00345BCE">
        <w:rPr>
          <w:sz w:val="22"/>
          <w:szCs w:val="22"/>
        </w:rPr>
        <w:t>különleges</w:t>
      </w:r>
      <w:r w:rsidR="00B31882">
        <w:rPr>
          <w:sz w:val="22"/>
          <w:szCs w:val="22"/>
        </w:rPr>
        <w:t xml:space="preserve"> kockázat nem várható</w:t>
      </w:r>
      <w:r w:rsidRPr="00345BCE">
        <w:rPr>
          <w:sz w:val="22"/>
          <w:szCs w:val="22"/>
        </w:rPr>
        <w:t xml:space="preserve">. </w:t>
      </w:r>
    </w:p>
    <w:p w14:paraId="1E34E77A" w14:textId="77777777" w:rsidR="001902F4" w:rsidRDefault="001902F4" w:rsidP="00C560EC">
      <w:pPr>
        <w:tabs>
          <w:tab w:val="left" w:pos="567"/>
        </w:tabs>
        <w:rPr>
          <w:sz w:val="22"/>
          <w:szCs w:val="22"/>
        </w:rPr>
      </w:pPr>
    </w:p>
    <w:p w14:paraId="6EA0F70E" w14:textId="77777777" w:rsidR="00E0454A" w:rsidRDefault="00E0454A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Patk</w:t>
      </w:r>
      <w:r w:rsidR="001E1F27" w:rsidRPr="00345BCE">
        <w:rPr>
          <w:sz w:val="22"/>
          <w:szCs w:val="22"/>
        </w:rPr>
        <w:t>ányban az anyai toxikus dózis</w:t>
      </w:r>
      <w:r w:rsidR="007D3498" w:rsidRPr="00345BCE">
        <w:rPr>
          <w:sz w:val="22"/>
          <w:szCs w:val="22"/>
        </w:rPr>
        <w:t>t</w:t>
      </w:r>
      <w:r w:rsidR="001E1F27" w:rsidRPr="00345BCE">
        <w:rPr>
          <w:sz w:val="22"/>
          <w:szCs w:val="22"/>
        </w:rPr>
        <w:t xml:space="preserve"> (</w:t>
      </w:r>
      <w:r w:rsidRPr="00345BCE">
        <w:rPr>
          <w:sz w:val="22"/>
          <w:szCs w:val="22"/>
        </w:rPr>
        <w:t>600 mg/</w:t>
      </w:r>
      <w:r w:rsidR="007D3498" w:rsidRPr="00345BCE">
        <w:rPr>
          <w:sz w:val="22"/>
          <w:szCs w:val="22"/>
        </w:rPr>
        <w:t>kg</w:t>
      </w:r>
      <w:r w:rsidRPr="00345BCE">
        <w:rPr>
          <w:sz w:val="22"/>
          <w:szCs w:val="22"/>
        </w:rPr>
        <w:t>/nap) a terhesség utolsó napjaiban és a szoptatás alatt adva, csökkent túlélési arány</w:t>
      </w:r>
      <w:r w:rsidR="002A1A0A" w:rsidRPr="00345BCE">
        <w:rPr>
          <w:sz w:val="22"/>
          <w:szCs w:val="22"/>
        </w:rPr>
        <w:t>t</w:t>
      </w:r>
      <w:r w:rsidRPr="00345BCE">
        <w:rPr>
          <w:sz w:val="22"/>
          <w:szCs w:val="22"/>
        </w:rPr>
        <w:t xml:space="preserve">, </w:t>
      </w:r>
      <w:r w:rsidR="002A1A0A" w:rsidRPr="00345BCE">
        <w:rPr>
          <w:sz w:val="22"/>
          <w:szCs w:val="22"/>
        </w:rPr>
        <w:t>kisebb</w:t>
      </w:r>
      <w:r w:rsidR="007D3498" w:rsidRPr="00345BCE">
        <w:rPr>
          <w:sz w:val="22"/>
          <w:szCs w:val="22"/>
        </w:rPr>
        <w:t xml:space="preserve"> </w:t>
      </w:r>
      <w:r w:rsidR="002A1A0A" w:rsidRPr="00345BCE">
        <w:rPr>
          <w:sz w:val="22"/>
          <w:szCs w:val="22"/>
        </w:rPr>
        <w:t xml:space="preserve">mértékű </w:t>
      </w:r>
      <w:r w:rsidRPr="00345BCE">
        <w:rPr>
          <w:sz w:val="22"/>
          <w:szCs w:val="22"/>
        </w:rPr>
        <w:t>testsúlygyarapodás</w:t>
      </w:r>
      <w:r w:rsidR="002A1A0A" w:rsidRPr="00345BCE">
        <w:rPr>
          <w:sz w:val="22"/>
          <w:szCs w:val="22"/>
        </w:rPr>
        <w:t>t</w:t>
      </w:r>
      <w:r w:rsidRPr="00345BCE">
        <w:rPr>
          <w:sz w:val="22"/>
          <w:szCs w:val="22"/>
        </w:rPr>
        <w:t xml:space="preserve"> és kés</w:t>
      </w:r>
      <w:r w:rsidR="002A1A0A" w:rsidRPr="00D91645">
        <w:rPr>
          <w:sz w:val="22"/>
          <w:szCs w:val="22"/>
        </w:rPr>
        <w:t>lel</w:t>
      </w:r>
      <w:r w:rsidR="00C760F1" w:rsidRPr="00706E72">
        <w:rPr>
          <w:sz w:val="22"/>
          <w:szCs w:val="22"/>
        </w:rPr>
        <w:t>te</w:t>
      </w:r>
      <w:r w:rsidR="002A1A0A" w:rsidRPr="00706E72">
        <w:rPr>
          <w:sz w:val="22"/>
          <w:szCs w:val="22"/>
        </w:rPr>
        <w:t>t</w:t>
      </w:r>
      <w:r w:rsidR="007D3498" w:rsidRPr="00706E72">
        <w:rPr>
          <w:sz w:val="22"/>
          <w:szCs w:val="22"/>
        </w:rPr>
        <w:t>ett</w:t>
      </w:r>
      <w:r w:rsidRPr="00706E72">
        <w:rPr>
          <w:sz w:val="22"/>
          <w:szCs w:val="22"/>
        </w:rPr>
        <w:t xml:space="preserve"> fejlődés </w:t>
      </w:r>
      <w:r w:rsidR="002A1A0A" w:rsidRPr="00706E72">
        <w:rPr>
          <w:sz w:val="22"/>
          <w:szCs w:val="22"/>
        </w:rPr>
        <w:t xml:space="preserve">okozott </w:t>
      </w:r>
      <w:r w:rsidRPr="00D23D88">
        <w:rPr>
          <w:sz w:val="22"/>
          <w:szCs w:val="22"/>
        </w:rPr>
        <w:t>az újszülöttekben (</w:t>
      </w:r>
      <w:r w:rsidR="001902F4">
        <w:rPr>
          <w:sz w:val="22"/>
          <w:szCs w:val="22"/>
        </w:rPr>
        <w:t xml:space="preserve">a </w:t>
      </w:r>
      <w:r w:rsidRPr="00D23D88">
        <w:rPr>
          <w:sz w:val="22"/>
          <w:szCs w:val="22"/>
        </w:rPr>
        <w:t xml:space="preserve">fülkagyló és hallójárat fejlődési zavara) (lásd 4.6 pont). </w:t>
      </w:r>
      <w:r w:rsidR="003856A2" w:rsidRPr="00345BCE">
        <w:rPr>
          <w:sz w:val="22"/>
          <w:szCs w:val="22"/>
        </w:rPr>
        <w:t>Ez a</w:t>
      </w:r>
      <w:r w:rsidR="001E1F27" w:rsidRPr="00345BCE">
        <w:rPr>
          <w:sz w:val="22"/>
          <w:szCs w:val="22"/>
        </w:rPr>
        <w:t xml:space="preserve"> patkányban alkalmazott dózis (</w:t>
      </w:r>
      <w:r w:rsidRPr="00345BCE">
        <w:rPr>
          <w:sz w:val="22"/>
          <w:szCs w:val="22"/>
        </w:rPr>
        <w:t>600 mg/kg/nap) megközelítőleg 18-szorosa a javasolt maximális humán dózisnak</w:t>
      </w:r>
      <w:r w:rsidR="007D3498"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t>mg/m</w:t>
      </w:r>
      <w:r w:rsidRPr="00345BCE">
        <w:rPr>
          <w:sz w:val="22"/>
          <w:szCs w:val="22"/>
          <w:vertAlign w:val="superscript"/>
        </w:rPr>
        <w:t>2</w:t>
      </w:r>
      <w:r w:rsidRPr="00345BCE">
        <w:rPr>
          <w:sz w:val="22"/>
          <w:szCs w:val="22"/>
        </w:rPr>
        <w:t xml:space="preserve"> alapon számítva (320 mg/nap dózist és 60 kg-os beteget feltételezve).</w:t>
      </w:r>
    </w:p>
    <w:p w14:paraId="3032B5B8" w14:textId="77777777" w:rsidR="00921431" w:rsidRPr="00345BCE" w:rsidRDefault="00921431" w:rsidP="00C560EC">
      <w:pPr>
        <w:tabs>
          <w:tab w:val="left" w:pos="567"/>
        </w:tabs>
        <w:rPr>
          <w:sz w:val="22"/>
          <w:szCs w:val="22"/>
        </w:rPr>
      </w:pPr>
    </w:p>
    <w:p w14:paraId="24722166" w14:textId="77777777" w:rsidR="003856A2" w:rsidRPr="00345BCE" w:rsidRDefault="00E0454A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nem</w:t>
      </w:r>
      <w:r w:rsidR="001902F4">
        <w:rPr>
          <w:sz w:val="22"/>
          <w:szCs w:val="22"/>
        </w:rPr>
        <w:t>-</w:t>
      </w:r>
      <w:r w:rsidRPr="00345BCE">
        <w:rPr>
          <w:sz w:val="22"/>
          <w:szCs w:val="22"/>
        </w:rPr>
        <w:t>klinikai biztonságossági vizsgálatokban a nagy valzartán dózisok (200-600 mg/kg) patkányokban a vörösvértest</w:t>
      </w:r>
      <w:r w:rsidR="001902F4">
        <w:rPr>
          <w:sz w:val="22"/>
          <w:szCs w:val="22"/>
        </w:rPr>
        <w:t>-</w:t>
      </w:r>
      <w:r w:rsidRPr="00345BCE">
        <w:rPr>
          <w:sz w:val="22"/>
          <w:szCs w:val="22"/>
        </w:rPr>
        <w:t>paraméterek (er</w:t>
      </w:r>
      <w:r w:rsidR="001902F4">
        <w:rPr>
          <w:sz w:val="22"/>
          <w:szCs w:val="22"/>
        </w:rPr>
        <w:t>y</w:t>
      </w:r>
      <w:r w:rsidRPr="00345BCE">
        <w:rPr>
          <w:sz w:val="22"/>
          <w:szCs w:val="22"/>
        </w:rPr>
        <w:t>t</w:t>
      </w:r>
      <w:r w:rsidR="004B7A11">
        <w:rPr>
          <w:sz w:val="22"/>
          <w:szCs w:val="22"/>
        </w:rPr>
        <w:t>h</w:t>
      </w:r>
      <w:r w:rsidRPr="00345BCE">
        <w:rPr>
          <w:sz w:val="22"/>
          <w:szCs w:val="22"/>
        </w:rPr>
        <w:t>roc</w:t>
      </w:r>
      <w:r w:rsidR="00AF2DDF">
        <w:rPr>
          <w:sz w:val="22"/>
          <w:szCs w:val="22"/>
        </w:rPr>
        <w:t>y</w:t>
      </w:r>
      <w:r w:rsidRPr="00345BCE">
        <w:rPr>
          <w:sz w:val="22"/>
          <w:szCs w:val="22"/>
        </w:rPr>
        <w:t>t</w:t>
      </w:r>
      <w:r w:rsidR="003856A2" w:rsidRPr="00345BCE">
        <w:rPr>
          <w:sz w:val="22"/>
          <w:szCs w:val="22"/>
        </w:rPr>
        <w:t>aszám</w:t>
      </w:r>
      <w:r w:rsidRPr="00345BCE">
        <w:rPr>
          <w:sz w:val="22"/>
          <w:szCs w:val="22"/>
        </w:rPr>
        <w:t>, hemoglobin, hematokrit) csökkenését, illetve a vese hemodinamikájának (enyhén emelkedett plazma urea, illetve ren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lis tubul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ris h</w:t>
      </w:r>
      <w:r w:rsidR="00AF2DDF">
        <w:rPr>
          <w:sz w:val="22"/>
          <w:szCs w:val="22"/>
        </w:rPr>
        <w:t>y</w:t>
      </w:r>
      <w:r w:rsidRPr="00345BCE">
        <w:rPr>
          <w:sz w:val="22"/>
          <w:szCs w:val="22"/>
        </w:rPr>
        <w:t>perpl</w:t>
      </w:r>
      <w:r w:rsidR="00AF2DDF">
        <w:rPr>
          <w:sz w:val="22"/>
          <w:szCs w:val="22"/>
        </w:rPr>
        <w:t>as</w:t>
      </w:r>
      <w:r w:rsidRPr="00345BCE">
        <w:rPr>
          <w:sz w:val="22"/>
          <w:szCs w:val="22"/>
        </w:rPr>
        <w:t>ia és ba</w:t>
      </w:r>
      <w:r w:rsidR="00AF2DDF">
        <w:rPr>
          <w:sz w:val="22"/>
          <w:szCs w:val="22"/>
        </w:rPr>
        <w:t>s</w:t>
      </w:r>
      <w:r w:rsidRPr="00345BCE">
        <w:rPr>
          <w:sz w:val="22"/>
          <w:szCs w:val="22"/>
        </w:rPr>
        <w:t>o</w:t>
      </w:r>
      <w:r w:rsidR="00AF2DDF">
        <w:rPr>
          <w:sz w:val="22"/>
          <w:szCs w:val="22"/>
        </w:rPr>
        <w:t>phi</w:t>
      </w:r>
      <w:r w:rsidRPr="00345BCE">
        <w:rPr>
          <w:sz w:val="22"/>
          <w:szCs w:val="22"/>
        </w:rPr>
        <w:t xml:space="preserve">lia a hímekben) változását okozták. </w:t>
      </w:r>
      <w:r w:rsidR="003856A2" w:rsidRPr="00345BCE">
        <w:rPr>
          <w:sz w:val="22"/>
          <w:szCs w:val="22"/>
        </w:rPr>
        <w:t>Ezek a patkányban alkalmazott dózisok (200 és 600 mg/kg/nap) megközelítőleg 6, illetve 18-szorosai a javasolt maximális humán dózisnak mg/m</w:t>
      </w:r>
      <w:r w:rsidR="003856A2" w:rsidRPr="00345BCE">
        <w:rPr>
          <w:sz w:val="22"/>
          <w:szCs w:val="22"/>
          <w:vertAlign w:val="superscript"/>
        </w:rPr>
        <w:t>2</w:t>
      </w:r>
      <w:r w:rsidR="003856A2" w:rsidRPr="00345BCE">
        <w:rPr>
          <w:sz w:val="22"/>
          <w:szCs w:val="22"/>
        </w:rPr>
        <w:t xml:space="preserve"> alapon számítva (320 mg/nap dózist és 60 kg-os beteget feltételezve).</w:t>
      </w:r>
    </w:p>
    <w:p w14:paraId="4977F975" w14:textId="77777777" w:rsidR="00AF2DDF" w:rsidRDefault="00AF2DDF" w:rsidP="00C560EC">
      <w:pPr>
        <w:tabs>
          <w:tab w:val="left" w:pos="567"/>
        </w:tabs>
        <w:rPr>
          <w:sz w:val="22"/>
          <w:szCs w:val="22"/>
        </w:rPr>
      </w:pPr>
    </w:p>
    <w:p w14:paraId="1AA9C836" w14:textId="77777777" w:rsidR="00E0454A" w:rsidRDefault="00E0454A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selyemmajmokban hasonló dózisoknál a változások hasonlóak, de súlyosabbak, különösen a vese tekintetében, ahol a változások ne</w:t>
      </w:r>
      <w:r w:rsidR="00AF2DDF">
        <w:rPr>
          <w:sz w:val="22"/>
          <w:szCs w:val="22"/>
        </w:rPr>
        <w:t>ph</w:t>
      </w:r>
      <w:r w:rsidRPr="00345BCE">
        <w:rPr>
          <w:sz w:val="22"/>
          <w:szCs w:val="22"/>
        </w:rPr>
        <w:t>rop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t</w:t>
      </w:r>
      <w:r w:rsidR="00AF2DDF">
        <w:rPr>
          <w:sz w:val="22"/>
          <w:szCs w:val="22"/>
        </w:rPr>
        <w:t>h</w:t>
      </w:r>
      <w:r w:rsidRPr="00345BCE">
        <w:rPr>
          <w:sz w:val="22"/>
          <w:szCs w:val="22"/>
        </w:rPr>
        <w:t>iához vezettek, amely emelkedett urea- és kreatininszinttel járt.</w:t>
      </w:r>
    </w:p>
    <w:p w14:paraId="7E7276C3" w14:textId="77777777" w:rsidR="00921431" w:rsidRPr="00345BCE" w:rsidRDefault="00921431" w:rsidP="00C560EC">
      <w:pPr>
        <w:tabs>
          <w:tab w:val="left" w:pos="567"/>
        </w:tabs>
        <w:rPr>
          <w:sz w:val="22"/>
          <w:szCs w:val="22"/>
        </w:rPr>
      </w:pPr>
    </w:p>
    <w:p w14:paraId="08430B0F" w14:textId="77777777" w:rsidR="00E0454A" w:rsidRPr="00345BCE" w:rsidRDefault="00E0454A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A ren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lis juxtaglomerul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ris sejtek h</w:t>
      </w:r>
      <w:r w:rsidR="00AF2DDF">
        <w:rPr>
          <w:sz w:val="22"/>
          <w:szCs w:val="22"/>
        </w:rPr>
        <w:t>y</w:t>
      </w:r>
      <w:r w:rsidRPr="00345BCE">
        <w:rPr>
          <w:sz w:val="22"/>
          <w:szCs w:val="22"/>
        </w:rPr>
        <w:t>pertr</w:t>
      </w:r>
      <w:r w:rsidR="00AF2DDF">
        <w:rPr>
          <w:sz w:val="22"/>
          <w:szCs w:val="22"/>
        </w:rPr>
        <w:t>oph</w:t>
      </w:r>
      <w:r w:rsidRPr="00345BCE">
        <w:rPr>
          <w:sz w:val="22"/>
          <w:szCs w:val="22"/>
        </w:rPr>
        <w:t>iáját észlelték mindkét fajnál. Valamennyi változást a valzartán farmak</w:t>
      </w:r>
      <w:r w:rsidR="001E1F27" w:rsidRPr="00345BCE">
        <w:rPr>
          <w:sz w:val="22"/>
          <w:szCs w:val="22"/>
        </w:rPr>
        <w:t>ológiai hatásának tulajdonítottá</w:t>
      </w:r>
      <w:r w:rsidRPr="00345BCE">
        <w:rPr>
          <w:sz w:val="22"/>
          <w:szCs w:val="22"/>
        </w:rPr>
        <w:t>k, amely hosszabb ideig tartó h</w:t>
      </w:r>
      <w:r w:rsidR="00AF2DDF">
        <w:rPr>
          <w:sz w:val="22"/>
          <w:szCs w:val="22"/>
        </w:rPr>
        <w:t>y</w:t>
      </w:r>
      <w:r w:rsidRPr="00345BCE">
        <w:rPr>
          <w:sz w:val="22"/>
          <w:szCs w:val="22"/>
        </w:rPr>
        <w:t>pot</w:t>
      </w:r>
      <w:r w:rsidR="00AF2DDF">
        <w:rPr>
          <w:sz w:val="22"/>
          <w:szCs w:val="22"/>
        </w:rPr>
        <w:t>o</w:t>
      </w:r>
      <w:r w:rsidRPr="00345BCE">
        <w:rPr>
          <w:sz w:val="22"/>
          <w:szCs w:val="22"/>
        </w:rPr>
        <w:t>niához vezet, különösen a selyemmajmokban. Az emberekben a terápiás dózisok esetében a ren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lis juxtaglomerul</w:t>
      </w:r>
      <w:r w:rsidR="00AF2DDF">
        <w:rPr>
          <w:sz w:val="22"/>
          <w:szCs w:val="22"/>
        </w:rPr>
        <w:t>a</w:t>
      </w:r>
      <w:r w:rsidRPr="00345BCE">
        <w:rPr>
          <w:sz w:val="22"/>
          <w:szCs w:val="22"/>
        </w:rPr>
        <w:t>ris sejtek h</w:t>
      </w:r>
      <w:r w:rsidR="00AF2DDF">
        <w:rPr>
          <w:sz w:val="22"/>
          <w:szCs w:val="22"/>
        </w:rPr>
        <w:t>y</w:t>
      </w:r>
      <w:r w:rsidRPr="00345BCE">
        <w:rPr>
          <w:sz w:val="22"/>
          <w:szCs w:val="22"/>
        </w:rPr>
        <w:t>pertr</w:t>
      </w:r>
      <w:r w:rsidR="00AF2DDF">
        <w:rPr>
          <w:sz w:val="22"/>
          <w:szCs w:val="22"/>
        </w:rPr>
        <w:t>oph</w:t>
      </w:r>
      <w:r w:rsidRPr="00345BCE">
        <w:rPr>
          <w:sz w:val="22"/>
          <w:szCs w:val="22"/>
        </w:rPr>
        <w:t>iájának nincs jelentősége.</w:t>
      </w:r>
    </w:p>
    <w:p w14:paraId="0F0BE770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56BA74E0" w14:textId="77777777" w:rsidR="0031593C" w:rsidRPr="00345BCE" w:rsidRDefault="0031593C" w:rsidP="00C560EC">
      <w:pPr>
        <w:rPr>
          <w:i/>
          <w:color w:val="000000"/>
          <w:sz w:val="22"/>
          <w:szCs w:val="22"/>
          <w:u w:val="single"/>
        </w:rPr>
      </w:pPr>
      <w:r w:rsidRPr="00345BCE">
        <w:rPr>
          <w:i/>
          <w:color w:val="000000"/>
          <w:sz w:val="22"/>
          <w:szCs w:val="22"/>
          <w:u w:val="single"/>
        </w:rPr>
        <w:t>Gyermek</w:t>
      </w:r>
      <w:r w:rsidR="0051702A">
        <w:rPr>
          <w:i/>
          <w:color w:val="000000"/>
          <w:sz w:val="22"/>
          <w:szCs w:val="22"/>
          <w:u w:val="single"/>
        </w:rPr>
        <w:t>ek</w:t>
      </w:r>
      <w:r w:rsidR="004B7A11">
        <w:rPr>
          <w:i/>
          <w:color w:val="000000"/>
          <w:sz w:val="22"/>
          <w:szCs w:val="22"/>
          <w:u w:val="single"/>
        </w:rPr>
        <w:t xml:space="preserve"> és serdülők</w:t>
      </w:r>
    </w:p>
    <w:p w14:paraId="4A229043" w14:textId="77777777" w:rsidR="0031593C" w:rsidRPr="00345BCE" w:rsidRDefault="0031593C" w:rsidP="00C560EC">
      <w:pPr>
        <w:autoSpaceDE w:val="0"/>
        <w:autoSpaceDN w:val="0"/>
        <w:adjustRightInd w:val="0"/>
        <w:rPr>
          <w:color w:val="000000"/>
          <w:sz w:val="22"/>
          <w:szCs w:val="22"/>
          <w:lang w:bidi="th-TH"/>
        </w:rPr>
      </w:pPr>
      <w:r w:rsidRPr="00345BCE">
        <w:rPr>
          <w:color w:val="000000"/>
          <w:sz w:val="22"/>
          <w:szCs w:val="22"/>
          <w:lang w:bidi="th-TH"/>
        </w:rPr>
        <w:t xml:space="preserve">Újszülött/juvenilis patkányoknál (a születést követő 7. naptól a születést követő 70. napig) a valzartán alacsony dózisban történő mindennapos </w:t>
      </w:r>
      <w:r w:rsidRPr="00C560EC">
        <w:rPr>
          <w:i/>
          <w:color w:val="000000"/>
          <w:sz w:val="22"/>
          <w:szCs w:val="22"/>
          <w:lang w:bidi="th-TH"/>
        </w:rPr>
        <w:t>per os</w:t>
      </w:r>
      <w:r w:rsidRPr="00345BCE">
        <w:rPr>
          <w:color w:val="000000"/>
          <w:sz w:val="22"/>
          <w:szCs w:val="22"/>
          <w:lang w:bidi="th-TH"/>
        </w:rPr>
        <w:t xml:space="preserve"> adagolása már 1</w:t>
      </w:r>
      <w:r w:rsidRPr="00345BCE">
        <w:rPr>
          <w:color w:val="000000"/>
          <w:sz w:val="22"/>
          <w:szCs w:val="22"/>
        </w:rPr>
        <w:t> </w:t>
      </w:r>
      <w:r w:rsidRPr="00345BCE">
        <w:rPr>
          <w:color w:val="000000"/>
          <w:sz w:val="22"/>
          <w:szCs w:val="22"/>
          <w:lang w:bidi="th-TH"/>
        </w:rPr>
        <w:t>mg/kg/nap</w:t>
      </w:r>
      <w:r w:rsidRPr="00345BCE">
        <w:rPr>
          <w:color w:val="000000"/>
          <w:sz w:val="22"/>
          <w:szCs w:val="22"/>
          <w:lang w:bidi="th-TH"/>
        </w:rPr>
        <w:noBreakHyphen/>
        <w:t>os adagnál maradandó, irreverzíbilis vesekárosodást idézett elő (ez szisztémás expozíció alapján számítva a maximális javasolt 4</w:t>
      </w:r>
      <w:r w:rsidRPr="00345BCE">
        <w:rPr>
          <w:color w:val="000000"/>
          <w:sz w:val="22"/>
          <w:szCs w:val="22"/>
        </w:rPr>
        <w:t> </w:t>
      </w:r>
      <w:r w:rsidRPr="00345BCE">
        <w:rPr>
          <w:color w:val="000000"/>
          <w:sz w:val="22"/>
          <w:szCs w:val="22"/>
          <w:lang w:bidi="th-TH"/>
        </w:rPr>
        <w:t>mg/kg/nap</w:t>
      </w:r>
      <w:r w:rsidRPr="00345BCE">
        <w:rPr>
          <w:color w:val="000000"/>
          <w:sz w:val="22"/>
          <w:szCs w:val="22"/>
          <w:lang w:bidi="th-TH"/>
        </w:rPr>
        <w:noBreakHyphen/>
        <w:t>os gyermekgyógyászati adag 10</w:t>
      </w:r>
      <w:r w:rsidRPr="00345BCE">
        <w:rPr>
          <w:color w:val="000000"/>
          <w:sz w:val="22"/>
          <w:szCs w:val="22"/>
          <w:lang w:bidi="th-TH"/>
        </w:rPr>
        <w:noBreakHyphen/>
        <w:t>35%</w:t>
      </w:r>
      <w:r w:rsidRPr="00345BCE">
        <w:rPr>
          <w:color w:val="000000"/>
          <w:sz w:val="22"/>
          <w:szCs w:val="22"/>
          <w:lang w:bidi="th-TH"/>
        </w:rPr>
        <w:noBreakHyphen/>
        <w:t>a). Ezek a fent említett hatások az angiotenzin</w:t>
      </w:r>
      <w:r w:rsidR="00AF2DDF">
        <w:rPr>
          <w:color w:val="000000"/>
          <w:sz w:val="22"/>
          <w:szCs w:val="22"/>
          <w:lang w:bidi="th-TH"/>
        </w:rPr>
        <w:noBreakHyphen/>
      </w:r>
      <w:r w:rsidRPr="00345BCE">
        <w:rPr>
          <w:color w:val="000000"/>
          <w:sz w:val="22"/>
          <w:szCs w:val="22"/>
          <w:lang w:bidi="th-TH"/>
        </w:rPr>
        <w:t>konvertáló</w:t>
      </w:r>
      <w:r w:rsidR="00AF2DDF">
        <w:rPr>
          <w:color w:val="000000"/>
          <w:sz w:val="22"/>
          <w:szCs w:val="22"/>
          <w:lang w:bidi="th-TH"/>
        </w:rPr>
        <w:t xml:space="preserve"> </w:t>
      </w:r>
      <w:r w:rsidRPr="00345BCE">
        <w:rPr>
          <w:color w:val="000000"/>
          <w:sz w:val="22"/>
          <w:szCs w:val="22"/>
          <w:lang w:bidi="th-TH"/>
        </w:rPr>
        <w:t>enziminhibitorok és az 1</w:t>
      </w:r>
      <w:r w:rsidRPr="00345BCE">
        <w:rPr>
          <w:color w:val="000000"/>
          <w:sz w:val="22"/>
          <w:szCs w:val="22"/>
          <w:lang w:bidi="th-TH"/>
        </w:rPr>
        <w:noBreakHyphen/>
        <w:t>es</w:t>
      </w:r>
      <w:r w:rsidRPr="00345BCE">
        <w:rPr>
          <w:color w:val="000000"/>
          <w:sz w:val="22"/>
          <w:szCs w:val="22"/>
        </w:rPr>
        <w:t> </w:t>
      </w:r>
      <w:r w:rsidRPr="00345BCE">
        <w:rPr>
          <w:color w:val="000000"/>
          <w:sz w:val="22"/>
          <w:szCs w:val="22"/>
          <w:lang w:bidi="th-TH"/>
        </w:rPr>
        <w:t>típusú angiotenzin</w:t>
      </w:r>
      <w:r w:rsidRPr="00345BCE">
        <w:rPr>
          <w:color w:val="000000"/>
          <w:sz w:val="22"/>
          <w:szCs w:val="22"/>
          <w:lang w:bidi="th-TH"/>
        </w:rPr>
        <w:noBreakHyphen/>
        <w:t>II</w:t>
      </w:r>
      <w:r w:rsidR="002B7DB7">
        <w:rPr>
          <w:color w:val="000000"/>
          <w:sz w:val="22"/>
          <w:szCs w:val="22"/>
          <w:lang w:bidi="th-TH"/>
        </w:rPr>
        <w:t>-</w:t>
      </w:r>
      <w:r w:rsidRPr="00345BCE">
        <w:rPr>
          <w:color w:val="000000"/>
          <w:sz w:val="22"/>
          <w:szCs w:val="22"/>
          <w:lang w:bidi="th-TH"/>
        </w:rPr>
        <w:t xml:space="preserve">blokkolók várható, túlzott farmakológiai hatásait reprezentálják. Ilyen hatásokat akkor észleltek, ha patkányokat az életük első 13 napja alatt kezeltek. Ez az időszak embereknél a 36. gesztációs hétnek felel meg, ami esetenként embernél a fogamzást követő 44. hétig is meghosszabbodhat. A juvenilis vizsgálatban résztvevő patkányoknak a 70. napig adagolták a valzartánt, és a renális maturációra gyakorolt hatásokat </w:t>
      </w:r>
      <w:r w:rsidRPr="00345BCE">
        <w:rPr>
          <w:color w:val="000000"/>
          <w:sz w:val="22"/>
          <w:szCs w:val="22"/>
        </w:rPr>
        <w:t>(postnatalis 4</w:t>
      </w:r>
      <w:r w:rsidRPr="00345BCE">
        <w:rPr>
          <w:color w:val="000000"/>
          <w:sz w:val="22"/>
          <w:szCs w:val="22"/>
        </w:rPr>
        <w:noBreakHyphen/>
        <w:t xml:space="preserve">6. hét) nem tudták kizárni. A funkcionális </w:t>
      </w:r>
      <w:r w:rsidRPr="00345BCE">
        <w:rPr>
          <w:color w:val="000000"/>
          <w:sz w:val="22"/>
          <w:szCs w:val="22"/>
          <w:lang w:bidi="th-TH"/>
        </w:rPr>
        <w:t xml:space="preserve">renális maturáció </w:t>
      </w:r>
      <w:r w:rsidRPr="00345BCE">
        <w:rPr>
          <w:color w:val="000000"/>
          <w:sz w:val="22"/>
          <w:szCs w:val="22"/>
        </w:rPr>
        <w:t>embereknél az első életévben zajló folyamat. Következésképpen ennek klinikai jelentősége az 1 éves kor alatti gyermekeknél nem zárható ki, miközben a preklinikai adatok az 1 évnél idősebb gyermekeknél nem jeleznek semmiféle biztonságossági problémát.</w:t>
      </w:r>
    </w:p>
    <w:p w14:paraId="2B0540D8" w14:textId="77777777" w:rsidR="0031593C" w:rsidRPr="00345BCE" w:rsidRDefault="0031593C" w:rsidP="00C560EC">
      <w:pPr>
        <w:rPr>
          <w:sz w:val="22"/>
          <w:szCs w:val="22"/>
        </w:rPr>
      </w:pPr>
    </w:p>
    <w:p w14:paraId="03956488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153E6284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</w:t>
      </w:r>
      <w:r w:rsidRPr="00345BCE">
        <w:rPr>
          <w:b/>
          <w:sz w:val="22"/>
          <w:szCs w:val="22"/>
        </w:rPr>
        <w:tab/>
        <w:t>GYÓGYSZERÉSZETI JELLEMZŐK</w:t>
      </w:r>
    </w:p>
    <w:p w14:paraId="155622C5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sz w:val="22"/>
          <w:szCs w:val="22"/>
        </w:rPr>
      </w:pPr>
    </w:p>
    <w:p w14:paraId="2480979D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6.1</w:t>
      </w:r>
      <w:r w:rsidRPr="00345BCE">
        <w:rPr>
          <w:b/>
          <w:sz w:val="22"/>
          <w:szCs w:val="22"/>
        </w:rPr>
        <w:tab/>
        <w:t>Segédanyagok felsorolása</w:t>
      </w:r>
    </w:p>
    <w:p w14:paraId="744536C7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</w:p>
    <w:p w14:paraId="1E535AD8" w14:textId="77777777" w:rsidR="003856A2" w:rsidRPr="00345BCE" w:rsidRDefault="003856A2" w:rsidP="00C560EC">
      <w:pPr>
        <w:tabs>
          <w:tab w:val="left" w:pos="567"/>
          <w:tab w:val="left" w:pos="708"/>
        </w:tabs>
        <w:ind w:left="567" w:hanging="567"/>
        <w:rPr>
          <w:i/>
          <w:sz w:val="22"/>
          <w:szCs w:val="22"/>
        </w:rPr>
      </w:pPr>
      <w:r w:rsidRPr="00345BCE">
        <w:rPr>
          <w:i/>
          <w:sz w:val="22"/>
          <w:szCs w:val="22"/>
        </w:rPr>
        <w:t>Tablettamag:</w:t>
      </w:r>
    </w:p>
    <w:p w14:paraId="7ED0CF55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M</w:t>
      </w:r>
      <w:r w:rsidR="002C0A38" w:rsidRPr="00345BCE">
        <w:rPr>
          <w:sz w:val="22"/>
          <w:szCs w:val="22"/>
        </w:rPr>
        <w:t>ikrokristályos cellulóz</w:t>
      </w:r>
    </w:p>
    <w:p w14:paraId="2BAED8EE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K</w:t>
      </w:r>
      <w:r w:rsidR="002C0A38" w:rsidRPr="00345BCE">
        <w:rPr>
          <w:sz w:val="22"/>
          <w:szCs w:val="22"/>
        </w:rPr>
        <w:t>roszpovidon</w:t>
      </w:r>
    </w:p>
    <w:p w14:paraId="6DC4EF69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V</w:t>
      </w:r>
      <w:r w:rsidR="002C0A38" w:rsidRPr="00345BCE">
        <w:rPr>
          <w:sz w:val="22"/>
          <w:szCs w:val="22"/>
        </w:rPr>
        <w:t>ízmentes kolloid szilícium-dioxid</w:t>
      </w:r>
    </w:p>
    <w:p w14:paraId="37217DE4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M</w:t>
      </w:r>
      <w:r w:rsidR="002C0A38" w:rsidRPr="00345BCE">
        <w:rPr>
          <w:sz w:val="22"/>
          <w:szCs w:val="22"/>
        </w:rPr>
        <w:t>agnézium-sztearát</w:t>
      </w:r>
    </w:p>
    <w:p w14:paraId="1AE7594A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</w:p>
    <w:p w14:paraId="38592DF8" w14:textId="77777777" w:rsidR="003856A2" w:rsidRDefault="003856A2" w:rsidP="00C560EC">
      <w:pPr>
        <w:tabs>
          <w:tab w:val="left" w:pos="567"/>
        </w:tabs>
        <w:rPr>
          <w:i/>
          <w:sz w:val="22"/>
          <w:szCs w:val="22"/>
        </w:rPr>
      </w:pPr>
      <w:r w:rsidRPr="00D91645">
        <w:rPr>
          <w:i/>
          <w:sz w:val="22"/>
          <w:szCs w:val="22"/>
        </w:rPr>
        <w:t>Filmbevonat:</w:t>
      </w:r>
    </w:p>
    <w:p w14:paraId="504564E0" w14:textId="77777777" w:rsidR="006E67EA" w:rsidRPr="00DE08A1" w:rsidRDefault="006E67EA" w:rsidP="006E67EA">
      <w:pPr>
        <w:pStyle w:val="Normal1"/>
        <w:tabs>
          <w:tab w:val="left" w:pos="567"/>
        </w:tabs>
        <w:rPr>
          <w:sz w:val="22"/>
          <w:szCs w:val="22"/>
          <w:u w:val="single"/>
        </w:rPr>
      </w:pPr>
      <w:r w:rsidRPr="00DE08A1">
        <w:rPr>
          <w:sz w:val="22"/>
          <w:szCs w:val="22"/>
          <w:u w:val="single"/>
        </w:rPr>
        <w:t>Valsartan Sandoz 80 mg filmtabletta</w:t>
      </w:r>
    </w:p>
    <w:p w14:paraId="113BC0CA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Hipromellóz</w:t>
      </w:r>
    </w:p>
    <w:p w14:paraId="3C5FCFF0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Titán-dioxid (E 171)</w:t>
      </w:r>
    </w:p>
    <w:p w14:paraId="42B8F9C3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Makrogol 8000</w:t>
      </w:r>
    </w:p>
    <w:p w14:paraId="4D5283EF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Vörös vas-oxid (E 172)</w:t>
      </w:r>
    </w:p>
    <w:p w14:paraId="719C3659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Sárga vas-oxid (E 172)</w:t>
      </w:r>
    </w:p>
    <w:p w14:paraId="10DDDBF6" w14:textId="77777777" w:rsidR="004930E0" w:rsidRDefault="004930E0" w:rsidP="00C560EC">
      <w:pPr>
        <w:tabs>
          <w:tab w:val="left" w:pos="567"/>
        </w:tabs>
        <w:rPr>
          <w:sz w:val="22"/>
          <w:szCs w:val="22"/>
        </w:rPr>
      </w:pPr>
    </w:p>
    <w:p w14:paraId="2A4C27F0" w14:textId="77777777" w:rsidR="006E67EA" w:rsidRPr="002B1977" w:rsidRDefault="006E67EA" w:rsidP="006E67EA">
      <w:pPr>
        <w:pStyle w:val="Normal1"/>
        <w:tabs>
          <w:tab w:val="left" w:pos="567"/>
        </w:tabs>
        <w:rPr>
          <w:sz w:val="22"/>
          <w:szCs w:val="22"/>
          <w:u w:val="single"/>
        </w:rPr>
      </w:pPr>
      <w:r w:rsidRPr="002B1977">
        <w:rPr>
          <w:sz w:val="22"/>
          <w:szCs w:val="22"/>
          <w:u w:val="single"/>
        </w:rPr>
        <w:t xml:space="preserve">Valsartan Sandoz </w:t>
      </w:r>
      <w:r>
        <w:rPr>
          <w:sz w:val="22"/>
          <w:szCs w:val="22"/>
          <w:u w:val="single"/>
        </w:rPr>
        <w:t>16</w:t>
      </w:r>
      <w:r w:rsidRPr="002B1977">
        <w:rPr>
          <w:sz w:val="22"/>
          <w:szCs w:val="22"/>
          <w:u w:val="single"/>
        </w:rPr>
        <w:t>0 mg filmtabletta</w:t>
      </w:r>
    </w:p>
    <w:p w14:paraId="46A4E52C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Hipromellóz</w:t>
      </w:r>
    </w:p>
    <w:p w14:paraId="3EF8B1A9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Titán-dioxid (E 171)</w:t>
      </w:r>
    </w:p>
    <w:p w14:paraId="65C470B7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Makrogol 8000</w:t>
      </w:r>
    </w:p>
    <w:p w14:paraId="3C2511E5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Vörös vas-oxid (E 172)</w:t>
      </w:r>
    </w:p>
    <w:p w14:paraId="752C49DE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Sárga vas-oxid (E 172)</w:t>
      </w:r>
    </w:p>
    <w:p w14:paraId="3F1AB505" w14:textId="77777777" w:rsidR="004930E0" w:rsidRPr="00345BCE" w:rsidRDefault="004930E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Fekete vas-oxid (E 172)</w:t>
      </w:r>
    </w:p>
    <w:p w14:paraId="34D8DC7E" w14:textId="77777777" w:rsidR="000A7E88" w:rsidRPr="00345BCE" w:rsidRDefault="000A7E88" w:rsidP="00C560EC">
      <w:pPr>
        <w:tabs>
          <w:tab w:val="left" w:pos="567"/>
        </w:tabs>
        <w:rPr>
          <w:i/>
          <w:sz w:val="22"/>
          <w:szCs w:val="22"/>
        </w:rPr>
      </w:pPr>
    </w:p>
    <w:p w14:paraId="7E8FADD4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6.2</w:t>
      </w:r>
      <w:r w:rsidRPr="00345BCE">
        <w:rPr>
          <w:b/>
          <w:sz w:val="22"/>
          <w:szCs w:val="22"/>
        </w:rPr>
        <w:tab/>
        <w:t>Inkompatibilitások</w:t>
      </w:r>
    </w:p>
    <w:p w14:paraId="690C98F9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</w:p>
    <w:p w14:paraId="23556525" w14:textId="77777777" w:rsidR="000A7E88" w:rsidRPr="00706E72" w:rsidRDefault="000A7E88" w:rsidP="00C560EC">
      <w:pPr>
        <w:tabs>
          <w:tab w:val="left" w:pos="567"/>
        </w:tabs>
        <w:rPr>
          <w:sz w:val="22"/>
          <w:szCs w:val="22"/>
        </w:rPr>
      </w:pPr>
      <w:r w:rsidRPr="00D91645">
        <w:rPr>
          <w:sz w:val="22"/>
          <w:szCs w:val="22"/>
        </w:rPr>
        <w:t xml:space="preserve">Nem </w:t>
      </w:r>
      <w:r w:rsidR="00EE13E2" w:rsidRPr="00706E72">
        <w:rPr>
          <w:sz w:val="22"/>
          <w:szCs w:val="22"/>
        </w:rPr>
        <w:t>értelmezhető</w:t>
      </w:r>
      <w:r w:rsidR="00E848D1" w:rsidRPr="00706E72">
        <w:rPr>
          <w:sz w:val="22"/>
          <w:szCs w:val="22"/>
        </w:rPr>
        <w:t>.</w:t>
      </w:r>
    </w:p>
    <w:p w14:paraId="1E160A5F" w14:textId="77777777" w:rsidR="000A7E88" w:rsidRPr="00706E72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4E988E64" w14:textId="77777777" w:rsidR="000A7E88" w:rsidRPr="00D23D88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D23D88">
        <w:rPr>
          <w:b/>
          <w:sz w:val="22"/>
          <w:szCs w:val="22"/>
        </w:rPr>
        <w:t>6.3</w:t>
      </w:r>
      <w:r w:rsidRPr="00D23D88">
        <w:rPr>
          <w:b/>
          <w:sz w:val="22"/>
          <w:szCs w:val="22"/>
        </w:rPr>
        <w:tab/>
        <w:t>Felhasználhatósági időtartam</w:t>
      </w:r>
    </w:p>
    <w:p w14:paraId="4D9B6ECA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5EF61AC4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3 év</w:t>
      </w:r>
      <w:r w:rsidR="001162F3" w:rsidRPr="00345BCE">
        <w:rPr>
          <w:sz w:val="22"/>
          <w:szCs w:val="22"/>
        </w:rPr>
        <w:t>.</w:t>
      </w:r>
    </w:p>
    <w:p w14:paraId="226DB3D0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597E789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6.4</w:t>
      </w:r>
      <w:r w:rsidRPr="00345BCE">
        <w:rPr>
          <w:b/>
          <w:sz w:val="22"/>
          <w:szCs w:val="22"/>
        </w:rPr>
        <w:tab/>
        <w:t>Különleges tárolási előírások</w:t>
      </w:r>
    </w:p>
    <w:p w14:paraId="0F9A5CB9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</w:p>
    <w:p w14:paraId="2FE3D28A" w14:textId="77777777" w:rsidR="00320DE3" w:rsidRPr="00345BCE" w:rsidRDefault="00320DE3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Legfeljebb 30</w:t>
      </w:r>
      <w:r w:rsidR="006E67EA">
        <w:rPr>
          <w:sz w:val="22"/>
          <w:szCs w:val="22"/>
        </w:rPr>
        <w:t> </w:t>
      </w:r>
      <w:r w:rsidRPr="00345BCE">
        <w:rPr>
          <w:sz w:val="22"/>
          <w:szCs w:val="22"/>
        </w:rPr>
        <w:t>°C-on, a nedvességtől való védelem érdekében az eredeti csomagolásban tárolandó.</w:t>
      </w:r>
    </w:p>
    <w:p w14:paraId="5210CDDA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9B5F63D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6.5</w:t>
      </w:r>
      <w:r w:rsidRPr="00345BCE">
        <w:rPr>
          <w:b/>
          <w:sz w:val="22"/>
          <w:szCs w:val="22"/>
        </w:rPr>
        <w:tab/>
        <w:t xml:space="preserve">Csomagolás típusa és kiszerelése </w:t>
      </w:r>
    </w:p>
    <w:p w14:paraId="04B47E65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</w:p>
    <w:p w14:paraId="1366D4AC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lastRenderedPageBreak/>
        <w:t>PVC/PVDC buborék</w:t>
      </w:r>
      <w:r w:rsidR="00320DE3" w:rsidRPr="00345BCE">
        <w:rPr>
          <w:sz w:val="22"/>
          <w:szCs w:val="22"/>
        </w:rPr>
        <w:t>csomagolás</w:t>
      </w:r>
    </w:p>
    <w:p w14:paraId="6AF99111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PVC/PE/PVDC buborék</w:t>
      </w:r>
      <w:r w:rsidR="00320DE3" w:rsidRPr="00345BCE">
        <w:rPr>
          <w:sz w:val="22"/>
          <w:szCs w:val="22"/>
        </w:rPr>
        <w:t>csomagolás</w:t>
      </w:r>
    </w:p>
    <w:p w14:paraId="033F1711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PA/AL/PVC buborék</w:t>
      </w:r>
      <w:r w:rsidR="00320DE3" w:rsidRPr="00345BCE">
        <w:rPr>
          <w:sz w:val="22"/>
          <w:szCs w:val="22"/>
        </w:rPr>
        <w:t>csomagolás</w:t>
      </w:r>
    </w:p>
    <w:p w14:paraId="26648B38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Minden buborék</w:t>
      </w:r>
      <w:r w:rsidR="00320DE3" w:rsidRPr="00345BCE">
        <w:rPr>
          <w:sz w:val="22"/>
          <w:szCs w:val="22"/>
        </w:rPr>
        <w:t>csomagolás</w:t>
      </w:r>
      <w:r w:rsidRPr="00345BCE">
        <w:rPr>
          <w:sz w:val="22"/>
          <w:szCs w:val="22"/>
        </w:rPr>
        <w:t xml:space="preserve"> hővel lezárt lakkréteggel (vinil/akril) fedett alumínium fóliával van lezárva.</w:t>
      </w:r>
    </w:p>
    <w:p w14:paraId="7A3DA4FB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</w:p>
    <w:p w14:paraId="29EF2686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>Kiszerelés: 7, 10, 14, 15, 20, 28, 30, 50, 50x1, 56, 60, 84, 90, 98, 100 vagy 280 filmtabletta dobozonként.</w:t>
      </w:r>
    </w:p>
    <w:p w14:paraId="56A5A78A" w14:textId="77777777" w:rsidR="003856A2" w:rsidRPr="00345BCE" w:rsidRDefault="003856A2" w:rsidP="00C560EC">
      <w:pPr>
        <w:tabs>
          <w:tab w:val="left" w:pos="567"/>
        </w:tabs>
        <w:rPr>
          <w:sz w:val="22"/>
          <w:szCs w:val="22"/>
        </w:rPr>
      </w:pPr>
    </w:p>
    <w:p w14:paraId="42F84BAE" w14:textId="77777777" w:rsidR="001F6620" w:rsidRPr="00345BCE" w:rsidRDefault="001F6620" w:rsidP="00C560EC">
      <w:pPr>
        <w:tabs>
          <w:tab w:val="left" w:pos="567"/>
        </w:tabs>
        <w:rPr>
          <w:sz w:val="22"/>
          <w:szCs w:val="22"/>
        </w:rPr>
      </w:pPr>
      <w:r w:rsidRPr="00345BCE">
        <w:rPr>
          <w:sz w:val="22"/>
          <w:szCs w:val="22"/>
        </w:rPr>
        <w:t xml:space="preserve">Nem feltétlenül mindegyik kiszerelés kerül </w:t>
      </w:r>
      <w:r w:rsidR="00DD3A30" w:rsidRPr="00345BCE">
        <w:rPr>
          <w:sz w:val="22"/>
          <w:szCs w:val="22"/>
        </w:rPr>
        <w:t xml:space="preserve">kereskedelmi </w:t>
      </w:r>
      <w:r w:rsidRPr="00345BCE">
        <w:rPr>
          <w:sz w:val="22"/>
          <w:szCs w:val="22"/>
        </w:rPr>
        <w:t>forgalomba.</w:t>
      </w:r>
    </w:p>
    <w:p w14:paraId="4A7C2CCD" w14:textId="77777777" w:rsidR="00D57B76" w:rsidRPr="00345BCE" w:rsidRDefault="00D57B76" w:rsidP="00C560EC">
      <w:pPr>
        <w:pStyle w:val="WW-NormlWeb"/>
        <w:tabs>
          <w:tab w:val="left" w:pos="567"/>
          <w:tab w:val="left" w:pos="709"/>
        </w:tabs>
        <w:spacing w:before="0" w:after="0"/>
        <w:rPr>
          <w:sz w:val="22"/>
          <w:szCs w:val="22"/>
          <w:u w:val="single"/>
        </w:rPr>
      </w:pPr>
    </w:p>
    <w:p w14:paraId="18CF7F1B" w14:textId="77777777" w:rsidR="0014267D" w:rsidRPr="00345BCE" w:rsidRDefault="0014267D" w:rsidP="00C560EC">
      <w:pPr>
        <w:tabs>
          <w:tab w:val="left" w:pos="567"/>
        </w:tabs>
        <w:suppressAutoHyphens w:val="0"/>
        <w:autoSpaceDE w:val="0"/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6.6</w:t>
      </w:r>
      <w:r w:rsidRPr="00345BCE">
        <w:rPr>
          <w:b/>
          <w:sz w:val="22"/>
          <w:szCs w:val="22"/>
        </w:rPr>
        <w:tab/>
        <w:t xml:space="preserve">A megsemmisítésre vonatkozó különleges óvintézkedések </w:t>
      </w:r>
      <w:r w:rsidR="006E67EA">
        <w:rPr>
          <w:b/>
          <w:sz w:val="22"/>
          <w:szCs w:val="22"/>
        </w:rPr>
        <w:t>és egyéb, a készítmény kezelésével kapcsolatos információk</w:t>
      </w:r>
    </w:p>
    <w:p w14:paraId="6B4BDEFC" w14:textId="77777777" w:rsidR="000A7E88" w:rsidRPr="00345BCE" w:rsidRDefault="000A7E88" w:rsidP="00C560EC">
      <w:pPr>
        <w:tabs>
          <w:tab w:val="left" w:pos="567"/>
        </w:tabs>
        <w:rPr>
          <w:bCs/>
          <w:sz w:val="22"/>
          <w:szCs w:val="22"/>
        </w:rPr>
      </w:pPr>
    </w:p>
    <w:p w14:paraId="58B661E1" w14:textId="77777777" w:rsidR="00E0454A" w:rsidRPr="00345BCE" w:rsidRDefault="00E54373" w:rsidP="00EF51F9">
      <w:pPr>
        <w:rPr>
          <w:sz w:val="22"/>
          <w:szCs w:val="22"/>
        </w:rPr>
      </w:pPr>
      <w:r w:rsidRPr="00EF51F9">
        <w:rPr>
          <w:sz w:val="22"/>
          <w:szCs w:val="22"/>
        </w:rPr>
        <w:t>Bármilyen fel nem használt gyógyszer, illetve hulladékanyag megsemmisítését a gyógyszerekre vonatkozó előírások szerint kell végrehajtani</w:t>
      </w:r>
      <w:r w:rsidR="00E0454A" w:rsidRPr="00345BCE">
        <w:rPr>
          <w:sz w:val="22"/>
          <w:szCs w:val="22"/>
        </w:rPr>
        <w:t>.</w:t>
      </w:r>
    </w:p>
    <w:p w14:paraId="67D5EA26" w14:textId="77777777" w:rsidR="00C71824" w:rsidRPr="00345BCE" w:rsidRDefault="00C71824" w:rsidP="00C560EC">
      <w:pPr>
        <w:tabs>
          <w:tab w:val="left" w:pos="567"/>
        </w:tabs>
        <w:rPr>
          <w:sz w:val="22"/>
          <w:szCs w:val="22"/>
        </w:rPr>
      </w:pPr>
    </w:p>
    <w:p w14:paraId="1484A5D9" w14:textId="77777777" w:rsidR="00320DE3" w:rsidRPr="00345BCE" w:rsidRDefault="00320DE3" w:rsidP="00C560EC">
      <w:pPr>
        <w:pStyle w:val="Szvegtrzs"/>
        <w:spacing w:after="0"/>
        <w:rPr>
          <w:sz w:val="22"/>
          <w:szCs w:val="22"/>
        </w:rPr>
      </w:pPr>
      <w:r w:rsidRPr="00345BCE">
        <w:rPr>
          <w:b/>
          <w:sz w:val="22"/>
          <w:szCs w:val="22"/>
        </w:rPr>
        <w:t>Megjegyzés:</w:t>
      </w:r>
      <w:r w:rsidRPr="00345BCE">
        <w:rPr>
          <w:sz w:val="22"/>
          <w:szCs w:val="22"/>
        </w:rPr>
        <w:t xml:space="preserve"> </w:t>
      </w:r>
      <w:r w:rsidRPr="00345BCE">
        <w:rPr>
          <w:sz w:val="22"/>
          <w:szCs w:val="22"/>
        </w:rPr>
        <w:sym w:font="Zapf Dingbats" w:char="F058"/>
      </w:r>
      <w:r w:rsidRPr="00345BCE">
        <w:rPr>
          <w:sz w:val="22"/>
          <w:szCs w:val="22"/>
        </w:rPr>
        <w:t xml:space="preserve"> (egy keresztes) </w:t>
      </w:r>
    </w:p>
    <w:p w14:paraId="3FDB3AD7" w14:textId="77777777" w:rsidR="00320DE3" w:rsidRPr="00345BCE" w:rsidRDefault="00320DE3" w:rsidP="00C560EC">
      <w:pPr>
        <w:pStyle w:val="Szvegtrzs"/>
        <w:spacing w:after="0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Osztályozás: II csoport</w:t>
      </w:r>
    </w:p>
    <w:p w14:paraId="586D2F1C" w14:textId="77777777" w:rsidR="00320DE3" w:rsidRPr="00345BCE" w:rsidRDefault="00320DE3" w:rsidP="00C560EC">
      <w:pPr>
        <w:pStyle w:val="Szvegtrzs"/>
        <w:spacing w:after="0"/>
        <w:rPr>
          <w:sz w:val="22"/>
          <w:szCs w:val="22"/>
        </w:rPr>
      </w:pPr>
      <w:r w:rsidRPr="00345BCE">
        <w:rPr>
          <w:sz w:val="22"/>
          <w:szCs w:val="22"/>
        </w:rPr>
        <w:t>Kizárólag orvosi rendelvényhez kötött gyógyszer (V).</w:t>
      </w:r>
    </w:p>
    <w:p w14:paraId="6FB51950" w14:textId="77777777" w:rsidR="003B562B" w:rsidRPr="00345BCE" w:rsidRDefault="003B562B" w:rsidP="00C560EC">
      <w:pPr>
        <w:pStyle w:val="WW-BodyText2"/>
        <w:tabs>
          <w:tab w:val="left" w:pos="567"/>
        </w:tabs>
      </w:pPr>
    </w:p>
    <w:p w14:paraId="11991198" w14:textId="77777777" w:rsidR="00320DE3" w:rsidRPr="00345BCE" w:rsidRDefault="00320DE3" w:rsidP="00C560EC">
      <w:pPr>
        <w:pStyle w:val="WW-BodyText2"/>
        <w:tabs>
          <w:tab w:val="left" w:pos="567"/>
        </w:tabs>
      </w:pPr>
    </w:p>
    <w:p w14:paraId="3844ADB1" w14:textId="77777777" w:rsidR="000A7E88" w:rsidRPr="00345BCE" w:rsidRDefault="000A7E88" w:rsidP="00C560EC">
      <w:pPr>
        <w:pStyle w:val="WW-BodyText2"/>
        <w:tabs>
          <w:tab w:val="left" w:pos="567"/>
        </w:tabs>
        <w:rPr>
          <w:b/>
        </w:rPr>
      </w:pPr>
      <w:r w:rsidRPr="00345BCE">
        <w:rPr>
          <w:b/>
        </w:rPr>
        <w:t>7.</w:t>
      </w:r>
      <w:r w:rsidRPr="00345BCE">
        <w:rPr>
          <w:b/>
        </w:rPr>
        <w:tab/>
        <w:t>A FORGALOMBA HOZATALI ENGEDÉLY JOGOSULTJA</w:t>
      </w:r>
    </w:p>
    <w:p w14:paraId="3DC81EFE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4159B8E3" w14:textId="77777777" w:rsidR="00320DE3" w:rsidRPr="006E67EA" w:rsidRDefault="00320DE3" w:rsidP="00C560EC">
      <w:pPr>
        <w:pStyle w:val="Cmsor1"/>
        <w:rPr>
          <w:i w:val="0"/>
          <w:sz w:val="22"/>
          <w:szCs w:val="22"/>
        </w:rPr>
      </w:pPr>
      <w:r w:rsidRPr="006E67EA">
        <w:rPr>
          <w:i w:val="0"/>
          <w:sz w:val="22"/>
          <w:szCs w:val="22"/>
        </w:rPr>
        <w:t xml:space="preserve">Sandoz Hungária Kft. </w:t>
      </w:r>
    </w:p>
    <w:p w14:paraId="2A16A24D" w14:textId="77777777" w:rsidR="00320DE3" w:rsidRPr="006E67EA" w:rsidRDefault="00320DE3" w:rsidP="00C560EC">
      <w:pPr>
        <w:pStyle w:val="Cmsor1"/>
        <w:rPr>
          <w:i w:val="0"/>
          <w:sz w:val="22"/>
          <w:szCs w:val="22"/>
        </w:rPr>
      </w:pPr>
      <w:r w:rsidRPr="006E67EA">
        <w:rPr>
          <w:i w:val="0"/>
          <w:sz w:val="22"/>
          <w:szCs w:val="22"/>
        </w:rPr>
        <w:t>1114 Budapest, Bartók Béla út 43.-47.</w:t>
      </w:r>
    </w:p>
    <w:p w14:paraId="415D228A" w14:textId="77777777" w:rsidR="006E67EA" w:rsidRPr="006E67EA" w:rsidRDefault="006E67EA" w:rsidP="00DE08A1">
      <w:pPr>
        <w:rPr>
          <w:sz w:val="22"/>
          <w:szCs w:val="22"/>
        </w:rPr>
      </w:pPr>
      <w:r w:rsidRPr="00DE08A1">
        <w:rPr>
          <w:sz w:val="22"/>
          <w:szCs w:val="22"/>
        </w:rPr>
        <w:t>Magyarország</w:t>
      </w:r>
    </w:p>
    <w:p w14:paraId="2D02D54F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60BE14FC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7737E6DA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8.</w:t>
      </w:r>
      <w:r w:rsidRPr="00345BCE">
        <w:rPr>
          <w:b/>
          <w:sz w:val="22"/>
          <w:szCs w:val="22"/>
        </w:rPr>
        <w:tab/>
        <w:t>A FORGALOMBA HOZATALI ENGEDÉLY SZÁMA</w:t>
      </w:r>
      <w:r w:rsidR="003B562B" w:rsidRPr="00345BCE">
        <w:rPr>
          <w:b/>
          <w:sz w:val="22"/>
          <w:szCs w:val="22"/>
        </w:rPr>
        <w:t>I</w:t>
      </w:r>
    </w:p>
    <w:p w14:paraId="36A03B32" w14:textId="77777777" w:rsidR="000A7E88" w:rsidRPr="00345BCE" w:rsidRDefault="000A7E88" w:rsidP="00C560EC">
      <w:pPr>
        <w:tabs>
          <w:tab w:val="left" w:pos="567"/>
          <w:tab w:val="left" w:pos="708"/>
        </w:tabs>
        <w:ind w:left="567" w:hanging="567"/>
        <w:rPr>
          <w:sz w:val="22"/>
          <w:szCs w:val="22"/>
        </w:rPr>
      </w:pPr>
    </w:p>
    <w:p w14:paraId="3C0BCCB3" w14:textId="77777777" w:rsidR="006E67EA" w:rsidRPr="002B1977" w:rsidRDefault="006E67EA" w:rsidP="006E67EA">
      <w:pPr>
        <w:pStyle w:val="Normal1"/>
        <w:tabs>
          <w:tab w:val="left" w:pos="567"/>
        </w:tabs>
        <w:rPr>
          <w:sz w:val="22"/>
          <w:szCs w:val="22"/>
          <w:u w:val="single"/>
        </w:rPr>
      </w:pPr>
      <w:r w:rsidRPr="002B1977">
        <w:rPr>
          <w:sz w:val="22"/>
          <w:szCs w:val="22"/>
          <w:u w:val="single"/>
        </w:rPr>
        <w:t>Valsartan Sandoz 80 mg filmtabletta</w:t>
      </w:r>
    </w:p>
    <w:p w14:paraId="2BB8B935" w14:textId="77777777" w:rsidR="006E67EA" w:rsidRDefault="009277E5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OGYI-T-21402/16</w:t>
      </w:r>
      <w:r w:rsidR="00314ED8">
        <w:rPr>
          <w:sz w:val="22"/>
          <w:szCs w:val="22"/>
        </w:rPr>
        <w:tab/>
        <w:t>28×</w:t>
      </w:r>
      <w:r w:rsidR="00314ED8">
        <w:rPr>
          <w:sz w:val="22"/>
          <w:szCs w:val="22"/>
        </w:rPr>
        <w:tab/>
        <w:t>PVC/PVDC//Al buborékcsomagolásban</w:t>
      </w:r>
    </w:p>
    <w:p w14:paraId="68A5F959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OGYI-T-21402/1</w:t>
      </w:r>
      <w:r>
        <w:rPr>
          <w:sz w:val="22"/>
          <w:szCs w:val="22"/>
        </w:rPr>
        <w:t>7</w:t>
      </w:r>
      <w:r>
        <w:rPr>
          <w:sz w:val="22"/>
          <w:szCs w:val="22"/>
        </w:rPr>
        <w:tab/>
        <w:t>28×</w:t>
      </w:r>
      <w:r>
        <w:rPr>
          <w:sz w:val="22"/>
          <w:szCs w:val="22"/>
        </w:rPr>
        <w:tab/>
        <w:t>PVC/PE/PVDC//Al buborékcsomagolásban</w:t>
      </w:r>
    </w:p>
    <w:p w14:paraId="425BB608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OGYI-T-21402/1</w:t>
      </w:r>
      <w:r>
        <w:rPr>
          <w:sz w:val="22"/>
          <w:szCs w:val="22"/>
        </w:rPr>
        <w:t>8</w:t>
      </w:r>
      <w:r w:rsidR="003572B6">
        <w:rPr>
          <w:sz w:val="22"/>
          <w:szCs w:val="22"/>
        </w:rPr>
        <w:tab/>
        <w:t>28×</w:t>
      </w:r>
      <w:r w:rsidR="003572B6">
        <w:rPr>
          <w:sz w:val="22"/>
          <w:szCs w:val="22"/>
        </w:rPr>
        <w:tab/>
        <w:t>PA/Al/PVC//Al buborékcsomagolásban</w:t>
      </w:r>
    </w:p>
    <w:p w14:paraId="53631D8F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OGYI-T-21402/1</w:t>
      </w:r>
      <w:r>
        <w:rPr>
          <w:sz w:val="22"/>
          <w:szCs w:val="22"/>
        </w:rPr>
        <w:t>9</w:t>
      </w:r>
      <w:r w:rsidR="003572B6">
        <w:rPr>
          <w:sz w:val="22"/>
          <w:szCs w:val="22"/>
        </w:rPr>
        <w:tab/>
        <w:t>30×</w:t>
      </w:r>
      <w:r w:rsidR="003572B6">
        <w:rPr>
          <w:sz w:val="22"/>
          <w:szCs w:val="22"/>
        </w:rPr>
        <w:tab/>
        <w:t>PVC/PVDC//Al buborékcsomagolásban</w:t>
      </w:r>
    </w:p>
    <w:p w14:paraId="1C71C9D3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2</w:t>
      </w:r>
      <w:r w:rsidRPr="00345BCE">
        <w:rPr>
          <w:sz w:val="22"/>
          <w:szCs w:val="22"/>
        </w:rPr>
        <w:t>0</w:t>
      </w:r>
      <w:r w:rsidR="003572B6">
        <w:rPr>
          <w:sz w:val="22"/>
          <w:szCs w:val="22"/>
        </w:rPr>
        <w:tab/>
        <w:t>30×</w:t>
      </w:r>
      <w:r w:rsidR="003572B6">
        <w:rPr>
          <w:sz w:val="22"/>
          <w:szCs w:val="22"/>
        </w:rPr>
        <w:tab/>
        <w:t>PVC/PE/PVDC//Al buborékcsomagolásban</w:t>
      </w:r>
    </w:p>
    <w:p w14:paraId="54585315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2</w:t>
      </w:r>
      <w:r w:rsidRPr="00345BCE">
        <w:rPr>
          <w:sz w:val="22"/>
          <w:szCs w:val="22"/>
        </w:rPr>
        <w:t>1</w:t>
      </w:r>
      <w:r w:rsidR="003572B6">
        <w:rPr>
          <w:sz w:val="22"/>
          <w:szCs w:val="22"/>
        </w:rPr>
        <w:tab/>
        <w:t>30×</w:t>
      </w:r>
      <w:r w:rsidR="003572B6">
        <w:rPr>
          <w:sz w:val="22"/>
          <w:szCs w:val="22"/>
        </w:rPr>
        <w:tab/>
        <w:t>PA/Al/PVC//Al buborékcsomagolásban</w:t>
      </w:r>
    </w:p>
    <w:p w14:paraId="5B7825A4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22</w:t>
      </w:r>
      <w:r w:rsidR="003572B6">
        <w:rPr>
          <w:sz w:val="22"/>
          <w:szCs w:val="22"/>
        </w:rPr>
        <w:tab/>
        <w:t>84×</w:t>
      </w:r>
      <w:r w:rsidR="003572B6">
        <w:rPr>
          <w:sz w:val="22"/>
          <w:szCs w:val="22"/>
        </w:rPr>
        <w:tab/>
        <w:t>PVC/PVDC//Al buborékcsomagolásban</w:t>
      </w:r>
    </w:p>
    <w:p w14:paraId="2B48FCB1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2</w:t>
      </w:r>
      <w:r w:rsidRPr="00345BCE">
        <w:rPr>
          <w:sz w:val="22"/>
          <w:szCs w:val="22"/>
        </w:rPr>
        <w:t>3</w:t>
      </w:r>
      <w:r w:rsidR="003572B6">
        <w:rPr>
          <w:sz w:val="22"/>
          <w:szCs w:val="22"/>
        </w:rPr>
        <w:tab/>
        <w:t>84×</w:t>
      </w:r>
      <w:r w:rsidR="003572B6">
        <w:rPr>
          <w:sz w:val="22"/>
          <w:szCs w:val="22"/>
        </w:rPr>
        <w:tab/>
        <w:t>PVC/PE/PVDC//Al buborékcsomagolásban</w:t>
      </w:r>
    </w:p>
    <w:p w14:paraId="2A12CC4C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24</w:t>
      </w:r>
      <w:r w:rsidR="003572B6">
        <w:rPr>
          <w:sz w:val="22"/>
          <w:szCs w:val="22"/>
        </w:rPr>
        <w:tab/>
        <w:t>84</w:t>
      </w:r>
      <w:r w:rsidR="003572B6">
        <w:rPr>
          <w:sz w:val="22"/>
          <w:szCs w:val="22"/>
        </w:rPr>
        <w:tab/>
        <w:t>PA/Al/PVC//Al buborékcsomagolásban</w:t>
      </w:r>
    </w:p>
    <w:p w14:paraId="2E3449B7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25</w:t>
      </w:r>
      <w:r w:rsidR="003572B6">
        <w:rPr>
          <w:sz w:val="22"/>
          <w:szCs w:val="22"/>
        </w:rPr>
        <w:tab/>
        <w:t>98×</w:t>
      </w:r>
      <w:r w:rsidR="003572B6">
        <w:rPr>
          <w:sz w:val="22"/>
          <w:szCs w:val="22"/>
        </w:rPr>
        <w:tab/>
        <w:t>PVC/PVDC//Al buborékcsomagolásban</w:t>
      </w:r>
    </w:p>
    <w:p w14:paraId="26FCBD9C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2</w:t>
      </w:r>
      <w:r w:rsidRPr="00345BCE">
        <w:rPr>
          <w:sz w:val="22"/>
          <w:szCs w:val="22"/>
        </w:rPr>
        <w:t>6</w:t>
      </w:r>
      <w:r w:rsidR="003572B6">
        <w:rPr>
          <w:sz w:val="22"/>
          <w:szCs w:val="22"/>
        </w:rPr>
        <w:tab/>
        <w:t>98×</w:t>
      </w:r>
      <w:r w:rsidR="003572B6">
        <w:rPr>
          <w:sz w:val="22"/>
          <w:szCs w:val="22"/>
        </w:rPr>
        <w:tab/>
        <w:t>PVC/PE/PVDC//Al buborékcsomagolásban</w:t>
      </w:r>
    </w:p>
    <w:p w14:paraId="4902D221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27</w:t>
      </w:r>
      <w:r w:rsidR="003572B6">
        <w:rPr>
          <w:sz w:val="22"/>
          <w:szCs w:val="22"/>
        </w:rPr>
        <w:tab/>
        <w:t>98×</w:t>
      </w:r>
      <w:r w:rsidR="003572B6">
        <w:rPr>
          <w:sz w:val="22"/>
          <w:szCs w:val="22"/>
        </w:rPr>
        <w:tab/>
        <w:t>PA/Al/PVC//Al buborékcsomagolásban</w:t>
      </w:r>
    </w:p>
    <w:p w14:paraId="0C440845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28</w:t>
      </w:r>
      <w:r w:rsidR="003572B6">
        <w:rPr>
          <w:sz w:val="22"/>
          <w:szCs w:val="22"/>
        </w:rPr>
        <w:tab/>
        <w:t>100×</w:t>
      </w:r>
      <w:r w:rsidR="003572B6">
        <w:rPr>
          <w:sz w:val="22"/>
          <w:szCs w:val="22"/>
        </w:rPr>
        <w:tab/>
        <w:t>PVC/PVDC//Al buborékcsomagolásban</w:t>
      </w:r>
    </w:p>
    <w:p w14:paraId="28FDEF19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29</w:t>
      </w:r>
      <w:r w:rsidR="003572B6">
        <w:rPr>
          <w:sz w:val="22"/>
          <w:szCs w:val="22"/>
        </w:rPr>
        <w:tab/>
        <w:t>100×</w:t>
      </w:r>
      <w:r w:rsidR="003572B6">
        <w:rPr>
          <w:sz w:val="22"/>
          <w:szCs w:val="22"/>
        </w:rPr>
        <w:tab/>
        <w:t>PVC/PE/PVDC//Al buborékcsomagolásban</w:t>
      </w:r>
    </w:p>
    <w:p w14:paraId="30CA561E" w14:textId="77777777" w:rsidR="00314ED8" w:rsidRDefault="00314ED8" w:rsidP="00DE08A1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OGYI-T-21402/30</w:t>
      </w:r>
      <w:r w:rsidR="003572B6">
        <w:rPr>
          <w:sz w:val="22"/>
          <w:szCs w:val="22"/>
        </w:rPr>
        <w:tab/>
        <w:t>100×</w:t>
      </w:r>
      <w:r w:rsidR="003572B6">
        <w:rPr>
          <w:sz w:val="22"/>
          <w:szCs w:val="22"/>
        </w:rPr>
        <w:tab/>
        <w:t>PA/Al/PVC//Al buborékcsomagolásban</w:t>
      </w:r>
    </w:p>
    <w:p w14:paraId="5D56940A" w14:textId="77777777" w:rsidR="009277E5" w:rsidRPr="00345BCE" w:rsidRDefault="009277E5" w:rsidP="00C560EC">
      <w:pPr>
        <w:tabs>
          <w:tab w:val="left" w:pos="567"/>
        </w:tabs>
        <w:rPr>
          <w:sz w:val="22"/>
          <w:szCs w:val="22"/>
        </w:rPr>
      </w:pPr>
    </w:p>
    <w:p w14:paraId="5D7A26FC" w14:textId="77777777" w:rsidR="006E67EA" w:rsidRPr="002B1977" w:rsidRDefault="006E67EA" w:rsidP="006E67EA">
      <w:pPr>
        <w:pStyle w:val="Normal1"/>
        <w:tabs>
          <w:tab w:val="left" w:pos="567"/>
        </w:tabs>
        <w:rPr>
          <w:sz w:val="22"/>
          <w:szCs w:val="22"/>
          <w:u w:val="single"/>
        </w:rPr>
      </w:pPr>
      <w:r w:rsidRPr="002B1977">
        <w:rPr>
          <w:sz w:val="22"/>
          <w:szCs w:val="22"/>
          <w:u w:val="single"/>
        </w:rPr>
        <w:t xml:space="preserve">Valsartan Sandoz </w:t>
      </w:r>
      <w:r>
        <w:rPr>
          <w:sz w:val="22"/>
          <w:szCs w:val="22"/>
          <w:u w:val="single"/>
        </w:rPr>
        <w:t>16</w:t>
      </w:r>
      <w:r w:rsidRPr="002B1977">
        <w:rPr>
          <w:sz w:val="22"/>
          <w:szCs w:val="22"/>
          <w:u w:val="single"/>
        </w:rPr>
        <w:t>0 mg filmtabletta</w:t>
      </w:r>
    </w:p>
    <w:p w14:paraId="32368C35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3</w:t>
      </w:r>
      <w:r w:rsidRPr="00345BCE">
        <w:rPr>
          <w:sz w:val="22"/>
          <w:szCs w:val="22"/>
        </w:rPr>
        <w:t>1</w:t>
      </w:r>
      <w:r>
        <w:rPr>
          <w:sz w:val="22"/>
          <w:szCs w:val="22"/>
        </w:rPr>
        <w:tab/>
        <w:t>28×</w:t>
      </w:r>
      <w:r>
        <w:rPr>
          <w:sz w:val="22"/>
          <w:szCs w:val="22"/>
        </w:rPr>
        <w:tab/>
        <w:t>PVC/PVDC//Al buborékcsomagolásban</w:t>
      </w:r>
    </w:p>
    <w:p w14:paraId="71AD8DFD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>
        <w:rPr>
          <w:sz w:val="22"/>
          <w:szCs w:val="22"/>
        </w:rPr>
        <w:t>OGYI-T-21402/32</w:t>
      </w:r>
      <w:r>
        <w:rPr>
          <w:sz w:val="22"/>
          <w:szCs w:val="22"/>
        </w:rPr>
        <w:tab/>
        <w:t>28×</w:t>
      </w:r>
      <w:r>
        <w:rPr>
          <w:sz w:val="22"/>
          <w:szCs w:val="22"/>
        </w:rPr>
        <w:tab/>
        <w:t>PVC/PE/PVDC//Al buborékcsomagolásban</w:t>
      </w:r>
    </w:p>
    <w:p w14:paraId="2A2D20B7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>
        <w:rPr>
          <w:sz w:val="22"/>
          <w:szCs w:val="22"/>
        </w:rPr>
        <w:t>OGYI-T-21402/33</w:t>
      </w:r>
      <w:r>
        <w:rPr>
          <w:sz w:val="22"/>
          <w:szCs w:val="22"/>
        </w:rPr>
        <w:tab/>
        <w:t>28×</w:t>
      </w:r>
      <w:r>
        <w:rPr>
          <w:sz w:val="22"/>
          <w:szCs w:val="22"/>
        </w:rPr>
        <w:tab/>
        <w:t>PA/Al/PVC//Al buborékcsomagolásban</w:t>
      </w:r>
    </w:p>
    <w:p w14:paraId="204CE56C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>
        <w:rPr>
          <w:sz w:val="22"/>
          <w:szCs w:val="22"/>
        </w:rPr>
        <w:t>OGYI-T-21402/34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  <w:t>PVC/PVDC//Al buborékcsomagolásban</w:t>
      </w:r>
    </w:p>
    <w:p w14:paraId="410A2B03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35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  <w:t>PVC/PE/PVDC//Al buborékcsomagolásban</w:t>
      </w:r>
    </w:p>
    <w:p w14:paraId="3E20F692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36</w:t>
      </w:r>
      <w:r>
        <w:rPr>
          <w:sz w:val="22"/>
          <w:szCs w:val="22"/>
        </w:rPr>
        <w:tab/>
        <w:t>30×</w:t>
      </w:r>
      <w:r>
        <w:rPr>
          <w:sz w:val="22"/>
          <w:szCs w:val="22"/>
        </w:rPr>
        <w:tab/>
        <w:t>PA/Al/PVC//Al buborékcsomagolásban</w:t>
      </w:r>
    </w:p>
    <w:p w14:paraId="11A008C6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37</w:t>
      </w:r>
      <w:r>
        <w:rPr>
          <w:sz w:val="22"/>
          <w:szCs w:val="22"/>
        </w:rPr>
        <w:tab/>
        <w:t>84×</w:t>
      </w:r>
      <w:r>
        <w:rPr>
          <w:sz w:val="22"/>
          <w:szCs w:val="22"/>
        </w:rPr>
        <w:tab/>
        <w:t>PVC/PVDC//Al buborékcsomagolásban</w:t>
      </w:r>
    </w:p>
    <w:p w14:paraId="437D3D37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OGYI-T-21402/3</w:t>
      </w:r>
      <w:r>
        <w:rPr>
          <w:sz w:val="22"/>
          <w:szCs w:val="22"/>
        </w:rPr>
        <w:t>8</w:t>
      </w:r>
      <w:r>
        <w:rPr>
          <w:sz w:val="22"/>
          <w:szCs w:val="22"/>
        </w:rPr>
        <w:tab/>
        <w:t>84×</w:t>
      </w:r>
      <w:r>
        <w:rPr>
          <w:sz w:val="22"/>
          <w:szCs w:val="22"/>
        </w:rPr>
        <w:tab/>
        <w:t>PVC/PE/PVDC//Al buborékcsomagolásban</w:t>
      </w:r>
    </w:p>
    <w:p w14:paraId="36A2440B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lastRenderedPageBreak/>
        <w:t>OGYI-T-21402/</w:t>
      </w:r>
      <w:r>
        <w:rPr>
          <w:sz w:val="22"/>
          <w:szCs w:val="22"/>
        </w:rPr>
        <w:t>39</w:t>
      </w:r>
      <w:r>
        <w:rPr>
          <w:sz w:val="22"/>
          <w:szCs w:val="22"/>
        </w:rPr>
        <w:tab/>
        <w:t>84</w:t>
      </w:r>
      <w:r>
        <w:rPr>
          <w:sz w:val="22"/>
          <w:szCs w:val="22"/>
        </w:rPr>
        <w:tab/>
        <w:t>PA/Al/PVC//Al buborékcsomagolásban</w:t>
      </w:r>
    </w:p>
    <w:p w14:paraId="0A192467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40</w:t>
      </w:r>
      <w:r>
        <w:rPr>
          <w:sz w:val="22"/>
          <w:szCs w:val="22"/>
        </w:rPr>
        <w:tab/>
        <w:t>98×</w:t>
      </w:r>
      <w:r>
        <w:rPr>
          <w:sz w:val="22"/>
          <w:szCs w:val="22"/>
        </w:rPr>
        <w:tab/>
        <w:t>PVC/PVDC//Al buborékcsomagolásban</w:t>
      </w:r>
    </w:p>
    <w:p w14:paraId="0196450F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41</w:t>
      </w:r>
      <w:r>
        <w:rPr>
          <w:sz w:val="22"/>
          <w:szCs w:val="22"/>
        </w:rPr>
        <w:tab/>
        <w:t>98×</w:t>
      </w:r>
      <w:r>
        <w:rPr>
          <w:sz w:val="22"/>
          <w:szCs w:val="22"/>
        </w:rPr>
        <w:tab/>
        <w:t>PVC/PE/PVDC//Al buborékcsomagolásban</w:t>
      </w:r>
    </w:p>
    <w:p w14:paraId="7CE4086B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42</w:t>
      </w:r>
      <w:r>
        <w:rPr>
          <w:sz w:val="22"/>
          <w:szCs w:val="22"/>
        </w:rPr>
        <w:tab/>
        <w:t>98×</w:t>
      </w:r>
      <w:r>
        <w:rPr>
          <w:sz w:val="22"/>
          <w:szCs w:val="22"/>
        </w:rPr>
        <w:tab/>
        <w:t>PA/Al/PVC//Al buborékcsomagolásban</w:t>
      </w:r>
    </w:p>
    <w:p w14:paraId="5323E503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43</w:t>
      </w:r>
      <w:r>
        <w:rPr>
          <w:sz w:val="22"/>
          <w:szCs w:val="22"/>
        </w:rPr>
        <w:tab/>
        <w:t>100×</w:t>
      </w:r>
      <w:r>
        <w:rPr>
          <w:sz w:val="22"/>
          <w:szCs w:val="22"/>
        </w:rPr>
        <w:tab/>
        <w:t>PVC/PVDC//Al buborékcsomagolásban</w:t>
      </w:r>
    </w:p>
    <w:p w14:paraId="231577F0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44</w:t>
      </w:r>
      <w:r>
        <w:rPr>
          <w:sz w:val="22"/>
          <w:szCs w:val="22"/>
        </w:rPr>
        <w:tab/>
        <w:t>100×</w:t>
      </w:r>
      <w:r>
        <w:rPr>
          <w:sz w:val="22"/>
          <w:szCs w:val="22"/>
        </w:rPr>
        <w:tab/>
        <w:t>PVC/PE/PVDC//Al buborékcsomagolásban</w:t>
      </w:r>
    </w:p>
    <w:p w14:paraId="09A6EF7C" w14:textId="77777777" w:rsidR="003572B6" w:rsidRDefault="003572B6" w:rsidP="003572B6">
      <w:pPr>
        <w:tabs>
          <w:tab w:val="left" w:pos="2268"/>
          <w:tab w:val="left" w:pos="2835"/>
        </w:tabs>
        <w:rPr>
          <w:sz w:val="22"/>
          <w:szCs w:val="22"/>
        </w:rPr>
      </w:pPr>
      <w:r w:rsidRPr="00345BCE">
        <w:rPr>
          <w:sz w:val="22"/>
          <w:szCs w:val="22"/>
        </w:rPr>
        <w:t>OGYI-T-21402/</w:t>
      </w:r>
      <w:r>
        <w:rPr>
          <w:sz w:val="22"/>
          <w:szCs w:val="22"/>
        </w:rPr>
        <w:t>45</w:t>
      </w:r>
      <w:r>
        <w:rPr>
          <w:sz w:val="22"/>
          <w:szCs w:val="22"/>
        </w:rPr>
        <w:tab/>
        <w:t>100×</w:t>
      </w:r>
      <w:r>
        <w:rPr>
          <w:sz w:val="22"/>
          <w:szCs w:val="22"/>
        </w:rPr>
        <w:tab/>
        <w:t>PA/Al/PVC//Al buborékcsomagolásban</w:t>
      </w:r>
    </w:p>
    <w:p w14:paraId="643E0B7C" w14:textId="117EB7A8" w:rsidR="009277E5" w:rsidRDefault="009277E5" w:rsidP="00C560EC">
      <w:pPr>
        <w:tabs>
          <w:tab w:val="left" w:pos="567"/>
        </w:tabs>
        <w:rPr>
          <w:sz w:val="22"/>
          <w:szCs w:val="22"/>
        </w:rPr>
      </w:pPr>
    </w:p>
    <w:p w14:paraId="4558720F" w14:textId="77777777" w:rsidR="006F6EF9" w:rsidRPr="00345BCE" w:rsidRDefault="006F6EF9" w:rsidP="00C560EC">
      <w:pPr>
        <w:tabs>
          <w:tab w:val="left" w:pos="567"/>
        </w:tabs>
        <w:rPr>
          <w:sz w:val="22"/>
          <w:szCs w:val="22"/>
        </w:rPr>
      </w:pPr>
    </w:p>
    <w:p w14:paraId="74FC894F" w14:textId="77777777" w:rsidR="000A7E88" w:rsidRPr="00D23D88" w:rsidRDefault="000A7E88" w:rsidP="00C560EC">
      <w:pPr>
        <w:tabs>
          <w:tab w:val="left" w:pos="567"/>
          <w:tab w:val="left" w:pos="708"/>
        </w:tabs>
        <w:ind w:left="567" w:hanging="567"/>
        <w:rPr>
          <w:b/>
          <w:bCs/>
          <w:sz w:val="22"/>
          <w:szCs w:val="22"/>
        </w:rPr>
      </w:pPr>
      <w:r w:rsidRPr="00D23D88">
        <w:rPr>
          <w:b/>
          <w:bCs/>
          <w:sz w:val="22"/>
          <w:szCs w:val="22"/>
        </w:rPr>
        <w:t>9.</w:t>
      </w:r>
      <w:r w:rsidRPr="00D23D88">
        <w:rPr>
          <w:b/>
          <w:bCs/>
          <w:sz w:val="22"/>
          <w:szCs w:val="22"/>
        </w:rPr>
        <w:tab/>
        <w:t>A FORGALOMBA HOZATALI ENGEDÉLY ELSŐ KIADÁSÁNAK/ MEGÚJÍTÁSÁNAK DÁTUMA</w:t>
      </w:r>
    </w:p>
    <w:p w14:paraId="172C916A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23D350C6" w14:textId="77777777" w:rsidR="001D1D3E" w:rsidRPr="005D1A01" w:rsidRDefault="00CD2C02" w:rsidP="00C560EC">
      <w:pPr>
        <w:tabs>
          <w:tab w:val="left" w:pos="567"/>
        </w:tabs>
        <w:rPr>
          <w:sz w:val="22"/>
          <w:szCs w:val="22"/>
        </w:rPr>
      </w:pPr>
      <w:r w:rsidRPr="00DE08A1">
        <w:rPr>
          <w:rFonts w:eastAsia="Times New Roman"/>
          <w:noProof/>
          <w:sz w:val="22"/>
          <w:szCs w:val="22"/>
          <w:lang w:eastAsia="en-US"/>
        </w:rPr>
        <w:t>A forgalomba hozatali engedély első kiadásának dátuma</w:t>
      </w:r>
      <w:r w:rsidRPr="005D1A01">
        <w:rPr>
          <w:sz w:val="22"/>
          <w:szCs w:val="22"/>
        </w:rPr>
        <w:t xml:space="preserve">: </w:t>
      </w:r>
      <w:r w:rsidR="00356979" w:rsidRPr="005D1A01">
        <w:rPr>
          <w:sz w:val="22"/>
          <w:szCs w:val="22"/>
        </w:rPr>
        <w:t>2010. augusztus 12.</w:t>
      </w:r>
    </w:p>
    <w:p w14:paraId="7CCE776B" w14:textId="77777777" w:rsidR="00923104" w:rsidRPr="00B808C5" w:rsidRDefault="00923104" w:rsidP="00C560EC">
      <w:pPr>
        <w:tabs>
          <w:tab w:val="left" w:pos="567"/>
        </w:tabs>
        <w:rPr>
          <w:sz w:val="22"/>
          <w:szCs w:val="22"/>
        </w:rPr>
      </w:pPr>
    </w:p>
    <w:p w14:paraId="17C84C9E" w14:textId="77777777" w:rsidR="00356979" w:rsidRDefault="00E91EF1" w:rsidP="00C560EC">
      <w:pPr>
        <w:tabs>
          <w:tab w:val="left" w:pos="567"/>
        </w:tabs>
        <w:rPr>
          <w:sz w:val="22"/>
          <w:szCs w:val="22"/>
        </w:rPr>
      </w:pPr>
      <w:r w:rsidRPr="00E91EF1">
        <w:rPr>
          <w:sz w:val="22"/>
          <w:szCs w:val="22"/>
        </w:rPr>
        <w:t>A forgalomba hozatali engedély legutóbbi megújításának dátuma: 201</w:t>
      </w:r>
      <w:r w:rsidR="00923104">
        <w:rPr>
          <w:sz w:val="22"/>
          <w:szCs w:val="22"/>
        </w:rPr>
        <w:t>7</w:t>
      </w:r>
      <w:r w:rsidR="00B0458C">
        <w:rPr>
          <w:sz w:val="22"/>
          <w:szCs w:val="22"/>
        </w:rPr>
        <w:t>.</w:t>
      </w:r>
      <w:r w:rsidR="00923104">
        <w:rPr>
          <w:sz w:val="22"/>
          <w:szCs w:val="22"/>
        </w:rPr>
        <w:t xml:space="preserve"> </w:t>
      </w:r>
      <w:r w:rsidR="009E77DA">
        <w:rPr>
          <w:sz w:val="22"/>
          <w:szCs w:val="22"/>
        </w:rPr>
        <w:t>január 10.</w:t>
      </w:r>
    </w:p>
    <w:p w14:paraId="7A300FE7" w14:textId="77777777" w:rsidR="00923104" w:rsidRPr="00F10AEE" w:rsidRDefault="00923104" w:rsidP="00C560EC">
      <w:pPr>
        <w:tabs>
          <w:tab w:val="left" w:pos="567"/>
        </w:tabs>
        <w:rPr>
          <w:sz w:val="22"/>
          <w:szCs w:val="22"/>
        </w:rPr>
      </w:pPr>
    </w:p>
    <w:p w14:paraId="20DF0E33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283088FB" w14:textId="77777777" w:rsidR="000A7E88" w:rsidRPr="00345BCE" w:rsidRDefault="000A7E88" w:rsidP="00C560EC">
      <w:pPr>
        <w:tabs>
          <w:tab w:val="left" w:pos="567"/>
        </w:tabs>
        <w:rPr>
          <w:b/>
          <w:sz w:val="22"/>
          <w:szCs w:val="22"/>
        </w:rPr>
      </w:pPr>
      <w:r w:rsidRPr="00345BCE">
        <w:rPr>
          <w:b/>
          <w:sz w:val="22"/>
          <w:szCs w:val="22"/>
        </w:rPr>
        <w:t>10.</w:t>
      </w:r>
      <w:r w:rsidRPr="00345BCE">
        <w:rPr>
          <w:b/>
          <w:sz w:val="22"/>
          <w:szCs w:val="22"/>
        </w:rPr>
        <w:tab/>
        <w:t>A SZÖVEG ELLENŐRZÉSÉNEK DÁTUMA</w:t>
      </w:r>
    </w:p>
    <w:p w14:paraId="6903BF7A" w14:textId="77777777" w:rsidR="000A7E88" w:rsidRPr="00345BCE" w:rsidRDefault="000A7E88" w:rsidP="00C560EC">
      <w:pPr>
        <w:tabs>
          <w:tab w:val="left" w:pos="567"/>
        </w:tabs>
        <w:rPr>
          <w:sz w:val="22"/>
          <w:szCs w:val="22"/>
        </w:rPr>
      </w:pPr>
    </w:p>
    <w:p w14:paraId="4FD5914C" w14:textId="06F835C4" w:rsidR="000A7E88" w:rsidRPr="00D91645" w:rsidRDefault="006F3378" w:rsidP="00C560EC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2026. </w:t>
      </w:r>
      <w:r w:rsidR="00750A64">
        <w:rPr>
          <w:sz w:val="22"/>
          <w:szCs w:val="22"/>
        </w:rPr>
        <w:t>június 29.</w:t>
      </w:r>
    </w:p>
    <w:sectPr w:rsidR="000A7E88" w:rsidRPr="00D91645" w:rsidSect="00DE08A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8D1098C" w16cid:durableId="18D1098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6A808" w14:textId="77777777" w:rsidR="00BD3CDF" w:rsidRDefault="00BD3CDF">
      <w:r>
        <w:separator/>
      </w:r>
    </w:p>
  </w:endnote>
  <w:endnote w:type="continuationSeparator" w:id="0">
    <w:p w14:paraId="67F51131" w14:textId="77777777" w:rsidR="00BD3CDF" w:rsidRDefault="00BD3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G Mincho Light J">
    <w:altName w:val="Times New Roman"/>
    <w:charset w:val="00"/>
    <w:family w:val="auto"/>
    <w:pitch w:val="variable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Zapf Dingbats">
    <w:altName w:val="Wingdings"/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3EB0E" w14:textId="77777777" w:rsidR="0040428E" w:rsidRDefault="0040428E" w:rsidP="00174AC1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15D44F6" w14:textId="77777777" w:rsidR="0040428E" w:rsidRDefault="0040428E" w:rsidP="00174AC1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D349F1" w14:textId="77777777" w:rsidR="0040428E" w:rsidRPr="00CA0EC7" w:rsidRDefault="0040428E" w:rsidP="00174AC1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4DEFD2" w14:textId="77777777" w:rsidR="0040428E" w:rsidRDefault="0040428E" w:rsidP="0040428E">
    <w:pPr>
      <w:pStyle w:val="llb"/>
      <w:rPr>
        <w:sz w:val="18"/>
        <w:szCs w:val="18"/>
      </w:rPr>
    </w:pPr>
    <w:r>
      <w:rPr>
        <w:sz w:val="18"/>
        <w:szCs w:val="18"/>
      </w:rPr>
      <w:t>NNGYK/ETGY/17205/2026</w:t>
    </w:r>
  </w:p>
  <w:p w14:paraId="563C9509" w14:textId="5D61FF54" w:rsidR="0040428E" w:rsidRPr="0072754E" w:rsidRDefault="0040428E" w:rsidP="007A253B">
    <w:pPr>
      <w:pStyle w:val="llb"/>
      <w:rPr>
        <w:sz w:val="18"/>
        <w:szCs w:val="18"/>
      </w:rPr>
    </w:pPr>
    <w:r>
      <w:rPr>
        <w:sz w:val="18"/>
        <w:szCs w:val="18"/>
      </w:rPr>
      <w:t>NNGYK/ETGY/17206/2026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3C8E95" w14:textId="77777777" w:rsidR="00BD3CDF" w:rsidRDefault="00BD3CDF">
      <w:r>
        <w:separator/>
      </w:r>
    </w:p>
  </w:footnote>
  <w:footnote w:type="continuationSeparator" w:id="0">
    <w:p w14:paraId="7BF077CB" w14:textId="77777777" w:rsidR="00BD3CDF" w:rsidRDefault="00BD3C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5C5A9" w14:textId="77777777" w:rsidR="0040428E" w:rsidRDefault="0040428E" w:rsidP="003D2D6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72CCC51" w14:textId="77777777" w:rsidR="0040428E" w:rsidRDefault="0040428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1F96D" w14:textId="21972D71" w:rsidR="0040428E" w:rsidRPr="00EA240F" w:rsidRDefault="0040428E" w:rsidP="00F419A8">
    <w:pPr>
      <w:pStyle w:val="lfej"/>
      <w:jc w:val="center"/>
      <w:rPr>
        <w:sz w:val="18"/>
        <w:szCs w:val="18"/>
      </w:rPr>
    </w:pPr>
    <w:r w:rsidRPr="00C560EC">
      <w:rPr>
        <w:sz w:val="18"/>
        <w:szCs w:val="18"/>
      </w:rPr>
      <w:fldChar w:fldCharType="begin"/>
    </w:r>
    <w:r w:rsidRPr="00C560EC">
      <w:rPr>
        <w:sz w:val="18"/>
        <w:szCs w:val="18"/>
      </w:rPr>
      <w:instrText xml:space="preserve"> PAGE   \* MERGEFORMAT </w:instrText>
    </w:r>
    <w:r w:rsidRPr="00C560EC">
      <w:rPr>
        <w:sz w:val="18"/>
        <w:szCs w:val="18"/>
      </w:rPr>
      <w:fldChar w:fldCharType="separate"/>
    </w:r>
    <w:r w:rsidR="002D680A">
      <w:rPr>
        <w:noProof/>
        <w:sz w:val="18"/>
        <w:szCs w:val="18"/>
      </w:rPr>
      <w:t>18</w:t>
    </w:r>
    <w:r w:rsidRPr="00C560EC">
      <w:rPr>
        <w:noProof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14C16029"/>
    <w:multiLevelType w:val="hybridMultilevel"/>
    <w:tmpl w:val="B748CDE4"/>
    <w:lvl w:ilvl="0" w:tplc="2DD80EDA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15081339"/>
    <w:multiLevelType w:val="hybridMultilevel"/>
    <w:tmpl w:val="37DA05B6"/>
    <w:lvl w:ilvl="0" w:tplc="C8B0A402">
      <w:start w:val="1"/>
      <w:numFmt w:val="bullet"/>
      <w:lvlText w:val="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24C5465B"/>
    <w:multiLevelType w:val="multilevel"/>
    <w:tmpl w:val="37DA05B6"/>
    <w:lvl w:ilvl="0">
      <w:start w:val="1"/>
      <w:numFmt w:val="bullet"/>
      <w:lvlText w:val="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6" w15:restartNumberingAfterBreak="0">
    <w:nsid w:val="384B5E3A"/>
    <w:multiLevelType w:val="hybridMultilevel"/>
    <w:tmpl w:val="39C0D252"/>
    <w:lvl w:ilvl="0" w:tplc="9B30F854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634E9F"/>
    <w:multiLevelType w:val="hybridMultilevel"/>
    <w:tmpl w:val="CC046DAA"/>
    <w:lvl w:ilvl="0" w:tplc="1E1A440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u w:val="none" w:color="00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109F4"/>
    <w:multiLevelType w:val="hybridMultilevel"/>
    <w:tmpl w:val="225A208A"/>
    <w:lvl w:ilvl="0" w:tplc="1212C39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9" w15:restartNumberingAfterBreak="0">
    <w:nsid w:val="6A034693"/>
    <w:multiLevelType w:val="hybridMultilevel"/>
    <w:tmpl w:val="549C6D34"/>
    <w:lvl w:ilvl="0" w:tplc="90323B32">
      <w:start w:val="1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Lucida Sans Unicode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902FA1"/>
    <w:multiLevelType w:val="hybridMultilevel"/>
    <w:tmpl w:val="9A74BA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0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8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5B1"/>
    <w:rsid w:val="00001928"/>
    <w:rsid w:val="00001DCA"/>
    <w:rsid w:val="000024D1"/>
    <w:rsid w:val="00005310"/>
    <w:rsid w:val="00006B58"/>
    <w:rsid w:val="000076C8"/>
    <w:rsid w:val="000122BA"/>
    <w:rsid w:val="000134A0"/>
    <w:rsid w:val="00015734"/>
    <w:rsid w:val="0002189C"/>
    <w:rsid w:val="00023DF9"/>
    <w:rsid w:val="000245A2"/>
    <w:rsid w:val="00025355"/>
    <w:rsid w:val="00026BDC"/>
    <w:rsid w:val="00031FBD"/>
    <w:rsid w:val="00032186"/>
    <w:rsid w:val="000334F5"/>
    <w:rsid w:val="00037457"/>
    <w:rsid w:val="0004249B"/>
    <w:rsid w:val="00047C65"/>
    <w:rsid w:val="0005777E"/>
    <w:rsid w:val="0006166A"/>
    <w:rsid w:val="00062914"/>
    <w:rsid w:val="00071226"/>
    <w:rsid w:val="000720D3"/>
    <w:rsid w:val="0007553A"/>
    <w:rsid w:val="0007796D"/>
    <w:rsid w:val="0008000D"/>
    <w:rsid w:val="00080734"/>
    <w:rsid w:val="00081DAC"/>
    <w:rsid w:val="000822DD"/>
    <w:rsid w:val="00082878"/>
    <w:rsid w:val="00083347"/>
    <w:rsid w:val="00085665"/>
    <w:rsid w:val="00090B17"/>
    <w:rsid w:val="000A5BD1"/>
    <w:rsid w:val="000A7E88"/>
    <w:rsid w:val="000B0D21"/>
    <w:rsid w:val="000B0F2A"/>
    <w:rsid w:val="000B3290"/>
    <w:rsid w:val="000B46FF"/>
    <w:rsid w:val="000B4E0A"/>
    <w:rsid w:val="000B5411"/>
    <w:rsid w:val="000B5494"/>
    <w:rsid w:val="000C6C9B"/>
    <w:rsid w:val="000C7C51"/>
    <w:rsid w:val="000D1A59"/>
    <w:rsid w:val="000D294B"/>
    <w:rsid w:val="000E06B3"/>
    <w:rsid w:val="000E19C2"/>
    <w:rsid w:val="000E1F67"/>
    <w:rsid w:val="000F1BA5"/>
    <w:rsid w:val="000F3736"/>
    <w:rsid w:val="000F48FB"/>
    <w:rsid w:val="00102A9E"/>
    <w:rsid w:val="0010413C"/>
    <w:rsid w:val="0010551A"/>
    <w:rsid w:val="001131B3"/>
    <w:rsid w:val="00114567"/>
    <w:rsid w:val="001162F3"/>
    <w:rsid w:val="00116CBC"/>
    <w:rsid w:val="001218F4"/>
    <w:rsid w:val="00127A61"/>
    <w:rsid w:val="00127BBF"/>
    <w:rsid w:val="001334CE"/>
    <w:rsid w:val="00136924"/>
    <w:rsid w:val="0014267D"/>
    <w:rsid w:val="0014272B"/>
    <w:rsid w:val="00145C99"/>
    <w:rsid w:val="00151ED1"/>
    <w:rsid w:val="0015303D"/>
    <w:rsid w:val="0015432A"/>
    <w:rsid w:val="0015683C"/>
    <w:rsid w:val="00161A6B"/>
    <w:rsid w:val="001627F8"/>
    <w:rsid w:val="00163E70"/>
    <w:rsid w:val="001720A5"/>
    <w:rsid w:val="00174AC1"/>
    <w:rsid w:val="00174F3C"/>
    <w:rsid w:val="0018090A"/>
    <w:rsid w:val="001902F4"/>
    <w:rsid w:val="001918C6"/>
    <w:rsid w:val="001A4B6D"/>
    <w:rsid w:val="001A5BA3"/>
    <w:rsid w:val="001B08D1"/>
    <w:rsid w:val="001B143F"/>
    <w:rsid w:val="001B620C"/>
    <w:rsid w:val="001B662C"/>
    <w:rsid w:val="001C285A"/>
    <w:rsid w:val="001C2BD7"/>
    <w:rsid w:val="001D1D3E"/>
    <w:rsid w:val="001D32E4"/>
    <w:rsid w:val="001D7712"/>
    <w:rsid w:val="001E1F27"/>
    <w:rsid w:val="001E68DE"/>
    <w:rsid w:val="001F0171"/>
    <w:rsid w:val="001F1F6D"/>
    <w:rsid w:val="001F39B9"/>
    <w:rsid w:val="001F3DEB"/>
    <w:rsid w:val="001F6620"/>
    <w:rsid w:val="00201DDC"/>
    <w:rsid w:val="00205138"/>
    <w:rsid w:val="00206B9F"/>
    <w:rsid w:val="0020736C"/>
    <w:rsid w:val="00217D3B"/>
    <w:rsid w:val="002227D3"/>
    <w:rsid w:val="00225903"/>
    <w:rsid w:val="00225992"/>
    <w:rsid w:val="00230A70"/>
    <w:rsid w:val="00230BEB"/>
    <w:rsid w:val="002321C3"/>
    <w:rsid w:val="002328C2"/>
    <w:rsid w:val="00240CB9"/>
    <w:rsid w:val="002433A3"/>
    <w:rsid w:val="00243556"/>
    <w:rsid w:val="0024553B"/>
    <w:rsid w:val="00256F57"/>
    <w:rsid w:val="0025785A"/>
    <w:rsid w:val="00270DDA"/>
    <w:rsid w:val="00275948"/>
    <w:rsid w:val="002762F5"/>
    <w:rsid w:val="00280771"/>
    <w:rsid w:val="00280F36"/>
    <w:rsid w:val="00283AC5"/>
    <w:rsid w:val="00286111"/>
    <w:rsid w:val="002907FC"/>
    <w:rsid w:val="00291880"/>
    <w:rsid w:val="00294B67"/>
    <w:rsid w:val="002964C0"/>
    <w:rsid w:val="0029763B"/>
    <w:rsid w:val="002A1A0A"/>
    <w:rsid w:val="002A50E6"/>
    <w:rsid w:val="002B0D7D"/>
    <w:rsid w:val="002B0F9D"/>
    <w:rsid w:val="002B5336"/>
    <w:rsid w:val="002B7C69"/>
    <w:rsid w:val="002B7D5C"/>
    <w:rsid w:val="002B7DB7"/>
    <w:rsid w:val="002C0A38"/>
    <w:rsid w:val="002C40A2"/>
    <w:rsid w:val="002C518D"/>
    <w:rsid w:val="002C5D5F"/>
    <w:rsid w:val="002C7571"/>
    <w:rsid w:val="002D680A"/>
    <w:rsid w:val="002E2173"/>
    <w:rsid w:val="002F21E3"/>
    <w:rsid w:val="002F38B7"/>
    <w:rsid w:val="002F5BD2"/>
    <w:rsid w:val="002F7971"/>
    <w:rsid w:val="002F7E88"/>
    <w:rsid w:val="00304828"/>
    <w:rsid w:val="0031228F"/>
    <w:rsid w:val="00314ED8"/>
    <w:rsid w:val="0031593C"/>
    <w:rsid w:val="00320DE3"/>
    <w:rsid w:val="00320E0E"/>
    <w:rsid w:val="003230C2"/>
    <w:rsid w:val="00331013"/>
    <w:rsid w:val="00337BAA"/>
    <w:rsid w:val="003416C4"/>
    <w:rsid w:val="00342164"/>
    <w:rsid w:val="00345BCE"/>
    <w:rsid w:val="00346645"/>
    <w:rsid w:val="00347F79"/>
    <w:rsid w:val="00353FF9"/>
    <w:rsid w:val="00354600"/>
    <w:rsid w:val="00355A5E"/>
    <w:rsid w:val="00356979"/>
    <w:rsid w:val="003572B6"/>
    <w:rsid w:val="0035770F"/>
    <w:rsid w:val="00357CC2"/>
    <w:rsid w:val="00357DAE"/>
    <w:rsid w:val="00361F03"/>
    <w:rsid w:val="00363528"/>
    <w:rsid w:val="0036615E"/>
    <w:rsid w:val="003759FB"/>
    <w:rsid w:val="0038161D"/>
    <w:rsid w:val="003848D6"/>
    <w:rsid w:val="003856A2"/>
    <w:rsid w:val="003879DD"/>
    <w:rsid w:val="00392658"/>
    <w:rsid w:val="00393667"/>
    <w:rsid w:val="00394363"/>
    <w:rsid w:val="00394882"/>
    <w:rsid w:val="00394B79"/>
    <w:rsid w:val="00396E39"/>
    <w:rsid w:val="003A1345"/>
    <w:rsid w:val="003A3A58"/>
    <w:rsid w:val="003A3B91"/>
    <w:rsid w:val="003A5F35"/>
    <w:rsid w:val="003B293D"/>
    <w:rsid w:val="003B562B"/>
    <w:rsid w:val="003B74CE"/>
    <w:rsid w:val="003C0146"/>
    <w:rsid w:val="003C16DA"/>
    <w:rsid w:val="003D2D6C"/>
    <w:rsid w:val="003E0BE4"/>
    <w:rsid w:val="003E13B9"/>
    <w:rsid w:val="003E659B"/>
    <w:rsid w:val="003F18BA"/>
    <w:rsid w:val="003F1A0A"/>
    <w:rsid w:val="003F66A1"/>
    <w:rsid w:val="00402EC9"/>
    <w:rsid w:val="004034A8"/>
    <w:rsid w:val="0040428E"/>
    <w:rsid w:val="00404DC8"/>
    <w:rsid w:val="004052A0"/>
    <w:rsid w:val="00411310"/>
    <w:rsid w:val="00414A1C"/>
    <w:rsid w:val="00414C40"/>
    <w:rsid w:val="00424265"/>
    <w:rsid w:val="00431A09"/>
    <w:rsid w:val="004323DF"/>
    <w:rsid w:val="00433077"/>
    <w:rsid w:val="00433886"/>
    <w:rsid w:val="00441150"/>
    <w:rsid w:val="0044317B"/>
    <w:rsid w:val="004438EE"/>
    <w:rsid w:val="00443C9A"/>
    <w:rsid w:val="00444AB2"/>
    <w:rsid w:val="00444AF6"/>
    <w:rsid w:val="0045012F"/>
    <w:rsid w:val="00450388"/>
    <w:rsid w:val="00450DDB"/>
    <w:rsid w:val="00452038"/>
    <w:rsid w:val="004567AE"/>
    <w:rsid w:val="00463673"/>
    <w:rsid w:val="004650A7"/>
    <w:rsid w:val="00465A4C"/>
    <w:rsid w:val="00467B19"/>
    <w:rsid w:val="00470A41"/>
    <w:rsid w:val="00477037"/>
    <w:rsid w:val="00477934"/>
    <w:rsid w:val="00483A53"/>
    <w:rsid w:val="00485477"/>
    <w:rsid w:val="004859F1"/>
    <w:rsid w:val="00491DD8"/>
    <w:rsid w:val="004930E0"/>
    <w:rsid w:val="00493941"/>
    <w:rsid w:val="004972CE"/>
    <w:rsid w:val="004A25AD"/>
    <w:rsid w:val="004A2654"/>
    <w:rsid w:val="004A5EC2"/>
    <w:rsid w:val="004A6AAD"/>
    <w:rsid w:val="004B2775"/>
    <w:rsid w:val="004B4002"/>
    <w:rsid w:val="004B4318"/>
    <w:rsid w:val="004B4B42"/>
    <w:rsid w:val="004B7A11"/>
    <w:rsid w:val="004B7D6A"/>
    <w:rsid w:val="004C3409"/>
    <w:rsid w:val="004C76FE"/>
    <w:rsid w:val="004D0000"/>
    <w:rsid w:val="004D0474"/>
    <w:rsid w:val="004D193E"/>
    <w:rsid w:val="004D675D"/>
    <w:rsid w:val="004D6CCA"/>
    <w:rsid w:val="004D7996"/>
    <w:rsid w:val="004E703F"/>
    <w:rsid w:val="004F1486"/>
    <w:rsid w:val="004F268B"/>
    <w:rsid w:val="004F3845"/>
    <w:rsid w:val="004F4186"/>
    <w:rsid w:val="004F5E0D"/>
    <w:rsid w:val="00501CAF"/>
    <w:rsid w:val="00502D9F"/>
    <w:rsid w:val="00507BE8"/>
    <w:rsid w:val="00507D16"/>
    <w:rsid w:val="005100C1"/>
    <w:rsid w:val="00513BDA"/>
    <w:rsid w:val="00515C62"/>
    <w:rsid w:val="00515F77"/>
    <w:rsid w:val="0051702A"/>
    <w:rsid w:val="005211FA"/>
    <w:rsid w:val="00533E6F"/>
    <w:rsid w:val="0053461E"/>
    <w:rsid w:val="0053494D"/>
    <w:rsid w:val="00542311"/>
    <w:rsid w:val="005445AB"/>
    <w:rsid w:val="00555B9A"/>
    <w:rsid w:val="00561F90"/>
    <w:rsid w:val="00565382"/>
    <w:rsid w:val="00571EFA"/>
    <w:rsid w:val="00573067"/>
    <w:rsid w:val="005760F3"/>
    <w:rsid w:val="00580B60"/>
    <w:rsid w:val="005818AA"/>
    <w:rsid w:val="00581F18"/>
    <w:rsid w:val="00582120"/>
    <w:rsid w:val="005824A0"/>
    <w:rsid w:val="0058264E"/>
    <w:rsid w:val="0058519C"/>
    <w:rsid w:val="00591469"/>
    <w:rsid w:val="00595BDF"/>
    <w:rsid w:val="00596242"/>
    <w:rsid w:val="005A5244"/>
    <w:rsid w:val="005A65B5"/>
    <w:rsid w:val="005B2E6B"/>
    <w:rsid w:val="005B4F80"/>
    <w:rsid w:val="005D1A01"/>
    <w:rsid w:val="005D2850"/>
    <w:rsid w:val="005D695F"/>
    <w:rsid w:val="005E0522"/>
    <w:rsid w:val="005E0C76"/>
    <w:rsid w:val="005E1A32"/>
    <w:rsid w:val="005E289E"/>
    <w:rsid w:val="005E3BE0"/>
    <w:rsid w:val="00600A03"/>
    <w:rsid w:val="00603787"/>
    <w:rsid w:val="00606589"/>
    <w:rsid w:val="00610002"/>
    <w:rsid w:val="00614020"/>
    <w:rsid w:val="00621896"/>
    <w:rsid w:val="00622BF2"/>
    <w:rsid w:val="00623F0D"/>
    <w:rsid w:val="00626106"/>
    <w:rsid w:val="00627B0C"/>
    <w:rsid w:val="00630D4E"/>
    <w:rsid w:val="00640ED7"/>
    <w:rsid w:val="0064149B"/>
    <w:rsid w:val="006415BD"/>
    <w:rsid w:val="00641BBA"/>
    <w:rsid w:val="00641EA4"/>
    <w:rsid w:val="006513EE"/>
    <w:rsid w:val="00653B34"/>
    <w:rsid w:val="00655925"/>
    <w:rsid w:val="0065729C"/>
    <w:rsid w:val="006576B2"/>
    <w:rsid w:val="00664640"/>
    <w:rsid w:val="00665877"/>
    <w:rsid w:val="00666A5A"/>
    <w:rsid w:val="00667AD3"/>
    <w:rsid w:val="006747AA"/>
    <w:rsid w:val="006765B1"/>
    <w:rsid w:val="00685319"/>
    <w:rsid w:val="00686775"/>
    <w:rsid w:val="006A1949"/>
    <w:rsid w:val="006A3C6E"/>
    <w:rsid w:val="006A5AB0"/>
    <w:rsid w:val="006A6133"/>
    <w:rsid w:val="006B096E"/>
    <w:rsid w:val="006B4D36"/>
    <w:rsid w:val="006B56A6"/>
    <w:rsid w:val="006B5CB9"/>
    <w:rsid w:val="006B6CB4"/>
    <w:rsid w:val="006C0708"/>
    <w:rsid w:val="006C232D"/>
    <w:rsid w:val="006C5A1A"/>
    <w:rsid w:val="006C63E2"/>
    <w:rsid w:val="006C7031"/>
    <w:rsid w:val="006D2153"/>
    <w:rsid w:val="006D280F"/>
    <w:rsid w:val="006D4AF3"/>
    <w:rsid w:val="006D4DB0"/>
    <w:rsid w:val="006E0623"/>
    <w:rsid w:val="006E13EE"/>
    <w:rsid w:val="006E3241"/>
    <w:rsid w:val="006E4511"/>
    <w:rsid w:val="006E5CB7"/>
    <w:rsid w:val="006E5D87"/>
    <w:rsid w:val="006E67EA"/>
    <w:rsid w:val="006F0053"/>
    <w:rsid w:val="006F1986"/>
    <w:rsid w:val="006F1CBD"/>
    <w:rsid w:val="006F3378"/>
    <w:rsid w:val="006F498D"/>
    <w:rsid w:val="006F6EF9"/>
    <w:rsid w:val="0070259F"/>
    <w:rsid w:val="007045E2"/>
    <w:rsid w:val="00706E72"/>
    <w:rsid w:val="00711282"/>
    <w:rsid w:val="007137E0"/>
    <w:rsid w:val="00713E9C"/>
    <w:rsid w:val="00714351"/>
    <w:rsid w:val="0071452F"/>
    <w:rsid w:val="007175FF"/>
    <w:rsid w:val="0071777A"/>
    <w:rsid w:val="007214B8"/>
    <w:rsid w:val="0072479F"/>
    <w:rsid w:val="00724A27"/>
    <w:rsid w:val="0072754E"/>
    <w:rsid w:val="00727F58"/>
    <w:rsid w:val="00732571"/>
    <w:rsid w:val="007328FA"/>
    <w:rsid w:val="00734C0F"/>
    <w:rsid w:val="007358F6"/>
    <w:rsid w:val="007421DC"/>
    <w:rsid w:val="00742370"/>
    <w:rsid w:val="00743BA1"/>
    <w:rsid w:val="00746904"/>
    <w:rsid w:val="00750A64"/>
    <w:rsid w:val="00751A6E"/>
    <w:rsid w:val="00753504"/>
    <w:rsid w:val="00757EDD"/>
    <w:rsid w:val="00761301"/>
    <w:rsid w:val="00761840"/>
    <w:rsid w:val="00767718"/>
    <w:rsid w:val="007746EF"/>
    <w:rsid w:val="007810F0"/>
    <w:rsid w:val="007838E1"/>
    <w:rsid w:val="00785183"/>
    <w:rsid w:val="0078640E"/>
    <w:rsid w:val="00791191"/>
    <w:rsid w:val="007923B0"/>
    <w:rsid w:val="00792D2B"/>
    <w:rsid w:val="00796595"/>
    <w:rsid w:val="007970B9"/>
    <w:rsid w:val="007A1E15"/>
    <w:rsid w:val="007A2324"/>
    <w:rsid w:val="007A253B"/>
    <w:rsid w:val="007A5BA9"/>
    <w:rsid w:val="007B06D9"/>
    <w:rsid w:val="007B1252"/>
    <w:rsid w:val="007B273E"/>
    <w:rsid w:val="007B4325"/>
    <w:rsid w:val="007B7217"/>
    <w:rsid w:val="007C1F0D"/>
    <w:rsid w:val="007C61E4"/>
    <w:rsid w:val="007C7026"/>
    <w:rsid w:val="007C7B93"/>
    <w:rsid w:val="007D0F91"/>
    <w:rsid w:val="007D2A1C"/>
    <w:rsid w:val="007D3498"/>
    <w:rsid w:val="007D481F"/>
    <w:rsid w:val="007E1641"/>
    <w:rsid w:val="007E5479"/>
    <w:rsid w:val="007E7681"/>
    <w:rsid w:val="007F07CC"/>
    <w:rsid w:val="007F408B"/>
    <w:rsid w:val="007F49A1"/>
    <w:rsid w:val="00800B05"/>
    <w:rsid w:val="00803AAA"/>
    <w:rsid w:val="00803D9E"/>
    <w:rsid w:val="00805097"/>
    <w:rsid w:val="00805329"/>
    <w:rsid w:val="00805481"/>
    <w:rsid w:val="00805EFD"/>
    <w:rsid w:val="00806D95"/>
    <w:rsid w:val="00811854"/>
    <w:rsid w:val="00815BBD"/>
    <w:rsid w:val="00815DF6"/>
    <w:rsid w:val="0081727F"/>
    <w:rsid w:val="00825380"/>
    <w:rsid w:val="00825CD3"/>
    <w:rsid w:val="00833AD8"/>
    <w:rsid w:val="0083431A"/>
    <w:rsid w:val="00834B34"/>
    <w:rsid w:val="008350F2"/>
    <w:rsid w:val="00840EEF"/>
    <w:rsid w:val="0084535E"/>
    <w:rsid w:val="008461C1"/>
    <w:rsid w:val="008502AE"/>
    <w:rsid w:val="00850F56"/>
    <w:rsid w:val="008513A4"/>
    <w:rsid w:val="00853F6B"/>
    <w:rsid w:val="00855311"/>
    <w:rsid w:val="0085796A"/>
    <w:rsid w:val="00861401"/>
    <w:rsid w:val="008718F4"/>
    <w:rsid w:val="00872673"/>
    <w:rsid w:val="008739E2"/>
    <w:rsid w:val="00873B47"/>
    <w:rsid w:val="00875FD9"/>
    <w:rsid w:val="00876DA0"/>
    <w:rsid w:val="008802B8"/>
    <w:rsid w:val="00885687"/>
    <w:rsid w:val="00887299"/>
    <w:rsid w:val="00895A83"/>
    <w:rsid w:val="00897425"/>
    <w:rsid w:val="008A3DA0"/>
    <w:rsid w:val="008B29C0"/>
    <w:rsid w:val="008B4E1F"/>
    <w:rsid w:val="008B64EE"/>
    <w:rsid w:val="008B765F"/>
    <w:rsid w:val="008C40D5"/>
    <w:rsid w:val="008D26DE"/>
    <w:rsid w:val="008D3DEB"/>
    <w:rsid w:val="008D3E5B"/>
    <w:rsid w:val="008D444C"/>
    <w:rsid w:val="008E01EF"/>
    <w:rsid w:val="008E20F5"/>
    <w:rsid w:val="008F197F"/>
    <w:rsid w:val="008F2305"/>
    <w:rsid w:val="008F7061"/>
    <w:rsid w:val="008F7E57"/>
    <w:rsid w:val="00903A65"/>
    <w:rsid w:val="00910B3A"/>
    <w:rsid w:val="00910C04"/>
    <w:rsid w:val="009115A8"/>
    <w:rsid w:val="00912B99"/>
    <w:rsid w:val="00914B2F"/>
    <w:rsid w:val="00915068"/>
    <w:rsid w:val="00921431"/>
    <w:rsid w:val="00923104"/>
    <w:rsid w:val="0092371C"/>
    <w:rsid w:val="00923969"/>
    <w:rsid w:val="00924020"/>
    <w:rsid w:val="009277E5"/>
    <w:rsid w:val="00927CFB"/>
    <w:rsid w:val="00927D6A"/>
    <w:rsid w:val="00934BB1"/>
    <w:rsid w:val="00935A6E"/>
    <w:rsid w:val="00935F18"/>
    <w:rsid w:val="00936B61"/>
    <w:rsid w:val="00936D2C"/>
    <w:rsid w:val="00937715"/>
    <w:rsid w:val="009404F9"/>
    <w:rsid w:val="00940A5A"/>
    <w:rsid w:val="00942DEF"/>
    <w:rsid w:val="0095063C"/>
    <w:rsid w:val="009510B1"/>
    <w:rsid w:val="009533A2"/>
    <w:rsid w:val="009541CE"/>
    <w:rsid w:val="00954A25"/>
    <w:rsid w:val="0096392A"/>
    <w:rsid w:val="00966A97"/>
    <w:rsid w:val="0097297E"/>
    <w:rsid w:val="00973E00"/>
    <w:rsid w:val="00974D4C"/>
    <w:rsid w:val="0097588D"/>
    <w:rsid w:val="009758C3"/>
    <w:rsid w:val="00975AA4"/>
    <w:rsid w:val="00975E32"/>
    <w:rsid w:val="0097699A"/>
    <w:rsid w:val="009825F5"/>
    <w:rsid w:val="0098481B"/>
    <w:rsid w:val="009850BB"/>
    <w:rsid w:val="00993CA0"/>
    <w:rsid w:val="0099421E"/>
    <w:rsid w:val="00997403"/>
    <w:rsid w:val="0099742F"/>
    <w:rsid w:val="009A33AD"/>
    <w:rsid w:val="009A4D07"/>
    <w:rsid w:val="009A6B91"/>
    <w:rsid w:val="009A6CA2"/>
    <w:rsid w:val="009A744C"/>
    <w:rsid w:val="009B0DF7"/>
    <w:rsid w:val="009B5B9A"/>
    <w:rsid w:val="009C0236"/>
    <w:rsid w:val="009C18BF"/>
    <w:rsid w:val="009C29F1"/>
    <w:rsid w:val="009C3885"/>
    <w:rsid w:val="009C5377"/>
    <w:rsid w:val="009E0803"/>
    <w:rsid w:val="009E3669"/>
    <w:rsid w:val="009E5EFC"/>
    <w:rsid w:val="009E76A6"/>
    <w:rsid w:val="009E77DA"/>
    <w:rsid w:val="009F04A0"/>
    <w:rsid w:val="009F372F"/>
    <w:rsid w:val="009F7253"/>
    <w:rsid w:val="009F7C7F"/>
    <w:rsid w:val="00A06F2E"/>
    <w:rsid w:val="00A13598"/>
    <w:rsid w:val="00A21317"/>
    <w:rsid w:val="00A21D98"/>
    <w:rsid w:val="00A27743"/>
    <w:rsid w:val="00A32219"/>
    <w:rsid w:val="00A41A65"/>
    <w:rsid w:val="00A42B39"/>
    <w:rsid w:val="00A45269"/>
    <w:rsid w:val="00A506D7"/>
    <w:rsid w:val="00A50802"/>
    <w:rsid w:val="00A536E3"/>
    <w:rsid w:val="00A54D16"/>
    <w:rsid w:val="00A57F35"/>
    <w:rsid w:val="00A61046"/>
    <w:rsid w:val="00A611C2"/>
    <w:rsid w:val="00A61CE0"/>
    <w:rsid w:val="00A62294"/>
    <w:rsid w:val="00A652F2"/>
    <w:rsid w:val="00A65E8C"/>
    <w:rsid w:val="00A75761"/>
    <w:rsid w:val="00A82901"/>
    <w:rsid w:val="00A84295"/>
    <w:rsid w:val="00A8579B"/>
    <w:rsid w:val="00A93208"/>
    <w:rsid w:val="00AA18AB"/>
    <w:rsid w:val="00AA6C00"/>
    <w:rsid w:val="00AB3095"/>
    <w:rsid w:val="00AB333D"/>
    <w:rsid w:val="00AB35A0"/>
    <w:rsid w:val="00AB44F3"/>
    <w:rsid w:val="00AB4CE3"/>
    <w:rsid w:val="00AB7358"/>
    <w:rsid w:val="00AC1A09"/>
    <w:rsid w:val="00AD22AA"/>
    <w:rsid w:val="00AD7889"/>
    <w:rsid w:val="00AD7EAB"/>
    <w:rsid w:val="00AE17C8"/>
    <w:rsid w:val="00AE2B27"/>
    <w:rsid w:val="00AE3C60"/>
    <w:rsid w:val="00AE4EBA"/>
    <w:rsid w:val="00AF2563"/>
    <w:rsid w:val="00AF2DDF"/>
    <w:rsid w:val="00AF42FB"/>
    <w:rsid w:val="00AF4F04"/>
    <w:rsid w:val="00B01901"/>
    <w:rsid w:val="00B03FC2"/>
    <w:rsid w:val="00B0458C"/>
    <w:rsid w:val="00B06123"/>
    <w:rsid w:val="00B06958"/>
    <w:rsid w:val="00B11056"/>
    <w:rsid w:val="00B1167A"/>
    <w:rsid w:val="00B11AA4"/>
    <w:rsid w:val="00B128AE"/>
    <w:rsid w:val="00B1779D"/>
    <w:rsid w:val="00B17BE3"/>
    <w:rsid w:val="00B26781"/>
    <w:rsid w:val="00B27BF7"/>
    <w:rsid w:val="00B31882"/>
    <w:rsid w:val="00B33DF5"/>
    <w:rsid w:val="00B37D19"/>
    <w:rsid w:val="00B40917"/>
    <w:rsid w:val="00B45063"/>
    <w:rsid w:val="00B45DB2"/>
    <w:rsid w:val="00B46B5D"/>
    <w:rsid w:val="00B56417"/>
    <w:rsid w:val="00B60A84"/>
    <w:rsid w:val="00B61686"/>
    <w:rsid w:val="00B61C32"/>
    <w:rsid w:val="00B64F93"/>
    <w:rsid w:val="00B7098A"/>
    <w:rsid w:val="00B74F3B"/>
    <w:rsid w:val="00B808C5"/>
    <w:rsid w:val="00B8675B"/>
    <w:rsid w:val="00B915FA"/>
    <w:rsid w:val="00B94581"/>
    <w:rsid w:val="00B95111"/>
    <w:rsid w:val="00B97413"/>
    <w:rsid w:val="00B97526"/>
    <w:rsid w:val="00BA4434"/>
    <w:rsid w:val="00BB391F"/>
    <w:rsid w:val="00BB7574"/>
    <w:rsid w:val="00BC1B8C"/>
    <w:rsid w:val="00BC219D"/>
    <w:rsid w:val="00BC312B"/>
    <w:rsid w:val="00BC3A2D"/>
    <w:rsid w:val="00BD3097"/>
    <w:rsid w:val="00BD3CDF"/>
    <w:rsid w:val="00BE2C56"/>
    <w:rsid w:val="00BE6734"/>
    <w:rsid w:val="00BF4D88"/>
    <w:rsid w:val="00C03530"/>
    <w:rsid w:val="00C11B50"/>
    <w:rsid w:val="00C26627"/>
    <w:rsid w:val="00C30769"/>
    <w:rsid w:val="00C3243B"/>
    <w:rsid w:val="00C32FB8"/>
    <w:rsid w:val="00C350D5"/>
    <w:rsid w:val="00C352F4"/>
    <w:rsid w:val="00C3773C"/>
    <w:rsid w:val="00C427A6"/>
    <w:rsid w:val="00C438D1"/>
    <w:rsid w:val="00C44D1F"/>
    <w:rsid w:val="00C461E0"/>
    <w:rsid w:val="00C519D1"/>
    <w:rsid w:val="00C51C5A"/>
    <w:rsid w:val="00C51EAC"/>
    <w:rsid w:val="00C54E87"/>
    <w:rsid w:val="00C560EC"/>
    <w:rsid w:val="00C61E42"/>
    <w:rsid w:val="00C62D50"/>
    <w:rsid w:val="00C637F0"/>
    <w:rsid w:val="00C7008B"/>
    <w:rsid w:val="00C71824"/>
    <w:rsid w:val="00C75B34"/>
    <w:rsid w:val="00C760F1"/>
    <w:rsid w:val="00C80433"/>
    <w:rsid w:val="00C815E2"/>
    <w:rsid w:val="00C82975"/>
    <w:rsid w:val="00C83CA1"/>
    <w:rsid w:val="00C846D3"/>
    <w:rsid w:val="00C86084"/>
    <w:rsid w:val="00C86EE7"/>
    <w:rsid w:val="00C90B55"/>
    <w:rsid w:val="00C90C00"/>
    <w:rsid w:val="00C9546E"/>
    <w:rsid w:val="00C95CC3"/>
    <w:rsid w:val="00C96562"/>
    <w:rsid w:val="00CA0EC7"/>
    <w:rsid w:val="00CA3ACF"/>
    <w:rsid w:val="00CA737C"/>
    <w:rsid w:val="00CB6BFA"/>
    <w:rsid w:val="00CB6FD1"/>
    <w:rsid w:val="00CB7B44"/>
    <w:rsid w:val="00CC1CFE"/>
    <w:rsid w:val="00CD0158"/>
    <w:rsid w:val="00CD2C02"/>
    <w:rsid w:val="00CE2A8D"/>
    <w:rsid w:val="00CE6B58"/>
    <w:rsid w:val="00CF1466"/>
    <w:rsid w:val="00CF2D04"/>
    <w:rsid w:val="00CF7E4E"/>
    <w:rsid w:val="00D030A1"/>
    <w:rsid w:val="00D12698"/>
    <w:rsid w:val="00D1281F"/>
    <w:rsid w:val="00D13DF6"/>
    <w:rsid w:val="00D17210"/>
    <w:rsid w:val="00D20BEF"/>
    <w:rsid w:val="00D22521"/>
    <w:rsid w:val="00D23111"/>
    <w:rsid w:val="00D23D88"/>
    <w:rsid w:val="00D25855"/>
    <w:rsid w:val="00D263BB"/>
    <w:rsid w:val="00D309E4"/>
    <w:rsid w:val="00D33192"/>
    <w:rsid w:val="00D347E5"/>
    <w:rsid w:val="00D37620"/>
    <w:rsid w:val="00D37E16"/>
    <w:rsid w:val="00D41273"/>
    <w:rsid w:val="00D428F1"/>
    <w:rsid w:val="00D45B45"/>
    <w:rsid w:val="00D47C06"/>
    <w:rsid w:val="00D50433"/>
    <w:rsid w:val="00D523EF"/>
    <w:rsid w:val="00D52791"/>
    <w:rsid w:val="00D57B76"/>
    <w:rsid w:val="00D57EB0"/>
    <w:rsid w:val="00D63015"/>
    <w:rsid w:val="00D66429"/>
    <w:rsid w:val="00D679F0"/>
    <w:rsid w:val="00D75947"/>
    <w:rsid w:val="00D7744E"/>
    <w:rsid w:val="00D80464"/>
    <w:rsid w:val="00D83585"/>
    <w:rsid w:val="00D8678C"/>
    <w:rsid w:val="00D90127"/>
    <w:rsid w:val="00D91645"/>
    <w:rsid w:val="00D946B1"/>
    <w:rsid w:val="00DB59E0"/>
    <w:rsid w:val="00DB74A5"/>
    <w:rsid w:val="00DB7D09"/>
    <w:rsid w:val="00DC2186"/>
    <w:rsid w:val="00DC7D90"/>
    <w:rsid w:val="00DD303D"/>
    <w:rsid w:val="00DD3731"/>
    <w:rsid w:val="00DD3A30"/>
    <w:rsid w:val="00DD56E7"/>
    <w:rsid w:val="00DD7136"/>
    <w:rsid w:val="00DE08A1"/>
    <w:rsid w:val="00DE0D6D"/>
    <w:rsid w:val="00DE5B3B"/>
    <w:rsid w:val="00DE5FFE"/>
    <w:rsid w:val="00DF4C04"/>
    <w:rsid w:val="00E0270D"/>
    <w:rsid w:val="00E03909"/>
    <w:rsid w:val="00E0454A"/>
    <w:rsid w:val="00E04EDD"/>
    <w:rsid w:val="00E071A3"/>
    <w:rsid w:val="00E075BE"/>
    <w:rsid w:val="00E14A67"/>
    <w:rsid w:val="00E209CA"/>
    <w:rsid w:val="00E27F0F"/>
    <w:rsid w:val="00E27F6E"/>
    <w:rsid w:val="00E336D5"/>
    <w:rsid w:val="00E35751"/>
    <w:rsid w:val="00E42B4D"/>
    <w:rsid w:val="00E46375"/>
    <w:rsid w:val="00E47A24"/>
    <w:rsid w:val="00E47C2F"/>
    <w:rsid w:val="00E515AE"/>
    <w:rsid w:val="00E54373"/>
    <w:rsid w:val="00E54EA8"/>
    <w:rsid w:val="00E5738C"/>
    <w:rsid w:val="00E61F22"/>
    <w:rsid w:val="00E725BF"/>
    <w:rsid w:val="00E76BE7"/>
    <w:rsid w:val="00E81128"/>
    <w:rsid w:val="00E835C9"/>
    <w:rsid w:val="00E848D1"/>
    <w:rsid w:val="00E86DD7"/>
    <w:rsid w:val="00E8791D"/>
    <w:rsid w:val="00E90FE1"/>
    <w:rsid w:val="00E911F7"/>
    <w:rsid w:val="00E91EF1"/>
    <w:rsid w:val="00E925F5"/>
    <w:rsid w:val="00E94E04"/>
    <w:rsid w:val="00E9784D"/>
    <w:rsid w:val="00E97BF6"/>
    <w:rsid w:val="00EA240F"/>
    <w:rsid w:val="00EA386A"/>
    <w:rsid w:val="00EA3F87"/>
    <w:rsid w:val="00EA497C"/>
    <w:rsid w:val="00EA5FDB"/>
    <w:rsid w:val="00EA799B"/>
    <w:rsid w:val="00EC1633"/>
    <w:rsid w:val="00EC1A2A"/>
    <w:rsid w:val="00ED2A79"/>
    <w:rsid w:val="00ED2A7B"/>
    <w:rsid w:val="00ED78A3"/>
    <w:rsid w:val="00EE13E2"/>
    <w:rsid w:val="00EE5923"/>
    <w:rsid w:val="00EF236A"/>
    <w:rsid w:val="00EF2E79"/>
    <w:rsid w:val="00EF46BA"/>
    <w:rsid w:val="00EF51F9"/>
    <w:rsid w:val="00F02205"/>
    <w:rsid w:val="00F0221E"/>
    <w:rsid w:val="00F022CE"/>
    <w:rsid w:val="00F06F37"/>
    <w:rsid w:val="00F10AEE"/>
    <w:rsid w:val="00F11BC8"/>
    <w:rsid w:val="00F12ED5"/>
    <w:rsid w:val="00F179EF"/>
    <w:rsid w:val="00F21F28"/>
    <w:rsid w:val="00F2257F"/>
    <w:rsid w:val="00F311C1"/>
    <w:rsid w:val="00F357EE"/>
    <w:rsid w:val="00F35D2D"/>
    <w:rsid w:val="00F401A1"/>
    <w:rsid w:val="00F40653"/>
    <w:rsid w:val="00F40C22"/>
    <w:rsid w:val="00F419A8"/>
    <w:rsid w:val="00F51BE2"/>
    <w:rsid w:val="00F52760"/>
    <w:rsid w:val="00F54DB9"/>
    <w:rsid w:val="00F5639C"/>
    <w:rsid w:val="00F61288"/>
    <w:rsid w:val="00F633B7"/>
    <w:rsid w:val="00F6408D"/>
    <w:rsid w:val="00F64D46"/>
    <w:rsid w:val="00F65A0E"/>
    <w:rsid w:val="00F65F99"/>
    <w:rsid w:val="00F66E13"/>
    <w:rsid w:val="00F6707C"/>
    <w:rsid w:val="00F6717E"/>
    <w:rsid w:val="00F67C39"/>
    <w:rsid w:val="00F74FC1"/>
    <w:rsid w:val="00F760FF"/>
    <w:rsid w:val="00F8074C"/>
    <w:rsid w:val="00F8101A"/>
    <w:rsid w:val="00F81379"/>
    <w:rsid w:val="00F847EA"/>
    <w:rsid w:val="00F85D13"/>
    <w:rsid w:val="00F9007A"/>
    <w:rsid w:val="00F92908"/>
    <w:rsid w:val="00F94AD0"/>
    <w:rsid w:val="00F966C3"/>
    <w:rsid w:val="00FA51B4"/>
    <w:rsid w:val="00FB17A6"/>
    <w:rsid w:val="00FB3566"/>
    <w:rsid w:val="00FB76D9"/>
    <w:rsid w:val="00FC380E"/>
    <w:rsid w:val="00FD37F9"/>
    <w:rsid w:val="00FD4DD5"/>
    <w:rsid w:val="00FD5038"/>
    <w:rsid w:val="00FD706A"/>
    <w:rsid w:val="00FE1E35"/>
    <w:rsid w:val="00FE5F6F"/>
    <w:rsid w:val="00F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E7416"/>
  <w15:chartTrackingRefBased/>
  <w15:docId w15:val="{3E302E40-316E-4F41-BEEC-9AA439EF9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930E0"/>
    <w:pPr>
      <w:widowControl w:val="0"/>
      <w:suppressAutoHyphens/>
    </w:pPr>
    <w:rPr>
      <w:rFonts w:eastAsia="Lucida Sans Unicode"/>
      <w:sz w:val="24"/>
      <w:szCs w:val="24"/>
    </w:rPr>
  </w:style>
  <w:style w:type="paragraph" w:styleId="Cmsor1">
    <w:name w:val="heading 1"/>
    <w:basedOn w:val="Norml"/>
    <w:next w:val="Norml"/>
    <w:qFormat/>
    <w:pPr>
      <w:keepNext/>
      <w:numPr>
        <w:numId w:val="2"/>
      </w:numPr>
      <w:outlineLvl w:val="0"/>
    </w:pPr>
    <w:rPr>
      <w:i/>
      <w:sz w:val="26"/>
    </w:rPr>
  </w:style>
  <w:style w:type="paragraph" w:styleId="Cmsor2">
    <w:name w:val="heading 2"/>
    <w:basedOn w:val="Norml"/>
    <w:next w:val="Norml"/>
    <w:qFormat/>
    <w:rsid w:val="004D047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2"/>
      </w:numPr>
      <w:outlineLvl w:val="2"/>
    </w:pPr>
    <w:rPr>
      <w:b/>
    </w:rPr>
  </w:style>
  <w:style w:type="paragraph" w:styleId="Cmsor5">
    <w:name w:val="heading 5"/>
    <w:basedOn w:val="Norml"/>
    <w:next w:val="Norml"/>
    <w:qFormat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8">
    <w:name w:val="heading 8"/>
    <w:basedOn w:val="Norml"/>
    <w:next w:val="Norml"/>
    <w:qFormat/>
    <w:pPr>
      <w:keepNext/>
      <w:numPr>
        <w:ilvl w:val="7"/>
        <w:numId w:val="2"/>
      </w:numPr>
      <w:spacing w:before="120"/>
      <w:jc w:val="both"/>
      <w:outlineLvl w:val="7"/>
    </w:pPr>
    <w:rPr>
      <w:i/>
      <w:color w:val="FF0000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</w:style>
  <w:style w:type="character" w:customStyle="1" w:styleId="WW-WW8Num1z0">
    <w:name w:val="WW-WW8Num1z0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1z01">
    <w:name w:val="WW-WW8Num1z01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1z011">
    <w:name w:val="WW-WW8Num1z011"/>
    <w:rPr>
      <w:rFonts w:ascii="Symbol" w:hAnsi="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1z0111">
    <w:name w:val="WW-WW8Num1z0111"/>
    <w:rPr>
      <w:rFonts w:ascii="Symbol" w:hAnsi="Symbol" w:cs="StarSymbol"/>
      <w:sz w:val="18"/>
      <w:szCs w:val="18"/>
    </w:rPr>
  </w:style>
  <w:style w:type="character" w:customStyle="1" w:styleId="WW-Bekezdsalapbettpusa">
    <w:name w:val="WW-Bekezdés alapbetűtípusa"/>
  </w:style>
  <w:style w:type="character" w:customStyle="1" w:styleId="Felsorolsjelek">
    <w:name w:val="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Pr>
      <w:rFonts w:ascii="StarSymbol" w:eastAsia="StarSymbol" w:hAnsi="StarSymbol" w:cs="StarSymbol"/>
      <w:sz w:val="18"/>
      <w:szCs w:val="18"/>
    </w:rPr>
  </w:style>
  <w:style w:type="character" w:customStyle="1" w:styleId="WW-Felsorolsjelek1">
    <w:name w:val="WW-Felsorolásjelek1"/>
    <w:rPr>
      <w:rFonts w:ascii="StarSymbol" w:eastAsia="StarSymbol" w:hAnsi="StarSymbol" w:cs="StarSymbol"/>
      <w:sz w:val="18"/>
      <w:szCs w:val="18"/>
    </w:rPr>
  </w:style>
  <w:style w:type="character" w:customStyle="1" w:styleId="WW-Felsorolsjelek11">
    <w:name w:val="WW-Felsorolásjelek11"/>
    <w:rPr>
      <w:rFonts w:ascii="StarSymbol" w:eastAsia="StarSymbol" w:hAnsi="StarSymbol" w:cs="StarSymbol"/>
      <w:sz w:val="18"/>
      <w:szCs w:val="18"/>
    </w:rPr>
  </w:style>
  <w:style w:type="character" w:customStyle="1" w:styleId="WW-Felsorolsjelek111">
    <w:name w:val="WW-Felsorolásjelek111"/>
    <w:rPr>
      <w:rFonts w:ascii="StarSymbol" w:eastAsia="StarSymbol" w:hAnsi="StarSymbol" w:cs="StarSymbol"/>
      <w:sz w:val="18"/>
      <w:szCs w:val="18"/>
    </w:rPr>
  </w:style>
  <w:style w:type="character" w:customStyle="1" w:styleId="WW-Felsorolsjelek1111">
    <w:name w:val="WW-Felsorolásjelek1111"/>
    <w:rPr>
      <w:rFonts w:ascii="StarSymbol" w:eastAsia="StarSymbol" w:hAnsi="StarSymbol" w:cs="StarSymbol"/>
      <w:sz w:val="18"/>
      <w:szCs w:val="18"/>
    </w:rPr>
  </w:style>
  <w:style w:type="character" w:customStyle="1" w:styleId="WW-DefaultParagraphFont">
    <w:name w:val="WW-Default Paragraph Font"/>
  </w:style>
  <w:style w:type="character" w:styleId="Kiemels2">
    <w:name w:val="Strong"/>
    <w:qFormat/>
    <w:rPr>
      <w:b/>
      <w:bCs/>
    </w:rPr>
  </w:style>
  <w:style w:type="character" w:customStyle="1" w:styleId="WW-WW8Num1z01111">
    <w:name w:val="WW-WW8Num1z01111"/>
    <w:rPr>
      <w:rFonts w:ascii="Symbol" w:hAnsi="Symbol" w:cs="StarSymbol"/>
      <w:sz w:val="18"/>
      <w:szCs w:val="18"/>
    </w:rPr>
  </w:style>
  <w:style w:type="character" w:customStyle="1" w:styleId="WW-WW8Num1z011111">
    <w:name w:val="WW-WW8Num1z011111"/>
    <w:rPr>
      <w:rFonts w:ascii="Symbol" w:hAnsi="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-WW8Num1z0111111">
    <w:name w:val="WW-WW8Num1z0111111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z01111111">
    <w:name w:val="WW-WW8Num1z01111111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WW-WW8Num1z011111111">
    <w:name w:val="WW-WW8Num1z011111111"/>
    <w:rPr>
      <w:rFonts w:ascii="Symbol" w:hAnsi="Symbol" w:cs="StarSymbol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-Felsorolsjelek11111">
    <w:name w:val="WW-Felsorolásjelek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">
    <w:name w:val="WW-Felsorolásjelek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">
    <w:name w:val="WW-Felsorolásjelek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">
    <w:name w:val="WW-Felsorolásjelek11111111"/>
    <w:rPr>
      <w:rFonts w:ascii="StarSymbol" w:eastAsia="StarSymbol" w:hAnsi="StarSymbol" w:cs="StarSymbol"/>
      <w:sz w:val="18"/>
      <w:szCs w:val="18"/>
    </w:rPr>
  </w:style>
  <w:style w:type="character" w:customStyle="1" w:styleId="WW-Felsorolsjelek111111111">
    <w:name w:val="WW-Felsorolásjelek111111111"/>
    <w:rPr>
      <w:rFonts w:ascii="StarSymbol" w:eastAsia="StarSymbol" w:hAnsi="StarSymbol" w:cs="StarSymbol"/>
      <w:sz w:val="18"/>
      <w:szCs w:val="18"/>
    </w:rPr>
  </w:style>
  <w:style w:type="character" w:customStyle="1" w:styleId="FirstpageinfoChar">
    <w:name w:val="Firstpageinfo Char"/>
    <w:rPr>
      <w:rFonts w:ascii="Arial" w:eastAsia="Lucida Sans Unicode" w:hAnsi="Arial"/>
      <w:b/>
      <w:sz w:val="24"/>
      <w:szCs w:val="24"/>
      <w:lang w:val="en-US" w:eastAsia="ar-SA" w:bidi="ar-SA"/>
    </w:rPr>
  </w:style>
  <w:style w:type="character" w:customStyle="1" w:styleId="TextChar1">
    <w:name w:val="Text Char1"/>
    <w:rPr>
      <w:rFonts w:eastAsia="Lucida Sans Unicode"/>
      <w:sz w:val="24"/>
      <w:szCs w:val="24"/>
      <w:lang w:val="en-US" w:eastAsia="ar-SA" w:bidi="ar-SA"/>
    </w:rPr>
  </w:style>
  <w:style w:type="character" w:customStyle="1" w:styleId="WW-CommentReference">
    <w:name w:val="WW-Comment Reference"/>
    <w:rPr>
      <w:sz w:val="16"/>
      <w:szCs w:val="16"/>
    </w:rPr>
  </w:style>
  <w:style w:type="character" w:customStyle="1" w:styleId="Nottoc-headingsChar">
    <w:name w:val="Not toc-headings Char"/>
    <w:rPr>
      <w:rFonts w:ascii="Arial" w:hAnsi="Arial"/>
      <w:b/>
      <w:sz w:val="22"/>
      <w:szCs w:val="24"/>
      <w:lang w:val="en-GB" w:eastAsia="ar-SA" w:bidi="ar-SA"/>
    </w:rPr>
  </w:style>
  <w:style w:type="character" w:customStyle="1" w:styleId="CommentChar1">
    <w:name w:val="Comment Char1"/>
    <w:rPr>
      <w:rFonts w:eastAsia="Lucida Sans Unicode"/>
      <w:i/>
      <w:color w:val="0000FF"/>
      <w:sz w:val="24"/>
      <w:szCs w:val="24"/>
      <w:lang w:val="en-US" w:eastAsia="ar-SA" w:bidi="ar-SA"/>
    </w:rPr>
  </w:style>
  <w:style w:type="character" w:styleId="Oldalszm">
    <w:name w:val="page number"/>
    <w:basedOn w:val="WW-Bekezdsalapbettpusa"/>
  </w:style>
  <w:style w:type="paragraph" w:styleId="Szvegtrzs">
    <w:name w:val="Body Text"/>
    <w:basedOn w:val="Norml"/>
    <w:pPr>
      <w:spacing w:after="120"/>
    </w:p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Felirat">
    <w:name w:val="WW-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Trgymutat">
    <w:name w:val="WW-Tárgymutató"/>
    <w:basedOn w:val="Norml"/>
    <w:pPr>
      <w:suppressLineNumbers/>
    </w:pPr>
    <w:rPr>
      <w:rFonts w:cs="Tahoma"/>
    </w:rPr>
  </w:style>
  <w:style w:type="paragraph" w:customStyle="1" w:styleId="WW-Cmsor">
    <w:name w:val="WW-Címsor"/>
    <w:basedOn w:val="Norml"/>
    <w:next w:val="Szvegtrzs"/>
    <w:pPr>
      <w:keepNext/>
      <w:spacing w:before="240" w:after="120"/>
    </w:pPr>
    <w:rPr>
      <w:rFonts w:cs="Tahoma"/>
      <w:sz w:val="28"/>
      <w:szCs w:val="28"/>
    </w:rPr>
  </w:style>
  <w:style w:type="paragraph" w:styleId="lfej">
    <w:name w:val="header"/>
    <w:basedOn w:val="Norml"/>
    <w:link w:val="lfejChar"/>
    <w:uiPriority w:val="99"/>
    <w:pPr>
      <w:suppressLineNumbers/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paragraph" w:customStyle="1" w:styleId="Tblzattartalom">
    <w:name w:val="Táblázattartalom"/>
    <w:basedOn w:val="Szvegtrzs"/>
    <w:pPr>
      <w:suppressLineNumbers/>
    </w:pPr>
  </w:style>
  <w:style w:type="paragraph" w:customStyle="1" w:styleId="WW-Tblzattartalom">
    <w:name w:val="WW-Táblázattartalom"/>
    <w:basedOn w:val="Szvegtrzs"/>
    <w:pPr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  <w:i/>
      <w:iCs/>
    </w:rPr>
  </w:style>
  <w:style w:type="paragraph" w:customStyle="1" w:styleId="WW-Tblzatfejlc">
    <w:name w:val="WW-Táblázatfejléc"/>
    <w:basedOn w:val="WW-Tblzattartalom"/>
    <w:pPr>
      <w:jc w:val="center"/>
    </w:pPr>
    <w:rPr>
      <w:b/>
      <w:bCs/>
      <w:i/>
      <w:iCs/>
    </w:rPr>
  </w:style>
  <w:style w:type="paragraph" w:styleId="Cm">
    <w:name w:val="Title"/>
    <w:basedOn w:val="Norml"/>
    <w:next w:val="Alcm"/>
    <w:qFormat/>
    <w:pPr>
      <w:keepNext/>
      <w:widowControl/>
      <w:suppressAutoHyphens w:val="0"/>
      <w:spacing w:before="720" w:after="1320"/>
      <w:jc w:val="center"/>
    </w:pPr>
    <w:rPr>
      <w:rFonts w:ascii="Arial" w:eastAsia="Times New Roman" w:hAnsi="Arial"/>
      <w:b/>
      <w:sz w:val="32"/>
      <w:szCs w:val="20"/>
      <w:lang w:val="en-US"/>
    </w:rPr>
  </w:style>
  <w:style w:type="paragraph" w:styleId="Alcm">
    <w:name w:val="Subtitle"/>
    <w:basedOn w:val="WW-Cmsor"/>
    <w:next w:val="Szvegtrzs"/>
    <w:qFormat/>
    <w:pPr>
      <w:jc w:val="center"/>
    </w:pPr>
    <w:rPr>
      <w:i/>
      <w:iCs/>
    </w:rPr>
  </w:style>
  <w:style w:type="paragraph" w:customStyle="1" w:styleId="paragraph">
    <w:name w:val="paragraph"/>
    <w:basedOn w:val="Norml"/>
    <w:pPr>
      <w:spacing w:before="120"/>
      <w:jc w:val="both"/>
    </w:pPr>
    <w:rPr>
      <w:lang w:val="en-US"/>
    </w:rPr>
  </w:style>
  <w:style w:type="paragraph" w:customStyle="1" w:styleId="TextChar">
    <w:name w:val="Text Char"/>
    <w:basedOn w:val="Norml"/>
    <w:pPr>
      <w:widowControl/>
      <w:suppressAutoHyphens w:val="0"/>
      <w:spacing w:before="120"/>
      <w:jc w:val="both"/>
    </w:pPr>
    <w:rPr>
      <w:lang w:val="en-GB"/>
    </w:rPr>
  </w:style>
  <w:style w:type="paragraph" w:customStyle="1" w:styleId="Nottoc-headings">
    <w:name w:val="Not toc-headings"/>
    <w:basedOn w:val="Norml"/>
    <w:next w:val="TextChar"/>
    <w:pPr>
      <w:keepNext/>
      <w:keepLines/>
      <w:widowControl/>
      <w:suppressAutoHyphens w:val="0"/>
      <w:spacing w:before="240" w:after="60"/>
      <w:ind w:left="1701" w:hanging="1701"/>
    </w:pPr>
    <w:rPr>
      <w:rFonts w:ascii="Arial" w:eastAsia="Times New Roman" w:hAnsi="Arial"/>
      <w:b/>
      <w:sz w:val="22"/>
      <w:lang w:val="en-GB"/>
    </w:rPr>
  </w:style>
  <w:style w:type="paragraph" w:customStyle="1" w:styleId="WW-Szvegtrzs3">
    <w:name w:val="WW-Szövegtörzs 3"/>
    <w:basedOn w:val="Norml"/>
    <w:pPr>
      <w:ind w:right="-143"/>
    </w:pPr>
    <w:rPr>
      <w:sz w:val="26"/>
    </w:rPr>
  </w:style>
  <w:style w:type="paragraph" w:customStyle="1" w:styleId="WW-Szvegtrzs2">
    <w:name w:val="WW-Szövegtörzs 2"/>
    <w:basedOn w:val="Norml"/>
    <w:rPr>
      <w:lang w:val="en-US"/>
    </w:rPr>
  </w:style>
  <w:style w:type="paragraph" w:customStyle="1" w:styleId="WW-BalloonText">
    <w:name w:val="WW-Balloon Text"/>
    <w:basedOn w:val="Norml"/>
    <w:rPr>
      <w:rFonts w:ascii="Tahoma" w:hAnsi="Tahoma" w:cs="Tahoma"/>
      <w:sz w:val="16"/>
      <w:szCs w:val="16"/>
    </w:rPr>
  </w:style>
  <w:style w:type="paragraph" w:customStyle="1" w:styleId="WW-BodyText2">
    <w:name w:val="WW-Body Text 2"/>
    <w:basedOn w:val="Norml"/>
    <w:rPr>
      <w:sz w:val="22"/>
      <w:szCs w:val="22"/>
    </w:rPr>
  </w:style>
  <w:style w:type="paragraph" w:customStyle="1" w:styleId="Text">
    <w:name w:val="Text"/>
    <w:basedOn w:val="Norml"/>
    <w:pPr>
      <w:widowControl/>
      <w:suppressAutoHyphens w:val="0"/>
      <w:spacing w:before="120"/>
      <w:jc w:val="both"/>
    </w:pPr>
    <w:rPr>
      <w:lang w:val="en-US"/>
    </w:rPr>
  </w:style>
  <w:style w:type="paragraph" w:customStyle="1" w:styleId="Compound">
    <w:name w:val="Compound"/>
    <w:basedOn w:val="Norml"/>
    <w:pPr>
      <w:keepNext/>
      <w:widowControl/>
      <w:suppressAutoHyphens w:val="0"/>
      <w:spacing w:before="720"/>
      <w:jc w:val="center"/>
    </w:pPr>
    <w:rPr>
      <w:rFonts w:ascii="Arial" w:eastAsia="Times New Roman" w:hAnsi="Arial"/>
      <w:sz w:val="32"/>
      <w:szCs w:val="20"/>
      <w:lang w:val="en-US"/>
    </w:rPr>
  </w:style>
  <w:style w:type="paragraph" w:customStyle="1" w:styleId="Dedicatednumber">
    <w:name w:val="Dedicatednumber"/>
    <w:basedOn w:val="Norml"/>
    <w:pPr>
      <w:keepNext/>
      <w:widowControl/>
      <w:suppressAutoHyphens w:val="0"/>
      <w:spacing w:before="720"/>
      <w:jc w:val="center"/>
    </w:pPr>
    <w:rPr>
      <w:rFonts w:ascii="Arial" w:eastAsia="Times New Roman" w:hAnsi="Arial"/>
      <w:sz w:val="28"/>
      <w:szCs w:val="20"/>
      <w:lang w:val="en-US"/>
    </w:rPr>
  </w:style>
  <w:style w:type="paragraph" w:customStyle="1" w:styleId="Department">
    <w:name w:val="Department"/>
    <w:basedOn w:val="Norml"/>
    <w:pPr>
      <w:keepNext/>
      <w:widowControl/>
      <w:suppressAutoHyphens w:val="0"/>
      <w:spacing w:before="360"/>
      <w:jc w:val="center"/>
    </w:pPr>
    <w:rPr>
      <w:rFonts w:ascii="Arial" w:eastAsia="Times New Roman" w:hAnsi="Arial"/>
      <w:sz w:val="28"/>
      <w:szCs w:val="20"/>
      <w:lang w:val="en-US"/>
    </w:rPr>
  </w:style>
  <w:style w:type="paragraph" w:customStyle="1" w:styleId="Doctype">
    <w:name w:val="Doctype"/>
    <w:basedOn w:val="Dedicatednumber"/>
    <w:pPr>
      <w:spacing w:before="240"/>
      <w:jc w:val="left"/>
    </w:pPr>
    <w:rPr>
      <w:sz w:val="24"/>
    </w:rPr>
  </w:style>
  <w:style w:type="paragraph" w:customStyle="1" w:styleId="Firstpageinfo">
    <w:name w:val="Firstpageinfo"/>
    <w:basedOn w:val="Cmsor5"/>
    <w:pPr>
      <w:keepNext/>
      <w:keepLines/>
      <w:widowControl/>
      <w:suppressAutoHyphens w:val="0"/>
      <w:spacing w:after="0"/>
    </w:pPr>
    <w:rPr>
      <w:rFonts w:ascii="Arial" w:hAnsi="Arial"/>
      <w:bCs w:val="0"/>
      <w:i w:val="0"/>
      <w:iCs w:val="0"/>
      <w:sz w:val="24"/>
      <w:szCs w:val="24"/>
      <w:lang w:val="en-US"/>
    </w:rPr>
  </w:style>
  <w:style w:type="paragraph" w:customStyle="1" w:styleId="WW-CommentText">
    <w:name w:val="WW-Comment Text"/>
    <w:basedOn w:val="Norml"/>
    <w:rPr>
      <w:sz w:val="20"/>
      <w:szCs w:val="20"/>
    </w:rPr>
  </w:style>
  <w:style w:type="paragraph" w:customStyle="1" w:styleId="WW-CommentSubject">
    <w:name w:val="WW-Comment Subject"/>
    <w:basedOn w:val="WW-CommentText"/>
    <w:next w:val="WW-CommentText"/>
    <w:rPr>
      <w:b/>
      <w:bCs/>
    </w:rPr>
  </w:style>
  <w:style w:type="paragraph" w:customStyle="1" w:styleId="Comment">
    <w:name w:val="Comment"/>
    <w:basedOn w:val="Norml"/>
    <w:pPr>
      <w:keepLines/>
      <w:widowControl/>
      <w:suppressAutoHyphens w:val="0"/>
      <w:spacing w:before="120"/>
      <w:jc w:val="both"/>
    </w:pPr>
    <w:rPr>
      <w:i/>
      <w:color w:val="0000FF"/>
      <w:lang w:val="en-US"/>
    </w:rPr>
  </w:style>
  <w:style w:type="paragraph" w:customStyle="1" w:styleId="Table">
    <w:name w:val="Table"/>
    <w:basedOn w:val="Nottoc-headings"/>
    <w:pPr>
      <w:tabs>
        <w:tab w:val="left" w:pos="284"/>
      </w:tabs>
      <w:spacing w:before="40" w:after="20"/>
      <w:ind w:left="0" w:firstLine="0"/>
    </w:pPr>
    <w:rPr>
      <w:b w:val="0"/>
      <w:sz w:val="20"/>
      <w:szCs w:val="20"/>
      <w:lang w:val="en-US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Szvegtrzs"/>
  </w:style>
  <w:style w:type="paragraph" w:customStyle="1" w:styleId="WW-Kerettartalom">
    <w:name w:val="WW-Kerettartalom"/>
    <w:basedOn w:val="Szvegtrzs"/>
  </w:style>
  <w:style w:type="paragraph" w:customStyle="1" w:styleId="WW-NormlWeb">
    <w:name w:val="WW-Normál (Web)"/>
    <w:basedOn w:val="Norml"/>
    <w:pPr>
      <w:widowControl/>
      <w:suppressAutoHyphens w:val="0"/>
      <w:spacing w:before="280" w:after="119"/>
    </w:pPr>
    <w:rPr>
      <w:rFonts w:eastAsia="Times New Roman"/>
    </w:rPr>
  </w:style>
  <w:style w:type="paragraph" w:styleId="Buborkszveg">
    <w:name w:val="Balloon Text"/>
    <w:basedOn w:val="Norml"/>
    <w:semiHidden/>
    <w:rsid w:val="00B1167A"/>
    <w:rPr>
      <w:rFonts w:ascii="Tahoma" w:hAnsi="Tahoma" w:cs="Tahoma"/>
      <w:sz w:val="16"/>
      <w:szCs w:val="16"/>
    </w:rPr>
  </w:style>
  <w:style w:type="character" w:styleId="Jegyzethivatkozs">
    <w:name w:val="annotation reference"/>
    <w:uiPriority w:val="99"/>
    <w:rsid w:val="006B096E"/>
    <w:rPr>
      <w:sz w:val="16"/>
      <w:szCs w:val="16"/>
    </w:rPr>
  </w:style>
  <w:style w:type="paragraph" w:styleId="Jegyzetszveg">
    <w:name w:val="annotation text"/>
    <w:basedOn w:val="Norml"/>
    <w:link w:val="JegyzetszvegChar"/>
    <w:rsid w:val="006B096E"/>
    <w:rPr>
      <w:sz w:val="20"/>
      <w:szCs w:val="20"/>
      <w:lang w:val="x-none"/>
    </w:rPr>
  </w:style>
  <w:style w:type="paragraph" w:styleId="Megjegyzstrgya">
    <w:name w:val="annotation subject"/>
    <w:basedOn w:val="Jegyzetszveg"/>
    <w:next w:val="Jegyzetszveg"/>
    <w:semiHidden/>
    <w:rsid w:val="006B096E"/>
    <w:rPr>
      <w:b/>
      <w:bCs/>
    </w:rPr>
  </w:style>
  <w:style w:type="table" w:styleId="Rcsostblzat">
    <w:name w:val="Table Grid"/>
    <w:basedOn w:val="Normltblzat"/>
    <w:rsid w:val="001A5BA3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LatinArial">
    <w:name w:val="Normal + (Latin) Arial"/>
    <w:aliases w:val="(Complex) Arial,9 pt"/>
    <w:basedOn w:val="Norml"/>
    <w:rsid w:val="00F61288"/>
    <w:pPr>
      <w:widowControl/>
      <w:tabs>
        <w:tab w:val="left" w:pos="426"/>
      </w:tabs>
      <w:suppressAutoHyphens w:val="0"/>
    </w:pPr>
    <w:rPr>
      <w:rFonts w:ascii="Arial" w:eastAsia="MS Mincho" w:hAnsi="Arial"/>
      <w:sz w:val="18"/>
      <w:szCs w:val="18"/>
      <w:lang w:val="en-US" w:eastAsia="en-US"/>
    </w:rPr>
  </w:style>
  <w:style w:type="paragraph" w:styleId="Szvegtrzsbehzssal">
    <w:name w:val="Body Text Indent"/>
    <w:basedOn w:val="Norml"/>
    <w:rsid w:val="00D57B76"/>
    <w:pPr>
      <w:spacing w:after="120"/>
      <w:ind w:left="283"/>
    </w:pPr>
  </w:style>
  <w:style w:type="paragraph" w:customStyle="1" w:styleId="a">
    <w:basedOn w:val="Norml"/>
    <w:rsid w:val="00C7008B"/>
    <w:pPr>
      <w:widowControl/>
      <w:suppressAutoHyphens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rsid w:val="00BE6734"/>
    <w:pPr>
      <w:widowControl/>
      <w:suppressAutoHyphens w:val="0"/>
      <w:spacing w:before="100" w:beforeAutospacing="1" w:after="75"/>
    </w:pPr>
    <w:rPr>
      <w:rFonts w:eastAsia="Times New Roman"/>
      <w:color w:val="000000"/>
      <w:lang w:val="en-US" w:eastAsia="en-US" w:bidi="th-TH"/>
    </w:rPr>
  </w:style>
  <w:style w:type="paragraph" w:customStyle="1" w:styleId="CharChar1">
    <w:name w:val="Char Char1"/>
    <w:basedOn w:val="Norml"/>
    <w:rsid w:val="001B662C"/>
    <w:pPr>
      <w:widowControl/>
      <w:suppressAutoHyphens w:val="0"/>
      <w:spacing w:after="100" w:afterAutospacing="1"/>
    </w:pPr>
    <w:rPr>
      <w:rFonts w:eastAsia="Times New Roman" w:cs="Verdana"/>
      <w:sz w:val="22"/>
      <w:szCs w:val="20"/>
      <w:lang w:val="en-AU" w:eastAsia="en-US" w:bidi="gu-IN"/>
    </w:rPr>
  </w:style>
  <w:style w:type="paragraph" w:customStyle="1" w:styleId="CM8">
    <w:name w:val="CM8"/>
    <w:basedOn w:val="Norml"/>
    <w:next w:val="Norml"/>
    <w:uiPriority w:val="99"/>
    <w:rsid w:val="00431A09"/>
    <w:pPr>
      <w:suppressAutoHyphens w:val="0"/>
      <w:autoSpaceDE w:val="0"/>
      <w:autoSpaceDN w:val="0"/>
      <w:adjustRightInd w:val="0"/>
      <w:spacing w:after="265"/>
    </w:pPr>
    <w:rPr>
      <w:rFonts w:eastAsia="Times New Roman"/>
      <w:lang w:val="en-GB" w:eastAsia="en-GB"/>
    </w:rPr>
  </w:style>
  <w:style w:type="paragraph" w:customStyle="1" w:styleId="Revision1">
    <w:name w:val="Revision1"/>
    <w:hidden/>
    <w:uiPriority w:val="99"/>
    <w:semiHidden/>
    <w:rsid w:val="00F64D46"/>
    <w:rPr>
      <w:rFonts w:eastAsia="Lucida Sans Unicode"/>
      <w:sz w:val="24"/>
      <w:szCs w:val="24"/>
    </w:rPr>
  </w:style>
  <w:style w:type="character" w:styleId="Hiperhivatkozs">
    <w:name w:val="Hyperlink"/>
    <w:rsid w:val="00B31882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0D1A59"/>
    <w:rPr>
      <w:rFonts w:eastAsia="Lucida Sans Unicode"/>
      <w:sz w:val="24"/>
      <w:szCs w:val="24"/>
      <w:lang w:val="hu-HU"/>
    </w:rPr>
  </w:style>
  <w:style w:type="character" w:styleId="Mrltotthiperhivatkozs">
    <w:name w:val="FollowedHyperlink"/>
    <w:uiPriority w:val="99"/>
    <w:semiHidden/>
    <w:unhideWhenUsed/>
    <w:rsid w:val="00467B19"/>
    <w:rPr>
      <w:color w:val="800080"/>
      <w:u w:val="single"/>
    </w:rPr>
  </w:style>
  <w:style w:type="character" w:customStyle="1" w:styleId="gt-text">
    <w:name w:val="gt-text"/>
    <w:rsid w:val="00B01901"/>
  </w:style>
  <w:style w:type="character" w:customStyle="1" w:styleId="JegyzetszvegChar">
    <w:name w:val="Jegyzetszöveg Char"/>
    <w:link w:val="Jegyzetszveg"/>
    <w:rsid w:val="00A61CE0"/>
    <w:rPr>
      <w:rFonts w:eastAsia="Lucida Sans Unicode"/>
    </w:rPr>
  </w:style>
  <w:style w:type="paragraph" w:styleId="Vltozat">
    <w:name w:val="Revision"/>
    <w:hidden/>
    <w:uiPriority w:val="99"/>
    <w:semiHidden/>
    <w:rsid w:val="00AE17C8"/>
    <w:rPr>
      <w:rFonts w:eastAsia="Lucida Sans Unicode"/>
      <w:sz w:val="24"/>
      <w:szCs w:val="24"/>
    </w:rPr>
  </w:style>
  <w:style w:type="paragraph" w:customStyle="1" w:styleId="Normal1">
    <w:name w:val="Normal1"/>
    <w:basedOn w:val="Norml"/>
    <w:link w:val="NormalChar"/>
    <w:rsid w:val="00F5639C"/>
    <w:pPr>
      <w:autoSpaceDE w:val="0"/>
    </w:pPr>
    <w:rPr>
      <w:rFonts w:eastAsia="Times New Roman"/>
      <w:szCs w:val="20"/>
    </w:rPr>
  </w:style>
  <w:style w:type="character" w:customStyle="1" w:styleId="NormalChar">
    <w:name w:val="Normal Char"/>
    <w:link w:val="Normal1"/>
    <w:rsid w:val="00F5639C"/>
    <w:rPr>
      <w:sz w:val="24"/>
    </w:rPr>
  </w:style>
  <w:style w:type="character" w:customStyle="1" w:styleId="llbChar">
    <w:name w:val="Élőláb Char"/>
    <w:basedOn w:val="Bekezdsalapbettpusa"/>
    <w:link w:val="llb"/>
    <w:rsid w:val="0040428E"/>
    <w:rPr>
      <w:rFonts w:eastAsia="Lucida Sans Unicod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64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4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5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8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1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4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6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52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4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1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9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7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4C1A0-031D-477B-A861-8C6D9156C0A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20</Pages>
  <Words>8192</Words>
  <Characters>56531</Characters>
  <Application>Microsoft Office Word</Application>
  <DocSecurity>0</DocSecurity>
  <Lines>471</Lines>
  <Paragraphs>129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Novartis</Company>
  <LinksUpToDate>false</LinksUpToDate>
  <CharactersWithSpaces>64594</CharactersWithSpaces>
  <SharedDoc>false</SharedDoc>
  <HLinks>
    <vt:vector size="6" baseType="variant">
      <vt:variant>
        <vt:i4>131185</vt:i4>
      </vt:variant>
      <vt:variant>
        <vt:i4>0</vt:i4>
      </vt:variant>
      <vt:variant>
        <vt:i4>0</vt:i4>
      </vt:variant>
      <vt:variant>
        <vt:i4>5</vt:i4>
      </vt:variant>
      <vt:variant>
        <vt:lpwstr>https://www.ema.europa.eu/en/documents/template-form/qrd-appendix-v-adverse-drug-reaction-reporting-details_en.docx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szucssz1</dc:creator>
  <cp:keywords/>
  <cp:lastModifiedBy>HU OGYI 49.1</cp:lastModifiedBy>
  <cp:revision>6</cp:revision>
  <cp:lastPrinted>2014-07-02T14:27:00Z</cp:lastPrinted>
  <dcterms:created xsi:type="dcterms:W3CDTF">2026-07-29T08:21:00Z</dcterms:created>
  <dcterms:modified xsi:type="dcterms:W3CDTF">2026-07-29T11:27:00Z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c9bec58-8084-492e-8360-0e1cfe36408c_Enabled">
    <vt:lpwstr>true</vt:lpwstr>
  </property>
  <property fmtid="{D5CDD505-2E9C-101B-9397-08002B2CF9AE}" pid="3" name="MSIP_Label_3c9bec58-8084-492e-8360-0e1cfe36408c_SetDate">
    <vt:lpwstr>2022-09-28T12:28:46Z</vt:lpwstr>
  </property>
  <property fmtid="{D5CDD505-2E9C-101B-9397-08002B2CF9AE}" pid="4" name="MSIP_Label_3c9bec58-8084-492e-8360-0e1cfe36408c_Method">
    <vt:lpwstr>Standard</vt:lpwstr>
  </property>
  <property fmtid="{D5CDD505-2E9C-101B-9397-08002B2CF9AE}" pid="5" name="MSIP_Label_3c9bec58-8084-492e-8360-0e1cfe36408c_Name">
    <vt:lpwstr>Not Protected -Pilot</vt:lpwstr>
  </property>
  <property fmtid="{D5CDD505-2E9C-101B-9397-08002B2CF9AE}" pid="6" name="MSIP_Label_3c9bec58-8084-492e-8360-0e1cfe36408c_SiteId">
    <vt:lpwstr>f35a6974-607f-47d4-82d7-ff31d7dc53a5</vt:lpwstr>
  </property>
  <property fmtid="{D5CDD505-2E9C-101B-9397-08002B2CF9AE}" pid="7" name="MSIP_Label_3c9bec58-8084-492e-8360-0e1cfe36408c_ActionId">
    <vt:lpwstr>d1d93a18-6a3d-4b85-a8d4-3d9129cad092</vt:lpwstr>
  </property>
  <property fmtid="{D5CDD505-2E9C-101B-9397-08002B2CF9AE}" pid="8" name="MSIP_Label_3c9bec58-8084-492e-8360-0e1cfe36408c_ContentBits">
    <vt:lpwstr>0</vt:lpwstr>
  </property>
</Properties>
</file>