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7146" w14:textId="77777777" w:rsidR="009548D9" w:rsidRPr="00D173CD" w:rsidRDefault="009548D9" w:rsidP="00D173CD">
      <w:pPr>
        <w:pStyle w:val="Cmsor1"/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sz w:val="22"/>
          <w:szCs w:val="22"/>
          <w:lang w:val="hu-HU"/>
        </w:rPr>
      </w:pP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1</w:t>
      </w:r>
      <w:r w:rsidR="002E4E89"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.</w:t>
      </w: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ab/>
        <w:t>A GYÓGYSZER NEVE</w:t>
      </w:r>
    </w:p>
    <w:p w14:paraId="0E704A1F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rFonts w:eastAsia="Times New Roman"/>
          <w:snapToGrid/>
          <w:lang w:val="hu-HU" w:eastAsia="en-GB"/>
        </w:rPr>
      </w:pPr>
    </w:p>
    <w:p w14:paraId="04D849E0" w14:textId="77777777" w:rsidR="009548D9" w:rsidRPr="003C60DD" w:rsidRDefault="00050A9E" w:rsidP="00D173CD">
      <w:pPr>
        <w:pStyle w:val="Normlbehzs"/>
        <w:tabs>
          <w:tab w:val="left" w:pos="567"/>
        </w:tabs>
        <w:spacing w:after="0"/>
        <w:ind w:left="0"/>
        <w:rPr>
          <w:highlight w:val="lightGray"/>
          <w:lang w:val="hu-HU"/>
        </w:rPr>
      </w:pPr>
      <w:r w:rsidRPr="00D173CD">
        <w:rPr>
          <w:rFonts w:eastAsia="Times New Roman"/>
          <w:snapToGrid/>
          <w:lang w:val="hu-HU" w:eastAsia="en-GB"/>
        </w:rPr>
        <w:t>Nebivolol Egis</w:t>
      </w:r>
      <w:r w:rsidR="00690188" w:rsidRPr="00D173CD">
        <w:rPr>
          <w:rFonts w:eastAsia="Times New Roman"/>
          <w:snapToGrid/>
          <w:lang w:val="hu-HU" w:eastAsia="en-GB"/>
        </w:rPr>
        <w:t xml:space="preserve"> 5 mg tabletta</w:t>
      </w:r>
    </w:p>
    <w:p w14:paraId="7896DC34" w14:textId="77777777" w:rsidR="007C0275" w:rsidRPr="003C60DD" w:rsidRDefault="007C0275" w:rsidP="00D173CD">
      <w:pPr>
        <w:pStyle w:val="Normlbehzs"/>
        <w:tabs>
          <w:tab w:val="left" w:pos="567"/>
        </w:tabs>
        <w:spacing w:after="0"/>
        <w:ind w:left="0"/>
        <w:rPr>
          <w:highlight w:val="lightGray"/>
          <w:lang w:val="hu-HU"/>
        </w:rPr>
      </w:pPr>
    </w:p>
    <w:p w14:paraId="4E8AC22F" w14:textId="77777777" w:rsidR="007C0275" w:rsidRPr="003C60DD" w:rsidRDefault="007C0275" w:rsidP="00D173CD">
      <w:pPr>
        <w:pStyle w:val="Normlbehzs"/>
        <w:tabs>
          <w:tab w:val="left" w:pos="567"/>
        </w:tabs>
        <w:spacing w:after="0"/>
        <w:ind w:left="0"/>
        <w:rPr>
          <w:rFonts w:eastAsia="Times New Roman"/>
          <w:snapToGrid/>
          <w:highlight w:val="lightGray"/>
          <w:lang w:val="hu-HU" w:eastAsia="en-GB"/>
        </w:rPr>
      </w:pPr>
    </w:p>
    <w:p w14:paraId="3C485253" w14:textId="77777777" w:rsidR="009548D9" w:rsidRPr="00D173CD" w:rsidRDefault="009548D9" w:rsidP="00D173CD">
      <w:pPr>
        <w:pStyle w:val="Cmsor1"/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sz w:val="22"/>
          <w:szCs w:val="22"/>
          <w:lang w:val="hu-HU"/>
        </w:rPr>
      </w:pP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2</w:t>
      </w:r>
      <w:r w:rsidR="002E4E89"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.</w:t>
      </w: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ab/>
        <w:t>MINŐSÉGI ÉS MENNYISÉGI ÖSSZETÉTEL</w:t>
      </w:r>
    </w:p>
    <w:p w14:paraId="3D8B1E68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1D1A56F9" w14:textId="7AA8EF6D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rFonts w:eastAsia="Times New Roman"/>
          <w:snapToGrid/>
          <w:lang w:val="hu-HU" w:eastAsia="en-GB"/>
        </w:rPr>
      </w:pPr>
      <w:r w:rsidRPr="00D173CD">
        <w:rPr>
          <w:rFonts w:eastAsia="Times New Roman"/>
          <w:snapToGrid/>
          <w:lang w:val="hu-HU" w:eastAsia="en-GB"/>
        </w:rPr>
        <w:t>5</w:t>
      </w:r>
      <w:r w:rsidR="0063406C" w:rsidRPr="00D173CD">
        <w:rPr>
          <w:rFonts w:eastAsia="Times New Roman"/>
          <w:snapToGrid/>
          <w:lang w:val="hu-HU" w:eastAsia="en-GB"/>
        </w:rPr>
        <w:t> mg</w:t>
      </w:r>
      <w:r w:rsidRPr="00D173CD">
        <w:rPr>
          <w:rFonts w:eastAsia="Times New Roman"/>
          <w:snapToGrid/>
          <w:lang w:val="hu-HU" w:eastAsia="en-GB"/>
        </w:rPr>
        <w:t xml:space="preserve"> nebivololnak megfelelő </w:t>
      </w:r>
      <w:r w:rsidR="004037E2" w:rsidRPr="00D173CD">
        <w:rPr>
          <w:rFonts w:eastAsia="Times New Roman"/>
          <w:snapToGrid/>
          <w:lang w:val="hu-HU" w:eastAsia="en-GB"/>
        </w:rPr>
        <w:t>5,45 </w:t>
      </w:r>
      <w:r w:rsidR="0014717A" w:rsidRPr="00D173CD">
        <w:rPr>
          <w:rFonts w:eastAsia="Times New Roman"/>
          <w:snapToGrid/>
          <w:lang w:val="hu-HU" w:eastAsia="en-GB"/>
        </w:rPr>
        <w:t xml:space="preserve">mg </w:t>
      </w:r>
      <w:r w:rsidRPr="00D173CD">
        <w:rPr>
          <w:rFonts w:eastAsia="Times New Roman"/>
          <w:snapToGrid/>
          <w:lang w:val="hu-HU" w:eastAsia="en-GB"/>
        </w:rPr>
        <w:t>nebivolol</w:t>
      </w:r>
      <w:r w:rsidR="00794FFC" w:rsidRPr="00D173CD">
        <w:rPr>
          <w:rFonts w:eastAsia="Times New Roman"/>
          <w:snapToGrid/>
          <w:lang w:val="hu-HU" w:eastAsia="en-GB"/>
        </w:rPr>
        <w:noBreakHyphen/>
      </w:r>
      <w:r w:rsidRPr="00D173CD">
        <w:rPr>
          <w:rFonts w:eastAsia="Times New Roman"/>
          <w:snapToGrid/>
          <w:lang w:val="hu-HU" w:eastAsia="en-GB"/>
        </w:rPr>
        <w:t>hidroklorid</w:t>
      </w:r>
      <w:r w:rsidR="005E430F">
        <w:rPr>
          <w:rFonts w:eastAsia="Times New Roman"/>
          <w:snapToGrid/>
          <w:lang w:val="hu-HU" w:eastAsia="en-GB"/>
        </w:rPr>
        <w:t>ot tartalmaz</w:t>
      </w:r>
      <w:r w:rsidRPr="00D173CD">
        <w:rPr>
          <w:rFonts w:eastAsia="Times New Roman"/>
          <w:snapToGrid/>
          <w:lang w:val="hu-HU" w:eastAsia="en-GB"/>
        </w:rPr>
        <w:t xml:space="preserve"> tablettánként</w:t>
      </w:r>
      <w:r w:rsidR="005317B1" w:rsidRPr="00D173CD">
        <w:rPr>
          <w:rFonts w:eastAsia="Times New Roman"/>
          <w:snapToGrid/>
          <w:lang w:val="hu-HU" w:eastAsia="en-GB"/>
        </w:rPr>
        <w:t>.</w:t>
      </w:r>
    </w:p>
    <w:p w14:paraId="1687441C" w14:textId="77777777" w:rsidR="00AB0957" w:rsidRPr="00D173CD" w:rsidRDefault="00AB0957" w:rsidP="00D173CD">
      <w:pPr>
        <w:pStyle w:val="Normlbehzs"/>
        <w:tabs>
          <w:tab w:val="left" w:pos="567"/>
        </w:tabs>
        <w:spacing w:after="0"/>
        <w:ind w:left="0"/>
        <w:rPr>
          <w:rFonts w:eastAsia="Times New Roman"/>
          <w:snapToGrid/>
          <w:lang w:val="hu-HU" w:eastAsia="en-GB"/>
        </w:rPr>
      </w:pPr>
    </w:p>
    <w:p w14:paraId="1F10A003" w14:textId="72035FE8" w:rsidR="003E54E5" w:rsidRPr="00D173CD" w:rsidRDefault="003B737D" w:rsidP="00D173CD">
      <w:pPr>
        <w:pStyle w:val="Normlbehzs"/>
        <w:tabs>
          <w:tab w:val="left" w:pos="567"/>
        </w:tabs>
        <w:spacing w:after="0"/>
        <w:ind w:left="0"/>
        <w:rPr>
          <w:rFonts w:eastAsia="Times New Roman"/>
          <w:snapToGrid/>
          <w:lang w:val="hu-HU" w:eastAsia="en-GB"/>
        </w:rPr>
      </w:pPr>
      <w:r w:rsidRPr="00D173CD">
        <w:rPr>
          <w:bCs/>
          <w:noProof/>
          <w:u w:val="single"/>
          <w:lang w:val="hu-HU"/>
        </w:rPr>
        <w:t xml:space="preserve">Ismert hatású </w:t>
      </w:r>
      <w:r w:rsidR="00690188" w:rsidRPr="00D173CD">
        <w:rPr>
          <w:rFonts w:eastAsia="Times New Roman"/>
          <w:snapToGrid/>
          <w:u w:val="single"/>
          <w:lang w:val="hu-HU" w:eastAsia="en-GB"/>
        </w:rPr>
        <w:t>segédanyag</w:t>
      </w:r>
      <w:r w:rsidR="005E430F">
        <w:rPr>
          <w:rFonts w:eastAsia="Times New Roman"/>
          <w:snapToGrid/>
          <w:u w:val="single"/>
          <w:lang w:val="hu-HU" w:eastAsia="en-GB"/>
        </w:rPr>
        <w:t>:</w:t>
      </w:r>
    </w:p>
    <w:p w14:paraId="5E4C9BBE" w14:textId="27670478" w:rsidR="009548D9" w:rsidRPr="00D173CD" w:rsidRDefault="00A22773" w:rsidP="00D173CD">
      <w:pPr>
        <w:pStyle w:val="Normlbehzs"/>
        <w:tabs>
          <w:tab w:val="left" w:pos="567"/>
        </w:tabs>
        <w:spacing w:after="0"/>
        <w:ind w:left="0"/>
        <w:rPr>
          <w:rFonts w:eastAsia="Times New Roman"/>
          <w:snapToGrid/>
          <w:lang w:val="hu-HU" w:eastAsia="en-GB"/>
        </w:rPr>
      </w:pPr>
      <w:r w:rsidRPr="00D173CD">
        <w:rPr>
          <w:rFonts w:eastAsia="Times New Roman"/>
          <w:snapToGrid/>
          <w:lang w:val="hu-HU" w:eastAsia="en-GB"/>
        </w:rPr>
        <w:t>145,0</w:t>
      </w:r>
      <w:r w:rsidR="00AB0957" w:rsidRPr="00D173CD">
        <w:rPr>
          <w:rFonts w:eastAsia="Times New Roman"/>
          <w:snapToGrid/>
          <w:lang w:val="hu-HU" w:eastAsia="en-GB"/>
        </w:rPr>
        <w:t> </w:t>
      </w:r>
      <w:r w:rsidR="00690188" w:rsidRPr="00D173CD">
        <w:rPr>
          <w:rFonts w:eastAsia="Times New Roman"/>
          <w:snapToGrid/>
          <w:lang w:val="hu-HU" w:eastAsia="en-GB"/>
        </w:rPr>
        <w:t>mg</w:t>
      </w:r>
      <w:r w:rsidR="009548D9" w:rsidRPr="00D173CD">
        <w:rPr>
          <w:rFonts w:eastAsia="Times New Roman"/>
          <w:snapToGrid/>
          <w:lang w:val="hu-HU" w:eastAsia="en-GB"/>
        </w:rPr>
        <w:t xml:space="preserve"> laktóz</w:t>
      </w:r>
      <w:r w:rsidR="00794FFC" w:rsidRPr="00D173CD">
        <w:rPr>
          <w:rFonts w:eastAsia="Times New Roman"/>
          <w:snapToGrid/>
          <w:lang w:val="hu-HU" w:eastAsia="en-GB"/>
        </w:rPr>
        <w:noBreakHyphen/>
      </w:r>
      <w:r w:rsidR="009548D9" w:rsidRPr="00D173CD">
        <w:rPr>
          <w:rFonts w:eastAsia="Times New Roman"/>
          <w:snapToGrid/>
          <w:lang w:val="hu-HU" w:eastAsia="en-GB"/>
        </w:rPr>
        <w:t>monohidrát</w:t>
      </w:r>
      <w:r w:rsidR="005E430F">
        <w:rPr>
          <w:rFonts w:eastAsia="Times New Roman"/>
          <w:snapToGrid/>
          <w:lang w:val="hu-HU" w:eastAsia="en-GB"/>
        </w:rPr>
        <w:t>ot tartalmaz</w:t>
      </w:r>
      <w:r w:rsidR="009548D9" w:rsidRPr="00D173CD">
        <w:rPr>
          <w:rFonts w:eastAsia="Times New Roman"/>
          <w:snapToGrid/>
          <w:lang w:val="hu-HU" w:eastAsia="en-GB"/>
        </w:rPr>
        <w:t xml:space="preserve"> tablettánként</w:t>
      </w:r>
      <w:r w:rsidR="005317B1" w:rsidRPr="00D173CD">
        <w:rPr>
          <w:rFonts w:eastAsia="Times New Roman"/>
          <w:snapToGrid/>
          <w:lang w:val="hu-HU" w:eastAsia="en-GB"/>
        </w:rPr>
        <w:t>.</w:t>
      </w:r>
    </w:p>
    <w:p w14:paraId="3BFFC35B" w14:textId="77777777" w:rsidR="005317B1" w:rsidRPr="00D173CD" w:rsidRDefault="005317B1" w:rsidP="00D173CD">
      <w:pPr>
        <w:pStyle w:val="Normlbehzs"/>
        <w:tabs>
          <w:tab w:val="left" w:pos="567"/>
        </w:tabs>
        <w:spacing w:after="0"/>
        <w:ind w:left="0"/>
        <w:rPr>
          <w:rFonts w:eastAsia="Times New Roman"/>
          <w:snapToGrid/>
          <w:lang w:val="hu-HU" w:eastAsia="en-GB"/>
        </w:rPr>
      </w:pPr>
    </w:p>
    <w:p w14:paraId="5DF65326" w14:textId="77777777" w:rsidR="008635D1" w:rsidRPr="00D173CD" w:rsidRDefault="00690188" w:rsidP="00D173CD">
      <w:pPr>
        <w:pStyle w:val="Normlbehzs"/>
        <w:tabs>
          <w:tab w:val="left" w:pos="567"/>
        </w:tabs>
        <w:spacing w:after="0"/>
        <w:ind w:left="0"/>
        <w:rPr>
          <w:bCs/>
          <w:noProof/>
          <w:lang w:val="hu-HU"/>
        </w:rPr>
      </w:pPr>
      <w:r w:rsidRPr="00D173CD">
        <w:rPr>
          <w:bCs/>
          <w:noProof/>
          <w:lang w:val="hu-HU"/>
        </w:rPr>
        <w:t>A segédanyagok teljes listáját lásd a 6.1</w:t>
      </w:r>
      <w:r w:rsidR="00AB0957" w:rsidRPr="00D173CD">
        <w:rPr>
          <w:bCs/>
          <w:noProof/>
          <w:lang w:val="hu-HU"/>
        </w:rPr>
        <w:t> </w:t>
      </w:r>
      <w:r w:rsidRPr="00D173CD">
        <w:rPr>
          <w:bCs/>
          <w:noProof/>
          <w:lang w:val="hu-HU"/>
        </w:rPr>
        <w:t>pontban.</w:t>
      </w:r>
    </w:p>
    <w:p w14:paraId="4DE0B185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007178E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B1F6D10" w14:textId="77777777" w:rsidR="009548D9" w:rsidRPr="00D173CD" w:rsidRDefault="009548D9" w:rsidP="00D173CD">
      <w:pPr>
        <w:pStyle w:val="Cmsor1"/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sz w:val="22"/>
          <w:szCs w:val="22"/>
          <w:lang w:val="hu-HU"/>
        </w:rPr>
      </w:pP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3</w:t>
      </w:r>
      <w:r w:rsidR="002E4E89"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.</w:t>
      </w: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ab/>
        <w:t>GYÓGYSZERFORMA</w:t>
      </w:r>
    </w:p>
    <w:p w14:paraId="2FA7EDC8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859EBF2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Tabletta</w:t>
      </w:r>
      <w:r w:rsidR="00996C4C" w:rsidRPr="00D173CD">
        <w:rPr>
          <w:lang w:val="hu-HU"/>
        </w:rPr>
        <w:t>.</w:t>
      </w:r>
    </w:p>
    <w:p w14:paraId="0CBD7809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BB2B1EE" w14:textId="77777777" w:rsidR="009548D9" w:rsidRPr="00D173CD" w:rsidRDefault="00AB0957" w:rsidP="00D173CD">
      <w:pPr>
        <w:pStyle w:val="Normlbehzs"/>
        <w:tabs>
          <w:tab w:val="left" w:pos="567"/>
        </w:tabs>
        <w:spacing w:after="0"/>
        <w:ind w:left="0"/>
        <w:rPr>
          <w:rFonts w:eastAsia="Times New Roman"/>
          <w:snapToGrid/>
          <w:lang w:val="hu-HU" w:eastAsia="en-GB"/>
        </w:rPr>
      </w:pPr>
      <w:r w:rsidRPr="00D173CD">
        <w:rPr>
          <w:rFonts w:eastAsia="Times New Roman"/>
          <w:snapToGrid/>
          <w:lang w:val="hu-HU" w:eastAsia="en-GB"/>
        </w:rPr>
        <w:t>K</w:t>
      </w:r>
      <w:r w:rsidR="009548D9" w:rsidRPr="00D173CD">
        <w:rPr>
          <w:rFonts w:eastAsia="Times New Roman"/>
          <w:snapToGrid/>
          <w:lang w:val="hu-HU" w:eastAsia="en-GB"/>
        </w:rPr>
        <w:t xml:space="preserve">erek, fehér, vékony, mindkét oldalán domború felületű, </w:t>
      </w:r>
      <w:r w:rsidR="007C5F28" w:rsidRPr="00D173CD">
        <w:rPr>
          <w:rFonts w:eastAsia="Times New Roman"/>
          <w:snapToGrid/>
          <w:lang w:val="hu-HU" w:eastAsia="en-GB"/>
        </w:rPr>
        <w:t xml:space="preserve">bevonat nélküli, </w:t>
      </w:r>
      <w:r w:rsidR="009548D9" w:rsidRPr="00D173CD">
        <w:rPr>
          <w:rFonts w:eastAsia="Times New Roman"/>
          <w:snapToGrid/>
          <w:lang w:val="hu-HU" w:eastAsia="en-GB"/>
        </w:rPr>
        <w:t xml:space="preserve">egyik oldalán a </w:t>
      </w:r>
      <w:r w:rsidR="00CB653E" w:rsidRPr="00D173CD">
        <w:rPr>
          <w:rFonts w:eastAsia="Times New Roman"/>
          <w:snapToGrid/>
          <w:lang w:val="hu-HU" w:eastAsia="en-GB"/>
        </w:rPr>
        <w:t>bemetszés</w:t>
      </w:r>
      <w:r w:rsidR="00FF4EAA" w:rsidRPr="00D173CD">
        <w:rPr>
          <w:rFonts w:eastAsia="Times New Roman"/>
          <w:snapToGrid/>
          <w:lang w:val="hu-HU" w:eastAsia="en-GB"/>
        </w:rPr>
        <w:t xml:space="preserve"> </w:t>
      </w:r>
      <w:r w:rsidR="009548D9" w:rsidRPr="00D173CD">
        <w:rPr>
          <w:rFonts w:eastAsia="Times New Roman"/>
          <w:snapToGrid/>
          <w:lang w:val="hu-HU" w:eastAsia="en-GB"/>
        </w:rPr>
        <w:t xml:space="preserve">két oldalán </w:t>
      </w:r>
      <w:r w:rsidR="006841C5" w:rsidRPr="00D173CD">
        <w:rPr>
          <w:rFonts w:eastAsia="Times New Roman"/>
          <w:snapToGrid/>
          <w:lang w:val="hu-HU" w:eastAsia="en-GB"/>
        </w:rPr>
        <w:t xml:space="preserve">bemetszett </w:t>
      </w:r>
      <w:r w:rsidR="009548D9" w:rsidRPr="00D173CD">
        <w:rPr>
          <w:rFonts w:eastAsia="Times New Roman"/>
          <w:snapToGrid/>
          <w:lang w:val="hu-HU" w:eastAsia="en-GB"/>
        </w:rPr>
        <w:t xml:space="preserve">„N” és „L” jelöléssel </w:t>
      </w:r>
      <w:r w:rsidR="002E2E2F" w:rsidRPr="00D173CD">
        <w:rPr>
          <w:rFonts w:eastAsia="Times New Roman"/>
          <w:snapToGrid/>
          <w:lang w:val="hu-HU" w:eastAsia="en-GB"/>
        </w:rPr>
        <w:t>ellátott</w:t>
      </w:r>
      <w:r w:rsidR="009548D9" w:rsidRPr="00D173CD">
        <w:rPr>
          <w:rFonts w:eastAsia="Times New Roman"/>
          <w:snapToGrid/>
          <w:lang w:val="hu-HU" w:eastAsia="en-GB"/>
        </w:rPr>
        <w:t>, másik oldalán sima</w:t>
      </w:r>
      <w:r w:rsidR="002E2E2F" w:rsidRPr="00D173CD">
        <w:rPr>
          <w:rFonts w:eastAsia="Times New Roman"/>
          <w:snapToGrid/>
          <w:lang w:val="hu-HU" w:eastAsia="en-GB"/>
        </w:rPr>
        <w:t xml:space="preserve"> tabletta</w:t>
      </w:r>
      <w:r w:rsidR="004D47E4" w:rsidRPr="00D173CD">
        <w:rPr>
          <w:rFonts w:eastAsia="Times New Roman"/>
          <w:snapToGrid/>
          <w:lang w:val="hu-HU" w:eastAsia="en-GB"/>
        </w:rPr>
        <w:t>.</w:t>
      </w:r>
    </w:p>
    <w:p w14:paraId="7160EE4B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tabletta egyenlő adagokra osztható.</w:t>
      </w:r>
    </w:p>
    <w:p w14:paraId="2EA2B699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343CF18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B6C9872" w14:textId="77777777" w:rsidR="009548D9" w:rsidRPr="00D173CD" w:rsidRDefault="009548D9" w:rsidP="00D173CD">
      <w:pPr>
        <w:pStyle w:val="Cmsor1"/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sz w:val="22"/>
          <w:szCs w:val="22"/>
          <w:lang w:val="hu-HU"/>
        </w:rPr>
      </w:pP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4</w:t>
      </w:r>
      <w:r w:rsidR="002E4E89"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.</w:t>
      </w: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ab/>
        <w:t>KLINIKAI JELLEMZŐK</w:t>
      </w:r>
    </w:p>
    <w:p w14:paraId="20212741" w14:textId="77777777" w:rsidR="002E4E89" w:rsidRPr="00D173CD" w:rsidRDefault="002E4E8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</w:p>
    <w:p w14:paraId="32EBBA49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4.1</w:t>
      </w:r>
      <w:r w:rsidRPr="00D173CD">
        <w:rPr>
          <w:rFonts w:ascii="Times New Roman" w:hAnsi="Times New Roman" w:cs="Times New Roman"/>
        </w:rPr>
        <w:tab/>
        <w:t>Terápiás javallatok</w:t>
      </w:r>
    </w:p>
    <w:p w14:paraId="18565BE9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4410C7DF" w14:textId="77777777" w:rsidR="009548D9" w:rsidRPr="00D173CD" w:rsidRDefault="006841C5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>Hypertonia</w:t>
      </w:r>
    </w:p>
    <w:p w14:paraId="52D081C3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Esszenciális </w:t>
      </w:r>
      <w:r w:rsidR="006841C5" w:rsidRPr="00D173CD">
        <w:rPr>
          <w:lang w:val="hu-HU"/>
        </w:rPr>
        <w:t>hypertonia</w:t>
      </w:r>
      <w:r w:rsidRPr="00D173CD">
        <w:rPr>
          <w:lang w:val="hu-HU"/>
        </w:rPr>
        <w:t xml:space="preserve"> kezelése.</w:t>
      </w:r>
    </w:p>
    <w:p w14:paraId="240F082F" w14:textId="77777777" w:rsidR="005317B1" w:rsidRPr="00D173CD" w:rsidRDefault="005317B1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FB9AD97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u w:val="single"/>
          <w:lang w:val="hu-HU"/>
        </w:rPr>
        <w:t>Krónikus szívelégtelenség</w:t>
      </w:r>
    </w:p>
    <w:p w14:paraId="414574BD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Stabil, enyhe</w:t>
      </w:r>
      <w:r w:rsidR="00DD18D0" w:rsidRPr="00D173CD">
        <w:rPr>
          <w:lang w:val="hu-HU"/>
        </w:rPr>
        <w:t>,</w:t>
      </w:r>
      <w:r w:rsidRPr="00D173CD">
        <w:rPr>
          <w:lang w:val="hu-HU"/>
        </w:rPr>
        <w:t xml:space="preserve"> illetve középsúlyos krónikus szívelégtelenség kezelése a standard terápia kiegészítéseként </w:t>
      </w:r>
      <w:r w:rsidR="002E2E2F" w:rsidRPr="00D173CD">
        <w:rPr>
          <w:lang w:val="hu-HU"/>
        </w:rPr>
        <w:t>idős (</w:t>
      </w:r>
      <w:r w:rsidR="00D73BB9" w:rsidRPr="00D173CD">
        <w:rPr>
          <w:lang w:val="hu-HU"/>
        </w:rPr>
        <w:t>≥</w:t>
      </w:r>
      <w:r w:rsidR="00270159" w:rsidRPr="00D173CD">
        <w:rPr>
          <w:lang w:val="hu-HU"/>
        </w:rPr>
        <w:t> </w:t>
      </w:r>
      <w:r w:rsidR="004D47E4" w:rsidRPr="00D173CD">
        <w:rPr>
          <w:lang w:val="hu-HU"/>
        </w:rPr>
        <w:t>70 </w:t>
      </w:r>
      <w:r w:rsidRPr="00D173CD">
        <w:rPr>
          <w:lang w:val="hu-HU"/>
        </w:rPr>
        <w:t>év</w:t>
      </w:r>
      <w:r w:rsidR="002E2E2F" w:rsidRPr="00D173CD">
        <w:rPr>
          <w:lang w:val="hu-HU"/>
        </w:rPr>
        <w:t>)</w:t>
      </w:r>
      <w:r w:rsidRPr="00D173CD">
        <w:rPr>
          <w:lang w:val="hu-HU"/>
        </w:rPr>
        <w:t xml:space="preserve"> betegeknél.</w:t>
      </w:r>
    </w:p>
    <w:p w14:paraId="209C4C4E" w14:textId="77777777" w:rsidR="002E4E89" w:rsidRPr="00D173CD" w:rsidRDefault="002E4E8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</w:p>
    <w:p w14:paraId="2728176A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4.2</w:t>
      </w:r>
      <w:r w:rsidRPr="00D173CD">
        <w:rPr>
          <w:rFonts w:ascii="Times New Roman" w:hAnsi="Times New Roman" w:cs="Times New Roman"/>
        </w:rPr>
        <w:tab/>
        <w:t>Adagolás és alkalmazás</w:t>
      </w:r>
    </w:p>
    <w:p w14:paraId="4817177F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38ED42BF" w14:textId="77777777" w:rsidR="000F3923" w:rsidRPr="00D173CD" w:rsidRDefault="000F3923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>Adagolás</w:t>
      </w:r>
    </w:p>
    <w:p w14:paraId="01266A8A" w14:textId="77777777" w:rsidR="000F3923" w:rsidRPr="00D173CD" w:rsidRDefault="000F3923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39D1D8BF" w14:textId="77777777" w:rsidR="009548D9" w:rsidRPr="00D173CD" w:rsidRDefault="004D47E4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u w:val="single"/>
          <w:lang w:val="hu-HU"/>
        </w:rPr>
        <w:t>Hypertonia</w:t>
      </w:r>
    </w:p>
    <w:p w14:paraId="4274DC19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182C7FAE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  <w:r w:rsidRPr="00D173CD">
        <w:rPr>
          <w:i/>
          <w:iCs/>
          <w:lang w:val="hu-HU"/>
        </w:rPr>
        <w:t>Felnőttek</w:t>
      </w:r>
    </w:p>
    <w:p w14:paraId="7E2AEC75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FBE31D3" w14:textId="541AB60C" w:rsidR="009548D9" w:rsidRPr="00D173CD" w:rsidRDefault="00AB0957" w:rsidP="00D173CD">
      <w:pPr>
        <w:pStyle w:val="Normlbehzs"/>
        <w:tabs>
          <w:tab w:val="left" w:pos="567"/>
        </w:tabs>
        <w:spacing w:after="0"/>
        <w:ind w:left="0"/>
        <w:rPr>
          <w:rFonts w:eastAsia="Times New Roman"/>
          <w:snapToGrid/>
          <w:lang w:val="hu-HU" w:eastAsia="en-GB"/>
        </w:rPr>
      </w:pPr>
      <w:r w:rsidRPr="00D173CD">
        <w:rPr>
          <w:rFonts w:eastAsia="Times New Roman"/>
          <w:snapToGrid/>
          <w:lang w:val="hu-HU" w:eastAsia="en-GB"/>
        </w:rPr>
        <w:t>A</w:t>
      </w:r>
      <w:r w:rsidR="002E2E2F" w:rsidRPr="00D173CD">
        <w:rPr>
          <w:rFonts w:eastAsia="Times New Roman"/>
          <w:snapToGrid/>
          <w:lang w:val="hu-HU" w:eastAsia="en-GB"/>
        </w:rPr>
        <w:t xml:space="preserve"> d</w:t>
      </w:r>
      <w:r w:rsidR="005E430F">
        <w:rPr>
          <w:rFonts w:eastAsia="Times New Roman"/>
          <w:snapToGrid/>
          <w:lang w:val="hu-HU" w:eastAsia="en-GB"/>
        </w:rPr>
        <w:t>ózis</w:t>
      </w:r>
      <w:r w:rsidR="009548D9" w:rsidRPr="00D173CD">
        <w:rPr>
          <w:rFonts w:eastAsia="Times New Roman"/>
          <w:snapToGrid/>
          <w:lang w:val="hu-HU" w:eastAsia="en-GB"/>
        </w:rPr>
        <w:t xml:space="preserve"> </w:t>
      </w:r>
      <w:r w:rsidR="00C20CBB" w:rsidRPr="00D173CD">
        <w:rPr>
          <w:rFonts w:eastAsia="Times New Roman"/>
          <w:snapToGrid/>
          <w:lang w:val="hu-HU" w:eastAsia="en-GB"/>
        </w:rPr>
        <w:t xml:space="preserve">napi </w:t>
      </w:r>
      <w:r w:rsidR="009548D9" w:rsidRPr="00D173CD">
        <w:rPr>
          <w:rFonts w:eastAsia="Times New Roman"/>
          <w:snapToGrid/>
          <w:lang w:val="hu-HU" w:eastAsia="en-GB"/>
        </w:rPr>
        <w:t>5</w:t>
      </w:r>
      <w:r w:rsidR="0063406C" w:rsidRPr="00D173CD">
        <w:rPr>
          <w:rFonts w:eastAsia="Times New Roman"/>
          <w:snapToGrid/>
          <w:lang w:val="hu-HU" w:eastAsia="en-GB"/>
        </w:rPr>
        <w:t> mg</w:t>
      </w:r>
      <w:r w:rsidR="009548D9" w:rsidRPr="00D173CD">
        <w:rPr>
          <w:rFonts w:eastAsia="Times New Roman"/>
          <w:snapToGrid/>
          <w:lang w:val="hu-HU" w:eastAsia="en-GB"/>
        </w:rPr>
        <w:t xml:space="preserve"> (egy tabletta),</w:t>
      </w:r>
      <w:r w:rsidR="002E2E2F" w:rsidRPr="00D173CD">
        <w:rPr>
          <w:rFonts w:eastAsia="Times New Roman"/>
          <w:snapToGrid/>
          <w:lang w:val="hu-HU" w:eastAsia="en-GB"/>
        </w:rPr>
        <w:t xml:space="preserve"> amit</w:t>
      </w:r>
      <w:r w:rsidR="009548D9" w:rsidRPr="00D173CD">
        <w:rPr>
          <w:rFonts w:eastAsia="Times New Roman"/>
          <w:snapToGrid/>
          <w:lang w:val="hu-HU" w:eastAsia="en-GB"/>
        </w:rPr>
        <w:t xml:space="preserve"> lehetőség szerint a nap ugyanazon szakában</w:t>
      </w:r>
      <w:r w:rsidR="002E2E2F" w:rsidRPr="00D173CD">
        <w:rPr>
          <w:rFonts w:eastAsia="Times New Roman"/>
          <w:snapToGrid/>
          <w:lang w:val="hu-HU" w:eastAsia="en-GB"/>
        </w:rPr>
        <w:t xml:space="preserve"> kell bevenni</w:t>
      </w:r>
      <w:r w:rsidR="009548D9" w:rsidRPr="00D173CD">
        <w:rPr>
          <w:rFonts w:eastAsia="Times New Roman"/>
          <w:snapToGrid/>
          <w:lang w:val="hu-HU" w:eastAsia="en-GB"/>
        </w:rPr>
        <w:t>.</w:t>
      </w:r>
    </w:p>
    <w:p w14:paraId="4E8A4617" w14:textId="77777777" w:rsidR="00094362" w:rsidRPr="00D173CD" w:rsidRDefault="00094362" w:rsidP="00D173CD">
      <w:pPr>
        <w:pStyle w:val="Normlbehzs1"/>
        <w:tabs>
          <w:tab w:val="left" w:pos="567"/>
        </w:tabs>
        <w:spacing w:after="0"/>
        <w:ind w:left="0"/>
        <w:rPr>
          <w:lang w:val="hu-HU"/>
        </w:rPr>
      </w:pPr>
    </w:p>
    <w:p w14:paraId="29AFC36A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vérnyomáscsökkentő hatás 1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2</w:t>
      </w:r>
      <w:r w:rsidR="004D47E4" w:rsidRPr="00D173CD">
        <w:rPr>
          <w:lang w:val="hu-HU"/>
        </w:rPr>
        <w:t> </w:t>
      </w:r>
      <w:r w:rsidRPr="00D173CD">
        <w:rPr>
          <w:lang w:val="hu-HU"/>
        </w:rPr>
        <w:t>hetes kezelés után észlelhető. Esetenként az optimális hatás csak 4</w:t>
      </w:r>
      <w:r w:rsidR="004D47E4" w:rsidRPr="00D173CD">
        <w:rPr>
          <w:lang w:val="hu-HU"/>
        </w:rPr>
        <w:t> </w:t>
      </w:r>
      <w:r w:rsidRPr="00D173CD">
        <w:rPr>
          <w:lang w:val="hu-HU"/>
        </w:rPr>
        <w:t xml:space="preserve">hét után </w:t>
      </w:r>
      <w:r w:rsidR="003F22ED" w:rsidRPr="00D173CD">
        <w:rPr>
          <w:lang w:val="hu-HU"/>
        </w:rPr>
        <w:t>érhető el</w:t>
      </w:r>
      <w:r w:rsidRPr="00D173CD">
        <w:rPr>
          <w:lang w:val="hu-HU"/>
        </w:rPr>
        <w:t>.</w:t>
      </w:r>
    </w:p>
    <w:p w14:paraId="56E871EE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E6788AF" w14:textId="77777777" w:rsidR="009548D9" w:rsidRPr="00D173CD" w:rsidRDefault="002E2E2F" w:rsidP="00D173CD">
      <w:pPr>
        <w:pStyle w:val="Normlbehzs"/>
        <w:keepNext/>
        <w:tabs>
          <w:tab w:val="left" w:pos="567"/>
        </w:tabs>
        <w:spacing w:after="0"/>
        <w:ind w:left="0"/>
        <w:rPr>
          <w:i/>
          <w:iCs/>
          <w:lang w:val="hu-HU"/>
        </w:rPr>
      </w:pPr>
      <w:r w:rsidRPr="00D173CD">
        <w:rPr>
          <w:i/>
          <w:iCs/>
          <w:lang w:val="hu-HU"/>
        </w:rPr>
        <w:t>Egyidejű alkalmazás e</w:t>
      </w:r>
      <w:r w:rsidR="009548D9" w:rsidRPr="00D173CD">
        <w:rPr>
          <w:i/>
          <w:iCs/>
          <w:lang w:val="hu-HU"/>
        </w:rPr>
        <w:t xml:space="preserve">gyéb </w:t>
      </w:r>
      <w:r w:rsidRPr="00D173CD">
        <w:rPr>
          <w:i/>
          <w:iCs/>
          <w:lang w:val="hu-HU"/>
        </w:rPr>
        <w:t xml:space="preserve">antihipertenzív </w:t>
      </w:r>
      <w:r w:rsidR="009548D9" w:rsidRPr="00D173CD">
        <w:rPr>
          <w:i/>
          <w:iCs/>
          <w:lang w:val="hu-HU"/>
        </w:rPr>
        <w:t>gyógyszerekkel</w:t>
      </w:r>
    </w:p>
    <w:p w14:paraId="54F37784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blokkolók alkalmazhatók önmagukban vagy </w:t>
      </w:r>
      <w:r w:rsidR="002E2E2F" w:rsidRPr="00D173CD">
        <w:rPr>
          <w:lang w:val="hu-HU"/>
        </w:rPr>
        <w:t>egyéb antihipertenzív szerekkel egyidejűleg</w:t>
      </w:r>
      <w:r w:rsidRPr="00D173CD">
        <w:rPr>
          <w:lang w:val="hu-HU"/>
        </w:rPr>
        <w:t xml:space="preserve">. Ezidáig </w:t>
      </w:r>
      <w:r w:rsidR="003F22ED" w:rsidRPr="00D173CD">
        <w:rPr>
          <w:lang w:val="hu-HU"/>
        </w:rPr>
        <w:t>additív</w:t>
      </w:r>
      <w:r w:rsidRPr="00D173CD">
        <w:rPr>
          <w:lang w:val="hu-HU"/>
        </w:rPr>
        <w:t xml:space="preserve"> vérnyomáscsökkentő hatást csak akkor figyeltek meg, </w:t>
      </w:r>
      <w:r w:rsidR="002E2E2F" w:rsidRPr="00D173CD">
        <w:rPr>
          <w:lang w:val="hu-HU"/>
        </w:rPr>
        <w:t xml:space="preserve">amikor </w:t>
      </w:r>
      <w:r w:rsidRPr="00D173CD">
        <w:rPr>
          <w:lang w:val="hu-HU"/>
        </w:rPr>
        <w:t>a nebivololt 12,5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25</w:t>
      </w:r>
      <w:r w:rsidR="0063406C" w:rsidRPr="00D173CD">
        <w:rPr>
          <w:lang w:val="hu-HU"/>
        </w:rPr>
        <w:t> mg</w:t>
      </w:r>
      <w:r w:rsidRPr="00D173CD">
        <w:rPr>
          <w:lang w:val="hu-HU"/>
        </w:rPr>
        <w:t xml:space="preserve"> hidroklorotiaziddal kombinálták.</w:t>
      </w:r>
    </w:p>
    <w:p w14:paraId="1B3CE9E8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0AE632CA" w14:textId="77777777" w:rsidR="009548D9" w:rsidRPr="00D173CD" w:rsidRDefault="009548D9" w:rsidP="00D173CD">
      <w:pPr>
        <w:pStyle w:val="Normlbehzs"/>
        <w:keepNext/>
        <w:tabs>
          <w:tab w:val="left" w:pos="567"/>
        </w:tabs>
        <w:spacing w:after="0"/>
        <w:ind w:left="0"/>
        <w:rPr>
          <w:i/>
          <w:iCs/>
          <w:lang w:val="hu-HU"/>
        </w:rPr>
      </w:pPr>
      <w:r w:rsidRPr="00D173CD">
        <w:rPr>
          <w:i/>
          <w:iCs/>
          <w:lang w:val="hu-HU"/>
        </w:rPr>
        <w:t>Veseelégtelenségben szenvedő betegek</w:t>
      </w:r>
    </w:p>
    <w:p w14:paraId="3C372A21" w14:textId="345F076D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Veseelégtelenségben szenvedő betegek esetén az ajánlott kezdő d</w:t>
      </w:r>
      <w:r w:rsidR="005E430F">
        <w:rPr>
          <w:lang w:val="hu-HU"/>
        </w:rPr>
        <w:t>ózis</w:t>
      </w:r>
      <w:r w:rsidRPr="00D173CD">
        <w:rPr>
          <w:lang w:val="hu-HU"/>
        </w:rPr>
        <w:t xml:space="preserve"> napi 2,5</w:t>
      </w:r>
      <w:r w:rsidR="0063406C" w:rsidRPr="00D173CD">
        <w:rPr>
          <w:lang w:val="hu-HU"/>
        </w:rPr>
        <w:t> mg</w:t>
      </w:r>
      <w:r w:rsidRPr="00D173CD">
        <w:rPr>
          <w:lang w:val="hu-HU"/>
        </w:rPr>
        <w:t xml:space="preserve">. </w:t>
      </w:r>
      <w:r w:rsidR="002E2E2F" w:rsidRPr="00D173CD">
        <w:rPr>
          <w:lang w:val="hu-HU"/>
        </w:rPr>
        <w:t>Szükség esetén</w:t>
      </w:r>
      <w:r w:rsidRPr="00D173CD">
        <w:rPr>
          <w:lang w:val="hu-HU"/>
        </w:rPr>
        <w:t xml:space="preserve"> a napi d</w:t>
      </w:r>
      <w:r w:rsidR="005E430F">
        <w:rPr>
          <w:lang w:val="hu-HU"/>
        </w:rPr>
        <w:t>ózis</w:t>
      </w:r>
      <w:r w:rsidRPr="00D173CD">
        <w:rPr>
          <w:lang w:val="hu-HU"/>
        </w:rPr>
        <w:t xml:space="preserve"> 5</w:t>
      </w:r>
      <w:r w:rsidR="0063406C" w:rsidRPr="00D173CD">
        <w:rPr>
          <w:lang w:val="hu-HU"/>
        </w:rPr>
        <w:t> mg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ig emelhető.</w:t>
      </w:r>
    </w:p>
    <w:p w14:paraId="2B57F70D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8AD7700" w14:textId="77777777" w:rsidR="009548D9" w:rsidRPr="00D173CD" w:rsidRDefault="009548D9" w:rsidP="00D173CD">
      <w:pPr>
        <w:pStyle w:val="Normlbehzs"/>
        <w:keepNext/>
        <w:tabs>
          <w:tab w:val="left" w:pos="567"/>
        </w:tabs>
        <w:spacing w:after="0"/>
        <w:ind w:left="0"/>
        <w:rPr>
          <w:i/>
          <w:iCs/>
          <w:lang w:val="hu-HU"/>
        </w:rPr>
      </w:pPr>
      <w:r w:rsidRPr="00D173CD">
        <w:rPr>
          <w:i/>
          <w:iCs/>
          <w:lang w:val="hu-HU"/>
        </w:rPr>
        <w:lastRenderedPageBreak/>
        <w:t>Májelégtelenségben szenvedő betegek</w:t>
      </w:r>
    </w:p>
    <w:p w14:paraId="61BB2D90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Májelégtelenségben szenvedő vagy </w:t>
      </w:r>
      <w:r w:rsidR="00F05757" w:rsidRPr="00D173CD">
        <w:rPr>
          <w:lang w:val="hu-HU"/>
        </w:rPr>
        <w:t>károsodott májfunkciójú</w:t>
      </w:r>
      <w:r w:rsidRPr="00D173CD">
        <w:rPr>
          <w:lang w:val="hu-HU"/>
        </w:rPr>
        <w:t xml:space="preserve"> betegekkel kapcsolatosan </w:t>
      </w:r>
      <w:r w:rsidR="002E2E2F" w:rsidRPr="00D173CD">
        <w:rPr>
          <w:lang w:val="hu-HU"/>
        </w:rPr>
        <w:t>kevés</w:t>
      </w:r>
      <w:r w:rsidRPr="00D173CD">
        <w:rPr>
          <w:lang w:val="hu-HU"/>
        </w:rPr>
        <w:t xml:space="preserve"> adat áll rendelkezésre</w:t>
      </w:r>
      <w:r w:rsidR="00270159" w:rsidRPr="00D173CD">
        <w:rPr>
          <w:lang w:val="hu-HU"/>
        </w:rPr>
        <w:t>, e</w:t>
      </w:r>
      <w:r w:rsidRPr="00D173CD">
        <w:rPr>
          <w:lang w:val="hu-HU"/>
        </w:rPr>
        <w:t>zért a</w:t>
      </w:r>
      <w:r w:rsidR="00F05757" w:rsidRPr="00D173CD">
        <w:rPr>
          <w:lang w:val="hu-HU"/>
        </w:rPr>
        <w:t xml:space="preserve"> </w:t>
      </w:r>
      <w:r w:rsidR="00050A9E" w:rsidRPr="00D173CD">
        <w:rPr>
          <w:rFonts w:eastAsia="Times New Roman"/>
          <w:snapToGrid/>
          <w:lang w:val="hu-HU" w:eastAsia="en-GB"/>
        </w:rPr>
        <w:t>Nebivolol Egis</w:t>
      </w:r>
      <w:r w:rsidR="00F05757" w:rsidRPr="00D173CD">
        <w:rPr>
          <w:lang w:val="hu-HU"/>
        </w:rPr>
        <w:t xml:space="preserve"> </w:t>
      </w:r>
      <w:r w:rsidRPr="00D173CD">
        <w:rPr>
          <w:rFonts w:eastAsia="Times New Roman"/>
          <w:snapToGrid/>
          <w:lang w:val="hu-HU" w:eastAsia="en-GB"/>
        </w:rPr>
        <w:t>5</w:t>
      </w:r>
      <w:r w:rsidR="0063406C" w:rsidRPr="00D173CD">
        <w:rPr>
          <w:rFonts w:eastAsia="Times New Roman"/>
          <w:snapToGrid/>
          <w:lang w:val="hu-HU" w:eastAsia="en-GB"/>
        </w:rPr>
        <w:t> mg</w:t>
      </w:r>
      <w:r w:rsidRPr="00D173CD">
        <w:rPr>
          <w:lang w:val="hu-HU"/>
        </w:rPr>
        <w:t xml:space="preserve"> tabletta alkalmazása ezeknél a betegeknél ellenjavallt.</w:t>
      </w:r>
    </w:p>
    <w:p w14:paraId="64CFE319" w14:textId="77777777" w:rsidR="00526CE5" w:rsidRPr="00D173CD" w:rsidRDefault="00526CE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1648249B" w14:textId="77777777" w:rsidR="009548D9" w:rsidRPr="00D173CD" w:rsidRDefault="002E2E2F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  <w:r w:rsidRPr="00D173CD">
        <w:rPr>
          <w:i/>
          <w:iCs/>
          <w:lang w:val="hu-HU"/>
        </w:rPr>
        <w:t>Idős</w:t>
      </w:r>
      <w:r w:rsidR="003D4A40" w:rsidRPr="00D173CD">
        <w:rPr>
          <w:i/>
          <w:iCs/>
          <w:lang w:val="hu-HU"/>
        </w:rPr>
        <w:t>e</w:t>
      </w:r>
      <w:r w:rsidRPr="00D173CD">
        <w:rPr>
          <w:i/>
          <w:iCs/>
          <w:lang w:val="hu-HU"/>
        </w:rPr>
        <w:t>k</w:t>
      </w:r>
    </w:p>
    <w:p w14:paraId="68B0FEB6" w14:textId="0CC693E4" w:rsidR="009548D9" w:rsidRPr="00D173CD" w:rsidRDefault="004D47E4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65 </w:t>
      </w:r>
      <w:r w:rsidR="009548D9" w:rsidRPr="00D173CD">
        <w:rPr>
          <w:lang w:val="hu-HU"/>
        </w:rPr>
        <w:t>év feletti betegek esetén az ajánlott kezdő d</w:t>
      </w:r>
      <w:r w:rsidR="005E430F">
        <w:rPr>
          <w:lang w:val="hu-HU"/>
        </w:rPr>
        <w:t>ózis</w:t>
      </w:r>
      <w:r w:rsidR="009548D9" w:rsidRPr="00D173CD">
        <w:rPr>
          <w:lang w:val="hu-HU"/>
        </w:rPr>
        <w:t xml:space="preserve"> napi 2,5</w:t>
      </w:r>
      <w:r w:rsidR="0063406C" w:rsidRPr="00D173CD">
        <w:rPr>
          <w:lang w:val="hu-HU"/>
        </w:rPr>
        <w:t> mg</w:t>
      </w:r>
      <w:r w:rsidR="009548D9" w:rsidRPr="00D173CD">
        <w:rPr>
          <w:lang w:val="hu-HU"/>
        </w:rPr>
        <w:t xml:space="preserve">. </w:t>
      </w:r>
      <w:r w:rsidR="002E2E2F" w:rsidRPr="00D173CD">
        <w:rPr>
          <w:lang w:val="hu-HU"/>
        </w:rPr>
        <w:t>Szükség esetén</w:t>
      </w:r>
      <w:r w:rsidR="009548D9" w:rsidRPr="00D173CD">
        <w:rPr>
          <w:lang w:val="hu-HU"/>
        </w:rPr>
        <w:t xml:space="preserve"> a napi d</w:t>
      </w:r>
      <w:r w:rsidR="005E430F">
        <w:rPr>
          <w:lang w:val="hu-HU"/>
        </w:rPr>
        <w:t>ózis</w:t>
      </w:r>
      <w:r w:rsidR="009548D9" w:rsidRPr="00D173CD">
        <w:rPr>
          <w:lang w:val="hu-HU"/>
        </w:rPr>
        <w:t xml:space="preserve"> 5</w:t>
      </w:r>
      <w:r w:rsidR="0063406C" w:rsidRPr="00D173CD">
        <w:rPr>
          <w:lang w:val="hu-HU"/>
        </w:rPr>
        <w:t> mg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 xml:space="preserve">ig emelhető. </w:t>
      </w:r>
      <w:r w:rsidR="007D2977" w:rsidRPr="00D173CD">
        <w:rPr>
          <w:lang w:val="hu-HU"/>
        </w:rPr>
        <w:t>Azonban, m</w:t>
      </w:r>
      <w:r w:rsidR="002E2E2F" w:rsidRPr="00D173CD">
        <w:rPr>
          <w:lang w:val="hu-HU"/>
        </w:rPr>
        <w:t xml:space="preserve">ivel </w:t>
      </w:r>
      <w:r w:rsidR="007D2977" w:rsidRPr="00D173CD">
        <w:rPr>
          <w:lang w:val="hu-HU"/>
        </w:rPr>
        <w:t xml:space="preserve">a </w:t>
      </w:r>
      <w:r w:rsidRPr="00D173CD">
        <w:rPr>
          <w:lang w:val="hu-HU"/>
        </w:rPr>
        <w:t>75 </w:t>
      </w:r>
      <w:r w:rsidR="009548D9" w:rsidRPr="00D173CD">
        <w:rPr>
          <w:lang w:val="hu-HU"/>
        </w:rPr>
        <w:t xml:space="preserve">év feletti betegek </w:t>
      </w:r>
      <w:r w:rsidR="002E2E2F" w:rsidRPr="00D173CD">
        <w:rPr>
          <w:lang w:val="hu-HU"/>
        </w:rPr>
        <w:t>körében kevés a tapasztalat, ebben a korcsoportban körültekintéssel kell eljárni és a betegeket szoros megfigyelés alatt kell tartani.</w:t>
      </w:r>
    </w:p>
    <w:p w14:paraId="692872FE" w14:textId="77777777" w:rsidR="00526CE5" w:rsidRPr="00D173CD" w:rsidRDefault="00526CE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FD0632C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  <w:r w:rsidRPr="00D173CD">
        <w:rPr>
          <w:i/>
          <w:iCs/>
          <w:lang w:val="hu-HU"/>
        </w:rPr>
        <w:t>Gyermekek</w:t>
      </w:r>
      <w:r w:rsidR="00DD18D0" w:rsidRPr="00D173CD">
        <w:rPr>
          <w:i/>
          <w:iCs/>
          <w:lang w:val="hu-HU"/>
        </w:rPr>
        <w:t xml:space="preserve"> és serdülők</w:t>
      </w:r>
    </w:p>
    <w:p w14:paraId="62D994A2" w14:textId="1E535FD7" w:rsidR="00663AFD" w:rsidRPr="00D173CD" w:rsidRDefault="003D3323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</w:t>
      </w:r>
      <w:r w:rsidR="005E430F">
        <w:rPr>
          <w:lang w:val="hu-HU"/>
        </w:rPr>
        <w:t>z 5 mg</w:t>
      </w:r>
      <w:r w:rsidRPr="00D173CD">
        <w:rPr>
          <w:lang w:val="hu-HU"/>
        </w:rPr>
        <w:t xml:space="preserve"> nebivolol</w:t>
      </w:r>
      <w:r w:rsidR="005E430F">
        <w:rPr>
          <w:lang w:val="hu-HU"/>
        </w:rPr>
        <w:t>t tartalmazó</w:t>
      </w:r>
      <w:r w:rsidR="00663AFD" w:rsidRPr="00D173CD">
        <w:rPr>
          <w:lang w:val="hu-HU"/>
        </w:rPr>
        <w:t xml:space="preserve"> tabletta </w:t>
      </w:r>
      <w:r w:rsidRPr="00D173CD">
        <w:rPr>
          <w:lang w:val="hu-HU"/>
        </w:rPr>
        <w:t>biztonságosságát és hatásossá</w:t>
      </w:r>
      <w:r w:rsidR="001C03F4" w:rsidRPr="00D173CD">
        <w:rPr>
          <w:lang w:val="hu-HU"/>
        </w:rPr>
        <w:t>g</w:t>
      </w:r>
      <w:r w:rsidRPr="00D173CD">
        <w:rPr>
          <w:lang w:val="hu-HU"/>
        </w:rPr>
        <w:t>át 18 évesnél fiatalabb gyermekek és serdülők esetében nem igazolták.</w:t>
      </w:r>
      <w:r w:rsidR="001C03F4" w:rsidRPr="00D173CD">
        <w:rPr>
          <w:lang w:val="hu-HU"/>
        </w:rPr>
        <w:t xml:space="preserve"> Nincsenek rendelkezésre álló adatok. Ennek megfelelően gyermekek és serdülők esetében alkalmazása nem javasolt.</w:t>
      </w:r>
    </w:p>
    <w:p w14:paraId="366C24AB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6DC780EC" w14:textId="77777777" w:rsidR="009548D9" w:rsidRPr="00D173CD" w:rsidRDefault="004D47E4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>Krónikus szívelégtelenség</w:t>
      </w:r>
    </w:p>
    <w:p w14:paraId="19A9BE8B" w14:textId="77777777" w:rsidR="00F05757" w:rsidRPr="00D173CD" w:rsidRDefault="00F05757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1FFFA80D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Stabil, krónikus szívelégtelenség kezelését az egyénre szabott, optimális fenntartó adag eléréséig a</w:t>
      </w:r>
      <w:r w:rsidR="002E2E2F" w:rsidRPr="00D173CD">
        <w:rPr>
          <w:lang w:val="hu-HU"/>
        </w:rPr>
        <w:t xml:space="preserve"> </w:t>
      </w:r>
      <w:r w:rsidR="0095730F" w:rsidRPr="00D173CD">
        <w:rPr>
          <w:lang w:val="hu-HU"/>
        </w:rPr>
        <w:t>dózis</w:t>
      </w:r>
      <w:r w:rsidRPr="00D173CD">
        <w:rPr>
          <w:lang w:val="hu-HU"/>
        </w:rPr>
        <w:t xml:space="preserve"> fokozatos</w:t>
      </w:r>
      <w:r w:rsidR="002E2E2F" w:rsidRPr="00D173CD">
        <w:rPr>
          <w:lang w:val="hu-HU"/>
        </w:rPr>
        <w:t>, lépésenkénti</w:t>
      </w:r>
      <w:r w:rsidRPr="00D173CD">
        <w:rPr>
          <w:lang w:val="hu-HU"/>
        </w:rPr>
        <w:t xml:space="preserve"> emelésével szabad csak elkezdeni.</w:t>
      </w:r>
    </w:p>
    <w:p w14:paraId="2DDEAE20" w14:textId="77777777" w:rsidR="00836864" w:rsidRPr="00D173CD" w:rsidRDefault="00836864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2CACC54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</w:t>
      </w:r>
      <w:r w:rsidR="0095730F" w:rsidRPr="00D173CD">
        <w:rPr>
          <w:lang w:val="hu-HU"/>
        </w:rPr>
        <w:t xml:space="preserve">kezelést megelőző 6 hétben a </w:t>
      </w:r>
      <w:r w:rsidRPr="00D173CD">
        <w:rPr>
          <w:lang w:val="hu-HU"/>
        </w:rPr>
        <w:t>betegek szívelégtelenségének stabil</w:t>
      </w:r>
      <w:r w:rsidR="0095730F" w:rsidRPr="00D173CD">
        <w:rPr>
          <w:lang w:val="hu-HU"/>
        </w:rPr>
        <w:t xml:space="preserve"> állapotban</w:t>
      </w:r>
      <w:r w:rsidRPr="00D173CD">
        <w:rPr>
          <w:lang w:val="hu-HU"/>
        </w:rPr>
        <w:t xml:space="preserve"> kell lennie, akut </w:t>
      </w:r>
      <w:r w:rsidR="0095730F" w:rsidRPr="00D173CD">
        <w:rPr>
          <w:lang w:val="hu-HU"/>
        </w:rPr>
        <w:t>szívelégtelenség</w:t>
      </w:r>
      <w:r w:rsidR="003D4A40" w:rsidRPr="00D173CD">
        <w:rPr>
          <w:lang w:val="hu-HU"/>
        </w:rPr>
        <w:t>-</w:t>
      </w:r>
      <w:r w:rsidRPr="00D173CD">
        <w:rPr>
          <w:lang w:val="hu-HU"/>
        </w:rPr>
        <w:t>epizódok előfordulása nélkül. Tanácsos, hogy a kezelőorvos a krónikus szívelégtelenség kezelésében kellő tapasztalattal rendelkezzen.</w:t>
      </w:r>
    </w:p>
    <w:p w14:paraId="490D9007" w14:textId="77777777" w:rsidR="00836864" w:rsidRPr="00D173CD" w:rsidRDefault="00836864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85B2A65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cardiovascularis gyógyszereket, például diureti</w:t>
      </w:r>
      <w:r w:rsidR="008F063D" w:rsidRPr="00D173CD">
        <w:rPr>
          <w:lang w:val="hu-HU"/>
        </w:rPr>
        <w:t>k</w:t>
      </w:r>
      <w:r w:rsidRPr="00D173CD">
        <w:rPr>
          <w:lang w:val="hu-HU"/>
        </w:rPr>
        <w:t>umokat és/vagy digoxint és/vagy ACE</w:t>
      </w:r>
      <w:r w:rsidR="00794FFC" w:rsidRPr="00D173CD">
        <w:rPr>
          <w:lang w:val="hu-HU"/>
        </w:rPr>
        <w:noBreakHyphen/>
      </w:r>
      <w:r w:rsidR="004D47E4" w:rsidRPr="00D173CD">
        <w:rPr>
          <w:lang w:val="hu-HU"/>
        </w:rPr>
        <w:t>gátlókat és/vagy angiotenzin </w:t>
      </w:r>
      <w:r w:rsidRPr="00D173CD">
        <w:rPr>
          <w:lang w:val="hu-HU"/>
        </w:rPr>
        <w:t>II</w:t>
      </w:r>
      <w:r w:rsidR="003D4A40" w:rsidRPr="00D173CD">
        <w:rPr>
          <w:lang w:val="hu-HU"/>
        </w:rPr>
        <w:t>-</w:t>
      </w:r>
      <w:r w:rsidRPr="00D173CD">
        <w:rPr>
          <w:lang w:val="hu-HU"/>
        </w:rPr>
        <w:t xml:space="preserve">antagonistákat szedő betegeknél ezeknek a gyógyszereknek az adagolását két héttel a </w:t>
      </w:r>
      <w:r w:rsidR="00050A9E" w:rsidRPr="00D173CD">
        <w:rPr>
          <w:lang w:val="hu-HU"/>
        </w:rPr>
        <w:t>Nebivolol Egis</w:t>
      </w:r>
      <w:r w:rsidR="00541DF4" w:rsidRPr="00D173CD">
        <w:rPr>
          <w:rFonts w:eastAsia="Times New Roman"/>
          <w:snapToGrid/>
          <w:lang w:val="hu-HU" w:eastAsia="en-GB"/>
        </w:rPr>
        <w:t xml:space="preserve"> </w:t>
      </w:r>
      <w:r w:rsidRPr="00D173CD">
        <w:rPr>
          <w:rFonts w:eastAsia="Times New Roman"/>
          <w:snapToGrid/>
          <w:lang w:val="hu-HU" w:eastAsia="en-GB"/>
        </w:rPr>
        <w:t>5</w:t>
      </w:r>
      <w:r w:rsidR="0063406C" w:rsidRPr="00D173CD">
        <w:rPr>
          <w:rFonts w:eastAsia="Times New Roman"/>
          <w:snapToGrid/>
          <w:lang w:val="hu-HU" w:eastAsia="en-GB"/>
        </w:rPr>
        <w:t> mg</w:t>
      </w:r>
      <w:r w:rsidRPr="00D173CD">
        <w:rPr>
          <w:lang w:val="hu-HU"/>
        </w:rPr>
        <w:t xml:space="preserve"> tablettával történő kezelés megkezdése előtt stabilizálni kell.</w:t>
      </w:r>
    </w:p>
    <w:p w14:paraId="4C7633F7" w14:textId="77777777" w:rsidR="00836864" w:rsidRPr="00D173CD" w:rsidRDefault="00836864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DB46B50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kezdeti</w:t>
      </w:r>
      <w:r w:rsidR="00FC2BD3" w:rsidRPr="00D173CD">
        <w:rPr>
          <w:lang w:val="hu-HU"/>
        </w:rPr>
        <w:t>,</w:t>
      </w:r>
      <w:r w:rsidRPr="00D173CD">
        <w:rPr>
          <w:lang w:val="hu-HU"/>
        </w:rPr>
        <w:t xml:space="preserve"> </w:t>
      </w:r>
      <w:r w:rsidR="002E2E2F" w:rsidRPr="00D173CD">
        <w:rPr>
          <w:lang w:val="hu-HU"/>
        </w:rPr>
        <w:t xml:space="preserve">fokozatos </w:t>
      </w:r>
      <w:r w:rsidR="00FC2BD3" w:rsidRPr="00D173CD">
        <w:rPr>
          <w:lang w:val="hu-HU"/>
        </w:rPr>
        <w:t>dózis</w:t>
      </w:r>
      <w:r w:rsidRPr="00D173CD">
        <w:rPr>
          <w:lang w:val="hu-HU"/>
        </w:rPr>
        <w:t>emelést a következő</w:t>
      </w:r>
      <w:r w:rsidR="002E2E2F" w:rsidRPr="00D173CD">
        <w:rPr>
          <w:lang w:val="hu-HU"/>
        </w:rPr>
        <w:t xml:space="preserve"> lépésekben</w:t>
      </w:r>
      <w:r w:rsidRPr="00D173CD">
        <w:rPr>
          <w:lang w:val="hu-HU"/>
        </w:rPr>
        <w:t>, 1</w:t>
      </w:r>
      <w:r w:rsidR="00794FFC" w:rsidRPr="00D173CD">
        <w:rPr>
          <w:lang w:val="hu-HU"/>
        </w:rPr>
        <w:noBreakHyphen/>
      </w:r>
      <w:r w:rsidR="004D47E4" w:rsidRPr="00D173CD">
        <w:rPr>
          <w:lang w:val="hu-HU"/>
        </w:rPr>
        <w:t>2 </w:t>
      </w:r>
      <w:r w:rsidR="002E2E2F" w:rsidRPr="00D173CD">
        <w:rPr>
          <w:lang w:val="hu-HU"/>
        </w:rPr>
        <w:t>hetes időközönként</w:t>
      </w:r>
      <w:r w:rsidRPr="00D173CD">
        <w:rPr>
          <w:lang w:val="hu-HU"/>
        </w:rPr>
        <w:t xml:space="preserve"> kell végezni, a beteg </w:t>
      </w:r>
      <w:r w:rsidR="002E2E2F" w:rsidRPr="00D173CD">
        <w:rPr>
          <w:lang w:val="hu-HU"/>
        </w:rPr>
        <w:t>tolerabilitásától</w:t>
      </w:r>
      <w:r w:rsidRPr="00D173CD">
        <w:rPr>
          <w:lang w:val="hu-HU"/>
        </w:rPr>
        <w:t xml:space="preserve"> függően: 1,25</w:t>
      </w:r>
      <w:r w:rsidR="0063406C" w:rsidRPr="00D173CD">
        <w:rPr>
          <w:lang w:val="hu-HU"/>
        </w:rPr>
        <w:t> mg</w:t>
      </w:r>
      <w:r w:rsidRPr="00D173CD">
        <w:rPr>
          <w:lang w:val="hu-HU"/>
        </w:rPr>
        <w:t xml:space="preserve"> nebivolol, ami napi </w:t>
      </w:r>
      <w:r w:rsidR="00FC2BD3" w:rsidRPr="00D173CD">
        <w:rPr>
          <w:lang w:val="hu-HU"/>
        </w:rPr>
        <w:t>1×</w:t>
      </w:r>
      <w:r w:rsidRPr="00D173CD">
        <w:rPr>
          <w:lang w:val="hu-HU"/>
        </w:rPr>
        <w:t>2,5</w:t>
      </w:r>
      <w:r w:rsidR="0063406C" w:rsidRPr="00D173CD">
        <w:rPr>
          <w:lang w:val="hu-HU"/>
        </w:rPr>
        <w:t> mg</w:t>
      </w:r>
      <w:r w:rsidR="00794FFC" w:rsidRPr="00D173CD">
        <w:rPr>
          <w:lang w:val="hu-HU"/>
        </w:rPr>
        <w:noBreakHyphen/>
      </w:r>
      <w:r w:rsidR="00FC2BD3" w:rsidRPr="00D173CD">
        <w:rPr>
          <w:lang w:val="hu-HU"/>
        </w:rPr>
        <w:t>ra</w:t>
      </w:r>
      <w:r w:rsidRPr="00D173CD">
        <w:rPr>
          <w:lang w:val="hu-HU"/>
        </w:rPr>
        <w:t xml:space="preserve">, utána napi </w:t>
      </w:r>
      <w:r w:rsidR="00FC2BD3" w:rsidRPr="00D173CD">
        <w:rPr>
          <w:lang w:val="hu-HU"/>
        </w:rPr>
        <w:t>1×</w:t>
      </w:r>
      <w:r w:rsidRPr="00D173CD">
        <w:rPr>
          <w:lang w:val="hu-HU"/>
        </w:rPr>
        <w:t>5</w:t>
      </w:r>
      <w:r w:rsidR="0063406C" w:rsidRPr="00D173CD">
        <w:rPr>
          <w:lang w:val="hu-HU"/>
        </w:rPr>
        <w:t> mg</w:t>
      </w:r>
      <w:r w:rsidR="00794FFC" w:rsidRPr="00D173CD">
        <w:rPr>
          <w:lang w:val="hu-HU"/>
        </w:rPr>
        <w:noBreakHyphen/>
      </w:r>
      <w:r w:rsidR="00FC2BD3" w:rsidRPr="00D173CD">
        <w:rPr>
          <w:lang w:val="hu-HU"/>
        </w:rPr>
        <w:t>ra</w:t>
      </w:r>
      <w:r w:rsidRPr="00D173CD">
        <w:rPr>
          <w:lang w:val="hu-HU"/>
        </w:rPr>
        <w:t xml:space="preserve">, majd napi </w:t>
      </w:r>
      <w:r w:rsidR="00FC2BD3" w:rsidRPr="00D173CD">
        <w:rPr>
          <w:lang w:val="hu-HU"/>
        </w:rPr>
        <w:t>1×</w:t>
      </w:r>
      <w:r w:rsidRPr="00D173CD">
        <w:rPr>
          <w:lang w:val="hu-HU"/>
        </w:rPr>
        <w:t>10</w:t>
      </w:r>
      <w:r w:rsidR="0063406C" w:rsidRPr="00D173CD">
        <w:rPr>
          <w:lang w:val="hu-HU"/>
        </w:rPr>
        <w:t> mg</w:t>
      </w:r>
      <w:r w:rsidR="00794FFC" w:rsidRPr="00D173CD">
        <w:rPr>
          <w:lang w:val="hu-HU"/>
        </w:rPr>
        <w:noBreakHyphen/>
      </w:r>
      <w:r w:rsidR="00FC2BD3" w:rsidRPr="00D173CD">
        <w:rPr>
          <w:lang w:val="hu-HU"/>
        </w:rPr>
        <w:t>ra</w:t>
      </w:r>
      <w:r w:rsidRPr="00D173CD">
        <w:rPr>
          <w:lang w:val="hu-HU"/>
        </w:rPr>
        <w:t xml:space="preserve"> emelhető. A maximális ajánlott adag 10</w:t>
      </w:r>
      <w:r w:rsidR="0063406C" w:rsidRPr="00D173CD">
        <w:rPr>
          <w:lang w:val="hu-HU"/>
        </w:rPr>
        <w:t> mg</w:t>
      </w:r>
      <w:r w:rsidRPr="00D173CD">
        <w:rPr>
          <w:lang w:val="hu-HU"/>
        </w:rPr>
        <w:t xml:space="preserve"> nebivolol</w:t>
      </w:r>
      <w:r w:rsidR="002E2E2F" w:rsidRPr="00D173CD">
        <w:rPr>
          <w:lang w:val="hu-HU"/>
        </w:rPr>
        <w:t>, naponta egyszer</w:t>
      </w:r>
      <w:r w:rsidRPr="00D173CD">
        <w:rPr>
          <w:lang w:val="hu-HU"/>
        </w:rPr>
        <w:t>.</w:t>
      </w:r>
    </w:p>
    <w:p w14:paraId="3D85BB12" w14:textId="77777777" w:rsidR="00836864" w:rsidRPr="00D173CD" w:rsidRDefault="00836864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E6687AA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kezelés megkezdését és minden dózisemelést tapasztalt orvos</w:t>
      </w:r>
      <w:r w:rsidR="004D47E4" w:rsidRPr="00D173CD">
        <w:rPr>
          <w:lang w:val="hu-HU"/>
        </w:rPr>
        <w:t xml:space="preserve"> legalább 2 </w:t>
      </w:r>
      <w:r w:rsidRPr="00D173CD">
        <w:rPr>
          <w:lang w:val="hu-HU"/>
        </w:rPr>
        <w:t>órá</w:t>
      </w:r>
      <w:r w:rsidR="002E113A" w:rsidRPr="00D173CD">
        <w:rPr>
          <w:lang w:val="hu-HU"/>
        </w:rPr>
        <w:t>s</w:t>
      </w:r>
      <w:r w:rsidRPr="00D173CD">
        <w:rPr>
          <w:lang w:val="hu-HU"/>
        </w:rPr>
        <w:t xml:space="preserve"> felügyelete </w:t>
      </w:r>
      <w:r w:rsidR="00A005BC" w:rsidRPr="00D173CD">
        <w:rPr>
          <w:lang w:val="hu-HU"/>
        </w:rPr>
        <w:t>mellett</w:t>
      </w:r>
      <w:r w:rsidRPr="00D173CD">
        <w:rPr>
          <w:lang w:val="hu-HU"/>
        </w:rPr>
        <w:t xml:space="preserve"> kell végezni, </w:t>
      </w:r>
      <w:r w:rsidR="002E2E2F" w:rsidRPr="00D173CD">
        <w:rPr>
          <w:lang w:val="hu-HU"/>
        </w:rPr>
        <w:t>a stabil klinikai állapot</w:t>
      </w:r>
      <w:r w:rsidRPr="00D173CD">
        <w:rPr>
          <w:lang w:val="hu-HU"/>
        </w:rPr>
        <w:t xml:space="preserve"> (különös tekintettel a vérnyomás</w:t>
      </w:r>
      <w:r w:rsidR="002E2E2F" w:rsidRPr="00D173CD">
        <w:rPr>
          <w:lang w:val="hu-HU"/>
        </w:rPr>
        <w:t>ra</w:t>
      </w:r>
      <w:r w:rsidRPr="00D173CD">
        <w:rPr>
          <w:lang w:val="hu-HU"/>
        </w:rPr>
        <w:t xml:space="preserve">, </w:t>
      </w:r>
      <w:r w:rsidR="002E2E2F" w:rsidRPr="00D173CD">
        <w:rPr>
          <w:lang w:val="hu-HU"/>
        </w:rPr>
        <w:t>szívfrekvenciára</w:t>
      </w:r>
      <w:r w:rsidRPr="00D173CD">
        <w:rPr>
          <w:lang w:val="hu-HU"/>
        </w:rPr>
        <w:t xml:space="preserve">, </w:t>
      </w:r>
      <w:r w:rsidR="00614529" w:rsidRPr="00D173CD">
        <w:rPr>
          <w:lang w:val="hu-HU"/>
        </w:rPr>
        <w:t>át</w:t>
      </w:r>
      <w:r w:rsidRPr="00D173CD">
        <w:rPr>
          <w:lang w:val="hu-HU"/>
        </w:rPr>
        <w:t>vezetési zavarok</w:t>
      </w:r>
      <w:r w:rsidR="002E2E2F" w:rsidRPr="00D173CD">
        <w:rPr>
          <w:lang w:val="hu-HU"/>
        </w:rPr>
        <w:t>ra</w:t>
      </w:r>
      <w:r w:rsidRPr="00D173CD">
        <w:rPr>
          <w:lang w:val="hu-HU"/>
        </w:rPr>
        <w:t>, szívelégtelenség rosszabbodásának tüneteire)</w:t>
      </w:r>
      <w:r w:rsidR="002E2E2F" w:rsidRPr="00D173CD">
        <w:rPr>
          <w:lang w:val="hu-HU"/>
        </w:rPr>
        <w:t xml:space="preserve"> fenntartásának biztosítása</w:t>
      </w:r>
      <w:r w:rsidR="007A645C" w:rsidRPr="00D173CD">
        <w:rPr>
          <w:lang w:val="hu-HU"/>
        </w:rPr>
        <w:t xml:space="preserve"> érdekében</w:t>
      </w:r>
      <w:r w:rsidRPr="00D173CD">
        <w:rPr>
          <w:lang w:val="hu-HU"/>
        </w:rPr>
        <w:t>.</w:t>
      </w:r>
    </w:p>
    <w:p w14:paraId="4E6F74B3" w14:textId="77777777" w:rsidR="00836864" w:rsidRPr="00D173CD" w:rsidRDefault="00836864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4DCDF1B" w14:textId="77777777" w:rsidR="009548D9" w:rsidRPr="00D173CD" w:rsidRDefault="00836864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n</w:t>
      </w:r>
      <w:r w:rsidR="009548D9" w:rsidRPr="00D173CD">
        <w:rPr>
          <w:lang w:val="hu-HU"/>
        </w:rPr>
        <w:t xml:space="preserve">emkívánatos hatások </w:t>
      </w:r>
      <w:r w:rsidR="00AF41E0" w:rsidRPr="00D173CD">
        <w:rPr>
          <w:lang w:val="hu-HU"/>
        </w:rPr>
        <w:t>előfordulása miatt lehetséges</w:t>
      </w:r>
      <w:r w:rsidR="009548D9" w:rsidRPr="00D173CD">
        <w:rPr>
          <w:lang w:val="hu-HU"/>
        </w:rPr>
        <w:t xml:space="preserve">, hogy </w:t>
      </w:r>
      <w:r w:rsidR="00AF41E0" w:rsidRPr="00D173CD">
        <w:rPr>
          <w:lang w:val="hu-HU"/>
        </w:rPr>
        <w:t xml:space="preserve">nem </w:t>
      </w:r>
      <w:r w:rsidR="009548D9" w:rsidRPr="00D173CD">
        <w:rPr>
          <w:lang w:val="hu-HU"/>
        </w:rPr>
        <w:t>minden beteg</w:t>
      </w:r>
      <w:r w:rsidR="00AF41E0" w:rsidRPr="00D173CD">
        <w:rPr>
          <w:lang w:val="hu-HU"/>
        </w:rPr>
        <w:t>et lehet</w:t>
      </w:r>
      <w:r w:rsidR="009548D9" w:rsidRPr="00D173CD">
        <w:rPr>
          <w:lang w:val="hu-HU"/>
        </w:rPr>
        <w:t xml:space="preserve"> a maximális javasolt adaggal kezel</w:t>
      </w:r>
      <w:r w:rsidR="00AF41E0" w:rsidRPr="00D173CD">
        <w:rPr>
          <w:lang w:val="hu-HU"/>
        </w:rPr>
        <w:t>ni</w:t>
      </w:r>
      <w:r w:rsidR="009548D9" w:rsidRPr="00D173CD">
        <w:rPr>
          <w:lang w:val="hu-HU"/>
        </w:rPr>
        <w:t>.</w:t>
      </w:r>
      <w:r w:rsidR="0063406C" w:rsidRPr="00D173CD">
        <w:rPr>
          <w:lang w:val="hu-HU"/>
        </w:rPr>
        <w:t xml:space="preserve"> </w:t>
      </w:r>
      <w:r w:rsidR="009548D9" w:rsidRPr="00D173CD">
        <w:rPr>
          <w:lang w:val="hu-HU"/>
        </w:rPr>
        <w:t>Amennyiben szükséges, a</w:t>
      </w:r>
      <w:r w:rsidR="004B13F3" w:rsidRPr="00D173CD">
        <w:rPr>
          <w:lang w:val="hu-HU"/>
        </w:rPr>
        <w:t xml:space="preserve"> már</w:t>
      </w:r>
      <w:r w:rsidR="009548D9" w:rsidRPr="00D173CD">
        <w:rPr>
          <w:lang w:val="hu-HU"/>
        </w:rPr>
        <w:t xml:space="preserve"> elért adag is lépésről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 xml:space="preserve">lépésre csökkenthető, majd szükség </w:t>
      </w:r>
      <w:r w:rsidR="00B47658" w:rsidRPr="00D173CD">
        <w:rPr>
          <w:lang w:val="hu-HU"/>
        </w:rPr>
        <w:t>szerint</w:t>
      </w:r>
      <w:r w:rsidR="009548D9" w:rsidRPr="00D173CD">
        <w:rPr>
          <w:lang w:val="hu-HU"/>
        </w:rPr>
        <w:t xml:space="preserve"> újra </w:t>
      </w:r>
      <w:r w:rsidR="002E2E2F" w:rsidRPr="00D173CD">
        <w:rPr>
          <w:lang w:val="hu-HU"/>
        </w:rPr>
        <w:t>emelhető</w:t>
      </w:r>
      <w:r w:rsidR="009548D9" w:rsidRPr="00D173CD">
        <w:rPr>
          <w:lang w:val="hu-HU"/>
        </w:rPr>
        <w:t>.</w:t>
      </w:r>
    </w:p>
    <w:p w14:paraId="4867CDC0" w14:textId="77777777" w:rsidR="00AF41E0" w:rsidRPr="00D173CD" w:rsidRDefault="00AF41E0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14D0867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</w:t>
      </w:r>
      <w:r w:rsidR="002E2E2F" w:rsidRPr="00D173CD">
        <w:rPr>
          <w:lang w:val="hu-HU"/>
        </w:rPr>
        <w:t xml:space="preserve">dózisbeállítás </w:t>
      </w:r>
      <w:r w:rsidRPr="00D173CD">
        <w:rPr>
          <w:lang w:val="hu-HU"/>
        </w:rPr>
        <w:t>ideje alatt</w:t>
      </w:r>
      <w:r w:rsidR="00B47658" w:rsidRPr="00D173CD">
        <w:rPr>
          <w:lang w:val="hu-HU"/>
        </w:rPr>
        <w:t>,</w:t>
      </w:r>
      <w:r w:rsidRPr="00D173CD">
        <w:rPr>
          <w:lang w:val="hu-HU"/>
        </w:rPr>
        <w:t xml:space="preserve"> a szívelégtelenség rosszabbodása vagy intolerancia esetén javasolt először a nebivolol adagját csökkenteni</w:t>
      </w:r>
      <w:r w:rsidR="006841C5" w:rsidRPr="00D173CD">
        <w:rPr>
          <w:lang w:val="hu-HU"/>
        </w:rPr>
        <w:t>, vagy szükség esetén (súlyos hy</w:t>
      </w:r>
      <w:r w:rsidRPr="00D173CD">
        <w:rPr>
          <w:lang w:val="hu-HU"/>
        </w:rPr>
        <w:t>pot</w:t>
      </w:r>
      <w:r w:rsidR="006841C5" w:rsidRPr="00D173CD">
        <w:rPr>
          <w:lang w:val="hu-HU"/>
        </w:rPr>
        <w:t>o</w:t>
      </w:r>
      <w:r w:rsidRPr="00D173CD">
        <w:rPr>
          <w:lang w:val="hu-HU"/>
        </w:rPr>
        <w:t xml:space="preserve">nia, a szívelégtelenség akut tüdőödémával járó súlyosbodása, </w:t>
      </w:r>
      <w:r w:rsidR="00DD18D0" w:rsidRPr="00D173CD">
        <w:rPr>
          <w:lang w:val="hu-HU"/>
        </w:rPr>
        <w:t>cardiogen shock</w:t>
      </w:r>
      <w:r w:rsidRPr="00D173CD">
        <w:rPr>
          <w:lang w:val="hu-HU"/>
        </w:rPr>
        <w:t>, tüneteket okozó bradycardia vagy AV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blokk) </w:t>
      </w:r>
      <w:r w:rsidR="00B47658" w:rsidRPr="00D173CD">
        <w:rPr>
          <w:lang w:val="hu-HU"/>
        </w:rPr>
        <w:t xml:space="preserve">az adagolást </w:t>
      </w:r>
      <w:r w:rsidRPr="00D173CD">
        <w:rPr>
          <w:lang w:val="hu-HU"/>
        </w:rPr>
        <w:t>azonnal leállítani.</w:t>
      </w:r>
    </w:p>
    <w:p w14:paraId="13484677" w14:textId="77777777" w:rsidR="00AF41E0" w:rsidRPr="00D173CD" w:rsidRDefault="00AF41E0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6C3FE0C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stabil krónikus szívelégtelenség nebivolol</w:t>
      </w:r>
      <w:r w:rsidR="002E2E2F" w:rsidRPr="00D173CD">
        <w:rPr>
          <w:lang w:val="hu-HU"/>
        </w:rPr>
        <w:t xml:space="preserve">lal történő </w:t>
      </w:r>
      <w:r w:rsidRPr="00D173CD">
        <w:rPr>
          <w:lang w:val="hu-HU"/>
        </w:rPr>
        <w:t xml:space="preserve">kezelése általában hosszú távú </w:t>
      </w:r>
      <w:r w:rsidR="002E2E2F" w:rsidRPr="00D173CD">
        <w:rPr>
          <w:lang w:val="hu-HU"/>
        </w:rPr>
        <w:t>terápiát</w:t>
      </w:r>
      <w:r w:rsidRPr="00D173CD">
        <w:rPr>
          <w:lang w:val="hu-HU"/>
        </w:rPr>
        <w:t xml:space="preserve"> jelent.</w:t>
      </w:r>
    </w:p>
    <w:p w14:paraId="37F602C1" w14:textId="77777777" w:rsidR="00AF41E0" w:rsidRPr="00D173CD" w:rsidRDefault="00AF41E0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3D46B45" w14:textId="77777777" w:rsidR="00094362" w:rsidRPr="00D173CD" w:rsidRDefault="009548D9" w:rsidP="00D173CD">
      <w:pPr>
        <w:pStyle w:val="Normlbehzs1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nebivolol</w:t>
      </w:r>
      <w:r w:rsidR="00666BF5" w:rsidRPr="00D173CD">
        <w:rPr>
          <w:lang w:val="hu-HU"/>
        </w:rPr>
        <w:t>-</w:t>
      </w:r>
      <w:r w:rsidRPr="00D173CD">
        <w:rPr>
          <w:lang w:val="hu-HU"/>
        </w:rPr>
        <w:t xml:space="preserve">kezelést nem javasolt hirtelen abbahagyni, mivel ez a szívelégtelenség átmeneti rosszabbodásához vezethet. Ha </w:t>
      </w:r>
      <w:r w:rsidR="002E2E2F" w:rsidRPr="00D173CD">
        <w:rPr>
          <w:lang w:val="hu-HU"/>
        </w:rPr>
        <w:t>a kezelés megszakítás</w:t>
      </w:r>
      <w:r w:rsidR="00C51B61" w:rsidRPr="00D173CD">
        <w:rPr>
          <w:lang w:val="hu-HU"/>
        </w:rPr>
        <w:t>a</w:t>
      </w:r>
      <w:r w:rsidR="002E2E2F" w:rsidRPr="00D173CD">
        <w:rPr>
          <w:lang w:val="hu-HU"/>
        </w:rPr>
        <w:t xml:space="preserve"> válik szükségessé,</w:t>
      </w:r>
      <w:r w:rsidRPr="00D173CD">
        <w:rPr>
          <w:lang w:val="hu-HU"/>
        </w:rPr>
        <w:t xml:space="preserve"> akkor az adagot hetente felezve, fokozatosan kell csökkenteni.</w:t>
      </w:r>
    </w:p>
    <w:p w14:paraId="37242902" w14:textId="77777777" w:rsidR="00AF41E0" w:rsidRPr="00D173CD" w:rsidRDefault="00AF41E0" w:rsidP="00D173CD">
      <w:pPr>
        <w:pStyle w:val="Normlbehzs1"/>
        <w:tabs>
          <w:tab w:val="left" w:pos="567"/>
        </w:tabs>
        <w:spacing w:after="0"/>
        <w:ind w:left="0"/>
        <w:rPr>
          <w:lang w:val="hu-HU"/>
        </w:rPr>
      </w:pPr>
    </w:p>
    <w:p w14:paraId="3FF092D7" w14:textId="77777777" w:rsidR="009548D9" w:rsidRPr="00D173CD" w:rsidRDefault="009548D9" w:rsidP="00D173CD">
      <w:pPr>
        <w:pStyle w:val="Normlbehzs"/>
        <w:keepNext/>
        <w:tabs>
          <w:tab w:val="left" w:pos="567"/>
        </w:tabs>
        <w:spacing w:after="0"/>
        <w:ind w:left="0"/>
        <w:rPr>
          <w:i/>
          <w:iCs/>
          <w:lang w:val="hu-HU"/>
        </w:rPr>
      </w:pPr>
      <w:r w:rsidRPr="00D173CD">
        <w:rPr>
          <w:i/>
          <w:iCs/>
          <w:lang w:val="hu-HU"/>
        </w:rPr>
        <w:t>Veseelégtelenségben szenvedő betegek</w:t>
      </w:r>
    </w:p>
    <w:p w14:paraId="0B3E23BE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Enyhe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középsúlyos veseelégtelenségben az adagolás módosítása nem szükséges, mivel a maximális tolerálható </w:t>
      </w:r>
      <w:r w:rsidR="00174D58" w:rsidRPr="00D173CD">
        <w:rPr>
          <w:lang w:val="hu-HU"/>
        </w:rPr>
        <w:t>dózis meg</w:t>
      </w:r>
      <w:r w:rsidR="004C3C78" w:rsidRPr="00D173CD">
        <w:rPr>
          <w:lang w:val="hu-HU"/>
        </w:rPr>
        <w:t>állapítása</w:t>
      </w:r>
      <w:r w:rsidR="002E2E2F" w:rsidRPr="00D173CD">
        <w:rPr>
          <w:lang w:val="hu-HU"/>
        </w:rPr>
        <w:t xml:space="preserve"> </w:t>
      </w:r>
      <w:r w:rsidRPr="00D173CD">
        <w:rPr>
          <w:lang w:val="hu-HU"/>
        </w:rPr>
        <w:t>egyéni beállít</w:t>
      </w:r>
      <w:r w:rsidR="004C3C78" w:rsidRPr="00D173CD">
        <w:rPr>
          <w:lang w:val="hu-HU"/>
        </w:rPr>
        <w:t>ással történik</w:t>
      </w:r>
      <w:r w:rsidRPr="00D173CD">
        <w:rPr>
          <w:lang w:val="hu-HU"/>
        </w:rPr>
        <w:t>.</w:t>
      </w:r>
      <w:r w:rsidR="0063406C" w:rsidRPr="00D173CD">
        <w:rPr>
          <w:lang w:val="hu-HU"/>
        </w:rPr>
        <w:t xml:space="preserve"> </w:t>
      </w:r>
      <w:r w:rsidRPr="00D173CD">
        <w:rPr>
          <w:lang w:val="hu-HU"/>
        </w:rPr>
        <w:t>Súlyos veseelégtelenségben (szérum kreatinin</w:t>
      </w:r>
      <w:r w:rsidR="004D47E4" w:rsidRPr="00D173CD">
        <w:rPr>
          <w:lang w:val="hu-HU"/>
        </w:rPr>
        <w:t>szint ≥ </w:t>
      </w:r>
      <w:r w:rsidRPr="00D173CD">
        <w:rPr>
          <w:lang w:val="hu-HU"/>
        </w:rPr>
        <w:t>250</w:t>
      </w:r>
      <w:r w:rsidR="004D47E4" w:rsidRPr="00D173CD">
        <w:rPr>
          <w:lang w:val="hu-HU"/>
        </w:rPr>
        <w:t> </w:t>
      </w:r>
      <w:r w:rsidR="00DD18D0" w:rsidRPr="00D173CD">
        <w:rPr>
          <w:lang w:val="hu-HU"/>
        </w:rPr>
        <w:t>mikromol</w:t>
      </w:r>
      <w:r w:rsidRPr="00D173CD">
        <w:rPr>
          <w:lang w:val="hu-HU"/>
        </w:rPr>
        <w:t xml:space="preserve">/l) </w:t>
      </w:r>
      <w:r w:rsidR="004C3C78" w:rsidRPr="00D173CD">
        <w:rPr>
          <w:lang w:val="hu-HU"/>
        </w:rPr>
        <w:t xml:space="preserve">szenvedő betegekkel kapcsolatban </w:t>
      </w:r>
      <w:r w:rsidRPr="00D173CD">
        <w:rPr>
          <w:lang w:val="hu-HU"/>
        </w:rPr>
        <w:t>nincs tapasztalat</w:t>
      </w:r>
      <w:r w:rsidR="00270159" w:rsidRPr="00D173CD">
        <w:rPr>
          <w:lang w:val="hu-HU"/>
        </w:rPr>
        <w:t>,</w:t>
      </w:r>
      <w:r w:rsidRPr="00D173CD">
        <w:rPr>
          <w:lang w:val="hu-HU"/>
        </w:rPr>
        <w:t xml:space="preserve"> </w:t>
      </w:r>
      <w:r w:rsidR="00270159" w:rsidRPr="00D173CD">
        <w:rPr>
          <w:lang w:val="hu-HU"/>
        </w:rPr>
        <w:t>e</w:t>
      </w:r>
      <w:r w:rsidRPr="00D173CD">
        <w:rPr>
          <w:lang w:val="hu-HU"/>
        </w:rPr>
        <w:t>zért a nebivolol alkalmazása ezeknél a betegeknél nem javasolt.</w:t>
      </w:r>
    </w:p>
    <w:p w14:paraId="69EDD722" w14:textId="77777777" w:rsidR="00526CE5" w:rsidRPr="00D173CD" w:rsidRDefault="00526CE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4632C82" w14:textId="77777777" w:rsidR="00B840F3" w:rsidRPr="00D173CD" w:rsidRDefault="009548D9" w:rsidP="00D173CD">
      <w:pPr>
        <w:pStyle w:val="Normlbehzs"/>
        <w:keepNext/>
        <w:tabs>
          <w:tab w:val="left" w:pos="567"/>
          <w:tab w:val="left" w:pos="6990"/>
        </w:tabs>
        <w:spacing w:after="0"/>
        <w:ind w:left="0"/>
        <w:rPr>
          <w:i/>
          <w:iCs/>
          <w:lang w:val="hu-HU"/>
        </w:rPr>
      </w:pPr>
      <w:r w:rsidRPr="00D173CD">
        <w:rPr>
          <w:i/>
          <w:iCs/>
          <w:lang w:val="hu-HU"/>
        </w:rPr>
        <w:lastRenderedPageBreak/>
        <w:t>Májelégtelenségben szenvedő betegek</w:t>
      </w:r>
    </w:p>
    <w:p w14:paraId="4BAF6C6A" w14:textId="77777777" w:rsidR="009548D9" w:rsidRPr="00D173CD" w:rsidRDefault="002E2E2F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Mivel m</w:t>
      </w:r>
      <w:r w:rsidR="009548D9" w:rsidRPr="00D173CD">
        <w:rPr>
          <w:lang w:val="hu-HU"/>
        </w:rPr>
        <w:t>ájelégtelenségben</w:t>
      </w:r>
      <w:r w:rsidRPr="00D173CD">
        <w:rPr>
          <w:lang w:val="hu-HU"/>
        </w:rPr>
        <w:t xml:space="preserve"> történő alkalmazásról </w:t>
      </w:r>
      <w:r w:rsidR="00933379" w:rsidRPr="00D173CD">
        <w:rPr>
          <w:lang w:val="hu-HU"/>
        </w:rPr>
        <w:t xml:space="preserve">adatok </w:t>
      </w:r>
      <w:r w:rsidRPr="00D173CD">
        <w:rPr>
          <w:lang w:val="hu-HU"/>
        </w:rPr>
        <w:t>csak korlátozott</w:t>
      </w:r>
      <w:r w:rsidR="00933379" w:rsidRPr="00D173CD">
        <w:rPr>
          <w:lang w:val="hu-HU"/>
        </w:rPr>
        <w:t>an</w:t>
      </w:r>
      <w:r w:rsidRPr="00D173CD">
        <w:rPr>
          <w:lang w:val="hu-HU"/>
        </w:rPr>
        <w:t xml:space="preserve"> áll</w:t>
      </w:r>
      <w:r w:rsidR="00933379" w:rsidRPr="00D173CD">
        <w:rPr>
          <w:lang w:val="hu-HU"/>
        </w:rPr>
        <w:t>nak</w:t>
      </w:r>
      <w:r w:rsidRPr="00D173CD">
        <w:rPr>
          <w:lang w:val="hu-HU"/>
        </w:rPr>
        <w:t xml:space="preserve"> rendelkezésre,</w:t>
      </w:r>
      <w:r w:rsidR="00F7434C" w:rsidRPr="00D173CD">
        <w:rPr>
          <w:lang w:val="hu-HU"/>
        </w:rPr>
        <w:t xml:space="preserve"> </w:t>
      </w:r>
      <w:r w:rsidR="009548D9" w:rsidRPr="00D173CD">
        <w:rPr>
          <w:lang w:val="hu-HU"/>
        </w:rPr>
        <w:t xml:space="preserve">a </w:t>
      </w:r>
      <w:r w:rsidR="00050A9E" w:rsidRPr="00D173CD">
        <w:rPr>
          <w:lang w:val="hu-HU"/>
        </w:rPr>
        <w:t>Nebivolol Egis</w:t>
      </w:r>
      <w:r w:rsidR="00A10DB5" w:rsidRPr="00D173CD">
        <w:rPr>
          <w:rFonts w:eastAsia="Times New Roman"/>
          <w:snapToGrid/>
          <w:lang w:val="hu-HU" w:eastAsia="en-GB"/>
        </w:rPr>
        <w:t xml:space="preserve"> </w:t>
      </w:r>
      <w:r w:rsidR="009548D9" w:rsidRPr="00D173CD">
        <w:rPr>
          <w:rFonts w:eastAsia="Times New Roman"/>
          <w:snapToGrid/>
          <w:lang w:val="hu-HU" w:eastAsia="en-GB"/>
        </w:rPr>
        <w:t>5</w:t>
      </w:r>
      <w:r w:rsidR="0063406C" w:rsidRPr="00D173CD">
        <w:rPr>
          <w:rFonts w:eastAsia="Times New Roman"/>
          <w:snapToGrid/>
          <w:lang w:val="hu-HU" w:eastAsia="en-GB"/>
        </w:rPr>
        <w:t> mg</w:t>
      </w:r>
      <w:r w:rsidR="009548D9" w:rsidRPr="00D173CD">
        <w:rPr>
          <w:lang w:val="hu-HU"/>
        </w:rPr>
        <w:t xml:space="preserve"> tabletta alkalmazása </w:t>
      </w:r>
      <w:r w:rsidRPr="00D173CD">
        <w:rPr>
          <w:lang w:val="hu-HU"/>
        </w:rPr>
        <w:t>ebben a betegcsoportban</w:t>
      </w:r>
      <w:r w:rsidR="009548D9" w:rsidRPr="00D173CD">
        <w:rPr>
          <w:lang w:val="hu-HU"/>
        </w:rPr>
        <w:t xml:space="preserve"> ellenjavallt.</w:t>
      </w:r>
    </w:p>
    <w:p w14:paraId="23DEFBA5" w14:textId="77777777" w:rsidR="00526CE5" w:rsidRPr="00D173CD" w:rsidRDefault="00526CE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C68BA50" w14:textId="77777777" w:rsidR="009548D9" w:rsidRPr="00D173CD" w:rsidRDefault="002E2E2F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  <w:r w:rsidRPr="00D173CD">
        <w:rPr>
          <w:i/>
          <w:iCs/>
          <w:lang w:val="hu-HU"/>
        </w:rPr>
        <w:t>Idős</w:t>
      </w:r>
      <w:r w:rsidR="00972EF6" w:rsidRPr="00D173CD">
        <w:rPr>
          <w:i/>
          <w:iCs/>
          <w:lang w:val="hu-HU"/>
        </w:rPr>
        <w:t>e</w:t>
      </w:r>
      <w:r w:rsidRPr="00D173CD">
        <w:rPr>
          <w:i/>
          <w:iCs/>
          <w:lang w:val="hu-HU"/>
        </w:rPr>
        <w:t>k</w:t>
      </w:r>
    </w:p>
    <w:p w14:paraId="18C072F2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Az adagolás módosítása nem szükséges, mivel a maximális tolerálható </w:t>
      </w:r>
      <w:r w:rsidR="00933379" w:rsidRPr="00D173CD">
        <w:rPr>
          <w:lang w:val="hu-HU"/>
        </w:rPr>
        <w:t>dózis</w:t>
      </w:r>
      <w:r w:rsidRPr="00D173CD">
        <w:rPr>
          <w:lang w:val="hu-HU"/>
        </w:rPr>
        <w:t xml:space="preserve"> </w:t>
      </w:r>
      <w:r w:rsidR="00933379" w:rsidRPr="00D173CD">
        <w:rPr>
          <w:lang w:val="hu-HU"/>
        </w:rPr>
        <w:t xml:space="preserve">megállapítása </w:t>
      </w:r>
      <w:r w:rsidRPr="00D173CD">
        <w:rPr>
          <w:lang w:val="hu-HU"/>
        </w:rPr>
        <w:t>egyéni beállít</w:t>
      </w:r>
      <w:r w:rsidR="00933379" w:rsidRPr="00D173CD">
        <w:rPr>
          <w:lang w:val="hu-HU"/>
        </w:rPr>
        <w:t>ással történik</w:t>
      </w:r>
      <w:r w:rsidRPr="00D173CD">
        <w:rPr>
          <w:lang w:val="hu-HU"/>
        </w:rPr>
        <w:t>.</w:t>
      </w:r>
    </w:p>
    <w:p w14:paraId="2A066643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28DE298" w14:textId="77777777" w:rsidR="009548D9" w:rsidRPr="00D173CD" w:rsidRDefault="009548D9" w:rsidP="00D173CD">
      <w:pPr>
        <w:pStyle w:val="Normlbehzs"/>
        <w:keepNext/>
        <w:tabs>
          <w:tab w:val="left" w:pos="567"/>
        </w:tabs>
        <w:spacing w:after="0"/>
        <w:ind w:left="0"/>
        <w:rPr>
          <w:i/>
          <w:iCs/>
          <w:lang w:val="hu-HU"/>
        </w:rPr>
      </w:pPr>
      <w:r w:rsidRPr="00D173CD">
        <w:rPr>
          <w:i/>
          <w:iCs/>
          <w:lang w:val="hu-HU"/>
        </w:rPr>
        <w:t>Gyermekek</w:t>
      </w:r>
      <w:r w:rsidR="00DD18D0" w:rsidRPr="00D173CD">
        <w:rPr>
          <w:i/>
          <w:iCs/>
          <w:lang w:val="hu-HU"/>
        </w:rPr>
        <w:t xml:space="preserve"> és serdülők</w:t>
      </w:r>
    </w:p>
    <w:p w14:paraId="702F9FBB" w14:textId="3B6C39BC" w:rsidR="000F3923" w:rsidRPr="00D173CD" w:rsidRDefault="00127A2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</w:t>
      </w:r>
      <w:r w:rsidR="005E430F">
        <w:rPr>
          <w:lang w:val="hu-HU"/>
        </w:rPr>
        <w:t>z 5 mg</w:t>
      </w:r>
      <w:r w:rsidRPr="00D173CD">
        <w:rPr>
          <w:lang w:val="hu-HU"/>
        </w:rPr>
        <w:t xml:space="preserve"> nebivolol</w:t>
      </w:r>
      <w:r w:rsidR="005E430F">
        <w:rPr>
          <w:lang w:val="hu-HU"/>
        </w:rPr>
        <w:t>t tartalmazó</w:t>
      </w:r>
      <w:r w:rsidR="00663AFD" w:rsidRPr="00D173CD">
        <w:rPr>
          <w:lang w:val="hu-HU"/>
        </w:rPr>
        <w:t xml:space="preserve"> tabletta </w:t>
      </w:r>
      <w:r w:rsidRPr="00D173CD">
        <w:rPr>
          <w:lang w:val="hu-HU"/>
        </w:rPr>
        <w:t>biztonságosságát és hatásosságát 18 évesnél fiatalabb gyermekek és serdülők esetében nem igazolták. Ennek megfelelően gyermekek és serdülők esetében alkalmazása nem javasolt.</w:t>
      </w:r>
      <w:r w:rsidR="00663AFD" w:rsidRPr="00D173CD">
        <w:rPr>
          <w:lang w:val="hu-HU"/>
        </w:rPr>
        <w:t xml:space="preserve"> Nincsenek rendelkezésre álló adatok.</w:t>
      </w:r>
    </w:p>
    <w:p w14:paraId="2A2F0FBA" w14:textId="77777777" w:rsidR="00663AFD" w:rsidRPr="00D173CD" w:rsidRDefault="00663AFD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6E0FBC52" w14:textId="4F772E11" w:rsidR="000F3923" w:rsidRPr="00D173CD" w:rsidRDefault="000F3923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>Az alkalmazás módja</w:t>
      </w:r>
    </w:p>
    <w:p w14:paraId="7ECC951F" w14:textId="77777777" w:rsidR="000F3923" w:rsidRPr="00D173CD" w:rsidRDefault="000F3923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Szájon át történő alkalmazásra.</w:t>
      </w:r>
    </w:p>
    <w:p w14:paraId="53DE0702" w14:textId="23EE0AC5" w:rsidR="000F3923" w:rsidRPr="00D173CD" w:rsidRDefault="000F3923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tabletta étkezés</w:t>
      </w:r>
      <w:r w:rsidR="005E430F">
        <w:rPr>
          <w:lang w:val="hu-HU"/>
        </w:rPr>
        <w:t xml:space="preserve"> </w:t>
      </w:r>
      <w:r w:rsidRPr="00D173CD">
        <w:rPr>
          <w:lang w:val="hu-HU"/>
        </w:rPr>
        <w:t>k</w:t>
      </w:r>
      <w:r w:rsidR="005E430F">
        <w:rPr>
          <w:lang w:val="hu-HU"/>
        </w:rPr>
        <w:t>özben</w:t>
      </w:r>
      <w:r w:rsidRPr="00D173CD">
        <w:rPr>
          <w:lang w:val="hu-HU"/>
        </w:rPr>
        <w:t xml:space="preserve"> is bevehető.</w:t>
      </w:r>
    </w:p>
    <w:p w14:paraId="07BFC760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35053B6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4.3</w:t>
      </w:r>
      <w:r w:rsidRPr="00D173CD">
        <w:rPr>
          <w:rFonts w:ascii="Times New Roman" w:hAnsi="Times New Roman" w:cs="Times New Roman"/>
        </w:rPr>
        <w:tab/>
        <w:t>Ellenjavallatok</w:t>
      </w:r>
    </w:p>
    <w:p w14:paraId="1BA862E8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5E72670" w14:textId="77777777" w:rsidR="009548D9" w:rsidRPr="00D173CD" w:rsidRDefault="009548D9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>A készítmény hatóanyagával vagy bármely segédanyagával szembeni túlérzékenység</w:t>
      </w:r>
      <w:r w:rsidR="005F5D9F" w:rsidRPr="00D173CD">
        <w:rPr>
          <w:lang w:val="hu-HU"/>
        </w:rPr>
        <w:t xml:space="preserve"> </w:t>
      </w:r>
      <w:r w:rsidR="00094362" w:rsidRPr="00D173CD">
        <w:rPr>
          <w:lang w:val="hu-HU"/>
        </w:rPr>
        <w:t>(lásd 6.1</w:t>
      </w:r>
      <w:r w:rsidR="00D4336D" w:rsidRPr="00D173CD">
        <w:rPr>
          <w:lang w:val="hu-HU"/>
        </w:rPr>
        <w:t> </w:t>
      </w:r>
      <w:r w:rsidR="00094362" w:rsidRPr="00D173CD">
        <w:rPr>
          <w:lang w:val="hu-HU"/>
        </w:rPr>
        <w:t>pont)</w:t>
      </w:r>
      <w:r w:rsidRPr="00D173CD">
        <w:rPr>
          <w:lang w:val="hu-HU"/>
        </w:rPr>
        <w:t>.</w:t>
      </w:r>
    </w:p>
    <w:p w14:paraId="2FBA6D75" w14:textId="77777777" w:rsidR="009548D9" w:rsidRPr="00D173CD" w:rsidRDefault="009548D9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 xml:space="preserve">Májelégtelenség vagy </w:t>
      </w:r>
      <w:r w:rsidR="00933379" w:rsidRPr="00D173CD">
        <w:rPr>
          <w:lang w:val="hu-HU"/>
        </w:rPr>
        <w:t>károsodott</w:t>
      </w:r>
      <w:r w:rsidR="002E2E2F" w:rsidRPr="00D173CD">
        <w:rPr>
          <w:lang w:val="hu-HU"/>
        </w:rPr>
        <w:t xml:space="preserve"> májfunkció</w:t>
      </w:r>
      <w:r w:rsidR="00145487" w:rsidRPr="00D173CD">
        <w:rPr>
          <w:lang w:val="hu-HU"/>
        </w:rPr>
        <w:t>.</w:t>
      </w:r>
    </w:p>
    <w:p w14:paraId="6415588E" w14:textId="29ACA971" w:rsidR="00BD1773" w:rsidRPr="00D173CD" w:rsidRDefault="00145487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>A</w:t>
      </w:r>
      <w:r w:rsidR="009548D9" w:rsidRPr="00D173CD">
        <w:rPr>
          <w:lang w:val="hu-HU"/>
        </w:rPr>
        <w:t xml:space="preserve">kut szívelégtelenség, </w:t>
      </w:r>
      <w:r w:rsidR="00DD18D0" w:rsidRPr="00D173CD">
        <w:rPr>
          <w:lang w:val="hu-HU"/>
        </w:rPr>
        <w:t>cardiogen so</w:t>
      </w:r>
      <w:r w:rsidR="005E430F">
        <w:rPr>
          <w:lang w:val="hu-HU"/>
        </w:rPr>
        <w:t>k</w:t>
      </w:r>
      <w:r w:rsidR="00DD18D0" w:rsidRPr="00D173CD">
        <w:rPr>
          <w:lang w:val="hu-HU"/>
        </w:rPr>
        <w:t>k</w:t>
      </w:r>
      <w:r w:rsidR="009548D9" w:rsidRPr="00D173CD">
        <w:rPr>
          <w:lang w:val="hu-HU"/>
        </w:rPr>
        <w:t>, illetve intravénás inotr</w:t>
      </w:r>
      <w:r w:rsidR="00972EF6" w:rsidRPr="00D173CD">
        <w:rPr>
          <w:lang w:val="hu-HU"/>
        </w:rPr>
        <w:t>ó</w:t>
      </w:r>
      <w:r w:rsidR="009548D9" w:rsidRPr="00D173CD">
        <w:rPr>
          <w:lang w:val="hu-HU"/>
        </w:rPr>
        <w:t xml:space="preserve">p </w:t>
      </w:r>
      <w:r w:rsidR="002E2E2F" w:rsidRPr="00D173CD">
        <w:rPr>
          <w:lang w:val="hu-HU"/>
        </w:rPr>
        <w:t xml:space="preserve">terápiát </w:t>
      </w:r>
      <w:r w:rsidR="009548D9" w:rsidRPr="00D173CD">
        <w:rPr>
          <w:lang w:val="hu-HU"/>
        </w:rPr>
        <w:t xml:space="preserve">igénylő dekompenzált szívelégtelenség </w:t>
      </w:r>
      <w:r w:rsidR="002E2E2F" w:rsidRPr="00D173CD">
        <w:rPr>
          <w:lang w:val="hu-HU"/>
        </w:rPr>
        <w:t>epizódok</w:t>
      </w:r>
      <w:r w:rsidRPr="00D173CD">
        <w:rPr>
          <w:lang w:val="hu-HU"/>
        </w:rPr>
        <w:t>.</w:t>
      </w:r>
    </w:p>
    <w:p w14:paraId="58D9BB39" w14:textId="77777777" w:rsidR="00EA0045" w:rsidRPr="00D173CD" w:rsidRDefault="00EA0045" w:rsidP="00D173CD">
      <w:pPr>
        <w:pStyle w:val="Normlbehzs"/>
        <w:spacing w:after="0"/>
        <w:ind w:left="0"/>
        <w:rPr>
          <w:lang w:val="hu-HU"/>
        </w:rPr>
      </w:pPr>
    </w:p>
    <w:p w14:paraId="003EA23F" w14:textId="5FED22CC" w:rsidR="00045230" w:rsidRPr="00D173CD" w:rsidRDefault="00045230" w:rsidP="00D173CD">
      <w:pPr>
        <w:pStyle w:val="Normlbehzs"/>
        <w:spacing w:after="0"/>
        <w:ind w:left="0"/>
        <w:rPr>
          <w:lang w:val="hu-HU"/>
        </w:rPr>
      </w:pPr>
      <w:r w:rsidRPr="00D173CD">
        <w:rPr>
          <w:lang w:val="hu-HU"/>
        </w:rPr>
        <w:t xml:space="preserve">Ezen </w:t>
      </w:r>
      <w:r w:rsidR="003D3617" w:rsidRPr="00D173CD">
        <w:rPr>
          <w:lang w:val="hu-HU"/>
        </w:rPr>
        <w:t>kívül</w:t>
      </w:r>
      <w:r w:rsidRPr="00D173CD">
        <w:rPr>
          <w:lang w:val="hu-HU"/>
        </w:rPr>
        <w:t>, mint egyéb béta-blokkolók esetében</w:t>
      </w:r>
      <w:r w:rsidR="003D3617" w:rsidRPr="00D173CD">
        <w:rPr>
          <w:lang w:val="hu-HU"/>
        </w:rPr>
        <w:t>, a nebivolol adása kontraindikált:</w:t>
      </w:r>
    </w:p>
    <w:p w14:paraId="62BC9C5A" w14:textId="77777777" w:rsidR="009548D9" w:rsidRPr="00D173CD" w:rsidRDefault="00145487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>S</w:t>
      </w:r>
      <w:r w:rsidR="009548D9" w:rsidRPr="00D173CD">
        <w:rPr>
          <w:lang w:val="hu-HU"/>
        </w:rPr>
        <w:t>ick sinus</w:t>
      </w:r>
      <w:r w:rsidRPr="00D173CD">
        <w:rPr>
          <w:lang w:val="hu-HU"/>
        </w:rPr>
        <w:t xml:space="preserve"> </w:t>
      </w:r>
      <w:r w:rsidR="009548D9" w:rsidRPr="00D173CD">
        <w:rPr>
          <w:lang w:val="hu-HU"/>
        </w:rPr>
        <w:t>szindróma, beleértve a sin</w:t>
      </w:r>
      <w:r w:rsidRPr="00D173CD">
        <w:rPr>
          <w:lang w:val="hu-HU"/>
        </w:rPr>
        <w:t>u</w:t>
      </w:r>
      <w:r w:rsidR="009548D9" w:rsidRPr="00D173CD">
        <w:rPr>
          <w:lang w:val="hu-HU"/>
        </w:rPr>
        <w:t>atrialis blokkot</w:t>
      </w:r>
      <w:r w:rsidRPr="00D173CD">
        <w:rPr>
          <w:lang w:val="hu-HU"/>
        </w:rPr>
        <w:t>.</w:t>
      </w:r>
    </w:p>
    <w:p w14:paraId="78C70DEC" w14:textId="77777777" w:rsidR="009548D9" w:rsidRPr="00D173CD" w:rsidRDefault="00145487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>M</w:t>
      </w:r>
      <w:r w:rsidR="009548D9" w:rsidRPr="00D173CD">
        <w:rPr>
          <w:lang w:val="hu-HU"/>
        </w:rPr>
        <w:t>ásod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 xml:space="preserve"> és harmadfokú </w:t>
      </w:r>
      <w:r w:rsidR="00274896" w:rsidRPr="00D173CD">
        <w:rPr>
          <w:lang w:val="hu-HU"/>
        </w:rPr>
        <w:t>AV</w:t>
      </w:r>
      <w:r w:rsidR="00D4336D" w:rsidRPr="00D173CD">
        <w:rPr>
          <w:lang w:val="hu-HU"/>
        </w:rPr>
        <w:noBreakHyphen/>
      </w:r>
      <w:r w:rsidR="00274896" w:rsidRPr="00D173CD">
        <w:rPr>
          <w:lang w:val="hu-HU"/>
        </w:rPr>
        <w:t xml:space="preserve">blokk </w:t>
      </w:r>
      <w:r w:rsidR="009548D9" w:rsidRPr="00D173CD">
        <w:rPr>
          <w:lang w:val="hu-HU"/>
        </w:rPr>
        <w:t>(pacemaker nélkül)</w:t>
      </w:r>
      <w:r w:rsidRPr="00D173CD">
        <w:rPr>
          <w:lang w:val="hu-HU"/>
        </w:rPr>
        <w:t>.</w:t>
      </w:r>
    </w:p>
    <w:p w14:paraId="076DFFCA" w14:textId="77777777" w:rsidR="009548D9" w:rsidRPr="00D173CD" w:rsidRDefault="00145487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>A</w:t>
      </w:r>
      <w:r w:rsidR="009548D9" w:rsidRPr="00D173CD">
        <w:rPr>
          <w:lang w:val="hu-HU"/>
        </w:rPr>
        <w:t>sthma bronchiale vagy krónikus obstru</w:t>
      </w:r>
      <w:r w:rsidR="00972EF6" w:rsidRPr="00D173CD">
        <w:rPr>
          <w:lang w:val="hu-HU"/>
        </w:rPr>
        <w:t>k</w:t>
      </w:r>
      <w:r w:rsidR="009548D9" w:rsidRPr="00D173CD">
        <w:rPr>
          <w:lang w:val="hu-HU"/>
        </w:rPr>
        <w:t>t</w:t>
      </w:r>
      <w:r w:rsidR="00972EF6" w:rsidRPr="00D173CD">
        <w:rPr>
          <w:lang w:val="hu-HU"/>
        </w:rPr>
        <w:t>í</w:t>
      </w:r>
      <w:r w:rsidR="009548D9" w:rsidRPr="00D173CD">
        <w:rPr>
          <w:lang w:val="hu-HU"/>
        </w:rPr>
        <w:t>v tüdőbetegség az anamnézisben</w:t>
      </w:r>
      <w:r w:rsidRPr="00D173CD">
        <w:rPr>
          <w:lang w:val="hu-HU"/>
        </w:rPr>
        <w:t>.</w:t>
      </w:r>
    </w:p>
    <w:p w14:paraId="21FA8EF9" w14:textId="77777777" w:rsidR="009548D9" w:rsidRPr="00D173CD" w:rsidRDefault="00145487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>K</w:t>
      </w:r>
      <w:r w:rsidR="009548D9" w:rsidRPr="00D173CD">
        <w:rPr>
          <w:lang w:val="hu-HU"/>
        </w:rPr>
        <w:t>ezeletlen pheochromocytoma</w:t>
      </w:r>
      <w:r w:rsidRPr="00D173CD">
        <w:rPr>
          <w:lang w:val="hu-HU"/>
        </w:rPr>
        <w:t>.</w:t>
      </w:r>
    </w:p>
    <w:p w14:paraId="244BAED7" w14:textId="77777777" w:rsidR="009548D9" w:rsidRPr="00D173CD" w:rsidRDefault="00145487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>M</w:t>
      </w:r>
      <w:r w:rsidR="009548D9" w:rsidRPr="00D173CD">
        <w:rPr>
          <w:lang w:val="hu-HU"/>
        </w:rPr>
        <w:t>etabolikus acidózis</w:t>
      </w:r>
      <w:r w:rsidRPr="00D173CD">
        <w:rPr>
          <w:lang w:val="hu-HU"/>
        </w:rPr>
        <w:t>.</w:t>
      </w:r>
    </w:p>
    <w:p w14:paraId="067F336B" w14:textId="77777777" w:rsidR="009548D9" w:rsidRPr="00D173CD" w:rsidRDefault="00145487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>B</w:t>
      </w:r>
      <w:r w:rsidR="009548D9" w:rsidRPr="00D173CD">
        <w:rPr>
          <w:lang w:val="hu-HU"/>
        </w:rPr>
        <w:t xml:space="preserve">radycardia (a kezelés </w:t>
      </w:r>
      <w:r w:rsidR="002E2E2F" w:rsidRPr="00D173CD">
        <w:rPr>
          <w:lang w:val="hu-HU"/>
        </w:rPr>
        <w:t xml:space="preserve">elkezdése </w:t>
      </w:r>
      <w:r w:rsidR="009548D9" w:rsidRPr="00D173CD">
        <w:rPr>
          <w:lang w:val="hu-HU"/>
        </w:rPr>
        <w:t>előtt</w:t>
      </w:r>
      <w:r w:rsidR="002E2E2F" w:rsidRPr="00D173CD">
        <w:rPr>
          <w:lang w:val="hu-HU"/>
        </w:rPr>
        <w:t>i szívfrekvencia</w:t>
      </w:r>
      <w:r w:rsidR="009548D9" w:rsidRPr="00D173CD">
        <w:rPr>
          <w:lang w:val="hu-HU"/>
        </w:rPr>
        <w:t xml:space="preserve"> &lt;</w:t>
      </w:r>
      <w:r w:rsidR="00304EC4" w:rsidRPr="00D173CD">
        <w:rPr>
          <w:lang w:val="hu-HU"/>
        </w:rPr>
        <w:t> </w:t>
      </w:r>
      <w:r w:rsidR="009548D9" w:rsidRPr="00D173CD">
        <w:rPr>
          <w:lang w:val="hu-HU"/>
        </w:rPr>
        <w:t>60/perc)</w:t>
      </w:r>
      <w:r w:rsidRPr="00D173CD">
        <w:rPr>
          <w:lang w:val="hu-HU"/>
        </w:rPr>
        <w:t>.</w:t>
      </w:r>
    </w:p>
    <w:p w14:paraId="58E44405" w14:textId="77777777" w:rsidR="009548D9" w:rsidRPr="00D173CD" w:rsidRDefault="00145487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>H</w:t>
      </w:r>
      <w:r w:rsidR="006841C5" w:rsidRPr="00D173CD">
        <w:rPr>
          <w:lang w:val="hu-HU"/>
        </w:rPr>
        <w:t>y</w:t>
      </w:r>
      <w:r w:rsidR="009548D9" w:rsidRPr="00D173CD">
        <w:rPr>
          <w:lang w:val="hu-HU"/>
        </w:rPr>
        <w:t>pot</w:t>
      </w:r>
      <w:r w:rsidRPr="00D173CD">
        <w:rPr>
          <w:lang w:val="hu-HU"/>
        </w:rPr>
        <w:t>o</w:t>
      </w:r>
      <w:r w:rsidR="00DD18D0" w:rsidRPr="00D173CD">
        <w:rPr>
          <w:lang w:val="hu-HU"/>
        </w:rPr>
        <w:t>nia</w:t>
      </w:r>
      <w:r w:rsidR="009548D9" w:rsidRPr="00D173CD">
        <w:rPr>
          <w:lang w:val="hu-HU"/>
        </w:rPr>
        <w:t xml:space="preserve"> (</w:t>
      </w:r>
      <w:r w:rsidRPr="00D173CD">
        <w:rPr>
          <w:lang w:val="hu-HU"/>
        </w:rPr>
        <w:t xml:space="preserve">a </w:t>
      </w:r>
      <w:r w:rsidR="009548D9" w:rsidRPr="00D173CD">
        <w:rPr>
          <w:lang w:val="hu-HU"/>
        </w:rPr>
        <w:t>szisztolés vérnyomás &lt;</w:t>
      </w:r>
      <w:r w:rsidR="00304EC4" w:rsidRPr="00D173CD">
        <w:rPr>
          <w:lang w:val="hu-HU"/>
        </w:rPr>
        <w:t> </w:t>
      </w:r>
      <w:r w:rsidR="009548D9" w:rsidRPr="00D173CD">
        <w:rPr>
          <w:lang w:val="hu-HU"/>
        </w:rPr>
        <w:t>90</w:t>
      </w:r>
      <w:r w:rsidR="00304EC4" w:rsidRPr="00D173CD">
        <w:rPr>
          <w:lang w:val="hu-HU"/>
        </w:rPr>
        <w:t> </w:t>
      </w:r>
      <w:r w:rsidR="009548D9" w:rsidRPr="00D173CD">
        <w:rPr>
          <w:lang w:val="hu-HU"/>
        </w:rPr>
        <w:t>Hgmm)</w:t>
      </w:r>
      <w:r w:rsidR="00421998" w:rsidRPr="00D173CD">
        <w:rPr>
          <w:lang w:val="hu-HU"/>
        </w:rPr>
        <w:t>.</w:t>
      </w:r>
    </w:p>
    <w:p w14:paraId="48125DD7" w14:textId="77777777" w:rsidR="009548D9" w:rsidRPr="00D173CD" w:rsidRDefault="00145487" w:rsidP="00D173CD">
      <w:pPr>
        <w:pStyle w:val="Normlbehzs"/>
        <w:numPr>
          <w:ilvl w:val="0"/>
          <w:numId w:val="8"/>
        </w:numPr>
        <w:spacing w:after="0"/>
        <w:rPr>
          <w:lang w:val="hu-HU"/>
        </w:rPr>
      </w:pPr>
      <w:r w:rsidRPr="00D173CD">
        <w:rPr>
          <w:lang w:val="hu-HU"/>
        </w:rPr>
        <w:t>S</w:t>
      </w:r>
      <w:r w:rsidR="009548D9" w:rsidRPr="00D173CD">
        <w:rPr>
          <w:lang w:val="hu-HU"/>
        </w:rPr>
        <w:t>úlyos perifériás keringészavar.</w:t>
      </w:r>
    </w:p>
    <w:p w14:paraId="03A6DBC6" w14:textId="77777777" w:rsidR="002E4E89" w:rsidRPr="00D173CD" w:rsidRDefault="002E4E8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349E62A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4.4</w:t>
      </w:r>
      <w:r w:rsidRPr="00D173CD">
        <w:rPr>
          <w:rFonts w:ascii="Times New Roman" w:hAnsi="Times New Roman" w:cs="Times New Roman"/>
        </w:rPr>
        <w:tab/>
        <w:t>Külön</w:t>
      </w:r>
      <w:r w:rsidR="001E06AB" w:rsidRPr="00D173CD">
        <w:rPr>
          <w:rFonts w:ascii="Times New Roman" w:hAnsi="Times New Roman" w:cs="Times New Roman"/>
        </w:rPr>
        <w:t>leges figyelmeztetések és az alkalma</w:t>
      </w:r>
      <w:r w:rsidRPr="00D173CD">
        <w:rPr>
          <w:rFonts w:ascii="Times New Roman" w:hAnsi="Times New Roman" w:cs="Times New Roman"/>
        </w:rPr>
        <w:t>záss</w:t>
      </w:r>
      <w:r w:rsidR="001E06AB" w:rsidRPr="00D173CD">
        <w:rPr>
          <w:rFonts w:ascii="Times New Roman" w:hAnsi="Times New Roman" w:cs="Times New Roman"/>
        </w:rPr>
        <w:t>al kap</w:t>
      </w:r>
      <w:r w:rsidRPr="00D173CD">
        <w:rPr>
          <w:rFonts w:ascii="Times New Roman" w:hAnsi="Times New Roman" w:cs="Times New Roman"/>
        </w:rPr>
        <w:t>csolatos óvintézkedések</w:t>
      </w:r>
    </w:p>
    <w:p w14:paraId="350FABAE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53A048F" w14:textId="77777777" w:rsidR="009548D9" w:rsidRPr="00D173CD" w:rsidRDefault="001E06AB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Lásd még 4.8 </w:t>
      </w:r>
      <w:r w:rsidR="009548D9" w:rsidRPr="00D173CD">
        <w:rPr>
          <w:lang w:val="hu-HU"/>
        </w:rPr>
        <w:t>pont.</w:t>
      </w:r>
    </w:p>
    <w:p w14:paraId="0DCDAD55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67F3F04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Az alábbi figyelmeztetések és óvintézkedések általánosságban vonatkoznak 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adrenerg</w:t>
      </w:r>
      <w:r w:rsidR="00972EF6" w:rsidRPr="00D173CD">
        <w:rPr>
          <w:lang w:val="hu-HU"/>
        </w:rPr>
        <w:noBreakHyphen/>
      </w:r>
      <w:r w:rsidRPr="00D173CD">
        <w:rPr>
          <w:lang w:val="hu-HU"/>
        </w:rPr>
        <w:t>antagonistákra, amelyek közé a nebivolol is tartozik.</w:t>
      </w:r>
    </w:p>
    <w:p w14:paraId="7AA14B93" w14:textId="77777777" w:rsidR="003564E0" w:rsidRPr="00D173CD" w:rsidRDefault="003564E0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</w:p>
    <w:p w14:paraId="18DD3F6A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  <w:r w:rsidRPr="00D173CD">
        <w:rPr>
          <w:i/>
          <w:lang w:val="hu-HU"/>
        </w:rPr>
        <w:t>Anes</w:t>
      </w:r>
      <w:r w:rsidR="00972EF6" w:rsidRPr="00D173CD">
        <w:rPr>
          <w:i/>
          <w:lang w:val="hu-HU"/>
        </w:rPr>
        <w:t>z</w:t>
      </w:r>
      <w:r w:rsidRPr="00D173CD">
        <w:rPr>
          <w:i/>
          <w:lang w:val="hu-HU"/>
        </w:rPr>
        <w:t>t</w:t>
      </w:r>
      <w:r w:rsidR="00972EF6" w:rsidRPr="00D173CD">
        <w:rPr>
          <w:i/>
          <w:lang w:val="hu-HU"/>
        </w:rPr>
        <w:t>éz</w:t>
      </w:r>
      <w:r w:rsidRPr="00D173CD">
        <w:rPr>
          <w:i/>
          <w:lang w:val="hu-HU"/>
        </w:rPr>
        <w:t>ia</w:t>
      </w:r>
    </w:p>
    <w:p w14:paraId="7AD68678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</w:p>
    <w:p w14:paraId="12F195F1" w14:textId="77777777" w:rsidR="009548D9" w:rsidRPr="00D173CD" w:rsidRDefault="002E2E2F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blokkolók folyamatos adása csökkenti az arrhythmiák kockázatát </w:t>
      </w:r>
      <w:r w:rsidR="009548D9" w:rsidRPr="00D173CD">
        <w:rPr>
          <w:lang w:val="hu-HU"/>
        </w:rPr>
        <w:t>az anes</w:t>
      </w:r>
      <w:r w:rsidR="00972EF6" w:rsidRPr="00D173CD">
        <w:rPr>
          <w:lang w:val="hu-HU"/>
        </w:rPr>
        <w:t>z</w:t>
      </w:r>
      <w:r w:rsidR="009548D9" w:rsidRPr="00D173CD">
        <w:rPr>
          <w:lang w:val="hu-HU"/>
        </w:rPr>
        <w:t>t</w:t>
      </w:r>
      <w:r w:rsidR="00972EF6" w:rsidRPr="00D173CD">
        <w:rPr>
          <w:lang w:val="hu-HU"/>
        </w:rPr>
        <w:t>éz</w:t>
      </w:r>
      <w:r w:rsidR="009548D9" w:rsidRPr="00D173CD">
        <w:rPr>
          <w:lang w:val="hu-HU"/>
        </w:rPr>
        <w:t xml:space="preserve">ia bevezetése és </w:t>
      </w:r>
      <w:r w:rsidR="000A5D56" w:rsidRPr="00D173CD">
        <w:rPr>
          <w:lang w:val="hu-HU"/>
        </w:rPr>
        <w:t xml:space="preserve">az </w:t>
      </w:r>
      <w:r w:rsidR="009548D9" w:rsidRPr="00D173CD">
        <w:rPr>
          <w:lang w:val="hu-HU"/>
        </w:rPr>
        <w:t>intubáció alatt</w:t>
      </w:r>
      <w:r w:rsidRPr="00D173CD">
        <w:rPr>
          <w:lang w:val="hu-HU"/>
        </w:rPr>
        <w:t>.</w:t>
      </w:r>
      <w:r w:rsidR="009548D9" w:rsidRPr="00D173CD">
        <w:rPr>
          <w:lang w:val="hu-HU"/>
        </w:rPr>
        <w:t xml:space="preserve"> Ha a műtéti előkészítés során a </w:t>
      </w:r>
      <w:r w:rsidRPr="00D173CD">
        <w:rPr>
          <w:lang w:val="hu-HU"/>
        </w:rPr>
        <w:t>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blokkolók adását</w:t>
      </w:r>
      <w:r w:rsidR="009548D9" w:rsidRPr="00D173CD">
        <w:rPr>
          <w:lang w:val="hu-HU"/>
        </w:rPr>
        <w:t xml:space="preserve"> megszakítják, akkor a béta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adrenerg</w:t>
      </w:r>
      <w:r w:rsidR="00CC1323" w:rsidRPr="00D173CD">
        <w:rPr>
          <w:lang w:val="hu-HU"/>
        </w:rPr>
        <w:t>-</w:t>
      </w:r>
      <w:r w:rsidR="009548D9" w:rsidRPr="00D173CD">
        <w:rPr>
          <w:lang w:val="hu-HU"/>
        </w:rPr>
        <w:t>antagonist</w:t>
      </w:r>
      <w:r w:rsidRPr="00D173CD">
        <w:rPr>
          <w:lang w:val="hu-HU"/>
        </w:rPr>
        <w:t>a</w:t>
      </w:r>
      <w:r w:rsidR="009548D9" w:rsidRPr="00D173CD">
        <w:rPr>
          <w:lang w:val="hu-HU"/>
        </w:rPr>
        <w:t xml:space="preserve"> a</w:t>
      </w:r>
      <w:r w:rsidR="001E06AB" w:rsidRPr="00D173CD">
        <w:rPr>
          <w:lang w:val="hu-HU"/>
        </w:rPr>
        <w:t xml:space="preserve">dását </w:t>
      </w:r>
      <w:r w:rsidR="000A5D56" w:rsidRPr="00D173CD">
        <w:rPr>
          <w:lang w:val="hu-HU"/>
        </w:rPr>
        <w:t xml:space="preserve">legalább 24 órával </w:t>
      </w:r>
      <w:r w:rsidR="001E06AB" w:rsidRPr="00D173CD">
        <w:rPr>
          <w:lang w:val="hu-HU"/>
        </w:rPr>
        <w:t xml:space="preserve">a műtét előtt </w:t>
      </w:r>
      <w:r w:rsidR="000A5D56" w:rsidRPr="00D173CD">
        <w:rPr>
          <w:lang w:val="hu-HU"/>
        </w:rPr>
        <w:t>kell</w:t>
      </w:r>
      <w:r w:rsidR="000A5D56" w:rsidRPr="00D173CD" w:rsidDel="000A5D56">
        <w:rPr>
          <w:lang w:val="hu-HU"/>
        </w:rPr>
        <w:t xml:space="preserve"> </w:t>
      </w:r>
      <w:r w:rsidRPr="00D173CD">
        <w:rPr>
          <w:lang w:val="hu-HU"/>
        </w:rPr>
        <w:t>felfüggeszteni</w:t>
      </w:r>
      <w:r w:rsidR="009548D9" w:rsidRPr="00D173CD">
        <w:rPr>
          <w:lang w:val="hu-HU"/>
        </w:rPr>
        <w:t>.</w:t>
      </w:r>
    </w:p>
    <w:p w14:paraId="59120B34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4449CC3" w14:textId="77777777" w:rsidR="009548D9" w:rsidRPr="00D173CD" w:rsidRDefault="002E2E2F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Körültekintően </w:t>
      </w:r>
      <w:r w:rsidR="009548D9" w:rsidRPr="00D173CD">
        <w:rPr>
          <w:lang w:val="hu-HU"/>
        </w:rPr>
        <w:t xml:space="preserve">kell eljárni bizonyos, </w:t>
      </w:r>
      <w:r w:rsidR="00E72563" w:rsidRPr="00D173CD">
        <w:rPr>
          <w:lang w:val="hu-HU"/>
        </w:rPr>
        <w:t>szívizom</w:t>
      </w:r>
      <w:r w:rsidR="00E72563" w:rsidRPr="00D173CD">
        <w:rPr>
          <w:lang w:val="hu-HU"/>
        </w:rPr>
        <w:noBreakHyphen/>
      </w:r>
      <w:r w:rsidR="009548D9" w:rsidRPr="00D173CD">
        <w:rPr>
          <w:lang w:val="hu-HU"/>
        </w:rPr>
        <w:t>depressziót okozó anes</w:t>
      </w:r>
      <w:r w:rsidR="00E72563" w:rsidRPr="00D173CD">
        <w:rPr>
          <w:lang w:val="hu-HU"/>
        </w:rPr>
        <w:t>z</w:t>
      </w:r>
      <w:r w:rsidR="009548D9" w:rsidRPr="00D173CD">
        <w:rPr>
          <w:lang w:val="hu-HU"/>
        </w:rPr>
        <w:t xml:space="preserve">tetikumok esetén. A beteg </w:t>
      </w:r>
      <w:r w:rsidRPr="00D173CD">
        <w:rPr>
          <w:lang w:val="hu-HU"/>
        </w:rPr>
        <w:t>vagus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reakcióját atropin intravénás adásával lehet kivédeni.</w:t>
      </w:r>
    </w:p>
    <w:p w14:paraId="773EBAA1" w14:textId="77777777" w:rsidR="003564E0" w:rsidRPr="00D173CD" w:rsidRDefault="003564E0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</w:p>
    <w:p w14:paraId="3C8AB1DE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  <w:r w:rsidRPr="00D173CD">
        <w:rPr>
          <w:i/>
          <w:lang w:val="hu-HU"/>
        </w:rPr>
        <w:t>Cardiovascularis betegségek</w:t>
      </w:r>
    </w:p>
    <w:p w14:paraId="2FD66366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</w:p>
    <w:p w14:paraId="4EAFFA0C" w14:textId="77777777" w:rsidR="009548D9" w:rsidRPr="00D173CD" w:rsidRDefault="0061452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</w:t>
      </w:r>
      <w:r w:rsidR="009548D9" w:rsidRPr="00D173CD">
        <w:rPr>
          <w:lang w:val="hu-HU"/>
        </w:rPr>
        <w:t xml:space="preserve"> béta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="009548D9" w:rsidRPr="00D173CD">
        <w:rPr>
          <w:lang w:val="hu-HU"/>
        </w:rPr>
        <w:t>gonisták</w:t>
      </w:r>
      <w:r w:rsidRPr="00D173CD">
        <w:rPr>
          <w:lang w:val="hu-HU"/>
        </w:rPr>
        <w:t xml:space="preserve"> általában</w:t>
      </w:r>
      <w:r w:rsidR="002E2E2F" w:rsidRPr="00D173CD">
        <w:rPr>
          <w:lang w:val="hu-HU"/>
        </w:rPr>
        <w:t xml:space="preserve"> nem alkalmazhatók</w:t>
      </w:r>
      <w:r w:rsidR="009548D9" w:rsidRPr="00D173CD">
        <w:rPr>
          <w:lang w:val="hu-HU"/>
        </w:rPr>
        <w:t xml:space="preserve"> kezeletlen </w:t>
      </w:r>
      <w:r w:rsidR="002E2E2F" w:rsidRPr="00D173CD">
        <w:rPr>
          <w:lang w:val="hu-HU"/>
        </w:rPr>
        <w:t>kongesztív</w:t>
      </w:r>
      <w:r w:rsidR="009548D9" w:rsidRPr="00D173CD">
        <w:rPr>
          <w:lang w:val="hu-HU"/>
        </w:rPr>
        <w:t xml:space="preserve"> szívelégtelenségben, </w:t>
      </w:r>
      <w:r w:rsidR="00AE70BA" w:rsidRPr="00D173CD">
        <w:rPr>
          <w:lang w:val="hu-HU"/>
        </w:rPr>
        <w:t>hacsak</w:t>
      </w:r>
      <w:r w:rsidR="009548D9" w:rsidRPr="00D173CD">
        <w:rPr>
          <w:lang w:val="hu-HU"/>
        </w:rPr>
        <w:t xml:space="preserve"> a betegek állapotát nem stabilizál</w:t>
      </w:r>
      <w:r w:rsidR="00AE70BA" w:rsidRPr="00D173CD">
        <w:rPr>
          <w:lang w:val="hu-HU"/>
        </w:rPr>
        <w:t>j</w:t>
      </w:r>
      <w:r w:rsidR="009548D9" w:rsidRPr="00D173CD">
        <w:rPr>
          <w:lang w:val="hu-HU"/>
        </w:rPr>
        <w:t>ák.</w:t>
      </w:r>
    </w:p>
    <w:p w14:paraId="50188ED3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92C2724" w14:textId="77777777" w:rsidR="009548D9" w:rsidRPr="00D173CD" w:rsidRDefault="006841C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lastRenderedPageBreak/>
        <w:t>Coronaria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betegségben szenvedő betegeknél a béta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="009548D9" w:rsidRPr="00D173CD">
        <w:rPr>
          <w:lang w:val="hu-HU"/>
        </w:rPr>
        <w:t>gonist</w:t>
      </w:r>
      <w:r w:rsidR="00AE70BA" w:rsidRPr="00D173CD">
        <w:rPr>
          <w:lang w:val="hu-HU"/>
        </w:rPr>
        <w:t>a</w:t>
      </w:r>
      <w:r w:rsidR="00E72563" w:rsidRPr="00D173CD">
        <w:rPr>
          <w:lang w:val="hu-HU"/>
        </w:rPr>
        <w:t>-</w:t>
      </w:r>
      <w:r w:rsidR="009548D9" w:rsidRPr="00D173CD">
        <w:rPr>
          <w:lang w:val="hu-HU"/>
        </w:rPr>
        <w:t>kezelést csak fokozatosan, azaz 1</w:t>
      </w:r>
      <w:r w:rsidR="00794FFC" w:rsidRPr="00D173CD">
        <w:rPr>
          <w:lang w:val="hu-HU"/>
        </w:rPr>
        <w:noBreakHyphen/>
      </w:r>
      <w:r w:rsidR="001E06AB" w:rsidRPr="00D173CD">
        <w:rPr>
          <w:lang w:val="hu-HU"/>
        </w:rPr>
        <w:t>2 </w:t>
      </w:r>
      <w:r w:rsidR="009548D9" w:rsidRPr="00D173CD">
        <w:rPr>
          <w:lang w:val="hu-HU"/>
        </w:rPr>
        <w:t>hét alatt szabad abbahagyni.</w:t>
      </w:r>
      <w:r w:rsidR="0063406C" w:rsidRPr="00D173CD">
        <w:rPr>
          <w:lang w:val="hu-HU"/>
        </w:rPr>
        <w:t xml:space="preserve"> </w:t>
      </w:r>
      <w:r w:rsidR="002E2E2F" w:rsidRPr="00D173CD">
        <w:rPr>
          <w:lang w:val="hu-HU"/>
        </w:rPr>
        <w:t>Szükség esetén</w:t>
      </w:r>
      <w:r w:rsidR="00E72563" w:rsidRPr="00D173CD">
        <w:rPr>
          <w:lang w:val="hu-HU"/>
        </w:rPr>
        <w:t>,</w:t>
      </w:r>
      <w:r w:rsidR="002E2E2F" w:rsidRPr="00D173CD">
        <w:rPr>
          <w:lang w:val="hu-HU"/>
        </w:rPr>
        <w:t xml:space="preserve"> ezzel egy</w:t>
      </w:r>
      <w:r w:rsidR="00E72563" w:rsidRPr="00D173CD">
        <w:rPr>
          <w:lang w:val="hu-HU"/>
        </w:rPr>
        <w:t xml:space="preserve"> </w:t>
      </w:r>
      <w:r w:rsidR="002E2E2F" w:rsidRPr="00D173CD">
        <w:rPr>
          <w:lang w:val="hu-HU"/>
        </w:rPr>
        <w:t>időben</w:t>
      </w:r>
      <w:r w:rsidR="00E72563" w:rsidRPr="00D173CD">
        <w:rPr>
          <w:lang w:val="hu-HU"/>
        </w:rPr>
        <w:t>,</w:t>
      </w:r>
      <w:r w:rsidR="002E2E2F" w:rsidRPr="00D173CD">
        <w:rPr>
          <w:lang w:val="hu-HU"/>
        </w:rPr>
        <w:t xml:space="preserve"> helyettesítő terápiát kell kezdeni</w:t>
      </w:r>
      <w:r w:rsidR="00614529" w:rsidRPr="00D173CD">
        <w:rPr>
          <w:lang w:val="hu-HU"/>
        </w:rPr>
        <w:t xml:space="preserve"> </w:t>
      </w:r>
      <w:r w:rsidR="009548D9" w:rsidRPr="00D173CD">
        <w:rPr>
          <w:lang w:val="hu-HU"/>
        </w:rPr>
        <w:t xml:space="preserve">az angina pectoris súlyosbodásának </w:t>
      </w:r>
      <w:r w:rsidR="002E2E2F" w:rsidRPr="00D173CD">
        <w:rPr>
          <w:lang w:val="hu-HU"/>
        </w:rPr>
        <w:t>elkerülésére</w:t>
      </w:r>
      <w:r w:rsidR="009548D9" w:rsidRPr="00D173CD">
        <w:rPr>
          <w:lang w:val="hu-HU"/>
        </w:rPr>
        <w:t>.</w:t>
      </w:r>
    </w:p>
    <w:p w14:paraId="0DE67EE7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E9F09D5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Pr="00D173CD">
        <w:rPr>
          <w:lang w:val="hu-HU"/>
        </w:rPr>
        <w:t>gonisták bradycardiát idézhetnek elő: ha a beteg nyugalmi pulzusszáma 50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55/perc alá esik, és/vagy a beteg bradycardiára</w:t>
      </w:r>
      <w:r w:rsidR="002E2E2F" w:rsidRPr="00D173CD">
        <w:rPr>
          <w:lang w:val="hu-HU"/>
        </w:rPr>
        <w:t xml:space="preserve"> utaló tünetek</w:t>
      </w:r>
      <w:r w:rsidR="00FE6E25" w:rsidRPr="00D173CD">
        <w:rPr>
          <w:lang w:val="hu-HU"/>
        </w:rPr>
        <w:t>et</w:t>
      </w:r>
      <w:r w:rsidR="002E2E2F" w:rsidRPr="00D173CD">
        <w:rPr>
          <w:lang w:val="hu-HU"/>
        </w:rPr>
        <w:t xml:space="preserve"> </w:t>
      </w:r>
      <w:r w:rsidR="00FE6E25" w:rsidRPr="00D173CD">
        <w:rPr>
          <w:lang w:val="hu-HU"/>
        </w:rPr>
        <w:t>tapasztal</w:t>
      </w:r>
      <w:r w:rsidRPr="00D173CD">
        <w:rPr>
          <w:lang w:val="hu-HU"/>
        </w:rPr>
        <w:t>, akkor az adagot csökkenteni kell.</w:t>
      </w:r>
    </w:p>
    <w:p w14:paraId="164906C6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0A959DF8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Pr="00D173CD">
        <w:rPr>
          <w:lang w:val="hu-HU"/>
        </w:rPr>
        <w:t xml:space="preserve">gonistákat </w:t>
      </w:r>
      <w:r w:rsidR="002E2E2F" w:rsidRPr="00D173CD">
        <w:rPr>
          <w:lang w:val="hu-HU"/>
        </w:rPr>
        <w:t xml:space="preserve">körültekintően </w:t>
      </w:r>
      <w:r w:rsidRPr="00D173CD">
        <w:rPr>
          <w:lang w:val="hu-HU"/>
        </w:rPr>
        <w:t>kell alkalmazni:</w:t>
      </w:r>
    </w:p>
    <w:p w14:paraId="28D9E3E0" w14:textId="77777777" w:rsidR="009548D9" w:rsidRPr="00D173CD" w:rsidRDefault="009548D9" w:rsidP="00D173CD">
      <w:pPr>
        <w:pStyle w:val="Normlbehzs"/>
        <w:numPr>
          <w:ilvl w:val="0"/>
          <w:numId w:val="10"/>
        </w:numPr>
        <w:spacing w:after="0"/>
        <w:rPr>
          <w:lang w:val="hu-HU"/>
        </w:rPr>
      </w:pPr>
      <w:r w:rsidRPr="00D173CD">
        <w:rPr>
          <w:lang w:val="hu-HU"/>
        </w:rPr>
        <w:t xml:space="preserve">perifériás keringési </w:t>
      </w:r>
      <w:r w:rsidR="002E2E2F" w:rsidRPr="00D173CD">
        <w:rPr>
          <w:lang w:val="hu-HU"/>
        </w:rPr>
        <w:t xml:space="preserve">zavarban </w:t>
      </w:r>
      <w:r w:rsidRPr="00D173CD">
        <w:rPr>
          <w:lang w:val="hu-HU"/>
        </w:rPr>
        <w:t>szenvedő betegek esetén (Raynaud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kór vagy 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szindróma, claudicatio intermittens), mivel </w:t>
      </w:r>
      <w:r w:rsidR="002E2E2F" w:rsidRPr="00D173CD">
        <w:rPr>
          <w:lang w:val="hu-HU"/>
        </w:rPr>
        <w:t>ezek a zavarok súlyosbodhatnak</w:t>
      </w:r>
      <w:r w:rsidRPr="00D173CD">
        <w:rPr>
          <w:lang w:val="hu-HU"/>
        </w:rPr>
        <w:t>;</w:t>
      </w:r>
    </w:p>
    <w:p w14:paraId="4A07C55E" w14:textId="77777777" w:rsidR="009548D9" w:rsidRPr="00D173CD" w:rsidRDefault="002E2E2F" w:rsidP="00D173CD">
      <w:pPr>
        <w:pStyle w:val="Normlbehzs"/>
        <w:numPr>
          <w:ilvl w:val="0"/>
          <w:numId w:val="10"/>
        </w:numPr>
        <w:spacing w:after="0"/>
        <w:rPr>
          <w:lang w:val="hu-HU"/>
        </w:rPr>
      </w:pPr>
      <w:r w:rsidRPr="00D173CD">
        <w:rPr>
          <w:lang w:val="hu-HU"/>
        </w:rPr>
        <w:t>első</w:t>
      </w:r>
      <w:r w:rsidR="00DA4326" w:rsidRPr="00D173CD">
        <w:rPr>
          <w:lang w:val="hu-HU"/>
        </w:rPr>
        <w:t xml:space="preserve"> </w:t>
      </w:r>
      <w:r w:rsidRPr="00D173CD">
        <w:rPr>
          <w:lang w:val="hu-HU"/>
        </w:rPr>
        <w:t>fokú atrioventricularis blokk esetén</w:t>
      </w:r>
      <w:r w:rsidR="009548D9" w:rsidRPr="00D173CD">
        <w:rPr>
          <w:lang w:val="hu-HU"/>
        </w:rPr>
        <w:t>, a béta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 xml:space="preserve">blokkolók </w:t>
      </w:r>
      <w:r w:rsidR="002A60A8" w:rsidRPr="00D173CD">
        <w:rPr>
          <w:lang w:val="hu-HU"/>
        </w:rPr>
        <w:t xml:space="preserve">átvezetési időre gyakorolt </w:t>
      </w:r>
      <w:r w:rsidR="009548D9" w:rsidRPr="00D173CD">
        <w:rPr>
          <w:lang w:val="hu-HU"/>
        </w:rPr>
        <w:t>negatív hatás</w:t>
      </w:r>
      <w:r w:rsidR="002A60A8" w:rsidRPr="00D173CD">
        <w:rPr>
          <w:lang w:val="hu-HU"/>
        </w:rPr>
        <w:t>a miatt</w:t>
      </w:r>
      <w:r w:rsidR="009548D9" w:rsidRPr="00D173CD">
        <w:rPr>
          <w:lang w:val="hu-HU"/>
        </w:rPr>
        <w:t>;</w:t>
      </w:r>
    </w:p>
    <w:p w14:paraId="272B7B72" w14:textId="77777777" w:rsidR="009548D9" w:rsidRPr="00D173CD" w:rsidRDefault="009548D9" w:rsidP="00D173CD">
      <w:pPr>
        <w:pStyle w:val="Normlbehzs"/>
        <w:numPr>
          <w:ilvl w:val="0"/>
          <w:numId w:val="10"/>
        </w:numPr>
        <w:spacing w:after="0"/>
        <w:rPr>
          <w:lang w:val="hu-HU"/>
        </w:rPr>
      </w:pPr>
      <w:r w:rsidRPr="00D173CD">
        <w:rPr>
          <w:lang w:val="hu-HU"/>
        </w:rPr>
        <w:t>Prinzmetal</w:t>
      </w:r>
      <w:r w:rsidR="00794FFC" w:rsidRPr="00D173CD">
        <w:rPr>
          <w:lang w:val="hu-HU"/>
        </w:rPr>
        <w:noBreakHyphen/>
      </w:r>
      <w:r w:rsidR="002E2E2F" w:rsidRPr="00D173CD">
        <w:rPr>
          <w:lang w:val="hu-HU"/>
        </w:rPr>
        <w:t>angin</w:t>
      </w:r>
      <w:r w:rsidR="00AE3F87" w:rsidRPr="00D173CD">
        <w:rPr>
          <w:lang w:val="hu-HU"/>
        </w:rPr>
        <w:t>ás betegek</w:t>
      </w:r>
      <w:r w:rsidR="002E2E2F" w:rsidRPr="00D173CD">
        <w:rPr>
          <w:lang w:val="hu-HU"/>
        </w:rPr>
        <w:t xml:space="preserve"> esetén</w:t>
      </w:r>
      <w:r w:rsidRPr="00D173CD">
        <w:rPr>
          <w:lang w:val="hu-HU"/>
        </w:rPr>
        <w:t>, az alfa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receptor</w:t>
      </w:r>
      <w:r w:rsidR="002E2E2F" w:rsidRPr="00D173CD">
        <w:rPr>
          <w:lang w:val="hu-HU"/>
        </w:rPr>
        <w:t>ok</w:t>
      </w:r>
      <w:r w:rsidR="00AE3F87" w:rsidRPr="00D173CD">
        <w:rPr>
          <w:lang w:val="hu-HU"/>
        </w:rPr>
        <w:t>on</w:t>
      </w:r>
      <w:r w:rsidR="002E2E2F" w:rsidRPr="00D173CD">
        <w:rPr>
          <w:lang w:val="hu-HU"/>
        </w:rPr>
        <w:t xml:space="preserve"> </w:t>
      </w:r>
      <w:r w:rsidR="00AE3F87" w:rsidRPr="00D173CD">
        <w:rPr>
          <w:lang w:val="hu-HU"/>
        </w:rPr>
        <w:t>keresztül</w:t>
      </w:r>
      <w:r w:rsidR="002E2E2F" w:rsidRPr="00D173CD">
        <w:rPr>
          <w:lang w:val="hu-HU"/>
        </w:rPr>
        <w:t xml:space="preserve"> kiváltott</w:t>
      </w:r>
      <w:r w:rsidRPr="00D173CD">
        <w:rPr>
          <w:lang w:val="hu-HU"/>
        </w:rPr>
        <w:t xml:space="preserve"> coronaria</w:t>
      </w:r>
      <w:r w:rsidR="00DA4326" w:rsidRPr="00D173CD">
        <w:rPr>
          <w:lang w:val="hu-HU"/>
        </w:rPr>
        <w:noBreakHyphen/>
      </w:r>
      <w:r w:rsidRPr="00D173CD">
        <w:rPr>
          <w:lang w:val="hu-HU"/>
        </w:rPr>
        <w:t>va</w:t>
      </w:r>
      <w:r w:rsidR="00DA4326" w:rsidRPr="00D173CD">
        <w:rPr>
          <w:lang w:val="hu-HU"/>
        </w:rPr>
        <w:t>z</w:t>
      </w:r>
      <w:r w:rsidRPr="00D173CD">
        <w:rPr>
          <w:lang w:val="hu-HU"/>
        </w:rPr>
        <w:t>o</w:t>
      </w:r>
      <w:r w:rsidR="00DA4326" w:rsidRPr="00D173CD">
        <w:rPr>
          <w:lang w:val="hu-HU"/>
        </w:rPr>
        <w:t>k</w:t>
      </w:r>
      <w:r w:rsidRPr="00D173CD">
        <w:rPr>
          <w:lang w:val="hu-HU"/>
        </w:rPr>
        <w:t>onstri</w:t>
      </w:r>
      <w:r w:rsidR="00DA4326" w:rsidRPr="00D173CD">
        <w:rPr>
          <w:lang w:val="hu-HU"/>
        </w:rPr>
        <w:t>kc</w:t>
      </w:r>
      <w:r w:rsidRPr="00D173CD">
        <w:rPr>
          <w:lang w:val="hu-HU"/>
        </w:rPr>
        <w:t>i</w:t>
      </w:r>
      <w:r w:rsidR="00DA4326" w:rsidRPr="00D173CD">
        <w:rPr>
          <w:lang w:val="hu-HU"/>
        </w:rPr>
        <w:t>ó</w:t>
      </w:r>
      <w:r w:rsidRPr="00D173CD">
        <w:rPr>
          <w:lang w:val="hu-HU"/>
        </w:rPr>
        <w:t xml:space="preserve"> ellensúlyozásának elmaradása miatt: 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Pr="00D173CD">
        <w:rPr>
          <w:lang w:val="hu-HU"/>
        </w:rPr>
        <w:t xml:space="preserve">gonisták növelhetik az anginás rohamok </w:t>
      </w:r>
      <w:r w:rsidR="002E2E2F" w:rsidRPr="00D173CD">
        <w:rPr>
          <w:lang w:val="hu-HU"/>
        </w:rPr>
        <w:t xml:space="preserve">gyakoriságát </w:t>
      </w:r>
      <w:r w:rsidRPr="00D173CD">
        <w:rPr>
          <w:lang w:val="hu-HU"/>
        </w:rPr>
        <w:t>és időtartamát.</w:t>
      </w:r>
    </w:p>
    <w:p w14:paraId="4A2B8527" w14:textId="77777777" w:rsidR="00421998" w:rsidRPr="00D173CD" w:rsidRDefault="00421998" w:rsidP="00D173CD">
      <w:pPr>
        <w:pStyle w:val="Normlbehzs"/>
        <w:spacing w:after="0"/>
        <w:ind w:left="567"/>
        <w:rPr>
          <w:lang w:val="hu-HU"/>
        </w:rPr>
      </w:pPr>
    </w:p>
    <w:p w14:paraId="02A0009D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nebivolol </w:t>
      </w:r>
      <w:r w:rsidR="00920465" w:rsidRPr="00D173CD">
        <w:rPr>
          <w:lang w:val="hu-HU"/>
        </w:rPr>
        <w:t xml:space="preserve">kombinációja </w:t>
      </w:r>
      <w:r w:rsidRPr="00D173CD">
        <w:rPr>
          <w:lang w:val="hu-HU"/>
        </w:rPr>
        <w:t>verapamil</w:t>
      </w:r>
      <w:r w:rsidR="00DA4326" w:rsidRPr="00D173CD">
        <w:rPr>
          <w:lang w:val="hu-HU"/>
        </w:rPr>
        <w:t>-</w:t>
      </w:r>
      <w:r w:rsidR="00DD18D0" w:rsidRPr="00D173CD">
        <w:rPr>
          <w:lang w:val="hu-HU"/>
        </w:rPr>
        <w:t>,</w:t>
      </w:r>
      <w:r w:rsidRPr="00D173CD">
        <w:rPr>
          <w:lang w:val="hu-HU"/>
        </w:rPr>
        <w:t xml:space="preserve"> illetve diltiazem</w:t>
      </w:r>
      <w:r w:rsidR="00DA4326" w:rsidRPr="00D173CD">
        <w:rPr>
          <w:lang w:val="hu-HU"/>
        </w:rPr>
        <w:t>-</w:t>
      </w:r>
      <w:r w:rsidRPr="00D173CD">
        <w:rPr>
          <w:lang w:val="hu-HU"/>
        </w:rPr>
        <w:t>típusú</w:t>
      </w:r>
      <w:r w:rsidR="002E2E2F" w:rsidRPr="00D173CD">
        <w:rPr>
          <w:lang w:val="hu-HU"/>
        </w:rPr>
        <w:t xml:space="preserve"> </w:t>
      </w:r>
      <w:r w:rsidR="00D66299" w:rsidRPr="00D173CD">
        <w:rPr>
          <w:lang w:val="hu-HU"/>
        </w:rPr>
        <w:t>kalcium</w:t>
      </w:r>
      <w:r w:rsidR="002E2E2F" w:rsidRPr="00D173CD">
        <w:rPr>
          <w:lang w:val="hu-HU"/>
        </w:rPr>
        <w:t>csatorna</w:t>
      </w:r>
      <w:r w:rsidR="00DA4326" w:rsidRPr="00D173CD">
        <w:rPr>
          <w:lang w:val="hu-HU"/>
        </w:rPr>
        <w:t>-</w:t>
      </w:r>
      <w:r w:rsidR="002E2E2F" w:rsidRPr="00D173CD">
        <w:rPr>
          <w:lang w:val="hu-HU"/>
        </w:rPr>
        <w:t>blokkolókkal, I.</w:t>
      </w:r>
      <w:r w:rsidR="001E06AB" w:rsidRPr="00D173CD">
        <w:rPr>
          <w:lang w:val="hu-HU"/>
        </w:rPr>
        <w:t> </w:t>
      </w:r>
      <w:r w:rsidR="002E2E2F" w:rsidRPr="00D173CD">
        <w:rPr>
          <w:lang w:val="hu-HU"/>
        </w:rPr>
        <w:t>osztályba tartozó antiar</w:t>
      </w:r>
      <w:r w:rsidR="00DA4326" w:rsidRPr="00D173CD">
        <w:rPr>
          <w:lang w:val="hu-HU"/>
        </w:rPr>
        <w:t>i</w:t>
      </w:r>
      <w:r w:rsidR="002E2E2F" w:rsidRPr="00D173CD">
        <w:rPr>
          <w:lang w:val="hu-HU"/>
        </w:rPr>
        <w:t>tmiás</w:t>
      </w:r>
      <w:r w:rsidR="00614529" w:rsidRPr="00D173CD">
        <w:rPr>
          <w:lang w:val="hu-HU"/>
        </w:rPr>
        <w:t xml:space="preserve"> gyógyszerekkel</w:t>
      </w:r>
      <w:r w:rsidR="002E2E2F" w:rsidRPr="00D173CD">
        <w:rPr>
          <w:lang w:val="hu-HU"/>
        </w:rPr>
        <w:t xml:space="preserve"> </w:t>
      </w:r>
      <w:r w:rsidRPr="00D173CD">
        <w:rPr>
          <w:lang w:val="hu-HU"/>
        </w:rPr>
        <w:t>és centrális hatású vérnyomáscsökkentő szerekkel általában nem javasolt</w:t>
      </w:r>
      <w:r w:rsidR="002E2E2F" w:rsidRPr="00D173CD">
        <w:rPr>
          <w:lang w:val="hu-HU"/>
        </w:rPr>
        <w:t xml:space="preserve"> (</w:t>
      </w:r>
      <w:r w:rsidRPr="00D173CD">
        <w:rPr>
          <w:lang w:val="hu-HU"/>
        </w:rPr>
        <w:t>részletekért</w:t>
      </w:r>
      <w:r w:rsidR="002E2E2F" w:rsidRPr="00D173CD">
        <w:rPr>
          <w:lang w:val="hu-HU"/>
        </w:rPr>
        <w:t xml:space="preserve"> lásd</w:t>
      </w:r>
      <w:r w:rsidR="001E06AB" w:rsidRPr="00D173CD">
        <w:rPr>
          <w:lang w:val="hu-HU"/>
        </w:rPr>
        <w:t xml:space="preserve"> 4.5 </w:t>
      </w:r>
      <w:r w:rsidRPr="00D173CD">
        <w:rPr>
          <w:lang w:val="hu-HU"/>
        </w:rPr>
        <w:t>pont</w:t>
      </w:r>
      <w:r w:rsidR="002E2E2F" w:rsidRPr="00D173CD">
        <w:rPr>
          <w:lang w:val="hu-HU"/>
        </w:rPr>
        <w:t>)</w:t>
      </w:r>
      <w:r w:rsidRPr="00D173CD">
        <w:rPr>
          <w:lang w:val="hu-HU"/>
        </w:rPr>
        <w:t>.</w:t>
      </w:r>
    </w:p>
    <w:p w14:paraId="4F443989" w14:textId="77777777" w:rsidR="003564E0" w:rsidRPr="00D173CD" w:rsidRDefault="003564E0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</w:p>
    <w:p w14:paraId="076026F3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  <w:r w:rsidRPr="00D173CD">
        <w:rPr>
          <w:i/>
          <w:lang w:val="hu-HU"/>
        </w:rPr>
        <w:t>Anyagcsere</w:t>
      </w:r>
      <w:r w:rsidR="00794FFC" w:rsidRPr="00D173CD">
        <w:rPr>
          <w:i/>
          <w:lang w:val="hu-HU"/>
        </w:rPr>
        <w:noBreakHyphen/>
      </w:r>
      <w:r w:rsidRPr="00D173CD">
        <w:rPr>
          <w:i/>
          <w:lang w:val="hu-HU"/>
        </w:rPr>
        <w:t>/endokrin betegségek</w:t>
      </w:r>
    </w:p>
    <w:p w14:paraId="0EC2EB28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</w:p>
    <w:p w14:paraId="66C41DD1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nebivolol </w:t>
      </w:r>
      <w:r w:rsidR="002E2E2F" w:rsidRPr="00D173CD">
        <w:rPr>
          <w:lang w:val="hu-HU"/>
        </w:rPr>
        <w:t xml:space="preserve">diabeteses betegekben </w:t>
      </w:r>
      <w:r w:rsidRPr="00D173CD">
        <w:rPr>
          <w:lang w:val="hu-HU"/>
        </w:rPr>
        <w:t>nem befolyásolja a vércukorszintet.</w:t>
      </w:r>
      <w:r w:rsidR="0063406C" w:rsidRPr="00D173CD">
        <w:rPr>
          <w:lang w:val="hu-HU"/>
        </w:rPr>
        <w:t xml:space="preserve"> </w:t>
      </w:r>
      <w:r w:rsidR="002E2E2F" w:rsidRPr="00D173CD">
        <w:rPr>
          <w:lang w:val="hu-HU"/>
        </w:rPr>
        <w:t>Diabetes</w:t>
      </w:r>
      <w:r w:rsidR="00D4336D" w:rsidRPr="00D173CD">
        <w:rPr>
          <w:lang w:val="hu-HU"/>
        </w:rPr>
        <w:t>es</w:t>
      </w:r>
      <w:r w:rsidR="002E2E2F" w:rsidRPr="00D173CD">
        <w:rPr>
          <w:lang w:val="hu-HU"/>
        </w:rPr>
        <w:t xml:space="preserve"> betegek </w:t>
      </w:r>
      <w:r w:rsidR="00614529" w:rsidRPr="00D173CD">
        <w:rPr>
          <w:lang w:val="hu-HU"/>
        </w:rPr>
        <w:t>kezelésekor</w:t>
      </w:r>
      <w:r w:rsidR="002E2E2F" w:rsidRPr="00D173CD">
        <w:rPr>
          <w:lang w:val="hu-HU"/>
        </w:rPr>
        <w:t xml:space="preserve"> </w:t>
      </w:r>
      <w:r w:rsidR="00920465" w:rsidRPr="00D173CD">
        <w:rPr>
          <w:lang w:val="hu-HU"/>
        </w:rPr>
        <w:t>mégis</w:t>
      </w:r>
      <w:r w:rsidR="002E2E2F" w:rsidRPr="00D173CD">
        <w:rPr>
          <w:lang w:val="hu-HU"/>
        </w:rPr>
        <w:t xml:space="preserve"> körültekintően kell eljárni, </w:t>
      </w:r>
      <w:r w:rsidRPr="00D173CD">
        <w:rPr>
          <w:lang w:val="hu-HU"/>
        </w:rPr>
        <w:t>mivel a nebivolol elfedheti a hypo</w:t>
      </w:r>
      <w:r w:rsidR="00DD18D0" w:rsidRPr="00D173CD">
        <w:rPr>
          <w:lang w:val="hu-HU"/>
        </w:rPr>
        <w:t>glykaemi</w:t>
      </w:r>
      <w:r w:rsidRPr="00D173CD">
        <w:rPr>
          <w:lang w:val="hu-HU"/>
        </w:rPr>
        <w:t>a bizonyos tüneteit (tachycardia, palpit</w:t>
      </w:r>
      <w:r w:rsidR="00DD18D0" w:rsidRPr="00D173CD">
        <w:rPr>
          <w:lang w:val="hu-HU"/>
        </w:rPr>
        <w:t>atio</w:t>
      </w:r>
      <w:r w:rsidRPr="00D173CD">
        <w:rPr>
          <w:lang w:val="hu-HU"/>
        </w:rPr>
        <w:t>).</w:t>
      </w:r>
    </w:p>
    <w:p w14:paraId="0CB8D54A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9DB1CC0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Hyperthyreosisban 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adrenerg</w:t>
      </w:r>
      <w:r w:rsidR="00F512B4" w:rsidRPr="00D173CD">
        <w:rPr>
          <w:lang w:val="hu-HU"/>
        </w:rPr>
        <w:t>-</w:t>
      </w:r>
      <w:r w:rsidRPr="00D173CD">
        <w:rPr>
          <w:lang w:val="hu-HU"/>
        </w:rPr>
        <w:t xml:space="preserve">blokkolók elfedhetik a tachycardiás tüneteket. A kezelés hirtelen abbahagyása </w:t>
      </w:r>
      <w:r w:rsidR="002E2E2F" w:rsidRPr="00D173CD">
        <w:rPr>
          <w:lang w:val="hu-HU"/>
        </w:rPr>
        <w:t xml:space="preserve">fokozhatja </w:t>
      </w:r>
      <w:r w:rsidRPr="00D173CD">
        <w:rPr>
          <w:lang w:val="hu-HU"/>
        </w:rPr>
        <w:t>a tüneteket.</w:t>
      </w:r>
    </w:p>
    <w:p w14:paraId="55EAB350" w14:textId="77777777" w:rsidR="003564E0" w:rsidRPr="00D173CD" w:rsidRDefault="003564E0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7EDDB6E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  <w:r w:rsidRPr="00D173CD">
        <w:rPr>
          <w:i/>
          <w:lang w:val="hu-HU"/>
        </w:rPr>
        <w:t>Légzőszervi betegségek</w:t>
      </w:r>
    </w:p>
    <w:p w14:paraId="6B07DCDB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</w:p>
    <w:p w14:paraId="27B0ABDB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Krónikus obstru</w:t>
      </w:r>
      <w:r w:rsidR="00F512B4" w:rsidRPr="00D173CD">
        <w:rPr>
          <w:lang w:val="hu-HU"/>
        </w:rPr>
        <w:t>k</w:t>
      </w:r>
      <w:r w:rsidRPr="00D173CD">
        <w:rPr>
          <w:lang w:val="hu-HU"/>
        </w:rPr>
        <w:t>t</w:t>
      </w:r>
      <w:r w:rsidR="00F512B4" w:rsidRPr="00D173CD">
        <w:rPr>
          <w:lang w:val="hu-HU"/>
        </w:rPr>
        <w:t>í</w:t>
      </w:r>
      <w:r w:rsidRPr="00D173CD">
        <w:rPr>
          <w:lang w:val="hu-HU"/>
        </w:rPr>
        <w:t>v tüdőbetegségben szenvedő betegeknél 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Pr="00D173CD">
        <w:rPr>
          <w:lang w:val="hu-HU"/>
        </w:rPr>
        <w:t xml:space="preserve">gonistákat </w:t>
      </w:r>
      <w:r w:rsidR="000A14CE" w:rsidRPr="00D173CD">
        <w:rPr>
          <w:lang w:val="hu-HU"/>
        </w:rPr>
        <w:t xml:space="preserve">kellő </w:t>
      </w:r>
      <w:r w:rsidR="002E2E2F" w:rsidRPr="00D173CD">
        <w:rPr>
          <w:lang w:val="hu-HU"/>
        </w:rPr>
        <w:t>körültekint</w:t>
      </w:r>
      <w:r w:rsidR="000A14CE" w:rsidRPr="00D173CD">
        <w:rPr>
          <w:lang w:val="hu-HU"/>
        </w:rPr>
        <w:t>éssel</w:t>
      </w:r>
      <w:r w:rsidR="002E2E2F" w:rsidRPr="00D173CD">
        <w:rPr>
          <w:lang w:val="hu-HU"/>
        </w:rPr>
        <w:t xml:space="preserve"> </w:t>
      </w:r>
      <w:r w:rsidRPr="00D173CD">
        <w:rPr>
          <w:lang w:val="hu-HU"/>
        </w:rPr>
        <w:t xml:space="preserve">kell alkalmazni, </w:t>
      </w:r>
      <w:r w:rsidR="002E2E2F" w:rsidRPr="00D173CD">
        <w:rPr>
          <w:lang w:val="hu-HU"/>
        </w:rPr>
        <w:t xml:space="preserve">mert súlyosbíthatják </w:t>
      </w:r>
      <w:r w:rsidRPr="00D173CD">
        <w:rPr>
          <w:lang w:val="hu-HU"/>
        </w:rPr>
        <w:t xml:space="preserve">a légutak </w:t>
      </w:r>
      <w:r w:rsidR="000A14CE" w:rsidRPr="00D173CD">
        <w:rPr>
          <w:lang w:val="hu-HU"/>
        </w:rPr>
        <w:t>szűkületét</w:t>
      </w:r>
      <w:r w:rsidR="002E2E2F" w:rsidRPr="00D173CD">
        <w:rPr>
          <w:lang w:val="hu-HU"/>
        </w:rPr>
        <w:t>.</w:t>
      </w:r>
    </w:p>
    <w:p w14:paraId="3FBDB26C" w14:textId="77777777" w:rsidR="003564E0" w:rsidRPr="00D173CD" w:rsidRDefault="003564E0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B72A61C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  <w:r w:rsidRPr="00D173CD">
        <w:rPr>
          <w:i/>
          <w:lang w:val="hu-HU"/>
        </w:rPr>
        <w:t>Egyéb betegségek</w:t>
      </w:r>
    </w:p>
    <w:p w14:paraId="285B67F3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</w:p>
    <w:p w14:paraId="55AF9EC8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Azok a betegek, akiknek az anamnézisében psoriasis szerepel, 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Pr="00D173CD">
        <w:rPr>
          <w:lang w:val="hu-HU"/>
        </w:rPr>
        <w:t>gonistákat csak gondos mérlegelés után szedhetik.</w:t>
      </w:r>
    </w:p>
    <w:p w14:paraId="4D6B3FC3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67A0544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Pr="00D173CD">
        <w:rPr>
          <w:lang w:val="hu-HU"/>
        </w:rPr>
        <w:t>gonisták fokozhatják az allergénekkel szembeni érzékenységet és az ana</w:t>
      </w:r>
      <w:r w:rsidR="00F512B4" w:rsidRPr="00D173CD">
        <w:rPr>
          <w:lang w:val="hu-HU"/>
        </w:rPr>
        <w:t>phy</w:t>
      </w:r>
      <w:r w:rsidRPr="00D173CD">
        <w:rPr>
          <w:lang w:val="hu-HU"/>
        </w:rPr>
        <w:t>laxiás reakciók súlyosságát.</w:t>
      </w:r>
    </w:p>
    <w:p w14:paraId="3228CAFC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1FFF1BF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blokkolók </w:t>
      </w:r>
      <w:r w:rsidR="00274896" w:rsidRPr="00D173CD">
        <w:rPr>
          <w:lang w:val="hu-HU"/>
        </w:rPr>
        <w:t xml:space="preserve">ritkán </w:t>
      </w:r>
      <w:r w:rsidRPr="00D173CD">
        <w:rPr>
          <w:lang w:val="hu-HU"/>
        </w:rPr>
        <w:t>csökkenthetik a könnytermelést.</w:t>
      </w:r>
    </w:p>
    <w:p w14:paraId="32EA222D" w14:textId="77777777" w:rsidR="000A14CE" w:rsidRPr="00D173CD" w:rsidRDefault="000A14CE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B2DE081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krónikus szívelégtelenség nebivolol</w:t>
      </w:r>
      <w:r w:rsidR="002E2E2F" w:rsidRPr="00D173CD">
        <w:rPr>
          <w:lang w:val="hu-HU"/>
        </w:rPr>
        <w:t xml:space="preserve">lal történő </w:t>
      </w:r>
      <w:r w:rsidRPr="00D173CD">
        <w:rPr>
          <w:lang w:val="hu-HU"/>
        </w:rPr>
        <w:t>kezelése rendszeres orvosi ellenőrzést tesz szükségessé.</w:t>
      </w:r>
      <w:r w:rsidR="0063406C" w:rsidRPr="00D173CD">
        <w:rPr>
          <w:lang w:val="hu-HU"/>
        </w:rPr>
        <w:t xml:space="preserve"> </w:t>
      </w:r>
      <w:r w:rsidRPr="00D173CD">
        <w:rPr>
          <w:lang w:val="hu-HU"/>
        </w:rPr>
        <w:t>Az adagol</w:t>
      </w:r>
      <w:r w:rsidR="00083360" w:rsidRPr="00D173CD">
        <w:rPr>
          <w:lang w:val="hu-HU"/>
        </w:rPr>
        <w:t>ás és az alkalmazás módja a 4.2</w:t>
      </w:r>
      <w:r w:rsidR="001E06AB" w:rsidRPr="00D173CD">
        <w:rPr>
          <w:lang w:val="hu-HU"/>
        </w:rPr>
        <w:t> </w:t>
      </w:r>
      <w:r w:rsidRPr="00D173CD">
        <w:rPr>
          <w:lang w:val="hu-HU"/>
        </w:rPr>
        <w:t xml:space="preserve">pontban található. A kezelés </w:t>
      </w:r>
      <w:r w:rsidR="002E2E2F" w:rsidRPr="00D173CD">
        <w:rPr>
          <w:lang w:val="hu-HU"/>
        </w:rPr>
        <w:t xml:space="preserve">nem szakítható meg </w:t>
      </w:r>
      <w:r w:rsidR="000A14CE" w:rsidRPr="00D173CD">
        <w:rPr>
          <w:lang w:val="hu-HU"/>
        </w:rPr>
        <w:t>hirtelen</w:t>
      </w:r>
      <w:r w:rsidRPr="00D173CD">
        <w:rPr>
          <w:lang w:val="hu-HU"/>
        </w:rPr>
        <w:t xml:space="preserve">, </w:t>
      </w:r>
      <w:r w:rsidR="004E30F8" w:rsidRPr="00D173CD">
        <w:rPr>
          <w:lang w:val="hu-HU"/>
        </w:rPr>
        <w:t>hacsak nem</w:t>
      </w:r>
      <w:r w:rsidRPr="00D173CD">
        <w:rPr>
          <w:lang w:val="hu-HU"/>
        </w:rPr>
        <w:t xml:space="preserve"> feltétlenül szüks</w:t>
      </w:r>
      <w:r w:rsidR="00083360" w:rsidRPr="00D173CD">
        <w:rPr>
          <w:lang w:val="hu-HU"/>
        </w:rPr>
        <w:t>éges. További információk a 4.2</w:t>
      </w:r>
      <w:r w:rsidR="001E06AB" w:rsidRPr="00D173CD">
        <w:rPr>
          <w:lang w:val="hu-HU"/>
        </w:rPr>
        <w:t> </w:t>
      </w:r>
      <w:r w:rsidRPr="00D173CD">
        <w:rPr>
          <w:lang w:val="hu-HU"/>
        </w:rPr>
        <w:t xml:space="preserve">pontban </w:t>
      </w:r>
      <w:r w:rsidR="002E2E2F" w:rsidRPr="00D173CD">
        <w:rPr>
          <w:lang w:val="hu-HU"/>
        </w:rPr>
        <w:t>találhatók</w:t>
      </w:r>
      <w:r w:rsidRPr="00D173CD">
        <w:rPr>
          <w:lang w:val="hu-HU"/>
        </w:rPr>
        <w:t>.</w:t>
      </w:r>
    </w:p>
    <w:p w14:paraId="0A0A8BA2" w14:textId="77777777" w:rsidR="004E30F8" w:rsidRPr="00D173CD" w:rsidRDefault="004E30F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19B865D" w14:textId="7A7E547D" w:rsidR="009548D9" w:rsidRPr="00D173CD" w:rsidRDefault="00D4336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Ez a</w:t>
      </w:r>
      <w:r w:rsidR="009548D9" w:rsidRPr="00D173CD">
        <w:rPr>
          <w:lang w:val="hu-HU"/>
        </w:rPr>
        <w:t xml:space="preserve"> gyógyszer laktózt tartalmaz. </w:t>
      </w:r>
      <w:r w:rsidRPr="00D173CD">
        <w:rPr>
          <w:noProof/>
          <w:lang w:val="hu-HU"/>
        </w:rPr>
        <w:t>R</w:t>
      </w:r>
      <w:r w:rsidR="002E2E2F" w:rsidRPr="00D173CD">
        <w:rPr>
          <w:noProof/>
          <w:lang w:val="hu-HU"/>
        </w:rPr>
        <w:t>itkán előforduló</w:t>
      </w:r>
      <w:r w:rsidRPr="00D173CD">
        <w:rPr>
          <w:noProof/>
          <w:lang w:val="hu-HU"/>
        </w:rPr>
        <w:t>,</w:t>
      </w:r>
      <w:r w:rsidR="002E2E2F" w:rsidRPr="00D173CD">
        <w:rPr>
          <w:noProof/>
          <w:lang w:val="hu-HU"/>
        </w:rPr>
        <w:t xml:space="preserve"> örökletes galaktóz</w:t>
      </w:r>
      <w:r w:rsidR="00BD0DF2" w:rsidRPr="00D173CD">
        <w:rPr>
          <w:noProof/>
          <w:lang w:val="hu-HU"/>
        </w:rPr>
        <w:t>-</w:t>
      </w:r>
      <w:r w:rsidR="002E2E2F" w:rsidRPr="00D173CD">
        <w:rPr>
          <w:noProof/>
          <w:lang w:val="hu-HU"/>
        </w:rPr>
        <w:t xml:space="preserve">intoleranciában, </w:t>
      </w:r>
      <w:r w:rsidR="00874E5C" w:rsidRPr="00D173CD">
        <w:rPr>
          <w:noProof/>
          <w:lang w:val="hu-HU"/>
        </w:rPr>
        <w:t>teljes laktáz-hiányban</w:t>
      </w:r>
      <w:r w:rsidR="007120AA" w:rsidRPr="00D173CD">
        <w:rPr>
          <w:noProof/>
          <w:lang w:val="hu-HU"/>
        </w:rPr>
        <w:t xml:space="preserve"> </w:t>
      </w:r>
      <w:r w:rsidR="002E2E2F" w:rsidRPr="00D173CD">
        <w:rPr>
          <w:noProof/>
          <w:lang w:val="hu-HU"/>
        </w:rPr>
        <w:t>vagy glükóz</w:t>
      </w:r>
      <w:r w:rsidR="00794FFC" w:rsidRPr="00D173CD">
        <w:rPr>
          <w:noProof/>
          <w:lang w:val="hu-HU"/>
        </w:rPr>
        <w:noBreakHyphen/>
      </w:r>
      <w:r w:rsidR="002E2E2F" w:rsidRPr="00D173CD">
        <w:rPr>
          <w:noProof/>
          <w:lang w:val="hu-HU"/>
        </w:rPr>
        <w:t xml:space="preserve">galaktóz </w:t>
      </w:r>
      <w:r w:rsidR="00EA7581" w:rsidRPr="00D173CD">
        <w:rPr>
          <w:noProof/>
          <w:lang w:val="hu-HU"/>
        </w:rPr>
        <w:t>malabszorpcióban a készítmény nem szedhető</w:t>
      </w:r>
      <w:r w:rsidR="002E2E2F" w:rsidRPr="00D173CD">
        <w:rPr>
          <w:noProof/>
          <w:lang w:val="hu-HU"/>
        </w:rPr>
        <w:t>.</w:t>
      </w:r>
    </w:p>
    <w:p w14:paraId="567E86AF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F01CCCD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lastRenderedPageBreak/>
        <w:t>4.5</w:t>
      </w:r>
      <w:r w:rsidRPr="00D173CD">
        <w:rPr>
          <w:rFonts w:ascii="Times New Roman" w:hAnsi="Times New Roman" w:cs="Times New Roman"/>
        </w:rPr>
        <w:tab/>
        <w:t>Gyógyszerkölcsönhatások és egyéb interakciók</w:t>
      </w:r>
    </w:p>
    <w:p w14:paraId="131ABD86" w14:textId="77777777" w:rsidR="006E2916" w:rsidRPr="00D173CD" w:rsidRDefault="006E2916" w:rsidP="00D173CD">
      <w:pPr>
        <w:pStyle w:val="Normlbehzs"/>
        <w:keepNext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03E58A7C" w14:textId="07A5F35C" w:rsidR="009548D9" w:rsidRPr="00D173CD" w:rsidRDefault="009548D9" w:rsidP="00D173CD">
      <w:pPr>
        <w:pStyle w:val="Normlbehzs"/>
        <w:keepNext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>Farmakodinámiás kölcsönhatások</w:t>
      </w:r>
    </w:p>
    <w:p w14:paraId="0475C10E" w14:textId="40B8531A" w:rsidR="007120AA" w:rsidRPr="00D173CD" w:rsidRDefault="007120AA" w:rsidP="00D173CD">
      <w:pPr>
        <w:pStyle w:val="Normlbehzs"/>
        <w:keepNext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7A58DA25" w14:textId="7E3F8C0A" w:rsidR="007120AA" w:rsidRPr="00D173CD" w:rsidRDefault="007120AA" w:rsidP="00D173CD">
      <w:pPr>
        <w:pStyle w:val="Normlbehzs"/>
        <w:keepNext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következő kölcsönhatások a béta-adrenerg</w:t>
      </w:r>
      <w:r w:rsidR="006657CA" w:rsidRPr="00D173CD">
        <w:rPr>
          <w:lang w:val="hu-HU"/>
        </w:rPr>
        <w:t>-antagonistákra általánosságban vonatkoznak.</w:t>
      </w:r>
    </w:p>
    <w:p w14:paraId="17FE717E" w14:textId="77777777" w:rsidR="00421998" w:rsidRPr="00D173CD" w:rsidRDefault="00421998" w:rsidP="00D173CD">
      <w:pPr>
        <w:pStyle w:val="Normlbehzs"/>
        <w:keepNext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1754BC54" w14:textId="77777777" w:rsidR="009548D9" w:rsidRPr="00D173CD" w:rsidRDefault="009548D9" w:rsidP="00D173CD">
      <w:pPr>
        <w:pStyle w:val="Normlbehzs"/>
        <w:keepNext/>
        <w:tabs>
          <w:tab w:val="left" w:pos="567"/>
        </w:tabs>
        <w:spacing w:after="0"/>
        <w:ind w:left="0"/>
        <w:rPr>
          <w:i/>
          <w:u w:val="single"/>
          <w:lang w:val="hu-HU"/>
        </w:rPr>
      </w:pPr>
      <w:r w:rsidRPr="00D173CD">
        <w:rPr>
          <w:i/>
          <w:u w:val="single"/>
          <w:lang w:val="hu-HU"/>
        </w:rPr>
        <w:t>Nem javasolt kombinációk:</w:t>
      </w:r>
    </w:p>
    <w:p w14:paraId="28C995EB" w14:textId="77777777" w:rsidR="00421998" w:rsidRPr="00D173CD" w:rsidRDefault="00421998" w:rsidP="00D173CD">
      <w:pPr>
        <w:pStyle w:val="Normlbehzs"/>
        <w:keepNext/>
        <w:tabs>
          <w:tab w:val="left" w:pos="567"/>
        </w:tabs>
        <w:spacing w:after="0"/>
        <w:ind w:left="0"/>
        <w:rPr>
          <w:i/>
          <w:u w:val="single"/>
          <w:lang w:val="hu-HU"/>
        </w:rPr>
      </w:pPr>
    </w:p>
    <w:p w14:paraId="58892313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I.</w:t>
      </w:r>
      <w:r w:rsidR="00EA7581" w:rsidRPr="00D173CD">
        <w:rPr>
          <w:i/>
          <w:iCs/>
          <w:lang w:val="hu-HU"/>
        </w:rPr>
        <w:t> </w:t>
      </w:r>
      <w:r w:rsidRPr="00D173CD">
        <w:rPr>
          <w:i/>
          <w:iCs/>
          <w:lang w:val="hu-HU"/>
        </w:rPr>
        <w:t>osztályba tartozó an</w:t>
      </w:r>
      <w:r w:rsidR="00BD0DF2" w:rsidRPr="00D173CD">
        <w:rPr>
          <w:i/>
          <w:iCs/>
          <w:lang w:val="hu-HU"/>
        </w:rPr>
        <w:t>tiarit</w:t>
      </w:r>
      <w:r w:rsidRPr="00D173CD">
        <w:rPr>
          <w:i/>
          <w:iCs/>
          <w:lang w:val="hu-HU"/>
        </w:rPr>
        <w:t>miás szerek (kinidin, hidrokinidin, cibenzolin, flekainid, dizopiramid</w:t>
      </w:r>
      <w:r w:rsidRPr="00D173CD">
        <w:rPr>
          <w:lang w:val="hu-HU"/>
        </w:rPr>
        <w:t xml:space="preserve">, </w:t>
      </w:r>
      <w:r w:rsidRPr="00D173CD">
        <w:rPr>
          <w:i/>
          <w:iCs/>
          <w:lang w:val="hu-HU"/>
        </w:rPr>
        <w:t>lidokain, mexiletin, propafenon):</w:t>
      </w:r>
      <w:r w:rsidRPr="00D173CD">
        <w:rPr>
          <w:lang w:val="hu-HU"/>
        </w:rPr>
        <w:t xml:space="preserve"> fokozódhat </w:t>
      </w:r>
      <w:r w:rsidR="00D66299" w:rsidRPr="00D173CD">
        <w:rPr>
          <w:lang w:val="hu-HU"/>
        </w:rPr>
        <w:t xml:space="preserve">ezeknek a szereknek </w:t>
      </w:r>
      <w:r w:rsidRPr="00D173CD">
        <w:rPr>
          <w:lang w:val="hu-HU"/>
        </w:rPr>
        <w:t xml:space="preserve">az atrioventricularis </w:t>
      </w:r>
      <w:r w:rsidR="00D66299" w:rsidRPr="00D173CD">
        <w:rPr>
          <w:lang w:val="hu-HU"/>
        </w:rPr>
        <w:t>át</w:t>
      </w:r>
      <w:r w:rsidRPr="00D173CD">
        <w:rPr>
          <w:lang w:val="hu-HU"/>
        </w:rPr>
        <w:t>vezetési időre kifejtett hatás</w:t>
      </w:r>
      <w:r w:rsidR="00D66299" w:rsidRPr="00D173CD">
        <w:rPr>
          <w:lang w:val="hu-HU"/>
        </w:rPr>
        <w:t>a</w:t>
      </w:r>
      <w:r w:rsidR="004E30F8" w:rsidRPr="00D173CD">
        <w:rPr>
          <w:lang w:val="hu-HU"/>
        </w:rPr>
        <w:t>, illetve</w:t>
      </w:r>
      <w:r w:rsidR="00D66299" w:rsidRPr="00D173CD">
        <w:rPr>
          <w:lang w:val="hu-HU"/>
        </w:rPr>
        <w:t xml:space="preserve"> </w:t>
      </w:r>
      <w:r w:rsidR="004E30F8" w:rsidRPr="00D173CD">
        <w:rPr>
          <w:lang w:val="hu-HU"/>
        </w:rPr>
        <w:t>a</w:t>
      </w:r>
      <w:r w:rsidRPr="00D173CD">
        <w:rPr>
          <w:lang w:val="hu-HU"/>
        </w:rPr>
        <w:t xml:space="preserve"> negatív inotr</w:t>
      </w:r>
      <w:r w:rsidR="00BD0DF2" w:rsidRPr="00D173CD">
        <w:rPr>
          <w:lang w:val="hu-HU"/>
        </w:rPr>
        <w:t>ó</w:t>
      </w:r>
      <w:r w:rsidRPr="00D173CD">
        <w:rPr>
          <w:lang w:val="hu-HU"/>
        </w:rPr>
        <w:t>p hatás</w:t>
      </w:r>
      <w:r w:rsidR="00414472" w:rsidRPr="00D173CD">
        <w:rPr>
          <w:lang w:val="hu-HU"/>
        </w:rPr>
        <w:t>uk</w:t>
      </w:r>
      <w:r w:rsidR="001E06AB" w:rsidRPr="00D173CD">
        <w:rPr>
          <w:lang w:val="hu-HU"/>
        </w:rPr>
        <w:t xml:space="preserve"> (lásd 4.4 </w:t>
      </w:r>
      <w:r w:rsidRPr="00D173CD">
        <w:rPr>
          <w:lang w:val="hu-HU"/>
        </w:rPr>
        <w:t>pont).</w:t>
      </w:r>
    </w:p>
    <w:p w14:paraId="20136D6A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2459495C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Verapamil</w:t>
      </w:r>
      <w:r w:rsidR="00BD0DF2" w:rsidRPr="00D173CD">
        <w:rPr>
          <w:i/>
          <w:iCs/>
          <w:lang w:val="hu-HU"/>
        </w:rPr>
        <w:t>-</w:t>
      </w:r>
      <w:r w:rsidRPr="00D173CD">
        <w:rPr>
          <w:i/>
          <w:iCs/>
          <w:lang w:val="hu-HU"/>
        </w:rPr>
        <w:t>/diltiazem</w:t>
      </w:r>
      <w:r w:rsidR="00BD0DF2" w:rsidRPr="00D173CD">
        <w:rPr>
          <w:i/>
          <w:iCs/>
          <w:lang w:val="hu-HU"/>
        </w:rPr>
        <w:t>-</w:t>
      </w:r>
      <w:r w:rsidRPr="00D173CD">
        <w:rPr>
          <w:i/>
          <w:iCs/>
          <w:lang w:val="hu-HU"/>
        </w:rPr>
        <w:t>típusú kalciumcsatorna</w:t>
      </w:r>
      <w:r w:rsidR="00BD0DF2" w:rsidRPr="00D173CD">
        <w:rPr>
          <w:i/>
          <w:iCs/>
          <w:lang w:val="hu-HU"/>
        </w:rPr>
        <w:t>-</w:t>
      </w:r>
      <w:r w:rsidRPr="00D173CD">
        <w:rPr>
          <w:i/>
          <w:iCs/>
          <w:lang w:val="hu-HU"/>
        </w:rPr>
        <w:t>blokkolók</w:t>
      </w:r>
      <w:r w:rsidRPr="00D173CD">
        <w:rPr>
          <w:lang w:val="hu-HU"/>
        </w:rPr>
        <w:t xml:space="preserve">: negatív hatást fejtenek ki a kontraktilitásra és az </w:t>
      </w:r>
      <w:r w:rsidR="00D66299" w:rsidRPr="00D173CD">
        <w:rPr>
          <w:lang w:val="hu-HU"/>
        </w:rPr>
        <w:t>atrioventricularis</w:t>
      </w:r>
      <w:r w:rsidRPr="00D173CD">
        <w:rPr>
          <w:lang w:val="hu-HU"/>
        </w:rPr>
        <w:t xml:space="preserve"> </w:t>
      </w:r>
      <w:r w:rsidR="00D66299" w:rsidRPr="00D173CD">
        <w:rPr>
          <w:lang w:val="hu-HU"/>
        </w:rPr>
        <w:t>át</w:t>
      </w:r>
      <w:r w:rsidRPr="00D173CD">
        <w:rPr>
          <w:lang w:val="hu-HU"/>
        </w:rPr>
        <w:t xml:space="preserve">vezetésre. </w:t>
      </w:r>
      <w:r w:rsidR="00414472" w:rsidRPr="00D173CD">
        <w:rPr>
          <w:lang w:val="hu-HU"/>
        </w:rPr>
        <w:t xml:space="preserve">Verapamil intravénás adása, a </w:t>
      </w:r>
      <w:r w:rsidR="00DD18D0" w:rsidRPr="00D173CD">
        <w:rPr>
          <w:lang w:val="hu-HU"/>
        </w:rPr>
        <w:t>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blokkoló</w:t>
      </w:r>
      <w:r w:rsidR="00BD0DF2" w:rsidRPr="00D173CD">
        <w:rPr>
          <w:lang w:val="hu-HU"/>
        </w:rPr>
        <w:t>-</w:t>
      </w:r>
      <w:r w:rsidRPr="00D173CD">
        <w:rPr>
          <w:lang w:val="hu-HU"/>
        </w:rPr>
        <w:t xml:space="preserve">kezelésben részesülő betegek esetében jelentős </w:t>
      </w:r>
      <w:r w:rsidR="00DD18D0" w:rsidRPr="00D173CD">
        <w:rPr>
          <w:lang w:val="hu-HU"/>
        </w:rPr>
        <w:t>hypotonia,</w:t>
      </w:r>
      <w:r w:rsidRPr="00D173CD">
        <w:rPr>
          <w:lang w:val="hu-HU"/>
        </w:rPr>
        <w:t xml:space="preserve"> illetve </w:t>
      </w:r>
      <w:r w:rsidR="00D66299" w:rsidRPr="00D173CD">
        <w:rPr>
          <w:lang w:val="hu-HU"/>
        </w:rPr>
        <w:t xml:space="preserve">atrioventricularis </w:t>
      </w:r>
      <w:r w:rsidRPr="00D173CD">
        <w:rPr>
          <w:lang w:val="hu-HU"/>
        </w:rPr>
        <w:t>blokk kialakul</w:t>
      </w:r>
      <w:r w:rsidR="001E06AB" w:rsidRPr="00D173CD">
        <w:rPr>
          <w:lang w:val="hu-HU"/>
        </w:rPr>
        <w:t>ásá</w:t>
      </w:r>
      <w:r w:rsidR="00414472" w:rsidRPr="00D173CD">
        <w:rPr>
          <w:lang w:val="hu-HU"/>
        </w:rPr>
        <w:t>hoz</w:t>
      </w:r>
      <w:r w:rsidR="001E06AB" w:rsidRPr="00D173CD">
        <w:rPr>
          <w:lang w:val="hu-HU"/>
        </w:rPr>
        <w:t xml:space="preserve"> </w:t>
      </w:r>
      <w:r w:rsidR="00414472" w:rsidRPr="00D173CD">
        <w:rPr>
          <w:lang w:val="hu-HU"/>
        </w:rPr>
        <w:t xml:space="preserve">vezethet </w:t>
      </w:r>
      <w:r w:rsidR="001E06AB" w:rsidRPr="00D173CD">
        <w:rPr>
          <w:lang w:val="hu-HU"/>
        </w:rPr>
        <w:t>(lásd 4.4 </w:t>
      </w:r>
      <w:r w:rsidRPr="00D173CD">
        <w:rPr>
          <w:lang w:val="hu-HU"/>
        </w:rPr>
        <w:t>pont).</w:t>
      </w:r>
    </w:p>
    <w:p w14:paraId="10601DB3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5260163F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Centrális hatású antihipertenzív szerek (klonidin, guanfacin, moxonidin, metildopa, rilmenidin):</w:t>
      </w:r>
      <w:r w:rsidRPr="00D173CD">
        <w:rPr>
          <w:lang w:val="hu-HU"/>
        </w:rPr>
        <w:t xml:space="preserve"> az egyidejűleg alkalmazott centrális hatású vérnyomáscsökkentők súlyosbíthatják a szívelégtelenséget a központi szimpatikus tónus csökkentésével (a szívfrekvencia </w:t>
      </w:r>
      <w:r w:rsidR="000670C1" w:rsidRPr="00D173CD">
        <w:rPr>
          <w:lang w:val="hu-HU"/>
        </w:rPr>
        <w:t>és</w:t>
      </w:r>
      <w:r w:rsidRPr="00D173CD">
        <w:rPr>
          <w:lang w:val="hu-HU"/>
        </w:rPr>
        <w:t xml:space="preserve"> a perctérfogat c</w:t>
      </w:r>
      <w:r w:rsidR="001E06AB" w:rsidRPr="00D173CD">
        <w:rPr>
          <w:lang w:val="hu-HU"/>
        </w:rPr>
        <w:t>sökkenése, értágulat) (lásd 4.4 </w:t>
      </w:r>
      <w:r w:rsidRPr="00D173CD">
        <w:rPr>
          <w:lang w:val="hu-HU"/>
        </w:rPr>
        <w:t>pont). Ezen hatóanyagok szedésének hirtelen elhagyása (különösen 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blokkoló</w:t>
      </w:r>
      <w:r w:rsidR="00BD0DF2" w:rsidRPr="00D173CD">
        <w:rPr>
          <w:lang w:val="hu-HU"/>
        </w:rPr>
        <w:t>-</w:t>
      </w:r>
      <w:r w:rsidRPr="00D173CD">
        <w:rPr>
          <w:lang w:val="hu-HU"/>
        </w:rPr>
        <w:t>kezelés abbahagyása előtt) fokozhatja a „rebound hyperto</w:t>
      </w:r>
      <w:r w:rsidR="00DD18D0" w:rsidRPr="00D173CD">
        <w:rPr>
          <w:lang w:val="hu-HU"/>
        </w:rPr>
        <w:t>nia</w:t>
      </w:r>
      <w:r w:rsidRPr="00D173CD">
        <w:rPr>
          <w:lang w:val="hu-HU"/>
        </w:rPr>
        <w:t>” kialakulásának kockázatát.</w:t>
      </w:r>
    </w:p>
    <w:p w14:paraId="4B424DE5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9B33052" w14:textId="77777777" w:rsidR="009548D9" w:rsidRPr="00D173CD" w:rsidRDefault="00D66299" w:rsidP="00D173CD">
      <w:pPr>
        <w:pStyle w:val="Normlbehzs"/>
        <w:tabs>
          <w:tab w:val="left" w:pos="567"/>
        </w:tabs>
        <w:spacing w:after="0"/>
        <w:ind w:left="0"/>
        <w:rPr>
          <w:i/>
          <w:u w:val="single"/>
          <w:lang w:val="hu-HU"/>
        </w:rPr>
      </w:pPr>
      <w:r w:rsidRPr="00D173CD">
        <w:rPr>
          <w:i/>
          <w:u w:val="single"/>
          <w:lang w:val="hu-HU"/>
        </w:rPr>
        <w:t xml:space="preserve">Körültekintést </w:t>
      </w:r>
      <w:r w:rsidR="009548D9" w:rsidRPr="00D173CD">
        <w:rPr>
          <w:i/>
          <w:u w:val="single"/>
          <w:lang w:val="hu-HU"/>
        </w:rPr>
        <w:t>igénylő kombinációk:</w:t>
      </w:r>
    </w:p>
    <w:p w14:paraId="7A51835E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</w:p>
    <w:p w14:paraId="2429953A" w14:textId="77777777" w:rsidR="009548D9" w:rsidRPr="00D173CD" w:rsidRDefault="001E06AB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III. </w:t>
      </w:r>
      <w:r w:rsidR="00D66299" w:rsidRPr="00D173CD">
        <w:rPr>
          <w:i/>
          <w:iCs/>
          <w:lang w:val="hu-HU"/>
        </w:rPr>
        <w:t xml:space="preserve">osztályba </w:t>
      </w:r>
      <w:r w:rsidR="009548D9" w:rsidRPr="00D173CD">
        <w:rPr>
          <w:i/>
          <w:iCs/>
          <w:lang w:val="hu-HU"/>
        </w:rPr>
        <w:t>tartozó an</w:t>
      </w:r>
      <w:r w:rsidR="00BD0DF2" w:rsidRPr="00D173CD">
        <w:rPr>
          <w:i/>
          <w:iCs/>
          <w:lang w:val="hu-HU"/>
        </w:rPr>
        <w:t>tiarit</w:t>
      </w:r>
      <w:r w:rsidR="009548D9" w:rsidRPr="00D173CD">
        <w:rPr>
          <w:i/>
          <w:iCs/>
          <w:lang w:val="hu-HU"/>
        </w:rPr>
        <w:t>miás szerek (amiodaron):</w:t>
      </w:r>
      <w:r w:rsidR="009548D9" w:rsidRPr="00D173CD">
        <w:rPr>
          <w:lang w:val="hu-HU"/>
        </w:rPr>
        <w:t xml:space="preserve"> az atrioventricularis átvezetési időre gyakorolt hatás fokozódhat.</w:t>
      </w:r>
    </w:p>
    <w:p w14:paraId="6A4E9115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6320C99D" w14:textId="77777777" w:rsidR="009548D9" w:rsidRPr="00D173CD" w:rsidRDefault="00F4353A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Inhalatív</w:t>
      </w:r>
      <w:r w:rsidR="009548D9" w:rsidRPr="00D173CD">
        <w:rPr>
          <w:i/>
          <w:iCs/>
          <w:lang w:val="hu-HU"/>
        </w:rPr>
        <w:t>, halogenizált anes</w:t>
      </w:r>
      <w:r w:rsidR="002068E0" w:rsidRPr="00D173CD">
        <w:rPr>
          <w:i/>
          <w:iCs/>
          <w:lang w:val="hu-HU"/>
        </w:rPr>
        <w:t>z</w:t>
      </w:r>
      <w:r w:rsidR="009548D9" w:rsidRPr="00D173CD">
        <w:rPr>
          <w:i/>
          <w:iCs/>
          <w:lang w:val="hu-HU"/>
        </w:rPr>
        <w:t>teti</w:t>
      </w:r>
      <w:r w:rsidR="002068E0" w:rsidRPr="00D173CD">
        <w:rPr>
          <w:i/>
          <w:iCs/>
          <w:lang w:val="hu-HU"/>
        </w:rPr>
        <w:t>k</w:t>
      </w:r>
      <w:r w:rsidR="009548D9" w:rsidRPr="00D173CD">
        <w:rPr>
          <w:i/>
          <w:iCs/>
          <w:lang w:val="hu-HU"/>
        </w:rPr>
        <w:t>umok</w:t>
      </w:r>
      <w:r w:rsidR="009548D9" w:rsidRPr="00D173CD">
        <w:rPr>
          <w:lang w:val="hu-HU"/>
        </w:rPr>
        <w:t xml:space="preserve">: </w:t>
      </w:r>
      <w:r w:rsidRPr="00D173CD">
        <w:rPr>
          <w:lang w:val="hu-HU"/>
        </w:rPr>
        <w:t xml:space="preserve">a </w:t>
      </w:r>
      <w:r w:rsidR="009E6745" w:rsidRPr="00D173CD">
        <w:rPr>
          <w:lang w:val="hu-HU"/>
        </w:rPr>
        <w:t>b</w:t>
      </w:r>
      <w:r w:rsidR="009548D9" w:rsidRPr="00D173CD">
        <w:rPr>
          <w:lang w:val="hu-HU"/>
        </w:rPr>
        <w:t>éta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="009548D9" w:rsidRPr="00D173CD">
        <w:rPr>
          <w:lang w:val="hu-HU"/>
        </w:rPr>
        <w:t>gonisták és anes</w:t>
      </w:r>
      <w:r w:rsidR="002068E0" w:rsidRPr="00D173CD">
        <w:rPr>
          <w:lang w:val="hu-HU"/>
        </w:rPr>
        <w:t>z</w:t>
      </w:r>
      <w:r w:rsidR="009548D9" w:rsidRPr="00D173CD">
        <w:rPr>
          <w:lang w:val="hu-HU"/>
        </w:rPr>
        <w:t>teti</w:t>
      </w:r>
      <w:r w:rsidR="002068E0" w:rsidRPr="00D173CD">
        <w:rPr>
          <w:lang w:val="hu-HU"/>
        </w:rPr>
        <w:t>k</w:t>
      </w:r>
      <w:r w:rsidR="009548D9" w:rsidRPr="00D173CD">
        <w:rPr>
          <w:lang w:val="hu-HU"/>
        </w:rPr>
        <w:t>umok együttes alkalmazása csökkentheti a reflex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tachycardiát, és növelheti a</w:t>
      </w:r>
      <w:r w:rsidR="001E06AB" w:rsidRPr="00D173CD">
        <w:rPr>
          <w:lang w:val="hu-HU"/>
        </w:rPr>
        <w:t xml:space="preserve"> </w:t>
      </w:r>
      <w:r w:rsidR="00DD18D0" w:rsidRPr="00D173CD">
        <w:rPr>
          <w:lang w:val="hu-HU"/>
        </w:rPr>
        <w:t>hypotonia</w:t>
      </w:r>
      <w:r w:rsidR="001E06AB" w:rsidRPr="00D173CD">
        <w:rPr>
          <w:lang w:val="hu-HU"/>
        </w:rPr>
        <w:t xml:space="preserve"> kockázatát (lásd 4.4 </w:t>
      </w:r>
      <w:r w:rsidR="009548D9" w:rsidRPr="00D173CD">
        <w:rPr>
          <w:lang w:val="hu-HU"/>
        </w:rPr>
        <w:t>pont). Általá</w:t>
      </w:r>
      <w:r w:rsidR="009E6745" w:rsidRPr="00D173CD">
        <w:rPr>
          <w:lang w:val="hu-HU"/>
        </w:rPr>
        <w:t>ban véve</w:t>
      </w:r>
      <w:r w:rsidR="009548D9" w:rsidRPr="00D173CD">
        <w:rPr>
          <w:lang w:val="hu-HU"/>
        </w:rPr>
        <w:t xml:space="preserve"> </w:t>
      </w:r>
      <w:r w:rsidR="009E6745" w:rsidRPr="00D173CD">
        <w:rPr>
          <w:lang w:val="hu-HU"/>
        </w:rPr>
        <w:t xml:space="preserve">kerülendő </w:t>
      </w:r>
      <w:r w:rsidR="009548D9" w:rsidRPr="00D173CD">
        <w:rPr>
          <w:lang w:val="hu-HU"/>
        </w:rPr>
        <w:t>a béta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blokko</w:t>
      </w:r>
      <w:r w:rsidR="00BD0DF2" w:rsidRPr="00D173CD">
        <w:rPr>
          <w:lang w:val="hu-HU"/>
        </w:rPr>
        <w:t>ló-kez</w:t>
      </w:r>
      <w:r w:rsidR="009548D9" w:rsidRPr="00D173CD">
        <w:rPr>
          <w:lang w:val="hu-HU"/>
        </w:rPr>
        <w:t xml:space="preserve">elés hirtelen abbahagyása. Az </w:t>
      </w:r>
      <w:r w:rsidR="00D66299" w:rsidRPr="00D173CD">
        <w:rPr>
          <w:lang w:val="hu-HU"/>
        </w:rPr>
        <w:t>aneszteziológust tájékoztatni kell</w:t>
      </w:r>
      <w:r w:rsidR="009548D9" w:rsidRPr="00D173CD">
        <w:rPr>
          <w:lang w:val="hu-HU"/>
        </w:rPr>
        <w:t>, ha a beteg</w:t>
      </w:r>
      <w:r w:rsidR="009548D9" w:rsidRPr="00D173CD">
        <w:rPr>
          <w:rFonts w:eastAsia="Times New Roman"/>
          <w:snapToGrid/>
          <w:lang w:val="hu-HU" w:eastAsia="en-GB"/>
        </w:rPr>
        <w:t xml:space="preserve"> </w:t>
      </w:r>
      <w:r w:rsidR="00050A9E" w:rsidRPr="00D173CD">
        <w:rPr>
          <w:lang w:val="hu-HU"/>
        </w:rPr>
        <w:t>Nebivolol Egis</w:t>
      </w:r>
      <w:r w:rsidR="00B80399" w:rsidRPr="00D173CD">
        <w:rPr>
          <w:rFonts w:eastAsia="Times New Roman"/>
          <w:snapToGrid/>
          <w:lang w:val="hu-HU" w:eastAsia="en-GB"/>
        </w:rPr>
        <w:t xml:space="preserve"> </w:t>
      </w:r>
      <w:r w:rsidR="009548D9" w:rsidRPr="00D173CD">
        <w:rPr>
          <w:rFonts w:eastAsia="Times New Roman"/>
          <w:snapToGrid/>
          <w:lang w:val="hu-HU" w:eastAsia="en-GB"/>
        </w:rPr>
        <w:t>5</w:t>
      </w:r>
      <w:r w:rsidR="0063406C" w:rsidRPr="00D173CD">
        <w:rPr>
          <w:rFonts w:eastAsia="Times New Roman"/>
          <w:snapToGrid/>
          <w:lang w:val="hu-HU" w:eastAsia="en-GB"/>
        </w:rPr>
        <w:t> mg</w:t>
      </w:r>
      <w:r w:rsidR="009548D9" w:rsidRPr="00D173CD">
        <w:rPr>
          <w:lang w:val="hu-HU"/>
        </w:rPr>
        <w:t xml:space="preserve"> tablettát szed.</w:t>
      </w:r>
    </w:p>
    <w:p w14:paraId="7BE376F4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6057768F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Inzulin és orális antidiabetikumok:</w:t>
      </w:r>
      <w:r w:rsidRPr="00D173CD">
        <w:rPr>
          <w:lang w:val="hu-HU"/>
        </w:rPr>
        <w:t xml:space="preserve"> </w:t>
      </w:r>
      <w:r w:rsidR="00AA3E52" w:rsidRPr="00D173CD">
        <w:rPr>
          <w:lang w:val="hu-HU"/>
        </w:rPr>
        <w:t>b</w:t>
      </w:r>
      <w:r w:rsidRPr="00D173CD">
        <w:rPr>
          <w:lang w:val="hu-HU"/>
        </w:rPr>
        <w:t>ár a nebivolol nem befolyásolja a glükózszintet, egyidejű alkalmazása a hypo</w:t>
      </w:r>
      <w:r w:rsidR="00DD18D0" w:rsidRPr="00D173CD">
        <w:rPr>
          <w:lang w:val="hu-HU"/>
        </w:rPr>
        <w:t>glykaemi</w:t>
      </w:r>
      <w:r w:rsidRPr="00D173CD">
        <w:rPr>
          <w:lang w:val="hu-HU"/>
        </w:rPr>
        <w:t>a bizonyos tüneteit (palpitáció, tachycardia) elfedheti.</w:t>
      </w:r>
    </w:p>
    <w:p w14:paraId="166C38F9" w14:textId="77777777" w:rsidR="002068E0" w:rsidRPr="00D173CD" w:rsidRDefault="002068E0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50D266F2" w14:textId="77777777" w:rsidR="009548D9" w:rsidRPr="00D173CD" w:rsidRDefault="00E11300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Baklofén</w:t>
      </w:r>
      <w:r w:rsidR="00D66299" w:rsidRPr="00D173CD">
        <w:rPr>
          <w:i/>
          <w:iCs/>
          <w:lang w:val="hu-HU"/>
        </w:rPr>
        <w:t xml:space="preserve"> </w:t>
      </w:r>
      <w:r w:rsidR="009548D9" w:rsidRPr="00D173CD">
        <w:rPr>
          <w:i/>
          <w:iCs/>
          <w:lang w:val="hu-HU"/>
        </w:rPr>
        <w:t>(</w:t>
      </w:r>
      <w:r w:rsidR="00D66299" w:rsidRPr="00D173CD">
        <w:rPr>
          <w:i/>
          <w:iCs/>
          <w:lang w:val="hu-HU"/>
        </w:rPr>
        <w:t>görcsoldó</w:t>
      </w:r>
      <w:r w:rsidR="009548D9" w:rsidRPr="00D173CD">
        <w:rPr>
          <w:i/>
          <w:iCs/>
          <w:lang w:val="hu-HU"/>
        </w:rPr>
        <w:t>), amifosztin (antineoplasztikus adjuváns szer):</w:t>
      </w:r>
      <w:r w:rsidR="009548D9" w:rsidRPr="00D173CD">
        <w:rPr>
          <w:lang w:val="hu-HU"/>
        </w:rPr>
        <w:t xml:space="preserve"> vérnyomáscsökkentőkkel történő egyidejű alkalmazás</w:t>
      </w:r>
      <w:r w:rsidR="00D66299" w:rsidRPr="00D173CD">
        <w:rPr>
          <w:lang w:val="hu-HU"/>
        </w:rPr>
        <w:t>uk</w:t>
      </w:r>
      <w:r w:rsidR="009548D9" w:rsidRPr="00D173CD">
        <w:rPr>
          <w:lang w:val="hu-HU"/>
        </w:rPr>
        <w:t xml:space="preserve"> valószínűleg fokozza a vérnyomásesést, ezért a vérnyomáscsökkentő gyógyszer adagolását ennek megfelelően kell módosítani.</w:t>
      </w:r>
    </w:p>
    <w:p w14:paraId="32C43E7C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2D9DFC75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Meflokin (maláriaellenes gyógyszer):</w:t>
      </w:r>
      <w:r w:rsidRPr="00D173CD">
        <w:rPr>
          <w:lang w:val="hu-HU"/>
        </w:rPr>
        <w:t xml:space="preserve"> </w:t>
      </w:r>
      <w:r w:rsidR="00EA7581" w:rsidRPr="00D173CD">
        <w:rPr>
          <w:lang w:val="hu-HU"/>
        </w:rPr>
        <w:t>e</w:t>
      </w:r>
      <w:r w:rsidRPr="00D173CD">
        <w:rPr>
          <w:lang w:val="hu-HU"/>
        </w:rPr>
        <w:t xml:space="preserve">lméletileg a </w:t>
      </w:r>
      <w:r w:rsidR="00DD18D0" w:rsidRPr="00D173CD">
        <w:rPr>
          <w:lang w:val="hu-HU"/>
        </w:rPr>
        <w:t>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</w:t>
      </w:r>
      <w:r w:rsidR="00F512B4" w:rsidRPr="00D173CD">
        <w:rPr>
          <w:lang w:val="hu-HU"/>
        </w:rPr>
        <w:t>erg-blok</w:t>
      </w:r>
      <w:r w:rsidRPr="00D173CD">
        <w:rPr>
          <w:lang w:val="hu-HU"/>
        </w:rPr>
        <w:t>kolók</w:t>
      </w:r>
      <w:r w:rsidR="00D66299" w:rsidRPr="00D173CD">
        <w:rPr>
          <w:lang w:val="hu-HU"/>
        </w:rPr>
        <w:t>kal történő</w:t>
      </w:r>
      <w:r w:rsidRPr="00D173CD">
        <w:rPr>
          <w:lang w:val="hu-HU"/>
        </w:rPr>
        <w:t xml:space="preserve"> egyidejű alkalmazása </w:t>
      </w:r>
      <w:r w:rsidR="00D66299" w:rsidRPr="00D173CD">
        <w:rPr>
          <w:lang w:val="hu-HU"/>
        </w:rPr>
        <w:t xml:space="preserve">hozzájárulhat </w:t>
      </w:r>
      <w:r w:rsidRPr="00D173CD">
        <w:rPr>
          <w:lang w:val="hu-HU"/>
        </w:rPr>
        <w:t>a QTc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távolság megnyúlásá</w:t>
      </w:r>
      <w:r w:rsidR="00D66299" w:rsidRPr="00D173CD">
        <w:rPr>
          <w:lang w:val="hu-HU"/>
        </w:rPr>
        <w:t>hoz</w:t>
      </w:r>
      <w:r w:rsidRPr="00D173CD">
        <w:rPr>
          <w:lang w:val="hu-HU"/>
        </w:rPr>
        <w:t>.</w:t>
      </w:r>
    </w:p>
    <w:p w14:paraId="20EACD14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ACA310F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i/>
          <w:u w:val="single"/>
          <w:lang w:val="hu-HU"/>
        </w:rPr>
      </w:pPr>
      <w:r w:rsidRPr="00D173CD">
        <w:rPr>
          <w:i/>
          <w:u w:val="single"/>
          <w:lang w:val="hu-HU"/>
        </w:rPr>
        <w:t>Mérlegel</w:t>
      </w:r>
      <w:r w:rsidR="004E5F36" w:rsidRPr="00D173CD">
        <w:rPr>
          <w:i/>
          <w:u w:val="single"/>
          <w:lang w:val="hu-HU"/>
        </w:rPr>
        <w:t>ést igénylő</w:t>
      </w:r>
      <w:r w:rsidRPr="00D173CD">
        <w:rPr>
          <w:i/>
          <w:u w:val="single"/>
          <w:lang w:val="hu-HU"/>
        </w:rPr>
        <w:t xml:space="preserve"> kombinációk:</w:t>
      </w:r>
    </w:p>
    <w:p w14:paraId="69C90083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5F25895D" w14:textId="77777777" w:rsidR="009548D9" w:rsidRPr="00D173CD" w:rsidRDefault="00D6629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Digit</w:t>
      </w:r>
      <w:r w:rsidR="004E5F36" w:rsidRPr="00D173CD">
        <w:rPr>
          <w:i/>
          <w:iCs/>
          <w:lang w:val="hu-HU"/>
        </w:rPr>
        <w:t>á</w:t>
      </w:r>
      <w:r w:rsidRPr="00D173CD">
        <w:rPr>
          <w:i/>
          <w:iCs/>
          <w:lang w:val="hu-HU"/>
        </w:rPr>
        <w:t>lis</w:t>
      </w:r>
      <w:r w:rsidR="004E5F36" w:rsidRPr="00D173CD">
        <w:rPr>
          <w:i/>
          <w:iCs/>
          <w:lang w:val="hu-HU"/>
        </w:rPr>
        <w:t>z</w:t>
      </w:r>
      <w:r w:rsidR="00794FFC" w:rsidRPr="00D173CD">
        <w:rPr>
          <w:i/>
          <w:iCs/>
          <w:lang w:val="hu-HU"/>
        </w:rPr>
        <w:noBreakHyphen/>
      </w:r>
      <w:r w:rsidR="009548D9" w:rsidRPr="00D173CD">
        <w:rPr>
          <w:i/>
          <w:iCs/>
          <w:lang w:val="hu-HU"/>
        </w:rPr>
        <w:t>glikozidok</w:t>
      </w:r>
      <w:r w:rsidR="009548D9" w:rsidRPr="00D173CD">
        <w:rPr>
          <w:lang w:val="hu-HU"/>
        </w:rPr>
        <w:t xml:space="preserve">: együttes alkalmazásuk növelheti az atrioventricularis átvezetési időt. A nebivolollal végzett klinikai vizsgálatok nem </w:t>
      </w:r>
      <w:r w:rsidRPr="00D173CD">
        <w:rPr>
          <w:lang w:val="hu-HU"/>
        </w:rPr>
        <w:t>szolgáltattak</w:t>
      </w:r>
      <w:r w:rsidR="009548D9" w:rsidRPr="00D173CD">
        <w:rPr>
          <w:lang w:val="hu-HU"/>
        </w:rPr>
        <w:t xml:space="preserve"> kölcsönhatásra utaló klinikai bizonyítékot</w:t>
      </w:r>
      <w:r w:rsidRPr="00D173CD">
        <w:rPr>
          <w:lang w:val="hu-HU"/>
        </w:rPr>
        <w:t>.</w:t>
      </w:r>
      <w:r w:rsidR="009548D9" w:rsidRPr="00D173CD">
        <w:rPr>
          <w:lang w:val="hu-HU"/>
        </w:rPr>
        <w:t xml:space="preserve"> A nebivolol nem befolyásolja a digoxin kinetikáját.</w:t>
      </w:r>
    </w:p>
    <w:p w14:paraId="3E13A494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129D9BE8" w14:textId="5B7C26BC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Dihidropiridin</w:t>
      </w:r>
      <w:r w:rsidR="00EB7402" w:rsidRPr="00D173CD">
        <w:rPr>
          <w:i/>
          <w:iCs/>
          <w:lang w:val="hu-HU"/>
        </w:rPr>
        <w:t>-</w:t>
      </w:r>
      <w:r w:rsidRPr="00D173CD">
        <w:rPr>
          <w:i/>
          <w:iCs/>
          <w:lang w:val="hu-HU"/>
        </w:rPr>
        <w:t>típusú kalciumantagonisták (amlodipin, felodipin, lacidipin, nifedipin, nikardipin, nimodipin, nitrendipin):</w:t>
      </w:r>
      <w:r w:rsidRPr="00D173CD">
        <w:rPr>
          <w:lang w:val="hu-HU"/>
        </w:rPr>
        <w:t xml:space="preserve"> együttes alkalmazásuk növelheti a </w:t>
      </w:r>
      <w:r w:rsidR="00DD18D0" w:rsidRPr="00D173CD">
        <w:rPr>
          <w:lang w:val="hu-HU"/>
        </w:rPr>
        <w:t>hypotonia</w:t>
      </w:r>
      <w:r w:rsidRPr="00D173CD">
        <w:rPr>
          <w:lang w:val="hu-HU"/>
        </w:rPr>
        <w:t xml:space="preserve"> kockázatát, </w:t>
      </w:r>
      <w:r w:rsidR="001D13F8" w:rsidRPr="00D173CD">
        <w:rPr>
          <w:lang w:val="hu-HU"/>
        </w:rPr>
        <w:t>valamint</w:t>
      </w:r>
      <w:r w:rsidRPr="00D173CD">
        <w:rPr>
          <w:lang w:val="hu-HU"/>
        </w:rPr>
        <w:t xml:space="preserve"> szívelégtelenségben szenvedő betegeknél nem zárható ki a </w:t>
      </w:r>
      <w:r w:rsidR="001D13F8" w:rsidRPr="00D173CD">
        <w:rPr>
          <w:lang w:val="hu-HU"/>
        </w:rPr>
        <w:t xml:space="preserve">fokozott kockázata annak, hogy a </w:t>
      </w:r>
      <w:r w:rsidRPr="00D173CD">
        <w:rPr>
          <w:lang w:val="hu-HU"/>
        </w:rPr>
        <w:t>szív pumpafunkciója tovább roml</w:t>
      </w:r>
      <w:r w:rsidR="001D13F8" w:rsidRPr="00D173CD">
        <w:rPr>
          <w:lang w:val="hu-HU"/>
        </w:rPr>
        <w:t>ik</w:t>
      </w:r>
      <w:r w:rsidRPr="00D173CD">
        <w:rPr>
          <w:lang w:val="hu-HU"/>
        </w:rPr>
        <w:t>.</w:t>
      </w:r>
    </w:p>
    <w:p w14:paraId="4372DA77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2833D023" w14:textId="1D5D544D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Antipszichotikumok, antidepresszánsok (tricikl</w:t>
      </w:r>
      <w:r w:rsidR="001D13F8" w:rsidRPr="00D173CD">
        <w:rPr>
          <w:i/>
          <w:iCs/>
          <w:lang w:val="hu-HU"/>
        </w:rPr>
        <w:t>u</w:t>
      </w:r>
      <w:r w:rsidRPr="00D173CD">
        <w:rPr>
          <w:i/>
          <w:iCs/>
          <w:lang w:val="hu-HU"/>
        </w:rPr>
        <w:t>s</w:t>
      </w:r>
      <w:r w:rsidR="00975B37">
        <w:rPr>
          <w:i/>
          <w:iCs/>
          <w:lang w:val="hu-HU"/>
        </w:rPr>
        <w:t>os</w:t>
      </w:r>
      <w:r w:rsidRPr="00D173CD">
        <w:rPr>
          <w:i/>
          <w:iCs/>
          <w:lang w:val="hu-HU"/>
        </w:rPr>
        <w:t xml:space="preserve"> antidepresszánsok</w:t>
      </w:r>
      <w:r w:rsidR="003133FC" w:rsidRPr="00D173CD">
        <w:rPr>
          <w:i/>
          <w:iCs/>
          <w:lang w:val="hu-HU"/>
        </w:rPr>
        <w:t>,</w:t>
      </w:r>
      <w:r w:rsidR="00CF19BD" w:rsidRPr="00D173CD">
        <w:rPr>
          <w:i/>
          <w:iCs/>
          <w:lang w:val="hu-HU"/>
        </w:rPr>
        <w:t xml:space="preserve"> </w:t>
      </w:r>
      <w:r w:rsidRPr="00D173CD">
        <w:rPr>
          <w:i/>
          <w:iCs/>
          <w:lang w:val="hu-HU"/>
        </w:rPr>
        <w:t>barbiturátok</w:t>
      </w:r>
      <w:r w:rsidR="003133FC" w:rsidRPr="00D173CD">
        <w:rPr>
          <w:i/>
          <w:iCs/>
          <w:lang w:val="hu-HU"/>
        </w:rPr>
        <w:t xml:space="preserve"> és </w:t>
      </w:r>
      <w:r w:rsidR="00E230BB" w:rsidRPr="00D173CD">
        <w:rPr>
          <w:i/>
          <w:iCs/>
          <w:lang w:val="hu-HU"/>
        </w:rPr>
        <w:t>fenotiazinok</w:t>
      </w:r>
      <w:r w:rsidRPr="00D173CD">
        <w:rPr>
          <w:i/>
          <w:iCs/>
          <w:lang w:val="hu-HU"/>
        </w:rPr>
        <w:t>):</w:t>
      </w:r>
      <w:r w:rsidRPr="00D173CD">
        <w:rPr>
          <w:lang w:val="hu-HU"/>
        </w:rPr>
        <w:t xml:space="preserve"> együttes alkalmazásuk </w:t>
      </w:r>
      <w:r w:rsidR="00D66299" w:rsidRPr="00D173CD">
        <w:rPr>
          <w:lang w:val="hu-HU"/>
        </w:rPr>
        <w:t>fokozhatja</w:t>
      </w:r>
      <w:r w:rsidRPr="00D173CD">
        <w:rPr>
          <w:lang w:val="hu-HU"/>
        </w:rPr>
        <w:t xml:space="preserve"> 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blokkolók vérnyomáscsökkentő hatását (additív hatás).</w:t>
      </w:r>
    </w:p>
    <w:p w14:paraId="66C49E70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1FFF12B8" w14:textId="77777777" w:rsidR="000279E7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lastRenderedPageBreak/>
        <w:t>Nem</w:t>
      </w:r>
      <w:r w:rsidR="00794FFC" w:rsidRPr="00D173CD">
        <w:rPr>
          <w:i/>
          <w:iCs/>
          <w:lang w:val="hu-HU"/>
        </w:rPr>
        <w:noBreakHyphen/>
      </w:r>
      <w:r w:rsidRPr="00D173CD">
        <w:rPr>
          <w:i/>
          <w:iCs/>
          <w:lang w:val="hu-HU"/>
        </w:rPr>
        <w:t>szteroid gyulladás</w:t>
      </w:r>
      <w:r w:rsidR="00D66299" w:rsidRPr="00D173CD">
        <w:rPr>
          <w:i/>
          <w:iCs/>
          <w:lang w:val="hu-HU"/>
        </w:rPr>
        <w:t>gátlók</w:t>
      </w:r>
      <w:r w:rsidRPr="00D173CD">
        <w:rPr>
          <w:i/>
          <w:iCs/>
          <w:lang w:val="hu-HU"/>
        </w:rPr>
        <w:t xml:space="preserve"> (NSAID):</w:t>
      </w:r>
      <w:r w:rsidRPr="00D173CD">
        <w:rPr>
          <w:lang w:val="hu-HU"/>
        </w:rPr>
        <w:t xml:space="preserve"> nem </w:t>
      </w:r>
      <w:r w:rsidR="00D66299" w:rsidRPr="00D173CD">
        <w:rPr>
          <w:lang w:val="hu-HU"/>
        </w:rPr>
        <w:t xml:space="preserve">befolyásolják </w:t>
      </w:r>
      <w:r w:rsidRPr="00D173CD">
        <w:rPr>
          <w:lang w:val="hu-HU"/>
        </w:rPr>
        <w:t>a nebivolol vérnyomáscsökkentő hatásá</w:t>
      </w:r>
      <w:r w:rsidR="00D66299" w:rsidRPr="00D173CD">
        <w:rPr>
          <w:lang w:val="hu-HU"/>
        </w:rPr>
        <w:t>t</w:t>
      </w:r>
      <w:r w:rsidRPr="00D173CD">
        <w:rPr>
          <w:lang w:val="hu-HU"/>
        </w:rPr>
        <w:t>.</w:t>
      </w:r>
    </w:p>
    <w:p w14:paraId="177DE321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i/>
          <w:iCs/>
          <w:lang w:val="hu-HU"/>
        </w:rPr>
      </w:pPr>
    </w:p>
    <w:p w14:paraId="537F2B00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iCs/>
          <w:lang w:val="hu-HU"/>
        </w:rPr>
        <w:t>Szimpatomimetikus szerek</w:t>
      </w:r>
      <w:r w:rsidRPr="00D173CD">
        <w:rPr>
          <w:lang w:val="hu-HU"/>
        </w:rPr>
        <w:t>: együttes alkalmazásuk közömbösítheti 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Pr="00D173CD">
        <w:rPr>
          <w:lang w:val="hu-HU"/>
        </w:rPr>
        <w:t>gonisták hatását.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adrenerg szerek</w:t>
      </w:r>
      <w:r w:rsidR="00C65597" w:rsidRPr="00D173CD">
        <w:rPr>
          <w:lang w:val="hu-HU"/>
        </w:rPr>
        <w:t xml:space="preserve"> (melyek</w:t>
      </w:r>
      <w:r w:rsidRPr="00D173CD">
        <w:rPr>
          <w:lang w:val="hu-HU"/>
        </w:rPr>
        <w:t xml:space="preserve"> </w:t>
      </w:r>
      <w:r w:rsidR="00C65597" w:rsidRPr="00D173CD">
        <w:rPr>
          <w:lang w:val="hu-HU"/>
        </w:rPr>
        <w:t>alfa</w:t>
      </w:r>
      <w:r w:rsidR="00C65597" w:rsidRPr="00D173CD">
        <w:rPr>
          <w:lang w:val="hu-HU"/>
        </w:rPr>
        <w:noBreakHyphen/>
        <w:t xml:space="preserve"> és béta</w:t>
      </w:r>
      <w:r w:rsidR="00C65597" w:rsidRPr="00D173CD">
        <w:rPr>
          <w:lang w:val="hu-HU"/>
        </w:rPr>
        <w:noBreakHyphen/>
        <w:t xml:space="preserve">adrenerg hatással egyaránt rendelkező szimpatomimetikus szerek) </w:t>
      </w:r>
      <w:r w:rsidRPr="00D173CD">
        <w:rPr>
          <w:lang w:val="hu-HU"/>
        </w:rPr>
        <w:t xml:space="preserve">alkalmazása </w:t>
      </w:r>
      <w:r w:rsidR="00DA6CE5" w:rsidRPr="00D173CD">
        <w:rPr>
          <w:lang w:val="hu-HU"/>
        </w:rPr>
        <w:t>egy</w:t>
      </w:r>
      <w:r w:rsidRPr="00D173CD">
        <w:rPr>
          <w:lang w:val="hu-HU"/>
        </w:rPr>
        <w:t xml:space="preserve"> </w:t>
      </w:r>
      <w:r w:rsidR="004261BD" w:rsidRPr="00D173CD">
        <w:rPr>
          <w:lang w:val="hu-HU"/>
        </w:rPr>
        <w:t xml:space="preserve">nem </w:t>
      </w:r>
      <w:r w:rsidR="00DA6CE5" w:rsidRPr="00D173CD">
        <w:rPr>
          <w:lang w:val="hu-HU"/>
        </w:rPr>
        <w:t>ellensúlyozott</w:t>
      </w:r>
      <w:r w:rsidR="004261BD" w:rsidRPr="00D173CD">
        <w:rPr>
          <w:lang w:val="hu-HU"/>
        </w:rPr>
        <w:t xml:space="preserve"> </w:t>
      </w:r>
      <w:r w:rsidRPr="00D173CD">
        <w:rPr>
          <w:lang w:val="hu-HU"/>
        </w:rPr>
        <w:t>alfa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adrenerg aktivitás</w:t>
      </w:r>
      <w:r w:rsidR="00DA6CE5" w:rsidRPr="00D173CD">
        <w:rPr>
          <w:lang w:val="hu-HU"/>
        </w:rPr>
        <w:t>t</w:t>
      </w:r>
      <w:r w:rsidRPr="00D173CD">
        <w:rPr>
          <w:lang w:val="hu-HU"/>
        </w:rPr>
        <w:t xml:space="preserve"> </w:t>
      </w:r>
      <w:r w:rsidR="00DA6CE5" w:rsidRPr="00D173CD">
        <w:rPr>
          <w:lang w:val="hu-HU"/>
        </w:rPr>
        <w:t xml:space="preserve">eredményezhet </w:t>
      </w:r>
      <w:r w:rsidR="00D66299" w:rsidRPr="00D173CD">
        <w:rPr>
          <w:lang w:val="hu-HU"/>
        </w:rPr>
        <w:t>(</w:t>
      </w:r>
      <w:r w:rsidR="00C51B61" w:rsidRPr="00D173CD">
        <w:rPr>
          <w:lang w:val="hu-HU"/>
        </w:rPr>
        <w:t xml:space="preserve">ami </w:t>
      </w:r>
      <w:r w:rsidR="00D66299" w:rsidRPr="00D173CD">
        <w:rPr>
          <w:lang w:val="hu-HU"/>
        </w:rPr>
        <w:t>hypertonia,</w:t>
      </w:r>
      <w:r w:rsidRPr="00D173CD">
        <w:rPr>
          <w:lang w:val="hu-HU"/>
        </w:rPr>
        <w:t xml:space="preserve"> súlyos bradycardia és szívblokk kockázat</w:t>
      </w:r>
      <w:r w:rsidR="00C51B61" w:rsidRPr="00D173CD">
        <w:rPr>
          <w:lang w:val="hu-HU"/>
        </w:rPr>
        <w:t>ával jár</w:t>
      </w:r>
      <w:r w:rsidRPr="00D173CD">
        <w:rPr>
          <w:lang w:val="hu-HU"/>
        </w:rPr>
        <w:t>).</w:t>
      </w:r>
    </w:p>
    <w:p w14:paraId="50A179D0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DCB0018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>Farmakokinetikai kölcsönhatások</w:t>
      </w:r>
    </w:p>
    <w:p w14:paraId="4FCF8943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67D1A26F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Mivel a nebivolol metabolizmusában a CYP2D6 izoenzim is részt vesz, ezért az ezt az enzimet gátló </w:t>
      </w:r>
      <w:r w:rsidR="00D66299" w:rsidRPr="00D173CD">
        <w:rPr>
          <w:lang w:val="hu-HU"/>
        </w:rPr>
        <w:t>ható</w:t>
      </w:r>
      <w:r w:rsidRPr="00D173CD">
        <w:rPr>
          <w:lang w:val="hu-HU"/>
        </w:rPr>
        <w:t>anyagokkal</w:t>
      </w:r>
      <w:r w:rsidR="00D66299" w:rsidRPr="00D173CD">
        <w:rPr>
          <w:lang w:val="hu-HU"/>
        </w:rPr>
        <w:t xml:space="preserve"> – </w:t>
      </w:r>
      <w:r w:rsidRPr="00D173CD">
        <w:rPr>
          <w:lang w:val="hu-HU"/>
        </w:rPr>
        <w:t>különösképpen a paroxetinnel, fluoxetinnel, tioridazinn</w:t>
      </w:r>
      <w:r w:rsidR="00DA6CE5" w:rsidRPr="00D173CD">
        <w:rPr>
          <w:lang w:val="hu-HU"/>
        </w:rPr>
        <w:t>e</w:t>
      </w:r>
      <w:r w:rsidRPr="00D173CD">
        <w:rPr>
          <w:lang w:val="hu-HU"/>
        </w:rPr>
        <w:t>l</w:t>
      </w:r>
      <w:r w:rsidR="00094362" w:rsidRPr="00D173CD">
        <w:rPr>
          <w:lang w:val="hu-HU"/>
        </w:rPr>
        <w:t xml:space="preserve"> és</w:t>
      </w:r>
      <w:r w:rsidRPr="00D173CD">
        <w:rPr>
          <w:lang w:val="hu-HU"/>
        </w:rPr>
        <w:t xml:space="preserve"> kinidinnel</w:t>
      </w:r>
      <w:r w:rsidR="00D66299" w:rsidRPr="00D173CD">
        <w:rPr>
          <w:lang w:val="hu-HU"/>
        </w:rPr>
        <w:t xml:space="preserve"> –</w:t>
      </w:r>
      <w:r w:rsidRPr="00D173CD">
        <w:rPr>
          <w:lang w:val="hu-HU"/>
        </w:rPr>
        <w:t xml:space="preserve"> történő együttes alkalmazás a nebivolol plazmaszintjének emelkedéséhez vezethet, ami </w:t>
      </w:r>
      <w:r w:rsidR="00D66299" w:rsidRPr="00D173CD">
        <w:rPr>
          <w:lang w:val="hu-HU"/>
        </w:rPr>
        <w:t xml:space="preserve">fokozhatja </w:t>
      </w:r>
      <w:r w:rsidRPr="00D173CD">
        <w:rPr>
          <w:lang w:val="hu-HU"/>
        </w:rPr>
        <w:t>a súlyos bradycardia és</w:t>
      </w:r>
      <w:r w:rsidR="00794FFC" w:rsidRPr="00D173CD">
        <w:rPr>
          <w:lang w:val="hu-HU"/>
        </w:rPr>
        <w:t xml:space="preserve"> </w:t>
      </w:r>
      <w:r w:rsidRPr="00D173CD">
        <w:rPr>
          <w:lang w:val="hu-HU"/>
        </w:rPr>
        <w:t xml:space="preserve">mellékhatások </w:t>
      </w:r>
      <w:r w:rsidR="00D66299" w:rsidRPr="00D173CD">
        <w:rPr>
          <w:lang w:val="hu-HU"/>
        </w:rPr>
        <w:t>előfordulásának kockázatát</w:t>
      </w:r>
      <w:r w:rsidRPr="00D173CD">
        <w:rPr>
          <w:lang w:val="hu-HU"/>
        </w:rPr>
        <w:t>.</w:t>
      </w:r>
    </w:p>
    <w:p w14:paraId="70516705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DEA1DD4" w14:textId="77777777" w:rsidR="009548D9" w:rsidRPr="00D173CD" w:rsidRDefault="00D6629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c</w:t>
      </w:r>
      <w:r w:rsidR="009548D9" w:rsidRPr="00D173CD">
        <w:rPr>
          <w:lang w:val="hu-HU"/>
        </w:rPr>
        <w:t xml:space="preserve">imetidin egyidejű alkalmazása növelte a nebivolol plazmaszintjét, </w:t>
      </w:r>
      <w:r w:rsidRPr="00D173CD">
        <w:rPr>
          <w:lang w:val="hu-HU"/>
        </w:rPr>
        <w:t>a klinikai hatás módosulása nélkül</w:t>
      </w:r>
      <w:r w:rsidR="009548D9" w:rsidRPr="00D173CD">
        <w:rPr>
          <w:lang w:val="hu-HU"/>
        </w:rPr>
        <w:t>. A ranitidin egyidejű alkalmazása nem befolyásol</w:t>
      </w:r>
      <w:r w:rsidR="008A3F06" w:rsidRPr="00D173CD">
        <w:rPr>
          <w:lang w:val="hu-HU"/>
        </w:rPr>
        <w:t>t</w:t>
      </w:r>
      <w:r w:rsidR="009548D9" w:rsidRPr="00D173CD">
        <w:rPr>
          <w:lang w:val="hu-HU"/>
        </w:rPr>
        <w:t xml:space="preserve">a a nebivolol farmakokinetikáját. Amennyiben a </w:t>
      </w:r>
      <w:r w:rsidRPr="00D173CD">
        <w:rPr>
          <w:lang w:val="hu-HU"/>
        </w:rPr>
        <w:t>beteg</w:t>
      </w:r>
      <w:r w:rsidR="009548D9" w:rsidRPr="00D173CD">
        <w:rPr>
          <w:rFonts w:eastAsia="Times New Roman"/>
          <w:snapToGrid/>
          <w:lang w:val="hu-HU" w:eastAsia="en-GB"/>
        </w:rPr>
        <w:t xml:space="preserve"> a </w:t>
      </w:r>
      <w:r w:rsidR="00050A9E" w:rsidRPr="00D173CD">
        <w:rPr>
          <w:lang w:val="hu-HU"/>
        </w:rPr>
        <w:t>Nebivolol Egis</w:t>
      </w:r>
      <w:r w:rsidR="00EE3F0A" w:rsidRPr="00D173CD">
        <w:rPr>
          <w:rFonts w:eastAsia="Times New Roman"/>
          <w:snapToGrid/>
          <w:lang w:val="hu-HU" w:eastAsia="en-GB"/>
        </w:rPr>
        <w:t xml:space="preserve"> </w:t>
      </w:r>
      <w:r w:rsidR="009548D9" w:rsidRPr="00D173CD">
        <w:rPr>
          <w:rFonts w:eastAsia="Times New Roman"/>
          <w:snapToGrid/>
          <w:lang w:val="hu-HU" w:eastAsia="en-GB"/>
        </w:rPr>
        <w:t>5</w:t>
      </w:r>
      <w:r w:rsidR="0063406C" w:rsidRPr="00D173CD">
        <w:rPr>
          <w:rFonts w:eastAsia="Times New Roman"/>
          <w:snapToGrid/>
          <w:lang w:val="hu-HU" w:eastAsia="en-GB"/>
        </w:rPr>
        <w:t> mg</w:t>
      </w:r>
      <w:r w:rsidR="009548D9" w:rsidRPr="00D173CD">
        <w:rPr>
          <w:lang w:val="hu-HU"/>
        </w:rPr>
        <w:t xml:space="preserve"> tablettát </w:t>
      </w:r>
      <w:r w:rsidR="008A3F06" w:rsidRPr="00D173CD">
        <w:rPr>
          <w:lang w:val="hu-HU"/>
        </w:rPr>
        <w:t xml:space="preserve">az </w:t>
      </w:r>
      <w:r w:rsidR="009548D9" w:rsidRPr="00D173CD">
        <w:rPr>
          <w:lang w:val="hu-HU"/>
        </w:rPr>
        <w:t>étkezés</w:t>
      </w:r>
      <w:r w:rsidR="008A3F06" w:rsidRPr="00D173CD">
        <w:rPr>
          <w:lang w:val="hu-HU"/>
        </w:rPr>
        <w:t xml:space="preserve"> során</w:t>
      </w:r>
      <w:r w:rsidR="009548D9" w:rsidRPr="00D173CD">
        <w:rPr>
          <w:lang w:val="hu-HU"/>
        </w:rPr>
        <w:t>, az antacid</w:t>
      </w:r>
      <w:r w:rsidR="00EA49A8" w:rsidRPr="00D173CD">
        <w:rPr>
          <w:lang w:val="hu-HU"/>
        </w:rPr>
        <w:t>umo</w:t>
      </w:r>
      <w:r w:rsidR="009548D9" w:rsidRPr="00D173CD">
        <w:rPr>
          <w:lang w:val="hu-HU"/>
        </w:rPr>
        <w:t>t pedig az étkezések között veszi be, a két kezelés egyidejűleg is rendelhető.</w:t>
      </w:r>
    </w:p>
    <w:p w14:paraId="19874754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5C817FC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nebivolol</w:t>
      </w:r>
      <w:r w:rsidR="00D66299" w:rsidRPr="00D173CD">
        <w:rPr>
          <w:lang w:val="hu-HU"/>
        </w:rPr>
        <w:t xml:space="preserve"> és </w:t>
      </w:r>
      <w:r w:rsidRPr="00D173CD">
        <w:rPr>
          <w:lang w:val="hu-HU"/>
        </w:rPr>
        <w:t>nikardipin</w:t>
      </w:r>
      <w:r w:rsidR="00D66299" w:rsidRPr="00D173CD">
        <w:rPr>
          <w:lang w:val="hu-HU"/>
        </w:rPr>
        <w:t xml:space="preserve"> együttes adásakor</w:t>
      </w:r>
      <w:r w:rsidRPr="00D173CD">
        <w:rPr>
          <w:lang w:val="hu-HU"/>
        </w:rPr>
        <w:t xml:space="preserve"> mindkét gyógyszer plazmaszintje enyhén megemelkedett, </w:t>
      </w:r>
      <w:r w:rsidR="008A3F06" w:rsidRPr="00D173CD">
        <w:rPr>
          <w:lang w:val="hu-HU"/>
        </w:rPr>
        <w:t xml:space="preserve">a </w:t>
      </w:r>
      <w:r w:rsidRPr="00D173CD">
        <w:rPr>
          <w:lang w:val="hu-HU"/>
        </w:rPr>
        <w:t>klinikai hatás</w:t>
      </w:r>
      <w:r w:rsidR="00D66299" w:rsidRPr="00D173CD">
        <w:rPr>
          <w:lang w:val="hu-HU"/>
        </w:rPr>
        <w:t>uk módosulása</w:t>
      </w:r>
      <w:r w:rsidRPr="00D173CD">
        <w:rPr>
          <w:lang w:val="hu-HU"/>
        </w:rPr>
        <w:t xml:space="preserve"> nélkül. Alkohollal, furoszemiddel vagy hidroklorotiaziddal együttesen alkalmazva a nebivolol farmakokinetikája nem változott. A nebivolol nem befolyásolja a warfarin farmakoki</w:t>
      </w:r>
      <w:r w:rsidR="001E06AB" w:rsidRPr="00D173CD">
        <w:rPr>
          <w:lang w:val="hu-HU"/>
        </w:rPr>
        <w:t>netikáját és farmakodinámiáját.</w:t>
      </w:r>
    </w:p>
    <w:p w14:paraId="184D20C6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1EF1A14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4.6</w:t>
      </w:r>
      <w:r w:rsidRPr="00D173CD">
        <w:rPr>
          <w:rFonts w:ascii="Times New Roman" w:hAnsi="Times New Roman" w:cs="Times New Roman"/>
        </w:rPr>
        <w:tab/>
      </w:r>
      <w:r w:rsidR="00094362" w:rsidRPr="00D173CD">
        <w:rPr>
          <w:rFonts w:ascii="Times New Roman" w:hAnsi="Times New Roman" w:cs="Times New Roman"/>
        </w:rPr>
        <w:t>Termékenység, t</w:t>
      </w:r>
      <w:r w:rsidRPr="00D173CD">
        <w:rPr>
          <w:rFonts w:ascii="Times New Roman" w:hAnsi="Times New Roman" w:cs="Times New Roman"/>
        </w:rPr>
        <w:t>erhesség és szoptatás</w:t>
      </w:r>
    </w:p>
    <w:p w14:paraId="2CC85C6A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1D8E1E9C" w14:textId="77777777" w:rsidR="009548D9" w:rsidRPr="00D173CD" w:rsidRDefault="00094362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>T</w:t>
      </w:r>
      <w:r w:rsidR="009548D9" w:rsidRPr="00D173CD">
        <w:rPr>
          <w:u w:val="single"/>
          <w:lang w:val="hu-HU"/>
        </w:rPr>
        <w:t>erhesség</w:t>
      </w:r>
    </w:p>
    <w:p w14:paraId="55E129F7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</w:t>
      </w:r>
      <w:r w:rsidR="001748CF" w:rsidRPr="00D173CD">
        <w:rPr>
          <w:lang w:val="hu-HU"/>
        </w:rPr>
        <w:t>n</w:t>
      </w:r>
      <w:r w:rsidRPr="00D173CD">
        <w:rPr>
          <w:lang w:val="hu-HU"/>
        </w:rPr>
        <w:t>ebivolol</w:t>
      </w:r>
      <w:r w:rsidR="008B1480" w:rsidRPr="00D173CD">
        <w:rPr>
          <w:lang w:val="hu-HU"/>
        </w:rPr>
        <w:t>nak</w:t>
      </w:r>
      <w:r w:rsidRPr="00D173CD">
        <w:rPr>
          <w:lang w:val="hu-HU"/>
        </w:rPr>
        <w:t xml:space="preserve"> káros farmakológiai hatás</w:t>
      </w:r>
      <w:r w:rsidR="008B1480" w:rsidRPr="00D173CD">
        <w:rPr>
          <w:lang w:val="hu-HU"/>
        </w:rPr>
        <w:t>ai</w:t>
      </w:r>
      <w:r w:rsidRPr="00D173CD">
        <w:rPr>
          <w:lang w:val="hu-HU"/>
        </w:rPr>
        <w:t xml:space="preserve"> </w:t>
      </w:r>
      <w:r w:rsidR="008B1480" w:rsidRPr="00D173CD">
        <w:rPr>
          <w:lang w:val="hu-HU"/>
        </w:rPr>
        <w:t>lehetnek</w:t>
      </w:r>
      <w:r w:rsidRPr="00D173CD">
        <w:rPr>
          <w:lang w:val="hu-HU"/>
        </w:rPr>
        <w:t xml:space="preserve"> a terhességre és/vagy a magzatra/újszülöttre. 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</w:t>
      </w:r>
      <w:r w:rsidR="00F512B4" w:rsidRPr="00D173CD">
        <w:rPr>
          <w:lang w:val="hu-HU"/>
        </w:rPr>
        <w:t>erg-blok</w:t>
      </w:r>
      <w:r w:rsidRPr="00D173CD">
        <w:rPr>
          <w:lang w:val="hu-HU"/>
        </w:rPr>
        <w:t xml:space="preserve">kolók </w:t>
      </w:r>
      <w:r w:rsidR="00C51B61" w:rsidRPr="00D173CD">
        <w:rPr>
          <w:lang w:val="hu-HU"/>
        </w:rPr>
        <w:t xml:space="preserve">általában </w:t>
      </w:r>
      <w:r w:rsidRPr="00D173CD">
        <w:rPr>
          <w:lang w:val="hu-HU"/>
        </w:rPr>
        <w:t>csökkentik a placent</w:t>
      </w:r>
      <w:r w:rsidR="00E04A35" w:rsidRPr="00D173CD">
        <w:rPr>
          <w:lang w:val="hu-HU"/>
        </w:rPr>
        <w:t>a</w:t>
      </w:r>
      <w:r w:rsidR="00EB7402" w:rsidRPr="00D173CD">
        <w:rPr>
          <w:lang w:val="hu-HU"/>
        </w:rPr>
        <w:t>l</w:t>
      </w:r>
      <w:r w:rsidRPr="00D173CD">
        <w:rPr>
          <w:lang w:val="hu-HU"/>
        </w:rPr>
        <w:t xml:space="preserve">is perfúziót, ami </w:t>
      </w:r>
      <w:r w:rsidR="00EB7402" w:rsidRPr="00D173CD">
        <w:rPr>
          <w:lang w:val="hu-HU"/>
        </w:rPr>
        <w:t xml:space="preserve">a </w:t>
      </w:r>
      <w:r w:rsidR="00C51B61" w:rsidRPr="00D173CD">
        <w:rPr>
          <w:lang w:val="hu-HU"/>
        </w:rPr>
        <w:t>növekedés</w:t>
      </w:r>
      <w:r w:rsidR="00EB7402" w:rsidRPr="00D173CD">
        <w:rPr>
          <w:lang w:val="hu-HU"/>
        </w:rPr>
        <w:t xml:space="preserve"> </w:t>
      </w:r>
      <w:r w:rsidR="00C51B61" w:rsidRPr="00D173CD">
        <w:rPr>
          <w:lang w:val="hu-HU"/>
        </w:rPr>
        <w:t>visszamaradás</w:t>
      </w:r>
      <w:r w:rsidR="00EB7402" w:rsidRPr="00D173CD">
        <w:rPr>
          <w:lang w:val="hu-HU"/>
        </w:rPr>
        <w:t>á</w:t>
      </w:r>
      <w:r w:rsidR="00C51B61" w:rsidRPr="00D173CD">
        <w:rPr>
          <w:lang w:val="hu-HU"/>
        </w:rPr>
        <w:t>hoz</w:t>
      </w:r>
      <w:r w:rsidRPr="00D173CD">
        <w:rPr>
          <w:lang w:val="hu-HU"/>
        </w:rPr>
        <w:t xml:space="preserve">, intrauterin </w:t>
      </w:r>
      <w:r w:rsidR="00C51B61" w:rsidRPr="00D173CD">
        <w:rPr>
          <w:lang w:val="hu-HU"/>
        </w:rPr>
        <w:t xml:space="preserve">magzati </w:t>
      </w:r>
      <w:r w:rsidRPr="00D173CD">
        <w:rPr>
          <w:lang w:val="hu-HU"/>
        </w:rPr>
        <w:t>elhalás</w:t>
      </w:r>
      <w:r w:rsidR="00C51B61" w:rsidRPr="00D173CD">
        <w:rPr>
          <w:lang w:val="hu-HU"/>
        </w:rPr>
        <w:t>hoz</w:t>
      </w:r>
      <w:r w:rsidRPr="00D173CD">
        <w:rPr>
          <w:lang w:val="hu-HU"/>
        </w:rPr>
        <w:t>, vetélés</w:t>
      </w:r>
      <w:r w:rsidR="00C51B61" w:rsidRPr="00D173CD">
        <w:rPr>
          <w:lang w:val="hu-HU"/>
        </w:rPr>
        <w:t>hez</w:t>
      </w:r>
      <w:r w:rsidRPr="00D173CD">
        <w:rPr>
          <w:lang w:val="hu-HU"/>
        </w:rPr>
        <w:t xml:space="preserve"> és koraszülés</w:t>
      </w:r>
      <w:r w:rsidR="00C51B61" w:rsidRPr="00D173CD">
        <w:rPr>
          <w:lang w:val="hu-HU"/>
        </w:rPr>
        <w:t>hez vezethet</w:t>
      </w:r>
      <w:r w:rsidRPr="00D173CD">
        <w:rPr>
          <w:lang w:val="hu-HU"/>
        </w:rPr>
        <w:t>. A magzatnál és újszülöttnél mellékhatások jelentkezhetnek (például hypogly</w:t>
      </w:r>
      <w:r w:rsidR="00DD18D0" w:rsidRPr="00D173CD">
        <w:rPr>
          <w:lang w:val="hu-HU"/>
        </w:rPr>
        <w:t>k</w:t>
      </w:r>
      <w:r w:rsidRPr="00D173CD">
        <w:rPr>
          <w:lang w:val="hu-HU"/>
        </w:rPr>
        <w:t>aemia és bradycardia). Amennyiben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</w:t>
      </w:r>
      <w:r w:rsidR="00F512B4" w:rsidRPr="00D173CD">
        <w:rPr>
          <w:lang w:val="hu-HU"/>
        </w:rPr>
        <w:t>erg-blok</w:t>
      </w:r>
      <w:r w:rsidRPr="00D173CD">
        <w:rPr>
          <w:lang w:val="hu-HU"/>
        </w:rPr>
        <w:t xml:space="preserve">kolókkal történő kezelés szükséges, akkor előnyben részesítendők a szelektív </w:t>
      </w:r>
      <w:r w:rsidR="00DD18D0" w:rsidRPr="00D173CD">
        <w:rPr>
          <w:lang w:val="hu-HU"/>
        </w:rPr>
        <w:t>béta</w:t>
      </w:r>
      <w:r w:rsidR="0066625A" w:rsidRPr="00D173CD">
        <w:rPr>
          <w:b/>
          <w:vertAlign w:val="subscript"/>
          <w:lang w:val="hu-HU"/>
        </w:rPr>
        <w:t>1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adrenoreceptor</w:t>
      </w:r>
      <w:r w:rsidR="000D7C32" w:rsidRPr="00D173CD">
        <w:rPr>
          <w:lang w:val="hu-HU"/>
        </w:rPr>
        <w:t>-</w:t>
      </w:r>
      <w:r w:rsidRPr="00D173CD">
        <w:rPr>
          <w:lang w:val="hu-HU"/>
        </w:rPr>
        <w:t>blokkolók.</w:t>
      </w:r>
    </w:p>
    <w:p w14:paraId="3A13D30E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5949043" w14:textId="124EAC18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</w:t>
      </w:r>
      <w:r w:rsidR="00D76C19" w:rsidRPr="00D173CD">
        <w:rPr>
          <w:lang w:val="hu-HU"/>
        </w:rPr>
        <w:t>n</w:t>
      </w:r>
      <w:r w:rsidR="00050A9E" w:rsidRPr="00D173CD">
        <w:rPr>
          <w:lang w:val="hu-HU"/>
        </w:rPr>
        <w:t>ebivolol</w:t>
      </w:r>
      <w:r w:rsidR="00EE3F0A" w:rsidRPr="00D173CD">
        <w:rPr>
          <w:rFonts w:eastAsia="Times New Roman"/>
          <w:snapToGrid/>
          <w:lang w:val="hu-HU" w:eastAsia="en-GB"/>
        </w:rPr>
        <w:t xml:space="preserve">t </w:t>
      </w:r>
      <w:r w:rsidRPr="00D173CD">
        <w:rPr>
          <w:lang w:val="hu-HU"/>
        </w:rPr>
        <w:t xml:space="preserve">a terhesség ideje alatt nem szabad alkalmazni, csak </w:t>
      </w:r>
      <w:r w:rsidR="005C0EF6" w:rsidRPr="00D173CD">
        <w:rPr>
          <w:lang w:val="hu-HU"/>
        </w:rPr>
        <w:t>nagyon indokolt esetben</w:t>
      </w:r>
      <w:r w:rsidRPr="00D173CD">
        <w:rPr>
          <w:lang w:val="hu-HU"/>
        </w:rPr>
        <w:t>. Ha a nebivolol</w:t>
      </w:r>
      <w:r w:rsidR="000D7C32" w:rsidRPr="00D173CD">
        <w:rPr>
          <w:lang w:val="hu-HU"/>
        </w:rPr>
        <w:t>-</w:t>
      </w:r>
      <w:r w:rsidRPr="00D173CD">
        <w:rPr>
          <w:lang w:val="hu-HU"/>
        </w:rPr>
        <w:t>kezelést szükségesnek tartják, akkor az uteroplacenta</w:t>
      </w:r>
      <w:r w:rsidR="000D7C32" w:rsidRPr="00D173CD">
        <w:rPr>
          <w:lang w:val="hu-HU"/>
        </w:rPr>
        <w:t>l</w:t>
      </w:r>
      <w:r w:rsidRPr="00D173CD">
        <w:rPr>
          <w:lang w:val="hu-HU"/>
        </w:rPr>
        <w:t xml:space="preserve">is véráramlást és a magzat növekedését rendszeresen ellenőrizni kell. A terhességre vagy a magzatra gyakorolt káros hatás esetén alternatív kezelés alkalmazását kell mérlegelni. Az újszülöttet </w:t>
      </w:r>
      <w:r w:rsidR="00D24427" w:rsidRPr="00D173CD">
        <w:rPr>
          <w:lang w:val="hu-HU"/>
        </w:rPr>
        <w:t>szoros</w:t>
      </w:r>
      <w:r w:rsidR="00C51B61" w:rsidRPr="00D173CD">
        <w:rPr>
          <w:lang w:val="hu-HU"/>
        </w:rPr>
        <w:t xml:space="preserve"> megfigyelés alatt kell tartani</w:t>
      </w:r>
      <w:r w:rsidRPr="00D173CD">
        <w:rPr>
          <w:lang w:val="hu-HU"/>
        </w:rPr>
        <w:t>. A hypo</w:t>
      </w:r>
      <w:r w:rsidR="00DD18D0" w:rsidRPr="00D173CD">
        <w:rPr>
          <w:lang w:val="hu-HU"/>
        </w:rPr>
        <w:t>glykaemi</w:t>
      </w:r>
      <w:r w:rsidRPr="00D173CD">
        <w:rPr>
          <w:lang w:val="hu-HU"/>
        </w:rPr>
        <w:t>a és a bradycardi</w:t>
      </w:r>
      <w:r w:rsidR="00281BCB" w:rsidRPr="00D173CD">
        <w:rPr>
          <w:lang w:val="hu-HU"/>
        </w:rPr>
        <w:t>a tünetei rendszerint az első 3 </w:t>
      </w:r>
      <w:r w:rsidRPr="00D173CD">
        <w:rPr>
          <w:lang w:val="hu-HU"/>
        </w:rPr>
        <w:t>napon belül várhatók.</w:t>
      </w:r>
    </w:p>
    <w:p w14:paraId="4F6F1B74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47D050F" w14:textId="77777777" w:rsidR="009548D9" w:rsidRPr="00D173CD" w:rsidRDefault="00094362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>S</w:t>
      </w:r>
      <w:r w:rsidR="009548D9" w:rsidRPr="00D173CD">
        <w:rPr>
          <w:u w:val="single"/>
          <w:lang w:val="hu-HU"/>
        </w:rPr>
        <w:t>zoptatás</w:t>
      </w:r>
    </w:p>
    <w:p w14:paraId="2DA7CDA9" w14:textId="3131690A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Állatkísérletekben kimutatták, hogy a nebivolol kiválasztódik az anyatejbe. Nem ismeretes, hogy a gyógyszer kiválasztódik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e </w:t>
      </w:r>
      <w:r w:rsidR="00C51B61" w:rsidRPr="00D173CD">
        <w:rPr>
          <w:lang w:val="hu-HU"/>
        </w:rPr>
        <w:t>a</w:t>
      </w:r>
      <w:r w:rsidR="00D24427" w:rsidRPr="00D173CD">
        <w:rPr>
          <w:lang w:val="hu-HU"/>
        </w:rPr>
        <w:t>z</w:t>
      </w:r>
      <w:r w:rsidR="00C51B61" w:rsidRPr="00D173CD">
        <w:rPr>
          <w:lang w:val="hu-HU"/>
        </w:rPr>
        <w:t xml:space="preserve"> </w:t>
      </w:r>
      <w:r w:rsidR="00D24427" w:rsidRPr="00D173CD">
        <w:rPr>
          <w:lang w:val="hu-HU"/>
        </w:rPr>
        <w:t>emberi</w:t>
      </w:r>
      <w:r w:rsidRPr="00D173CD">
        <w:rPr>
          <w:lang w:val="hu-HU"/>
        </w:rPr>
        <w:t xml:space="preserve"> anyatejbe. A legtöbb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blokkoló, különösen a lipofil vegyületek, mint például a nebivolol és annak aktív metabolitjai, változó mértékben </w:t>
      </w:r>
      <w:r w:rsidR="00C51B61" w:rsidRPr="00D173CD">
        <w:rPr>
          <w:lang w:val="hu-HU"/>
        </w:rPr>
        <w:t>választódnak ki</w:t>
      </w:r>
      <w:r w:rsidRPr="00D173CD">
        <w:rPr>
          <w:lang w:val="hu-HU"/>
        </w:rPr>
        <w:t xml:space="preserve"> az anyatejbe.</w:t>
      </w:r>
      <w:r w:rsidR="00455918" w:rsidRPr="00D173CD">
        <w:rPr>
          <w:lang w:val="hu-HU"/>
        </w:rPr>
        <w:t xml:space="preserve"> A</w:t>
      </w:r>
      <w:r w:rsidR="00D76C19" w:rsidRPr="00D173CD">
        <w:rPr>
          <w:lang w:val="hu-HU"/>
        </w:rPr>
        <w:t>z újszülöttre/</w:t>
      </w:r>
      <w:r w:rsidR="00455918" w:rsidRPr="00D173CD">
        <w:rPr>
          <w:lang w:val="hu-HU"/>
        </w:rPr>
        <w:t>csecsemőre nézve a kockázatot nem lehet kizárni</w:t>
      </w:r>
      <w:r w:rsidR="000A43F9" w:rsidRPr="00D173CD">
        <w:rPr>
          <w:lang w:val="hu-HU"/>
        </w:rPr>
        <w:t>.</w:t>
      </w:r>
      <w:r w:rsidRPr="00D173CD">
        <w:rPr>
          <w:lang w:val="hu-HU"/>
        </w:rPr>
        <w:t xml:space="preserve"> Ezért a nebivolol</w:t>
      </w:r>
      <w:r w:rsidR="004F1A51" w:rsidRPr="00D173CD">
        <w:rPr>
          <w:lang w:val="hu-HU"/>
        </w:rPr>
        <w:t>t szedő anyák nem szoptathatnak.</w:t>
      </w:r>
    </w:p>
    <w:p w14:paraId="7CC8120C" w14:textId="2C0E2B94" w:rsidR="004F1A51" w:rsidRPr="00D173CD" w:rsidRDefault="004F1A51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6AA87CF" w14:textId="693CB96D" w:rsidR="004F1A51" w:rsidRPr="00D173CD" w:rsidRDefault="004F1A51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8C7CA2">
        <w:rPr>
          <w:u w:val="single"/>
          <w:lang w:val="hu-HU"/>
        </w:rPr>
        <w:t>Termékenység</w:t>
      </w:r>
    </w:p>
    <w:p w14:paraId="32CB64FA" w14:textId="37F77F0F" w:rsidR="004F1A51" w:rsidRPr="00D173CD" w:rsidRDefault="00E624B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nebivolol nem befolyásolta a patkányok termékenységét, kivéve a maximális ajánlott humán dózis többszörösét alkalmazva</w:t>
      </w:r>
      <w:r w:rsidR="00242E17" w:rsidRPr="00D173CD">
        <w:rPr>
          <w:lang w:val="hu-HU"/>
        </w:rPr>
        <w:t>, amelynél hím és nőstény patkányok és egerek nem</w:t>
      </w:r>
      <w:r w:rsidR="00105B02" w:rsidRPr="00D173CD">
        <w:rPr>
          <w:lang w:val="hu-HU"/>
        </w:rPr>
        <w:t>i</w:t>
      </w:r>
      <w:r w:rsidR="00242E17" w:rsidRPr="00D173CD">
        <w:rPr>
          <w:lang w:val="hu-HU"/>
        </w:rPr>
        <w:t xml:space="preserve"> szerveire gyakorolt mellékhatásokat figyeltek meg.</w:t>
      </w:r>
      <w:r w:rsidR="008B6FA9" w:rsidRPr="00D173CD">
        <w:rPr>
          <w:lang w:val="hu-HU"/>
        </w:rPr>
        <w:t xml:space="preserve"> A nebivolol hatása az emberi termékenységre nem ismert.</w:t>
      </w:r>
    </w:p>
    <w:p w14:paraId="1989AA6F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15C163A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4.7</w:t>
      </w:r>
      <w:r w:rsidRPr="00D173CD">
        <w:rPr>
          <w:rFonts w:ascii="Times New Roman" w:hAnsi="Times New Roman" w:cs="Times New Roman"/>
        </w:rPr>
        <w:tab/>
        <w:t xml:space="preserve">A készítmény hatásai a gépjárművezetéshez és </w:t>
      </w:r>
      <w:r w:rsidR="008B1480" w:rsidRPr="00D173CD">
        <w:rPr>
          <w:rFonts w:ascii="Times New Roman" w:hAnsi="Times New Roman" w:cs="Times New Roman"/>
        </w:rPr>
        <w:t xml:space="preserve">a </w:t>
      </w:r>
      <w:r w:rsidRPr="00D173CD">
        <w:rPr>
          <w:rFonts w:ascii="Times New Roman" w:hAnsi="Times New Roman" w:cs="Times New Roman"/>
        </w:rPr>
        <w:t>gépek kezeléséhez szükséges képességekre</w:t>
      </w:r>
    </w:p>
    <w:p w14:paraId="54CD87DC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BE1E620" w14:textId="77777777" w:rsidR="006E2916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készítménynek a gépjárművezetéshez és </w:t>
      </w:r>
      <w:r w:rsidR="008B1480" w:rsidRPr="00D173CD">
        <w:rPr>
          <w:lang w:val="hu-HU"/>
        </w:rPr>
        <w:t xml:space="preserve">a </w:t>
      </w:r>
      <w:r w:rsidRPr="00D173CD">
        <w:rPr>
          <w:lang w:val="hu-HU"/>
        </w:rPr>
        <w:t xml:space="preserve">gépek kezeléséhez szükséges képességeket befolyásoló hatásait nem vizsgálták. </w:t>
      </w:r>
    </w:p>
    <w:p w14:paraId="54464658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lastRenderedPageBreak/>
        <w:t xml:space="preserve">Farmakodinámiás vizsgálatok </w:t>
      </w:r>
      <w:r w:rsidR="00C51B61" w:rsidRPr="00D173CD">
        <w:rPr>
          <w:lang w:val="hu-HU"/>
        </w:rPr>
        <w:t>ki</w:t>
      </w:r>
      <w:r w:rsidRPr="00D173CD">
        <w:rPr>
          <w:lang w:val="hu-HU"/>
        </w:rPr>
        <w:t xml:space="preserve">mutatták, hogy a nebivolol nem befolyásolja a pszichomotoros funkciókat. A betegek egy része 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 főként a vérnyomáscsökkenés következtében </w:t>
      </w:r>
      <w:r w:rsidR="002912B0" w:rsidRPr="00D173CD">
        <w:rPr>
          <w:lang w:val="hu-HU"/>
        </w:rPr>
        <w:t>–</w:t>
      </w:r>
      <w:r w:rsidRPr="00D173CD">
        <w:rPr>
          <w:lang w:val="hu-HU"/>
        </w:rPr>
        <w:t xml:space="preserve"> mellékhatásokat észlelhet, például s</w:t>
      </w:r>
      <w:r w:rsidR="00281BCB" w:rsidRPr="00D173CD">
        <w:rPr>
          <w:lang w:val="hu-HU"/>
        </w:rPr>
        <w:t>zédülést vagy ájulást (lásd 4.8 </w:t>
      </w:r>
      <w:r w:rsidRPr="00D173CD">
        <w:rPr>
          <w:lang w:val="hu-HU"/>
        </w:rPr>
        <w:t>pont).</w:t>
      </w:r>
      <w:r w:rsidR="0063406C" w:rsidRPr="00D173CD">
        <w:rPr>
          <w:lang w:val="hu-HU"/>
        </w:rPr>
        <w:t xml:space="preserve"> </w:t>
      </w:r>
      <w:r w:rsidRPr="00D173CD">
        <w:rPr>
          <w:lang w:val="hu-HU"/>
        </w:rPr>
        <w:t>A</w:t>
      </w:r>
      <w:r w:rsidR="002912B0" w:rsidRPr="00D173CD">
        <w:rPr>
          <w:lang w:val="hu-HU"/>
        </w:rPr>
        <w:t>mennyiben</w:t>
      </w:r>
      <w:r w:rsidRPr="00D173CD">
        <w:rPr>
          <w:lang w:val="hu-HU"/>
        </w:rPr>
        <w:t xml:space="preserve"> ez</w:t>
      </w:r>
      <w:r w:rsidR="002912B0" w:rsidRPr="00D173CD">
        <w:rPr>
          <w:lang w:val="hu-HU"/>
        </w:rPr>
        <w:t>ek</w:t>
      </w:r>
      <w:r w:rsidRPr="00D173CD">
        <w:rPr>
          <w:lang w:val="hu-HU"/>
        </w:rPr>
        <w:t xml:space="preserve"> előfordul</w:t>
      </w:r>
      <w:r w:rsidR="002912B0" w:rsidRPr="00D173CD">
        <w:rPr>
          <w:lang w:val="hu-HU"/>
        </w:rPr>
        <w:t>nak</w:t>
      </w:r>
      <w:r w:rsidRPr="00D173CD">
        <w:rPr>
          <w:lang w:val="hu-HU"/>
        </w:rPr>
        <w:t xml:space="preserve">, tartózkodni kell a gépjárművezetéstől és az éberséget igénylő </w:t>
      </w:r>
      <w:r w:rsidR="002912B0" w:rsidRPr="00D173CD">
        <w:rPr>
          <w:lang w:val="hu-HU"/>
        </w:rPr>
        <w:t xml:space="preserve">egyéb </w:t>
      </w:r>
      <w:r w:rsidRPr="00D173CD">
        <w:rPr>
          <w:lang w:val="hu-HU"/>
        </w:rPr>
        <w:t>tevékenységektől. Ezek a hatások nagyobb valószínűséggel jelentkeznek a kezelés megkezdését vagy az adag emelését követően.</w:t>
      </w:r>
    </w:p>
    <w:p w14:paraId="27058D64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1B0DECA1" w14:textId="77777777" w:rsidR="00001191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4.8</w:t>
      </w:r>
      <w:r w:rsidRPr="00D173CD">
        <w:rPr>
          <w:rFonts w:ascii="Times New Roman" w:hAnsi="Times New Roman" w:cs="Times New Roman"/>
        </w:rPr>
        <w:tab/>
        <w:t>Nemkívánatos hatások, mellékhatások</w:t>
      </w:r>
    </w:p>
    <w:p w14:paraId="003B91EB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b/>
          <w:bCs/>
          <w:lang w:val="hu-HU"/>
        </w:rPr>
      </w:pPr>
    </w:p>
    <w:p w14:paraId="0859850B" w14:textId="77777777" w:rsidR="009548D9" w:rsidRPr="00975B37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975B37">
        <w:rPr>
          <w:lang w:val="hu-HU"/>
        </w:rPr>
        <w:t>A nemkívánatos hatások előfordulási gyakoriságának osztályozásához az alábbi terminológiát alkalmazzuk:</w:t>
      </w:r>
    </w:p>
    <w:p w14:paraId="72253712" w14:textId="77777777" w:rsidR="009548D9" w:rsidRPr="00975B37" w:rsidRDefault="009548D9" w:rsidP="00D173CD">
      <w:pPr>
        <w:pStyle w:val="MusterTitel"/>
        <w:tabs>
          <w:tab w:val="left" w:pos="0"/>
          <w:tab w:val="left" w:pos="567"/>
        </w:tabs>
        <w:spacing w:before="0" w:after="0"/>
        <w:ind w:left="0"/>
        <w:jc w:val="left"/>
        <w:rPr>
          <w:rFonts w:ascii="Times New Roman" w:hAnsi="Times New Roman" w:cs="Times New Roman"/>
          <w:noProof/>
          <w:sz w:val="22"/>
          <w:szCs w:val="22"/>
          <w:lang w:val="hu-HU"/>
        </w:rPr>
      </w:pPr>
      <w:r w:rsidRPr="00975B37">
        <w:rPr>
          <w:rFonts w:ascii="Times New Roman" w:hAnsi="Times New Roman" w:cs="Times New Roman"/>
          <w:sz w:val="22"/>
          <w:szCs w:val="22"/>
          <w:lang w:val="hu-HU"/>
        </w:rPr>
        <w:t>Nagyon gyakori (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sym w:font="Symbol" w:char="F0B3"/>
      </w:r>
      <w:r w:rsidR="0056703C" w:rsidRPr="00975B37">
        <w:rPr>
          <w:rFonts w:ascii="Times New Roman" w:hAnsi="Times New Roman" w:cs="Times New Roman"/>
          <w:sz w:val="22"/>
          <w:szCs w:val="22"/>
          <w:lang w:val="hu-HU"/>
        </w:rPr>
        <w:t> 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t>1/10)</w:t>
      </w:r>
    </w:p>
    <w:p w14:paraId="18BEA341" w14:textId="77777777" w:rsidR="009548D9" w:rsidRPr="00975B37" w:rsidRDefault="009548D9" w:rsidP="00D173CD">
      <w:pPr>
        <w:pStyle w:val="MusterTitel"/>
        <w:tabs>
          <w:tab w:val="left" w:pos="0"/>
          <w:tab w:val="left" w:pos="567"/>
        </w:tabs>
        <w:spacing w:before="0" w:after="0"/>
        <w:ind w:left="0"/>
        <w:jc w:val="left"/>
        <w:rPr>
          <w:rFonts w:ascii="Times New Roman" w:hAnsi="Times New Roman" w:cs="Times New Roman"/>
          <w:noProof/>
          <w:sz w:val="22"/>
          <w:szCs w:val="22"/>
          <w:lang w:val="hu-HU"/>
        </w:rPr>
      </w:pPr>
      <w:r w:rsidRPr="00975B37">
        <w:rPr>
          <w:rFonts w:ascii="Times New Roman" w:hAnsi="Times New Roman" w:cs="Times New Roman"/>
          <w:sz w:val="22"/>
          <w:szCs w:val="22"/>
          <w:lang w:val="hu-HU"/>
        </w:rPr>
        <w:t>Gyakori (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sym w:font="Symbol" w:char="F0B3"/>
      </w:r>
      <w:r w:rsidR="0056703C" w:rsidRPr="00975B37">
        <w:rPr>
          <w:rFonts w:ascii="Times New Roman" w:hAnsi="Times New Roman" w:cs="Times New Roman"/>
          <w:sz w:val="22"/>
          <w:szCs w:val="22"/>
          <w:lang w:val="hu-HU"/>
        </w:rPr>
        <w:t> 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t>1/100</w:t>
      </w:r>
      <w:r w:rsidR="008746EF" w:rsidRPr="00975B37">
        <w:rPr>
          <w:rFonts w:ascii="Times New Roman" w:hAnsi="Times New Roman" w:cs="Times New Roman"/>
          <w:sz w:val="22"/>
          <w:szCs w:val="22"/>
          <w:lang w:val="hu-HU"/>
        </w:rPr>
        <w:t> </w:t>
      </w:r>
      <w:r w:rsidR="008746EF" w:rsidRPr="00975B37">
        <w:rPr>
          <w:rFonts w:ascii="Times New Roman" w:hAnsi="Times New Roman" w:cs="Times New Roman"/>
          <w:sz w:val="22"/>
          <w:szCs w:val="22"/>
          <w:lang w:val="hu-HU"/>
        </w:rPr>
        <w:noBreakHyphen/>
        <w:t> </w:t>
      </w:r>
      <w:r w:rsidR="00BF7068" w:rsidRPr="00975B37">
        <w:rPr>
          <w:rFonts w:ascii="Times New Roman" w:hAnsi="Times New Roman" w:cs="Times New Roman"/>
          <w:sz w:val="22"/>
          <w:szCs w:val="22"/>
          <w:lang w:val="hu-HU"/>
        </w:rPr>
        <w:t>&lt; 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t>1/10)</w:t>
      </w:r>
    </w:p>
    <w:p w14:paraId="6489B5E0" w14:textId="77777777" w:rsidR="009548D9" w:rsidRPr="00975B37" w:rsidRDefault="009548D9" w:rsidP="00D173CD">
      <w:pPr>
        <w:pStyle w:val="MusterTitel"/>
        <w:tabs>
          <w:tab w:val="left" w:pos="0"/>
          <w:tab w:val="left" w:pos="567"/>
        </w:tabs>
        <w:spacing w:before="0" w:after="0"/>
        <w:ind w:left="0"/>
        <w:jc w:val="left"/>
        <w:rPr>
          <w:rFonts w:ascii="Times New Roman" w:hAnsi="Times New Roman" w:cs="Times New Roman"/>
          <w:noProof/>
          <w:sz w:val="22"/>
          <w:szCs w:val="22"/>
          <w:lang w:val="hu-HU"/>
        </w:rPr>
      </w:pPr>
      <w:r w:rsidRPr="00975B37">
        <w:rPr>
          <w:rFonts w:ascii="Times New Roman" w:hAnsi="Times New Roman" w:cs="Times New Roman"/>
          <w:sz w:val="22"/>
          <w:szCs w:val="22"/>
          <w:lang w:val="hu-HU"/>
        </w:rPr>
        <w:t>Nem gyakori (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sym w:font="Symbol" w:char="F0B3"/>
      </w:r>
      <w:r w:rsidR="0056703C" w:rsidRPr="00975B37">
        <w:rPr>
          <w:rFonts w:ascii="Times New Roman" w:hAnsi="Times New Roman" w:cs="Times New Roman"/>
          <w:sz w:val="22"/>
          <w:szCs w:val="22"/>
          <w:lang w:val="hu-HU"/>
        </w:rPr>
        <w:t> </w:t>
      </w:r>
      <w:r w:rsidR="00794FFC" w:rsidRPr="00975B37">
        <w:rPr>
          <w:rFonts w:ascii="Times New Roman" w:hAnsi="Times New Roman" w:cs="Times New Roman"/>
          <w:sz w:val="22"/>
          <w:szCs w:val="22"/>
          <w:lang w:val="hu-HU"/>
        </w:rPr>
        <w:t>1/1000</w:t>
      </w:r>
      <w:r w:rsidR="008746EF" w:rsidRPr="00975B37">
        <w:rPr>
          <w:rFonts w:ascii="Times New Roman" w:hAnsi="Times New Roman" w:cs="Times New Roman"/>
          <w:sz w:val="22"/>
          <w:szCs w:val="22"/>
          <w:lang w:val="hu-HU"/>
        </w:rPr>
        <w:t> </w:t>
      </w:r>
      <w:r w:rsidR="008746EF" w:rsidRPr="00975B37">
        <w:rPr>
          <w:rFonts w:ascii="Times New Roman" w:hAnsi="Times New Roman" w:cs="Times New Roman"/>
          <w:sz w:val="22"/>
          <w:szCs w:val="22"/>
          <w:lang w:val="hu-HU"/>
        </w:rPr>
        <w:noBreakHyphen/>
        <w:t> </w:t>
      </w:r>
      <w:r w:rsidR="00BF7068" w:rsidRPr="00975B37">
        <w:rPr>
          <w:rFonts w:ascii="Times New Roman" w:hAnsi="Times New Roman" w:cs="Times New Roman"/>
          <w:sz w:val="22"/>
          <w:szCs w:val="22"/>
          <w:lang w:val="hu-HU"/>
        </w:rPr>
        <w:t>&lt;</w:t>
      </w:r>
      <w:r w:rsidR="00165B66" w:rsidRPr="00975B37">
        <w:rPr>
          <w:rFonts w:ascii="Times New Roman" w:hAnsi="Times New Roman" w:cs="Times New Roman"/>
          <w:sz w:val="22"/>
          <w:szCs w:val="22"/>
          <w:lang w:val="hu-HU"/>
        </w:rPr>
        <w:t> 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t>1/100)</w:t>
      </w:r>
    </w:p>
    <w:p w14:paraId="1213343C" w14:textId="77777777" w:rsidR="009548D9" w:rsidRPr="00975B37" w:rsidRDefault="009548D9" w:rsidP="00D173CD">
      <w:pPr>
        <w:pStyle w:val="MusterTitel"/>
        <w:tabs>
          <w:tab w:val="left" w:pos="0"/>
          <w:tab w:val="left" w:pos="567"/>
        </w:tabs>
        <w:spacing w:before="0" w:after="0"/>
        <w:ind w:left="0"/>
        <w:jc w:val="left"/>
        <w:rPr>
          <w:rFonts w:ascii="Times New Roman" w:hAnsi="Times New Roman" w:cs="Times New Roman"/>
          <w:noProof/>
          <w:sz w:val="22"/>
          <w:szCs w:val="22"/>
          <w:lang w:val="hu-HU"/>
        </w:rPr>
      </w:pPr>
      <w:r w:rsidRPr="00975B37">
        <w:rPr>
          <w:rFonts w:ascii="Times New Roman" w:hAnsi="Times New Roman" w:cs="Times New Roman"/>
          <w:sz w:val="22"/>
          <w:szCs w:val="22"/>
          <w:lang w:val="hu-HU"/>
        </w:rPr>
        <w:t>Ritka (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sym w:font="Symbol" w:char="F0B3"/>
      </w:r>
      <w:r w:rsidR="0056703C" w:rsidRPr="00975B37">
        <w:rPr>
          <w:rFonts w:ascii="Times New Roman" w:hAnsi="Times New Roman" w:cs="Times New Roman"/>
          <w:sz w:val="22"/>
          <w:szCs w:val="22"/>
          <w:lang w:val="hu-HU"/>
        </w:rPr>
        <w:t> 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t>1/10 000</w:t>
      </w:r>
      <w:r w:rsidR="008746EF" w:rsidRPr="00975B37">
        <w:rPr>
          <w:rFonts w:ascii="Times New Roman" w:hAnsi="Times New Roman" w:cs="Times New Roman"/>
          <w:sz w:val="22"/>
          <w:szCs w:val="22"/>
          <w:lang w:val="hu-HU"/>
        </w:rPr>
        <w:t> </w:t>
      </w:r>
      <w:r w:rsidR="008746EF" w:rsidRPr="00975B37">
        <w:rPr>
          <w:rFonts w:ascii="Times New Roman" w:hAnsi="Times New Roman" w:cs="Times New Roman"/>
          <w:sz w:val="22"/>
          <w:szCs w:val="22"/>
          <w:lang w:val="hu-HU"/>
        </w:rPr>
        <w:noBreakHyphen/>
        <w:t> 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t>&lt;</w:t>
      </w:r>
      <w:r w:rsidR="00165B66" w:rsidRPr="00975B37">
        <w:rPr>
          <w:rFonts w:ascii="Times New Roman" w:hAnsi="Times New Roman" w:cs="Times New Roman"/>
          <w:sz w:val="22"/>
          <w:szCs w:val="22"/>
          <w:lang w:val="hu-HU"/>
        </w:rPr>
        <w:t> </w:t>
      </w:r>
      <w:r w:rsidRPr="00975B37">
        <w:rPr>
          <w:rFonts w:ascii="Times New Roman" w:hAnsi="Times New Roman" w:cs="Times New Roman"/>
          <w:sz w:val="22"/>
          <w:szCs w:val="22"/>
          <w:lang w:val="hu-HU"/>
        </w:rPr>
        <w:t>1/1000)</w:t>
      </w:r>
    </w:p>
    <w:p w14:paraId="05C79DD1" w14:textId="77777777" w:rsidR="009548D9" w:rsidRPr="00975B37" w:rsidRDefault="00281BCB" w:rsidP="00D173CD">
      <w:pPr>
        <w:pStyle w:val="MusterTitel"/>
        <w:tabs>
          <w:tab w:val="left" w:pos="0"/>
          <w:tab w:val="left" w:pos="567"/>
        </w:tabs>
        <w:spacing w:before="0" w:after="0"/>
        <w:ind w:left="0"/>
        <w:jc w:val="left"/>
        <w:rPr>
          <w:rFonts w:ascii="Times New Roman" w:hAnsi="Times New Roman" w:cs="Times New Roman"/>
          <w:noProof/>
          <w:sz w:val="22"/>
          <w:szCs w:val="22"/>
          <w:lang w:val="hu-HU"/>
        </w:rPr>
      </w:pPr>
      <w:r w:rsidRPr="00975B37">
        <w:rPr>
          <w:rFonts w:ascii="Times New Roman" w:hAnsi="Times New Roman" w:cs="Times New Roman"/>
          <w:sz w:val="22"/>
          <w:szCs w:val="22"/>
          <w:lang w:val="hu-HU"/>
        </w:rPr>
        <w:t>Nagyon ritka (&lt; 1/10 </w:t>
      </w:r>
      <w:r w:rsidR="009548D9" w:rsidRPr="00975B37">
        <w:rPr>
          <w:rFonts w:ascii="Times New Roman" w:hAnsi="Times New Roman" w:cs="Times New Roman"/>
          <w:sz w:val="22"/>
          <w:szCs w:val="22"/>
          <w:lang w:val="hu-HU"/>
        </w:rPr>
        <w:t>000)</w:t>
      </w:r>
    </w:p>
    <w:p w14:paraId="55FE215B" w14:textId="4F976D3D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975B37">
        <w:rPr>
          <w:lang w:val="hu-HU"/>
        </w:rPr>
        <w:t>Nem ismert (</w:t>
      </w:r>
      <w:r w:rsidR="00105B02" w:rsidRPr="00975B37">
        <w:rPr>
          <w:lang w:val="hu-HU"/>
        </w:rPr>
        <w:t xml:space="preserve">a </w:t>
      </w:r>
      <w:r w:rsidR="00975B37">
        <w:rPr>
          <w:lang w:val="hu-HU"/>
        </w:rPr>
        <w:t>gyakoriság</w:t>
      </w:r>
      <w:r w:rsidR="00105B02" w:rsidRPr="00975B37">
        <w:rPr>
          <w:lang w:val="hu-HU"/>
        </w:rPr>
        <w:t xml:space="preserve"> </w:t>
      </w:r>
      <w:r w:rsidRPr="00975B37">
        <w:rPr>
          <w:lang w:val="hu-HU"/>
        </w:rPr>
        <w:t>a rendelkezésre álló adatokból nem állapítható meg)</w:t>
      </w:r>
    </w:p>
    <w:p w14:paraId="11529660" w14:textId="77777777" w:rsidR="0016680D" w:rsidRPr="00D173CD" w:rsidRDefault="0016680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85F8D16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hypertonia, illetve krónikus szívelégtelenség esetén előforduló </w:t>
      </w:r>
      <w:r w:rsidR="00165B66" w:rsidRPr="00D173CD">
        <w:rPr>
          <w:lang w:val="hu-HU"/>
        </w:rPr>
        <w:t xml:space="preserve">nemkívánatos események </w:t>
      </w:r>
      <w:r w:rsidRPr="00D173CD">
        <w:rPr>
          <w:lang w:val="hu-HU"/>
        </w:rPr>
        <w:t>a különböző alapbetegségek miatt külön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külön kerül</w:t>
      </w:r>
      <w:r w:rsidR="0016680D" w:rsidRPr="00D173CD">
        <w:rPr>
          <w:lang w:val="hu-HU"/>
        </w:rPr>
        <w:t>n</w:t>
      </w:r>
      <w:r w:rsidRPr="00D173CD">
        <w:rPr>
          <w:lang w:val="hu-HU"/>
        </w:rPr>
        <w:t>ek felsorolásra.</w:t>
      </w:r>
    </w:p>
    <w:p w14:paraId="74B43EE9" w14:textId="77777777" w:rsidR="0056703C" w:rsidRPr="00D173CD" w:rsidRDefault="0056703C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41DE5A25" w14:textId="77777777" w:rsidR="00421998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 xml:space="preserve">Hypertonia </w:t>
      </w:r>
    </w:p>
    <w:p w14:paraId="0A350DB1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</w:t>
      </w:r>
      <w:r w:rsidR="00C51B61" w:rsidRPr="00D173CD">
        <w:rPr>
          <w:lang w:val="hu-HU"/>
        </w:rPr>
        <w:t xml:space="preserve">jelentett </w:t>
      </w:r>
      <w:r w:rsidRPr="00D173CD">
        <w:rPr>
          <w:lang w:val="hu-HU"/>
        </w:rPr>
        <w:t>mellékhatások, amelyek általában enyhék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középsúlyosak voltak, az alábbi táblázatban, szervrendszerenként </w:t>
      </w:r>
      <w:r w:rsidR="00536F25" w:rsidRPr="00D173CD">
        <w:rPr>
          <w:lang w:val="hu-HU"/>
        </w:rPr>
        <w:t xml:space="preserve">osztályozva </w:t>
      </w:r>
      <w:r w:rsidRPr="00D173CD">
        <w:rPr>
          <w:lang w:val="hu-HU"/>
        </w:rPr>
        <w:t>és gyakorisági kategóriák szerint kerültek felsorolásra:</w:t>
      </w:r>
    </w:p>
    <w:p w14:paraId="305B0762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tbl>
      <w:tblPr>
        <w:tblW w:w="92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9"/>
        <w:gridCol w:w="1720"/>
        <w:gridCol w:w="1721"/>
        <w:gridCol w:w="1721"/>
        <w:gridCol w:w="1881"/>
      </w:tblGrid>
      <w:tr w:rsidR="009548D9" w:rsidRPr="00D173CD" w14:paraId="24EA420C" w14:textId="77777777" w:rsidTr="000069F6">
        <w:trPr>
          <w:tblHeader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0A67" w14:textId="77777777" w:rsidR="00F52582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b/>
                <w:bCs/>
                <w:sz w:val="22"/>
                <w:szCs w:val="22"/>
                <w:lang w:val="hu-HU"/>
              </w:rPr>
              <w:t>SZERVRENDSZER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60D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b/>
                <w:bCs/>
                <w:sz w:val="22"/>
                <w:szCs w:val="22"/>
                <w:lang w:val="hu-HU"/>
              </w:rPr>
            </w:pPr>
            <w:r w:rsidRPr="00D173CD">
              <w:rPr>
                <w:b/>
                <w:bCs/>
                <w:sz w:val="22"/>
                <w:szCs w:val="22"/>
                <w:lang w:val="hu-HU"/>
              </w:rPr>
              <w:t>Gyakori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993F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b/>
                <w:bCs/>
                <w:sz w:val="22"/>
                <w:szCs w:val="22"/>
                <w:lang w:val="hu-HU"/>
              </w:rPr>
            </w:pPr>
            <w:r w:rsidRPr="00D173CD">
              <w:rPr>
                <w:b/>
                <w:bCs/>
                <w:sz w:val="22"/>
                <w:szCs w:val="22"/>
                <w:lang w:val="hu-HU"/>
              </w:rPr>
              <w:t>Nem gyakori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EEB6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b/>
                <w:bCs/>
                <w:sz w:val="22"/>
                <w:szCs w:val="22"/>
                <w:lang w:val="hu-HU"/>
              </w:rPr>
            </w:pPr>
            <w:r w:rsidRPr="00D173CD">
              <w:rPr>
                <w:b/>
                <w:bCs/>
                <w:sz w:val="22"/>
                <w:szCs w:val="22"/>
                <w:lang w:val="hu-HU"/>
              </w:rPr>
              <w:t>Nagyon ritka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9A61" w14:textId="77777777" w:rsidR="00F52582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b/>
                <w:bCs/>
                <w:sz w:val="22"/>
                <w:szCs w:val="22"/>
                <w:lang w:val="hu-HU"/>
              </w:rPr>
              <w:t>Nem ismert</w:t>
            </w:r>
          </w:p>
        </w:tc>
      </w:tr>
      <w:tr w:rsidR="009548D9" w:rsidRPr="00D173CD" w14:paraId="30A5CFD7" w14:textId="77777777" w:rsidTr="000069F6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92C9" w14:textId="77777777" w:rsidR="009548D9" w:rsidRPr="00D173CD" w:rsidRDefault="009548D9" w:rsidP="00D173CD">
            <w:pPr>
              <w:tabs>
                <w:tab w:val="left" w:pos="567"/>
              </w:tabs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Immunrendszeri betegségek és tünetek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0D59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F17C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204E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065C" w14:textId="77777777" w:rsidR="009548D9" w:rsidRPr="00D173CD" w:rsidRDefault="00BF7068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  <w:r w:rsidRPr="00D173CD">
              <w:rPr>
                <w:rStyle w:val="CharacterStyle1"/>
                <w:sz w:val="22"/>
                <w:szCs w:val="22"/>
                <w:lang w:val="hu-HU"/>
              </w:rPr>
              <w:t>a</w:t>
            </w:r>
            <w:r w:rsidR="009548D9" w:rsidRPr="00D173CD">
              <w:rPr>
                <w:rStyle w:val="CharacterStyle1"/>
                <w:sz w:val="22"/>
                <w:szCs w:val="22"/>
                <w:lang w:val="hu-HU"/>
              </w:rPr>
              <w:t>ngio</w:t>
            </w:r>
            <w:r w:rsidR="00094362" w:rsidRPr="00D173CD">
              <w:rPr>
                <w:rStyle w:val="CharacterStyle1"/>
                <w:sz w:val="22"/>
                <w:szCs w:val="22"/>
                <w:lang w:val="hu-HU"/>
              </w:rPr>
              <w:t>neur</w:t>
            </w:r>
            <w:r w:rsidR="000D7C32" w:rsidRPr="00D173CD">
              <w:rPr>
                <w:rStyle w:val="CharacterStyle1"/>
                <w:sz w:val="22"/>
                <w:szCs w:val="22"/>
                <w:lang w:val="hu-HU"/>
              </w:rPr>
              <w:t>o</w:t>
            </w:r>
            <w:r w:rsidR="00094362" w:rsidRPr="00D173CD">
              <w:rPr>
                <w:rStyle w:val="CharacterStyle1"/>
                <w:sz w:val="22"/>
                <w:szCs w:val="22"/>
                <w:lang w:val="hu-HU"/>
              </w:rPr>
              <w:t>ti</w:t>
            </w:r>
            <w:r w:rsidR="000D7C32" w:rsidRPr="00D173CD">
              <w:rPr>
                <w:rStyle w:val="CharacterStyle1"/>
                <w:sz w:val="22"/>
                <w:szCs w:val="22"/>
                <w:lang w:val="hu-HU"/>
              </w:rPr>
              <w:t>c</w:t>
            </w:r>
            <w:r w:rsidR="00094362" w:rsidRPr="00D173CD">
              <w:rPr>
                <w:rStyle w:val="CharacterStyle1"/>
                <w:sz w:val="22"/>
                <w:szCs w:val="22"/>
                <w:lang w:val="hu-HU"/>
              </w:rPr>
              <w:t>us o</w:t>
            </w:r>
            <w:r w:rsidR="009548D9" w:rsidRPr="00D173CD">
              <w:rPr>
                <w:rStyle w:val="CharacterStyle1"/>
                <w:sz w:val="22"/>
                <w:szCs w:val="22"/>
                <w:lang w:val="hu-HU"/>
              </w:rPr>
              <w:t xml:space="preserve">edema és </w:t>
            </w:r>
            <w:r w:rsidR="00E04A35" w:rsidRPr="00D173CD">
              <w:rPr>
                <w:rStyle w:val="CharacterStyle1"/>
                <w:sz w:val="22"/>
                <w:szCs w:val="22"/>
                <w:lang w:val="hu-HU"/>
              </w:rPr>
              <w:t>túlérzékenység</w:t>
            </w:r>
          </w:p>
        </w:tc>
      </w:tr>
      <w:tr w:rsidR="009548D9" w:rsidRPr="00D173CD" w14:paraId="4D742F5D" w14:textId="77777777" w:rsidTr="000069F6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2B78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Pszichiátriai kórképek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758F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B60F" w14:textId="77777777" w:rsidR="009548D9" w:rsidRPr="00D173CD" w:rsidRDefault="00A3451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rémálmok,</w:t>
            </w:r>
          </w:p>
          <w:p w14:paraId="22D61F63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depresszió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ECD0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A4DB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</w:tr>
      <w:tr w:rsidR="009548D9" w:rsidRPr="00D173CD" w14:paraId="0F717E27" w14:textId="77777777" w:rsidTr="000069F6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D966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Idegrendszeri betegségek és tünetek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1D5C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fejfájás,</w:t>
            </w:r>
          </w:p>
          <w:p w14:paraId="72411D46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szédülés,</w:t>
            </w:r>
          </w:p>
          <w:p w14:paraId="470CF1E0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paraesthesia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0A7F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881A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syncope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F861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</w:p>
        </w:tc>
      </w:tr>
      <w:tr w:rsidR="009548D9" w:rsidRPr="00D173CD" w14:paraId="799F1387" w14:textId="77777777" w:rsidTr="000069F6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5AA3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Szembetegségek és szemészeti tünetek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E919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1B4E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látásromlás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5428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4DAF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</w:tr>
      <w:tr w:rsidR="009548D9" w:rsidRPr="00D173CD" w14:paraId="668F50ED" w14:textId="77777777" w:rsidTr="000069F6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23E4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Szívbetegségek és a szívvel kapcsolatos tünetek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D9CB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ECCD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bradyca</w:t>
            </w:r>
            <w:r w:rsidR="00083360" w:rsidRPr="00D173CD">
              <w:rPr>
                <w:sz w:val="22"/>
                <w:szCs w:val="22"/>
                <w:lang w:val="hu-HU"/>
              </w:rPr>
              <w:t xml:space="preserve">rdia, szívelégtelenség, lassult </w:t>
            </w:r>
            <w:r w:rsidRPr="00D173CD">
              <w:rPr>
                <w:sz w:val="22"/>
                <w:szCs w:val="22"/>
                <w:lang w:val="hu-HU"/>
              </w:rPr>
              <w:t>AV</w:t>
            </w:r>
            <w:r w:rsidR="00FB66E6" w:rsidRPr="00D173CD">
              <w:rPr>
                <w:sz w:val="22"/>
                <w:szCs w:val="22"/>
                <w:lang w:val="hu-HU"/>
              </w:rPr>
              <w:t>-</w:t>
            </w:r>
            <w:r w:rsidRPr="00D173CD">
              <w:rPr>
                <w:sz w:val="22"/>
                <w:szCs w:val="22"/>
                <w:lang w:val="hu-HU"/>
              </w:rPr>
              <w:t>ve</w:t>
            </w:r>
            <w:r w:rsidR="00083360" w:rsidRPr="00D173CD">
              <w:rPr>
                <w:sz w:val="22"/>
                <w:szCs w:val="22"/>
                <w:lang w:val="hu-HU"/>
              </w:rPr>
              <w:t>zetés/AV</w:t>
            </w:r>
            <w:r w:rsidR="00794FFC" w:rsidRPr="00D173CD">
              <w:rPr>
                <w:sz w:val="22"/>
                <w:szCs w:val="22"/>
                <w:lang w:val="hu-HU"/>
              </w:rPr>
              <w:noBreakHyphen/>
            </w:r>
            <w:r w:rsidRPr="00D173CD">
              <w:rPr>
                <w:sz w:val="22"/>
                <w:szCs w:val="22"/>
                <w:lang w:val="hu-HU"/>
              </w:rPr>
              <w:t>blokk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6D2E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7AEA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</w:tr>
      <w:tr w:rsidR="009548D9" w:rsidRPr="00D173CD" w14:paraId="3474E9C1" w14:textId="77777777" w:rsidTr="000069F6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7FEC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bCs/>
                <w:sz w:val="22"/>
                <w:szCs w:val="22"/>
                <w:lang w:val="hu-HU"/>
              </w:rPr>
              <w:t>Érbetegségek és tünetek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42D3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5411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hypot</w:t>
            </w:r>
            <w:r w:rsidR="00BF7068" w:rsidRPr="00D173CD">
              <w:rPr>
                <w:sz w:val="22"/>
                <w:szCs w:val="22"/>
                <w:lang w:val="hu-HU"/>
              </w:rPr>
              <w:t>onia</w:t>
            </w:r>
            <w:r w:rsidR="00DD18D0" w:rsidRPr="00D173CD">
              <w:rPr>
                <w:sz w:val="22"/>
                <w:szCs w:val="22"/>
                <w:lang w:val="hu-HU"/>
              </w:rPr>
              <w:t>,</w:t>
            </w:r>
          </w:p>
          <w:p w14:paraId="500E11F3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claudica</w:t>
            </w:r>
            <w:r w:rsidR="00A34519" w:rsidRPr="00D173CD">
              <w:rPr>
                <w:sz w:val="22"/>
                <w:szCs w:val="22"/>
                <w:lang w:val="hu-HU"/>
              </w:rPr>
              <w:t>tio intermittens (súlyosbodása)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8832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B5BD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</w:tr>
      <w:tr w:rsidR="009548D9" w:rsidRPr="00D173CD" w14:paraId="291B2A52" w14:textId="77777777" w:rsidTr="000069F6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5FA4" w14:textId="77777777" w:rsidR="009548D9" w:rsidRPr="00D173CD" w:rsidRDefault="00A34519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 xml:space="preserve">Légzőrendszeri, </w:t>
            </w:r>
            <w:r w:rsidR="009548D9" w:rsidRPr="00D173CD">
              <w:rPr>
                <w:sz w:val="22"/>
                <w:szCs w:val="22"/>
                <w:lang w:val="hu-HU"/>
              </w:rPr>
              <w:t>mellkasi és mediastinalis betegségek és tünetek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D7D8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dyspnoe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34F6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bronchospasmus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A3C1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DA30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</w:tr>
      <w:tr w:rsidR="009548D9" w:rsidRPr="00D173CD" w14:paraId="1D58BBA2" w14:textId="77777777" w:rsidTr="000069F6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5F30" w14:textId="77777777" w:rsidR="009548D9" w:rsidRPr="00D173CD" w:rsidRDefault="00C51B61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br w:type="page"/>
            </w:r>
            <w:r w:rsidR="009548D9" w:rsidRPr="00D173CD">
              <w:rPr>
                <w:sz w:val="22"/>
                <w:szCs w:val="22"/>
                <w:lang w:val="hu-HU"/>
              </w:rPr>
              <w:t>Emésztőrendszeri betegségek és tünetek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A2AF" w14:textId="7F46975F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obstipatio,</w:t>
            </w:r>
            <w:r w:rsidR="00105B02" w:rsidRPr="00D173CD">
              <w:rPr>
                <w:sz w:val="22"/>
                <w:szCs w:val="22"/>
                <w:lang w:val="hu-HU"/>
              </w:rPr>
              <w:t xml:space="preserve"> </w:t>
            </w:r>
            <w:r w:rsidRPr="00D173CD">
              <w:rPr>
                <w:sz w:val="22"/>
                <w:szCs w:val="22"/>
                <w:lang w:val="hu-HU"/>
              </w:rPr>
              <w:t>hányinger, diarrhoea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B48F" w14:textId="522A0C06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dyspepsia, flatulen</w:t>
            </w:r>
            <w:r w:rsidR="00C51B61" w:rsidRPr="00D173CD">
              <w:rPr>
                <w:sz w:val="22"/>
                <w:szCs w:val="22"/>
                <w:lang w:val="hu-HU"/>
              </w:rPr>
              <w:t>t</w:t>
            </w:r>
            <w:r w:rsidRPr="00D173CD">
              <w:rPr>
                <w:sz w:val="22"/>
                <w:szCs w:val="22"/>
                <w:lang w:val="hu-HU"/>
              </w:rPr>
              <w:t>ia,</w:t>
            </w:r>
            <w:r w:rsidR="00105B02" w:rsidRPr="00D173CD">
              <w:rPr>
                <w:sz w:val="22"/>
                <w:szCs w:val="22"/>
                <w:lang w:val="hu-HU"/>
              </w:rPr>
              <w:t xml:space="preserve"> </w:t>
            </w:r>
            <w:r w:rsidRPr="00D173CD">
              <w:rPr>
                <w:sz w:val="22"/>
                <w:szCs w:val="22"/>
                <w:lang w:val="hu-HU"/>
              </w:rPr>
              <w:t>hányás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8CD8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0B77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</w:tr>
      <w:tr w:rsidR="009548D9" w:rsidRPr="00D173CD" w14:paraId="2A47D493" w14:textId="77777777" w:rsidTr="000069F6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302CD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A bőr és a bőr</w:t>
            </w:r>
            <w:r w:rsidR="00BF7068" w:rsidRPr="00D173CD">
              <w:rPr>
                <w:sz w:val="22"/>
                <w:szCs w:val="22"/>
                <w:lang w:val="hu-HU"/>
              </w:rPr>
              <w:t xml:space="preserve"> </w:t>
            </w:r>
            <w:r w:rsidRPr="00D173CD">
              <w:rPr>
                <w:sz w:val="22"/>
                <w:szCs w:val="22"/>
                <w:lang w:val="hu-HU"/>
              </w:rPr>
              <w:t>alatti szövet betegségei és tünetei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F6138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1AEEC" w14:textId="321C2D6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pruritus,</w:t>
            </w:r>
            <w:r w:rsidR="00105B02" w:rsidRPr="00D173CD">
              <w:rPr>
                <w:sz w:val="22"/>
                <w:szCs w:val="22"/>
                <w:lang w:val="hu-HU"/>
              </w:rPr>
              <w:t xml:space="preserve"> </w:t>
            </w:r>
            <w:r w:rsidRPr="00D173CD">
              <w:rPr>
                <w:sz w:val="22"/>
                <w:szCs w:val="22"/>
                <w:lang w:val="hu-HU"/>
              </w:rPr>
              <w:t>erythemás</w:t>
            </w:r>
            <w:r w:rsidR="0056703C" w:rsidRPr="00D173CD">
              <w:rPr>
                <w:sz w:val="22"/>
                <w:szCs w:val="22"/>
                <w:lang w:val="hu-HU"/>
              </w:rPr>
              <w:t xml:space="preserve"> </w:t>
            </w:r>
            <w:r w:rsidRPr="00D173CD">
              <w:rPr>
                <w:sz w:val="22"/>
                <w:szCs w:val="22"/>
                <w:lang w:val="hu-HU"/>
              </w:rPr>
              <w:t>bőrkiütés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07585" w14:textId="77777777" w:rsidR="009548D9" w:rsidRPr="00D173CD" w:rsidRDefault="00FB66E6" w:rsidP="00D173CD">
            <w:pPr>
              <w:pStyle w:val="Style1"/>
              <w:tabs>
                <w:tab w:val="left" w:pos="567"/>
              </w:tabs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 xml:space="preserve">a </w:t>
            </w:r>
            <w:r w:rsidR="009548D9" w:rsidRPr="00D173CD">
              <w:rPr>
                <w:sz w:val="22"/>
                <w:szCs w:val="22"/>
                <w:lang w:val="hu-HU"/>
              </w:rPr>
              <w:t>psoriasis súlyosbodása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92470" w14:textId="77777777" w:rsidR="009548D9" w:rsidRPr="00D173CD" w:rsidRDefault="000F3923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urti</w:t>
            </w:r>
            <w:r w:rsidR="00BF7068" w:rsidRPr="00D173CD">
              <w:rPr>
                <w:sz w:val="22"/>
                <w:szCs w:val="22"/>
                <w:lang w:val="hu-HU"/>
              </w:rPr>
              <w:t>ca</w:t>
            </w:r>
            <w:r w:rsidRPr="00D173CD">
              <w:rPr>
                <w:sz w:val="22"/>
                <w:szCs w:val="22"/>
                <w:lang w:val="hu-HU"/>
              </w:rPr>
              <w:t>ria</w:t>
            </w:r>
          </w:p>
        </w:tc>
      </w:tr>
      <w:tr w:rsidR="009548D9" w:rsidRPr="00D173CD" w14:paraId="44C5895E" w14:textId="77777777" w:rsidTr="000069F6"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D6DB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 xml:space="preserve">A nemi szervekkel és az emlőkkel kapcsolatos betegségek </w:t>
            </w:r>
            <w:r w:rsidRPr="00D173CD">
              <w:rPr>
                <w:sz w:val="22"/>
                <w:szCs w:val="22"/>
                <w:lang w:val="hu-HU"/>
              </w:rPr>
              <w:lastRenderedPageBreak/>
              <w:t>és tünetek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6608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E58C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impoten</w:t>
            </w:r>
            <w:r w:rsidR="0056703C" w:rsidRPr="00D173CD">
              <w:rPr>
                <w:sz w:val="22"/>
                <w:szCs w:val="22"/>
                <w:lang w:val="hu-HU"/>
              </w:rPr>
              <w:t>c</w:t>
            </w:r>
            <w:r w:rsidRPr="00D173CD">
              <w:rPr>
                <w:sz w:val="22"/>
                <w:szCs w:val="22"/>
                <w:lang w:val="hu-HU"/>
              </w:rPr>
              <w:t>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FEE2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E177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</w:tr>
      <w:tr w:rsidR="009548D9" w:rsidRPr="00D173CD" w14:paraId="333B1C4A" w14:textId="77777777" w:rsidTr="000069F6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ADA4" w14:textId="77777777" w:rsidR="00F52582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napToGrid/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>Általános tünetek, az alkalmazás helyén fellépő reakciók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6C41" w14:textId="77777777" w:rsidR="009548D9" w:rsidRPr="00D173CD" w:rsidRDefault="009548D9" w:rsidP="00D173CD">
            <w:pPr>
              <w:pStyle w:val="Style1"/>
              <w:tabs>
                <w:tab w:val="left" w:pos="567"/>
              </w:tabs>
              <w:adjustRightInd/>
              <w:rPr>
                <w:sz w:val="22"/>
                <w:szCs w:val="22"/>
                <w:lang w:val="hu-HU"/>
              </w:rPr>
            </w:pPr>
            <w:r w:rsidRPr="00D173CD">
              <w:rPr>
                <w:sz w:val="22"/>
                <w:szCs w:val="22"/>
                <w:lang w:val="hu-HU"/>
              </w:rPr>
              <w:t xml:space="preserve">fáradtság, </w:t>
            </w:r>
            <w:r w:rsidR="00FB66E6" w:rsidRPr="00D173CD">
              <w:rPr>
                <w:sz w:val="22"/>
                <w:szCs w:val="22"/>
                <w:lang w:val="hu-HU"/>
              </w:rPr>
              <w:t>ö</w:t>
            </w:r>
            <w:r w:rsidRPr="00D173CD">
              <w:rPr>
                <w:sz w:val="22"/>
                <w:szCs w:val="22"/>
                <w:lang w:val="hu-HU"/>
              </w:rPr>
              <w:t>d</w:t>
            </w:r>
            <w:r w:rsidR="00FB66E6" w:rsidRPr="00D173CD">
              <w:rPr>
                <w:sz w:val="22"/>
                <w:szCs w:val="22"/>
                <w:lang w:val="hu-HU"/>
              </w:rPr>
              <w:t>é</w:t>
            </w:r>
            <w:r w:rsidRPr="00D173CD">
              <w:rPr>
                <w:sz w:val="22"/>
                <w:szCs w:val="22"/>
                <w:lang w:val="hu-HU"/>
              </w:rPr>
              <w:t>ma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E73B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B8C0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49F6" w14:textId="77777777" w:rsidR="009548D9" w:rsidRPr="00D173CD" w:rsidRDefault="009548D9" w:rsidP="00D173CD">
            <w:pPr>
              <w:pStyle w:val="Style18"/>
              <w:tabs>
                <w:tab w:val="left" w:pos="567"/>
              </w:tabs>
              <w:adjustRightInd/>
              <w:rPr>
                <w:rStyle w:val="CharacterStyle1"/>
                <w:sz w:val="22"/>
                <w:szCs w:val="22"/>
                <w:lang w:val="hu-HU"/>
              </w:rPr>
            </w:pPr>
          </w:p>
        </w:tc>
      </w:tr>
    </w:tbl>
    <w:p w14:paraId="7DB90604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E28BE11" w14:textId="77777777" w:rsidR="009548D9" w:rsidRPr="00D173CD" w:rsidRDefault="00C51B61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Egyes </w:t>
      </w:r>
      <w:r w:rsidR="009548D9" w:rsidRPr="00D173CD">
        <w:rPr>
          <w:lang w:val="hu-HU"/>
        </w:rPr>
        <w:t>béta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="009548D9" w:rsidRPr="00D173CD">
        <w:rPr>
          <w:lang w:val="hu-HU"/>
        </w:rPr>
        <w:t>gonist</w:t>
      </w:r>
      <w:r w:rsidRPr="00D173CD">
        <w:rPr>
          <w:lang w:val="hu-HU"/>
        </w:rPr>
        <w:t>ák</w:t>
      </w:r>
      <w:r w:rsidR="009548D9" w:rsidRPr="00D173CD">
        <w:rPr>
          <w:lang w:val="hu-HU"/>
        </w:rPr>
        <w:t xml:space="preserve"> esetén az alábbi mellékhatásokról </w:t>
      </w:r>
      <w:r w:rsidRPr="00D173CD">
        <w:rPr>
          <w:lang w:val="hu-HU"/>
        </w:rPr>
        <w:t>is</w:t>
      </w:r>
      <w:r w:rsidR="009548D9" w:rsidRPr="00D173CD">
        <w:rPr>
          <w:lang w:val="hu-HU"/>
        </w:rPr>
        <w:t xml:space="preserve"> beszámoltak: hallucinációk, pszichózisok, zavartság, hideg/cyanoticus végtagok, Raynaud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jelenség, szem</w:t>
      </w:r>
      <w:r w:rsidR="00A76649" w:rsidRPr="00D173CD">
        <w:rPr>
          <w:lang w:val="hu-HU"/>
        </w:rPr>
        <w:t>szárazság</w:t>
      </w:r>
      <w:r w:rsidR="009548D9" w:rsidRPr="00D173CD">
        <w:rPr>
          <w:lang w:val="hu-HU"/>
        </w:rPr>
        <w:t>, valamint a praktolol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típusú oculo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mucocutan toxicitás.</w:t>
      </w:r>
    </w:p>
    <w:p w14:paraId="3C105A55" w14:textId="77777777" w:rsidR="0056703C" w:rsidRPr="00D173CD" w:rsidRDefault="0056703C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5A6645A5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>Krónikus szívelégtelenség</w:t>
      </w:r>
    </w:p>
    <w:p w14:paraId="208AB1D2" w14:textId="7E069F7B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krónikus szívelégtelenségben szenvedő betegeknél észlelt mellékhatásokkal kapcsolatos adatok egy placebokontrollos klinikai vizsgá</w:t>
      </w:r>
      <w:r w:rsidR="001C4CA6" w:rsidRPr="00D173CD">
        <w:rPr>
          <w:lang w:val="hu-HU"/>
        </w:rPr>
        <w:t>latból származnak, amelybe 1067</w:t>
      </w:r>
      <w:r w:rsidRPr="00D173CD">
        <w:rPr>
          <w:lang w:val="hu-HU"/>
        </w:rPr>
        <w:t xml:space="preserve"> nebivololt szedő és 1061 placebót szedő beteget vontak be. Ebben a vizsgálatban a nebivololt szedő betegek közül összesen 449 (42,1%) számolt be </w:t>
      </w:r>
      <w:r w:rsidR="00C51B61" w:rsidRPr="00D173CD">
        <w:rPr>
          <w:lang w:val="hu-HU"/>
        </w:rPr>
        <w:t xml:space="preserve">legalább esetlegesen </w:t>
      </w:r>
      <w:r w:rsidRPr="00D173CD">
        <w:rPr>
          <w:lang w:val="hu-HU"/>
        </w:rPr>
        <w:t>oki összefüggést mutató mellékhatásokról, a placebót kapó 334 (31,5%) beteggel szemben. A nebivolollal kezelt betegeknél a leggyakoribb mellékhatás</w:t>
      </w:r>
      <w:r w:rsidR="00A76649" w:rsidRPr="00D173CD">
        <w:rPr>
          <w:lang w:val="hu-HU"/>
        </w:rPr>
        <w:t>ok</w:t>
      </w:r>
      <w:r w:rsidRPr="00D173CD">
        <w:rPr>
          <w:lang w:val="hu-HU"/>
        </w:rPr>
        <w:t xml:space="preserve"> a bradycardia és a szédülés volt</w:t>
      </w:r>
      <w:r w:rsidR="00A76649" w:rsidRPr="00D173CD">
        <w:rPr>
          <w:lang w:val="hu-HU"/>
        </w:rPr>
        <w:t>ak</w:t>
      </w:r>
      <w:r w:rsidRPr="00D173CD">
        <w:rPr>
          <w:lang w:val="hu-HU"/>
        </w:rPr>
        <w:t>, mindkettő a betegek körülbelül 11%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ánál jelentkezett. Gyakoriságuk a placebót kapó betegek körében körülbelül 2% volt a bradycardia, illetve 7% a szédülés esetében.</w:t>
      </w:r>
    </w:p>
    <w:p w14:paraId="03D487D4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0B6B8EE2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következő </w:t>
      </w:r>
      <w:r w:rsidR="00C51B61" w:rsidRPr="00D173CD">
        <w:rPr>
          <w:lang w:val="hu-HU"/>
        </w:rPr>
        <w:t xml:space="preserve">előfordulási </w:t>
      </w:r>
      <w:r w:rsidRPr="00D173CD">
        <w:rPr>
          <w:lang w:val="hu-HU"/>
        </w:rPr>
        <w:t>gyakoriságokat jelentették azon (a gyógyszerrel legalább esetlegesen összefüggésben l</w:t>
      </w:r>
      <w:r w:rsidR="00C51B61" w:rsidRPr="00D173CD">
        <w:rPr>
          <w:lang w:val="hu-HU"/>
        </w:rPr>
        <w:t>e</w:t>
      </w:r>
      <w:r w:rsidRPr="00D173CD">
        <w:rPr>
          <w:lang w:val="hu-HU"/>
        </w:rPr>
        <w:t>vő) mellékhatások esetében, amelyeket a krónikus szívelégtelenség kezelése szempontjából különösen jelentősnek véltek:</w:t>
      </w:r>
    </w:p>
    <w:p w14:paraId="385536CA" w14:textId="77777777" w:rsidR="009548D9" w:rsidRPr="00D173CD" w:rsidRDefault="007C7E86" w:rsidP="00D173CD">
      <w:pPr>
        <w:pStyle w:val="Normlbehzs"/>
        <w:numPr>
          <w:ilvl w:val="0"/>
          <w:numId w:val="11"/>
        </w:numPr>
        <w:spacing w:after="0"/>
        <w:rPr>
          <w:lang w:val="hu-HU"/>
        </w:rPr>
      </w:pPr>
      <w:r w:rsidRPr="00D173CD">
        <w:rPr>
          <w:lang w:val="hu-HU"/>
        </w:rPr>
        <w:t>A</w:t>
      </w:r>
      <w:r w:rsidR="009548D9" w:rsidRPr="00D173CD">
        <w:rPr>
          <w:lang w:val="hu-HU"/>
        </w:rPr>
        <w:t xml:space="preserve"> szívelégtelenség súlyosbodása a nebivolollal kezelt betegek 5,8%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ánál jelentkezett, a placebót kapó betegek 5,2%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ával szemben.</w:t>
      </w:r>
    </w:p>
    <w:p w14:paraId="3823B02F" w14:textId="77777777" w:rsidR="009548D9" w:rsidRPr="00D173CD" w:rsidRDefault="007C7E86" w:rsidP="00D173CD">
      <w:pPr>
        <w:pStyle w:val="Normlbehzs"/>
        <w:numPr>
          <w:ilvl w:val="0"/>
          <w:numId w:val="11"/>
        </w:numPr>
        <w:spacing w:after="0"/>
        <w:rPr>
          <w:lang w:val="hu-HU"/>
        </w:rPr>
      </w:pPr>
      <w:r w:rsidRPr="00D173CD">
        <w:rPr>
          <w:lang w:val="hu-HU"/>
        </w:rPr>
        <w:t>P</w:t>
      </w:r>
      <w:r w:rsidR="009548D9" w:rsidRPr="00D173CD">
        <w:rPr>
          <w:lang w:val="hu-HU"/>
        </w:rPr>
        <w:t xml:space="preserve">osturalis </w:t>
      </w:r>
      <w:r w:rsidR="00DD18D0" w:rsidRPr="00D173CD">
        <w:rPr>
          <w:lang w:val="hu-HU"/>
        </w:rPr>
        <w:t>hypotoniá</w:t>
      </w:r>
      <w:r w:rsidR="009548D9" w:rsidRPr="00D173CD">
        <w:rPr>
          <w:lang w:val="hu-HU"/>
        </w:rPr>
        <w:t>t a nebivolollal kezelt betegek 2,1%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ánál jelentettek, a placebót kapó betegek 1,0%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ával szemben.</w:t>
      </w:r>
    </w:p>
    <w:p w14:paraId="4C2ADBE2" w14:textId="77777777" w:rsidR="009548D9" w:rsidRPr="00D173CD" w:rsidRDefault="007C7E86" w:rsidP="00D173CD">
      <w:pPr>
        <w:pStyle w:val="Normlbehzs"/>
        <w:numPr>
          <w:ilvl w:val="0"/>
          <w:numId w:val="11"/>
        </w:numPr>
        <w:spacing w:after="0"/>
        <w:rPr>
          <w:lang w:val="hu-HU"/>
        </w:rPr>
      </w:pPr>
      <w:r w:rsidRPr="00D173CD">
        <w:rPr>
          <w:lang w:val="hu-HU"/>
        </w:rPr>
        <w:t>G</w:t>
      </w:r>
      <w:r w:rsidR="009548D9" w:rsidRPr="00D173CD">
        <w:rPr>
          <w:lang w:val="hu-HU"/>
        </w:rPr>
        <w:t>yógyszer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intolerancia a nebivolollal kezelt betegek 1,6%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ánál jelentkezett, a placebót kapó betegek 0,8%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ával szemben.</w:t>
      </w:r>
    </w:p>
    <w:p w14:paraId="23423AA8" w14:textId="77777777" w:rsidR="009548D9" w:rsidRPr="00D173CD" w:rsidRDefault="007C7E86" w:rsidP="00D173CD">
      <w:pPr>
        <w:pStyle w:val="Normlbehzs"/>
        <w:numPr>
          <w:ilvl w:val="0"/>
          <w:numId w:val="11"/>
        </w:numPr>
        <w:spacing w:after="0"/>
        <w:rPr>
          <w:lang w:val="hu-HU"/>
        </w:rPr>
      </w:pPr>
      <w:r w:rsidRPr="00D173CD">
        <w:rPr>
          <w:lang w:val="hu-HU"/>
        </w:rPr>
        <w:t>E</w:t>
      </w:r>
      <w:r w:rsidR="009548D9" w:rsidRPr="00D173CD">
        <w:rPr>
          <w:lang w:val="hu-HU"/>
        </w:rPr>
        <w:t>lsőfokú atrioventricularis blokk a nebivolollal kezelt betegek 1,4%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ánál jelentkezett, a placebót kapó betegek 0,9%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ával szemben.</w:t>
      </w:r>
    </w:p>
    <w:p w14:paraId="3ED0F26F" w14:textId="77777777" w:rsidR="009548D9" w:rsidRPr="00D173CD" w:rsidRDefault="007C7E86" w:rsidP="00D173CD">
      <w:pPr>
        <w:pStyle w:val="Normlbehzs"/>
        <w:numPr>
          <w:ilvl w:val="0"/>
          <w:numId w:val="11"/>
        </w:numPr>
        <w:spacing w:after="0"/>
        <w:rPr>
          <w:lang w:val="hu-HU"/>
        </w:rPr>
      </w:pPr>
      <w:r w:rsidRPr="00D173CD">
        <w:rPr>
          <w:lang w:val="hu-HU"/>
        </w:rPr>
        <w:t>A</w:t>
      </w:r>
      <w:r w:rsidR="009548D9" w:rsidRPr="00D173CD">
        <w:rPr>
          <w:lang w:val="hu-HU"/>
        </w:rPr>
        <w:t xml:space="preserve">lsó végtagi </w:t>
      </w:r>
      <w:r w:rsidR="00FB66E6" w:rsidRPr="00D173CD">
        <w:rPr>
          <w:lang w:val="hu-HU"/>
        </w:rPr>
        <w:t>ö</w:t>
      </w:r>
      <w:r w:rsidR="009548D9" w:rsidRPr="00D173CD">
        <w:rPr>
          <w:lang w:val="hu-HU"/>
        </w:rPr>
        <w:t>d</w:t>
      </w:r>
      <w:r w:rsidR="00FB66E6" w:rsidRPr="00D173CD">
        <w:rPr>
          <w:lang w:val="hu-HU"/>
        </w:rPr>
        <w:t>é</w:t>
      </w:r>
      <w:r w:rsidR="009548D9" w:rsidRPr="00D173CD">
        <w:rPr>
          <w:lang w:val="hu-HU"/>
        </w:rPr>
        <w:t>mát a nebivolollal kezelt betegek 1,0%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ánál jelentettek, a placebót kapó betegek 0,2%</w:t>
      </w:r>
      <w:r w:rsidR="006841C5" w:rsidRPr="00D173CD">
        <w:rPr>
          <w:lang w:val="hu-HU"/>
        </w:rPr>
        <w:noBreakHyphen/>
      </w:r>
      <w:r w:rsidR="00794FFC" w:rsidRPr="00D173CD">
        <w:rPr>
          <w:lang w:val="hu-HU"/>
        </w:rPr>
        <w:t>ával szemben.</w:t>
      </w:r>
    </w:p>
    <w:p w14:paraId="70F15706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5A4850D" w14:textId="77777777" w:rsidR="00094362" w:rsidRPr="00D173CD" w:rsidRDefault="00094362" w:rsidP="00D173CD">
      <w:pPr>
        <w:pStyle w:val="Normlbehzs1"/>
        <w:spacing w:after="0"/>
        <w:ind w:left="0"/>
        <w:rPr>
          <w:u w:val="single"/>
          <w:lang w:val="hu-HU"/>
        </w:rPr>
      </w:pPr>
      <w:r w:rsidRPr="00D173CD">
        <w:rPr>
          <w:u w:val="single"/>
          <w:lang w:val="hu-HU"/>
        </w:rPr>
        <w:t>Feltételezett mellékhatások bejelentése</w:t>
      </w:r>
    </w:p>
    <w:p w14:paraId="351BC18A" w14:textId="77777777" w:rsidR="00094362" w:rsidRPr="00D173CD" w:rsidRDefault="00094362" w:rsidP="00D173CD">
      <w:pPr>
        <w:pStyle w:val="Normlbehzs1"/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gyógyszer engedélyezését követően lényeges a feltételezett mellékhatások bejelentése, mert ez fontos eszköze annak, hogy a gyógyszer előny/kockázat profilját folyamatosan figyelemmel lehessen kísérni. </w:t>
      </w:r>
    </w:p>
    <w:p w14:paraId="04DC8C53" w14:textId="77777777" w:rsidR="00094362" w:rsidRPr="00D173CD" w:rsidRDefault="00094362" w:rsidP="00D173CD">
      <w:pPr>
        <w:pStyle w:val="Normlbehzs1"/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Az egészségügyi szakembereket kérjük, hogy jelentsék be a feltételezett mellékhatásokat a hatóság részére az </w:t>
      </w:r>
      <w:hyperlink r:id="rId7" w:history="1">
        <w:r w:rsidRPr="00D173CD">
          <w:rPr>
            <w:rStyle w:val="Hiperhivatkozs"/>
            <w:lang w:val="hu-HU"/>
          </w:rPr>
          <w:t>V. függelékben</w:t>
        </w:r>
      </w:hyperlink>
      <w:r w:rsidR="00BF7068" w:rsidRPr="00D173CD">
        <w:rPr>
          <w:rStyle w:val="Hiperhivatkozs"/>
          <w:lang w:val="hu-HU"/>
        </w:rPr>
        <w:t xml:space="preserve"> </w:t>
      </w:r>
      <w:r w:rsidRPr="00D173CD">
        <w:rPr>
          <w:lang w:val="hu-HU"/>
        </w:rPr>
        <w:t>található elérhetőségek valamelyikén keresztül.</w:t>
      </w:r>
    </w:p>
    <w:p w14:paraId="1C0000AE" w14:textId="77777777" w:rsidR="00094362" w:rsidRPr="00D173CD" w:rsidRDefault="00094362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726D359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4.9</w:t>
      </w:r>
      <w:r w:rsidRPr="00D173CD">
        <w:rPr>
          <w:rFonts w:ascii="Times New Roman" w:hAnsi="Times New Roman" w:cs="Times New Roman"/>
        </w:rPr>
        <w:tab/>
        <w:t>Túladagolás</w:t>
      </w:r>
    </w:p>
    <w:p w14:paraId="3786E9C1" w14:textId="77777777" w:rsidR="006E2916" w:rsidRPr="00D173CD" w:rsidRDefault="006E2916" w:rsidP="00D173CD">
      <w:pPr>
        <w:pStyle w:val="Normlbehzs"/>
        <w:keepNext/>
        <w:tabs>
          <w:tab w:val="left" w:pos="567"/>
        </w:tabs>
        <w:spacing w:after="0"/>
        <w:ind w:left="0"/>
        <w:rPr>
          <w:lang w:val="hu-HU"/>
        </w:rPr>
      </w:pPr>
    </w:p>
    <w:p w14:paraId="4DC26495" w14:textId="77777777" w:rsidR="009548D9" w:rsidRPr="00D173CD" w:rsidRDefault="00C51B61" w:rsidP="00D173CD">
      <w:pPr>
        <w:pStyle w:val="Normlbehzs"/>
        <w:keepNext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Nincs adat a</w:t>
      </w:r>
      <w:r w:rsidR="009548D9" w:rsidRPr="00D173CD">
        <w:rPr>
          <w:lang w:val="hu-HU"/>
        </w:rPr>
        <w:t xml:space="preserve"> nebivolol túladagolásá</w:t>
      </w:r>
      <w:r w:rsidRPr="00D173CD">
        <w:rPr>
          <w:lang w:val="hu-HU"/>
        </w:rPr>
        <w:t>ra vonatkozóan</w:t>
      </w:r>
      <w:r w:rsidR="009548D9" w:rsidRPr="00D173CD">
        <w:rPr>
          <w:lang w:val="hu-HU"/>
        </w:rPr>
        <w:t>.</w:t>
      </w:r>
    </w:p>
    <w:p w14:paraId="35998F4E" w14:textId="77777777" w:rsidR="007C7E86" w:rsidRPr="00D173CD" w:rsidRDefault="007C7E8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F1B81BE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  <w:r w:rsidRPr="00D173CD">
        <w:rPr>
          <w:i/>
          <w:lang w:val="hu-HU"/>
        </w:rPr>
        <w:t>Tünetek</w:t>
      </w:r>
    </w:p>
    <w:p w14:paraId="3D4D5122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blokkolók túladagolásának tünetei: bradycardia, </w:t>
      </w:r>
      <w:r w:rsidR="00DD18D0" w:rsidRPr="00D173CD">
        <w:rPr>
          <w:lang w:val="hu-HU"/>
        </w:rPr>
        <w:t>hypotonia</w:t>
      </w:r>
      <w:r w:rsidRPr="00D173CD">
        <w:rPr>
          <w:lang w:val="hu-HU"/>
        </w:rPr>
        <w:t>, bronchospasmus és akut szívelégtelenség.</w:t>
      </w:r>
    </w:p>
    <w:p w14:paraId="5A2E4989" w14:textId="77777777" w:rsidR="007C7E86" w:rsidRPr="00D173CD" w:rsidRDefault="007C7E8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CC7F1D9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i/>
          <w:lang w:val="hu-HU"/>
        </w:rPr>
      </w:pPr>
      <w:r w:rsidRPr="00D173CD">
        <w:rPr>
          <w:i/>
          <w:lang w:val="hu-HU"/>
        </w:rPr>
        <w:t>Kezelés</w:t>
      </w:r>
    </w:p>
    <w:p w14:paraId="5D95ECF1" w14:textId="17E55ED1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Túladagolás vagy túlérzékenység esetén a beteget szoros megfigyelés alatt kell tartani, és intenzív osztályon kell kezelni. A vércukorszintet ellenőrizni kell. A tápcsatornában </w:t>
      </w:r>
      <w:r w:rsidR="007C7E86" w:rsidRPr="00D173CD">
        <w:rPr>
          <w:lang w:val="hu-HU"/>
        </w:rPr>
        <w:t>még jelen</w:t>
      </w:r>
      <w:r w:rsidR="0016680D" w:rsidRPr="00D173CD">
        <w:rPr>
          <w:lang w:val="hu-HU"/>
        </w:rPr>
        <w:t xml:space="preserve"> </w:t>
      </w:r>
      <w:r w:rsidR="00614529" w:rsidRPr="00D173CD">
        <w:rPr>
          <w:lang w:val="hu-HU"/>
        </w:rPr>
        <w:t>l</w:t>
      </w:r>
      <w:r w:rsidR="007C7E86" w:rsidRPr="00D173CD">
        <w:rPr>
          <w:lang w:val="hu-HU"/>
        </w:rPr>
        <w:t>é</w:t>
      </w:r>
      <w:r w:rsidR="00614529" w:rsidRPr="00D173CD">
        <w:rPr>
          <w:lang w:val="hu-HU"/>
        </w:rPr>
        <w:t>vő</w:t>
      </w:r>
      <w:r w:rsidRPr="00D173CD">
        <w:rPr>
          <w:lang w:val="hu-HU"/>
        </w:rPr>
        <w:t xml:space="preserve"> bármilyen gyógyszermaradvány felszívódása gyomormosással, aktív </w:t>
      </w:r>
      <w:r w:rsidR="00C51B61" w:rsidRPr="00D173CD">
        <w:rPr>
          <w:lang w:val="hu-HU"/>
        </w:rPr>
        <w:t xml:space="preserve">orvosi </w:t>
      </w:r>
      <w:r w:rsidRPr="00D173CD">
        <w:rPr>
          <w:lang w:val="hu-HU"/>
        </w:rPr>
        <w:t xml:space="preserve">szén és hashajtó adásával előzhető meg. Mesterséges lélegeztetés </w:t>
      </w:r>
      <w:r w:rsidR="00C51B61" w:rsidRPr="00D173CD">
        <w:rPr>
          <w:lang w:val="hu-HU"/>
        </w:rPr>
        <w:t>válhat szükségessé</w:t>
      </w:r>
      <w:r w:rsidRPr="00D173CD">
        <w:rPr>
          <w:lang w:val="hu-HU"/>
        </w:rPr>
        <w:t>. A bradycardiát vagy a fokozott vagus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reakciókat atropin vagy metilatropin adásával kell kezelni. A </w:t>
      </w:r>
      <w:r w:rsidR="00DD18D0" w:rsidRPr="00D173CD">
        <w:rPr>
          <w:lang w:val="hu-HU"/>
        </w:rPr>
        <w:t>hypotoniá</w:t>
      </w:r>
      <w:r w:rsidRPr="00D173CD">
        <w:rPr>
          <w:lang w:val="hu-HU"/>
        </w:rPr>
        <w:t>t és a so</w:t>
      </w:r>
      <w:r w:rsidR="00975B37">
        <w:rPr>
          <w:lang w:val="hu-HU"/>
        </w:rPr>
        <w:t>k</w:t>
      </w:r>
      <w:r w:rsidRPr="00D173CD">
        <w:rPr>
          <w:lang w:val="hu-HU"/>
        </w:rPr>
        <w:t>kot plazma, illetve plazmapótszerek, és szükség esetén katekolaminok adásával kell kezelni. A béta</w:t>
      </w:r>
      <w:r w:rsidR="00794FFC" w:rsidRPr="00D173CD">
        <w:rPr>
          <w:lang w:val="hu-HU"/>
        </w:rPr>
        <w:noBreakHyphen/>
      </w:r>
      <w:r w:rsidR="00DE6F9B" w:rsidRPr="00D173CD">
        <w:rPr>
          <w:lang w:val="hu-HU"/>
        </w:rPr>
        <w:t>blokkoló hatás körülbelül 5 </w:t>
      </w:r>
      <w:r w:rsidR="00DD18D0" w:rsidRPr="00D173CD">
        <w:rPr>
          <w:lang w:val="hu-HU"/>
        </w:rPr>
        <w:t>mikrogramm</w:t>
      </w:r>
      <w:r w:rsidRPr="00D173CD">
        <w:rPr>
          <w:lang w:val="hu-HU"/>
        </w:rPr>
        <w:t xml:space="preserve">/perc kezdő </w:t>
      </w:r>
      <w:r w:rsidR="00001BD5" w:rsidRPr="00D173CD">
        <w:rPr>
          <w:lang w:val="hu-HU"/>
        </w:rPr>
        <w:t>dózis</w:t>
      </w:r>
      <w:r w:rsidRPr="00D173CD">
        <w:rPr>
          <w:lang w:val="hu-HU"/>
        </w:rPr>
        <w:t>ban adott izoprenalin</w:t>
      </w:r>
      <w:r w:rsidR="00794FFC" w:rsidRPr="00D173CD">
        <w:rPr>
          <w:lang w:val="hu-HU"/>
        </w:rPr>
        <w:noBreakHyphen/>
      </w:r>
      <w:r w:rsidR="00DE6F9B" w:rsidRPr="00D173CD">
        <w:rPr>
          <w:lang w:val="hu-HU"/>
        </w:rPr>
        <w:t>hidroklorid vagy 2,5 </w:t>
      </w:r>
      <w:r w:rsidR="00DD18D0" w:rsidRPr="00D173CD">
        <w:rPr>
          <w:lang w:val="hu-HU"/>
        </w:rPr>
        <w:t>mikrogramm</w:t>
      </w:r>
      <w:r w:rsidRPr="00D173CD">
        <w:rPr>
          <w:lang w:val="hu-HU"/>
        </w:rPr>
        <w:t xml:space="preserve">/perc kezdő adagban adott dobutamin lassú, intravénás, a kívánt hatás eléréséig tartó </w:t>
      </w:r>
      <w:r w:rsidRPr="00D173CD">
        <w:rPr>
          <w:lang w:val="hu-HU"/>
        </w:rPr>
        <w:lastRenderedPageBreak/>
        <w:t>adásával közömbösíthető. Refrakter esetekben az izoprenalin dopaminnal kombinálható. Ha a kívánt hatás ezzel sem érhető el, 50</w:t>
      </w:r>
      <w:r w:rsidR="00794FFC" w:rsidRPr="00D173CD">
        <w:rPr>
          <w:lang w:val="hu-HU"/>
        </w:rPr>
        <w:noBreakHyphen/>
      </w:r>
      <w:r w:rsidR="00DE6F9B" w:rsidRPr="00D173CD">
        <w:rPr>
          <w:lang w:val="hu-HU"/>
        </w:rPr>
        <w:t>100 </w:t>
      </w:r>
      <w:r w:rsidR="00DD18D0" w:rsidRPr="00D173CD">
        <w:rPr>
          <w:lang w:val="hu-HU"/>
        </w:rPr>
        <w:t>mikrogramm</w:t>
      </w:r>
      <w:r w:rsidR="001C4CA6" w:rsidRPr="00D173CD">
        <w:rPr>
          <w:lang w:val="hu-HU"/>
        </w:rPr>
        <w:t>/</w:t>
      </w:r>
      <w:r w:rsidRPr="00D173CD">
        <w:rPr>
          <w:lang w:val="hu-HU"/>
        </w:rPr>
        <w:t>kg gl</w:t>
      </w:r>
      <w:r w:rsidR="00EA49A8" w:rsidRPr="00D173CD">
        <w:rPr>
          <w:lang w:val="hu-HU"/>
        </w:rPr>
        <w:t>ü</w:t>
      </w:r>
      <w:r w:rsidRPr="00D173CD">
        <w:rPr>
          <w:lang w:val="hu-HU"/>
        </w:rPr>
        <w:t xml:space="preserve">kagon intravénás alkalmazása mérlegelhető. Szükség esetén az injekciót egy órán belül meg </w:t>
      </w:r>
      <w:r w:rsidR="00001BD5" w:rsidRPr="00D173CD">
        <w:rPr>
          <w:lang w:val="hu-HU"/>
        </w:rPr>
        <w:t>lehet</w:t>
      </w:r>
      <w:r w:rsidR="001C4CA6" w:rsidRPr="00D173CD">
        <w:rPr>
          <w:lang w:val="hu-HU"/>
        </w:rPr>
        <w:t xml:space="preserve"> ismételni, amit </w:t>
      </w:r>
      <w:r w:rsidR="00C51B61" w:rsidRPr="00D173CD">
        <w:rPr>
          <w:lang w:val="hu-HU"/>
        </w:rPr>
        <w:t>–</w:t>
      </w:r>
      <w:r w:rsidR="00332220" w:rsidRPr="00D173CD">
        <w:rPr>
          <w:lang w:val="hu-HU"/>
        </w:rPr>
        <w:t xml:space="preserve"> </w:t>
      </w:r>
      <w:r w:rsidR="00001BD5" w:rsidRPr="00D173CD">
        <w:rPr>
          <w:lang w:val="hu-HU"/>
        </w:rPr>
        <w:t>ha kell</w:t>
      </w:r>
      <w:r w:rsidR="00332220" w:rsidRPr="00D173CD">
        <w:rPr>
          <w:lang w:val="hu-HU"/>
        </w:rPr>
        <w:t xml:space="preserve"> </w:t>
      </w:r>
      <w:r w:rsidR="00C51B61" w:rsidRPr="00D173CD">
        <w:rPr>
          <w:lang w:val="hu-HU"/>
        </w:rPr>
        <w:t>–</w:t>
      </w:r>
      <w:r w:rsidR="001C4CA6" w:rsidRPr="00D173CD">
        <w:rPr>
          <w:lang w:val="hu-HU"/>
        </w:rPr>
        <w:t xml:space="preserve"> </w:t>
      </w:r>
      <w:r w:rsidR="00DE6F9B" w:rsidRPr="00D173CD">
        <w:rPr>
          <w:lang w:val="hu-HU"/>
        </w:rPr>
        <w:t>70 </w:t>
      </w:r>
      <w:r w:rsidR="00DD18D0" w:rsidRPr="00D173CD">
        <w:rPr>
          <w:lang w:val="hu-HU"/>
        </w:rPr>
        <w:t>mikrogramm</w:t>
      </w:r>
      <w:r w:rsidR="001C4CA6" w:rsidRPr="00D173CD">
        <w:rPr>
          <w:lang w:val="hu-HU"/>
        </w:rPr>
        <w:t>/</w:t>
      </w:r>
      <w:r w:rsidRPr="00D173CD">
        <w:rPr>
          <w:lang w:val="hu-HU"/>
        </w:rPr>
        <w:t>kg/óra adagban adott gl</w:t>
      </w:r>
      <w:r w:rsidR="00EA49A8" w:rsidRPr="00D173CD">
        <w:rPr>
          <w:lang w:val="hu-HU"/>
        </w:rPr>
        <w:t>ü</w:t>
      </w:r>
      <w:r w:rsidRPr="00D173CD">
        <w:rPr>
          <w:lang w:val="hu-HU"/>
        </w:rPr>
        <w:t>kagon intravénás infúziója követ</w:t>
      </w:r>
      <w:r w:rsidR="00C51B61" w:rsidRPr="00D173CD">
        <w:rPr>
          <w:lang w:val="hu-HU"/>
        </w:rPr>
        <w:t>het</w:t>
      </w:r>
      <w:r w:rsidRPr="00D173CD">
        <w:rPr>
          <w:lang w:val="hu-HU"/>
        </w:rPr>
        <w:t>. Terápiarezisztens bradycardia extrém eseteiben pacemakert lehet behelyezni.</w:t>
      </w:r>
    </w:p>
    <w:p w14:paraId="5BAFD4F5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03899B11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10E8968" w14:textId="77777777" w:rsidR="009548D9" w:rsidRPr="00D173CD" w:rsidRDefault="009548D9" w:rsidP="00D173CD">
      <w:pPr>
        <w:pStyle w:val="Cmsor1"/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sz w:val="22"/>
          <w:szCs w:val="22"/>
          <w:lang w:val="hu-HU"/>
        </w:rPr>
      </w:pP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5</w:t>
      </w:r>
      <w:r w:rsidR="006E2916"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.</w:t>
      </w: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ab/>
        <w:t>FARMAKOLÓGIAI TULAJDONSÁGOK</w:t>
      </w:r>
    </w:p>
    <w:p w14:paraId="35BA3765" w14:textId="77777777" w:rsidR="006E2916" w:rsidRPr="00D173CD" w:rsidRDefault="006E2916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</w:p>
    <w:p w14:paraId="43EBE4A6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5.1</w:t>
      </w:r>
      <w:r w:rsidRPr="00D173CD">
        <w:rPr>
          <w:rFonts w:ascii="Times New Roman" w:hAnsi="Times New Roman" w:cs="Times New Roman"/>
        </w:rPr>
        <w:tab/>
        <w:t>Farmakodinámiás tulajdonságok</w:t>
      </w:r>
    </w:p>
    <w:p w14:paraId="4BAF8EAB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9011236" w14:textId="77777777" w:rsidR="009548D9" w:rsidRPr="00D173CD" w:rsidRDefault="00332220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Farmakoterápiás csoport: s</w:t>
      </w:r>
      <w:r w:rsidR="009548D9" w:rsidRPr="00D173CD">
        <w:rPr>
          <w:lang w:val="hu-HU"/>
        </w:rPr>
        <w:t>zelektív béta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receptor blokkolók. ATC</w:t>
      </w:r>
      <w:r w:rsidR="0016680D" w:rsidRPr="00D173CD">
        <w:rPr>
          <w:lang w:val="hu-HU"/>
        </w:rPr>
        <w:t> </w:t>
      </w:r>
      <w:r w:rsidR="009548D9" w:rsidRPr="00D173CD">
        <w:rPr>
          <w:lang w:val="hu-HU"/>
        </w:rPr>
        <w:t>kód: C07A</w:t>
      </w:r>
      <w:r w:rsidR="0016680D" w:rsidRPr="00D173CD">
        <w:rPr>
          <w:lang w:val="hu-HU"/>
        </w:rPr>
        <w:t> </w:t>
      </w:r>
      <w:r w:rsidR="009548D9" w:rsidRPr="00D173CD">
        <w:rPr>
          <w:lang w:val="hu-HU"/>
        </w:rPr>
        <w:t>B12</w:t>
      </w:r>
    </w:p>
    <w:p w14:paraId="29245E29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33D1BBD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nebivolol két enantiomer</w:t>
      </w:r>
      <w:r w:rsidR="00C51B61" w:rsidRPr="00D173CD">
        <w:rPr>
          <w:lang w:val="hu-HU"/>
        </w:rPr>
        <w:t>, az SRRR</w:t>
      </w:r>
      <w:r w:rsidR="00794FFC" w:rsidRPr="00D173CD">
        <w:rPr>
          <w:lang w:val="hu-HU"/>
        </w:rPr>
        <w:noBreakHyphen/>
      </w:r>
      <w:r w:rsidR="00C51B61" w:rsidRPr="00D173CD">
        <w:rPr>
          <w:lang w:val="hu-HU"/>
        </w:rPr>
        <w:t>nebivolol (vagy d</w:t>
      </w:r>
      <w:r w:rsidR="00794FFC" w:rsidRPr="00D173CD">
        <w:rPr>
          <w:lang w:val="hu-HU"/>
        </w:rPr>
        <w:noBreakHyphen/>
      </w:r>
      <w:r w:rsidR="00C51B61" w:rsidRPr="00D173CD">
        <w:rPr>
          <w:lang w:val="hu-HU"/>
        </w:rPr>
        <w:t>nebivolol) és az RSSS</w:t>
      </w:r>
      <w:r w:rsidR="00794FFC" w:rsidRPr="00D173CD">
        <w:rPr>
          <w:lang w:val="hu-HU"/>
        </w:rPr>
        <w:noBreakHyphen/>
      </w:r>
      <w:r w:rsidR="00C51B61" w:rsidRPr="00D173CD">
        <w:rPr>
          <w:lang w:val="hu-HU"/>
        </w:rPr>
        <w:t>nebivolol</w:t>
      </w:r>
      <w:r w:rsidR="00F7434C" w:rsidRPr="00D173CD">
        <w:rPr>
          <w:lang w:val="hu-HU"/>
        </w:rPr>
        <w:t xml:space="preserve"> </w:t>
      </w:r>
      <w:r w:rsidR="00C51B61" w:rsidRPr="00D173CD">
        <w:rPr>
          <w:lang w:val="hu-HU"/>
        </w:rPr>
        <w:t>(vagy l</w:t>
      </w:r>
      <w:r w:rsidR="00794FFC" w:rsidRPr="00D173CD">
        <w:rPr>
          <w:lang w:val="hu-HU"/>
        </w:rPr>
        <w:noBreakHyphen/>
      </w:r>
      <w:r w:rsidR="00C51B61" w:rsidRPr="00D173CD">
        <w:rPr>
          <w:lang w:val="hu-HU"/>
        </w:rPr>
        <w:t xml:space="preserve">nebivolol) </w:t>
      </w:r>
      <w:r w:rsidRPr="00D173CD">
        <w:rPr>
          <w:lang w:val="hu-HU"/>
        </w:rPr>
        <w:t xml:space="preserve">racém </w:t>
      </w:r>
      <w:r w:rsidR="00C51B61" w:rsidRPr="00D173CD">
        <w:rPr>
          <w:lang w:val="hu-HU"/>
        </w:rPr>
        <w:t>elegye</w:t>
      </w:r>
      <w:r w:rsidRPr="00D173CD">
        <w:rPr>
          <w:lang w:val="hu-HU"/>
        </w:rPr>
        <w:t>.</w:t>
      </w:r>
      <w:r w:rsidR="0063406C" w:rsidRPr="00D173CD">
        <w:rPr>
          <w:lang w:val="hu-HU"/>
        </w:rPr>
        <w:t xml:space="preserve"> </w:t>
      </w:r>
      <w:r w:rsidRPr="00D173CD">
        <w:rPr>
          <w:lang w:val="hu-HU"/>
        </w:rPr>
        <w:t>Két</w:t>
      </w:r>
      <w:r w:rsidR="00C51B61" w:rsidRPr="00D173CD">
        <w:rPr>
          <w:lang w:val="hu-HU"/>
        </w:rPr>
        <w:t xml:space="preserve"> </w:t>
      </w:r>
      <w:r w:rsidRPr="00D173CD">
        <w:rPr>
          <w:lang w:val="hu-HU"/>
        </w:rPr>
        <w:t xml:space="preserve">farmakológiai </w:t>
      </w:r>
      <w:r w:rsidR="00C51B61" w:rsidRPr="00D173CD">
        <w:rPr>
          <w:lang w:val="hu-HU"/>
        </w:rPr>
        <w:t>hatása van</w:t>
      </w:r>
      <w:r w:rsidRPr="00D173CD">
        <w:rPr>
          <w:lang w:val="hu-HU"/>
        </w:rPr>
        <w:t>:</w:t>
      </w:r>
    </w:p>
    <w:p w14:paraId="0A5E217E" w14:textId="77777777" w:rsidR="009548D9" w:rsidRPr="00D173CD" w:rsidRDefault="009548D9" w:rsidP="00D173CD">
      <w:pPr>
        <w:pStyle w:val="Normlbehzs"/>
        <w:numPr>
          <w:ilvl w:val="0"/>
          <w:numId w:val="13"/>
        </w:numPr>
        <w:spacing w:after="0"/>
        <w:rPr>
          <w:lang w:val="hu-HU"/>
        </w:rPr>
      </w:pPr>
      <w:r w:rsidRPr="00D173CD">
        <w:rPr>
          <w:lang w:val="hu-HU"/>
        </w:rPr>
        <w:t>Kompetitív és szelektív béta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receptor</w:t>
      </w:r>
      <w:r w:rsidR="00DD62B5" w:rsidRPr="00D173CD">
        <w:rPr>
          <w:lang w:val="hu-HU"/>
        </w:rPr>
        <w:t>-</w:t>
      </w:r>
      <w:r w:rsidRPr="00D173CD">
        <w:rPr>
          <w:lang w:val="hu-HU"/>
        </w:rPr>
        <w:t>antagonista: ez a hatás az SRRR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enantiomernek (d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enantiomer) tulajdonítható.</w:t>
      </w:r>
    </w:p>
    <w:p w14:paraId="58378DC1" w14:textId="77777777" w:rsidR="009548D9" w:rsidRPr="00D173CD" w:rsidRDefault="008210CB" w:rsidP="00D173CD">
      <w:pPr>
        <w:pStyle w:val="Normlbehzs"/>
        <w:numPr>
          <w:ilvl w:val="0"/>
          <w:numId w:val="13"/>
        </w:numPr>
        <w:spacing w:after="0"/>
        <w:rPr>
          <w:lang w:val="hu-HU"/>
        </w:rPr>
      </w:pPr>
      <w:r w:rsidRPr="00D173CD">
        <w:rPr>
          <w:lang w:val="hu-HU"/>
        </w:rPr>
        <w:t>Enyhe értágító tulajdonsággal bír</w:t>
      </w:r>
      <w:r w:rsidRPr="00D173CD" w:rsidDel="008210CB">
        <w:rPr>
          <w:lang w:val="hu-HU"/>
        </w:rPr>
        <w:t xml:space="preserve"> </w:t>
      </w:r>
      <w:r w:rsidRPr="00D173CD">
        <w:rPr>
          <w:lang w:val="hu-HU"/>
        </w:rPr>
        <w:t>a</w:t>
      </w:r>
      <w:r w:rsidR="009548D9" w:rsidRPr="00D173CD">
        <w:rPr>
          <w:lang w:val="hu-HU"/>
        </w:rPr>
        <w:t>z L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arginin/nitrogén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oxid anyagcsere útvonalra gyakorolt hatása következtében.</w:t>
      </w:r>
    </w:p>
    <w:p w14:paraId="6645FAAE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5AECFB0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nebivolol egyszeri és ismételt adagjai mind nyugalomban, mind terhelés alatt csökkentik a </w:t>
      </w:r>
      <w:r w:rsidR="00C51B61" w:rsidRPr="00D173CD">
        <w:rPr>
          <w:lang w:val="hu-HU"/>
        </w:rPr>
        <w:t xml:space="preserve">szívfrekvenciát </w:t>
      </w:r>
      <w:r w:rsidRPr="00D173CD">
        <w:rPr>
          <w:lang w:val="hu-HU"/>
        </w:rPr>
        <w:t xml:space="preserve">és a vérnyomást, normotenziós egyéneknél és </w:t>
      </w:r>
      <w:r w:rsidR="006841C5" w:rsidRPr="00D173CD">
        <w:rPr>
          <w:lang w:val="hu-HU"/>
        </w:rPr>
        <w:t>hypertoniás</w:t>
      </w:r>
      <w:r w:rsidRPr="00D173CD">
        <w:rPr>
          <w:lang w:val="hu-HU"/>
        </w:rPr>
        <w:t xml:space="preserve"> betegeknél egyaránt.</w:t>
      </w:r>
      <w:r w:rsidR="0063406C" w:rsidRPr="00D173CD">
        <w:rPr>
          <w:lang w:val="hu-HU"/>
        </w:rPr>
        <w:t xml:space="preserve"> </w:t>
      </w:r>
      <w:r w:rsidRPr="00D173CD">
        <w:rPr>
          <w:lang w:val="hu-HU"/>
        </w:rPr>
        <w:t xml:space="preserve">Az antihipertenzív hatás krónikus kezelés alatt </w:t>
      </w:r>
      <w:r w:rsidR="002D5B4E" w:rsidRPr="00D173CD">
        <w:rPr>
          <w:lang w:val="hu-HU"/>
        </w:rPr>
        <w:t>végig</w:t>
      </w:r>
      <w:r w:rsidRPr="00D173CD">
        <w:rPr>
          <w:lang w:val="hu-HU"/>
        </w:rPr>
        <w:t xml:space="preserve"> megmarad.</w:t>
      </w:r>
    </w:p>
    <w:p w14:paraId="3E624AAF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BD7FACF" w14:textId="77777777" w:rsidR="009548D9" w:rsidRPr="00D173CD" w:rsidRDefault="00C51B61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Terápiás adagokban a</w:t>
      </w:r>
      <w:r w:rsidR="009548D9" w:rsidRPr="00D173CD">
        <w:rPr>
          <w:lang w:val="hu-HU"/>
        </w:rPr>
        <w:t xml:space="preserve"> nebivololnak nincs alfa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adren</w:t>
      </w:r>
      <w:r w:rsidR="00E72563" w:rsidRPr="00D173CD">
        <w:rPr>
          <w:lang w:val="hu-HU"/>
        </w:rPr>
        <w:t>erg-anta</w:t>
      </w:r>
      <w:r w:rsidR="009548D9" w:rsidRPr="00D173CD">
        <w:rPr>
          <w:lang w:val="hu-HU"/>
        </w:rPr>
        <w:t>gonista hatása.</w:t>
      </w:r>
    </w:p>
    <w:p w14:paraId="07BDABDF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1277473B" w14:textId="77777777" w:rsidR="009548D9" w:rsidRPr="00D173CD" w:rsidRDefault="006841C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Hypertoniás</w:t>
      </w:r>
      <w:r w:rsidR="009548D9" w:rsidRPr="00D173CD">
        <w:rPr>
          <w:lang w:val="hu-HU"/>
        </w:rPr>
        <w:t xml:space="preserve"> betegek </w:t>
      </w:r>
      <w:r w:rsidR="00C51B61" w:rsidRPr="00D173CD">
        <w:rPr>
          <w:lang w:val="hu-HU"/>
        </w:rPr>
        <w:t xml:space="preserve">nebivolollal történő </w:t>
      </w:r>
      <w:r w:rsidR="009548D9" w:rsidRPr="00D173CD">
        <w:rPr>
          <w:lang w:val="hu-HU"/>
        </w:rPr>
        <w:t>akut és krónikus</w:t>
      </w:r>
      <w:r w:rsidR="00C51B61" w:rsidRPr="00D173CD">
        <w:rPr>
          <w:lang w:val="hu-HU"/>
        </w:rPr>
        <w:t xml:space="preserve"> kezelése</w:t>
      </w:r>
      <w:r w:rsidR="009548D9" w:rsidRPr="00D173CD">
        <w:rPr>
          <w:lang w:val="hu-HU"/>
        </w:rPr>
        <w:t xml:space="preserve"> alatt a szisztémás vascularis rezisztencia csökken. A </w:t>
      </w:r>
      <w:r w:rsidR="00C51B61" w:rsidRPr="00D173CD">
        <w:rPr>
          <w:lang w:val="hu-HU"/>
        </w:rPr>
        <w:t xml:space="preserve">szívfrekvencia </w:t>
      </w:r>
      <w:r w:rsidR="009548D9" w:rsidRPr="00D173CD">
        <w:rPr>
          <w:lang w:val="hu-HU"/>
        </w:rPr>
        <w:t xml:space="preserve">csökkenése ellenére nyugalomban és </w:t>
      </w:r>
      <w:r w:rsidR="00C51B61" w:rsidRPr="00D173CD">
        <w:rPr>
          <w:lang w:val="hu-HU"/>
        </w:rPr>
        <w:t xml:space="preserve">fizikai terhelés </w:t>
      </w:r>
      <w:r w:rsidR="009548D9" w:rsidRPr="00D173CD">
        <w:rPr>
          <w:lang w:val="hu-HU"/>
        </w:rPr>
        <w:t>alatt a perctérfogat csökkenése korlátozott mértékű lehet, a pulzustérfogat növekedés</w:t>
      </w:r>
      <w:r w:rsidR="00BE03B0" w:rsidRPr="00D173CD">
        <w:rPr>
          <w:lang w:val="hu-HU"/>
        </w:rPr>
        <w:t>én</w:t>
      </w:r>
      <w:r w:rsidR="009548D9" w:rsidRPr="00D173CD">
        <w:rPr>
          <w:lang w:val="hu-HU"/>
        </w:rPr>
        <w:t>e</w:t>
      </w:r>
      <w:r w:rsidR="00BE03B0" w:rsidRPr="00D173CD">
        <w:rPr>
          <w:lang w:val="hu-HU"/>
        </w:rPr>
        <w:t>k</w:t>
      </w:r>
      <w:r w:rsidR="009548D9" w:rsidRPr="00D173CD">
        <w:rPr>
          <w:lang w:val="hu-HU"/>
        </w:rPr>
        <w:t xml:space="preserve"> </w:t>
      </w:r>
      <w:r w:rsidR="00BE03B0" w:rsidRPr="00D173CD">
        <w:rPr>
          <w:lang w:val="hu-HU"/>
        </w:rPr>
        <w:t>köszönhetően</w:t>
      </w:r>
      <w:r w:rsidR="009548D9" w:rsidRPr="00D173CD">
        <w:rPr>
          <w:lang w:val="hu-HU"/>
        </w:rPr>
        <w:t xml:space="preserve">. Ezeknek az egyéb </w:t>
      </w:r>
      <w:r w:rsidR="00DD18D0" w:rsidRPr="00D173CD">
        <w:rPr>
          <w:lang w:val="hu-HU"/>
        </w:rPr>
        <w:t>béta</w:t>
      </w:r>
      <w:r w:rsidR="00E86C8B" w:rsidRPr="00D173CD">
        <w:rPr>
          <w:b/>
          <w:vertAlign w:val="subscript"/>
          <w:lang w:val="hu-HU"/>
        </w:rPr>
        <w:t>1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receptor</w:t>
      </w:r>
      <w:r w:rsidR="005940C5" w:rsidRPr="00D173CD">
        <w:rPr>
          <w:lang w:val="hu-HU"/>
        </w:rPr>
        <w:t>-</w:t>
      </w:r>
      <w:r w:rsidR="009548D9" w:rsidRPr="00D173CD">
        <w:rPr>
          <w:lang w:val="hu-HU"/>
        </w:rPr>
        <w:t>antagonistáktól eltérő hemodinamikai hatásoknak a klinikai jelentősége még nem teljesen tisztázott.</w:t>
      </w:r>
    </w:p>
    <w:p w14:paraId="04F46546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EDDE2CE" w14:textId="77777777" w:rsidR="009548D9" w:rsidRPr="00D173CD" w:rsidRDefault="006841C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Hypertoniás </w:t>
      </w:r>
      <w:r w:rsidR="009548D9" w:rsidRPr="00D173CD">
        <w:rPr>
          <w:lang w:val="hu-HU"/>
        </w:rPr>
        <w:t>betegekben a nebivolol fokozza az acetilkolinra (ACh) adott, NO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mediált, endothel</w:t>
      </w:r>
      <w:r w:rsidR="00E936A2" w:rsidRPr="00D173CD">
        <w:rPr>
          <w:lang w:val="hu-HU"/>
        </w:rPr>
        <w:noBreakHyphen/>
      </w:r>
      <w:r w:rsidR="009548D9" w:rsidRPr="00D173CD">
        <w:rPr>
          <w:lang w:val="hu-HU"/>
        </w:rPr>
        <w:t>d</w:t>
      </w:r>
      <w:r w:rsidR="00E936A2" w:rsidRPr="00D173CD">
        <w:rPr>
          <w:lang w:val="hu-HU"/>
        </w:rPr>
        <w:t>isz</w:t>
      </w:r>
      <w:r w:rsidR="009548D9" w:rsidRPr="00D173CD">
        <w:rPr>
          <w:lang w:val="hu-HU"/>
        </w:rPr>
        <w:t>fun</w:t>
      </w:r>
      <w:r w:rsidR="00E936A2" w:rsidRPr="00D173CD">
        <w:rPr>
          <w:lang w:val="hu-HU"/>
        </w:rPr>
        <w:t>k</w:t>
      </w:r>
      <w:r w:rsidR="009548D9" w:rsidRPr="00D173CD">
        <w:rPr>
          <w:lang w:val="hu-HU"/>
        </w:rPr>
        <w:t>ci</w:t>
      </w:r>
      <w:r w:rsidR="00E04A35" w:rsidRPr="00D173CD">
        <w:rPr>
          <w:lang w:val="hu-HU"/>
        </w:rPr>
        <w:t>ós</w:t>
      </w:r>
      <w:r w:rsidR="009548D9" w:rsidRPr="00D173CD">
        <w:rPr>
          <w:lang w:val="hu-HU"/>
        </w:rPr>
        <w:t xml:space="preserve"> betegekben csökkent vascularis választ.</w:t>
      </w:r>
    </w:p>
    <w:p w14:paraId="1152D168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1382AB8" w14:textId="414E9DD2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Egy morbiditás</w:t>
      </w:r>
      <w:r w:rsidR="00C51B61" w:rsidRPr="00D173CD">
        <w:rPr>
          <w:lang w:val="hu-HU"/>
        </w:rPr>
        <w:t>t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mortalitás</w:t>
      </w:r>
      <w:r w:rsidR="00C51B61" w:rsidRPr="00D173CD">
        <w:rPr>
          <w:lang w:val="hu-HU"/>
        </w:rPr>
        <w:t>t értékelő</w:t>
      </w:r>
      <w:r w:rsidRPr="00D173CD">
        <w:rPr>
          <w:lang w:val="hu-HU"/>
        </w:rPr>
        <w:t>, placebokontrollos</w:t>
      </w:r>
      <w:r w:rsidR="00CE1AF3" w:rsidRPr="00D173CD">
        <w:rPr>
          <w:lang w:val="hu-HU"/>
        </w:rPr>
        <w:t xml:space="preserve"> kísérlet</w:t>
      </w:r>
      <w:r w:rsidR="00017FF7" w:rsidRPr="00D173CD">
        <w:rPr>
          <w:lang w:val="hu-HU"/>
        </w:rPr>
        <w:t>be</w:t>
      </w:r>
      <w:r w:rsidRPr="00D173CD">
        <w:rPr>
          <w:lang w:val="hu-HU"/>
        </w:rPr>
        <w:t xml:space="preserve"> 2128, </w:t>
      </w:r>
      <w:r w:rsidR="00DE6F9B" w:rsidRPr="00D173CD">
        <w:rPr>
          <w:lang w:val="hu-HU"/>
        </w:rPr>
        <w:t>70 éve</w:t>
      </w:r>
      <w:r w:rsidR="00EE3F0A" w:rsidRPr="00D173CD">
        <w:rPr>
          <w:lang w:val="hu-HU"/>
        </w:rPr>
        <w:t>t betöltött</w:t>
      </w:r>
      <w:r w:rsidR="00DE6F9B" w:rsidRPr="00D173CD">
        <w:rPr>
          <w:lang w:val="hu-HU"/>
        </w:rPr>
        <w:t xml:space="preserve"> (életkor </w:t>
      </w:r>
      <w:r w:rsidR="00975B37">
        <w:rPr>
          <w:lang w:val="hu-HU"/>
        </w:rPr>
        <w:t xml:space="preserve">medián </w:t>
      </w:r>
      <w:r w:rsidR="00DE6F9B" w:rsidRPr="00D173CD">
        <w:rPr>
          <w:lang w:val="hu-HU"/>
        </w:rPr>
        <w:t>értéke: 75,2 </w:t>
      </w:r>
      <w:r w:rsidRPr="00D173CD">
        <w:rPr>
          <w:lang w:val="hu-HU"/>
        </w:rPr>
        <w:t>év), stabil</w:t>
      </w:r>
      <w:r w:rsidR="00052DC3" w:rsidRPr="00D173CD">
        <w:rPr>
          <w:lang w:val="hu-HU"/>
        </w:rPr>
        <w:t>,</w:t>
      </w:r>
      <w:r w:rsidRPr="00D173CD">
        <w:rPr>
          <w:lang w:val="hu-HU"/>
        </w:rPr>
        <w:t xml:space="preserve"> krónikus szívelégtelenségben szenvedő, csökkent vagy normális bal kamra ejekciós frakció</w:t>
      </w:r>
      <w:r w:rsidR="00C51B61" w:rsidRPr="00D173CD">
        <w:rPr>
          <w:lang w:val="hu-HU"/>
        </w:rPr>
        <w:t>jú</w:t>
      </w:r>
      <w:r w:rsidRPr="00D173CD">
        <w:rPr>
          <w:lang w:val="hu-HU"/>
        </w:rPr>
        <w:t xml:space="preserve"> (átlag</w:t>
      </w:r>
      <w:r w:rsidR="00C51B61" w:rsidRPr="00D173CD">
        <w:rPr>
          <w:lang w:val="hu-HU"/>
        </w:rPr>
        <w:t>os</w:t>
      </w:r>
      <w:r w:rsidR="00DE6F9B" w:rsidRPr="00D173CD">
        <w:rPr>
          <w:lang w:val="hu-HU"/>
        </w:rPr>
        <w:t xml:space="preserve"> LVEF: 36 </w:t>
      </w:r>
      <w:r w:rsidRPr="00D173CD">
        <w:rPr>
          <w:lang w:val="hu-HU"/>
        </w:rPr>
        <w:t>±</w:t>
      </w:r>
      <w:r w:rsidR="00DE6F9B" w:rsidRPr="00D173CD">
        <w:rPr>
          <w:lang w:val="hu-HU"/>
        </w:rPr>
        <w:t> </w:t>
      </w:r>
      <w:r w:rsidRPr="00D173CD">
        <w:rPr>
          <w:lang w:val="hu-HU"/>
        </w:rPr>
        <w:t>12,3%, a következő megoszlásban: a betegek 56%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ánál </w:t>
      </w:r>
      <w:r w:rsidR="00C51B61" w:rsidRPr="00D173CD">
        <w:rPr>
          <w:lang w:val="hu-HU"/>
        </w:rPr>
        <w:t xml:space="preserve">35% alatti, </w:t>
      </w:r>
      <w:r w:rsidRPr="00D173CD">
        <w:rPr>
          <w:lang w:val="hu-HU"/>
        </w:rPr>
        <w:t>25%</w:t>
      </w:r>
      <w:r w:rsidR="00794FFC" w:rsidRPr="00D173CD">
        <w:rPr>
          <w:lang w:val="hu-HU"/>
        </w:rPr>
        <w:noBreakHyphen/>
      </w:r>
      <w:r w:rsidR="00C51B61" w:rsidRPr="00D173CD">
        <w:rPr>
          <w:lang w:val="hu-HU"/>
        </w:rPr>
        <w:t>ánál</w:t>
      </w:r>
      <w:r w:rsidRPr="00D173CD">
        <w:rPr>
          <w:lang w:val="hu-HU"/>
        </w:rPr>
        <w:t xml:space="preserve"> 35% és 45% közötti,</w:t>
      </w:r>
      <w:r w:rsidR="00C51B61" w:rsidRPr="00D173CD">
        <w:rPr>
          <w:lang w:val="hu-HU"/>
        </w:rPr>
        <w:t xml:space="preserve"> </w:t>
      </w:r>
      <w:r w:rsidRPr="00D173CD">
        <w:rPr>
          <w:lang w:val="hu-HU"/>
        </w:rPr>
        <w:t>19%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ánál 45%</w:t>
      </w:r>
      <w:r w:rsidR="00C51B61" w:rsidRPr="00D173CD">
        <w:rPr>
          <w:lang w:val="hu-HU"/>
        </w:rPr>
        <w:t xml:space="preserve"> feletti LVEF</w:t>
      </w:r>
      <w:r w:rsidRPr="00D173CD">
        <w:rPr>
          <w:lang w:val="hu-HU"/>
        </w:rPr>
        <w:t>) beteg</w:t>
      </w:r>
      <w:r w:rsidR="00CE1AF3" w:rsidRPr="00D173CD">
        <w:rPr>
          <w:lang w:val="hu-HU"/>
        </w:rPr>
        <w:t>et</w:t>
      </w:r>
      <w:r w:rsidR="00C51B61" w:rsidRPr="00D173CD">
        <w:rPr>
          <w:lang w:val="hu-HU"/>
        </w:rPr>
        <w:t>, á</w:t>
      </w:r>
      <w:r w:rsidR="00614529" w:rsidRPr="00D173CD">
        <w:rPr>
          <w:lang w:val="hu-HU"/>
        </w:rPr>
        <w:t>tlagosan 20</w:t>
      </w:r>
      <w:r w:rsidR="009163A0" w:rsidRPr="00D173CD">
        <w:rPr>
          <w:lang w:val="hu-HU"/>
        </w:rPr>
        <w:t> </w:t>
      </w:r>
      <w:r w:rsidR="00614529" w:rsidRPr="00D173CD">
        <w:rPr>
          <w:lang w:val="hu-HU"/>
        </w:rPr>
        <w:t>hónapos után</w:t>
      </w:r>
      <w:r w:rsidR="00C51B61" w:rsidRPr="00D173CD">
        <w:rPr>
          <w:lang w:val="hu-HU"/>
        </w:rPr>
        <w:t xml:space="preserve">követéssel </w:t>
      </w:r>
      <w:r w:rsidR="00017FF7" w:rsidRPr="00D173CD">
        <w:rPr>
          <w:lang w:val="hu-HU"/>
        </w:rPr>
        <w:t>vontak be.</w:t>
      </w:r>
      <w:r w:rsidR="00754BC0" w:rsidRPr="00D173CD">
        <w:rPr>
          <w:lang w:val="hu-HU"/>
        </w:rPr>
        <w:t xml:space="preserve"> </w:t>
      </w:r>
      <w:r w:rsidR="00017FF7" w:rsidRPr="00D173CD">
        <w:rPr>
          <w:lang w:val="hu-HU"/>
        </w:rPr>
        <w:t>A</w:t>
      </w:r>
      <w:r w:rsidRPr="00D173CD">
        <w:rPr>
          <w:lang w:val="hu-HU"/>
        </w:rPr>
        <w:t xml:space="preserve"> standard terápia mellett alkalmazott nebivolol </w:t>
      </w:r>
      <w:r w:rsidR="00017FF7" w:rsidRPr="00D173CD">
        <w:rPr>
          <w:lang w:val="hu-HU"/>
        </w:rPr>
        <w:t xml:space="preserve">szignifikánsan </w:t>
      </w:r>
      <w:r w:rsidRPr="00D173CD">
        <w:rPr>
          <w:lang w:val="hu-HU"/>
        </w:rPr>
        <w:t>meghosszabbította a halálig, illetve a cardiovascularis okok miatt</w:t>
      </w:r>
      <w:r w:rsidR="00C51B61" w:rsidRPr="00D173CD">
        <w:rPr>
          <w:lang w:val="hu-HU"/>
        </w:rPr>
        <w:t xml:space="preserve"> szükségessé váló</w:t>
      </w:r>
      <w:r w:rsidRPr="00D173CD">
        <w:rPr>
          <w:lang w:val="hu-HU"/>
        </w:rPr>
        <w:t xml:space="preserve"> </w:t>
      </w:r>
      <w:r w:rsidR="00C51B61" w:rsidRPr="00D173CD">
        <w:rPr>
          <w:lang w:val="hu-HU"/>
        </w:rPr>
        <w:t>kórházi felvételig</w:t>
      </w:r>
      <w:r w:rsidRPr="00D173CD">
        <w:rPr>
          <w:lang w:val="hu-HU"/>
        </w:rPr>
        <w:t xml:space="preserve"> eltelt időszakot (elsődleges hatékonysági végpont), a relatív kockázat 14%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os csökkenése mellett (abszolút csökkenés: 4,2%).</w:t>
      </w:r>
      <w:r w:rsidR="0063406C" w:rsidRPr="00D173CD">
        <w:rPr>
          <w:lang w:val="hu-HU"/>
        </w:rPr>
        <w:t xml:space="preserve"> </w:t>
      </w:r>
      <w:r w:rsidR="00B50F0E" w:rsidRPr="00D173CD">
        <w:rPr>
          <w:lang w:val="hu-HU"/>
        </w:rPr>
        <w:t>Ez a</w:t>
      </w:r>
      <w:r w:rsidRPr="00D173CD">
        <w:rPr>
          <w:lang w:val="hu-HU"/>
        </w:rPr>
        <w:t xml:space="preserve"> kockázatcsökkenés 6</w:t>
      </w:r>
      <w:r w:rsidR="009163A0" w:rsidRPr="00D173CD">
        <w:rPr>
          <w:lang w:val="hu-HU"/>
        </w:rPr>
        <w:t> </w:t>
      </w:r>
      <w:r w:rsidRPr="00D173CD">
        <w:rPr>
          <w:lang w:val="hu-HU"/>
        </w:rPr>
        <w:t>hónapos kezelés után alakult ki, és a kezelés teljes ideje alatt fennmaradt (medián időtartam: 18</w:t>
      </w:r>
      <w:r w:rsidR="00DE6F9B" w:rsidRPr="00D173CD">
        <w:rPr>
          <w:lang w:val="hu-HU"/>
        </w:rPr>
        <w:t> </w:t>
      </w:r>
      <w:r w:rsidRPr="00D173CD">
        <w:rPr>
          <w:lang w:val="hu-HU"/>
        </w:rPr>
        <w:t xml:space="preserve">hónap). A nebivolol hatása független volt a </w:t>
      </w:r>
      <w:r w:rsidR="00B50F0E" w:rsidRPr="00D173CD">
        <w:rPr>
          <w:lang w:val="hu-HU"/>
        </w:rPr>
        <w:t>vizsgált</w:t>
      </w:r>
      <w:r w:rsidRPr="00D173CD">
        <w:rPr>
          <w:lang w:val="hu-HU"/>
        </w:rPr>
        <w:t xml:space="preserve"> populáció életkorától, nemétől vagy bal kamrai ejekciós frakciójától. A placebóhoz viszonyít</w:t>
      </w:r>
      <w:r w:rsidR="00B50F0E" w:rsidRPr="00D173CD">
        <w:rPr>
          <w:lang w:val="hu-HU"/>
        </w:rPr>
        <w:t xml:space="preserve">ott, bármilyen </w:t>
      </w:r>
      <w:r w:rsidRPr="00D173CD">
        <w:rPr>
          <w:lang w:val="hu-HU"/>
        </w:rPr>
        <w:t xml:space="preserve">okból </w:t>
      </w:r>
      <w:r w:rsidR="00B50F0E" w:rsidRPr="00D173CD">
        <w:rPr>
          <w:lang w:val="hu-HU"/>
        </w:rPr>
        <w:t>bekövetkezett</w:t>
      </w:r>
      <w:r w:rsidRPr="00D173CD">
        <w:rPr>
          <w:lang w:val="hu-HU"/>
        </w:rPr>
        <w:t xml:space="preserve"> halálozás</w:t>
      </w:r>
      <w:r w:rsidR="00B50F0E" w:rsidRPr="00D173CD">
        <w:rPr>
          <w:lang w:val="hu-HU"/>
        </w:rPr>
        <w:t xml:space="preserve"> csökkenésére</w:t>
      </w:r>
      <w:r w:rsidRPr="00D173CD">
        <w:rPr>
          <w:lang w:val="hu-HU"/>
        </w:rPr>
        <w:t xml:space="preserve"> gyakorolt kedvező hatás nem érte el a statisztikailag szignifikáns szintet (abszolút csökkenés: 2,3%).</w:t>
      </w:r>
    </w:p>
    <w:p w14:paraId="52CBA790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9E82D88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nebivolollal kezelt betegeknél a hirtelen halálesetek </w:t>
      </w:r>
      <w:r w:rsidR="00017FF7" w:rsidRPr="00D173CD">
        <w:rPr>
          <w:lang w:val="hu-HU"/>
        </w:rPr>
        <w:t xml:space="preserve">számának </w:t>
      </w:r>
      <w:r w:rsidR="00B50F0E" w:rsidRPr="00D173CD">
        <w:rPr>
          <w:lang w:val="hu-HU"/>
        </w:rPr>
        <w:t>csökken</w:t>
      </w:r>
      <w:r w:rsidR="00017FF7" w:rsidRPr="00D173CD">
        <w:rPr>
          <w:lang w:val="hu-HU"/>
        </w:rPr>
        <w:t>ésé</w:t>
      </w:r>
      <w:r w:rsidR="00B50F0E" w:rsidRPr="00D173CD">
        <w:rPr>
          <w:lang w:val="hu-HU"/>
        </w:rPr>
        <w:t>t</w:t>
      </w:r>
      <w:r w:rsidRPr="00D173CD">
        <w:rPr>
          <w:lang w:val="hu-HU"/>
        </w:rPr>
        <w:t xml:space="preserve"> </w:t>
      </w:r>
      <w:r w:rsidR="00017FF7" w:rsidRPr="00D173CD">
        <w:rPr>
          <w:lang w:val="hu-HU"/>
        </w:rPr>
        <w:t xml:space="preserve">észlelték </w:t>
      </w:r>
      <w:r w:rsidRPr="00D173CD">
        <w:rPr>
          <w:lang w:val="hu-HU"/>
        </w:rPr>
        <w:t>(4,1%</w:t>
      </w:r>
      <w:r w:rsidR="00D020CE" w:rsidRPr="00D173CD">
        <w:rPr>
          <w:lang w:val="hu-HU"/>
        </w:rPr>
        <w:t xml:space="preserve"> a</w:t>
      </w:r>
      <w:r w:rsidRPr="00D173CD">
        <w:rPr>
          <w:lang w:val="hu-HU"/>
        </w:rPr>
        <w:t xml:space="preserve"> 6,6%</w:t>
      </w:r>
      <w:r w:rsidR="00794FFC" w:rsidRPr="00D173CD">
        <w:rPr>
          <w:lang w:val="hu-HU"/>
        </w:rPr>
        <w:noBreakHyphen/>
      </w:r>
      <w:r w:rsidR="00614529" w:rsidRPr="00D173CD">
        <w:rPr>
          <w:lang w:val="hu-HU"/>
        </w:rPr>
        <w:t>kal szemben</w:t>
      </w:r>
      <w:r w:rsidRPr="00D173CD">
        <w:rPr>
          <w:lang w:val="hu-HU"/>
        </w:rPr>
        <w:t>, 38%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os relatív csökkenés).</w:t>
      </w:r>
    </w:p>
    <w:p w14:paraId="0B279BAB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098B99C2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lang w:val="hu-HU"/>
        </w:rPr>
        <w:t>In</w:t>
      </w:r>
      <w:r w:rsidR="00DE6F9B" w:rsidRPr="00D173CD">
        <w:rPr>
          <w:i/>
          <w:lang w:val="hu-HU"/>
        </w:rPr>
        <w:t> </w:t>
      </w:r>
      <w:r w:rsidRPr="00D173CD">
        <w:rPr>
          <w:i/>
          <w:lang w:val="hu-HU"/>
        </w:rPr>
        <w:t>vitro</w:t>
      </w:r>
      <w:r w:rsidRPr="00D173CD">
        <w:rPr>
          <w:lang w:val="hu-HU"/>
        </w:rPr>
        <w:t xml:space="preserve"> és </w:t>
      </w:r>
      <w:r w:rsidRPr="00D173CD">
        <w:rPr>
          <w:i/>
          <w:lang w:val="hu-HU"/>
        </w:rPr>
        <w:t>i</w:t>
      </w:r>
      <w:r w:rsidR="00DE6F9B" w:rsidRPr="00D173CD">
        <w:rPr>
          <w:i/>
          <w:lang w:val="hu-HU"/>
        </w:rPr>
        <w:t>n </w:t>
      </w:r>
      <w:r w:rsidRPr="00D173CD">
        <w:rPr>
          <w:i/>
          <w:lang w:val="hu-HU"/>
        </w:rPr>
        <w:t>vivo</w:t>
      </w:r>
      <w:r w:rsidRPr="00D173CD">
        <w:rPr>
          <w:lang w:val="hu-HU"/>
        </w:rPr>
        <w:t xml:space="preserve"> állatkísérletekben a nebivolol</w:t>
      </w:r>
      <w:r w:rsidR="00B50F0E" w:rsidRPr="00D173CD">
        <w:rPr>
          <w:lang w:val="hu-HU"/>
        </w:rPr>
        <w:t>nak nem volt</w:t>
      </w:r>
      <w:r w:rsidRPr="00D173CD">
        <w:rPr>
          <w:lang w:val="hu-HU"/>
        </w:rPr>
        <w:t xml:space="preserve"> intrinsic szimpatomimetikus </w:t>
      </w:r>
      <w:r w:rsidR="00B50F0E" w:rsidRPr="00D173CD">
        <w:rPr>
          <w:lang w:val="hu-HU"/>
        </w:rPr>
        <w:t>hatása</w:t>
      </w:r>
      <w:r w:rsidRPr="00D173CD">
        <w:rPr>
          <w:lang w:val="hu-HU"/>
        </w:rPr>
        <w:t>.</w:t>
      </w:r>
    </w:p>
    <w:p w14:paraId="4B966884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4345CE7" w14:textId="77777777" w:rsidR="009548D9" w:rsidRPr="00D173CD" w:rsidRDefault="00DE6F9B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lang w:val="hu-HU"/>
        </w:rPr>
        <w:t>In </w:t>
      </w:r>
      <w:r w:rsidR="009548D9" w:rsidRPr="00D173CD">
        <w:rPr>
          <w:i/>
          <w:lang w:val="hu-HU"/>
        </w:rPr>
        <w:t>vitro</w:t>
      </w:r>
      <w:r w:rsidR="009548D9" w:rsidRPr="00D173CD">
        <w:rPr>
          <w:lang w:val="hu-HU"/>
        </w:rPr>
        <w:t xml:space="preserve"> és </w:t>
      </w:r>
      <w:r w:rsidRPr="00D173CD">
        <w:rPr>
          <w:i/>
          <w:lang w:val="hu-HU"/>
        </w:rPr>
        <w:t>in </w:t>
      </w:r>
      <w:r w:rsidR="009548D9" w:rsidRPr="00D173CD">
        <w:rPr>
          <w:i/>
          <w:lang w:val="hu-HU"/>
        </w:rPr>
        <w:t>vivo</w:t>
      </w:r>
      <w:r w:rsidR="009548D9" w:rsidRPr="00D173CD">
        <w:rPr>
          <w:lang w:val="hu-HU"/>
        </w:rPr>
        <w:t xml:space="preserve"> állatkísérletekben a farmakológiai </w:t>
      </w:r>
      <w:r w:rsidR="00B50F0E" w:rsidRPr="00D173CD">
        <w:rPr>
          <w:lang w:val="hu-HU"/>
        </w:rPr>
        <w:t>adagokban alkalmazott nebivololnak</w:t>
      </w:r>
      <w:r w:rsidR="009548D9" w:rsidRPr="00D173CD">
        <w:rPr>
          <w:lang w:val="hu-HU"/>
        </w:rPr>
        <w:t xml:space="preserve"> nem </w:t>
      </w:r>
      <w:r w:rsidR="00B50F0E" w:rsidRPr="00D173CD">
        <w:rPr>
          <w:lang w:val="hu-HU"/>
        </w:rPr>
        <w:t xml:space="preserve">volt </w:t>
      </w:r>
      <w:r w:rsidR="009548D9" w:rsidRPr="00D173CD">
        <w:rPr>
          <w:lang w:val="hu-HU"/>
        </w:rPr>
        <w:t>membránstabilizáló hatás</w:t>
      </w:r>
      <w:r w:rsidR="00B50F0E" w:rsidRPr="00D173CD">
        <w:rPr>
          <w:lang w:val="hu-HU"/>
        </w:rPr>
        <w:t>a</w:t>
      </w:r>
      <w:r w:rsidR="009548D9" w:rsidRPr="00D173CD">
        <w:rPr>
          <w:lang w:val="hu-HU"/>
        </w:rPr>
        <w:t>.</w:t>
      </w:r>
    </w:p>
    <w:p w14:paraId="47DCF8A9" w14:textId="77777777" w:rsidR="00421998" w:rsidRPr="00D173CD" w:rsidRDefault="0042199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033C5712" w14:textId="104533F1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lastRenderedPageBreak/>
        <w:t>Egészséges önkénteseknél a nebivololnak nem volt jelentős hatása a maximális terhelhetőségi kapacitásra vagy az állóképességre.</w:t>
      </w:r>
    </w:p>
    <w:p w14:paraId="49E65CD2" w14:textId="75BEB6F0" w:rsidR="000B6305" w:rsidRPr="00D173CD" w:rsidRDefault="000B630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07D1AF0" w14:textId="3260F013" w:rsidR="000B6305" w:rsidRPr="00D173CD" w:rsidRDefault="00B4751C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Hypertoniás betegek esetében a rendelkezésre álló preklinikai és klinikai adatok nem mutatták ki, hogy a nebivolol káros hatással lenne a merevedési funkcióra.</w:t>
      </w:r>
    </w:p>
    <w:p w14:paraId="3CE501B1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87EA6F7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5.2</w:t>
      </w:r>
      <w:r w:rsidRPr="00D173CD">
        <w:rPr>
          <w:rFonts w:ascii="Times New Roman" w:hAnsi="Times New Roman" w:cs="Times New Roman"/>
        </w:rPr>
        <w:tab/>
        <w:t>Farmakokinetikai tulajdonságok</w:t>
      </w:r>
    </w:p>
    <w:p w14:paraId="6DD81D08" w14:textId="77777777" w:rsidR="009548D9" w:rsidRPr="00D173CD" w:rsidRDefault="009548D9" w:rsidP="00D173CD">
      <w:pPr>
        <w:pStyle w:val="Normlbehzs"/>
        <w:keepNext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16DEAACE" w14:textId="77777777" w:rsidR="009548D9" w:rsidRPr="00D173CD" w:rsidRDefault="00B50F0E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i/>
          <w:lang w:val="hu-HU"/>
        </w:rPr>
        <w:t>Per</w:t>
      </w:r>
      <w:r w:rsidR="009163A0" w:rsidRPr="00D173CD">
        <w:rPr>
          <w:i/>
          <w:lang w:val="hu-HU"/>
        </w:rPr>
        <w:t> </w:t>
      </w:r>
      <w:r w:rsidRPr="00D173CD">
        <w:rPr>
          <w:i/>
          <w:lang w:val="hu-HU"/>
        </w:rPr>
        <w:t>os</w:t>
      </w:r>
      <w:r w:rsidR="009548D9" w:rsidRPr="00D173CD">
        <w:rPr>
          <w:lang w:val="hu-HU"/>
        </w:rPr>
        <w:t xml:space="preserve"> alkalmazást követően a nebivolol mindkét enantiomerje gyorsan felszívódik. A nebivolol felszívódását </w:t>
      </w:r>
      <w:r w:rsidRPr="00D173CD">
        <w:rPr>
          <w:lang w:val="hu-HU"/>
        </w:rPr>
        <w:t xml:space="preserve">az étkezés </w:t>
      </w:r>
      <w:r w:rsidR="009548D9" w:rsidRPr="00D173CD">
        <w:rPr>
          <w:lang w:val="hu-HU"/>
        </w:rPr>
        <w:t>nem befolyásolja. A nebivolol étkezéssel együtt vagy attól függetlenül is bevehető.</w:t>
      </w:r>
    </w:p>
    <w:p w14:paraId="774B4DB7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1EF15E1E" w14:textId="2264C671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nebivolol nagymértékben, részben aktív hidroxi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metabolitokká metabolizálódik. A nebivolol aliciklikus és aromás hidroxiláció, N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dealkiláció és glük</w:t>
      </w:r>
      <w:r w:rsidR="00B50F0E" w:rsidRPr="00D173CD">
        <w:rPr>
          <w:lang w:val="hu-HU"/>
        </w:rPr>
        <w:t>u</w:t>
      </w:r>
      <w:r w:rsidRPr="00D173CD">
        <w:rPr>
          <w:lang w:val="hu-HU"/>
        </w:rPr>
        <w:t>ronidáció útján metabolizálódik. Ezen felül a hidroxi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metabolitok </w:t>
      </w:r>
      <w:r w:rsidR="00B50F0E" w:rsidRPr="00D173CD">
        <w:rPr>
          <w:lang w:val="hu-HU"/>
        </w:rPr>
        <w:t>is glükuronidáción esnek át</w:t>
      </w:r>
      <w:r w:rsidRPr="00D173CD">
        <w:rPr>
          <w:lang w:val="hu-HU"/>
        </w:rPr>
        <w:t>. A nebivolol aromás hidroxiláció útján történő metabolizmusát CYP2D6</w:t>
      </w:r>
      <w:r w:rsidR="00794FFC" w:rsidRPr="00D173CD">
        <w:rPr>
          <w:lang w:val="hu-HU"/>
        </w:rPr>
        <w:noBreakHyphen/>
      </w:r>
      <w:r w:rsidR="00B50F0E" w:rsidRPr="00D173CD">
        <w:rPr>
          <w:lang w:val="hu-HU"/>
        </w:rPr>
        <w:t>függő</w:t>
      </w:r>
      <w:r w:rsidRPr="00D173CD">
        <w:rPr>
          <w:lang w:val="hu-HU"/>
        </w:rPr>
        <w:t xml:space="preserve">, genetikai oxidatív polimorfizmus határozza meg. A </w:t>
      </w:r>
      <w:r w:rsidR="00B50F0E" w:rsidRPr="00D173CD">
        <w:rPr>
          <w:lang w:val="hu-HU"/>
        </w:rPr>
        <w:t xml:space="preserve">szájon át alkalmazott </w:t>
      </w:r>
      <w:r w:rsidRPr="00D173CD">
        <w:rPr>
          <w:lang w:val="hu-HU"/>
        </w:rPr>
        <w:t>nebivolol biohasznosulása átlagosan 12%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os a gyorsan</w:t>
      </w:r>
      <w:r w:rsidR="00A355A5" w:rsidRPr="00D173CD">
        <w:rPr>
          <w:lang w:val="hu-HU"/>
        </w:rPr>
        <w:t xml:space="preserve"> metabolizáló</w:t>
      </w:r>
      <w:r w:rsidR="00B50F0E" w:rsidRPr="00D173CD">
        <w:rPr>
          <w:lang w:val="hu-HU"/>
        </w:rPr>
        <w:t>,</w:t>
      </w:r>
      <w:r w:rsidRPr="00D173CD">
        <w:rPr>
          <w:lang w:val="hu-HU"/>
        </w:rPr>
        <w:t xml:space="preserve"> és </w:t>
      </w:r>
      <w:r w:rsidR="00B50F0E" w:rsidRPr="00D173CD">
        <w:rPr>
          <w:lang w:val="hu-HU"/>
        </w:rPr>
        <w:t xml:space="preserve">csaknem </w:t>
      </w:r>
      <w:r w:rsidRPr="00D173CD">
        <w:rPr>
          <w:lang w:val="hu-HU"/>
        </w:rPr>
        <w:t>teljes a lassan metabolizáló</w:t>
      </w:r>
      <w:r w:rsidR="00B50F0E" w:rsidRPr="00D173CD">
        <w:rPr>
          <w:lang w:val="hu-HU"/>
        </w:rPr>
        <w:t xml:space="preserve"> betegekben</w:t>
      </w:r>
      <w:r w:rsidRPr="00D173CD">
        <w:rPr>
          <w:lang w:val="hu-HU"/>
        </w:rPr>
        <w:t xml:space="preserve">. </w:t>
      </w:r>
      <w:r w:rsidR="000E6EDD">
        <w:rPr>
          <w:lang w:val="hu-HU"/>
        </w:rPr>
        <w:t>Dinamikus e</w:t>
      </w:r>
      <w:r w:rsidRPr="00D173CD">
        <w:rPr>
          <w:lang w:val="hu-HU"/>
        </w:rPr>
        <w:t>gyensúlyi állapotban és azonos dózisszinten a változatlan nebivolol csúcskoncentrációja a plazmában körülbelül 23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szor magasabb a gyengén, mint az extenzíven metabolizálóknál. A változatlan gyógyszer és az aktív metabolitok együttes figyelembevételekor a plazma csúcskoncentrációk különbsége 1,3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1,4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szeres.</w:t>
      </w:r>
      <w:r w:rsidR="0063406C" w:rsidRPr="00D173CD">
        <w:rPr>
          <w:lang w:val="hu-HU"/>
        </w:rPr>
        <w:t xml:space="preserve"> </w:t>
      </w:r>
      <w:r w:rsidRPr="00D173CD">
        <w:rPr>
          <w:lang w:val="hu-HU"/>
        </w:rPr>
        <w:t>A metabolizmus sebességében mutatkozó különbségek miatt</w:t>
      </w:r>
      <w:r w:rsidRPr="00D173CD">
        <w:rPr>
          <w:rFonts w:eastAsia="Times New Roman"/>
          <w:snapToGrid/>
          <w:lang w:val="hu-HU" w:eastAsia="en-GB"/>
        </w:rPr>
        <w:t xml:space="preserve"> a </w:t>
      </w:r>
      <w:r w:rsidR="00050A9E" w:rsidRPr="00D173CD">
        <w:rPr>
          <w:lang w:val="hu-HU"/>
        </w:rPr>
        <w:t>Nebivolol Egis</w:t>
      </w:r>
      <w:r w:rsidR="00EE3F0A" w:rsidRPr="00D173CD">
        <w:rPr>
          <w:rFonts w:eastAsia="Times New Roman"/>
          <w:snapToGrid/>
          <w:lang w:val="hu-HU" w:eastAsia="en-GB"/>
        </w:rPr>
        <w:t xml:space="preserve"> </w:t>
      </w:r>
      <w:r w:rsidRPr="00D173CD">
        <w:rPr>
          <w:rFonts w:eastAsia="Times New Roman"/>
          <w:snapToGrid/>
          <w:lang w:val="hu-HU" w:eastAsia="en-GB"/>
        </w:rPr>
        <w:t>5</w:t>
      </w:r>
      <w:r w:rsidR="0063406C" w:rsidRPr="00D173CD">
        <w:rPr>
          <w:rFonts w:eastAsia="Times New Roman"/>
          <w:snapToGrid/>
          <w:lang w:val="hu-HU" w:eastAsia="en-GB"/>
        </w:rPr>
        <w:t> mg</w:t>
      </w:r>
      <w:r w:rsidRPr="00D173CD">
        <w:rPr>
          <w:lang w:val="hu-HU"/>
        </w:rPr>
        <w:t xml:space="preserve"> tabletta </w:t>
      </w:r>
      <w:r w:rsidR="00B50F0E" w:rsidRPr="00D173CD">
        <w:rPr>
          <w:lang w:val="hu-HU"/>
        </w:rPr>
        <w:t>d</w:t>
      </w:r>
      <w:r w:rsidR="00975B37">
        <w:rPr>
          <w:lang w:val="hu-HU"/>
        </w:rPr>
        <w:t>ózis</w:t>
      </w:r>
      <w:r w:rsidR="00B50F0E" w:rsidRPr="00D173CD">
        <w:rPr>
          <w:lang w:val="hu-HU"/>
        </w:rPr>
        <w:t xml:space="preserve">át </w:t>
      </w:r>
      <w:r w:rsidRPr="00D173CD">
        <w:rPr>
          <w:lang w:val="hu-HU"/>
        </w:rPr>
        <w:t xml:space="preserve">mindig a beteg egyéni igényei szerint kell </w:t>
      </w:r>
      <w:r w:rsidR="00B50F0E" w:rsidRPr="00D173CD">
        <w:rPr>
          <w:lang w:val="hu-HU"/>
        </w:rPr>
        <w:t>beállítani</w:t>
      </w:r>
      <w:r w:rsidRPr="00D173CD">
        <w:rPr>
          <w:lang w:val="hu-HU"/>
        </w:rPr>
        <w:t>: ezért a gyengén metabolizálók</w:t>
      </w:r>
      <w:r w:rsidR="00B50F0E" w:rsidRPr="00D173CD">
        <w:rPr>
          <w:lang w:val="hu-HU"/>
        </w:rPr>
        <w:t>nál kisebb d</w:t>
      </w:r>
      <w:r w:rsidR="00975B37">
        <w:rPr>
          <w:lang w:val="hu-HU"/>
        </w:rPr>
        <w:t>ózis</w:t>
      </w:r>
      <w:r w:rsidR="00B50F0E" w:rsidRPr="00D173CD">
        <w:rPr>
          <w:lang w:val="hu-HU"/>
        </w:rPr>
        <w:t>ok válhatnak szükségessé</w:t>
      </w:r>
      <w:r w:rsidRPr="00D173CD">
        <w:rPr>
          <w:lang w:val="hu-HU"/>
        </w:rPr>
        <w:t>.</w:t>
      </w:r>
    </w:p>
    <w:p w14:paraId="2CB46976" w14:textId="77777777" w:rsidR="008E0B49" w:rsidRPr="00D173CD" w:rsidRDefault="008E0B4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203E8F10" w14:textId="0F1DA25D" w:rsidR="009548D9" w:rsidRPr="00D173CD" w:rsidRDefault="00B50F0E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G</w:t>
      </w:r>
      <w:r w:rsidR="009548D9" w:rsidRPr="00D173CD">
        <w:rPr>
          <w:lang w:val="hu-HU"/>
        </w:rPr>
        <w:t>yorsan metabolizáló</w:t>
      </w:r>
      <w:r w:rsidRPr="00D173CD">
        <w:rPr>
          <w:lang w:val="hu-HU"/>
        </w:rPr>
        <w:t xml:space="preserve"> betegekn</w:t>
      </w:r>
      <w:r w:rsidR="00975B37">
        <w:rPr>
          <w:lang w:val="hu-HU"/>
        </w:rPr>
        <w:t>él</w:t>
      </w:r>
      <w:r w:rsidR="009548D9" w:rsidRPr="00D173CD">
        <w:rPr>
          <w:lang w:val="hu-HU"/>
        </w:rPr>
        <w:t xml:space="preserve"> a nebivolol enantiomerek eliminációs felezési ideje átlagosan 10</w:t>
      </w:r>
      <w:r w:rsidR="00DE6F9B" w:rsidRPr="00D173CD">
        <w:rPr>
          <w:lang w:val="hu-HU"/>
        </w:rPr>
        <w:t> </w:t>
      </w:r>
      <w:r w:rsidR="009548D9" w:rsidRPr="00D173CD">
        <w:rPr>
          <w:lang w:val="hu-HU"/>
        </w:rPr>
        <w:t>óra. Lass</w:t>
      </w:r>
      <w:r w:rsidRPr="00D173CD">
        <w:rPr>
          <w:lang w:val="hu-HU"/>
        </w:rPr>
        <w:t>an</w:t>
      </w:r>
      <w:r w:rsidR="009548D9" w:rsidRPr="00D173CD">
        <w:rPr>
          <w:lang w:val="hu-HU"/>
        </w:rPr>
        <w:t xml:space="preserve"> metabolizálóknál ez 3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5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ször hosszabb.</w:t>
      </w:r>
      <w:r w:rsidR="0063406C" w:rsidRPr="00D173CD">
        <w:rPr>
          <w:lang w:val="hu-HU"/>
        </w:rPr>
        <w:t xml:space="preserve"> </w:t>
      </w:r>
      <w:r w:rsidR="009548D9" w:rsidRPr="00D173CD">
        <w:rPr>
          <w:lang w:val="hu-HU"/>
        </w:rPr>
        <w:t>Gyorsan metabolizálóknál az RSSS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enantiomer plazmaszintje kissé magasabb, mint az SRRR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enantiomeré. Lassan metabolizálóknál ez a különbség nagyobb. Gyorsan metabolizálóknál mindkét enantiomer hidroxi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metabolitjainak elimináci</w:t>
      </w:r>
      <w:r w:rsidR="00DE6F9B" w:rsidRPr="00D173CD">
        <w:rPr>
          <w:lang w:val="hu-HU"/>
        </w:rPr>
        <w:t>ós felezési ideje körülbelül 24 </w:t>
      </w:r>
      <w:r w:rsidR="009548D9" w:rsidRPr="00D173CD">
        <w:rPr>
          <w:lang w:val="hu-HU"/>
        </w:rPr>
        <w:t>óra, lassan metabolizálóknál körülbelül kétszer olyan hosszú.</w:t>
      </w:r>
    </w:p>
    <w:p w14:paraId="1B031F53" w14:textId="77777777" w:rsidR="008E0B49" w:rsidRPr="00D173CD" w:rsidRDefault="008E0B4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1D563B4" w14:textId="7EEA7DEF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</w:t>
      </w:r>
      <w:r w:rsidR="000E6EDD">
        <w:rPr>
          <w:lang w:val="hu-HU"/>
        </w:rPr>
        <w:t xml:space="preserve"> dinamikus</w:t>
      </w:r>
      <w:r w:rsidRPr="00D173CD">
        <w:rPr>
          <w:lang w:val="hu-HU"/>
        </w:rPr>
        <w:t xml:space="preserve"> egyensúlyi plazmaszintek a legtöbb betegnél (gyorsan metabolizálók) a nebivolol esetén 24</w:t>
      </w:r>
      <w:r w:rsidR="00DE6F9B" w:rsidRPr="00D173CD">
        <w:rPr>
          <w:lang w:val="hu-HU"/>
        </w:rPr>
        <w:t> </w:t>
      </w:r>
      <w:r w:rsidRPr="00D173CD">
        <w:rPr>
          <w:lang w:val="hu-HU"/>
        </w:rPr>
        <w:t>órán belül, míg a hidroxi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metabolitok esetén néhány napon belül </w:t>
      </w:r>
      <w:r w:rsidR="00B50F0E" w:rsidRPr="00D173CD">
        <w:rPr>
          <w:lang w:val="hu-HU"/>
        </w:rPr>
        <w:t>alakulnak ki</w:t>
      </w:r>
      <w:r w:rsidRPr="00D173CD">
        <w:rPr>
          <w:lang w:val="hu-HU"/>
        </w:rPr>
        <w:t>.</w:t>
      </w:r>
    </w:p>
    <w:p w14:paraId="525EE534" w14:textId="77777777" w:rsidR="008E0B49" w:rsidRPr="00D173CD" w:rsidRDefault="008E0B4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1D8BDC8D" w14:textId="51F8839C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plazmakoncentráció 1</w:t>
      </w:r>
      <w:r w:rsidR="0063406C" w:rsidRPr="00D173CD">
        <w:rPr>
          <w:lang w:val="hu-HU"/>
        </w:rPr>
        <w:t> </w:t>
      </w:r>
      <w:r w:rsidR="00B50F0E" w:rsidRPr="00D173CD">
        <w:rPr>
          <w:lang w:val="hu-HU"/>
        </w:rPr>
        <w:t xml:space="preserve">és </w:t>
      </w:r>
      <w:r w:rsidRPr="00D173CD">
        <w:rPr>
          <w:lang w:val="hu-HU"/>
        </w:rPr>
        <w:t>30</w:t>
      </w:r>
      <w:r w:rsidR="0063406C" w:rsidRPr="00D173CD">
        <w:rPr>
          <w:lang w:val="hu-HU"/>
        </w:rPr>
        <w:t> mg</w:t>
      </w:r>
      <w:r w:rsidRPr="00D173CD">
        <w:rPr>
          <w:lang w:val="hu-HU"/>
        </w:rPr>
        <w:t xml:space="preserve"> között</w:t>
      </w:r>
      <w:r w:rsidR="00B50F0E" w:rsidRPr="00D173CD">
        <w:rPr>
          <w:lang w:val="hu-HU"/>
        </w:rPr>
        <w:t>i d</w:t>
      </w:r>
      <w:r w:rsidR="000E6EDD">
        <w:rPr>
          <w:lang w:val="hu-HU"/>
        </w:rPr>
        <w:t>ózis</w:t>
      </w:r>
      <w:r w:rsidR="00B50F0E" w:rsidRPr="00D173CD">
        <w:rPr>
          <w:lang w:val="hu-HU"/>
        </w:rPr>
        <w:t>ok alkalmazása esetén</w:t>
      </w:r>
      <w:r w:rsidRPr="00D173CD">
        <w:rPr>
          <w:lang w:val="hu-HU"/>
        </w:rPr>
        <w:t xml:space="preserve"> arányos</w:t>
      </w:r>
      <w:r w:rsidR="00B50F0E" w:rsidRPr="00D173CD">
        <w:rPr>
          <w:lang w:val="hu-HU"/>
        </w:rPr>
        <w:t xml:space="preserve"> az alkalmazott d</w:t>
      </w:r>
      <w:r w:rsidR="000E6EDD">
        <w:rPr>
          <w:lang w:val="hu-HU"/>
        </w:rPr>
        <w:t>óziss</w:t>
      </w:r>
      <w:r w:rsidR="00B50F0E" w:rsidRPr="00D173CD">
        <w:rPr>
          <w:lang w:val="hu-HU"/>
        </w:rPr>
        <w:t>al</w:t>
      </w:r>
      <w:r w:rsidRPr="00D173CD">
        <w:rPr>
          <w:lang w:val="hu-HU"/>
        </w:rPr>
        <w:t>. A nebivolol farmakokinetikáját az életkor nem befolyásolja.</w:t>
      </w:r>
    </w:p>
    <w:p w14:paraId="1998CCD7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</w:p>
    <w:p w14:paraId="15F70FC0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plazmában mindkét enantiomer elsősorban albuminhoz kötődik.</w:t>
      </w:r>
    </w:p>
    <w:p w14:paraId="422402B4" w14:textId="77777777" w:rsidR="008E0B49" w:rsidRPr="00D173CD" w:rsidRDefault="008E0B4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A8897F1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u w:val="single"/>
          <w:lang w:val="hu-HU"/>
        </w:rPr>
      </w:pPr>
      <w:r w:rsidRPr="00D173CD">
        <w:rPr>
          <w:lang w:val="hu-HU"/>
        </w:rPr>
        <w:t>Az SRRR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nebivolol plazmafehérje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kötődése 98</w:t>
      </w:r>
      <w:r w:rsidR="00080C8B" w:rsidRPr="00D173CD">
        <w:rPr>
          <w:lang w:val="hu-HU"/>
        </w:rPr>
        <w:t>,</w:t>
      </w:r>
      <w:r w:rsidRPr="00D173CD">
        <w:rPr>
          <w:lang w:val="hu-HU"/>
        </w:rPr>
        <w:t>1%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os, az RSSS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nebivololé </w:t>
      </w:r>
      <w:r w:rsidR="00B50F0E" w:rsidRPr="00D173CD">
        <w:rPr>
          <w:lang w:val="hu-HU"/>
        </w:rPr>
        <w:t xml:space="preserve">pedig </w:t>
      </w:r>
      <w:r w:rsidRPr="00D173CD">
        <w:rPr>
          <w:lang w:val="hu-HU"/>
        </w:rPr>
        <w:t>97,9%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os. </w:t>
      </w:r>
    </w:p>
    <w:p w14:paraId="6539EF9C" w14:textId="45DDCA65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Az alkalmazást követően egy héttel az adag 38%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 ürül ki a vizelettel, és 48%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>a a széklettel. A változatlan nebivolol vizelettel történő kiválasztása kevesebb mint az alkalmazott adag 0,5%</w:t>
      </w:r>
      <w:r w:rsidR="00794FFC" w:rsidRPr="00D173CD">
        <w:rPr>
          <w:lang w:val="hu-HU"/>
        </w:rPr>
        <w:noBreakHyphen/>
      </w:r>
      <w:r w:rsidR="00DE6F9B" w:rsidRPr="00D173CD">
        <w:rPr>
          <w:lang w:val="hu-HU"/>
        </w:rPr>
        <w:t>a.</w:t>
      </w:r>
    </w:p>
    <w:p w14:paraId="7AAA25A2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C72C29E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5.3</w:t>
      </w:r>
      <w:r w:rsidRPr="00D173CD">
        <w:rPr>
          <w:rFonts w:ascii="Times New Roman" w:hAnsi="Times New Roman" w:cs="Times New Roman"/>
        </w:rPr>
        <w:tab/>
        <w:t>A preklinikai biztonságossági vizsgálatok eredményei</w:t>
      </w:r>
    </w:p>
    <w:p w14:paraId="09A11087" w14:textId="77777777" w:rsidR="006E2916" w:rsidRPr="00D173CD" w:rsidRDefault="006E2916" w:rsidP="00D173CD">
      <w:pPr>
        <w:pStyle w:val="Normlbehzs"/>
        <w:keepNext/>
        <w:tabs>
          <w:tab w:val="left" w:pos="567"/>
        </w:tabs>
        <w:spacing w:after="0"/>
        <w:ind w:left="0"/>
        <w:rPr>
          <w:lang w:val="hu-HU"/>
        </w:rPr>
      </w:pPr>
    </w:p>
    <w:p w14:paraId="0303B887" w14:textId="308C9174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hagyományos 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 genotoxicitási,</w:t>
      </w:r>
      <w:r w:rsidR="00927C20" w:rsidRPr="00D173CD">
        <w:rPr>
          <w:lang w:val="hu-HU"/>
        </w:rPr>
        <w:t xml:space="preserve"> reprodukcióra-</w:t>
      </w:r>
      <w:r w:rsidR="00C541E9" w:rsidRPr="00D173CD">
        <w:rPr>
          <w:lang w:val="hu-HU"/>
        </w:rPr>
        <w:t xml:space="preserve"> és fejlődésre kifejtett toxicitási és</w:t>
      </w:r>
      <w:r w:rsidRPr="00D173CD">
        <w:rPr>
          <w:lang w:val="hu-HU"/>
        </w:rPr>
        <w:t xml:space="preserve"> karcinogenitási </w:t>
      </w:r>
      <w:r w:rsidR="00794FFC" w:rsidRPr="00D173CD">
        <w:rPr>
          <w:lang w:val="hu-HU"/>
        </w:rPr>
        <w:noBreakHyphen/>
      </w:r>
      <w:r w:rsidRPr="00D173CD">
        <w:rPr>
          <w:lang w:val="hu-HU"/>
        </w:rPr>
        <w:t xml:space="preserve"> vizsgálatokból származó </w:t>
      </w:r>
      <w:r w:rsidR="003E54E5" w:rsidRPr="00D173CD">
        <w:rPr>
          <w:lang w:val="hu-HU"/>
        </w:rPr>
        <w:t xml:space="preserve">nem </w:t>
      </w:r>
      <w:r w:rsidRPr="00D173CD">
        <w:rPr>
          <w:lang w:val="hu-HU"/>
        </w:rPr>
        <w:t>klinika</w:t>
      </w:r>
      <w:r w:rsidR="00430681" w:rsidRPr="00D173CD">
        <w:rPr>
          <w:lang w:val="hu-HU"/>
        </w:rPr>
        <w:t xml:space="preserve">i </w:t>
      </w:r>
      <w:r w:rsidR="003E54E5" w:rsidRPr="00D173CD">
        <w:rPr>
          <w:lang w:val="hu-HU"/>
        </w:rPr>
        <w:t xml:space="preserve">jellegű </w:t>
      </w:r>
      <w:r w:rsidRPr="00D173CD">
        <w:rPr>
          <w:lang w:val="hu-HU"/>
        </w:rPr>
        <w:t>adatok azt igazolták, hogy a készítmény</w:t>
      </w:r>
      <w:r w:rsidR="003E54E5" w:rsidRPr="00D173CD">
        <w:rPr>
          <w:lang w:val="hu-HU"/>
        </w:rPr>
        <w:t xml:space="preserve"> alkalmazásakor humán vonatkozásban</w:t>
      </w:r>
      <w:r w:rsidRPr="00D173CD">
        <w:rPr>
          <w:lang w:val="hu-HU"/>
        </w:rPr>
        <w:t xml:space="preserve"> különleges </w:t>
      </w:r>
      <w:r w:rsidR="003E54E5" w:rsidRPr="00D173CD">
        <w:rPr>
          <w:lang w:val="hu-HU"/>
        </w:rPr>
        <w:t>kockázat nem várható</w:t>
      </w:r>
      <w:r w:rsidRPr="00D173CD">
        <w:rPr>
          <w:lang w:val="hu-HU"/>
        </w:rPr>
        <w:t>.</w:t>
      </w:r>
    </w:p>
    <w:p w14:paraId="62EDC16F" w14:textId="6DDE0CF6" w:rsidR="00A25C0D" w:rsidRPr="00D173CD" w:rsidRDefault="00A25C0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AA42EED" w14:textId="7875A66E" w:rsidR="00A25C0D" w:rsidRPr="00D173CD" w:rsidRDefault="00A25C0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 reproduktív funkcióra gyakorolt mellékhatásokat csak nagy dózisok esetén jelentettek, amelyek többszörösen meghaladták a m</w:t>
      </w:r>
      <w:r w:rsidR="00296EB4" w:rsidRPr="00D173CD">
        <w:rPr>
          <w:lang w:val="hu-HU"/>
        </w:rPr>
        <w:t>a</w:t>
      </w:r>
      <w:r w:rsidRPr="00D173CD">
        <w:rPr>
          <w:lang w:val="hu-HU"/>
        </w:rPr>
        <w:t>ximálisan ajánlott humán dózist</w:t>
      </w:r>
      <w:r w:rsidR="00296EB4" w:rsidRPr="00D173CD">
        <w:rPr>
          <w:lang w:val="hu-HU"/>
        </w:rPr>
        <w:t xml:space="preserve"> (lásd 4.6 pont).</w:t>
      </w:r>
    </w:p>
    <w:p w14:paraId="40CAD056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FA73D0D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0DDDE2FC" w14:textId="77777777" w:rsidR="009548D9" w:rsidRPr="00D173CD" w:rsidRDefault="009548D9" w:rsidP="00D173CD">
      <w:pPr>
        <w:pStyle w:val="Cmsor1"/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sz w:val="22"/>
          <w:szCs w:val="22"/>
          <w:lang w:val="hu-HU"/>
        </w:rPr>
      </w:pP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6</w:t>
      </w:r>
      <w:r w:rsidR="00080C8B"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.</w:t>
      </w: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ab/>
        <w:t>GYÓGYSZERÉSZETI JELLEMZŐK</w:t>
      </w:r>
    </w:p>
    <w:p w14:paraId="1459870F" w14:textId="77777777" w:rsidR="006E2916" w:rsidRPr="00D173CD" w:rsidRDefault="006E2916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</w:p>
    <w:p w14:paraId="499F160D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6.1</w:t>
      </w:r>
      <w:r w:rsidRPr="00D173CD">
        <w:rPr>
          <w:rFonts w:ascii="Times New Roman" w:hAnsi="Times New Roman" w:cs="Times New Roman"/>
        </w:rPr>
        <w:tab/>
        <w:t>Segédanyagok felsorolása</w:t>
      </w:r>
    </w:p>
    <w:p w14:paraId="771DD520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E8615C0" w14:textId="1BB4DBA5" w:rsidR="009548D9" w:rsidRPr="00D173CD" w:rsidRDefault="000E6ED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>
        <w:rPr>
          <w:lang w:val="hu-HU"/>
        </w:rPr>
        <w:lastRenderedPageBreak/>
        <w:t>l</w:t>
      </w:r>
      <w:r w:rsidR="009548D9" w:rsidRPr="00D173CD">
        <w:rPr>
          <w:lang w:val="hu-HU"/>
        </w:rPr>
        <w:t>aktóz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monohidrát</w:t>
      </w:r>
    </w:p>
    <w:p w14:paraId="08FD3A99" w14:textId="045B0DE1" w:rsidR="009548D9" w:rsidRPr="00D173CD" w:rsidRDefault="000E6ED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>
        <w:rPr>
          <w:lang w:val="hu-HU"/>
        </w:rPr>
        <w:t>k</w:t>
      </w:r>
      <w:r w:rsidR="00DE6F9B" w:rsidRPr="00D173CD">
        <w:rPr>
          <w:lang w:val="hu-HU"/>
        </w:rPr>
        <w:t>ukoricakeményítő</w:t>
      </w:r>
    </w:p>
    <w:p w14:paraId="75BDBCDF" w14:textId="34302869" w:rsidR="009548D9" w:rsidRPr="00D173CD" w:rsidRDefault="000E6ED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>
        <w:rPr>
          <w:lang w:val="hu-HU"/>
        </w:rPr>
        <w:t>k</w:t>
      </w:r>
      <w:r w:rsidR="009548D9" w:rsidRPr="00D173CD">
        <w:rPr>
          <w:lang w:val="hu-HU"/>
        </w:rPr>
        <w:t>roszkarmellóz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nátrium</w:t>
      </w:r>
    </w:p>
    <w:p w14:paraId="0B03A72F" w14:textId="368B1C69" w:rsidR="009548D9" w:rsidRPr="00D173CD" w:rsidRDefault="000E6ED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>
        <w:rPr>
          <w:lang w:val="hu-HU"/>
        </w:rPr>
        <w:t>h</w:t>
      </w:r>
      <w:r w:rsidR="009548D9" w:rsidRPr="00D173CD">
        <w:rPr>
          <w:lang w:val="hu-HU"/>
        </w:rPr>
        <w:t>ipromellóz</w:t>
      </w:r>
    </w:p>
    <w:p w14:paraId="26316668" w14:textId="11CDC0F0" w:rsidR="009548D9" w:rsidRPr="00D173CD" w:rsidRDefault="000E6ED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>
        <w:rPr>
          <w:lang w:val="hu-HU"/>
        </w:rPr>
        <w:t>m</w:t>
      </w:r>
      <w:r w:rsidR="009548D9" w:rsidRPr="00D173CD">
        <w:rPr>
          <w:lang w:val="hu-HU"/>
        </w:rPr>
        <w:t>ikrokristályos cellulóz</w:t>
      </w:r>
    </w:p>
    <w:p w14:paraId="50325D53" w14:textId="1D6F7408" w:rsidR="0063406C" w:rsidRPr="00D173CD" w:rsidRDefault="000E6ED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>
        <w:rPr>
          <w:lang w:val="hu-HU"/>
        </w:rPr>
        <w:t>v</w:t>
      </w:r>
      <w:r w:rsidR="009548D9" w:rsidRPr="00D173CD">
        <w:rPr>
          <w:lang w:val="hu-HU"/>
        </w:rPr>
        <w:t>ízmentes</w:t>
      </w:r>
      <w:r w:rsidR="001E11F2">
        <w:rPr>
          <w:lang w:val="hu-HU"/>
        </w:rPr>
        <w:t>,</w:t>
      </w:r>
      <w:r w:rsidR="009548D9" w:rsidRPr="00D173CD">
        <w:rPr>
          <w:lang w:val="hu-HU"/>
        </w:rPr>
        <w:t xml:space="preserve"> kolloid szilícium</w:t>
      </w:r>
      <w:r w:rsidR="00794FFC" w:rsidRPr="00D173CD">
        <w:rPr>
          <w:lang w:val="hu-HU"/>
        </w:rPr>
        <w:noBreakHyphen/>
      </w:r>
      <w:r w:rsidR="00DE6F9B" w:rsidRPr="00D173CD">
        <w:rPr>
          <w:lang w:val="hu-HU"/>
        </w:rPr>
        <w:t>dioxid</w:t>
      </w:r>
    </w:p>
    <w:p w14:paraId="3733262D" w14:textId="57C31D43" w:rsidR="009548D9" w:rsidRPr="00D173CD" w:rsidRDefault="000E6EDD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>
        <w:rPr>
          <w:lang w:val="hu-HU"/>
        </w:rPr>
        <w:t>m</w:t>
      </w:r>
      <w:r w:rsidR="009548D9" w:rsidRPr="00D173CD">
        <w:rPr>
          <w:lang w:val="hu-HU"/>
        </w:rPr>
        <w:t>agnézium</w:t>
      </w:r>
      <w:r w:rsidR="00794FFC" w:rsidRPr="00D173CD">
        <w:rPr>
          <w:lang w:val="hu-HU"/>
        </w:rPr>
        <w:noBreakHyphen/>
      </w:r>
      <w:r w:rsidR="009548D9" w:rsidRPr="00D173CD">
        <w:rPr>
          <w:lang w:val="hu-HU"/>
        </w:rPr>
        <w:t>sztearát</w:t>
      </w:r>
    </w:p>
    <w:p w14:paraId="404C4AD7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9DFE050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6.2</w:t>
      </w:r>
      <w:r w:rsidRPr="00D173CD">
        <w:rPr>
          <w:rFonts w:ascii="Times New Roman" w:hAnsi="Times New Roman" w:cs="Times New Roman"/>
        </w:rPr>
        <w:tab/>
        <w:t>Inkompatibilitások</w:t>
      </w:r>
    </w:p>
    <w:p w14:paraId="2CAD3E79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0D426088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Nem értelmezhető</w:t>
      </w:r>
      <w:r w:rsidR="00D063A5" w:rsidRPr="00D173CD">
        <w:rPr>
          <w:lang w:val="hu-HU"/>
        </w:rPr>
        <w:t>.</w:t>
      </w:r>
    </w:p>
    <w:p w14:paraId="467DFA34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9F46A97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6.3</w:t>
      </w:r>
      <w:r w:rsidRPr="00D173CD">
        <w:rPr>
          <w:rFonts w:ascii="Times New Roman" w:hAnsi="Times New Roman" w:cs="Times New Roman"/>
        </w:rPr>
        <w:tab/>
        <w:t>Felhasználhatósági időtartam</w:t>
      </w:r>
    </w:p>
    <w:p w14:paraId="60AA0A8E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663D268" w14:textId="77777777" w:rsidR="009548D9" w:rsidRPr="00D173CD" w:rsidRDefault="00BF706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3</w:t>
      </w:r>
      <w:r w:rsidR="009163A0" w:rsidRPr="00D173CD">
        <w:rPr>
          <w:lang w:val="hu-HU"/>
        </w:rPr>
        <w:t> </w:t>
      </w:r>
      <w:r w:rsidRPr="00D173CD">
        <w:rPr>
          <w:lang w:val="hu-HU"/>
        </w:rPr>
        <w:t>év</w:t>
      </w:r>
    </w:p>
    <w:p w14:paraId="6E8BE467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07C630BE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6.4</w:t>
      </w:r>
      <w:r w:rsidRPr="00D173CD">
        <w:rPr>
          <w:rFonts w:ascii="Times New Roman" w:hAnsi="Times New Roman" w:cs="Times New Roman"/>
        </w:rPr>
        <w:tab/>
        <w:t>Különleges tárolási előírások</w:t>
      </w:r>
    </w:p>
    <w:p w14:paraId="59489D19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51BFAB23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Ez a gyógyszer nem igényel különleges tárolást.</w:t>
      </w:r>
    </w:p>
    <w:p w14:paraId="41153C80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6BECBB8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6.5</w:t>
      </w:r>
      <w:r w:rsidRPr="00D173CD">
        <w:rPr>
          <w:rFonts w:ascii="Times New Roman" w:hAnsi="Times New Roman" w:cs="Times New Roman"/>
        </w:rPr>
        <w:tab/>
        <w:t>Csomagolás típusa és kiszerelése</w:t>
      </w:r>
    </w:p>
    <w:p w14:paraId="409A4E26" w14:textId="77777777" w:rsidR="006E2916" w:rsidRPr="00D173CD" w:rsidRDefault="006E2916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AB4EEC1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PVC/PVdC//</w:t>
      </w:r>
      <w:r w:rsidR="007C5F28" w:rsidRPr="00D173CD">
        <w:rPr>
          <w:lang w:val="hu-HU"/>
        </w:rPr>
        <w:t xml:space="preserve">Al </w:t>
      </w:r>
      <w:r w:rsidRPr="00D173CD">
        <w:rPr>
          <w:lang w:val="hu-HU"/>
        </w:rPr>
        <w:t>buborék</w:t>
      </w:r>
      <w:r w:rsidR="00533AAB" w:rsidRPr="00D173CD">
        <w:rPr>
          <w:lang w:val="hu-HU"/>
        </w:rPr>
        <w:t>csomagolás</w:t>
      </w:r>
    </w:p>
    <w:p w14:paraId="0A3851FC" w14:textId="6DFA877E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Kiszerelés:  30, </w:t>
      </w:r>
      <w:r w:rsidR="00D10C5D" w:rsidRPr="00D173CD">
        <w:rPr>
          <w:lang w:val="hu-HU"/>
        </w:rPr>
        <w:t xml:space="preserve">90, </w:t>
      </w:r>
      <w:r w:rsidR="00472B7F" w:rsidRPr="00D173CD">
        <w:rPr>
          <w:lang w:val="hu-HU"/>
        </w:rPr>
        <w:t>98</w:t>
      </w:r>
      <w:r w:rsidR="008E0B49" w:rsidRPr="00D173CD">
        <w:rPr>
          <w:lang w:val="hu-HU"/>
        </w:rPr>
        <w:t> </w:t>
      </w:r>
      <w:r w:rsidR="008C1521">
        <w:rPr>
          <w:lang w:val="hu-HU"/>
        </w:rPr>
        <w:t>vagy</w:t>
      </w:r>
      <w:r w:rsidR="00472B7F" w:rsidRPr="00D173CD">
        <w:rPr>
          <w:lang w:val="hu-HU"/>
        </w:rPr>
        <w:t xml:space="preserve"> </w:t>
      </w:r>
      <w:r w:rsidRPr="00D173CD">
        <w:rPr>
          <w:lang w:val="hu-HU"/>
        </w:rPr>
        <w:t>100</w:t>
      </w:r>
      <w:r w:rsidR="008E0B49" w:rsidRPr="00D173CD">
        <w:rPr>
          <w:lang w:val="hu-HU"/>
        </w:rPr>
        <w:t> </w:t>
      </w:r>
      <w:r w:rsidR="00445135" w:rsidRPr="00D173CD">
        <w:rPr>
          <w:lang w:val="hu-HU"/>
        </w:rPr>
        <w:t>d</w:t>
      </w:r>
      <w:r w:rsidR="008C1521">
        <w:rPr>
          <w:lang w:val="hu-HU"/>
        </w:rPr>
        <w:t>ara</w:t>
      </w:r>
      <w:r w:rsidR="00445135" w:rsidRPr="00D173CD">
        <w:rPr>
          <w:lang w:val="hu-HU"/>
        </w:rPr>
        <w:t>b</w:t>
      </w:r>
      <w:r w:rsidR="00362366" w:rsidRPr="00D173CD">
        <w:rPr>
          <w:lang w:val="hu-HU"/>
        </w:rPr>
        <w:t xml:space="preserve"> tabletta</w:t>
      </w:r>
    </w:p>
    <w:p w14:paraId="2DADEB5E" w14:textId="77777777" w:rsidR="00D063A5" w:rsidRPr="00D173CD" w:rsidRDefault="00D063A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042B3F2E" w14:textId="77777777" w:rsidR="009548D9" w:rsidRPr="00D173CD" w:rsidRDefault="007C5F28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Al</w:t>
      </w:r>
      <w:r w:rsidR="009548D9" w:rsidRPr="00D173CD">
        <w:rPr>
          <w:lang w:val="hu-HU"/>
        </w:rPr>
        <w:t>/</w:t>
      </w:r>
      <w:r w:rsidRPr="00D173CD">
        <w:rPr>
          <w:lang w:val="hu-HU"/>
        </w:rPr>
        <w:t>Al</w:t>
      </w:r>
      <w:r w:rsidR="009548D9" w:rsidRPr="00D173CD">
        <w:rPr>
          <w:lang w:val="hu-HU"/>
        </w:rPr>
        <w:t xml:space="preserve"> buborék</w:t>
      </w:r>
      <w:r w:rsidR="00533AAB" w:rsidRPr="00D173CD">
        <w:rPr>
          <w:lang w:val="hu-HU"/>
        </w:rPr>
        <w:t>csomagolás</w:t>
      </w:r>
    </w:p>
    <w:p w14:paraId="0A238CE0" w14:textId="03CD60DA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 xml:space="preserve">Kiszerelés: 30, </w:t>
      </w:r>
      <w:r w:rsidR="00D10C5D" w:rsidRPr="00D173CD">
        <w:rPr>
          <w:lang w:val="hu-HU"/>
        </w:rPr>
        <w:t xml:space="preserve">90, </w:t>
      </w:r>
      <w:r w:rsidR="00472B7F" w:rsidRPr="00D173CD">
        <w:rPr>
          <w:lang w:val="hu-HU"/>
        </w:rPr>
        <w:t>98</w:t>
      </w:r>
      <w:r w:rsidR="008C1521">
        <w:rPr>
          <w:lang w:val="hu-HU"/>
        </w:rPr>
        <w:t xml:space="preserve"> vagy</w:t>
      </w:r>
      <w:r w:rsidR="00472B7F" w:rsidRPr="00D173CD">
        <w:rPr>
          <w:lang w:val="hu-HU"/>
        </w:rPr>
        <w:t xml:space="preserve"> </w:t>
      </w:r>
      <w:r w:rsidRPr="00D173CD">
        <w:rPr>
          <w:lang w:val="hu-HU"/>
        </w:rPr>
        <w:t>100</w:t>
      </w:r>
      <w:r w:rsidR="008E0B49" w:rsidRPr="00D173CD">
        <w:rPr>
          <w:lang w:val="hu-HU"/>
        </w:rPr>
        <w:t> </w:t>
      </w:r>
      <w:r w:rsidR="00445135" w:rsidRPr="00D173CD">
        <w:rPr>
          <w:lang w:val="hu-HU"/>
        </w:rPr>
        <w:t>d</w:t>
      </w:r>
      <w:r w:rsidR="008C1521">
        <w:rPr>
          <w:lang w:val="hu-HU"/>
        </w:rPr>
        <w:t>ara</w:t>
      </w:r>
      <w:r w:rsidR="00445135" w:rsidRPr="00D173CD">
        <w:rPr>
          <w:lang w:val="hu-HU"/>
        </w:rPr>
        <w:t>b</w:t>
      </w:r>
      <w:r w:rsidR="00362366" w:rsidRPr="00D173CD">
        <w:rPr>
          <w:lang w:val="hu-HU"/>
        </w:rPr>
        <w:t xml:space="preserve"> tabletta</w:t>
      </w:r>
    </w:p>
    <w:p w14:paraId="10E01397" w14:textId="77777777" w:rsidR="00D063A5" w:rsidRPr="00D173CD" w:rsidRDefault="00D063A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7F5C53C1" w14:textId="77777777" w:rsidR="009548D9" w:rsidRPr="00D173CD" w:rsidRDefault="009548D9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lang w:val="hu-HU"/>
        </w:rPr>
        <w:t>Nem feltétlenül mindegyik kiszerelés kerül kereskedelmi forgalomba.</w:t>
      </w:r>
    </w:p>
    <w:p w14:paraId="14061365" w14:textId="77777777" w:rsidR="00D063A5" w:rsidRPr="00D173CD" w:rsidRDefault="00D063A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4822BBF8" w14:textId="77777777" w:rsidR="009548D9" w:rsidRPr="00D173CD" w:rsidRDefault="009548D9" w:rsidP="00D173CD">
      <w:pPr>
        <w:pStyle w:val="Cmsor2"/>
        <w:tabs>
          <w:tab w:val="left" w:pos="567"/>
        </w:tabs>
        <w:ind w:left="0" w:right="0"/>
        <w:rPr>
          <w:rFonts w:ascii="Times New Roman" w:hAnsi="Times New Roman" w:cs="Times New Roman"/>
        </w:rPr>
      </w:pPr>
      <w:r w:rsidRPr="00D173CD">
        <w:rPr>
          <w:rFonts w:ascii="Times New Roman" w:hAnsi="Times New Roman" w:cs="Times New Roman"/>
        </w:rPr>
        <w:t>6.6</w:t>
      </w:r>
      <w:r w:rsidRPr="00D173CD">
        <w:rPr>
          <w:rFonts w:ascii="Times New Roman" w:hAnsi="Times New Roman" w:cs="Times New Roman"/>
        </w:rPr>
        <w:tab/>
        <w:t>A megsemmisítésre vonatkozó különleges óvintézkedések</w:t>
      </w:r>
      <w:r w:rsidR="00EA49A8" w:rsidRPr="00D173CD">
        <w:rPr>
          <w:rFonts w:ascii="Times New Roman" w:hAnsi="Times New Roman" w:cs="Times New Roman"/>
        </w:rPr>
        <w:t xml:space="preserve"> és egyéb, a készítmény kezelésével kapcsolatos információk</w:t>
      </w:r>
    </w:p>
    <w:p w14:paraId="7791EE5C" w14:textId="77777777" w:rsidR="00D063A5" w:rsidRPr="00D173CD" w:rsidRDefault="00D063A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34723463" w14:textId="77777777" w:rsidR="009548D9" w:rsidRPr="00D173CD" w:rsidRDefault="002E37CA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  <w:r w:rsidRPr="00D173CD">
        <w:rPr>
          <w:rFonts w:eastAsia="Times New Roman"/>
          <w:noProof/>
          <w:snapToGrid/>
          <w:lang w:val="hu-HU" w:eastAsia="en-US"/>
        </w:rPr>
        <w:t>Bármilyen fel nem használt gyógyszer, illetve hulladékanyag megsemmisítését a gyógyszerekre vonatkozó előírások szerint kell végrehajtani.</w:t>
      </w:r>
    </w:p>
    <w:p w14:paraId="1C508246" w14:textId="77777777" w:rsidR="00BF7068" w:rsidRPr="00D173CD" w:rsidRDefault="00BF7068" w:rsidP="00D173CD">
      <w:pPr>
        <w:rPr>
          <w:b/>
          <w:sz w:val="22"/>
          <w:szCs w:val="22"/>
          <w:lang w:val="hu-HU"/>
        </w:rPr>
      </w:pPr>
    </w:p>
    <w:p w14:paraId="57A275C5" w14:textId="77777777" w:rsidR="00080C8B" w:rsidRPr="00D173CD" w:rsidRDefault="00080C8B" w:rsidP="00D173CD">
      <w:pPr>
        <w:rPr>
          <w:sz w:val="22"/>
          <w:szCs w:val="22"/>
          <w:lang w:val="hu-HU"/>
        </w:rPr>
      </w:pPr>
      <w:r w:rsidRPr="00D173CD">
        <w:rPr>
          <w:b/>
          <w:sz w:val="22"/>
          <w:szCs w:val="22"/>
          <w:lang w:val="hu-HU"/>
        </w:rPr>
        <w:t>Megjegyzés:</w:t>
      </w:r>
      <w:r w:rsidR="00BF7068" w:rsidRPr="00D173CD">
        <w:rPr>
          <w:b/>
          <w:sz w:val="22"/>
          <w:szCs w:val="22"/>
          <w:lang w:val="hu-HU"/>
        </w:rPr>
        <w:t xml:space="preserve"> </w:t>
      </w:r>
      <w:r w:rsidR="00BF7068" w:rsidRPr="00D173CD">
        <w:rPr>
          <w:sz w:val="22"/>
          <w:szCs w:val="22"/>
          <w:lang w:val="hu-HU"/>
        </w:rPr>
        <w:sym w:font="Wingdings" w:char="F058"/>
      </w:r>
      <w:r w:rsidR="00BF7068" w:rsidRPr="00D173CD">
        <w:rPr>
          <w:sz w:val="22"/>
          <w:szCs w:val="22"/>
          <w:lang w:val="hu-HU"/>
        </w:rPr>
        <w:t xml:space="preserve"> (egy keresztes)</w:t>
      </w:r>
    </w:p>
    <w:p w14:paraId="0E8CE534" w14:textId="77777777" w:rsidR="00080C8B" w:rsidRPr="00D173CD" w:rsidRDefault="00080C8B" w:rsidP="00D173CD">
      <w:pPr>
        <w:rPr>
          <w:sz w:val="22"/>
          <w:szCs w:val="22"/>
          <w:lang w:val="hu-HU"/>
        </w:rPr>
      </w:pPr>
      <w:r w:rsidRPr="00D173CD">
        <w:rPr>
          <w:b/>
          <w:sz w:val="22"/>
          <w:szCs w:val="22"/>
          <w:lang w:val="hu-HU"/>
        </w:rPr>
        <w:t>Osztályozás:</w:t>
      </w:r>
      <w:r w:rsidRPr="00D173CD">
        <w:rPr>
          <w:sz w:val="22"/>
          <w:szCs w:val="22"/>
          <w:lang w:val="hu-HU"/>
        </w:rPr>
        <w:t xml:space="preserve"> </w:t>
      </w:r>
      <w:r w:rsidRPr="00D173CD">
        <w:rPr>
          <w:b/>
          <w:sz w:val="22"/>
          <w:szCs w:val="22"/>
          <w:lang w:val="hu-HU"/>
        </w:rPr>
        <w:t>II. csoport</w:t>
      </w:r>
    </w:p>
    <w:p w14:paraId="4E41BF2D" w14:textId="77777777" w:rsidR="00080C8B" w:rsidRPr="00D173CD" w:rsidRDefault="00080C8B" w:rsidP="00D173CD">
      <w:pPr>
        <w:rPr>
          <w:b/>
          <w:sz w:val="22"/>
          <w:szCs w:val="22"/>
          <w:lang w:val="hu-HU"/>
        </w:rPr>
      </w:pPr>
      <w:r w:rsidRPr="00D173CD">
        <w:rPr>
          <w:sz w:val="22"/>
          <w:szCs w:val="22"/>
          <w:lang w:val="hu-HU"/>
        </w:rPr>
        <w:t>Kizárólag orvosi rendelvényhez kötött gyógyszer (V).</w:t>
      </w:r>
    </w:p>
    <w:p w14:paraId="4B4FFF88" w14:textId="77777777" w:rsidR="00080C8B" w:rsidRPr="00D173CD" w:rsidRDefault="00080C8B" w:rsidP="00D173CD">
      <w:pPr>
        <w:tabs>
          <w:tab w:val="left" w:pos="567"/>
        </w:tabs>
        <w:rPr>
          <w:sz w:val="22"/>
          <w:szCs w:val="22"/>
          <w:lang w:val="hu-HU"/>
        </w:rPr>
      </w:pPr>
    </w:p>
    <w:p w14:paraId="570AEA9B" w14:textId="77777777" w:rsidR="00794FFC" w:rsidRPr="00D173CD" w:rsidRDefault="00794FFC" w:rsidP="00D173CD">
      <w:pPr>
        <w:tabs>
          <w:tab w:val="left" w:pos="567"/>
        </w:tabs>
        <w:rPr>
          <w:sz w:val="22"/>
          <w:szCs w:val="22"/>
          <w:lang w:val="hu-HU"/>
        </w:rPr>
      </w:pPr>
    </w:p>
    <w:p w14:paraId="58D73338" w14:textId="77777777" w:rsidR="009548D9" w:rsidRPr="00D173CD" w:rsidRDefault="009548D9" w:rsidP="00D173CD">
      <w:pPr>
        <w:pStyle w:val="Cmsor1"/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sz w:val="22"/>
          <w:szCs w:val="22"/>
          <w:lang w:val="hu-HU"/>
        </w:rPr>
      </w:pP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7</w:t>
      </w:r>
      <w:r w:rsidR="00D063A5"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.</w:t>
      </w: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ab/>
        <w:t>A FORGALOMBA HOZATALI ENGEDÉLY JOGOSULTJA</w:t>
      </w:r>
    </w:p>
    <w:p w14:paraId="52D4CF4C" w14:textId="77777777" w:rsidR="009548D9" w:rsidRPr="00D173CD" w:rsidRDefault="009548D9" w:rsidP="00D173CD">
      <w:pPr>
        <w:tabs>
          <w:tab w:val="left" w:pos="567"/>
        </w:tabs>
        <w:rPr>
          <w:sz w:val="22"/>
          <w:szCs w:val="22"/>
          <w:lang w:val="hu-HU"/>
        </w:rPr>
      </w:pPr>
    </w:p>
    <w:p w14:paraId="49217C49" w14:textId="77777777" w:rsidR="00050A9E" w:rsidRPr="00D173CD" w:rsidRDefault="00050A9E" w:rsidP="00D173CD">
      <w:pPr>
        <w:ind w:right="45"/>
        <w:rPr>
          <w:rFonts w:eastAsia="Times New Roman"/>
          <w:sz w:val="22"/>
          <w:szCs w:val="22"/>
          <w:lang w:val="hu-HU"/>
        </w:rPr>
      </w:pPr>
      <w:r w:rsidRPr="00D173CD">
        <w:rPr>
          <w:rFonts w:eastAsia="Times New Roman"/>
          <w:sz w:val="22"/>
          <w:szCs w:val="22"/>
          <w:lang w:val="hu-HU"/>
        </w:rPr>
        <w:t>Egis Gyógyszergyár Zrt.</w:t>
      </w:r>
    </w:p>
    <w:p w14:paraId="24A9E905" w14:textId="77777777" w:rsidR="00050A9E" w:rsidRPr="00D173CD" w:rsidRDefault="00050A9E" w:rsidP="00D173CD">
      <w:pPr>
        <w:ind w:right="45"/>
        <w:rPr>
          <w:rFonts w:eastAsia="Times New Roman"/>
          <w:sz w:val="22"/>
          <w:szCs w:val="22"/>
          <w:lang w:val="hu-HU"/>
        </w:rPr>
      </w:pPr>
      <w:r w:rsidRPr="00D173CD">
        <w:rPr>
          <w:rFonts w:eastAsia="Times New Roman"/>
          <w:sz w:val="22"/>
          <w:szCs w:val="22"/>
          <w:lang w:val="hu-HU"/>
        </w:rPr>
        <w:t>1106 Budapest, Keresztúri út 30-38.</w:t>
      </w:r>
    </w:p>
    <w:p w14:paraId="255D18E5" w14:textId="77777777" w:rsidR="00050A9E" w:rsidRPr="00D173CD" w:rsidRDefault="00050A9E" w:rsidP="00D173CD">
      <w:pPr>
        <w:ind w:right="45"/>
        <w:rPr>
          <w:rFonts w:eastAsia="Times New Roman"/>
          <w:sz w:val="22"/>
          <w:szCs w:val="22"/>
          <w:lang w:val="hu-HU"/>
        </w:rPr>
      </w:pPr>
      <w:r w:rsidRPr="00D173CD">
        <w:rPr>
          <w:rFonts w:eastAsia="Times New Roman"/>
          <w:sz w:val="22"/>
          <w:szCs w:val="22"/>
          <w:lang w:val="hu-HU"/>
        </w:rPr>
        <w:t>Magyarország</w:t>
      </w:r>
    </w:p>
    <w:p w14:paraId="7F90C5E1" w14:textId="77777777" w:rsidR="00EE53EC" w:rsidRPr="00D173CD" w:rsidRDefault="00EE53EC" w:rsidP="00D173CD">
      <w:pPr>
        <w:tabs>
          <w:tab w:val="left" w:pos="567"/>
        </w:tabs>
        <w:rPr>
          <w:sz w:val="22"/>
          <w:szCs w:val="22"/>
          <w:lang w:val="hu-HU"/>
        </w:rPr>
      </w:pPr>
    </w:p>
    <w:p w14:paraId="70044DE2" w14:textId="77777777" w:rsidR="00EE53EC" w:rsidRPr="00D173CD" w:rsidRDefault="00EE53EC" w:rsidP="00D173CD">
      <w:pPr>
        <w:tabs>
          <w:tab w:val="left" w:pos="567"/>
        </w:tabs>
        <w:rPr>
          <w:sz w:val="22"/>
          <w:szCs w:val="22"/>
          <w:lang w:val="hu-HU"/>
        </w:rPr>
      </w:pPr>
    </w:p>
    <w:p w14:paraId="702CCEC2" w14:textId="77777777" w:rsidR="009548D9" w:rsidRPr="00D173CD" w:rsidRDefault="009548D9" w:rsidP="00D173CD">
      <w:pPr>
        <w:pStyle w:val="Cmsor1"/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sz w:val="22"/>
          <w:szCs w:val="22"/>
          <w:lang w:val="hu-HU"/>
        </w:rPr>
      </w:pP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8</w:t>
      </w:r>
      <w:r w:rsidR="00D063A5"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.</w:t>
      </w: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ab/>
        <w:t>A FORGALOMBA HOZATALI ENGEDÉLY SZÁMA(I)</w:t>
      </w:r>
    </w:p>
    <w:p w14:paraId="0204EBD4" w14:textId="77777777" w:rsidR="00D063A5" w:rsidRPr="00D173CD" w:rsidRDefault="00D063A5" w:rsidP="00D173CD">
      <w:pPr>
        <w:keepNext/>
        <w:tabs>
          <w:tab w:val="left" w:pos="567"/>
        </w:tabs>
        <w:rPr>
          <w:sz w:val="22"/>
          <w:szCs w:val="22"/>
          <w:lang w:val="hu-HU"/>
        </w:rPr>
      </w:pPr>
    </w:p>
    <w:p w14:paraId="11D7E787" w14:textId="77777777" w:rsidR="00F93526" w:rsidRPr="00D173CD" w:rsidRDefault="005D4A99" w:rsidP="00D173CD">
      <w:pPr>
        <w:tabs>
          <w:tab w:val="right" w:pos="2835"/>
        </w:tabs>
        <w:rPr>
          <w:sz w:val="22"/>
          <w:szCs w:val="22"/>
          <w:lang w:val="hu-HU"/>
        </w:rPr>
      </w:pPr>
      <w:r w:rsidRPr="00D173CD">
        <w:rPr>
          <w:sz w:val="22"/>
          <w:szCs w:val="22"/>
          <w:lang w:val="hu-HU"/>
        </w:rPr>
        <w:t>OGYI-T-21069/03</w:t>
      </w:r>
      <w:r w:rsidRPr="00D173CD">
        <w:rPr>
          <w:sz w:val="22"/>
          <w:szCs w:val="22"/>
          <w:lang w:val="hu-HU"/>
        </w:rPr>
        <w:tab/>
        <w:t>(30×)</w:t>
      </w:r>
    </w:p>
    <w:p w14:paraId="22D9F2C6" w14:textId="77777777" w:rsidR="00DE3747" w:rsidRPr="00D173CD" w:rsidRDefault="00DE3747" w:rsidP="00D173CD">
      <w:pPr>
        <w:tabs>
          <w:tab w:val="right" w:pos="2835"/>
        </w:tabs>
        <w:rPr>
          <w:sz w:val="22"/>
          <w:szCs w:val="22"/>
          <w:lang w:val="hu-HU"/>
        </w:rPr>
      </w:pPr>
      <w:r w:rsidRPr="00D173CD">
        <w:rPr>
          <w:sz w:val="22"/>
          <w:szCs w:val="22"/>
          <w:lang w:val="hu-HU"/>
        </w:rPr>
        <w:t>OGYI-T-21069/06</w:t>
      </w:r>
      <w:r w:rsidRPr="00D173CD">
        <w:rPr>
          <w:sz w:val="22"/>
          <w:szCs w:val="22"/>
          <w:lang w:val="hu-HU"/>
        </w:rPr>
        <w:tab/>
        <w:t>(90×)</w:t>
      </w:r>
    </w:p>
    <w:p w14:paraId="1E436069" w14:textId="77777777" w:rsidR="00C60706" w:rsidRPr="00D173CD" w:rsidRDefault="00472B7F" w:rsidP="00D173CD">
      <w:pPr>
        <w:tabs>
          <w:tab w:val="right" w:pos="2835"/>
        </w:tabs>
        <w:rPr>
          <w:sz w:val="22"/>
          <w:szCs w:val="22"/>
          <w:lang w:val="hu-HU"/>
        </w:rPr>
      </w:pPr>
      <w:r w:rsidRPr="00D173CD">
        <w:rPr>
          <w:sz w:val="22"/>
          <w:szCs w:val="22"/>
          <w:lang w:val="hu-HU"/>
        </w:rPr>
        <w:t>OGYI-T-21069/05</w:t>
      </w:r>
      <w:r w:rsidRPr="00D173CD">
        <w:rPr>
          <w:sz w:val="22"/>
          <w:szCs w:val="22"/>
          <w:lang w:val="hu-HU"/>
        </w:rPr>
        <w:tab/>
        <w:t>(98</w:t>
      </w:r>
      <w:r w:rsidR="00BF7068" w:rsidRPr="00D173CD">
        <w:rPr>
          <w:sz w:val="22"/>
          <w:szCs w:val="22"/>
          <w:lang w:val="hu-HU"/>
        </w:rPr>
        <w:t>×</w:t>
      </w:r>
      <w:r w:rsidRPr="00D173CD">
        <w:rPr>
          <w:sz w:val="22"/>
          <w:szCs w:val="22"/>
          <w:lang w:val="hu-HU"/>
        </w:rPr>
        <w:t>)</w:t>
      </w:r>
    </w:p>
    <w:p w14:paraId="19D664C1" w14:textId="77777777" w:rsidR="00F93526" w:rsidRPr="00D173CD" w:rsidRDefault="005D4A99" w:rsidP="00D173CD">
      <w:pPr>
        <w:tabs>
          <w:tab w:val="right" w:pos="2835"/>
        </w:tabs>
        <w:rPr>
          <w:sz w:val="22"/>
          <w:szCs w:val="22"/>
          <w:lang w:val="hu-HU"/>
        </w:rPr>
      </w:pPr>
      <w:r w:rsidRPr="00D173CD">
        <w:rPr>
          <w:sz w:val="22"/>
          <w:szCs w:val="22"/>
          <w:lang w:val="hu-HU"/>
        </w:rPr>
        <w:t>OGYI-T-21069/04</w:t>
      </w:r>
      <w:r w:rsidRPr="00D173CD">
        <w:rPr>
          <w:sz w:val="22"/>
          <w:szCs w:val="22"/>
          <w:lang w:val="hu-HU"/>
        </w:rPr>
        <w:tab/>
        <w:t>(100×)</w:t>
      </w:r>
    </w:p>
    <w:p w14:paraId="50E3F3F7" w14:textId="77777777" w:rsidR="005D4A99" w:rsidRPr="00D173CD" w:rsidRDefault="005D4A99" w:rsidP="00D173CD">
      <w:pPr>
        <w:tabs>
          <w:tab w:val="left" w:pos="567"/>
        </w:tabs>
        <w:rPr>
          <w:sz w:val="22"/>
          <w:szCs w:val="22"/>
          <w:lang w:val="hu-HU"/>
        </w:rPr>
      </w:pPr>
    </w:p>
    <w:p w14:paraId="541318E1" w14:textId="77777777" w:rsidR="005D4A99" w:rsidRPr="00D173CD" w:rsidRDefault="005D4A99" w:rsidP="00D173CD">
      <w:pPr>
        <w:tabs>
          <w:tab w:val="left" w:pos="567"/>
        </w:tabs>
        <w:rPr>
          <w:sz w:val="22"/>
          <w:szCs w:val="22"/>
          <w:lang w:val="hu-HU"/>
        </w:rPr>
      </w:pPr>
    </w:p>
    <w:p w14:paraId="7BAE5AE2" w14:textId="77777777" w:rsidR="009548D9" w:rsidRPr="00D173CD" w:rsidRDefault="009548D9" w:rsidP="00D173CD">
      <w:pPr>
        <w:pStyle w:val="Cmsor1"/>
        <w:tabs>
          <w:tab w:val="left" w:pos="567"/>
        </w:tabs>
        <w:spacing w:before="0" w:after="0"/>
        <w:ind w:left="567" w:hanging="567"/>
        <w:rPr>
          <w:rFonts w:ascii="Times New Roman" w:hAnsi="Times New Roman" w:cs="Times New Roman"/>
          <w:bCs w:val="0"/>
          <w:sz w:val="22"/>
          <w:szCs w:val="22"/>
          <w:lang w:val="hu-HU"/>
        </w:rPr>
      </w:pP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lastRenderedPageBreak/>
        <w:t>9</w:t>
      </w: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ab/>
        <w:t>A FORGALOMBA HOZATALI ENGEDÉLY ELSŐ KIADÁSÁNAK/ MEGÚJÍTÁSÁNAK DÁTUMA</w:t>
      </w:r>
    </w:p>
    <w:p w14:paraId="6AE18690" w14:textId="77777777" w:rsidR="00D063A5" w:rsidRPr="00D173CD" w:rsidRDefault="00D063A5" w:rsidP="00D173CD">
      <w:pPr>
        <w:pStyle w:val="Normlbehzs"/>
        <w:tabs>
          <w:tab w:val="left" w:pos="567"/>
        </w:tabs>
        <w:spacing w:after="0"/>
        <w:ind w:left="0"/>
        <w:rPr>
          <w:lang w:val="hu-HU"/>
        </w:rPr>
      </w:pPr>
    </w:p>
    <w:p w14:paraId="68F422E5" w14:textId="77777777" w:rsidR="00D063A5" w:rsidRPr="00D173CD" w:rsidRDefault="00BF7068" w:rsidP="00D173CD">
      <w:pPr>
        <w:pStyle w:val="Normlbehzs"/>
        <w:spacing w:after="0"/>
        <w:ind w:left="0"/>
        <w:rPr>
          <w:lang w:val="hu-HU"/>
        </w:rPr>
      </w:pPr>
      <w:r w:rsidRPr="00D173CD">
        <w:rPr>
          <w:lang w:val="hu-HU"/>
        </w:rPr>
        <w:t xml:space="preserve">A forgalomba hozatali engedély első kiadásának dátuma: </w:t>
      </w:r>
      <w:r w:rsidR="00EE53EC" w:rsidRPr="00D173CD">
        <w:rPr>
          <w:lang w:val="hu-HU"/>
        </w:rPr>
        <w:t>2009.</w:t>
      </w:r>
      <w:r w:rsidR="009163A0" w:rsidRPr="00D173CD">
        <w:rPr>
          <w:lang w:val="hu-HU"/>
        </w:rPr>
        <w:t> </w:t>
      </w:r>
      <w:r w:rsidR="00EE53EC" w:rsidRPr="00D173CD">
        <w:rPr>
          <w:lang w:val="hu-HU"/>
        </w:rPr>
        <w:t>november</w:t>
      </w:r>
      <w:r w:rsidR="009163A0" w:rsidRPr="00D173CD">
        <w:rPr>
          <w:lang w:val="hu-HU"/>
        </w:rPr>
        <w:t> </w:t>
      </w:r>
      <w:r w:rsidR="00455D6C" w:rsidRPr="00D173CD">
        <w:rPr>
          <w:lang w:val="hu-HU"/>
        </w:rPr>
        <w:t>23.</w:t>
      </w:r>
    </w:p>
    <w:p w14:paraId="78EB8A46" w14:textId="77777777" w:rsidR="00EE53EC" w:rsidRPr="00D173CD" w:rsidRDefault="007F707C" w:rsidP="00D173CD">
      <w:pPr>
        <w:pStyle w:val="Normlbehzs"/>
        <w:spacing w:after="0"/>
        <w:ind w:left="0"/>
        <w:rPr>
          <w:rFonts w:eastAsia="Times New Roman"/>
          <w:noProof/>
          <w:snapToGrid/>
          <w:lang w:val="hu-HU" w:eastAsia="en-US"/>
        </w:rPr>
      </w:pPr>
      <w:r w:rsidRPr="00D173CD">
        <w:rPr>
          <w:rFonts w:eastAsia="Times New Roman"/>
          <w:noProof/>
          <w:snapToGrid/>
          <w:lang w:val="hu-HU" w:eastAsia="en-US"/>
        </w:rPr>
        <w:t>A forgalomba hozatali engedély legutóbbi megújításának dátuma: 2017.</w:t>
      </w:r>
      <w:r w:rsidR="0000595D" w:rsidRPr="00D173CD">
        <w:rPr>
          <w:rFonts w:eastAsia="Times New Roman"/>
          <w:noProof/>
          <w:snapToGrid/>
          <w:lang w:val="hu-HU" w:eastAsia="en-US"/>
        </w:rPr>
        <w:t xml:space="preserve"> </w:t>
      </w:r>
      <w:r w:rsidR="00CA0E62" w:rsidRPr="00D173CD">
        <w:rPr>
          <w:rFonts w:eastAsia="Times New Roman"/>
          <w:noProof/>
          <w:snapToGrid/>
          <w:lang w:val="hu-HU" w:eastAsia="en-US"/>
        </w:rPr>
        <w:t>október 16.</w:t>
      </w:r>
    </w:p>
    <w:p w14:paraId="7F248C86" w14:textId="77777777" w:rsidR="007F707C" w:rsidRPr="00D173CD" w:rsidRDefault="007F707C" w:rsidP="00D173CD">
      <w:pPr>
        <w:pStyle w:val="Normlbehzs"/>
        <w:spacing w:after="0"/>
        <w:ind w:left="0"/>
        <w:rPr>
          <w:lang w:val="hu-HU"/>
        </w:rPr>
      </w:pPr>
    </w:p>
    <w:p w14:paraId="382FDC81" w14:textId="77777777" w:rsidR="00D063A5" w:rsidRPr="00D173CD" w:rsidRDefault="00D063A5" w:rsidP="00D173CD">
      <w:pPr>
        <w:pStyle w:val="Normlbehzs"/>
        <w:spacing w:after="0"/>
        <w:ind w:left="0"/>
        <w:rPr>
          <w:lang w:val="hu-HU"/>
        </w:rPr>
      </w:pPr>
    </w:p>
    <w:p w14:paraId="1F2B0307" w14:textId="77777777" w:rsidR="009548D9" w:rsidRPr="00D173CD" w:rsidRDefault="009548D9" w:rsidP="00D173CD">
      <w:pPr>
        <w:pStyle w:val="Cmsor1"/>
        <w:spacing w:before="0" w:after="0"/>
        <w:rPr>
          <w:rFonts w:ascii="Times New Roman" w:hAnsi="Times New Roman" w:cs="Times New Roman"/>
          <w:bCs w:val="0"/>
          <w:sz w:val="22"/>
          <w:szCs w:val="22"/>
          <w:lang w:val="hu-HU"/>
        </w:rPr>
      </w:pP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>10</w:t>
      </w:r>
      <w:r w:rsidRPr="00D173CD">
        <w:rPr>
          <w:rFonts w:ascii="Times New Roman" w:hAnsi="Times New Roman" w:cs="Times New Roman"/>
          <w:bCs w:val="0"/>
          <w:sz w:val="22"/>
          <w:szCs w:val="22"/>
          <w:lang w:val="hu-HU"/>
        </w:rPr>
        <w:tab/>
        <w:t>A SZÖVEG ELLENŐRZÉSÉNEK DÁTUMA</w:t>
      </w:r>
    </w:p>
    <w:p w14:paraId="501FE5EE" w14:textId="77777777" w:rsidR="009548D9" w:rsidRPr="00D173CD" w:rsidRDefault="009548D9" w:rsidP="00D173CD">
      <w:pPr>
        <w:tabs>
          <w:tab w:val="left" w:pos="540"/>
          <w:tab w:val="left" w:pos="567"/>
        </w:tabs>
        <w:rPr>
          <w:sz w:val="22"/>
          <w:szCs w:val="22"/>
          <w:lang w:val="hu-HU"/>
        </w:rPr>
      </w:pPr>
    </w:p>
    <w:p w14:paraId="72C4B2C0" w14:textId="7909470F" w:rsidR="00D063A5" w:rsidRPr="00D173CD" w:rsidRDefault="001E11F2" w:rsidP="00D173CD">
      <w:pPr>
        <w:tabs>
          <w:tab w:val="left" w:pos="540"/>
          <w:tab w:val="left" w:pos="567"/>
        </w:tabs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2022. szeptember 17.</w:t>
      </w:r>
      <w:bookmarkStart w:id="0" w:name="_GoBack"/>
      <w:bookmarkEnd w:id="0"/>
    </w:p>
    <w:sectPr w:rsidR="00D063A5" w:rsidRPr="00D173CD" w:rsidSect="006944CC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6980E4" w16cex:dateUtc="2022-07-01T12:19:00Z"/>
  <w16cex:commentExtensible w16cex:durableId="2672AFA4" w16cex:dateUtc="2022-07-08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56BE3D" w16cid:durableId="266980E4"/>
  <w16cid:commentId w16cid:paraId="1C37FC26" w16cid:durableId="2672AF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1D9B1" w14:textId="77777777" w:rsidR="003C60DD" w:rsidRDefault="003C60DD">
      <w:r>
        <w:separator/>
      </w:r>
    </w:p>
  </w:endnote>
  <w:endnote w:type="continuationSeparator" w:id="0">
    <w:p w14:paraId="08AA7592" w14:textId="77777777" w:rsidR="003C60DD" w:rsidRDefault="003C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260C" w14:textId="77777777" w:rsidR="00BD0DF2" w:rsidRPr="006944CC" w:rsidRDefault="00BD0DF2" w:rsidP="006944CC">
    <w:pPr>
      <w:pStyle w:val="llb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8A91" w14:textId="73F80FAB" w:rsidR="00BD0DF2" w:rsidRPr="00D63AD7" w:rsidRDefault="005E430F">
    <w:pPr>
      <w:pStyle w:val="llb"/>
      <w:rPr>
        <w:sz w:val="18"/>
        <w:szCs w:val="18"/>
      </w:rPr>
    </w:pPr>
    <w:r>
      <w:rPr>
        <w:sz w:val="18"/>
        <w:szCs w:val="18"/>
      </w:rPr>
      <w:t>OGYÉI/45229/2022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792A7" w14:textId="77777777" w:rsidR="003C60DD" w:rsidRDefault="003C60DD">
      <w:r>
        <w:separator/>
      </w:r>
    </w:p>
  </w:footnote>
  <w:footnote w:type="continuationSeparator" w:id="0">
    <w:p w14:paraId="5C987E9A" w14:textId="77777777" w:rsidR="003C60DD" w:rsidRDefault="003C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60B24" w14:textId="77777777" w:rsidR="00BD0DF2" w:rsidRDefault="00BD0DF2" w:rsidP="001422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CA61A1A" w14:textId="77777777" w:rsidR="00BD0DF2" w:rsidRDefault="00BD0D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CF1A6" w14:textId="40311D6D" w:rsidR="00BD0DF2" w:rsidRPr="000069F6" w:rsidRDefault="00BD0DF2" w:rsidP="00792F01">
    <w:pPr>
      <w:pStyle w:val="lfej"/>
      <w:jc w:val="center"/>
      <w:rPr>
        <w:sz w:val="18"/>
        <w:szCs w:val="18"/>
      </w:rPr>
    </w:pPr>
    <w:r w:rsidRPr="000069F6">
      <w:rPr>
        <w:sz w:val="18"/>
        <w:szCs w:val="18"/>
      </w:rPr>
      <w:fldChar w:fldCharType="begin"/>
    </w:r>
    <w:r w:rsidRPr="000069F6">
      <w:rPr>
        <w:sz w:val="18"/>
        <w:szCs w:val="18"/>
      </w:rPr>
      <w:instrText>PAGE   \* MERGEFORMAT</w:instrText>
    </w:r>
    <w:r w:rsidRPr="000069F6">
      <w:rPr>
        <w:sz w:val="18"/>
        <w:szCs w:val="18"/>
      </w:rPr>
      <w:fldChar w:fldCharType="separate"/>
    </w:r>
    <w:r w:rsidR="008C7CA2" w:rsidRPr="008C7CA2">
      <w:rPr>
        <w:noProof/>
        <w:sz w:val="18"/>
        <w:szCs w:val="18"/>
        <w:lang w:val="hu-HU"/>
      </w:rPr>
      <w:t>12</w:t>
    </w:r>
    <w:r w:rsidRPr="000069F6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E19C6"/>
    <w:multiLevelType w:val="multilevel"/>
    <w:tmpl w:val="94A86D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7"/>
        </w:tabs>
        <w:ind w:left="1137" w:hanging="57"/>
      </w:pPr>
      <w:rPr>
        <w:rFonts w:ascii="Symbol" w:hAnsi="Symbol" w:cs="Symbol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60239"/>
    <w:multiLevelType w:val="hybridMultilevel"/>
    <w:tmpl w:val="C78AB1B6"/>
    <w:lvl w:ilvl="0" w:tplc="1EEA39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0575D"/>
    <w:multiLevelType w:val="hybridMultilevel"/>
    <w:tmpl w:val="B4A82D08"/>
    <w:lvl w:ilvl="0" w:tplc="E0943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2E0"/>
    <w:multiLevelType w:val="hybridMultilevel"/>
    <w:tmpl w:val="F236CC4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E3F8F"/>
    <w:multiLevelType w:val="hybridMultilevel"/>
    <w:tmpl w:val="45ECCB44"/>
    <w:name w:val="WW8Num1222"/>
    <w:lvl w:ilvl="0" w:tplc="762631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20FFF"/>
    <w:multiLevelType w:val="hybridMultilevel"/>
    <w:tmpl w:val="1B32CDAE"/>
    <w:lvl w:ilvl="0" w:tplc="88DCC4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EA6DE5"/>
    <w:multiLevelType w:val="hybridMultilevel"/>
    <w:tmpl w:val="0F90670E"/>
    <w:lvl w:ilvl="0" w:tplc="4858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5FE6"/>
    <w:multiLevelType w:val="hybridMultilevel"/>
    <w:tmpl w:val="70B41932"/>
    <w:name w:val="WW8Num12"/>
    <w:lvl w:ilvl="0" w:tplc="762631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17F6C"/>
    <w:multiLevelType w:val="hybridMultilevel"/>
    <w:tmpl w:val="32D6B48E"/>
    <w:name w:val="WW8Num1"/>
    <w:lvl w:ilvl="0" w:tplc="762631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24D0B"/>
    <w:multiLevelType w:val="hybridMultilevel"/>
    <w:tmpl w:val="A042A8D4"/>
    <w:lvl w:ilvl="0" w:tplc="88DCC4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D7FC8"/>
    <w:multiLevelType w:val="hybridMultilevel"/>
    <w:tmpl w:val="E85EE3F2"/>
    <w:name w:val="WW8Num122"/>
    <w:lvl w:ilvl="0" w:tplc="762631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8"/>
    <w:rsid w:val="00000D40"/>
    <w:rsid w:val="00001191"/>
    <w:rsid w:val="00001BD5"/>
    <w:rsid w:val="000024E1"/>
    <w:rsid w:val="0000314F"/>
    <w:rsid w:val="0000595D"/>
    <w:rsid w:val="000069F6"/>
    <w:rsid w:val="00017FF7"/>
    <w:rsid w:val="00022266"/>
    <w:rsid w:val="00026333"/>
    <w:rsid w:val="000279E7"/>
    <w:rsid w:val="0003079C"/>
    <w:rsid w:val="00030D42"/>
    <w:rsid w:val="0003376F"/>
    <w:rsid w:val="00033CFA"/>
    <w:rsid w:val="00037234"/>
    <w:rsid w:val="000412A2"/>
    <w:rsid w:val="0004405F"/>
    <w:rsid w:val="00045230"/>
    <w:rsid w:val="00047E0F"/>
    <w:rsid w:val="00050A9E"/>
    <w:rsid w:val="00052DC3"/>
    <w:rsid w:val="000578B6"/>
    <w:rsid w:val="00064ACC"/>
    <w:rsid w:val="00065ABF"/>
    <w:rsid w:val="000670C1"/>
    <w:rsid w:val="0007226A"/>
    <w:rsid w:val="00077709"/>
    <w:rsid w:val="000801A6"/>
    <w:rsid w:val="00080C8B"/>
    <w:rsid w:val="00081C50"/>
    <w:rsid w:val="00081C6C"/>
    <w:rsid w:val="00083360"/>
    <w:rsid w:val="0009435E"/>
    <w:rsid w:val="00094362"/>
    <w:rsid w:val="000A14CE"/>
    <w:rsid w:val="000A43F9"/>
    <w:rsid w:val="000A492A"/>
    <w:rsid w:val="000A51F1"/>
    <w:rsid w:val="000A59F8"/>
    <w:rsid w:val="000A5D56"/>
    <w:rsid w:val="000B058C"/>
    <w:rsid w:val="000B6305"/>
    <w:rsid w:val="000C0620"/>
    <w:rsid w:val="000C5D6C"/>
    <w:rsid w:val="000D13C3"/>
    <w:rsid w:val="000D2BB3"/>
    <w:rsid w:val="000D7C32"/>
    <w:rsid w:val="000D7F86"/>
    <w:rsid w:val="000E2DAB"/>
    <w:rsid w:val="000E2E15"/>
    <w:rsid w:val="000E580B"/>
    <w:rsid w:val="000E6EDD"/>
    <w:rsid w:val="000F3923"/>
    <w:rsid w:val="00105B02"/>
    <w:rsid w:val="00107BB2"/>
    <w:rsid w:val="00120197"/>
    <w:rsid w:val="001213A8"/>
    <w:rsid w:val="00125311"/>
    <w:rsid w:val="00125832"/>
    <w:rsid w:val="00127A25"/>
    <w:rsid w:val="001413C3"/>
    <w:rsid w:val="001422D5"/>
    <w:rsid w:val="00145259"/>
    <w:rsid w:val="00145487"/>
    <w:rsid w:val="0014717A"/>
    <w:rsid w:val="0015098C"/>
    <w:rsid w:val="0016494A"/>
    <w:rsid w:val="00165B66"/>
    <w:rsid w:val="0016680D"/>
    <w:rsid w:val="001672E8"/>
    <w:rsid w:val="00167B08"/>
    <w:rsid w:val="00170155"/>
    <w:rsid w:val="001720DF"/>
    <w:rsid w:val="001748CF"/>
    <w:rsid w:val="00174D58"/>
    <w:rsid w:val="00175798"/>
    <w:rsid w:val="00181AE4"/>
    <w:rsid w:val="001834FD"/>
    <w:rsid w:val="00186EAA"/>
    <w:rsid w:val="00187E6A"/>
    <w:rsid w:val="00196723"/>
    <w:rsid w:val="001A0233"/>
    <w:rsid w:val="001A28E1"/>
    <w:rsid w:val="001A70FB"/>
    <w:rsid w:val="001B40AF"/>
    <w:rsid w:val="001C03F4"/>
    <w:rsid w:val="001C4CA6"/>
    <w:rsid w:val="001C5BCF"/>
    <w:rsid w:val="001D13F8"/>
    <w:rsid w:val="001E06AB"/>
    <w:rsid w:val="001E11F2"/>
    <w:rsid w:val="001E1E5C"/>
    <w:rsid w:val="001E2CDC"/>
    <w:rsid w:val="001E33AD"/>
    <w:rsid w:val="001E5922"/>
    <w:rsid w:val="0020293D"/>
    <w:rsid w:val="002068E0"/>
    <w:rsid w:val="002109D9"/>
    <w:rsid w:val="0021667A"/>
    <w:rsid w:val="002166AA"/>
    <w:rsid w:val="00216C93"/>
    <w:rsid w:val="0022031D"/>
    <w:rsid w:val="00222362"/>
    <w:rsid w:val="002359D3"/>
    <w:rsid w:val="0023759A"/>
    <w:rsid w:val="00242E17"/>
    <w:rsid w:val="002507D5"/>
    <w:rsid w:val="00262A85"/>
    <w:rsid w:val="0026355B"/>
    <w:rsid w:val="00263C44"/>
    <w:rsid w:val="00270159"/>
    <w:rsid w:val="00274896"/>
    <w:rsid w:val="00281BCB"/>
    <w:rsid w:val="002912B0"/>
    <w:rsid w:val="00295B96"/>
    <w:rsid w:val="00296EB4"/>
    <w:rsid w:val="0029714C"/>
    <w:rsid w:val="002A1363"/>
    <w:rsid w:val="002A3C0C"/>
    <w:rsid w:val="002A5A15"/>
    <w:rsid w:val="002A60A8"/>
    <w:rsid w:val="002B090C"/>
    <w:rsid w:val="002B197D"/>
    <w:rsid w:val="002B37AB"/>
    <w:rsid w:val="002C6180"/>
    <w:rsid w:val="002D5B4E"/>
    <w:rsid w:val="002E113A"/>
    <w:rsid w:val="002E2E2F"/>
    <w:rsid w:val="002E37CA"/>
    <w:rsid w:val="002E4E89"/>
    <w:rsid w:val="002F6C3F"/>
    <w:rsid w:val="00304EC4"/>
    <w:rsid w:val="00311634"/>
    <w:rsid w:val="00313327"/>
    <w:rsid w:val="003133FC"/>
    <w:rsid w:val="00313BCF"/>
    <w:rsid w:val="00314B52"/>
    <w:rsid w:val="00320C8A"/>
    <w:rsid w:val="00325E2D"/>
    <w:rsid w:val="00332220"/>
    <w:rsid w:val="0033626C"/>
    <w:rsid w:val="00344369"/>
    <w:rsid w:val="00351DF9"/>
    <w:rsid w:val="00354C7D"/>
    <w:rsid w:val="003564E0"/>
    <w:rsid w:val="00362366"/>
    <w:rsid w:val="00373DB5"/>
    <w:rsid w:val="00376F9C"/>
    <w:rsid w:val="00382A79"/>
    <w:rsid w:val="003838C8"/>
    <w:rsid w:val="0038417B"/>
    <w:rsid w:val="00390AEC"/>
    <w:rsid w:val="00394934"/>
    <w:rsid w:val="003B5B1B"/>
    <w:rsid w:val="003B737D"/>
    <w:rsid w:val="003C4B41"/>
    <w:rsid w:val="003C60DD"/>
    <w:rsid w:val="003D1B47"/>
    <w:rsid w:val="003D3323"/>
    <w:rsid w:val="003D3617"/>
    <w:rsid w:val="003D4A40"/>
    <w:rsid w:val="003D59FB"/>
    <w:rsid w:val="003E54E5"/>
    <w:rsid w:val="003F22ED"/>
    <w:rsid w:val="003F24F8"/>
    <w:rsid w:val="0040284E"/>
    <w:rsid w:val="004037E2"/>
    <w:rsid w:val="00410C81"/>
    <w:rsid w:val="00414472"/>
    <w:rsid w:val="00421998"/>
    <w:rsid w:val="00421FF6"/>
    <w:rsid w:val="0042207C"/>
    <w:rsid w:val="004261BD"/>
    <w:rsid w:val="00430681"/>
    <w:rsid w:val="00445066"/>
    <w:rsid w:val="00445135"/>
    <w:rsid w:val="00447BDC"/>
    <w:rsid w:val="004525AC"/>
    <w:rsid w:val="00455918"/>
    <w:rsid w:val="00455D6C"/>
    <w:rsid w:val="00467289"/>
    <w:rsid w:val="00470939"/>
    <w:rsid w:val="00472B7F"/>
    <w:rsid w:val="004805D0"/>
    <w:rsid w:val="00481974"/>
    <w:rsid w:val="00484F0F"/>
    <w:rsid w:val="00485BF3"/>
    <w:rsid w:val="00492133"/>
    <w:rsid w:val="004B13F3"/>
    <w:rsid w:val="004C3C78"/>
    <w:rsid w:val="004C4AF2"/>
    <w:rsid w:val="004D02DA"/>
    <w:rsid w:val="004D2E5F"/>
    <w:rsid w:val="004D4685"/>
    <w:rsid w:val="004D47E4"/>
    <w:rsid w:val="004E30F5"/>
    <w:rsid w:val="004E30F8"/>
    <w:rsid w:val="004E5F36"/>
    <w:rsid w:val="004E6CD1"/>
    <w:rsid w:val="004F0413"/>
    <w:rsid w:val="004F0A0D"/>
    <w:rsid w:val="004F1A51"/>
    <w:rsid w:val="00500185"/>
    <w:rsid w:val="0052021B"/>
    <w:rsid w:val="00521918"/>
    <w:rsid w:val="00522BFE"/>
    <w:rsid w:val="00524829"/>
    <w:rsid w:val="00526CE5"/>
    <w:rsid w:val="00530A48"/>
    <w:rsid w:val="005317B1"/>
    <w:rsid w:val="00531908"/>
    <w:rsid w:val="00533AAB"/>
    <w:rsid w:val="00533EB9"/>
    <w:rsid w:val="00536F25"/>
    <w:rsid w:val="005372D4"/>
    <w:rsid w:val="00541DF4"/>
    <w:rsid w:val="005461D3"/>
    <w:rsid w:val="005532D3"/>
    <w:rsid w:val="005577C8"/>
    <w:rsid w:val="00557DD8"/>
    <w:rsid w:val="0056703C"/>
    <w:rsid w:val="005752CF"/>
    <w:rsid w:val="00581289"/>
    <w:rsid w:val="005940C5"/>
    <w:rsid w:val="00594544"/>
    <w:rsid w:val="005A1137"/>
    <w:rsid w:val="005B6AE8"/>
    <w:rsid w:val="005C0EF6"/>
    <w:rsid w:val="005D4A99"/>
    <w:rsid w:val="005D5941"/>
    <w:rsid w:val="005D7EB9"/>
    <w:rsid w:val="005E2D45"/>
    <w:rsid w:val="005E430F"/>
    <w:rsid w:val="005E62DC"/>
    <w:rsid w:val="005F0AEA"/>
    <w:rsid w:val="005F5D9F"/>
    <w:rsid w:val="00606B89"/>
    <w:rsid w:val="0060709B"/>
    <w:rsid w:val="006077DA"/>
    <w:rsid w:val="00612A66"/>
    <w:rsid w:val="00614529"/>
    <w:rsid w:val="0062408A"/>
    <w:rsid w:val="00626D4C"/>
    <w:rsid w:val="0063406C"/>
    <w:rsid w:val="00637EE5"/>
    <w:rsid w:val="00640B8D"/>
    <w:rsid w:val="00641721"/>
    <w:rsid w:val="00647A6B"/>
    <w:rsid w:val="0065145C"/>
    <w:rsid w:val="00655E9D"/>
    <w:rsid w:val="00662788"/>
    <w:rsid w:val="00663AFD"/>
    <w:rsid w:val="006657CA"/>
    <w:rsid w:val="0066625A"/>
    <w:rsid w:val="00666BF5"/>
    <w:rsid w:val="00677148"/>
    <w:rsid w:val="006841C5"/>
    <w:rsid w:val="00690188"/>
    <w:rsid w:val="006913B1"/>
    <w:rsid w:val="006919FB"/>
    <w:rsid w:val="006944CC"/>
    <w:rsid w:val="006B095E"/>
    <w:rsid w:val="006B3D86"/>
    <w:rsid w:val="006C10C3"/>
    <w:rsid w:val="006C16F5"/>
    <w:rsid w:val="006D22DF"/>
    <w:rsid w:val="006D2B1A"/>
    <w:rsid w:val="006D3A12"/>
    <w:rsid w:val="006D68ED"/>
    <w:rsid w:val="006E2916"/>
    <w:rsid w:val="006F07CC"/>
    <w:rsid w:val="006F27CF"/>
    <w:rsid w:val="006F33F9"/>
    <w:rsid w:val="00711389"/>
    <w:rsid w:val="007120AA"/>
    <w:rsid w:val="00713B93"/>
    <w:rsid w:val="00716DFD"/>
    <w:rsid w:val="007206D3"/>
    <w:rsid w:val="0072115B"/>
    <w:rsid w:val="00724337"/>
    <w:rsid w:val="007269AE"/>
    <w:rsid w:val="0073715D"/>
    <w:rsid w:val="0074030D"/>
    <w:rsid w:val="00740DF6"/>
    <w:rsid w:val="00745B6B"/>
    <w:rsid w:val="0075153D"/>
    <w:rsid w:val="00754BC0"/>
    <w:rsid w:val="0075628D"/>
    <w:rsid w:val="00774241"/>
    <w:rsid w:val="00776F8A"/>
    <w:rsid w:val="00777D09"/>
    <w:rsid w:val="0078033E"/>
    <w:rsid w:val="007815AD"/>
    <w:rsid w:val="00781789"/>
    <w:rsid w:val="007871F6"/>
    <w:rsid w:val="00790765"/>
    <w:rsid w:val="00792F01"/>
    <w:rsid w:val="00794C4B"/>
    <w:rsid w:val="00794FFC"/>
    <w:rsid w:val="007A0D32"/>
    <w:rsid w:val="007A1662"/>
    <w:rsid w:val="007A505A"/>
    <w:rsid w:val="007A5D59"/>
    <w:rsid w:val="007A645C"/>
    <w:rsid w:val="007B4E5D"/>
    <w:rsid w:val="007B7193"/>
    <w:rsid w:val="007C0275"/>
    <w:rsid w:val="007C5F28"/>
    <w:rsid w:val="007C7E86"/>
    <w:rsid w:val="007D2977"/>
    <w:rsid w:val="007E5A9E"/>
    <w:rsid w:val="007E5C2C"/>
    <w:rsid w:val="007F181D"/>
    <w:rsid w:val="007F707C"/>
    <w:rsid w:val="007F7954"/>
    <w:rsid w:val="00810CD0"/>
    <w:rsid w:val="00814F91"/>
    <w:rsid w:val="008210CB"/>
    <w:rsid w:val="0082333D"/>
    <w:rsid w:val="00826BF4"/>
    <w:rsid w:val="00827904"/>
    <w:rsid w:val="00827FE7"/>
    <w:rsid w:val="008330E5"/>
    <w:rsid w:val="00834A82"/>
    <w:rsid w:val="00834D3A"/>
    <w:rsid w:val="00836864"/>
    <w:rsid w:val="00837F9A"/>
    <w:rsid w:val="008412BA"/>
    <w:rsid w:val="008504E3"/>
    <w:rsid w:val="00853B43"/>
    <w:rsid w:val="0085518D"/>
    <w:rsid w:val="008635D1"/>
    <w:rsid w:val="008746EF"/>
    <w:rsid w:val="00874E5C"/>
    <w:rsid w:val="008874CC"/>
    <w:rsid w:val="008A1E15"/>
    <w:rsid w:val="008A2292"/>
    <w:rsid w:val="008A2A6F"/>
    <w:rsid w:val="008A3F06"/>
    <w:rsid w:val="008A6487"/>
    <w:rsid w:val="008B1480"/>
    <w:rsid w:val="008B4D93"/>
    <w:rsid w:val="008B6FA9"/>
    <w:rsid w:val="008B7781"/>
    <w:rsid w:val="008C1521"/>
    <w:rsid w:val="008C2CBC"/>
    <w:rsid w:val="008C7566"/>
    <w:rsid w:val="008C7CA2"/>
    <w:rsid w:val="008D18C7"/>
    <w:rsid w:val="008D614E"/>
    <w:rsid w:val="008E00A3"/>
    <w:rsid w:val="008E0B49"/>
    <w:rsid w:val="008E1BBD"/>
    <w:rsid w:val="008E45E2"/>
    <w:rsid w:val="008F063D"/>
    <w:rsid w:val="008F3C5B"/>
    <w:rsid w:val="008F4B17"/>
    <w:rsid w:val="00902F87"/>
    <w:rsid w:val="00910E8E"/>
    <w:rsid w:val="0091394D"/>
    <w:rsid w:val="00913A65"/>
    <w:rsid w:val="0091474F"/>
    <w:rsid w:val="00914DF3"/>
    <w:rsid w:val="009163A0"/>
    <w:rsid w:val="00917D2C"/>
    <w:rsid w:val="00920465"/>
    <w:rsid w:val="00927C20"/>
    <w:rsid w:val="00930C07"/>
    <w:rsid w:val="00933379"/>
    <w:rsid w:val="00944F96"/>
    <w:rsid w:val="00947053"/>
    <w:rsid w:val="00951C19"/>
    <w:rsid w:val="009548D9"/>
    <w:rsid w:val="00955CD8"/>
    <w:rsid w:val="0095730F"/>
    <w:rsid w:val="00961FB2"/>
    <w:rsid w:val="009663FE"/>
    <w:rsid w:val="00970899"/>
    <w:rsid w:val="00971127"/>
    <w:rsid w:val="00972EF6"/>
    <w:rsid w:val="00974CFD"/>
    <w:rsid w:val="00975B37"/>
    <w:rsid w:val="00976EA0"/>
    <w:rsid w:val="0099182F"/>
    <w:rsid w:val="00996C4C"/>
    <w:rsid w:val="00996F59"/>
    <w:rsid w:val="009979BC"/>
    <w:rsid w:val="009B29D0"/>
    <w:rsid w:val="009D461B"/>
    <w:rsid w:val="009E0C29"/>
    <w:rsid w:val="009E450C"/>
    <w:rsid w:val="009E6745"/>
    <w:rsid w:val="00A005BC"/>
    <w:rsid w:val="00A00A42"/>
    <w:rsid w:val="00A10DB5"/>
    <w:rsid w:val="00A12135"/>
    <w:rsid w:val="00A22773"/>
    <w:rsid w:val="00A25C0D"/>
    <w:rsid w:val="00A34519"/>
    <w:rsid w:val="00A355A5"/>
    <w:rsid w:val="00A36421"/>
    <w:rsid w:val="00A36DEF"/>
    <w:rsid w:val="00A36F7F"/>
    <w:rsid w:val="00A42EE0"/>
    <w:rsid w:val="00A45BA9"/>
    <w:rsid w:val="00A52701"/>
    <w:rsid w:val="00A55895"/>
    <w:rsid w:val="00A56EAD"/>
    <w:rsid w:val="00A647CF"/>
    <w:rsid w:val="00A65DB5"/>
    <w:rsid w:val="00A76649"/>
    <w:rsid w:val="00A80AC1"/>
    <w:rsid w:val="00A81102"/>
    <w:rsid w:val="00A82326"/>
    <w:rsid w:val="00A97F22"/>
    <w:rsid w:val="00AA06F5"/>
    <w:rsid w:val="00AA3E52"/>
    <w:rsid w:val="00AB0957"/>
    <w:rsid w:val="00AB2426"/>
    <w:rsid w:val="00AC564C"/>
    <w:rsid w:val="00AD10DD"/>
    <w:rsid w:val="00AD5E5E"/>
    <w:rsid w:val="00AE3F87"/>
    <w:rsid w:val="00AE6FBB"/>
    <w:rsid w:val="00AE70BA"/>
    <w:rsid w:val="00AF41E0"/>
    <w:rsid w:val="00B0349B"/>
    <w:rsid w:val="00B07C50"/>
    <w:rsid w:val="00B12EC1"/>
    <w:rsid w:val="00B14C01"/>
    <w:rsid w:val="00B15361"/>
    <w:rsid w:val="00B16DB2"/>
    <w:rsid w:val="00B2177C"/>
    <w:rsid w:val="00B279C2"/>
    <w:rsid w:val="00B473B7"/>
    <w:rsid w:val="00B4751C"/>
    <w:rsid w:val="00B47658"/>
    <w:rsid w:val="00B50F0E"/>
    <w:rsid w:val="00B5120A"/>
    <w:rsid w:val="00B532F8"/>
    <w:rsid w:val="00B5435C"/>
    <w:rsid w:val="00B61555"/>
    <w:rsid w:val="00B67D78"/>
    <w:rsid w:val="00B70924"/>
    <w:rsid w:val="00B80399"/>
    <w:rsid w:val="00B840F3"/>
    <w:rsid w:val="00B840FE"/>
    <w:rsid w:val="00B90FDB"/>
    <w:rsid w:val="00B962E4"/>
    <w:rsid w:val="00BA1BF2"/>
    <w:rsid w:val="00BB3510"/>
    <w:rsid w:val="00BB3756"/>
    <w:rsid w:val="00BD0DF2"/>
    <w:rsid w:val="00BD1773"/>
    <w:rsid w:val="00BD2C0F"/>
    <w:rsid w:val="00BE03B0"/>
    <w:rsid w:val="00BE1018"/>
    <w:rsid w:val="00BE2860"/>
    <w:rsid w:val="00BF5BC9"/>
    <w:rsid w:val="00BF7068"/>
    <w:rsid w:val="00C05D5C"/>
    <w:rsid w:val="00C06803"/>
    <w:rsid w:val="00C16C97"/>
    <w:rsid w:val="00C20CBB"/>
    <w:rsid w:val="00C2457D"/>
    <w:rsid w:val="00C25855"/>
    <w:rsid w:val="00C27F03"/>
    <w:rsid w:val="00C47E4C"/>
    <w:rsid w:val="00C51B61"/>
    <w:rsid w:val="00C5341B"/>
    <w:rsid w:val="00C54021"/>
    <w:rsid w:val="00C541E9"/>
    <w:rsid w:val="00C56FC3"/>
    <w:rsid w:val="00C60706"/>
    <w:rsid w:val="00C65597"/>
    <w:rsid w:val="00C707E8"/>
    <w:rsid w:val="00C70F98"/>
    <w:rsid w:val="00C8248A"/>
    <w:rsid w:val="00C914D4"/>
    <w:rsid w:val="00C964CD"/>
    <w:rsid w:val="00CA0E62"/>
    <w:rsid w:val="00CA666C"/>
    <w:rsid w:val="00CB22D4"/>
    <w:rsid w:val="00CB653E"/>
    <w:rsid w:val="00CC1323"/>
    <w:rsid w:val="00CC56B4"/>
    <w:rsid w:val="00CD47ED"/>
    <w:rsid w:val="00CD521E"/>
    <w:rsid w:val="00CE1AF3"/>
    <w:rsid w:val="00CE3837"/>
    <w:rsid w:val="00CF1993"/>
    <w:rsid w:val="00CF19BD"/>
    <w:rsid w:val="00D020CE"/>
    <w:rsid w:val="00D0284B"/>
    <w:rsid w:val="00D02CA5"/>
    <w:rsid w:val="00D05A00"/>
    <w:rsid w:val="00D063A5"/>
    <w:rsid w:val="00D10C5D"/>
    <w:rsid w:val="00D173CD"/>
    <w:rsid w:val="00D24427"/>
    <w:rsid w:val="00D2538C"/>
    <w:rsid w:val="00D4336D"/>
    <w:rsid w:val="00D50659"/>
    <w:rsid w:val="00D63AD7"/>
    <w:rsid w:val="00D66299"/>
    <w:rsid w:val="00D66DC3"/>
    <w:rsid w:val="00D70F0A"/>
    <w:rsid w:val="00D73BB9"/>
    <w:rsid w:val="00D74C10"/>
    <w:rsid w:val="00D76C19"/>
    <w:rsid w:val="00D770B3"/>
    <w:rsid w:val="00D84B75"/>
    <w:rsid w:val="00D87F6C"/>
    <w:rsid w:val="00DA2E80"/>
    <w:rsid w:val="00DA4326"/>
    <w:rsid w:val="00DA6CE5"/>
    <w:rsid w:val="00DC6AD5"/>
    <w:rsid w:val="00DD18D0"/>
    <w:rsid w:val="00DD5C8D"/>
    <w:rsid w:val="00DD62B5"/>
    <w:rsid w:val="00DD753A"/>
    <w:rsid w:val="00DE3747"/>
    <w:rsid w:val="00DE6F9B"/>
    <w:rsid w:val="00DF1B05"/>
    <w:rsid w:val="00DF20F2"/>
    <w:rsid w:val="00DF2640"/>
    <w:rsid w:val="00E016F7"/>
    <w:rsid w:val="00E03319"/>
    <w:rsid w:val="00E04A35"/>
    <w:rsid w:val="00E069FD"/>
    <w:rsid w:val="00E11300"/>
    <w:rsid w:val="00E230BB"/>
    <w:rsid w:val="00E23FCA"/>
    <w:rsid w:val="00E435C1"/>
    <w:rsid w:val="00E473ED"/>
    <w:rsid w:val="00E500B1"/>
    <w:rsid w:val="00E543A2"/>
    <w:rsid w:val="00E55C32"/>
    <w:rsid w:val="00E624B8"/>
    <w:rsid w:val="00E712EF"/>
    <w:rsid w:val="00E72563"/>
    <w:rsid w:val="00E75B9B"/>
    <w:rsid w:val="00E86C8B"/>
    <w:rsid w:val="00E87141"/>
    <w:rsid w:val="00E87F5C"/>
    <w:rsid w:val="00E936A2"/>
    <w:rsid w:val="00E94E97"/>
    <w:rsid w:val="00E96BF0"/>
    <w:rsid w:val="00EA0045"/>
    <w:rsid w:val="00EA08B9"/>
    <w:rsid w:val="00EA49A8"/>
    <w:rsid w:val="00EA54B1"/>
    <w:rsid w:val="00EA7581"/>
    <w:rsid w:val="00EA7812"/>
    <w:rsid w:val="00EB1CB6"/>
    <w:rsid w:val="00EB51AB"/>
    <w:rsid w:val="00EB6FD6"/>
    <w:rsid w:val="00EB7402"/>
    <w:rsid w:val="00EC269F"/>
    <w:rsid w:val="00EC78BA"/>
    <w:rsid w:val="00ED3698"/>
    <w:rsid w:val="00EE36FE"/>
    <w:rsid w:val="00EE3B85"/>
    <w:rsid w:val="00EE3F0A"/>
    <w:rsid w:val="00EE53EC"/>
    <w:rsid w:val="00EE60FC"/>
    <w:rsid w:val="00EF348C"/>
    <w:rsid w:val="00EF465A"/>
    <w:rsid w:val="00EF4E8A"/>
    <w:rsid w:val="00EF7053"/>
    <w:rsid w:val="00F01842"/>
    <w:rsid w:val="00F05757"/>
    <w:rsid w:val="00F12A6D"/>
    <w:rsid w:val="00F233BC"/>
    <w:rsid w:val="00F24717"/>
    <w:rsid w:val="00F35CF9"/>
    <w:rsid w:val="00F35E63"/>
    <w:rsid w:val="00F37D97"/>
    <w:rsid w:val="00F419C3"/>
    <w:rsid w:val="00F41BBF"/>
    <w:rsid w:val="00F4353A"/>
    <w:rsid w:val="00F512B4"/>
    <w:rsid w:val="00F52562"/>
    <w:rsid w:val="00F52582"/>
    <w:rsid w:val="00F566DF"/>
    <w:rsid w:val="00F64AFF"/>
    <w:rsid w:val="00F65518"/>
    <w:rsid w:val="00F727D9"/>
    <w:rsid w:val="00F7434C"/>
    <w:rsid w:val="00F82C27"/>
    <w:rsid w:val="00F83D1B"/>
    <w:rsid w:val="00F8464B"/>
    <w:rsid w:val="00F93526"/>
    <w:rsid w:val="00FA0A25"/>
    <w:rsid w:val="00FA0A60"/>
    <w:rsid w:val="00FA176F"/>
    <w:rsid w:val="00FA1DE8"/>
    <w:rsid w:val="00FA21FD"/>
    <w:rsid w:val="00FB231C"/>
    <w:rsid w:val="00FB3016"/>
    <w:rsid w:val="00FB5A27"/>
    <w:rsid w:val="00FB66E6"/>
    <w:rsid w:val="00FB673A"/>
    <w:rsid w:val="00FC2BD3"/>
    <w:rsid w:val="00FE6999"/>
    <w:rsid w:val="00FE6E25"/>
    <w:rsid w:val="00FF0468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C2C3B"/>
  <w15:chartTrackingRefBased/>
  <w15:docId w15:val="{92A51D27-BC7E-42A8-9DB7-6117B9E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3B43"/>
    <w:rPr>
      <w:snapToGrid w:val="0"/>
      <w:sz w:val="24"/>
      <w:szCs w:val="24"/>
      <w:lang w:val="en-US" w:eastAsia="ja-JP"/>
    </w:rPr>
  </w:style>
  <w:style w:type="paragraph" w:styleId="Cmsor1">
    <w:name w:val="heading 1"/>
    <w:basedOn w:val="Norml"/>
    <w:next w:val="Norml"/>
    <w:qFormat/>
    <w:rsid w:val="00853B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53B43"/>
    <w:pPr>
      <w:keepNext/>
      <w:numPr>
        <w:ilvl w:val="12"/>
      </w:numPr>
      <w:ind w:left="900" w:right="-2"/>
      <w:outlineLvl w:val="1"/>
    </w:pPr>
    <w:rPr>
      <w:rFonts w:ascii="Garamond" w:hAnsi="Garamond" w:cs="Garamond"/>
      <w:b/>
      <w:bCs/>
      <w:noProof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853B43"/>
    <w:pPr>
      <w:spacing w:after="120"/>
      <w:ind w:left="720"/>
    </w:pPr>
    <w:rPr>
      <w:sz w:val="22"/>
      <w:szCs w:val="22"/>
      <w:lang w:val="en-GB"/>
    </w:rPr>
  </w:style>
  <w:style w:type="paragraph" w:styleId="lfej">
    <w:name w:val="header"/>
    <w:basedOn w:val="Norml"/>
    <w:link w:val="lfejChar"/>
    <w:uiPriority w:val="99"/>
    <w:rsid w:val="00853B4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853B4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853B43"/>
    <w:rPr>
      <w:snapToGrid w:val="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blokk">
    <w:name w:val="Block Text"/>
    <w:basedOn w:val="Norml"/>
    <w:rsid w:val="00853B43"/>
    <w:pPr>
      <w:autoSpaceDE w:val="0"/>
      <w:autoSpaceDN w:val="0"/>
      <w:adjustRightInd w:val="0"/>
      <w:spacing w:line="200" w:lineRule="atLeast"/>
      <w:ind w:left="900" w:right="414"/>
      <w:jc w:val="both"/>
    </w:pPr>
    <w:rPr>
      <w:rFonts w:ascii="Garamond" w:hAnsi="Garamond" w:cs="Garamond"/>
      <w:sz w:val="22"/>
      <w:szCs w:val="22"/>
      <w:lang w:val="en-GB"/>
    </w:rPr>
  </w:style>
  <w:style w:type="paragraph" w:customStyle="1" w:styleId="DocumentHeading">
    <w:name w:val="Document Heading"/>
    <w:basedOn w:val="Norml"/>
    <w:next w:val="Norml"/>
    <w:rsid w:val="00853B43"/>
    <w:pPr>
      <w:spacing w:after="120"/>
    </w:pPr>
    <w:rPr>
      <w:b/>
      <w:bCs/>
      <w:sz w:val="28"/>
      <w:szCs w:val="28"/>
      <w:lang w:val="en-GB"/>
    </w:rPr>
  </w:style>
  <w:style w:type="paragraph" w:customStyle="1" w:styleId="Style18">
    <w:name w:val="Style 18"/>
    <w:rsid w:val="00853B43"/>
    <w:pPr>
      <w:widowControl w:val="0"/>
      <w:autoSpaceDE w:val="0"/>
      <w:autoSpaceDN w:val="0"/>
      <w:adjustRightInd w:val="0"/>
    </w:pPr>
    <w:rPr>
      <w:snapToGrid w:val="0"/>
      <w:sz w:val="24"/>
      <w:szCs w:val="24"/>
      <w:lang w:val="en-US" w:eastAsia="ja-JP"/>
    </w:rPr>
  </w:style>
  <w:style w:type="character" w:customStyle="1" w:styleId="CharacterStyle1">
    <w:name w:val="Character Style 1"/>
    <w:rsid w:val="00853B43"/>
    <w:rPr>
      <w:sz w:val="24"/>
      <w:szCs w:val="24"/>
    </w:rPr>
  </w:style>
  <w:style w:type="paragraph" w:customStyle="1" w:styleId="Style1">
    <w:name w:val="Style 1"/>
    <w:rsid w:val="00853B43"/>
    <w:pPr>
      <w:widowControl w:val="0"/>
      <w:autoSpaceDE w:val="0"/>
      <w:autoSpaceDN w:val="0"/>
      <w:adjustRightInd w:val="0"/>
    </w:pPr>
    <w:rPr>
      <w:snapToGrid w:val="0"/>
      <w:lang w:val="en-US" w:eastAsia="ja-JP"/>
    </w:rPr>
  </w:style>
  <w:style w:type="paragraph" w:customStyle="1" w:styleId="Default">
    <w:name w:val="Default"/>
    <w:rsid w:val="00853B43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en-US" w:eastAsia="ja-JP"/>
    </w:rPr>
  </w:style>
  <w:style w:type="paragraph" w:styleId="Buborkszveg">
    <w:name w:val="Balloon Text"/>
    <w:basedOn w:val="Norml"/>
    <w:semiHidden/>
    <w:rsid w:val="00853B43"/>
    <w:rPr>
      <w:sz w:val="16"/>
      <w:szCs w:val="16"/>
    </w:rPr>
  </w:style>
  <w:style w:type="paragraph" w:customStyle="1" w:styleId="MusterTitel">
    <w:name w:val="Muster_Titel"/>
    <w:basedOn w:val="Cm"/>
    <w:rsid w:val="00853B43"/>
    <w:pPr>
      <w:overflowPunct w:val="0"/>
      <w:autoSpaceDE w:val="0"/>
      <w:autoSpaceDN w:val="0"/>
      <w:adjustRightInd w:val="0"/>
      <w:spacing w:before="480" w:after="480"/>
      <w:ind w:left="567"/>
      <w:textAlignment w:val="baseline"/>
      <w:outlineLvl w:val="9"/>
    </w:pPr>
    <w:rPr>
      <w:b w:val="0"/>
      <w:bCs w:val="0"/>
      <w:kern w:val="1"/>
      <w:sz w:val="28"/>
      <w:szCs w:val="28"/>
      <w:lang w:val="de-DE"/>
    </w:rPr>
  </w:style>
  <w:style w:type="paragraph" w:styleId="Cm">
    <w:name w:val="Title"/>
    <w:basedOn w:val="Norml"/>
    <w:qFormat/>
    <w:rsid w:val="00853B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semiHidden/>
    <w:rsid w:val="00853B43"/>
    <w:rPr>
      <w:sz w:val="16"/>
      <w:szCs w:val="16"/>
    </w:rPr>
  </w:style>
  <w:style w:type="paragraph" w:styleId="Jegyzetszveg">
    <w:name w:val="annotation text"/>
    <w:basedOn w:val="Norml"/>
    <w:semiHidden/>
    <w:rsid w:val="00853B4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3B43"/>
    <w:rPr>
      <w:b/>
      <w:bCs/>
    </w:rPr>
  </w:style>
  <w:style w:type="character" w:customStyle="1" w:styleId="tw4winMark">
    <w:name w:val="tw4winMark"/>
    <w:rsid w:val="00853B4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Hiperhivatkozs">
    <w:name w:val="Hyperlink"/>
    <w:rsid w:val="00853B43"/>
    <w:rPr>
      <w:color w:val="0000FF"/>
      <w:u w:val="single"/>
    </w:rPr>
  </w:style>
  <w:style w:type="paragraph" w:styleId="Lbjegyzetszveg">
    <w:name w:val="footnote text"/>
    <w:basedOn w:val="Norml"/>
    <w:semiHidden/>
    <w:rsid w:val="00853B43"/>
    <w:rPr>
      <w:sz w:val="20"/>
      <w:szCs w:val="20"/>
    </w:rPr>
  </w:style>
  <w:style w:type="character" w:styleId="Lbjegyzet-hivatkozs">
    <w:name w:val="footnote reference"/>
    <w:semiHidden/>
    <w:rsid w:val="00853B43"/>
    <w:rPr>
      <w:vertAlign w:val="superscript"/>
    </w:rPr>
  </w:style>
  <w:style w:type="character" w:customStyle="1" w:styleId="tw4winError">
    <w:name w:val="tw4winError"/>
    <w:rsid w:val="00853B43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853B43"/>
    <w:rPr>
      <w:color w:val="0000FF"/>
    </w:rPr>
  </w:style>
  <w:style w:type="character" w:customStyle="1" w:styleId="tw4winPopup">
    <w:name w:val="tw4winPopup"/>
    <w:rsid w:val="00853B43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853B43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853B43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853B43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853B43"/>
    <w:rPr>
      <w:rFonts w:ascii="Courier New" w:hAnsi="Courier New" w:cs="Courier New"/>
      <w:noProof/>
      <w:color w:val="800000"/>
    </w:rPr>
  </w:style>
  <w:style w:type="paragraph" w:customStyle="1" w:styleId="a">
    <w:basedOn w:val="Norml"/>
    <w:rsid w:val="002E2E2F"/>
    <w:pPr>
      <w:spacing w:after="160" w:line="240" w:lineRule="exact"/>
    </w:pPr>
    <w:rPr>
      <w:rFonts w:ascii="Tahoma" w:eastAsia="Times New Roman" w:hAnsi="Tahoma" w:cs="Tahoma"/>
      <w:snapToGrid/>
      <w:sz w:val="20"/>
      <w:szCs w:val="20"/>
      <w:lang w:val="en-GB" w:eastAsia="en-US"/>
    </w:rPr>
  </w:style>
  <w:style w:type="character" w:styleId="Mrltotthiperhivatkozs">
    <w:name w:val="FollowedHyperlink"/>
    <w:rsid w:val="004D47E4"/>
    <w:rPr>
      <w:color w:val="800080"/>
      <w:u w:val="single"/>
    </w:rPr>
  </w:style>
  <w:style w:type="character" w:styleId="Oldalszm">
    <w:name w:val="page number"/>
    <w:basedOn w:val="Bekezdsalapbettpusa"/>
    <w:rsid w:val="00187E6A"/>
  </w:style>
  <w:style w:type="paragraph" w:customStyle="1" w:styleId="Normlbehzs1">
    <w:name w:val="Normál behúzás1"/>
    <w:basedOn w:val="Norml"/>
    <w:rsid w:val="00094362"/>
    <w:pPr>
      <w:suppressAutoHyphens/>
      <w:spacing w:after="120"/>
      <w:ind w:left="720"/>
    </w:pPr>
    <w:rPr>
      <w:snapToGrid/>
      <w:sz w:val="22"/>
      <w:szCs w:val="22"/>
      <w:lang w:val="en-GB"/>
    </w:rPr>
  </w:style>
  <w:style w:type="character" w:customStyle="1" w:styleId="llbChar">
    <w:name w:val="Élőláb Char"/>
    <w:link w:val="llb"/>
    <w:uiPriority w:val="99"/>
    <w:rsid w:val="00C60706"/>
    <w:rPr>
      <w:snapToGrid w:val="0"/>
      <w:sz w:val="24"/>
      <w:szCs w:val="24"/>
      <w:lang w:val="en-US" w:eastAsia="ja-JP"/>
    </w:rPr>
  </w:style>
  <w:style w:type="paragraph" w:styleId="Vltozat">
    <w:name w:val="Revision"/>
    <w:hidden/>
    <w:uiPriority w:val="99"/>
    <w:semiHidden/>
    <w:rsid w:val="00637EE5"/>
    <w:rPr>
      <w:snapToGrid w:val="0"/>
      <w:sz w:val="24"/>
      <w:szCs w:val="24"/>
      <w:lang w:val="en-US" w:eastAsia="ja-JP"/>
    </w:rPr>
  </w:style>
  <w:style w:type="character" w:customStyle="1" w:styleId="lfejChar">
    <w:name w:val="Élőfej Char"/>
    <w:link w:val="lfej"/>
    <w:uiPriority w:val="99"/>
    <w:rsid w:val="001C5BCF"/>
    <w:rPr>
      <w:snapToGrid w:val="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3426</Words>
  <Characters>26683</Characters>
  <Application>Microsoft Office Word</Application>
  <DocSecurity>0</DocSecurity>
  <Lines>222</Lines>
  <Paragraphs>60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Nebivolol 2</vt:lpstr>
      <vt:lpstr>Nebivolol 2</vt:lpstr>
    </vt:vector>
  </TitlesOfParts>
  <Company>mt-g</Company>
  <LinksUpToDate>false</LinksUpToDate>
  <CharactersWithSpaces>30049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Nebivolol 2</dc:title>
  <dc:subject/>
  <dc:creator>mt-g</dc:creator>
  <cp:keywords/>
  <cp:lastModifiedBy>HU OGYI 49.1</cp:lastModifiedBy>
  <cp:revision>3</cp:revision>
  <cp:lastPrinted>2008-11-22T17:51:00Z</cp:lastPrinted>
  <dcterms:created xsi:type="dcterms:W3CDTF">2022-09-27T14:44:00Z</dcterms:created>
  <dcterms:modified xsi:type="dcterms:W3CDTF">2022-09-27T14:45:00Z</dcterms:modified>
</cp:coreProperties>
</file>