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4D95E" w14:textId="77777777" w:rsidR="006F712B" w:rsidRPr="00DE56D0" w:rsidRDefault="006F712B" w:rsidP="00DE56D0">
      <w:pPr>
        <w:widowControl w:val="0"/>
        <w:spacing w:line="240" w:lineRule="auto"/>
      </w:pPr>
      <w:r w:rsidRPr="00DE56D0">
        <w:rPr>
          <w:b/>
          <w:noProof/>
        </w:rPr>
        <w:t>1.</w:t>
      </w:r>
      <w:r w:rsidRPr="00DE56D0">
        <w:rPr>
          <w:noProof/>
        </w:rPr>
        <w:tab/>
      </w:r>
      <w:r w:rsidRPr="00DE56D0">
        <w:rPr>
          <w:b/>
          <w:bCs/>
          <w:lang w:val="hu-HU"/>
        </w:rPr>
        <w:t>A GYÓGYSZER NEVE</w:t>
      </w:r>
    </w:p>
    <w:p w14:paraId="7DE3B387" w14:textId="77777777" w:rsidR="006F712B" w:rsidRPr="00D735BD" w:rsidRDefault="006F712B" w:rsidP="00DE56D0">
      <w:pPr>
        <w:pStyle w:val="Normlbehzs"/>
        <w:spacing w:after="0"/>
        <w:ind w:left="0"/>
      </w:pPr>
    </w:p>
    <w:p w14:paraId="236B2DB8" w14:textId="77777777" w:rsidR="006F712B" w:rsidRPr="00502118" w:rsidRDefault="00B06094" w:rsidP="00DE56D0">
      <w:pPr>
        <w:pStyle w:val="Normlbehzs"/>
        <w:spacing w:after="0"/>
        <w:ind w:left="0"/>
        <w:rPr>
          <w:b/>
        </w:rPr>
      </w:pPr>
      <w:r>
        <w:rPr>
          <w:b/>
          <w:lang w:val="hu-HU"/>
        </w:rPr>
        <w:t xml:space="preserve">WICK Cold and Flu </w:t>
      </w:r>
      <w:r w:rsidR="00D43299">
        <w:rPr>
          <w:b/>
          <w:lang w:val="hu-HU"/>
        </w:rPr>
        <w:t>Max</w:t>
      </w:r>
      <w:r w:rsidR="00FD14C3" w:rsidRPr="00502118">
        <w:rPr>
          <w:b/>
          <w:lang w:val="hu-HU"/>
        </w:rPr>
        <w:t xml:space="preserve"> Citrom</w:t>
      </w:r>
      <w:r w:rsidR="001D467F" w:rsidRPr="00502118">
        <w:rPr>
          <w:b/>
          <w:lang w:val="hu-HU"/>
        </w:rPr>
        <w:t xml:space="preserve"> ízű por belsőleges oldathoz</w:t>
      </w:r>
    </w:p>
    <w:p w14:paraId="61C5A011" w14:textId="77777777" w:rsidR="006F712B" w:rsidRPr="00D735BD" w:rsidRDefault="00634553" w:rsidP="00DE56D0">
      <w:pPr>
        <w:tabs>
          <w:tab w:val="clear" w:pos="567"/>
        </w:tabs>
        <w:spacing w:line="240" w:lineRule="auto"/>
      </w:pPr>
      <w:r>
        <w:rPr>
          <w:lang w:val="hu-HU"/>
        </w:rPr>
        <w:t>p</w:t>
      </w:r>
      <w:r w:rsidR="006F712B" w:rsidRPr="00D735BD">
        <w:rPr>
          <w:lang w:val="hu-HU"/>
        </w:rPr>
        <w:t xml:space="preserve">aracetamol, </w:t>
      </w:r>
      <w:r>
        <w:rPr>
          <w:lang w:val="hu-HU"/>
        </w:rPr>
        <w:t>f</w:t>
      </w:r>
      <w:r w:rsidR="006F712B" w:rsidRPr="00D735BD">
        <w:rPr>
          <w:lang w:val="hu-HU"/>
        </w:rPr>
        <w:t>enilefrin-</w:t>
      </w:r>
      <w:r w:rsidR="00367B84">
        <w:rPr>
          <w:lang w:val="hu-HU"/>
        </w:rPr>
        <w:t>hidroklorid</w:t>
      </w:r>
      <w:r w:rsidR="006F712B" w:rsidRPr="00D735BD">
        <w:rPr>
          <w:lang w:val="hu-HU"/>
        </w:rPr>
        <w:t xml:space="preserve"> </w:t>
      </w:r>
    </w:p>
    <w:p w14:paraId="759A9D2A" w14:textId="77777777" w:rsidR="006F712B" w:rsidRPr="00D735BD" w:rsidRDefault="006F712B" w:rsidP="00DE56D0">
      <w:pPr>
        <w:spacing w:line="240" w:lineRule="auto"/>
      </w:pPr>
    </w:p>
    <w:p w14:paraId="478C512A" w14:textId="77777777" w:rsidR="006F712B" w:rsidRPr="00D735BD" w:rsidRDefault="006F712B" w:rsidP="00DE56D0">
      <w:pPr>
        <w:widowControl w:val="0"/>
        <w:spacing w:line="240" w:lineRule="auto"/>
        <w:rPr>
          <w:b/>
          <w:bCs/>
        </w:rPr>
      </w:pPr>
    </w:p>
    <w:p w14:paraId="6D128A4D" w14:textId="77777777" w:rsidR="006F712B" w:rsidRPr="00DE56D0" w:rsidRDefault="006F712B" w:rsidP="00DE56D0">
      <w:pPr>
        <w:widowControl w:val="0"/>
        <w:spacing w:line="240" w:lineRule="auto"/>
      </w:pPr>
      <w:r w:rsidRPr="00DE56D0">
        <w:rPr>
          <w:b/>
          <w:bCs/>
        </w:rPr>
        <w:t>2.</w:t>
      </w:r>
      <w:r w:rsidRPr="00DE56D0">
        <w:rPr>
          <w:b/>
          <w:bCs/>
        </w:rPr>
        <w:tab/>
      </w:r>
      <w:r w:rsidRPr="00DE56D0">
        <w:rPr>
          <w:b/>
          <w:bCs/>
          <w:lang w:val="hu-HU"/>
        </w:rPr>
        <w:t>MINŐSÉGI ÉS MENNYISÉGI ÖSSZETÉTEL</w:t>
      </w:r>
    </w:p>
    <w:p w14:paraId="7B50A833" w14:textId="77777777" w:rsidR="006F712B" w:rsidRPr="00DE56D0" w:rsidRDefault="006F712B" w:rsidP="003A532B">
      <w:pPr>
        <w:pStyle w:val="Normlbehzs"/>
        <w:spacing w:after="0"/>
        <w:ind w:left="0"/>
      </w:pPr>
    </w:p>
    <w:p w14:paraId="6051B306" w14:textId="77777777" w:rsidR="006F712B" w:rsidRPr="00DE56D0" w:rsidRDefault="006F712B" w:rsidP="003A532B">
      <w:pPr>
        <w:pStyle w:val="Normlbehzs"/>
        <w:spacing w:after="0"/>
        <w:ind w:left="0"/>
      </w:pPr>
      <w:r w:rsidRPr="00DE56D0">
        <w:rPr>
          <w:lang w:val="hu-HU"/>
        </w:rPr>
        <w:t>1000 mg paracetamol</w:t>
      </w:r>
      <w:r w:rsidR="00634553">
        <w:rPr>
          <w:lang w:val="hu-HU"/>
        </w:rPr>
        <w:t xml:space="preserve">t és </w:t>
      </w:r>
      <w:r w:rsidRPr="00DE56D0">
        <w:rPr>
          <w:lang w:val="hu-HU"/>
        </w:rPr>
        <w:t>12,2 mg fenilefrin-hidroklorid</w:t>
      </w:r>
      <w:r w:rsidR="00634553">
        <w:rPr>
          <w:lang w:val="hu-HU"/>
        </w:rPr>
        <w:t>ot</w:t>
      </w:r>
      <w:r w:rsidRPr="00DE56D0">
        <w:rPr>
          <w:lang w:val="hu-HU"/>
        </w:rPr>
        <w:t xml:space="preserve"> (</w:t>
      </w:r>
      <w:r w:rsidR="00634553">
        <w:rPr>
          <w:lang w:val="hu-HU"/>
        </w:rPr>
        <w:t xml:space="preserve">ami </w:t>
      </w:r>
      <w:r w:rsidRPr="00DE56D0">
        <w:rPr>
          <w:lang w:val="hu-HU"/>
        </w:rPr>
        <w:t xml:space="preserve">10 mg fenilefrin bázissal egyenértékű) </w:t>
      </w:r>
      <w:r w:rsidR="00634553">
        <w:rPr>
          <w:lang w:val="hu-HU"/>
        </w:rPr>
        <w:t xml:space="preserve">tartalmaz </w:t>
      </w:r>
      <w:r w:rsidRPr="00DE56D0">
        <w:rPr>
          <w:lang w:val="hu-HU"/>
        </w:rPr>
        <w:t>tasakonként</w:t>
      </w:r>
    </w:p>
    <w:p w14:paraId="394DC8D1" w14:textId="77777777" w:rsidR="00587049" w:rsidRDefault="00587049" w:rsidP="003A532B">
      <w:pPr>
        <w:tabs>
          <w:tab w:val="clear" w:pos="567"/>
        </w:tabs>
        <w:spacing w:line="240" w:lineRule="auto"/>
        <w:rPr>
          <w:u w:val="single"/>
          <w:lang w:val="hu-HU"/>
        </w:rPr>
      </w:pPr>
    </w:p>
    <w:p w14:paraId="781DD962" w14:textId="77777777" w:rsidR="006F712B" w:rsidRPr="00587049" w:rsidRDefault="00E56C93" w:rsidP="003A532B">
      <w:pPr>
        <w:tabs>
          <w:tab w:val="clear" w:pos="567"/>
        </w:tabs>
        <w:spacing w:line="240" w:lineRule="auto"/>
        <w:rPr>
          <w:u w:val="single"/>
        </w:rPr>
      </w:pPr>
      <w:r>
        <w:rPr>
          <w:u w:val="single"/>
          <w:lang w:val="hu-HU"/>
        </w:rPr>
        <w:t>Ismert hatású s</w:t>
      </w:r>
      <w:r w:rsidR="006F712B" w:rsidRPr="00587049">
        <w:rPr>
          <w:u w:val="single"/>
          <w:lang w:val="hu-HU"/>
        </w:rPr>
        <w:t>egédanyagok</w:t>
      </w:r>
      <w:r>
        <w:rPr>
          <w:u w:val="single"/>
          <w:lang w:val="hu-HU"/>
        </w:rPr>
        <w:t>:</w:t>
      </w:r>
    </w:p>
    <w:p w14:paraId="2C296E2D" w14:textId="77777777" w:rsidR="006F712B" w:rsidRPr="00DE56D0" w:rsidRDefault="006F712B" w:rsidP="003A532B">
      <w:pPr>
        <w:tabs>
          <w:tab w:val="clear" w:pos="567"/>
        </w:tabs>
        <w:spacing w:line="240" w:lineRule="auto"/>
      </w:pPr>
      <w:r w:rsidRPr="00DE56D0">
        <w:rPr>
          <w:lang w:val="hu-HU"/>
        </w:rPr>
        <w:t>Szacharóz</w:t>
      </w:r>
      <w:r w:rsidR="00634553">
        <w:rPr>
          <w:lang w:val="hu-HU"/>
        </w:rPr>
        <w:t>:</w:t>
      </w:r>
      <w:r w:rsidRPr="00DE56D0">
        <w:rPr>
          <w:lang w:val="hu-HU"/>
        </w:rPr>
        <w:t xml:space="preserve"> 1936 mg</w:t>
      </w:r>
    </w:p>
    <w:p w14:paraId="4C748BA4" w14:textId="77777777" w:rsidR="006F712B" w:rsidRDefault="006F712B" w:rsidP="003A532B">
      <w:pPr>
        <w:tabs>
          <w:tab w:val="clear" w:pos="567"/>
        </w:tabs>
        <w:spacing w:line="240" w:lineRule="auto"/>
        <w:rPr>
          <w:lang w:val="hu-HU"/>
        </w:rPr>
      </w:pPr>
      <w:r w:rsidRPr="00DE56D0">
        <w:rPr>
          <w:lang w:val="hu-HU"/>
        </w:rPr>
        <w:t>Aszpart</w:t>
      </w:r>
      <w:r w:rsidR="00367B84">
        <w:rPr>
          <w:lang w:val="hu-HU"/>
        </w:rPr>
        <w:t>á</w:t>
      </w:r>
      <w:r w:rsidRPr="00DE56D0">
        <w:rPr>
          <w:lang w:val="hu-HU"/>
        </w:rPr>
        <w:t>m</w:t>
      </w:r>
      <w:r w:rsidR="00634553">
        <w:rPr>
          <w:lang w:val="hu-HU"/>
        </w:rPr>
        <w:t>:</w:t>
      </w:r>
      <w:r w:rsidRPr="00DE56D0">
        <w:rPr>
          <w:lang w:val="hu-HU"/>
        </w:rPr>
        <w:t xml:space="preserve"> 25 mg</w:t>
      </w:r>
    </w:p>
    <w:p w14:paraId="2E1DDD82" w14:textId="77777777" w:rsidR="00E56C93" w:rsidRPr="00DE56D0" w:rsidRDefault="00E56C93" w:rsidP="003A532B">
      <w:pPr>
        <w:tabs>
          <w:tab w:val="clear" w:pos="567"/>
        </w:tabs>
        <w:spacing w:line="240" w:lineRule="auto"/>
      </w:pPr>
      <w:r>
        <w:rPr>
          <w:lang w:val="hu-HU"/>
        </w:rPr>
        <w:t>Nátrium: 117,5 mg</w:t>
      </w:r>
    </w:p>
    <w:p w14:paraId="4AC79047" w14:textId="77777777" w:rsidR="006F712B" w:rsidRPr="00DE56D0" w:rsidRDefault="006F712B" w:rsidP="003A532B">
      <w:pPr>
        <w:pStyle w:val="Normlbehzs"/>
        <w:spacing w:after="0"/>
        <w:ind w:left="0"/>
      </w:pPr>
    </w:p>
    <w:p w14:paraId="64F6DBA4" w14:textId="77777777" w:rsidR="006F712B" w:rsidRPr="00DE56D0" w:rsidRDefault="006F712B" w:rsidP="003A532B">
      <w:pPr>
        <w:pStyle w:val="Normlbehzs"/>
        <w:spacing w:after="0"/>
        <w:ind w:left="0"/>
      </w:pPr>
      <w:r w:rsidRPr="00DE56D0">
        <w:rPr>
          <w:lang w:val="hu-HU"/>
        </w:rPr>
        <w:t>A segédanyagok teljes listáját lásd a 6.1 pontban.</w:t>
      </w:r>
    </w:p>
    <w:p w14:paraId="6D551956" w14:textId="77777777" w:rsidR="006F712B" w:rsidRPr="00DE56D0" w:rsidRDefault="006F712B" w:rsidP="003A532B">
      <w:pPr>
        <w:spacing w:line="240" w:lineRule="auto"/>
      </w:pPr>
    </w:p>
    <w:p w14:paraId="74B9F49F" w14:textId="77777777" w:rsidR="006F712B" w:rsidRPr="00DE56D0" w:rsidRDefault="006F712B" w:rsidP="003A532B">
      <w:pPr>
        <w:spacing w:line="240" w:lineRule="auto"/>
      </w:pPr>
    </w:p>
    <w:p w14:paraId="1CEA65AF" w14:textId="77777777" w:rsidR="006F712B" w:rsidRPr="00DE56D0" w:rsidRDefault="006F712B" w:rsidP="00DE56D0">
      <w:pPr>
        <w:spacing w:line="240" w:lineRule="auto"/>
        <w:rPr>
          <w:b/>
          <w:bCs/>
          <w:caps/>
        </w:rPr>
      </w:pPr>
      <w:r w:rsidRPr="00DE56D0">
        <w:rPr>
          <w:b/>
          <w:bCs/>
        </w:rPr>
        <w:t>3.</w:t>
      </w:r>
      <w:r w:rsidRPr="00DE56D0">
        <w:rPr>
          <w:b/>
          <w:bCs/>
        </w:rPr>
        <w:tab/>
      </w:r>
      <w:r w:rsidRPr="00DE56D0">
        <w:rPr>
          <w:b/>
          <w:bCs/>
          <w:lang w:val="hu-HU"/>
        </w:rPr>
        <w:t>GYÓGYSZERFORMA</w:t>
      </w:r>
    </w:p>
    <w:p w14:paraId="674BB008" w14:textId="77777777" w:rsidR="006F712B" w:rsidRPr="00DE56D0" w:rsidRDefault="006F712B" w:rsidP="00DE56D0">
      <w:pPr>
        <w:spacing w:line="240" w:lineRule="auto"/>
      </w:pPr>
    </w:p>
    <w:p w14:paraId="5DAD0B5B" w14:textId="77777777" w:rsidR="00472CE4" w:rsidRPr="00DE56D0" w:rsidRDefault="006F712B" w:rsidP="00DE56D0">
      <w:pPr>
        <w:pStyle w:val="Normlbehzs"/>
        <w:spacing w:after="0"/>
        <w:ind w:left="0"/>
      </w:pPr>
      <w:r w:rsidRPr="00DE56D0">
        <w:rPr>
          <w:lang w:val="hu-HU"/>
        </w:rPr>
        <w:t>Por belsőleges oldathoz</w:t>
      </w:r>
      <w:r w:rsidR="00C41CD9">
        <w:rPr>
          <w:lang w:val="hu-HU"/>
        </w:rPr>
        <w:t xml:space="preserve"> tasak</w:t>
      </w:r>
      <w:r w:rsidR="00634553">
        <w:rPr>
          <w:lang w:val="hu-HU"/>
        </w:rPr>
        <w:t>ban</w:t>
      </w:r>
    </w:p>
    <w:p w14:paraId="529983D7" w14:textId="77777777" w:rsidR="00472CE4" w:rsidRPr="005737CE" w:rsidRDefault="00291483" w:rsidP="00472CE4">
      <w:pPr>
        <w:pStyle w:val="Normlbehzs"/>
        <w:spacing w:after="0"/>
        <w:ind w:left="0"/>
      </w:pPr>
      <w:r>
        <w:t>Sárga por</w:t>
      </w:r>
    </w:p>
    <w:p w14:paraId="6663AA84" w14:textId="77777777" w:rsidR="006F712B" w:rsidRPr="00DE56D0" w:rsidRDefault="006F712B" w:rsidP="00DE56D0">
      <w:pPr>
        <w:spacing w:line="240" w:lineRule="auto"/>
      </w:pPr>
    </w:p>
    <w:p w14:paraId="18917ADF" w14:textId="77777777" w:rsidR="006F712B" w:rsidRPr="004166E4" w:rsidRDefault="003E5619" w:rsidP="00DE56D0">
      <w:pPr>
        <w:spacing w:line="240" w:lineRule="auto"/>
        <w:rPr>
          <w:lang w:val="hu-HU"/>
        </w:rPr>
      </w:pPr>
      <w:bookmarkStart w:id="0" w:name="_Hlk54791931"/>
      <w:r w:rsidRPr="00744EF8">
        <w:rPr>
          <w:lang w:val="hu-HU"/>
        </w:rPr>
        <w:t>Külleme f</w:t>
      </w:r>
      <w:r w:rsidR="00304D6D" w:rsidRPr="00744EF8">
        <w:rPr>
          <w:lang w:val="hu-HU"/>
        </w:rPr>
        <w:t>eloldás után: Opálos, sárga</w:t>
      </w:r>
      <w:r w:rsidRPr="00744EF8">
        <w:rPr>
          <w:lang w:val="hu-HU"/>
        </w:rPr>
        <w:t xml:space="preserve"> </w:t>
      </w:r>
      <w:r w:rsidR="00304D6D" w:rsidRPr="00744EF8">
        <w:rPr>
          <w:lang w:val="hu-HU"/>
        </w:rPr>
        <w:t>színű oldat, jellegzetes citrus illattal és ízzel.</w:t>
      </w:r>
    </w:p>
    <w:bookmarkEnd w:id="0"/>
    <w:p w14:paraId="20238C96" w14:textId="77777777" w:rsidR="00304D6D" w:rsidRDefault="00304D6D" w:rsidP="00DE56D0">
      <w:pPr>
        <w:spacing w:line="240" w:lineRule="auto"/>
      </w:pPr>
    </w:p>
    <w:p w14:paraId="0ED52C97" w14:textId="77777777" w:rsidR="00E56C93" w:rsidRPr="00DE56D0" w:rsidRDefault="00E56C93" w:rsidP="00DE56D0">
      <w:pPr>
        <w:spacing w:line="240" w:lineRule="auto"/>
      </w:pPr>
    </w:p>
    <w:p w14:paraId="231C4505" w14:textId="77777777" w:rsidR="006F712B" w:rsidRPr="00DE56D0" w:rsidRDefault="006F712B" w:rsidP="00DE56D0">
      <w:pPr>
        <w:spacing w:line="240" w:lineRule="auto"/>
        <w:rPr>
          <w:caps/>
        </w:rPr>
      </w:pPr>
      <w:r w:rsidRPr="00DE56D0">
        <w:rPr>
          <w:b/>
          <w:bCs/>
          <w:caps/>
        </w:rPr>
        <w:t>4.</w:t>
      </w:r>
      <w:r w:rsidRPr="00DE56D0">
        <w:rPr>
          <w:b/>
          <w:bCs/>
          <w:caps/>
        </w:rPr>
        <w:tab/>
      </w:r>
      <w:r w:rsidRPr="00DE56D0">
        <w:rPr>
          <w:b/>
          <w:bCs/>
          <w:caps/>
          <w:lang w:val="hu-HU"/>
        </w:rPr>
        <w:t>KLINIKAI JELLEMZŐK</w:t>
      </w:r>
    </w:p>
    <w:p w14:paraId="0E909215" w14:textId="77777777" w:rsidR="006F712B" w:rsidRPr="00DE56D0" w:rsidRDefault="006F712B" w:rsidP="00DE56D0">
      <w:pPr>
        <w:spacing w:line="240" w:lineRule="auto"/>
      </w:pPr>
    </w:p>
    <w:p w14:paraId="5B40EB1F" w14:textId="77777777" w:rsidR="006F712B" w:rsidRPr="00DE56D0" w:rsidRDefault="006F712B" w:rsidP="00DE56D0">
      <w:pPr>
        <w:spacing w:line="240" w:lineRule="auto"/>
      </w:pPr>
      <w:r w:rsidRPr="00DE56D0">
        <w:rPr>
          <w:b/>
          <w:bCs/>
        </w:rPr>
        <w:t>4.1</w:t>
      </w:r>
      <w:r w:rsidRPr="00DE56D0">
        <w:rPr>
          <w:b/>
          <w:bCs/>
        </w:rPr>
        <w:tab/>
      </w:r>
      <w:r w:rsidRPr="00DE56D0">
        <w:rPr>
          <w:b/>
          <w:bCs/>
          <w:lang w:val="hu-HU"/>
        </w:rPr>
        <w:t>Terápiás javallatok</w:t>
      </w:r>
    </w:p>
    <w:p w14:paraId="6488E6A4" w14:textId="77777777" w:rsidR="006F712B" w:rsidRPr="00DE56D0" w:rsidRDefault="006F712B" w:rsidP="00DE56D0">
      <w:pPr>
        <w:spacing w:line="240" w:lineRule="auto"/>
      </w:pPr>
    </w:p>
    <w:p w14:paraId="73050E5F" w14:textId="77777777" w:rsidR="006F712B" w:rsidRDefault="006F712B" w:rsidP="00DE56D0">
      <w:pPr>
        <w:pStyle w:val="Normlbehzs"/>
        <w:spacing w:after="0"/>
        <w:ind w:left="0"/>
        <w:rPr>
          <w:i/>
          <w:iCs/>
          <w:lang w:val="hu-HU"/>
        </w:rPr>
      </w:pPr>
      <w:r w:rsidRPr="00DE56D0">
        <w:rPr>
          <w:lang w:val="hu-HU"/>
        </w:rPr>
        <w:t>A megfázás és az influenza tüneteinek – úgymint fejfájás, általános fájdalmak, torokfájás, orrdugulás – enyhítésére és a láz csillapítására</w:t>
      </w:r>
      <w:r w:rsidRPr="00DE56D0">
        <w:rPr>
          <w:i/>
          <w:iCs/>
          <w:lang w:val="hu-HU"/>
        </w:rPr>
        <w:t>.</w:t>
      </w:r>
      <w:r w:rsidR="0020390B">
        <w:rPr>
          <w:i/>
          <w:iCs/>
          <w:lang w:val="hu-HU"/>
        </w:rPr>
        <w:t xml:space="preserve"> </w:t>
      </w:r>
    </w:p>
    <w:p w14:paraId="240548D3" w14:textId="77777777" w:rsidR="0020390B" w:rsidRPr="00D00BFB" w:rsidRDefault="0020390B" w:rsidP="00DE56D0">
      <w:pPr>
        <w:pStyle w:val="Normlbehzs"/>
        <w:spacing w:after="0"/>
        <w:ind w:left="0"/>
        <w:rPr>
          <w:lang w:val="hu-HU"/>
        </w:rPr>
      </w:pPr>
      <w:r w:rsidRPr="00D00BFB">
        <w:rPr>
          <w:lang w:val="hu-HU"/>
        </w:rPr>
        <w:t xml:space="preserve">A </w:t>
      </w:r>
      <w:r>
        <w:rPr>
          <w:lang w:val="hu-HU"/>
        </w:rPr>
        <w:t>Wick Cold and Flu Max felnőttek és 16 éven felüli serdülők számára javallott.</w:t>
      </w:r>
    </w:p>
    <w:p w14:paraId="79C7994C" w14:textId="77777777" w:rsidR="0006367D" w:rsidRPr="00DE56D0" w:rsidRDefault="0006367D" w:rsidP="00DE56D0">
      <w:pPr>
        <w:pStyle w:val="Normlbehzs"/>
        <w:spacing w:after="0"/>
        <w:ind w:left="0"/>
      </w:pPr>
    </w:p>
    <w:p w14:paraId="7950DFDB" w14:textId="77777777" w:rsidR="006F712B" w:rsidRPr="00DE56D0" w:rsidRDefault="006F712B" w:rsidP="00DE56D0">
      <w:pPr>
        <w:spacing w:line="240" w:lineRule="auto"/>
        <w:rPr>
          <w:b/>
          <w:bCs/>
        </w:rPr>
      </w:pPr>
      <w:r w:rsidRPr="00DE56D0">
        <w:rPr>
          <w:b/>
          <w:bCs/>
        </w:rPr>
        <w:t>4.2</w:t>
      </w:r>
      <w:r w:rsidRPr="00DE56D0">
        <w:rPr>
          <w:b/>
          <w:bCs/>
        </w:rPr>
        <w:tab/>
      </w:r>
      <w:r w:rsidRPr="00DE56D0">
        <w:rPr>
          <w:b/>
          <w:bCs/>
          <w:lang w:val="hu-HU"/>
        </w:rPr>
        <w:t>Adagolás és alkalmazás</w:t>
      </w:r>
    </w:p>
    <w:p w14:paraId="2EA8E073" w14:textId="77777777" w:rsidR="006F712B" w:rsidRPr="00DE56D0" w:rsidRDefault="006F712B" w:rsidP="00DE56D0">
      <w:pPr>
        <w:spacing w:line="240" w:lineRule="auto"/>
      </w:pPr>
    </w:p>
    <w:p w14:paraId="1FB77A6A" w14:textId="77777777" w:rsidR="00C41CD9" w:rsidRPr="003C3C33" w:rsidRDefault="00C41CD9" w:rsidP="00C41CD9">
      <w:pPr>
        <w:spacing w:line="240" w:lineRule="auto"/>
        <w:rPr>
          <w:u w:val="single"/>
        </w:rPr>
      </w:pPr>
      <w:r w:rsidRPr="003C3C33">
        <w:rPr>
          <w:u w:val="single"/>
        </w:rPr>
        <w:t>Az alkalmazás módja:</w:t>
      </w:r>
    </w:p>
    <w:p w14:paraId="5CDFF7CB" w14:textId="77777777" w:rsidR="00C41CD9" w:rsidRDefault="00C41CD9" w:rsidP="00C41CD9">
      <w:pPr>
        <w:spacing w:line="240" w:lineRule="auto"/>
      </w:pPr>
      <w:r>
        <w:t>Egy tasak tartalmát oldja fel egy norm</w:t>
      </w:r>
      <w:r w:rsidR="00304D6D">
        <w:t>á</w:t>
      </w:r>
      <w:r>
        <w:t>l bögre forró, de nem forrásban lévő vízben (kb. 250 ml). Hagyja lehűlni iható hőmérsékletre.</w:t>
      </w:r>
    </w:p>
    <w:p w14:paraId="173204EF" w14:textId="77777777" w:rsidR="00304D6D" w:rsidRDefault="00304D6D" w:rsidP="00C41CD9">
      <w:pPr>
        <w:spacing w:line="240" w:lineRule="auto"/>
      </w:pPr>
    </w:p>
    <w:p w14:paraId="74F404A9" w14:textId="77777777" w:rsidR="0006367D" w:rsidRDefault="0006367D" w:rsidP="00DE56D0">
      <w:pPr>
        <w:pStyle w:val="Normlbehzs"/>
        <w:spacing w:after="0"/>
        <w:ind w:left="0"/>
        <w:rPr>
          <w:u w:val="single"/>
          <w:lang w:val="hu-HU"/>
        </w:rPr>
      </w:pPr>
      <w:r>
        <w:rPr>
          <w:u w:val="single"/>
          <w:lang w:val="hu-HU"/>
        </w:rPr>
        <w:t>Adagolás:</w:t>
      </w:r>
    </w:p>
    <w:p w14:paraId="5063BE4E" w14:textId="77777777" w:rsidR="006F712B" w:rsidRPr="00DE56D0" w:rsidRDefault="006F712B" w:rsidP="00DE56D0">
      <w:pPr>
        <w:pStyle w:val="Normlbehzs"/>
        <w:spacing w:after="0"/>
        <w:ind w:left="0"/>
      </w:pPr>
      <w:r w:rsidRPr="005C6F9C">
        <w:rPr>
          <w:lang w:val="hu-HU"/>
        </w:rPr>
        <w:t>Felnőttek:</w:t>
      </w:r>
      <w:r w:rsidRPr="005C6F9C">
        <w:t xml:space="preserve"> </w:t>
      </w:r>
      <w:r w:rsidRPr="00DE56D0">
        <w:rPr>
          <w:lang w:val="hu-HU"/>
        </w:rPr>
        <w:t>Egy tasak</w:t>
      </w:r>
    </w:p>
    <w:p w14:paraId="1D889A5E" w14:textId="77777777" w:rsidR="006F712B" w:rsidRPr="00DE56D0" w:rsidRDefault="006F712B" w:rsidP="00DE56D0">
      <w:pPr>
        <w:pStyle w:val="Normlbehzs"/>
        <w:spacing w:after="0"/>
        <w:ind w:left="0"/>
      </w:pPr>
      <w:r w:rsidRPr="00DE56D0">
        <w:rPr>
          <w:lang w:val="hu-HU"/>
        </w:rPr>
        <w:t>Szükség szerint 4-6 óránként ismételhető</w:t>
      </w:r>
    </w:p>
    <w:p w14:paraId="1C96CE6F" w14:textId="77777777" w:rsidR="00587049" w:rsidRDefault="00587049" w:rsidP="00DE56D0">
      <w:pPr>
        <w:pStyle w:val="Normlbehzs"/>
        <w:spacing w:after="0"/>
        <w:ind w:left="0"/>
        <w:rPr>
          <w:lang w:val="hu-HU"/>
        </w:rPr>
      </w:pPr>
    </w:p>
    <w:p w14:paraId="607A3A56" w14:textId="77777777" w:rsidR="006F712B" w:rsidRPr="00DE56D0" w:rsidRDefault="0006367D" w:rsidP="00DE56D0">
      <w:pPr>
        <w:pStyle w:val="Normlbehzs"/>
        <w:spacing w:after="0"/>
        <w:ind w:left="0"/>
      </w:pPr>
      <w:r w:rsidRPr="005C6F9C">
        <w:rPr>
          <w:lang w:val="hu-HU"/>
        </w:rPr>
        <w:t xml:space="preserve">16 </w:t>
      </w:r>
      <w:r w:rsidR="006F712B" w:rsidRPr="005C6F9C">
        <w:rPr>
          <w:lang w:val="hu-HU"/>
        </w:rPr>
        <w:t>éves kor feletti serdülők:</w:t>
      </w:r>
      <w:r w:rsidR="00544003" w:rsidRPr="005C6F9C">
        <w:t xml:space="preserve"> </w:t>
      </w:r>
      <w:r w:rsidR="006F712B" w:rsidRPr="00DE56D0">
        <w:rPr>
          <w:lang w:val="hu-HU"/>
        </w:rPr>
        <w:t>Egy tasak</w:t>
      </w:r>
    </w:p>
    <w:p w14:paraId="4C1CD00E" w14:textId="77777777" w:rsidR="006F712B" w:rsidRPr="00DE56D0" w:rsidRDefault="006F712B" w:rsidP="00DE56D0">
      <w:pPr>
        <w:pStyle w:val="Normlbehzs"/>
        <w:spacing w:after="0"/>
        <w:ind w:left="0"/>
      </w:pPr>
      <w:r w:rsidRPr="00DE56D0">
        <w:rPr>
          <w:lang w:val="hu-HU"/>
        </w:rPr>
        <w:t>Szükség szerint 6 óránként ismételhető</w:t>
      </w:r>
    </w:p>
    <w:p w14:paraId="086688A0" w14:textId="77777777" w:rsidR="006F712B" w:rsidRPr="004166E4" w:rsidRDefault="006F712B" w:rsidP="00DE56D0">
      <w:pPr>
        <w:pStyle w:val="Normlbehzs"/>
        <w:spacing w:after="0"/>
        <w:ind w:left="0"/>
      </w:pPr>
      <w:r w:rsidRPr="004166E4">
        <w:rPr>
          <w:lang w:val="hu-HU"/>
        </w:rPr>
        <w:t>24 órán belül legfeljebb 4 adag (4 tasak)</w:t>
      </w:r>
    </w:p>
    <w:p w14:paraId="609405F0" w14:textId="77777777" w:rsidR="00CC42CC" w:rsidRDefault="00CC42CC" w:rsidP="00CC42CC">
      <w:pPr>
        <w:spacing w:line="240" w:lineRule="auto"/>
        <w:rPr>
          <w:i/>
        </w:rPr>
      </w:pPr>
    </w:p>
    <w:p w14:paraId="29B4C1A6" w14:textId="77777777" w:rsidR="002803EB" w:rsidRPr="005C6F9C" w:rsidRDefault="002803EB" w:rsidP="002803EB">
      <w:pPr>
        <w:pStyle w:val="Normlbehzs"/>
        <w:spacing w:after="0"/>
        <w:ind w:left="0"/>
        <w:rPr>
          <w:i/>
          <w:lang w:val="hu-HU"/>
        </w:rPr>
      </w:pPr>
      <w:r w:rsidRPr="005C6F9C">
        <w:rPr>
          <w:i/>
          <w:lang w:val="hu-HU"/>
        </w:rPr>
        <w:t>Gyermekek és serdülők:</w:t>
      </w:r>
    </w:p>
    <w:p w14:paraId="1675C1A4" w14:textId="77777777" w:rsidR="002803EB" w:rsidRDefault="002803EB" w:rsidP="002803EB">
      <w:pPr>
        <w:pStyle w:val="Normlbehzs"/>
        <w:spacing w:after="0"/>
        <w:ind w:left="0"/>
        <w:rPr>
          <w:lang w:val="hu-HU"/>
        </w:rPr>
      </w:pPr>
      <w:r>
        <w:rPr>
          <w:lang w:val="hu-HU"/>
        </w:rPr>
        <w:t xml:space="preserve">A Wick Cold and Flu Max </w:t>
      </w:r>
      <w:r w:rsidRPr="005C6F9C">
        <w:rPr>
          <w:lang w:val="hu-HU"/>
        </w:rPr>
        <w:t>16 évesnél fiatalabb gyermekekn</w:t>
      </w:r>
      <w:r>
        <w:rPr>
          <w:lang w:val="hu-HU"/>
        </w:rPr>
        <w:t>ek nem adható</w:t>
      </w:r>
      <w:r w:rsidRPr="0006367D">
        <w:rPr>
          <w:lang w:val="hu-HU"/>
        </w:rPr>
        <w:t>.</w:t>
      </w:r>
    </w:p>
    <w:p w14:paraId="3E927D3B" w14:textId="77777777" w:rsidR="002803EB" w:rsidRPr="0006367D" w:rsidRDefault="002803EB" w:rsidP="002803EB">
      <w:pPr>
        <w:pStyle w:val="Normlbehzs"/>
        <w:spacing w:after="0"/>
        <w:ind w:left="0"/>
      </w:pPr>
    </w:p>
    <w:p w14:paraId="14DB134F" w14:textId="77777777" w:rsidR="00CC42CC" w:rsidRPr="00B12FF9" w:rsidRDefault="00CC42CC" w:rsidP="00CC42CC">
      <w:pPr>
        <w:spacing w:line="240" w:lineRule="auto"/>
        <w:rPr>
          <w:i/>
        </w:rPr>
      </w:pPr>
      <w:r w:rsidRPr="00B12FF9">
        <w:rPr>
          <w:i/>
        </w:rPr>
        <w:t>Idősek:</w:t>
      </w:r>
    </w:p>
    <w:p w14:paraId="33806D21" w14:textId="77777777" w:rsidR="00CC42CC" w:rsidRPr="00B12FF9" w:rsidRDefault="00CC42CC" w:rsidP="00CC42CC">
      <w:pPr>
        <w:spacing w:line="240" w:lineRule="auto"/>
      </w:pPr>
      <w:r w:rsidRPr="00B12FF9">
        <w:t xml:space="preserve">Nincs szükség </w:t>
      </w:r>
      <w:r w:rsidR="00CB2A8D" w:rsidRPr="00B12FF9">
        <w:t xml:space="preserve">az </w:t>
      </w:r>
      <w:r w:rsidRPr="00B12FF9">
        <w:t>adagmódosítására.</w:t>
      </w:r>
    </w:p>
    <w:p w14:paraId="60E76400" w14:textId="77777777" w:rsidR="00CC42CC" w:rsidRPr="00B12FF9" w:rsidRDefault="00CC42CC" w:rsidP="00CC42CC">
      <w:pPr>
        <w:spacing w:line="240" w:lineRule="auto"/>
      </w:pPr>
    </w:p>
    <w:p w14:paraId="27F44C1D" w14:textId="77777777" w:rsidR="00CC42CC" w:rsidRPr="0020390B" w:rsidRDefault="00CC42CC" w:rsidP="00CC42CC">
      <w:pPr>
        <w:spacing w:line="240" w:lineRule="auto"/>
        <w:rPr>
          <w:i/>
        </w:rPr>
      </w:pPr>
      <w:bookmarkStart w:id="1" w:name="_Hlk54791876"/>
      <w:r w:rsidRPr="0020390B">
        <w:rPr>
          <w:i/>
        </w:rPr>
        <w:t>Vese-vagy májkárosodásban szenvedő betegek:</w:t>
      </w:r>
    </w:p>
    <w:p w14:paraId="6218AE87" w14:textId="77777777" w:rsidR="00CC42CC" w:rsidRDefault="00CC42CC" w:rsidP="00CC42CC">
      <w:pPr>
        <w:spacing w:line="240" w:lineRule="auto"/>
      </w:pPr>
      <w:r w:rsidRPr="0020390B">
        <w:lastRenderedPageBreak/>
        <w:t>Súlyos máj- vagy mérsékelt/súlyos vesekárosodásban szenvedő betegeknek nem adható (lásd 4.3 pont).</w:t>
      </w:r>
      <w:r>
        <w:t xml:space="preserve"> </w:t>
      </w:r>
    </w:p>
    <w:p w14:paraId="67EC6182" w14:textId="77777777" w:rsidR="0006367D" w:rsidRDefault="0006367D" w:rsidP="00DE56D0">
      <w:pPr>
        <w:pStyle w:val="Normlbehzs"/>
        <w:spacing w:after="0"/>
        <w:ind w:left="0"/>
        <w:rPr>
          <w:lang w:val="hu-HU"/>
        </w:rPr>
      </w:pPr>
    </w:p>
    <w:bookmarkEnd w:id="1"/>
    <w:p w14:paraId="7265AAB7" w14:textId="77777777" w:rsidR="00A64929" w:rsidRPr="00DE56D0" w:rsidRDefault="00A64929" w:rsidP="00DE56D0">
      <w:pPr>
        <w:spacing w:line="240" w:lineRule="auto"/>
      </w:pPr>
    </w:p>
    <w:p w14:paraId="41531D4D" w14:textId="77777777" w:rsidR="006F712B" w:rsidRPr="00DE56D0" w:rsidRDefault="006F712B" w:rsidP="00DE56D0">
      <w:pPr>
        <w:spacing w:line="240" w:lineRule="auto"/>
      </w:pPr>
      <w:r w:rsidRPr="00DE56D0">
        <w:rPr>
          <w:b/>
          <w:bCs/>
        </w:rPr>
        <w:t>4.3</w:t>
      </w:r>
      <w:r w:rsidRPr="00DE56D0">
        <w:rPr>
          <w:b/>
          <w:bCs/>
        </w:rPr>
        <w:tab/>
      </w:r>
      <w:r w:rsidRPr="00DE56D0">
        <w:rPr>
          <w:b/>
          <w:bCs/>
          <w:lang w:val="hu-HU"/>
        </w:rPr>
        <w:t>Ellenjavallatok</w:t>
      </w:r>
    </w:p>
    <w:p w14:paraId="2C97DF53" w14:textId="77777777" w:rsidR="006F712B" w:rsidRPr="00DE56D0" w:rsidRDefault="006F712B" w:rsidP="00DE56D0">
      <w:pPr>
        <w:spacing w:line="240" w:lineRule="auto"/>
      </w:pPr>
    </w:p>
    <w:p w14:paraId="595F5083" w14:textId="77777777" w:rsidR="006F712B" w:rsidRPr="003A0D6C" w:rsidRDefault="00811CC2" w:rsidP="00A64929">
      <w:pPr>
        <w:numPr>
          <w:ilvl w:val="0"/>
          <w:numId w:val="44"/>
        </w:numPr>
        <w:tabs>
          <w:tab w:val="clear" w:pos="720"/>
          <w:tab w:val="num" w:pos="567"/>
        </w:tabs>
        <w:spacing w:line="240" w:lineRule="auto"/>
        <w:ind w:left="567" w:hanging="567"/>
      </w:pPr>
      <w:r w:rsidRPr="00B12FF9">
        <w:rPr>
          <w:lang w:val="hu-HU"/>
        </w:rPr>
        <w:t xml:space="preserve">A </w:t>
      </w:r>
      <w:r w:rsidR="00B12FF9" w:rsidRPr="00D00BFB">
        <w:rPr>
          <w:lang w:val="hu-HU"/>
        </w:rPr>
        <w:t>készítmény hatóanyagaival</w:t>
      </w:r>
      <w:r w:rsidRPr="00B12FF9">
        <w:rPr>
          <w:lang w:val="hu-HU"/>
        </w:rPr>
        <w:t xml:space="preserve">, </w:t>
      </w:r>
      <w:r w:rsidRPr="00CB1F8B">
        <w:rPr>
          <w:lang w:val="hu-HU"/>
        </w:rPr>
        <w:t>p</w:t>
      </w:r>
      <w:r w:rsidR="006F712B" w:rsidRPr="003A0D6C">
        <w:rPr>
          <w:lang w:val="hu-HU"/>
        </w:rPr>
        <w:t xml:space="preserve">aracetamollal, fenilefrinnel vagy a </w:t>
      </w:r>
      <w:r w:rsidR="00B12FF9" w:rsidRPr="00D00BFB">
        <w:rPr>
          <w:lang w:val="hu-HU"/>
        </w:rPr>
        <w:t>6.1 pontban felsorolt</w:t>
      </w:r>
      <w:r w:rsidR="00B12FF9" w:rsidRPr="00B12FF9">
        <w:rPr>
          <w:lang w:val="hu-HU"/>
        </w:rPr>
        <w:t xml:space="preserve"> </w:t>
      </w:r>
      <w:r w:rsidR="006F712B" w:rsidRPr="00CB1F8B">
        <w:rPr>
          <w:lang w:val="hu-HU"/>
        </w:rPr>
        <w:t>bármely segédanyagával szembeni túlérzékenység</w:t>
      </w:r>
      <w:r w:rsidR="00C41CD9" w:rsidRPr="00CB1F8B">
        <w:rPr>
          <w:lang w:val="hu-HU"/>
        </w:rPr>
        <w:t>;</w:t>
      </w:r>
    </w:p>
    <w:p w14:paraId="38A097DE"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Súlyos ischaemiás szívbetegség;</w:t>
      </w:r>
    </w:p>
    <w:p w14:paraId="03EEF72B"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Súlyos májkárosodás;</w:t>
      </w:r>
    </w:p>
    <w:p w14:paraId="018CE618"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Közepesen súlyos vagy súlyos vesekárosodás;</w:t>
      </w:r>
    </w:p>
    <w:p w14:paraId="1563E669"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Hypertonia;</w:t>
      </w:r>
    </w:p>
    <w:p w14:paraId="348B0CC2"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Súlyos hyperthyreosis;</w:t>
      </w:r>
    </w:p>
    <w:p w14:paraId="55753FCF" w14:textId="77777777" w:rsidR="006F712B" w:rsidRPr="00DE56D0" w:rsidRDefault="00811CC2" w:rsidP="00A64929">
      <w:pPr>
        <w:numPr>
          <w:ilvl w:val="0"/>
          <w:numId w:val="44"/>
        </w:numPr>
        <w:tabs>
          <w:tab w:val="clear" w:pos="720"/>
          <w:tab w:val="num" w:pos="567"/>
        </w:tabs>
        <w:spacing w:line="240" w:lineRule="auto"/>
        <w:ind w:left="567" w:hanging="567"/>
      </w:pPr>
      <w:r>
        <w:rPr>
          <w:lang w:val="hu-HU"/>
        </w:rPr>
        <w:t>Zárt</w:t>
      </w:r>
      <w:r w:rsidRPr="00DE56D0">
        <w:rPr>
          <w:lang w:val="hu-HU"/>
        </w:rPr>
        <w:t xml:space="preserve"> </w:t>
      </w:r>
      <w:r w:rsidR="006F712B" w:rsidRPr="00DE56D0">
        <w:rPr>
          <w:lang w:val="hu-HU"/>
        </w:rPr>
        <w:t>zugú glaucoma;</w:t>
      </w:r>
    </w:p>
    <w:p w14:paraId="0E1DDBC8"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Alkalmazás olyan betegeknél, akik monoamin-oxidáz gátlókat (MAOI-k) szednek vagy az utóbbi két hétben ilyen gyógyszert szedtek;</w:t>
      </w:r>
    </w:p>
    <w:p w14:paraId="2A852EEC" w14:textId="77777777" w:rsidR="006F712B" w:rsidRPr="00DE56D0" w:rsidRDefault="006F712B" w:rsidP="00A64929">
      <w:pPr>
        <w:numPr>
          <w:ilvl w:val="0"/>
          <w:numId w:val="44"/>
        </w:numPr>
        <w:tabs>
          <w:tab w:val="clear" w:pos="720"/>
          <w:tab w:val="num" w:pos="567"/>
        </w:tabs>
        <w:spacing w:line="240" w:lineRule="auto"/>
        <w:ind w:left="567" w:hanging="567"/>
      </w:pPr>
      <w:r w:rsidRPr="00DE56D0">
        <w:rPr>
          <w:lang w:val="hu-HU"/>
        </w:rPr>
        <w:t>Alkalmazás vizelet visszatartásban szenvedő betegeknél</w:t>
      </w:r>
      <w:r w:rsidR="00C41CD9">
        <w:rPr>
          <w:lang w:val="hu-HU"/>
        </w:rPr>
        <w:t>;</w:t>
      </w:r>
      <w:r w:rsidRPr="00DE56D0">
        <w:rPr>
          <w:lang w:val="hu-HU"/>
        </w:rPr>
        <w:t xml:space="preserve"> </w:t>
      </w:r>
    </w:p>
    <w:p w14:paraId="5265CE1A" w14:textId="77777777" w:rsidR="006F712B" w:rsidRPr="00D00BFB" w:rsidRDefault="006F712B" w:rsidP="00A64929">
      <w:pPr>
        <w:numPr>
          <w:ilvl w:val="0"/>
          <w:numId w:val="44"/>
        </w:numPr>
        <w:tabs>
          <w:tab w:val="clear" w:pos="720"/>
          <w:tab w:val="num" w:pos="567"/>
        </w:tabs>
        <w:spacing w:line="240" w:lineRule="auto"/>
        <w:ind w:left="567" w:hanging="567"/>
      </w:pPr>
      <w:r w:rsidRPr="00DE56D0">
        <w:rPr>
          <w:lang w:val="hu-HU"/>
        </w:rPr>
        <w:t>Alkalmazás olyan betegeknél, akik szimpatomimetikumokat szednek</w:t>
      </w:r>
      <w:r w:rsidR="00C41CD9">
        <w:rPr>
          <w:lang w:val="hu-HU"/>
        </w:rPr>
        <w:t>;</w:t>
      </w:r>
    </w:p>
    <w:p w14:paraId="26A0A865" w14:textId="77777777" w:rsidR="006F712B" w:rsidRPr="00DE56D0" w:rsidRDefault="006F712B" w:rsidP="00DE56D0">
      <w:pPr>
        <w:spacing w:line="240" w:lineRule="auto"/>
      </w:pPr>
    </w:p>
    <w:p w14:paraId="7C68E236" w14:textId="77777777" w:rsidR="006F712B" w:rsidRPr="00DE56D0" w:rsidRDefault="006F712B" w:rsidP="00DE56D0">
      <w:pPr>
        <w:spacing w:line="240" w:lineRule="auto"/>
      </w:pPr>
      <w:r w:rsidRPr="00DE56D0">
        <w:rPr>
          <w:b/>
          <w:bCs/>
        </w:rPr>
        <w:t>4.4</w:t>
      </w:r>
      <w:r w:rsidRPr="00DE56D0">
        <w:rPr>
          <w:b/>
          <w:bCs/>
        </w:rPr>
        <w:tab/>
      </w:r>
      <w:r w:rsidRPr="00DE56D0">
        <w:rPr>
          <w:b/>
          <w:bCs/>
          <w:lang w:val="hu-HU"/>
        </w:rPr>
        <w:t>Különleges figyelmeztetések és az alkalmazással kapcsolatos óvintézkedések</w:t>
      </w:r>
    </w:p>
    <w:p w14:paraId="5EBB224F" w14:textId="77777777" w:rsidR="006F712B" w:rsidRPr="00DE56D0" w:rsidRDefault="006F712B" w:rsidP="00DE56D0">
      <w:pPr>
        <w:pStyle w:val="Normlbehzs"/>
        <w:spacing w:after="0"/>
        <w:ind w:left="0"/>
      </w:pPr>
    </w:p>
    <w:p w14:paraId="4C2011BB" w14:textId="77777777" w:rsidR="006F712B" w:rsidRPr="00DE56D0" w:rsidRDefault="006F712B" w:rsidP="00DE56D0">
      <w:pPr>
        <w:tabs>
          <w:tab w:val="clear" w:pos="567"/>
        </w:tabs>
        <w:spacing w:line="240" w:lineRule="auto"/>
      </w:pPr>
      <w:r w:rsidRPr="00DE56D0">
        <w:rPr>
          <w:lang w:val="hu-HU"/>
        </w:rPr>
        <w:t>A paracetamolt máj</w:t>
      </w:r>
      <w:r w:rsidR="00AE4A25">
        <w:rPr>
          <w:lang w:val="hu-HU"/>
        </w:rPr>
        <w:t>károsodásban</w:t>
      </w:r>
      <w:r w:rsidRPr="00DE56D0">
        <w:rPr>
          <w:lang w:val="hu-HU"/>
        </w:rPr>
        <w:t>, így akut hepatitis, alkoholizmus, haemolyticus anaemia vagy májkárosító hatású gyógyszerek szedése esetén megfelelő körültekintéssel kell alkalmazni.</w:t>
      </w:r>
      <w:r w:rsidR="00544003" w:rsidRPr="00DE56D0">
        <w:t xml:space="preserve"> </w:t>
      </w:r>
      <w:r w:rsidRPr="00DE56D0">
        <w:rPr>
          <w:lang w:val="hu-HU"/>
        </w:rPr>
        <w:t xml:space="preserve">Ha a paracetamolt </w:t>
      </w:r>
      <w:r w:rsidR="00AE4A25">
        <w:rPr>
          <w:lang w:val="hu-HU"/>
        </w:rPr>
        <w:t>károsodott</w:t>
      </w:r>
      <w:r w:rsidR="00AE4A25" w:rsidRPr="00DE56D0">
        <w:rPr>
          <w:lang w:val="hu-HU"/>
        </w:rPr>
        <w:t xml:space="preserve"> </w:t>
      </w:r>
      <w:r w:rsidRPr="00DE56D0">
        <w:rPr>
          <w:lang w:val="hu-HU"/>
        </w:rPr>
        <w:t>májműködésű betegeknél vagy olyanoknál alkalmazzák, akiket hosszú távon nagy adag paracetamollal kezelnek, a májfunkciót rendszeresen ellenőrizni kell.</w:t>
      </w:r>
    </w:p>
    <w:p w14:paraId="05551565" w14:textId="77777777" w:rsidR="006F712B" w:rsidRPr="00DE56D0" w:rsidRDefault="006F712B" w:rsidP="00DE56D0">
      <w:pPr>
        <w:tabs>
          <w:tab w:val="clear" w:pos="567"/>
        </w:tabs>
        <w:spacing w:line="240" w:lineRule="auto"/>
      </w:pPr>
    </w:p>
    <w:p w14:paraId="2C226ABB" w14:textId="77777777" w:rsidR="006F712B" w:rsidRPr="00DE56D0" w:rsidRDefault="006F712B" w:rsidP="00DE56D0">
      <w:pPr>
        <w:tabs>
          <w:tab w:val="clear" w:pos="567"/>
        </w:tabs>
        <w:spacing w:line="240" w:lineRule="auto"/>
      </w:pPr>
      <w:r w:rsidRPr="00DE56D0">
        <w:rPr>
          <w:lang w:val="hu-HU"/>
        </w:rPr>
        <w:t>A paracetamolt különös óvatossággal kell alkalmazni krónikusan alultáplált (alacsony hepaticus glutation szintű) vagy glükóz-6-foszfát-dehidrogenáz enzimhiányos betegeknél.</w:t>
      </w:r>
    </w:p>
    <w:p w14:paraId="3F6553C3" w14:textId="77777777" w:rsidR="006F712B" w:rsidRPr="00DE56D0" w:rsidRDefault="006F712B" w:rsidP="00DE56D0">
      <w:pPr>
        <w:tabs>
          <w:tab w:val="clear" w:pos="567"/>
        </w:tabs>
        <w:spacing w:line="240" w:lineRule="auto"/>
      </w:pPr>
    </w:p>
    <w:p w14:paraId="2D4B32C9" w14:textId="77777777" w:rsidR="00CC42CC" w:rsidRDefault="00CC42CC" w:rsidP="00D00BFB">
      <w:pPr>
        <w:tabs>
          <w:tab w:val="clear" w:pos="567"/>
        </w:tabs>
        <w:spacing w:line="240" w:lineRule="auto"/>
        <w:rPr>
          <w:lang w:val="hu-HU"/>
        </w:rPr>
      </w:pPr>
      <w:r>
        <w:rPr>
          <w:lang w:val="hu-HU"/>
        </w:rPr>
        <w:t>Ó</w:t>
      </w:r>
      <w:r w:rsidR="006F712B" w:rsidRPr="00DE56D0">
        <w:rPr>
          <w:lang w:val="hu-HU"/>
        </w:rPr>
        <w:t>vatosan alkalmazható</w:t>
      </w:r>
      <w:r>
        <w:rPr>
          <w:lang w:val="hu-HU"/>
        </w:rPr>
        <w:t xml:space="preserve"> </w:t>
      </w:r>
      <w:r w:rsidR="00233C63">
        <w:rPr>
          <w:lang w:val="hu-HU"/>
        </w:rPr>
        <w:t>h</w:t>
      </w:r>
      <w:r w:rsidRPr="00CC42CC">
        <w:rPr>
          <w:lang w:val="hu-HU"/>
        </w:rPr>
        <w:t>yperthyreosis</w:t>
      </w:r>
      <w:r w:rsidR="00233C63">
        <w:rPr>
          <w:lang w:val="hu-HU"/>
        </w:rPr>
        <w:t>ban szenvedő betegeknél.</w:t>
      </w:r>
    </w:p>
    <w:p w14:paraId="38E825C8" w14:textId="77777777" w:rsidR="006F712B" w:rsidRPr="00DE56D0" w:rsidRDefault="006F712B" w:rsidP="00DE56D0">
      <w:pPr>
        <w:tabs>
          <w:tab w:val="clear" w:pos="567"/>
        </w:tabs>
        <w:spacing w:line="240" w:lineRule="auto"/>
      </w:pPr>
    </w:p>
    <w:p w14:paraId="3CFE3E8D" w14:textId="77777777" w:rsidR="006F712B" w:rsidRPr="00D00BFB" w:rsidRDefault="006F712B" w:rsidP="00DE56D0">
      <w:pPr>
        <w:tabs>
          <w:tab w:val="clear" w:pos="567"/>
        </w:tabs>
        <w:spacing w:line="240" w:lineRule="auto"/>
        <w:rPr>
          <w:lang w:val="hu-HU"/>
        </w:rPr>
      </w:pPr>
      <w:r w:rsidRPr="00DE56D0">
        <w:rPr>
          <w:lang w:val="hu-HU"/>
        </w:rPr>
        <w:t>Digitalis, béta-adrenerg</w:t>
      </w:r>
      <w:r w:rsidR="00E65A59">
        <w:rPr>
          <w:lang w:val="hu-HU"/>
        </w:rPr>
        <w:t>-</w:t>
      </w:r>
      <w:r w:rsidRPr="00DE56D0">
        <w:rPr>
          <w:lang w:val="hu-HU"/>
        </w:rPr>
        <w:t>blokkoló gyógyszereket, metildopát vagy egyéb vérnyomáscsökkentőt szedő betegeknél óvatosan alkalmazható.</w:t>
      </w:r>
    </w:p>
    <w:p w14:paraId="00B27959" w14:textId="77777777" w:rsidR="00233C63" w:rsidRDefault="00233C63" w:rsidP="00DE56D0">
      <w:pPr>
        <w:tabs>
          <w:tab w:val="clear" w:pos="567"/>
        </w:tabs>
        <w:spacing w:line="240" w:lineRule="auto"/>
      </w:pPr>
    </w:p>
    <w:p w14:paraId="59E601CE" w14:textId="77777777" w:rsidR="00233C63" w:rsidRPr="00DE56D0" w:rsidRDefault="00233C63" w:rsidP="00DE56D0">
      <w:pPr>
        <w:tabs>
          <w:tab w:val="clear" w:pos="567"/>
        </w:tabs>
        <w:spacing w:line="240" w:lineRule="auto"/>
      </w:pPr>
      <w:r>
        <w:t>Óvatosan alkalmazható p</w:t>
      </w:r>
      <w:r w:rsidRPr="00233C63">
        <w:t>rosztata hipertrophy</w:t>
      </w:r>
      <w:r>
        <w:t>ában szenvedő betegeknél</w:t>
      </w:r>
      <w:r w:rsidRPr="00233C63">
        <w:t>, mivel ez a betegség a vizelet visszatartására hajlamosíthat</w:t>
      </w:r>
      <w:r>
        <w:t>.</w:t>
      </w:r>
    </w:p>
    <w:p w14:paraId="67E017B2" w14:textId="77777777" w:rsidR="00A4680D" w:rsidRDefault="00A4680D" w:rsidP="00DE56D0">
      <w:pPr>
        <w:pStyle w:val="Normlbehzs"/>
        <w:spacing w:after="0"/>
        <w:ind w:left="0"/>
        <w:rPr>
          <w:lang w:val="hu-HU"/>
        </w:rPr>
      </w:pPr>
    </w:p>
    <w:p w14:paraId="1AFA077F" w14:textId="77777777" w:rsidR="00233C63" w:rsidRPr="00D00BFB" w:rsidRDefault="00233C63" w:rsidP="00D00BFB">
      <w:pPr>
        <w:tabs>
          <w:tab w:val="clear" w:pos="567"/>
        </w:tabs>
        <w:spacing w:line="240" w:lineRule="auto"/>
      </w:pPr>
      <w:r w:rsidRPr="00D00BFB">
        <w:t>Óvatosan alkalmazható Raynaud-szindróm</w:t>
      </w:r>
      <w:r>
        <w:t>ában vagy d</w:t>
      </w:r>
      <w:r w:rsidRPr="00D00BFB">
        <w:t>iabetes</w:t>
      </w:r>
      <w:r>
        <w:t>ben szenvedő betegeknél.</w:t>
      </w:r>
    </w:p>
    <w:p w14:paraId="04FE41F9" w14:textId="77777777" w:rsidR="00233C63" w:rsidRPr="00D00BFB" w:rsidRDefault="00233C63" w:rsidP="00D00BFB">
      <w:pPr>
        <w:tabs>
          <w:tab w:val="clear" w:pos="567"/>
        </w:tabs>
        <w:spacing w:line="240" w:lineRule="auto"/>
      </w:pPr>
    </w:p>
    <w:p w14:paraId="29358EBA" w14:textId="77777777" w:rsidR="006F712B" w:rsidRPr="00DE56D0" w:rsidRDefault="006F712B" w:rsidP="00DE56D0">
      <w:pPr>
        <w:pStyle w:val="Normlbehzs"/>
        <w:spacing w:after="0"/>
        <w:ind w:left="0"/>
      </w:pPr>
      <w:r w:rsidRPr="00DE56D0">
        <w:rPr>
          <w:lang w:val="hu-HU"/>
        </w:rPr>
        <w:t>A szimpatomi</w:t>
      </w:r>
      <w:r w:rsidR="00FF0216">
        <w:rPr>
          <w:lang w:val="hu-HU"/>
        </w:rPr>
        <w:t>m</w:t>
      </w:r>
      <w:r w:rsidRPr="00DE56D0">
        <w:rPr>
          <w:lang w:val="hu-HU"/>
        </w:rPr>
        <w:t>etikumot tartalmazó készítmények központi idegrendszeri stimulánsként hathatnak, így álmatlanságot, idegességet, magas lázat, reszketést és epileptiform görcsöket okozhatnak.</w:t>
      </w:r>
    </w:p>
    <w:p w14:paraId="06B141ED" w14:textId="77777777" w:rsidR="00A4680D" w:rsidRDefault="00A4680D" w:rsidP="00DE56D0">
      <w:pPr>
        <w:pStyle w:val="Normlbehzs"/>
        <w:spacing w:after="0"/>
        <w:ind w:left="0"/>
        <w:rPr>
          <w:lang w:val="hu-HU"/>
        </w:rPr>
      </w:pPr>
    </w:p>
    <w:p w14:paraId="593AD818" w14:textId="77777777" w:rsidR="006F712B" w:rsidRPr="00DE56D0" w:rsidRDefault="006F712B" w:rsidP="00DE56D0">
      <w:pPr>
        <w:pStyle w:val="Normlbehzs"/>
        <w:spacing w:after="0"/>
        <w:ind w:left="0"/>
      </w:pPr>
      <w:r w:rsidRPr="00DE56D0">
        <w:rPr>
          <w:lang w:val="hu-HU"/>
        </w:rPr>
        <w:t>A halogénezett általános érzéstelenítőkkel (pl. kloroform, ciklopropán, halotán, enflurán vagy izoflurán) történő egyidejű alkalmazás kamrai arrhythmiákat válthat ki</w:t>
      </w:r>
      <w:r w:rsidR="00544003" w:rsidRPr="00DE56D0">
        <w:rPr>
          <w:lang w:val="hu-HU"/>
        </w:rPr>
        <w:t>,</w:t>
      </w:r>
      <w:r w:rsidRPr="00DE56D0">
        <w:rPr>
          <w:lang w:val="hu-HU"/>
        </w:rPr>
        <w:t xml:space="preserve"> vagy ronthatja azt.</w:t>
      </w:r>
    </w:p>
    <w:p w14:paraId="4180F6FF" w14:textId="77777777" w:rsidR="006F712B" w:rsidRPr="00DE56D0" w:rsidRDefault="006F712B" w:rsidP="00DE56D0">
      <w:pPr>
        <w:pStyle w:val="Normlbehzs"/>
        <w:spacing w:after="0"/>
        <w:ind w:left="0"/>
      </w:pPr>
    </w:p>
    <w:p w14:paraId="0B906C28" w14:textId="77777777" w:rsidR="006F712B" w:rsidRPr="00DE56D0" w:rsidRDefault="006F712B" w:rsidP="00DE56D0">
      <w:pPr>
        <w:pStyle w:val="Normlbehzs"/>
        <w:spacing w:after="0"/>
        <w:ind w:left="0"/>
      </w:pPr>
      <w:r w:rsidRPr="00DE56D0">
        <w:rPr>
          <w:lang w:val="hu-HU"/>
        </w:rPr>
        <w:t>Aszpart</w:t>
      </w:r>
      <w:r w:rsidR="00DC28D1">
        <w:rPr>
          <w:lang w:val="hu-HU"/>
        </w:rPr>
        <w:t>á</w:t>
      </w:r>
      <w:r w:rsidRPr="00DE56D0">
        <w:rPr>
          <w:lang w:val="hu-HU"/>
        </w:rPr>
        <w:t>mot (E951)</w:t>
      </w:r>
      <w:r w:rsidR="00DC28D1">
        <w:rPr>
          <w:lang w:val="hu-HU"/>
        </w:rPr>
        <w:t>,</w:t>
      </w:r>
      <w:r w:rsidRPr="00DE56D0">
        <w:rPr>
          <w:lang w:val="hu-HU"/>
        </w:rPr>
        <w:t xml:space="preserve"> azaz fenilalanin forrást tartalmaz 14 mg/adag mennyiségben.</w:t>
      </w:r>
      <w:r w:rsidR="00544003" w:rsidRPr="00DE56D0">
        <w:t xml:space="preserve"> </w:t>
      </w:r>
      <w:r w:rsidRPr="00DE56D0">
        <w:rPr>
          <w:lang w:val="hu-HU"/>
        </w:rPr>
        <w:t>Fenilketonúriás személyek számára káros lehet.</w:t>
      </w:r>
    </w:p>
    <w:p w14:paraId="3E91F400" w14:textId="77777777" w:rsidR="00A4680D" w:rsidRDefault="00A4680D" w:rsidP="00DE56D0">
      <w:pPr>
        <w:tabs>
          <w:tab w:val="clear" w:pos="567"/>
        </w:tabs>
        <w:spacing w:line="240" w:lineRule="auto"/>
        <w:rPr>
          <w:lang w:val="hu-HU"/>
        </w:rPr>
      </w:pPr>
    </w:p>
    <w:p w14:paraId="004A8A0E" w14:textId="77777777" w:rsidR="006F712B" w:rsidRPr="00DE56D0" w:rsidRDefault="006F712B" w:rsidP="00DE56D0">
      <w:pPr>
        <w:tabs>
          <w:tab w:val="clear" w:pos="567"/>
        </w:tabs>
        <w:spacing w:line="240" w:lineRule="auto"/>
        <w:rPr>
          <w:lang w:val="hu-HU"/>
        </w:rPr>
      </w:pPr>
      <w:r w:rsidRPr="00DE56D0">
        <w:rPr>
          <w:lang w:val="hu-HU"/>
        </w:rPr>
        <w:t>Szacharózt tartalmaz.</w:t>
      </w:r>
      <w:r w:rsidR="00544003" w:rsidRPr="00DE56D0">
        <w:t xml:space="preserve"> </w:t>
      </w:r>
      <w:r w:rsidRPr="00DE56D0">
        <w:rPr>
          <w:lang w:val="hu-HU"/>
        </w:rPr>
        <w:t>A napi négy adag szacharóz tartalma 7,75 g.</w:t>
      </w:r>
    </w:p>
    <w:p w14:paraId="469EFDB2" w14:textId="77777777" w:rsidR="006F712B" w:rsidRPr="00DE56D0" w:rsidRDefault="00DC28D1" w:rsidP="00DE56D0">
      <w:pPr>
        <w:tabs>
          <w:tab w:val="clear" w:pos="567"/>
        </w:tabs>
        <w:spacing w:line="240" w:lineRule="auto"/>
        <w:rPr>
          <w:lang w:val="hu-HU"/>
        </w:rPr>
      </w:pPr>
      <w:r w:rsidRPr="00DC28D1">
        <w:rPr>
          <w:lang w:val="hu-HU"/>
        </w:rPr>
        <w:t xml:space="preserve">Ritkán előforduló, </w:t>
      </w:r>
      <w:r w:rsidR="006F712B" w:rsidRPr="00DE56D0">
        <w:rPr>
          <w:lang w:val="hu-HU"/>
        </w:rPr>
        <w:t xml:space="preserve">örökletes fruktózintoleranciában, glükóz-galaktóz </w:t>
      </w:r>
      <w:r w:rsidRPr="00DC28D1">
        <w:rPr>
          <w:lang w:val="hu-HU"/>
        </w:rPr>
        <w:t>malabszorpcióban</w:t>
      </w:r>
      <w:r w:rsidR="006F712B" w:rsidRPr="00DE56D0">
        <w:rPr>
          <w:lang w:val="hu-HU"/>
        </w:rPr>
        <w:t>,</w:t>
      </w:r>
      <w:r>
        <w:rPr>
          <w:lang w:val="hu-HU"/>
        </w:rPr>
        <w:t>vagy</w:t>
      </w:r>
      <w:r w:rsidR="006F712B" w:rsidRPr="00DE56D0">
        <w:rPr>
          <w:lang w:val="hu-HU"/>
        </w:rPr>
        <w:t xml:space="preserve"> szacharáz-izomaltáz </w:t>
      </w:r>
      <w:r w:rsidRPr="00DC28D1">
        <w:rPr>
          <w:lang w:val="hu-HU"/>
        </w:rPr>
        <w:t>hiányban a készítmény nem szedhető</w:t>
      </w:r>
      <w:r w:rsidR="006F712B" w:rsidRPr="00DE56D0">
        <w:rPr>
          <w:lang w:val="hu-HU"/>
        </w:rPr>
        <w:t>.</w:t>
      </w:r>
    </w:p>
    <w:p w14:paraId="5C7781DC" w14:textId="77777777" w:rsidR="00685D78" w:rsidRDefault="00685D78" w:rsidP="00DE56D0">
      <w:pPr>
        <w:pStyle w:val="Normlbehzs"/>
        <w:spacing w:after="0"/>
        <w:ind w:left="0"/>
        <w:rPr>
          <w:lang w:val="hu-HU"/>
        </w:rPr>
      </w:pPr>
    </w:p>
    <w:p w14:paraId="6FBDC83C" w14:textId="77777777" w:rsidR="00DC28D1" w:rsidRDefault="00685D78" w:rsidP="00DE56D0">
      <w:pPr>
        <w:pStyle w:val="Normlbehzs"/>
        <w:spacing w:after="0"/>
        <w:ind w:left="0"/>
        <w:rPr>
          <w:lang w:val="hu-HU"/>
        </w:rPr>
      </w:pPr>
      <w:r>
        <w:rPr>
          <w:lang w:val="hu-HU"/>
        </w:rPr>
        <w:t xml:space="preserve">Nátriumot tartalmaz. </w:t>
      </w:r>
      <w:r w:rsidRPr="00685D78">
        <w:rPr>
          <w:lang w:val="hu-HU"/>
        </w:rPr>
        <w:t xml:space="preserve">Ez a gyógyszer </w:t>
      </w:r>
      <w:r>
        <w:rPr>
          <w:lang w:val="hu-HU"/>
        </w:rPr>
        <w:t>117,5</w:t>
      </w:r>
      <w:r w:rsidRPr="00685D78">
        <w:rPr>
          <w:lang w:val="hu-HU"/>
        </w:rPr>
        <w:t xml:space="preserve"> mg nátrium</w:t>
      </w:r>
      <w:r>
        <w:rPr>
          <w:lang w:val="hu-HU"/>
        </w:rPr>
        <w:t>ot tartalmaz tasakonként</w:t>
      </w:r>
      <w:r w:rsidRPr="00685D78">
        <w:rPr>
          <w:lang w:val="hu-HU"/>
        </w:rPr>
        <w:t xml:space="preserve">, ami megfelel a WHO által ajánlott maximális napi 2 g nátriumbevitel </w:t>
      </w:r>
      <w:r>
        <w:rPr>
          <w:lang w:val="hu-HU"/>
        </w:rPr>
        <w:t>5,875</w:t>
      </w:r>
      <w:r w:rsidRPr="00685D78">
        <w:rPr>
          <w:lang w:val="hu-HU"/>
        </w:rPr>
        <w:t>% ának felnőtteknél.</w:t>
      </w:r>
    </w:p>
    <w:p w14:paraId="5EB7948A" w14:textId="77777777" w:rsidR="00685D78" w:rsidRPr="00DE56D0" w:rsidRDefault="00685D78" w:rsidP="00DE56D0">
      <w:pPr>
        <w:pStyle w:val="Normlbehzs"/>
        <w:spacing w:after="0"/>
        <w:ind w:left="0"/>
        <w:rPr>
          <w:lang w:val="hu-HU"/>
        </w:rPr>
      </w:pPr>
    </w:p>
    <w:p w14:paraId="43CA5DF4" w14:textId="77777777" w:rsidR="006F712B" w:rsidRPr="00DE56D0" w:rsidRDefault="006F712B" w:rsidP="00DE56D0">
      <w:pPr>
        <w:pStyle w:val="Normlbehzs"/>
        <w:spacing w:after="0"/>
        <w:ind w:left="0"/>
      </w:pPr>
      <w:r w:rsidRPr="00DE56D0">
        <w:rPr>
          <w:lang w:val="hu-HU"/>
        </w:rPr>
        <w:t>A javasolt adagot nem szabad túllépni.</w:t>
      </w:r>
    </w:p>
    <w:p w14:paraId="45834217" w14:textId="4DEBACA2" w:rsidR="006F712B" w:rsidRDefault="006F712B" w:rsidP="00DE56D0">
      <w:pPr>
        <w:tabs>
          <w:tab w:val="clear" w:pos="567"/>
        </w:tabs>
        <w:spacing w:line="240" w:lineRule="auto"/>
        <w:rPr>
          <w:lang w:val="hu-HU"/>
        </w:rPr>
      </w:pPr>
      <w:r w:rsidRPr="00DE56D0">
        <w:rPr>
          <w:lang w:val="hu-HU"/>
        </w:rPr>
        <w:t>A betegek figyelmét fel kell hívni arra, hogy a gyógyszert ne szedjék együtt más, paracetamol tartalmú készítménnyel.</w:t>
      </w:r>
      <w:r w:rsidR="00544003" w:rsidRPr="00DE56D0">
        <w:t xml:space="preserve"> </w:t>
      </w:r>
      <w:r w:rsidRPr="00DE56D0">
        <w:rPr>
          <w:lang w:val="hu-HU"/>
        </w:rPr>
        <w:t>Az orvosnak vagy gyógyszerésznek ellenőriznie kell, hogy a beteg nem kap többféle adagolási módban (pl. szájon át és lokálisan – nazális, fülészeti és szemészeti készítmények) szimpatomimetikumokat tartalmazó gyógyszereket.</w:t>
      </w:r>
    </w:p>
    <w:p w14:paraId="654AA60E" w14:textId="77777777" w:rsidR="00F1468A" w:rsidRPr="00DE56D0" w:rsidRDefault="00F1468A" w:rsidP="00DE56D0">
      <w:pPr>
        <w:tabs>
          <w:tab w:val="clear" w:pos="567"/>
        </w:tabs>
        <w:spacing w:line="240" w:lineRule="auto"/>
      </w:pPr>
    </w:p>
    <w:p w14:paraId="77F3FD1F" w14:textId="77777777" w:rsidR="000E40CA" w:rsidRPr="000E40CA" w:rsidRDefault="000E40CA" w:rsidP="000E40CA">
      <w:pPr>
        <w:tabs>
          <w:tab w:val="clear" w:pos="567"/>
        </w:tabs>
        <w:spacing w:line="240" w:lineRule="auto"/>
        <w:rPr>
          <w:lang w:val="hu-HU"/>
        </w:rPr>
      </w:pPr>
      <w:r w:rsidRPr="000E40CA">
        <w:rPr>
          <w:lang w:val="en-US"/>
        </w:rPr>
        <w:t xml:space="preserve">Piroglutamát-acidózis miatt kialakuló emelkedett anionréssel járó metabolikus acidózist (HAGMA) jelentettek egyes olyan, súlyos betegségben (pl. súlyos vesekárosodás, sepsis) szenvedő, vagy egyes alultáplált, illetve egyéb ok (pl. krónikus alkoholizmus) miatt glutationhiányban szenvedő betegeknél, akiket hosszú időn keresztül kezeltek terápiás dózisú paracetamollal, illetve akiket paracetamol és flukloxacillin kombinációjával kezeltek. Ha piroglutamát-acidózis miatt kialakuló HAGMA gyanúja merül fel, a paracetamol alkalmazásának azonnali leállítása és szoros monitorozás javasolt. A vizelet 5-oxoprolin-szintjének ellenőrzése célszerű lehet a piroglutamát-acidózis – mint a HAGMA mögöttes okának – azonosításához olyan betegek esetében, akiknél több kockázati tényező is fennáll. </w:t>
      </w:r>
    </w:p>
    <w:p w14:paraId="645FF905" w14:textId="77777777" w:rsidR="00F1468A" w:rsidRPr="00DE56D0" w:rsidRDefault="00F1468A" w:rsidP="00DE56D0">
      <w:pPr>
        <w:spacing w:line="240" w:lineRule="auto"/>
      </w:pPr>
    </w:p>
    <w:p w14:paraId="16417021" w14:textId="77777777" w:rsidR="006F712B" w:rsidRPr="00DE56D0" w:rsidRDefault="006F712B" w:rsidP="00DE56D0">
      <w:pPr>
        <w:spacing w:line="240" w:lineRule="auto"/>
      </w:pPr>
      <w:r w:rsidRPr="00DE56D0">
        <w:rPr>
          <w:b/>
          <w:bCs/>
        </w:rPr>
        <w:t>4.5</w:t>
      </w:r>
      <w:r w:rsidRPr="00DE56D0">
        <w:rPr>
          <w:b/>
          <w:bCs/>
        </w:rPr>
        <w:tab/>
      </w:r>
      <w:r w:rsidRPr="00DE56D0">
        <w:rPr>
          <w:b/>
          <w:bCs/>
          <w:lang w:val="hu-HU"/>
        </w:rPr>
        <w:t>Gyógyszerkölcsönhatások és egyéb interakciók</w:t>
      </w:r>
    </w:p>
    <w:p w14:paraId="67776C8A" w14:textId="77777777" w:rsidR="006F712B" w:rsidRPr="00DE56D0" w:rsidRDefault="006F712B" w:rsidP="00DE56D0">
      <w:pPr>
        <w:spacing w:line="240" w:lineRule="auto"/>
      </w:pPr>
    </w:p>
    <w:p w14:paraId="6B8BE011" w14:textId="77777777" w:rsidR="006F712B" w:rsidRPr="00DE56D0" w:rsidRDefault="006F712B" w:rsidP="00DE56D0">
      <w:pPr>
        <w:spacing w:line="240" w:lineRule="auto"/>
      </w:pPr>
      <w:r w:rsidRPr="00DE56D0">
        <w:rPr>
          <w:lang w:val="hu-HU"/>
        </w:rPr>
        <w:t>Metoklopramid vagy domperidon felgyorsíthatja, a kolesztiramin pedig lecsökkentheti a paracetamol felszívódását.</w:t>
      </w:r>
    </w:p>
    <w:p w14:paraId="701FE8A1" w14:textId="77777777" w:rsidR="006F712B" w:rsidRPr="00DE56D0" w:rsidRDefault="006F712B" w:rsidP="00DE56D0">
      <w:pPr>
        <w:spacing w:line="240" w:lineRule="auto"/>
      </w:pPr>
    </w:p>
    <w:p w14:paraId="132C5D74" w14:textId="77777777" w:rsidR="006F712B" w:rsidRPr="00DE56D0" w:rsidRDefault="006F712B" w:rsidP="00DE56D0">
      <w:pPr>
        <w:spacing w:line="240" w:lineRule="auto"/>
      </w:pPr>
      <w:r w:rsidRPr="00DE56D0">
        <w:rPr>
          <w:lang w:val="hu-HU"/>
        </w:rPr>
        <w:t>A warfarin és más kumarin-származékok véralvadásgátló hatását fokozhatja a paracetamol naponta történő alkalmazása, amely megnöveli a vérzés kockázatát; az alkalmankénti szedésnek ilyen tekintetben nincs jelentős hatása.</w:t>
      </w:r>
    </w:p>
    <w:p w14:paraId="2809F373" w14:textId="77777777" w:rsidR="006F712B" w:rsidRPr="00DE56D0" w:rsidRDefault="006F712B" w:rsidP="00DE56D0">
      <w:pPr>
        <w:spacing w:line="240" w:lineRule="auto"/>
      </w:pPr>
    </w:p>
    <w:p w14:paraId="20CD411F" w14:textId="77777777" w:rsidR="006F712B" w:rsidRPr="00DE56D0" w:rsidRDefault="006F712B" w:rsidP="00DE56D0">
      <w:pPr>
        <w:keepNext/>
        <w:keepLines/>
        <w:spacing w:line="240" w:lineRule="auto"/>
      </w:pPr>
      <w:r w:rsidRPr="00DE56D0">
        <w:rPr>
          <w:lang w:val="hu-HU"/>
        </w:rPr>
        <w:t>A paracetamol megemeli az acetilszalicilsav és a klóramfenikol plazmaszintjét.</w:t>
      </w:r>
      <w:r w:rsidRPr="00DE56D0">
        <w:t xml:space="preserve"> </w:t>
      </w:r>
      <w:r w:rsidRPr="00DE56D0">
        <w:rPr>
          <w:lang w:val="hu-HU"/>
        </w:rPr>
        <w:t xml:space="preserve">Acetilszalicilsavval csak rövid időn keresztül lehet egyidejűleg alkalmazni, mert ez az egyéb </w:t>
      </w:r>
      <w:r w:rsidR="0051640C">
        <w:rPr>
          <w:lang w:val="hu-HU"/>
        </w:rPr>
        <w:t>nem-szteroid</w:t>
      </w:r>
      <w:r w:rsidRPr="00DE56D0">
        <w:rPr>
          <w:lang w:val="hu-HU"/>
        </w:rPr>
        <w:t xml:space="preserve"> gyulladáscsökkentő gyógyszerekhez hasonlóan megnöveli a vesekárosodás kockázatát. </w:t>
      </w:r>
    </w:p>
    <w:p w14:paraId="7D47FA88" w14:textId="77777777" w:rsidR="006F712B" w:rsidRPr="00DE56D0" w:rsidRDefault="006F712B" w:rsidP="00DE56D0">
      <w:pPr>
        <w:keepNext/>
        <w:keepLines/>
        <w:spacing w:line="240" w:lineRule="auto"/>
      </w:pPr>
    </w:p>
    <w:p w14:paraId="4D631D0E" w14:textId="77777777" w:rsidR="006F712B" w:rsidRPr="00DE56D0" w:rsidRDefault="006F712B" w:rsidP="00DE56D0">
      <w:pPr>
        <w:keepNext/>
        <w:keepLines/>
        <w:spacing w:line="240" w:lineRule="auto"/>
      </w:pPr>
      <w:r w:rsidRPr="00DE56D0">
        <w:rPr>
          <w:lang w:val="hu-HU"/>
        </w:rPr>
        <w:t xml:space="preserve">A probenecid közel felére csökkenti a paracetamol clearance-ét azáltal, hogy gátolja </w:t>
      </w:r>
      <w:r w:rsidR="00C71541">
        <w:rPr>
          <w:lang w:val="hu-HU"/>
        </w:rPr>
        <w:t>an</w:t>
      </w:r>
      <w:r w:rsidRPr="00DE56D0">
        <w:rPr>
          <w:lang w:val="hu-HU"/>
        </w:rPr>
        <w:t>nak gl</w:t>
      </w:r>
      <w:r w:rsidR="00C71541">
        <w:rPr>
          <w:lang w:val="hu-HU"/>
        </w:rPr>
        <w:t>ü</w:t>
      </w:r>
      <w:r w:rsidRPr="00DE56D0">
        <w:rPr>
          <w:lang w:val="hu-HU"/>
        </w:rPr>
        <w:t>kuronid konjugációját.</w:t>
      </w:r>
      <w:r w:rsidRPr="00DE56D0">
        <w:t xml:space="preserve"> </w:t>
      </w:r>
      <w:r w:rsidRPr="00DE56D0">
        <w:rPr>
          <w:lang w:val="hu-HU"/>
        </w:rPr>
        <w:t>Probeneciddel való egyidejű terápia esetén mérlegelni kell a paracetamol adagjának csökkentését.</w:t>
      </w:r>
    </w:p>
    <w:p w14:paraId="6E5E806B" w14:textId="77777777" w:rsidR="006F712B" w:rsidRPr="00DE56D0" w:rsidRDefault="006F712B" w:rsidP="00DE56D0">
      <w:pPr>
        <w:keepNext/>
        <w:keepLines/>
        <w:spacing w:line="240" w:lineRule="auto"/>
      </w:pPr>
    </w:p>
    <w:p w14:paraId="3A717D03" w14:textId="77777777" w:rsidR="006F712B" w:rsidRPr="00DE56D0" w:rsidRDefault="006F712B" w:rsidP="00DE56D0">
      <w:pPr>
        <w:keepNext/>
        <w:keepLines/>
        <w:spacing w:line="240" w:lineRule="auto"/>
      </w:pPr>
      <w:r w:rsidRPr="00DE56D0">
        <w:rPr>
          <w:lang w:val="hu-HU"/>
        </w:rPr>
        <w:t>Paracetamol és AZT (zidovudin) egyidejű alkalmazása fokozza a neutropeniára való hajlamot.</w:t>
      </w:r>
      <w:r w:rsidRPr="00DE56D0">
        <w:t xml:space="preserve"> </w:t>
      </w:r>
      <w:r w:rsidRPr="00DE56D0">
        <w:rPr>
          <w:lang w:val="hu-HU"/>
        </w:rPr>
        <w:t xml:space="preserve">Ezért a paracetamol és </w:t>
      </w:r>
      <w:r w:rsidR="002D628C" w:rsidRPr="00DE56D0">
        <w:rPr>
          <w:lang w:val="hu-HU"/>
        </w:rPr>
        <w:t>A</w:t>
      </w:r>
      <w:r w:rsidR="002D628C">
        <w:rPr>
          <w:lang w:val="hu-HU"/>
        </w:rPr>
        <w:t>ZT</w:t>
      </w:r>
      <w:r w:rsidR="002D628C" w:rsidRPr="00DE56D0">
        <w:rPr>
          <w:lang w:val="hu-HU"/>
        </w:rPr>
        <w:t xml:space="preserve"> </w:t>
      </w:r>
      <w:r w:rsidRPr="00DE56D0">
        <w:rPr>
          <w:lang w:val="hu-HU"/>
        </w:rPr>
        <w:t>egyidejű alkalmazása csak az orvos utasítása alapján történhet.</w:t>
      </w:r>
    </w:p>
    <w:p w14:paraId="2ED5A48C" w14:textId="77777777" w:rsidR="006F712B" w:rsidRPr="00DE56D0" w:rsidRDefault="006F712B" w:rsidP="00DE56D0">
      <w:pPr>
        <w:spacing w:line="240" w:lineRule="auto"/>
      </w:pPr>
    </w:p>
    <w:p w14:paraId="55165B23" w14:textId="77777777" w:rsidR="006F712B" w:rsidRPr="00DE56D0" w:rsidRDefault="006F712B" w:rsidP="00DE56D0">
      <w:pPr>
        <w:spacing w:line="240" w:lineRule="auto"/>
      </w:pPr>
      <w:r w:rsidRPr="00DE56D0">
        <w:rPr>
          <w:lang w:val="hu-HU"/>
        </w:rPr>
        <w:t>A fenilefrin kedvezőtlen kölcsönhatásba léphet más szimpatomimetikumokkal, értágítókkal és b</w:t>
      </w:r>
      <w:r w:rsidR="00C71541">
        <w:rPr>
          <w:lang w:val="hu-HU"/>
        </w:rPr>
        <w:t>é</w:t>
      </w:r>
      <w:r w:rsidRPr="00DE56D0">
        <w:rPr>
          <w:lang w:val="hu-HU"/>
        </w:rPr>
        <w:t>ta-blokkolókkal.</w:t>
      </w:r>
      <w:r w:rsidR="00544003" w:rsidRPr="00DE56D0">
        <w:t xml:space="preserve"> </w:t>
      </w:r>
      <w:r w:rsidRPr="00DE56D0">
        <w:rPr>
          <w:lang w:val="hu-HU"/>
        </w:rPr>
        <w:t>Máj mikroszómális enzim induktorok, például al</w:t>
      </w:r>
      <w:r w:rsidR="002D628C">
        <w:rPr>
          <w:lang w:val="hu-HU"/>
        </w:rPr>
        <w:t>k</w:t>
      </w:r>
      <w:r w:rsidRPr="00DE56D0">
        <w:rPr>
          <w:lang w:val="hu-HU"/>
        </w:rPr>
        <w:t>ohol, barbiturátok, monoamin-oxidáz gátlók és triciklusos antidepresszánsok fokozhatják a paracetamol májtoxicitását, különösen túladagolás után.</w:t>
      </w:r>
      <w:r w:rsidR="00544003" w:rsidRPr="00DE56D0">
        <w:t xml:space="preserve"> </w:t>
      </w:r>
      <w:r w:rsidRPr="00DE56D0">
        <w:rPr>
          <w:lang w:val="hu-HU"/>
        </w:rPr>
        <w:t>Alkalmazása nem ajánlott olyan betegek számára, akik monoamin-oxidáz gátlókat kapnak vagy kaptak az elmúlt két hétben.</w:t>
      </w:r>
    </w:p>
    <w:p w14:paraId="55B3241B" w14:textId="041B7175" w:rsidR="006F712B" w:rsidRDefault="00F1468A" w:rsidP="00DE56D0">
      <w:pPr>
        <w:spacing w:line="240" w:lineRule="auto"/>
      </w:pPr>
      <w:r w:rsidRPr="00F1468A">
        <w:t xml:space="preserve">Elővigyázatossággal kell eljárni olyankor, amikor a paracetamolt flukloxacillinnel párhuzamosan alkalmazzák, mivel egyidejű alkalmazásukkor </w:t>
      </w:r>
      <w:r w:rsidR="000E40CA" w:rsidRPr="00BC0BF8">
        <w:rPr>
          <w:lang w:val="en-US"/>
        </w:rPr>
        <w:t xml:space="preserve">piroglutamát-acidózis miatt kialakuló </w:t>
      </w:r>
      <w:r w:rsidRPr="00F1468A">
        <w:t>emelkedett anionréssel járó metabolikus acidózis alakulhat ki, különösen olyan betegeknél, akiknél ennek kockázati tényezői fennállnak (lásd 4.4 pont).</w:t>
      </w:r>
    </w:p>
    <w:p w14:paraId="4FC3CBE8" w14:textId="77777777" w:rsidR="00F1468A" w:rsidRPr="00DE56D0" w:rsidRDefault="00F1468A" w:rsidP="00DE56D0">
      <w:pPr>
        <w:spacing w:line="240" w:lineRule="auto"/>
      </w:pPr>
    </w:p>
    <w:p w14:paraId="547D0A35" w14:textId="77777777" w:rsidR="006F712B" w:rsidRPr="00DE56D0" w:rsidRDefault="006F712B" w:rsidP="00DE56D0">
      <w:pPr>
        <w:numPr>
          <w:ilvl w:val="1"/>
          <w:numId w:val="40"/>
        </w:numPr>
        <w:spacing w:line="240" w:lineRule="auto"/>
        <w:ind w:left="0" w:firstLine="0"/>
        <w:rPr>
          <w:b/>
          <w:bCs/>
        </w:rPr>
      </w:pPr>
      <w:r w:rsidRPr="00DE56D0">
        <w:rPr>
          <w:b/>
          <w:bCs/>
          <w:lang w:val="hu-HU"/>
        </w:rPr>
        <w:t>T</w:t>
      </w:r>
      <w:r w:rsidR="00A4680D">
        <w:rPr>
          <w:b/>
          <w:bCs/>
          <w:lang w:val="hu-HU"/>
        </w:rPr>
        <w:t>ermékenység, t</w:t>
      </w:r>
      <w:r w:rsidRPr="00DE56D0">
        <w:rPr>
          <w:b/>
          <w:bCs/>
          <w:lang w:val="hu-HU"/>
        </w:rPr>
        <w:t>erhesség és szoptatás</w:t>
      </w:r>
    </w:p>
    <w:p w14:paraId="5BFD6A65" w14:textId="77777777" w:rsidR="006F712B" w:rsidRPr="00DE56D0" w:rsidRDefault="006F712B" w:rsidP="00DE56D0">
      <w:pPr>
        <w:spacing w:line="240" w:lineRule="auto"/>
      </w:pPr>
    </w:p>
    <w:p w14:paraId="23E7880C" w14:textId="77777777" w:rsidR="00C71541" w:rsidRPr="00D00BFB" w:rsidRDefault="00C71541" w:rsidP="00DE56D0">
      <w:pPr>
        <w:tabs>
          <w:tab w:val="clear" w:pos="567"/>
        </w:tabs>
        <w:spacing w:line="240" w:lineRule="auto"/>
        <w:rPr>
          <w:u w:val="single"/>
          <w:lang w:val="hu-HU"/>
        </w:rPr>
      </w:pPr>
      <w:r w:rsidRPr="00D00BFB">
        <w:rPr>
          <w:u w:val="single"/>
          <w:lang w:val="hu-HU"/>
        </w:rPr>
        <w:t>Terhesség:</w:t>
      </w:r>
    </w:p>
    <w:p w14:paraId="045B08A8" w14:textId="77777777" w:rsidR="001B6C13" w:rsidRPr="002B7CAA" w:rsidRDefault="001B6C13" w:rsidP="001B6C13">
      <w:pPr>
        <w:spacing w:line="240" w:lineRule="auto"/>
      </w:pPr>
      <w:r w:rsidRPr="002B7CAA">
        <w:t>Ezt a gyógyszert csak akkor szabad használni, ha az előny meghaladja a kockázatot, és ha más, biztonságosabb kezelés nem áll rendelkezésre. Csak a kezelőorvos vagy gyógyszerész tanácsára szabad alkalmazni</w:t>
      </w:r>
      <w:r w:rsidR="00F54B0D">
        <w:t>.</w:t>
      </w:r>
    </w:p>
    <w:p w14:paraId="3367D5C5" w14:textId="77777777" w:rsidR="001B6C13" w:rsidRPr="002B7CAA" w:rsidRDefault="001B6C13" w:rsidP="001B6C13">
      <w:pPr>
        <w:spacing w:line="240" w:lineRule="auto"/>
      </w:pPr>
    </w:p>
    <w:p w14:paraId="3180BE02" w14:textId="77777777" w:rsidR="001B6C13" w:rsidRDefault="001B6C13" w:rsidP="001B6C13">
      <w:pPr>
        <w:spacing w:line="240" w:lineRule="auto"/>
      </w:pPr>
      <w:r w:rsidRPr="00B13FFB">
        <w:rPr>
          <w:u w:val="single"/>
        </w:rPr>
        <w:t>Paracetamol:</w:t>
      </w:r>
      <w:r w:rsidRPr="002B7CAA">
        <w:t xml:space="preserve"> A terhes nőkre vonatkozó, nagy mennyiségű adat nem utal sem malformatiót előidéző, sem foetalis/neonatalis toxicitásra. A méhen belül paracetamol-expozícióban részesült gyermekek idegrendszeri fejlődésével foglalkozó epidemiológiai vizsgálatok eredményei nem egyértelműek. Amennyiben azt klinikailag szükségesnek tartják, a paracetamol adható terhesség alatt, de a legalacsonyabb hatásos adagban, a lehető legrövidebb ideig és a lehetséges legkisebb gyakorisággal kell alkalmazni.</w:t>
      </w:r>
    </w:p>
    <w:p w14:paraId="33062B98" w14:textId="77777777" w:rsidR="00F54B0D" w:rsidRPr="002B7CAA" w:rsidRDefault="00F54B0D" w:rsidP="001B6C13">
      <w:pPr>
        <w:spacing w:line="240" w:lineRule="auto"/>
      </w:pPr>
    </w:p>
    <w:p w14:paraId="0EC32A08" w14:textId="77777777" w:rsidR="006F712B" w:rsidRPr="00DE56D0" w:rsidRDefault="000813B3" w:rsidP="00D00BFB">
      <w:pPr>
        <w:spacing w:line="240" w:lineRule="auto"/>
      </w:pPr>
      <w:r>
        <w:rPr>
          <w:lang w:val="hu-HU"/>
        </w:rPr>
        <w:t xml:space="preserve">Fenilefrin: </w:t>
      </w:r>
      <w:r w:rsidR="006F712B" w:rsidRPr="00DE56D0">
        <w:rPr>
          <w:lang w:val="hu-HU"/>
        </w:rPr>
        <w:t>Terhes nőkön történő alkalmazásra nincs megfelelő adat a fenilefrin tekintetében.</w:t>
      </w:r>
      <w:r w:rsidR="00544003" w:rsidRPr="00DE56D0">
        <w:t xml:space="preserve"> </w:t>
      </w:r>
      <w:r w:rsidR="006F712B" w:rsidRPr="00DE56D0">
        <w:rPr>
          <w:lang w:val="hu-HU"/>
        </w:rPr>
        <w:t>A fenilefrin alkalmazása miatt kialakult méh</w:t>
      </w:r>
      <w:r w:rsidR="005155A7">
        <w:rPr>
          <w:lang w:val="hu-HU"/>
        </w:rPr>
        <w:t>i</w:t>
      </w:r>
      <w:r w:rsidR="006F712B" w:rsidRPr="00DE56D0">
        <w:rPr>
          <w:lang w:val="hu-HU"/>
        </w:rPr>
        <w:t xml:space="preserve"> érszűkület és csökkent méh</w:t>
      </w:r>
      <w:r w:rsidR="005155A7">
        <w:rPr>
          <w:lang w:val="hu-HU"/>
        </w:rPr>
        <w:t>i</w:t>
      </w:r>
      <w:r w:rsidR="006F712B" w:rsidRPr="00DE56D0">
        <w:rPr>
          <w:lang w:val="hu-HU"/>
        </w:rPr>
        <w:t xml:space="preserve"> vérellátás magzati hypoxiát okozhat.</w:t>
      </w:r>
      <w:r w:rsidR="001B6C13">
        <w:rPr>
          <w:lang w:val="hu-HU"/>
        </w:rPr>
        <w:t xml:space="preserve"> </w:t>
      </w:r>
    </w:p>
    <w:p w14:paraId="70303724" w14:textId="77777777" w:rsidR="006F712B" w:rsidRPr="00DE56D0" w:rsidRDefault="006F712B" w:rsidP="000813B3">
      <w:pPr>
        <w:tabs>
          <w:tab w:val="clear" w:pos="567"/>
        </w:tabs>
        <w:spacing w:line="240" w:lineRule="auto"/>
      </w:pPr>
    </w:p>
    <w:p w14:paraId="04C04FCD" w14:textId="77777777" w:rsidR="001B6C13" w:rsidRPr="00D00BFB" w:rsidRDefault="001B6C13" w:rsidP="00D00BFB">
      <w:pPr>
        <w:pStyle w:val="Normlbehzs"/>
        <w:spacing w:after="0"/>
        <w:ind w:left="0"/>
        <w:rPr>
          <w:u w:val="single"/>
          <w:lang w:val="hu-HU"/>
        </w:rPr>
      </w:pPr>
      <w:r w:rsidRPr="00D00BFB">
        <w:rPr>
          <w:u w:val="single"/>
          <w:lang w:val="hu-HU"/>
        </w:rPr>
        <w:t>Szoptatás:</w:t>
      </w:r>
    </w:p>
    <w:p w14:paraId="60C2185A" w14:textId="77777777" w:rsidR="001B6C13" w:rsidRPr="001B6C13" w:rsidRDefault="001B6C13" w:rsidP="00D00BFB">
      <w:pPr>
        <w:pStyle w:val="Normlbehzs"/>
        <w:spacing w:after="0"/>
        <w:ind w:left="0"/>
        <w:rPr>
          <w:lang w:val="hu-HU"/>
        </w:rPr>
      </w:pPr>
      <w:r w:rsidRPr="001B6C13">
        <w:rPr>
          <w:lang w:val="hu-HU"/>
        </w:rPr>
        <w:t xml:space="preserve">Ezt a gyógyszert </w:t>
      </w:r>
      <w:r w:rsidR="000F3AA4">
        <w:rPr>
          <w:lang w:val="hu-HU"/>
        </w:rPr>
        <w:t xml:space="preserve">nem szabad orvosi javaslat nélkül alkalmazni, és </w:t>
      </w:r>
      <w:r w:rsidRPr="001B6C13">
        <w:rPr>
          <w:lang w:val="hu-HU"/>
        </w:rPr>
        <w:t>csak akkor szabad használni, ha az előny meghaladja a kockázatot, és ha más, biztonságosabb kezelés nem áll rendelkezésre.</w:t>
      </w:r>
    </w:p>
    <w:p w14:paraId="112D2D55" w14:textId="77777777" w:rsidR="006F712B" w:rsidRPr="00DE56D0" w:rsidRDefault="001B6C13" w:rsidP="00D00BFB">
      <w:pPr>
        <w:spacing w:line="240" w:lineRule="auto"/>
      </w:pPr>
      <w:r w:rsidRPr="001B6C13">
        <w:rPr>
          <w:lang w:val="hu-HU"/>
        </w:rPr>
        <w:t xml:space="preserve">A paracetamol ugyan bekerül az anyatejbe, ennek mennyisége azonban klinikailag nem jelentős. A jelenleg elérhető, publikált adatok alapján a szoptatás nem ellenjavallt. </w:t>
      </w:r>
      <w:r w:rsidR="006F712B" w:rsidRPr="00DE56D0">
        <w:rPr>
          <w:lang w:val="hu-HU"/>
        </w:rPr>
        <w:t>Nem állnak rendelkezésre adatok arra vonatkozóan, hogy a fenilefrin bekerül-e az anyatejbe és nem érkeztek jelentések a fenilefrinnek a szoptatott csecsemőre gyakorolt hatásairól.</w:t>
      </w:r>
      <w:r w:rsidR="00544003" w:rsidRPr="00DE56D0">
        <w:t xml:space="preserve"> </w:t>
      </w:r>
      <w:r w:rsidR="006F712B" w:rsidRPr="00DE56D0">
        <w:rPr>
          <w:lang w:val="hu-HU"/>
        </w:rPr>
        <w:t xml:space="preserve">További adatok beérkezéséig a fenilefrin </w:t>
      </w:r>
      <w:r w:rsidR="000813B3">
        <w:rPr>
          <w:lang w:val="hu-HU"/>
        </w:rPr>
        <w:t xml:space="preserve">alkalmazása </w:t>
      </w:r>
      <w:r w:rsidR="000813B3" w:rsidRPr="000813B3">
        <w:rPr>
          <w:lang w:val="hu-HU"/>
        </w:rPr>
        <w:t>szoptatás idején kerülendő, kivéve, amennyiben az orvos az alkalmazást elengedhetetlennek ítéli.</w:t>
      </w:r>
    </w:p>
    <w:p w14:paraId="0D30DA4B" w14:textId="77777777" w:rsidR="006F712B" w:rsidRPr="00DE56D0" w:rsidRDefault="006F712B" w:rsidP="00DE56D0">
      <w:pPr>
        <w:spacing w:line="240" w:lineRule="auto"/>
        <w:rPr>
          <w:b/>
          <w:bCs/>
        </w:rPr>
      </w:pPr>
    </w:p>
    <w:p w14:paraId="26331C81" w14:textId="77777777" w:rsidR="006F712B" w:rsidRPr="00DE56D0" w:rsidRDefault="006F712B" w:rsidP="00DE56D0">
      <w:pPr>
        <w:spacing w:line="240" w:lineRule="auto"/>
      </w:pPr>
      <w:r w:rsidRPr="00DE56D0">
        <w:rPr>
          <w:b/>
          <w:bCs/>
        </w:rPr>
        <w:t>4.7</w:t>
      </w:r>
      <w:r w:rsidRPr="00DE56D0">
        <w:rPr>
          <w:b/>
          <w:bCs/>
        </w:rPr>
        <w:tab/>
      </w:r>
      <w:r w:rsidRPr="00DE56D0">
        <w:rPr>
          <w:b/>
          <w:bCs/>
          <w:lang w:val="hu-HU"/>
        </w:rPr>
        <w:t>A készítmény hatásai a gépjárművezetéshez és a gépek kezeléséhez szükséges képességekre</w:t>
      </w:r>
    </w:p>
    <w:p w14:paraId="11D94F9E" w14:textId="77777777" w:rsidR="006F712B" w:rsidRPr="00DE56D0" w:rsidRDefault="006F712B" w:rsidP="00DE56D0">
      <w:pPr>
        <w:pStyle w:val="Normlbehzs"/>
        <w:spacing w:after="0"/>
        <w:ind w:left="0"/>
      </w:pPr>
    </w:p>
    <w:p w14:paraId="58D01034" w14:textId="77777777" w:rsidR="006F712B" w:rsidRPr="00DE56D0" w:rsidRDefault="001D467F" w:rsidP="00DE56D0">
      <w:pPr>
        <w:pStyle w:val="Normlbehzs"/>
        <w:spacing w:after="0"/>
        <w:ind w:left="0"/>
      </w:pPr>
      <w:r w:rsidRPr="00DE56D0">
        <w:rPr>
          <w:lang w:val="hu-HU"/>
        </w:rPr>
        <w:t xml:space="preserve">A </w:t>
      </w:r>
      <w:r w:rsidR="00B06094">
        <w:rPr>
          <w:lang w:val="hu-HU"/>
        </w:rPr>
        <w:t xml:space="preserve">WICK Cold and Flu </w:t>
      </w:r>
      <w:r w:rsidR="00D43299">
        <w:rPr>
          <w:lang w:val="hu-HU"/>
        </w:rPr>
        <w:t>Max</w:t>
      </w:r>
      <w:r w:rsidR="00FD14C3">
        <w:rPr>
          <w:lang w:val="hu-HU"/>
        </w:rPr>
        <w:t xml:space="preserve"> Citrom</w:t>
      </w:r>
      <w:r w:rsidRPr="00DE56D0">
        <w:rPr>
          <w:lang w:val="hu-HU"/>
        </w:rPr>
        <w:t xml:space="preserve"> ízű por</w:t>
      </w:r>
      <w:r w:rsidR="006F712B" w:rsidRPr="00DE56D0">
        <w:rPr>
          <w:lang w:val="hu-HU"/>
        </w:rPr>
        <w:t xml:space="preserve"> </w:t>
      </w:r>
      <w:r w:rsidR="0051640C">
        <w:rPr>
          <w:lang w:val="hu-HU"/>
        </w:rPr>
        <w:t xml:space="preserve">belsőleges oldathoz nevű gyógyszer alkalmazása </w:t>
      </w:r>
      <w:r w:rsidR="006F712B" w:rsidRPr="00DE56D0">
        <w:rPr>
          <w:lang w:val="hu-HU"/>
        </w:rPr>
        <w:t>nem befolyásolja a gépjárművezetéshez és a gépek kezeléséhez szükséges képességeket.</w:t>
      </w:r>
    </w:p>
    <w:p w14:paraId="410A7062" w14:textId="77777777" w:rsidR="006F712B" w:rsidRPr="00DE56D0" w:rsidRDefault="006F712B" w:rsidP="00DE56D0">
      <w:pPr>
        <w:spacing w:line="240" w:lineRule="auto"/>
      </w:pPr>
    </w:p>
    <w:p w14:paraId="4886431B" w14:textId="77777777" w:rsidR="006F712B" w:rsidRPr="00DE56D0" w:rsidRDefault="006F712B" w:rsidP="00DE56D0">
      <w:pPr>
        <w:numPr>
          <w:ilvl w:val="1"/>
          <w:numId w:val="10"/>
        </w:numPr>
        <w:spacing w:line="240" w:lineRule="auto"/>
        <w:ind w:left="0" w:firstLine="0"/>
        <w:rPr>
          <w:b/>
          <w:bCs/>
        </w:rPr>
      </w:pPr>
      <w:r w:rsidRPr="00DE56D0">
        <w:rPr>
          <w:b/>
          <w:bCs/>
          <w:lang w:val="hu-HU"/>
        </w:rPr>
        <w:t>Nemkívánatos hatások, mellékhatások</w:t>
      </w:r>
    </w:p>
    <w:p w14:paraId="61C9450A" w14:textId="77777777" w:rsidR="006F712B" w:rsidRPr="00DE56D0" w:rsidRDefault="006F712B" w:rsidP="00DE56D0">
      <w:pPr>
        <w:pStyle w:val="Normlbehzs"/>
        <w:spacing w:after="0"/>
        <w:ind w:left="0"/>
      </w:pPr>
    </w:p>
    <w:p w14:paraId="016A6F7F" w14:textId="77777777" w:rsidR="006F712B" w:rsidRDefault="006F712B" w:rsidP="00DE56D0">
      <w:pPr>
        <w:tabs>
          <w:tab w:val="clear" w:pos="567"/>
        </w:tabs>
        <w:spacing w:line="240" w:lineRule="auto"/>
        <w:rPr>
          <w:lang w:val="hu-HU"/>
        </w:rPr>
      </w:pPr>
      <w:r w:rsidRPr="00DE56D0">
        <w:rPr>
          <w:lang w:val="hu-HU"/>
        </w:rPr>
        <w:t xml:space="preserve">Az egyes gyakorisági csoportokon belül a nemkívánatos hatásokat a súlyosságuk csökkenő sorrendjében tüntettük fel. </w:t>
      </w:r>
    </w:p>
    <w:p w14:paraId="6B440CF6" w14:textId="77777777" w:rsidR="000F3AA4" w:rsidRDefault="000F3AA4" w:rsidP="00DE56D0">
      <w:pPr>
        <w:tabs>
          <w:tab w:val="clear" w:pos="567"/>
        </w:tabs>
        <w:spacing w:line="240" w:lineRule="auto"/>
        <w:rPr>
          <w:lang w:val="hu-HU"/>
        </w:rPr>
      </w:pPr>
    </w:p>
    <w:p w14:paraId="2CB2318E" w14:textId="77777777" w:rsidR="000F3AA4" w:rsidRPr="00DE56D0" w:rsidRDefault="000F3AA4" w:rsidP="00DE56D0">
      <w:pPr>
        <w:tabs>
          <w:tab w:val="clear" w:pos="567"/>
        </w:tabs>
        <w:spacing w:line="240" w:lineRule="auto"/>
        <w:rPr>
          <w:lang w:val="hu-HU"/>
        </w:rPr>
      </w:pPr>
      <w:r>
        <w:rPr>
          <w:lang w:val="hu-HU"/>
        </w:rPr>
        <w:t>A nemkívánatos hatások esetében alkalmazandó gyakorisági kategóriák az alábbi megegyezésen alapulnak: nagyon gyakori</w:t>
      </w:r>
      <w:r w:rsidRPr="000F3AA4">
        <w:rPr>
          <w:lang w:val="hu-HU"/>
        </w:rPr>
        <w:t xml:space="preserve"> (≥1/10), </w:t>
      </w:r>
      <w:r>
        <w:rPr>
          <w:lang w:val="hu-HU"/>
        </w:rPr>
        <w:t>gyakori</w:t>
      </w:r>
      <w:r w:rsidRPr="000F3AA4">
        <w:rPr>
          <w:lang w:val="hu-HU"/>
        </w:rPr>
        <w:t xml:space="preserve"> (≥1/100</w:t>
      </w:r>
      <w:r>
        <w:rPr>
          <w:lang w:val="hu-HU"/>
        </w:rPr>
        <w:t xml:space="preserve"> és</w:t>
      </w:r>
      <w:r w:rsidRPr="000F3AA4">
        <w:rPr>
          <w:lang w:val="hu-HU"/>
        </w:rPr>
        <w:t xml:space="preserve"> &lt;1/10), </w:t>
      </w:r>
      <w:r>
        <w:rPr>
          <w:lang w:val="hu-HU"/>
        </w:rPr>
        <w:t>nem gyakori</w:t>
      </w:r>
      <w:r w:rsidRPr="000F3AA4">
        <w:rPr>
          <w:lang w:val="hu-HU"/>
        </w:rPr>
        <w:t xml:space="preserve"> (≥1/1000 </w:t>
      </w:r>
      <w:r>
        <w:rPr>
          <w:lang w:val="hu-HU"/>
        </w:rPr>
        <w:t>és</w:t>
      </w:r>
      <w:r w:rsidRPr="000F3AA4">
        <w:rPr>
          <w:lang w:val="hu-HU"/>
        </w:rPr>
        <w:t xml:space="preserve"> &lt;1/100), </w:t>
      </w:r>
      <w:r>
        <w:rPr>
          <w:lang w:val="hu-HU"/>
        </w:rPr>
        <w:t>ritka</w:t>
      </w:r>
      <w:r w:rsidRPr="000F3AA4">
        <w:rPr>
          <w:lang w:val="hu-HU"/>
        </w:rPr>
        <w:t xml:space="preserve"> (≥1/10000 </w:t>
      </w:r>
      <w:r>
        <w:rPr>
          <w:lang w:val="hu-HU"/>
        </w:rPr>
        <w:t>és</w:t>
      </w:r>
      <w:r w:rsidRPr="000F3AA4">
        <w:rPr>
          <w:lang w:val="hu-HU"/>
        </w:rPr>
        <w:t xml:space="preserve"> &lt;1/1000), </w:t>
      </w:r>
      <w:r>
        <w:rPr>
          <w:lang w:val="hu-HU"/>
        </w:rPr>
        <w:t>nagyon ritka</w:t>
      </w:r>
      <w:r w:rsidRPr="000F3AA4">
        <w:rPr>
          <w:lang w:val="hu-HU"/>
        </w:rPr>
        <w:t xml:space="preserve"> (&lt;1/10000).</w:t>
      </w:r>
    </w:p>
    <w:p w14:paraId="4B23E116" w14:textId="77777777" w:rsidR="006F712B" w:rsidRPr="00DE56D0" w:rsidRDefault="006F712B" w:rsidP="00DE56D0">
      <w:pPr>
        <w:tabs>
          <w:tab w:val="clear" w:pos="567"/>
        </w:tabs>
        <w:spacing w:line="240" w:lineRule="auto"/>
        <w:rPr>
          <w:lang w:val="hu-HU"/>
        </w:rPr>
      </w:pPr>
    </w:p>
    <w:p w14:paraId="3A7EF44A" w14:textId="77777777" w:rsidR="00850AFB" w:rsidRDefault="00850AFB" w:rsidP="00850AFB">
      <w:pPr>
        <w:tabs>
          <w:tab w:val="clear" w:pos="567"/>
        </w:tabs>
        <w:spacing w:line="240" w:lineRule="auto"/>
        <w:rPr>
          <w:lang w:val="hu-HU"/>
        </w:rPr>
      </w:pPr>
      <w:r w:rsidRPr="00DE56D0">
        <w:rPr>
          <w:lang w:val="hu-HU"/>
        </w:rPr>
        <w:t>A bőr és a bőr alatti szövet betegségei és tünetei</w:t>
      </w:r>
      <w:r>
        <w:rPr>
          <w:lang w:val="hu-HU"/>
        </w:rPr>
        <w:t>:</w:t>
      </w:r>
      <w:r w:rsidRPr="00DE56D0">
        <w:rPr>
          <w:lang w:val="hu-HU"/>
        </w:rPr>
        <w:t xml:space="preserve"> </w:t>
      </w:r>
      <w:r w:rsidR="000F3AA4">
        <w:rPr>
          <w:lang w:val="hu-HU"/>
        </w:rPr>
        <w:t>t</w:t>
      </w:r>
      <w:r w:rsidR="000F3AA4" w:rsidRPr="00DE56D0">
        <w:rPr>
          <w:lang w:val="hu-HU"/>
        </w:rPr>
        <w:t>úlérzékenység, így bőrkiütés és urticaria</w:t>
      </w:r>
      <w:r w:rsidR="000F3AA4">
        <w:rPr>
          <w:lang w:val="hu-HU"/>
        </w:rPr>
        <w:t xml:space="preserve"> (ritka)</w:t>
      </w:r>
      <w:r w:rsidR="000F3AA4" w:rsidRPr="00DE56D0">
        <w:rPr>
          <w:lang w:val="hu-HU"/>
        </w:rPr>
        <w:t>.</w:t>
      </w:r>
      <w:r w:rsidR="000F3AA4">
        <w:rPr>
          <w:lang w:val="hu-HU"/>
        </w:rPr>
        <w:t xml:space="preserve"> </w:t>
      </w:r>
      <w:r>
        <w:rPr>
          <w:lang w:val="hu-HU"/>
        </w:rPr>
        <w:t>súlyos bőrreakciók</w:t>
      </w:r>
      <w:r w:rsidR="000F3AA4">
        <w:rPr>
          <w:lang w:val="hu-HU"/>
        </w:rPr>
        <w:t xml:space="preserve"> (nagyon ritka)</w:t>
      </w:r>
      <w:r>
        <w:rPr>
          <w:lang w:val="hu-HU"/>
        </w:rPr>
        <w:t xml:space="preserve">. </w:t>
      </w:r>
    </w:p>
    <w:p w14:paraId="336E98EB" w14:textId="77777777" w:rsidR="00850AFB" w:rsidRDefault="00850AFB" w:rsidP="00850AFB">
      <w:pPr>
        <w:tabs>
          <w:tab w:val="clear" w:pos="567"/>
        </w:tabs>
        <w:spacing w:line="240" w:lineRule="auto"/>
        <w:rPr>
          <w:b/>
          <w:bCs/>
          <w:lang w:val="hu-HU"/>
        </w:rPr>
      </w:pPr>
    </w:p>
    <w:p w14:paraId="34ED47A3" w14:textId="77777777" w:rsidR="006F712B" w:rsidRPr="00DE56D0" w:rsidRDefault="006F712B" w:rsidP="00DE56D0">
      <w:pPr>
        <w:tabs>
          <w:tab w:val="clear" w:pos="567"/>
        </w:tabs>
        <w:spacing w:line="240" w:lineRule="auto"/>
        <w:rPr>
          <w:lang w:val="hu-HU"/>
        </w:rPr>
      </w:pPr>
      <w:r w:rsidRPr="00DE56D0">
        <w:rPr>
          <w:lang w:val="hu-HU"/>
        </w:rPr>
        <w:t>Vérképzőszervi és nyirokrendszeri betegségek és tünetek</w:t>
      </w:r>
      <w:r w:rsidR="00850AFB">
        <w:rPr>
          <w:lang w:val="hu-HU"/>
        </w:rPr>
        <w:t>:</w:t>
      </w:r>
      <w:r w:rsidRPr="00DE56D0">
        <w:rPr>
          <w:lang w:val="hu-HU"/>
        </w:rPr>
        <w:t xml:space="preserve"> vér dyscrasiák pl. thrombocytopenia, agranulocytosis, haemolyticus anaemia, neutropenia, leu</w:t>
      </w:r>
      <w:r w:rsidR="00850AFB">
        <w:rPr>
          <w:lang w:val="hu-HU"/>
        </w:rPr>
        <w:t>k</w:t>
      </w:r>
      <w:r w:rsidRPr="00DE56D0">
        <w:rPr>
          <w:lang w:val="hu-HU"/>
        </w:rPr>
        <w:t>openia, pancytopenia</w:t>
      </w:r>
      <w:r w:rsidR="000F3AA4">
        <w:rPr>
          <w:lang w:val="hu-HU"/>
        </w:rPr>
        <w:t xml:space="preserve"> (nagyon ritka)</w:t>
      </w:r>
    </w:p>
    <w:p w14:paraId="0DE21102" w14:textId="77777777" w:rsidR="006F712B" w:rsidRPr="00DE56D0" w:rsidRDefault="006F712B" w:rsidP="00DE56D0">
      <w:pPr>
        <w:tabs>
          <w:tab w:val="clear" w:pos="567"/>
        </w:tabs>
        <w:spacing w:line="240" w:lineRule="auto"/>
        <w:rPr>
          <w:lang w:val="hu-HU"/>
        </w:rPr>
      </w:pPr>
    </w:p>
    <w:p w14:paraId="34B33692" w14:textId="77777777" w:rsidR="006F712B" w:rsidRPr="00DE56D0" w:rsidRDefault="006F712B" w:rsidP="00DE56D0">
      <w:pPr>
        <w:tabs>
          <w:tab w:val="clear" w:pos="567"/>
        </w:tabs>
        <w:spacing w:line="240" w:lineRule="auto"/>
        <w:rPr>
          <w:lang w:val="hu-HU"/>
        </w:rPr>
      </w:pPr>
      <w:r w:rsidRPr="00DE56D0">
        <w:rPr>
          <w:lang w:val="hu-HU"/>
        </w:rPr>
        <w:t>Immunrendszeri betegségek és tünetek</w:t>
      </w:r>
      <w:r w:rsidR="00850AFB">
        <w:rPr>
          <w:lang w:val="hu-HU"/>
        </w:rPr>
        <w:t>:</w:t>
      </w:r>
      <w:r w:rsidRPr="00DE56D0">
        <w:rPr>
          <w:lang w:val="hu-HU"/>
        </w:rPr>
        <w:t xml:space="preserve"> allergiás vagy túlérzékenységi reakciók, így anafilaxiás sokk és hörgőgörcs, csalánkiütés</w:t>
      </w:r>
      <w:r w:rsidR="00850AFB">
        <w:rPr>
          <w:lang w:val="hu-HU"/>
        </w:rPr>
        <w:t xml:space="preserve"> és</w:t>
      </w:r>
      <w:r w:rsidRPr="00DE56D0">
        <w:rPr>
          <w:lang w:val="hu-HU"/>
        </w:rPr>
        <w:t xml:space="preserve"> bőrkiütések</w:t>
      </w:r>
      <w:r w:rsidR="000F3AA4">
        <w:rPr>
          <w:lang w:val="hu-HU"/>
        </w:rPr>
        <w:t xml:space="preserve"> (ritka).</w:t>
      </w:r>
    </w:p>
    <w:p w14:paraId="5A414565" w14:textId="77777777" w:rsidR="006F712B" w:rsidRPr="00DE56D0" w:rsidRDefault="006F712B" w:rsidP="00DE56D0">
      <w:pPr>
        <w:tabs>
          <w:tab w:val="clear" w:pos="567"/>
        </w:tabs>
        <w:spacing w:line="240" w:lineRule="auto"/>
        <w:rPr>
          <w:lang w:val="hu-HU"/>
        </w:rPr>
      </w:pPr>
    </w:p>
    <w:p w14:paraId="1510230A" w14:textId="77777777" w:rsidR="006F712B" w:rsidRPr="00DE56D0" w:rsidRDefault="006F712B" w:rsidP="00DE56D0">
      <w:pPr>
        <w:tabs>
          <w:tab w:val="clear" w:pos="567"/>
        </w:tabs>
        <w:spacing w:line="240" w:lineRule="auto"/>
        <w:rPr>
          <w:lang w:val="hu-HU"/>
        </w:rPr>
      </w:pPr>
      <w:r w:rsidRPr="00DE56D0">
        <w:rPr>
          <w:lang w:val="hu-HU"/>
        </w:rPr>
        <w:t>Idegrendszeri betegségek és tünetek</w:t>
      </w:r>
      <w:r w:rsidR="00850AFB">
        <w:rPr>
          <w:lang w:val="hu-HU"/>
        </w:rPr>
        <w:t>:</w:t>
      </w:r>
      <w:r w:rsidRPr="00DE56D0">
        <w:rPr>
          <w:lang w:val="hu-HU"/>
        </w:rPr>
        <w:t xml:space="preserve"> álmatlanság, idegesség, tremor, szorongás, nyugtalanság, zavartság, ingerlékenység</w:t>
      </w:r>
      <w:r w:rsidR="00850AFB">
        <w:rPr>
          <w:lang w:val="hu-HU"/>
        </w:rPr>
        <w:t xml:space="preserve"> és</w:t>
      </w:r>
      <w:r w:rsidRPr="00DE56D0">
        <w:rPr>
          <w:lang w:val="hu-HU"/>
        </w:rPr>
        <w:t xml:space="preserve"> fejfájás</w:t>
      </w:r>
      <w:r w:rsidR="009D1365">
        <w:rPr>
          <w:lang w:val="hu-HU"/>
        </w:rPr>
        <w:t xml:space="preserve"> </w:t>
      </w:r>
      <w:r w:rsidR="000F3AA4">
        <w:rPr>
          <w:lang w:val="hu-HU"/>
        </w:rPr>
        <w:t>(ritka)</w:t>
      </w:r>
      <w:r w:rsidRPr="00DE56D0">
        <w:rPr>
          <w:lang w:val="hu-HU"/>
        </w:rPr>
        <w:t>.</w:t>
      </w:r>
    </w:p>
    <w:p w14:paraId="271CE6F7" w14:textId="77777777" w:rsidR="006F712B" w:rsidRPr="00DE56D0" w:rsidRDefault="006F712B" w:rsidP="00DE56D0">
      <w:pPr>
        <w:tabs>
          <w:tab w:val="clear" w:pos="567"/>
        </w:tabs>
        <w:spacing w:line="240" w:lineRule="auto"/>
        <w:rPr>
          <w:lang w:val="hu-HU"/>
        </w:rPr>
      </w:pPr>
    </w:p>
    <w:p w14:paraId="1AD54B47" w14:textId="77777777" w:rsidR="006F712B" w:rsidRPr="00DE56D0" w:rsidRDefault="006F712B" w:rsidP="00DE56D0">
      <w:pPr>
        <w:tabs>
          <w:tab w:val="clear" w:pos="567"/>
        </w:tabs>
        <w:spacing w:line="240" w:lineRule="auto"/>
        <w:rPr>
          <w:lang w:val="hu-HU"/>
        </w:rPr>
      </w:pPr>
      <w:r w:rsidRPr="00DE56D0">
        <w:rPr>
          <w:lang w:val="hu-HU"/>
        </w:rPr>
        <w:t>Szívbetegségek és a szívvel kapcsolatos tünetek</w:t>
      </w:r>
      <w:r w:rsidR="000F673B">
        <w:rPr>
          <w:lang w:val="hu-HU"/>
        </w:rPr>
        <w:t>:</w:t>
      </w:r>
      <w:r w:rsidRPr="00DE56D0">
        <w:rPr>
          <w:lang w:val="hu-HU"/>
        </w:rPr>
        <w:t xml:space="preserve"> tachycardia</w:t>
      </w:r>
      <w:r w:rsidR="000F3AA4">
        <w:rPr>
          <w:lang w:val="hu-HU"/>
        </w:rPr>
        <w:t xml:space="preserve"> (ritka)</w:t>
      </w:r>
      <w:r w:rsidRPr="00DE56D0">
        <w:rPr>
          <w:lang w:val="hu-HU"/>
        </w:rPr>
        <w:t>.</w:t>
      </w:r>
    </w:p>
    <w:p w14:paraId="03B5A974" w14:textId="77777777" w:rsidR="006F712B" w:rsidRPr="00DE56D0" w:rsidRDefault="006F712B" w:rsidP="00DE56D0">
      <w:pPr>
        <w:tabs>
          <w:tab w:val="clear" w:pos="567"/>
        </w:tabs>
        <w:spacing w:line="240" w:lineRule="auto"/>
        <w:rPr>
          <w:lang w:val="hu-HU"/>
        </w:rPr>
      </w:pPr>
    </w:p>
    <w:p w14:paraId="6B3285A1" w14:textId="77777777" w:rsidR="006F712B" w:rsidRPr="00DE56D0" w:rsidRDefault="006F712B" w:rsidP="00DE56D0">
      <w:pPr>
        <w:tabs>
          <w:tab w:val="clear" w:pos="567"/>
        </w:tabs>
        <w:spacing w:line="240" w:lineRule="auto"/>
        <w:rPr>
          <w:lang w:val="hu-HU"/>
        </w:rPr>
      </w:pPr>
      <w:r w:rsidRPr="00DE56D0">
        <w:rPr>
          <w:lang w:val="hu-HU"/>
        </w:rPr>
        <w:t>Érrendszeri betegségek és tünetek</w:t>
      </w:r>
      <w:r w:rsidR="000F673B">
        <w:rPr>
          <w:lang w:val="hu-HU"/>
        </w:rPr>
        <w:t>:</w:t>
      </w:r>
      <w:r w:rsidRPr="00DE56D0">
        <w:rPr>
          <w:lang w:val="hu-HU"/>
        </w:rPr>
        <w:t xml:space="preserve"> magas vérnyomás és palpitatio, fejfájás és hányás</w:t>
      </w:r>
      <w:r w:rsidR="000F3AA4">
        <w:rPr>
          <w:lang w:val="hu-HU"/>
        </w:rPr>
        <w:t xml:space="preserve"> (ritka)</w:t>
      </w:r>
      <w:r w:rsidRPr="00DE56D0">
        <w:rPr>
          <w:lang w:val="hu-HU"/>
        </w:rPr>
        <w:t>.</w:t>
      </w:r>
    </w:p>
    <w:p w14:paraId="0C3D5E10" w14:textId="77777777" w:rsidR="006F712B" w:rsidRPr="00DE56D0" w:rsidRDefault="006F712B" w:rsidP="00DE56D0">
      <w:pPr>
        <w:tabs>
          <w:tab w:val="clear" w:pos="567"/>
        </w:tabs>
        <w:spacing w:line="240" w:lineRule="auto"/>
        <w:rPr>
          <w:lang w:val="hu-HU"/>
        </w:rPr>
      </w:pPr>
    </w:p>
    <w:p w14:paraId="294E46EF" w14:textId="77777777" w:rsidR="006F712B" w:rsidRPr="00DE56D0" w:rsidRDefault="006F712B" w:rsidP="00DE56D0">
      <w:pPr>
        <w:tabs>
          <w:tab w:val="clear" w:pos="567"/>
        </w:tabs>
        <w:spacing w:line="240" w:lineRule="auto"/>
        <w:rPr>
          <w:lang w:val="hu-HU"/>
        </w:rPr>
      </w:pPr>
      <w:r w:rsidRPr="00DE56D0">
        <w:rPr>
          <w:lang w:val="hu-HU"/>
        </w:rPr>
        <w:t>Emésztőrendszeri betegségek és tünetek</w:t>
      </w:r>
      <w:r w:rsidR="000F673B">
        <w:rPr>
          <w:lang w:val="hu-HU"/>
        </w:rPr>
        <w:t>:</w:t>
      </w:r>
      <w:r w:rsidRPr="00DE56D0">
        <w:rPr>
          <w:lang w:val="hu-HU"/>
        </w:rPr>
        <w:t xml:space="preserve"> étvágytalanség, hányinger és hányás</w:t>
      </w:r>
      <w:r w:rsidR="000F3AA4">
        <w:rPr>
          <w:lang w:val="hu-HU"/>
        </w:rPr>
        <w:t xml:space="preserve"> (gyakori)</w:t>
      </w:r>
      <w:r w:rsidRPr="00DE56D0">
        <w:rPr>
          <w:lang w:val="hu-HU"/>
        </w:rPr>
        <w:t>.</w:t>
      </w:r>
    </w:p>
    <w:p w14:paraId="3B03FE5D" w14:textId="77777777" w:rsidR="006F712B" w:rsidRPr="00DE56D0" w:rsidRDefault="006F712B" w:rsidP="00DE56D0">
      <w:pPr>
        <w:tabs>
          <w:tab w:val="clear" w:pos="567"/>
        </w:tabs>
        <w:spacing w:line="240" w:lineRule="auto"/>
        <w:rPr>
          <w:lang w:val="hu-HU"/>
        </w:rPr>
      </w:pPr>
    </w:p>
    <w:p w14:paraId="234210D3" w14:textId="77777777" w:rsidR="006F712B" w:rsidRPr="00DE56D0" w:rsidRDefault="006F712B" w:rsidP="00DE56D0">
      <w:pPr>
        <w:tabs>
          <w:tab w:val="clear" w:pos="567"/>
        </w:tabs>
        <w:spacing w:line="240" w:lineRule="auto"/>
        <w:rPr>
          <w:lang w:val="hu-HU"/>
        </w:rPr>
      </w:pPr>
      <w:r w:rsidRPr="00C83895">
        <w:rPr>
          <w:lang w:val="hu-HU"/>
        </w:rPr>
        <w:t>Máj- és epebetegségek</w:t>
      </w:r>
      <w:r w:rsidR="00544003" w:rsidRPr="00C83895">
        <w:rPr>
          <w:lang w:val="hu-HU"/>
        </w:rPr>
        <w:t xml:space="preserve">, illetve tünetek: </w:t>
      </w:r>
      <w:r w:rsidR="00E71BFF">
        <w:rPr>
          <w:lang w:val="hu-HU"/>
        </w:rPr>
        <w:t>k</w:t>
      </w:r>
      <w:r w:rsidR="00544003" w:rsidRPr="00C83895">
        <w:rPr>
          <w:lang w:val="hu-HU"/>
        </w:rPr>
        <w:t>óros májfun</w:t>
      </w:r>
      <w:r w:rsidRPr="00C83895">
        <w:rPr>
          <w:lang w:val="hu-HU"/>
        </w:rPr>
        <w:t>k</w:t>
      </w:r>
      <w:r w:rsidR="00544003" w:rsidRPr="00C83895">
        <w:rPr>
          <w:lang w:val="hu-HU"/>
        </w:rPr>
        <w:t>c</w:t>
      </w:r>
      <w:r w:rsidRPr="00C83895">
        <w:rPr>
          <w:lang w:val="hu-HU"/>
        </w:rPr>
        <w:t>iós vizsgálati eredmények (a hepaticus aminotranszferáz szintek emelkedése)</w:t>
      </w:r>
      <w:r w:rsidR="000F3AA4">
        <w:rPr>
          <w:lang w:val="hu-HU"/>
        </w:rPr>
        <w:t xml:space="preserve"> (nagyon ritka)</w:t>
      </w:r>
      <w:r w:rsidRPr="00C83895">
        <w:rPr>
          <w:lang w:val="hu-HU"/>
        </w:rPr>
        <w:t>.</w:t>
      </w:r>
      <w:r w:rsidR="009D1365">
        <w:rPr>
          <w:lang w:val="hu-HU"/>
        </w:rPr>
        <w:t xml:space="preserve"> </w:t>
      </w:r>
    </w:p>
    <w:p w14:paraId="299364B8" w14:textId="77777777" w:rsidR="000E40CA" w:rsidRDefault="000E40CA" w:rsidP="000E40CA">
      <w:pPr>
        <w:spacing w:line="240" w:lineRule="auto"/>
        <w:rPr>
          <w:u w:val="single"/>
          <w:lang w:val="en-US"/>
        </w:rPr>
      </w:pPr>
    </w:p>
    <w:p w14:paraId="1C17DA00" w14:textId="5CC91765" w:rsidR="000E40CA" w:rsidRPr="00BD5FE0" w:rsidRDefault="000E40CA" w:rsidP="000E40CA">
      <w:pPr>
        <w:spacing w:line="240" w:lineRule="auto"/>
        <w:rPr>
          <w:u w:val="single"/>
          <w:lang w:val="en-US"/>
        </w:rPr>
      </w:pPr>
      <w:r w:rsidRPr="00BD5FE0">
        <w:rPr>
          <w:u w:val="single"/>
          <w:lang w:val="en-US"/>
        </w:rPr>
        <w:t xml:space="preserve">Anyagcsere- és táplálkozási betegségek és tünetek </w:t>
      </w:r>
    </w:p>
    <w:p w14:paraId="5A12F6B5" w14:textId="77777777" w:rsidR="000E40CA" w:rsidRPr="00A65AD4" w:rsidRDefault="000E40CA" w:rsidP="000E40CA">
      <w:pPr>
        <w:spacing w:line="240" w:lineRule="auto"/>
        <w:rPr>
          <w:lang w:val="en-US"/>
        </w:rPr>
      </w:pPr>
      <w:r w:rsidRPr="00A65AD4">
        <w:rPr>
          <w:lang w:val="en-US"/>
        </w:rPr>
        <w:t>Nem ismert: Emelkedett anionréssel járó metabolikus acidózis.</w:t>
      </w:r>
    </w:p>
    <w:p w14:paraId="248F6D40" w14:textId="77777777" w:rsidR="000E40CA" w:rsidRDefault="000E40CA" w:rsidP="000E40CA">
      <w:pPr>
        <w:spacing w:line="240" w:lineRule="auto"/>
        <w:rPr>
          <w:u w:val="single"/>
          <w:lang w:val="en-US"/>
        </w:rPr>
      </w:pPr>
    </w:p>
    <w:p w14:paraId="2D5EEE84" w14:textId="77777777" w:rsidR="000E40CA" w:rsidRPr="00BD5FE0" w:rsidRDefault="000E40CA" w:rsidP="000E40CA">
      <w:pPr>
        <w:spacing w:line="240" w:lineRule="auto"/>
        <w:rPr>
          <w:u w:val="single"/>
          <w:lang w:val="en-US"/>
        </w:rPr>
      </w:pPr>
      <w:r w:rsidRPr="00BD5FE0">
        <w:rPr>
          <w:u w:val="single"/>
          <w:lang w:val="en-US"/>
        </w:rPr>
        <w:t xml:space="preserve">Néhány kiválasztott mellékhatás leírása </w:t>
      </w:r>
    </w:p>
    <w:p w14:paraId="2DF1159F" w14:textId="77777777" w:rsidR="000E40CA" w:rsidRPr="00BD5FE0" w:rsidRDefault="000E40CA" w:rsidP="000E40CA">
      <w:pPr>
        <w:spacing w:line="240" w:lineRule="auto"/>
        <w:rPr>
          <w:u w:val="single"/>
          <w:lang w:val="en-US"/>
        </w:rPr>
      </w:pPr>
      <w:r w:rsidRPr="00BD5FE0">
        <w:rPr>
          <w:u w:val="single"/>
          <w:lang w:val="en-US"/>
        </w:rPr>
        <w:t xml:space="preserve">Emelkedett anionréssel járó metabolikus acidózis </w:t>
      </w:r>
    </w:p>
    <w:p w14:paraId="202C1B6F" w14:textId="4E2AD881" w:rsidR="000E40CA" w:rsidRPr="008C7BF7" w:rsidRDefault="000E40CA" w:rsidP="000E40CA">
      <w:pPr>
        <w:spacing w:line="240" w:lineRule="auto"/>
        <w:rPr>
          <w:lang w:val="en-US"/>
        </w:rPr>
      </w:pPr>
      <w:r w:rsidRPr="00A65AD4">
        <w:rPr>
          <w:lang w:val="en-US"/>
        </w:rPr>
        <w:t>Piroglutamát-acidózis miatt kialakuló emelkedett anionréssel járó metabolikus acidózist figyeltek meg egyes olyan, paracetamolt alkalmazó betegek esetében, akiknél kockázati tényezők álltak fenn (lásd 4.4 pont). Ezeknél a betegeknél az alacsony glutationszint következtében piroglutamát-acidózis léphet fel.</w:t>
      </w:r>
    </w:p>
    <w:p w14:paraId="388C3CBA" w14:textId="77777777" w:rsidR="006F712B" w:rsidRPr="00DE56D0" w:rsidRDefault="006F712B" w:rsidP="00DE56D0">
      <w:pPr>
        <w:tabs>
          <w:tab w:val="clear" w:pos="567"/>
        </w:tabs>
        <w:spacing w:line="240" w:lineRule="auto"/>
        <w:rPr>
          <w:lang w:val="hu-HU"/>
        </w:rPr>
      </w:pPr>
    </w:p>
    <w:p w14:paraId="77028FBF" w14:textId="77777777" w:rsidR="009D1365" w:rsidRPr="00CF4DC9" w:rsidRDefault="009D1365" w:rsidP="009D1365">
      <w:pPr>
        <w:spacing w:line="240" w:lineRule="auto"/>
        <w:rPr>
          <w:u w:val="single"/>
          <w:lang w:val="hu-HU"/>
        </w:rPr>
      </w:pPr>
      <w:r w:rsidRPr="00CF4DC9">
        <w:rPr>
          <w:u w:val="single"/>
          <w:lang w:val="hu-HU"/>
        </w:rPr>
        <w:t>Feltételezett mellékhatások bejelentése</w:t>
      </w:r>
    </w:p>
    <w:p w14:paraId="38518CF8" w14:textId="77777777" w:rsidR="009D1365" w:rsidRDefault="009D1365" w:rsidP="009D1365">
      <w:pPr>
        <w:spacing w:line="240" w:lineRule="auto"/>
        <w:rPr>
          <w:lang w:val="hu-HU"/>
        </w:rPr>
      </w:pPr>
      <w:r w:rsidRPr="00D0750E">
        <w:rPr>
          <w:lang w:val="hu-HU"/>
        </w:rPr>
        <w:t>A gyógyszer engedélyezését követően lényeges a feltételezett mellékhatások bejelentése, mert ez fontos eszköze annak, hogy a gyógyszer</w:t>
      </w:r>
      <w:r>
        <w:rPr>
          <w:lang w:val="hu-HU"/>
        </w:rPr>
        <w:t xml:space="preserve"> </w:t>
      </w:r>
      <w:r w:rsidRPr="00D0750E">
        <w:rPr>
          <w:lang w:val="hu-HU"/>
        </w:rPr>
        <w:t xml:space="preserve">előny/kockázat profilját folyamatosan figyelemmel lehessen kísérni. </w:t>
      </w:r>
    </w:p>
    <w:p w14:paraId="2B99E63A" w14:textId="77777777" w:rsidR="009D1365" w:rsidRDefault="009D1365" w:rsidP="009D1365">
      <w:pPr>
        <w:tabs>
          <w:tab w:val="clear" w:pos="567"/>
        </w:tabs>
        <w:spacing w:line="240" w:lineRule="auto"/>
        <w:rPr>
          <w:b/>
          <w:bCs/>
          <w:lang w:val="hu-HU"/>
        </w:rPr>
      </w:pPr>
      <w:r w:rsidRPr="00D0750E">
        <w:rPr>
          <w:lang w:val="hu-HU"/>
        </w:rPr>
        <w:t>Az egészségügyi szakembereket kérjük,</w:t>
      </w:r>
      <w:r>
        <w:rPr>
          <w:lang w:val="hu-HU"/>
        </w:rPr>
        <w:t xml:space="preserve"> </w:t>
      </w:r>
      <w:r w:rsidRPr="00D0750E">
        <w:rPr>
          <w:lang w:val="hu-HU"/>
        </w:rPr>
        <w:t xml:space="preserve">hogy jelentsék be a feltételezett mellékhatásokat a hatóság részére az </w:t>
      </w:r>
      <w:hyperlink r:id="rId10" w:history="1">
        <w:r w:rsidRPr="005842F9">
          <w:rPr>
            <w:rFonts w:eastAsia="SimSun"/>
            <w:color w:val="0000FF"/>
            <w:szCs w:val="20"/>
            <w:highlight w:val="lightGray"/>
            <w:u w:val="single"/>
            <w:lang w:val="hu-HU" w:eastAsia="zh-CN"/>
          </w:rPr>
          <w:t>V. függelékben</w:t>
        </w:r>
      </w:hyperlink>
      <w:r w:rsidRPr="005842F9">
        <w:rPr>
          <w:highlight w:val="lightGray"/>
          <w:lang w:val="hu-HU"/>
        </w:rPr>
        <w:t xml:space="preserve"> található elérhetőségek valamelyikén keresztül</w:t>
      </w:r>
      <w:r>
        <w:rPr>
          <w:lang w:val="hu-HU"/>
        </w:rPr>
        <w:t>.</w:t>
      </w:r>
    </w:p>
    <w:p w14:paraId="4A221AA2" w14:textId="77777777" w:rsidR="00587049" w:rsidRPr="00DE56D0" w:rsidRDefault="00587049" w:rsidP="00B124C1">
      <w:pPr>
        <w:tabs>
          <w:tab w:val="clear" w:pos="567"/>
        </w:tabs>
        <w:spacing w:line="240" w:lineRule="auto"/>
        <w:rPr>
          <w:lang w:val="hu-HU"/>
        </w:rPr>
      </w:pPr>
    </w:p>
    <w:p w14:paraId="19649158" w14:textId="77777777" w:rsidR="006F712B" w:rsidRPr="00DE56D0" w:rsidRDefault="006F712B" w:rsidP="00587049">
      <w:pPr>
        <w:tabs>
          <w:tab w:val="clear" w:pos="567"/>
        </w:tabs>
        <w:spacing w:line="240" w:lineRule="auto"/>
        <w:rPr>
          <w:lang w:val="hu-HU"/>
        </w:rPr>
      </w:pPr>
      <w:r w:rsidRPr="00DE56D0">
        <w:rPr>
          <w:b/>
          <w:bCs/>
          <w:lang w:val="hu-HU"/>
        </w:rPr>
        <w:t>4.9</w:t>
      </w:r>
      <w:r w:rsidRPr="00DE56D0">
        <w:rPr>
          <w:b/>
          <w:bCs/>
          <w:lang w:val="hu-HU"/>
        </w:rPr>
        <w:tab/>
        <w:t>Túladagolás</w:t>
      </w:r>
    </w:p>
    <w:p w14:paraId="4228A44D" w14:textId="77777777" w:rsidR="006F712B" w:rsidRPr="00DE56D0" w:rsidRDefault="006F712B" w:rsidP="00DE56D0">
      <w:pPr>
        <w:spacing w:line="240" w:lineRule="auto"/>
        <w:rPr>
          <w:lang w:val="hu-HU"/>
        </w:rPr>
      </w:pPr>
    </w:p>
    <w:p w14:paraId="2C33F4D1" w14:textId="77777777" w:rsidR="006F712B" w:rsidRPr="00DE56D0" w:rsidRDefault="006F712B" w:rsidP="00DE56D0">
      <w:pPr>
        <w:pStyle w:val="Normlbehzs"/>
        <w:spacing w:after="0"/>
        <w:ind w:left="0"/>
        <w:rPr>
          <w:lang w:val="hu-HU"/>
        </w:rPr>
      </w:pPr>
      <w:r w:rsidRPr="00DE56D0">
        <w:rPr>
          <w:lang w:val="hu-HU"/>
        </w:rPr>
        <w:t>PARACETAMOL</w:t>
      </w:r>
    </w:p>
    <w:p w14:paraId="6043BD68" w14:textId="77777777" w:rsidR="006F712B" w:rsidRPr="00DE56D0" w:rsidRDefault="006F712B" w:rsidP="00DE56D0">
      <w:pPr>
        <w:pStyle w:val="Normlbehzs"/>
        <w:spacing w:after="0"/>
        <w:ind w:left="0"/>
        <w:rPr>
          <w:lang w:val="hu-HU"/>
        </w:rPr>
      </w:pPr>
      <w:r w:rsidRPr="00DE56D0">
        <w:rPr>
          <w:lang w:val="hu-HU"/>
        </w:rPr>
        <w:t>10 g vagy ennél több paracetamol bevétele felnőtteknél májkárosodást idézhet elő. 5 g vagy ennél nagyobb mennyiségű</w:t>
      </w:r>
      <w:r w:rsidR="00544003" w:rsidRPr="00DE56D0">
        <w:rPr>
          <w:lang w:val="hu-HU"/>
        </w:rPr>
        <w:t xml:space="preserve"> </w:t>
      </w:r>
      <w:r w:rsidRPr="00DE56D0">
        <w:rPr>
          <w:lang w:val="hu-HU"/>
        </w:rPr>
        <w:t xml:space="preserve">paracetamol szervezetbe kerülése májkárosodást okozhat a fokozott kockázatú betegek esetében (lásd alább). </w:t>
      </w:r>
    </w:p>
    <w:p w14:paraId="21C62390" w14:textId="77777777" w:rsidR="006F712B" w:rsidRPr="00DE56D0" w:rsidRDefault="006F712B" w:rsidP="00DE56D0">
      <w:pPr>
        <w:pStyle w:val="Normlbehzs"/>
        <w:spacing w:after="0"/>
        <w:ind w:left="0"/>
        <w:rPr>
          <w:u w:val="single"/>
          <w:lang w:val="hu-HU"/>
        </w:rPr>
      </w:pPr>
      <w:r w:rsidRPr="00DE56D0">
        <w:rPr>
          <w:u w:val="single"/>
          <w:lang w:val="hu-HU"/>
        </w:rPr>
        <w:t>Rizikófaktorok</w:t>
      </w:r>
    </w:p>
    <w:p w14:paraId="494F0A8D" w14:textId="77777777" w:rsidR="006F712B" w:rsidRPr="00DE56D0" w:rsidRDefault="006F712B" w:rsidP="00DE56D0">
      <w:pPr>
        <w:pStyle w:val="Normlbehzs"/>
        <w:spacing w:after="0"/>
        <w:ind w:left="0"/>
        <w:rPr>
          <w:lang w:val="hu-HU"/>
        </w:rPr>
      </w:pPr>
      <w:r w:rsidRPr="00DE56D0">
        <w:rPr>
          <w:lang w:val="hu-HU"/>
        </w:rPr>
        <w:t>Ha a beteg</w:t>
      </w:r>
    </w:p>
    <w:p w14:paraId="7854A8BF" w14:textId="77777777" w:rsidR="006F712B" w:rsidRPr="00DE56D0" w:rsidRDefault="006F712B" w:rsidP="00DE56D0">
      <w:pPr>
        <w:pStyle w:val="Normlbehzs"/>
        <w:spacing w:after="0"/>
        <w:ind w:left="0"/>
        <w:rPr>
          <w:lang w:val="hu-HU"/>
        </w:rPr>
      </w:pPr>
      <w:r w:rsidRPr="00DE56D0">
        <w:rPr>
          <w:lang w:val="hu-HU"/>
        </w:rPr>
        <w:t xml:space="preserve">a) </w:t>
      </w:r>
      <w:r w:rsidR="005248BD">
        <w:rPr>
          <w:lang w:val="hu-HU"/>
        </w:rPr>
        <w:t>t</w:t>
      </w:r>
      <w:r w:rsidRPr="00DE56D0">
        <w:rPr>
          <w:lang w:val="hu-HU"/>
        </w:rPr>
        <w:t>artósan karbamazepint, fenobarbitált, fenitoint, primidont, rifampicint</w:t>
      </w:r>
      <w:r w:rsidR="005248BD" w:rsidRPr="00DE56D0">
        <w:rPr>
          <w:lang w:val="hu-HU"/>
        </w:rPr>
        <w:t>,</w:t>
      </w:r>
      <w:r w:rsidR="005248BD">
        <w:rPr>
          <w:lang w:val="hu-HU"/>
        </w:rPr>
        <w:t xml:space="preserve"> közönséges </w:t>
      </w:r>
      <w:r w:rsidRPr="00DE56D0">
        <w:rPr>
          <w:lang w:val="hu-HU"/>
        </w:rPr>
        <w:t>orbáncfüvet vagy más májenzimeket indukáló gyógyszert szed</w:t>
      </w:r>
    </w:p>
    <w:p w14:paraId="62DAAC4F" w14:textId="77777777" w:rsidR="006F712B" w:rsidRPr="00DE56D0" w:rsidRDefault="005248BD" w:rsidP="00DE56D0">
      <w:pPr>
        <w:pStyle w:val="Normlbehzs"/>
        <w:spacing w:after="0"/>
        <w:ind w:left="0"/>
        <w:rPr>
          <w:lang w:val="hu-HU"/>
        </w:rPr>
      </w:pPr>
      <w:r>
        <w:rPr>
          <w:lang w:val="hu-HU"/>
        </w:rPr>
        <w:t>v</w:t>
      </w:r>
      <w:r w:rsidRPr="00DE56D0">
        <w:rPr>
          <w:lang w:val="hu-HU"/>
        </w:rPr>
        <w:t>agy</w:t>
      </w:r>
    </w:p>
    <w:p w14:paraId="7A113587" w14:textId="77777777" w:rsidR="006F712B" w:rsidRPr="00DE56D0" w:rsidRDefault="006F712B" w:rsidP="00DE56D0">
      <w:pPr>
        <w:pStyle w:val="Normlbehzs"/>
        <w:spacing w:after="0"/>
        <w:ind w:left="0"/>
        <w:rPr>
          <w:lang w:val="hu-HU"/>
        </w:rPr>
      </w:pPr>
      <w:r w:rsidRPr="00DE56D0">
        <w:rPr>
          <w:lang w:val="hu-HU"/>
        </w:rPr>
        <w:t xml:space="preserve">b) rendszeresen az ajánlott mennyiséget meghaladó mértékben fogyaszt alkoholt </w:t>
      </w:r>
    </w:p>
    <w:p w14:paraId="013F6C4A" w14:textId="77777777" w:rsidR="006F712B" w:rsidRPr="00DE56D0" w:rsidRDefault="005248BD" w:rsidP="00DE56D0">
      <w:pPr>
        <w:pStyle w:val="Normlbehzs"/>
        <w:spacing w:after="0"/>
        <w:ind w:left="0"/>
        <w:rPr>
          <w:lang w:val="hu-HU"/>
        </w:rPr>
      </w:pPr>
      <w:r>
        <w:rPr>
          <w:lang w:val="hu-HU"/>
        </w:rPr>
        <w:t>v</w:t>
      </w:r>
      <w:r w:rsidR="006F712B" w:rsidRPr="00DE56D0">
        <w:rPr>
          <w:lang w:val="hu-HU"/>
        </w:rPr>
        <w:t>agy</w:t>
      </w:r>
    </w:p>
    <w:p w14:paraId="792A0A40" w14:textId="77777777" w:rsidR="006F712B" w:rsidRPr="00DE56D0" w:rsidRDefault="006F712B" w:rsidP="00DE56D0">
      <w:pPr>
        <w:pStyle w:val="Normlbehzs"/>
        <w:spacing w:after="0"/>
        <w:ind w:left="0"/>
        <w:rPr>
          <w:lang w:val="hu-HU"/>
        </w:rPr>
      </w:pPr>
      <w:r w:rsidRPr="00DE56D0">
        <w:rPr>
          <w:lang w:val="hu-HU"/>
        </w:rPr>
        <w:t>c) glutation-depléció valószínűsíthető, pl. étkezési zavar, cysticus fibrosis, HIV-fertőzés, éhezés vagy cachexia esetén.</w:t>
      </w:r>
    </w:p>
    <w:p w14:paraId="5CD8425E" w14:textId="77777777" w:rsidR="006F712B" w:rsidRPr="00DE56D0" w:rsidRDefault="006F712B" w:rsidP="00DE56D0">
      <w:pPr>
        <w:pStyle w:val="Normlbehzs"/>
        <w:spacing w:after="0"/>
        <w:ind w:left="0"/>
        <w:rPr>
          <w:lang w:val="hu-HU"/>
        </w:rPr>
      </w:pPr>
    </w:p>
    <w:p w14:paraId="6F7704F6" w14:textId="77777777" w:rsidR="006F712B" w:rsidRPr="00DE56D0" w:rsidRDefault="006F712B" w:rsidP="00DE56D0">
      <w:pPr>
        <w:pStyle w:val="Normlbehzs"/>
        <w:spacing w:after="0"/>
        <w:ind w:left="0"/>
        <w:rPr>
          <w:u w:val="single"/>
          <w:lang w:val="hu-HU"/>
        </w:rPr>
      </w:pPr>
      <w:r w:rsidRPr="00DE56D0">
        <w:rPr>
          <w:u w:val="single"/>
          <w:lang w:val="hu-HU"/>
        </w:rPr>
        <w:t>Tünetek</w:t>
      </w:r>
    </w:p>
    <w:p w14:paraId="44063206" w14:textId="77777777" w:rsidR="006F712B" w:rsidRPr="00DE56D0" w:rsidRDefault="006F712B" w:rsidP="00DE56D0">
      <w:pPr>
        <w:pStyle w:val="Normlbehzs"/>
        <w:spacing w:after="0"/>
        <w:ind w:left="0"/>
        <w:rPr>
          <w:lang w:val="hu-HU"/>
        </w:rPr>
      </w:pPr>
      <w:r w:rsidRPr="00DE56D0">
        <w:rPr>
          <w:lang w:val="hu-HU"/>
        </w:rPr>
        <w:t>A paracetamol túladagolás tünetei az első 24 órában sápadtság, hányinger, hányás, étvágytalanság és hasi fájdalom. A májkárosodás jelei a fogyasztást követő 12</w:t>
      </w:r>
      <w:r w:rsidR="00EE64A9">
        <w:rPr>
          <w:lang w:val="hu-HU"/>
        </w:rPr>
        <w:t>–</w:t>
      </w:r>
      <w:r w:rsidRPr="00DE56D0">
        <w:rPr>
          <w:lang w:val="hu-HU"/>
        </w:rPr>
        <w:t>48 órában válhatnak nyilvánvalóvá. A glükóz-anyagcsere rendellenességei és metabolikus acidosis jelentkezhetnek. Súlyos mérgezés esetén a májelégtelenség encephalopathiához, vérzéshez, hypoglykaemiához, agyödémához és halálhoz vezethet. Súlyos májkárosodás hiányában is kialakulhat akut tubularis necrosissal járó akut veseelégtelenség, amelyre ágyéktáji fájdalom, hematuria és proteinuria utalhat. Szívritmuszavarról és pancreatitisről is beszámoltak.</w:t>
      </w:r>
    </w:p>
    <w:p w14:paraId="3CB9F64F" w14:textId="77777777" w:rsidR="006F712B" w:rsidRPr="00DE56D0" w:rsidRDefault="006F712B" w:rsidP="00DE56D0">
      <w:pPr>
        <w:pStyle w:val="Normlbehzs"/>
        <w:spacing w:after="0"/>
        <w:ind w:left="0"/>
        <w:rPr>
          <w:u w:val="single"/>
          <w:lang w:val="hu-HU"/>
        </w:rPr>
      </w:pPr>
    </w:p>
    <w:p w14:paraId="452AFE47" w14:textId="77777777" w:rsidR="006F712B" w:rsidRPr="00DE56D0" w:rsidRDefault="006F712B" w:rsidP="00DE56D0">
      <w:pPr>
        <w:pStyle w:val="Normlbehzs"/>
        <w:spacing w:after="0"/>
        <w:ind w:left="0"/>
        <w:rPr>
          <w:u w:val="single"/>
          <w:lang w:val="hu-HU"/>
        </w:rPr>
      </w:pPr>
      <w:r w:rsidRPr="00DE56D0">
        <w:rPr>
          <w:u w:val="single"/>
          <w:lang w:val="hu-HU"/>
        </w:rPr>
        <w:t>Kezelés</w:t>
      </w:r>
    </w:p>
    <w:p w14:paraId="1D69D1DF" w14:textId="77777777" w:rsidR="006F712B" w:rsidRPr="00DE56D0" w:rsidRDefault="006F712B" w:rsidP="00DE56D0">
      <w:pPr>
        <w:pStyle w:val="Normlbehzs"/>
        <w:spacing w:after="0"/>
        <w:ind w:left="0"/>
        <w:rPr>
          <w:lang w:val="hu-HU"/>
        </w:rPr>
      </w:pPr>
      <w:r w:rsidRPr="00DE56D0">
        <w:rPr>
          <w:lang w:val="hu-HU"/>
        </w:rPr>
        <w:t xml:space="preserve">Paracetamol túladagolás esetén azonnali beavatkozás szükséges. A beteget súlyos korai tünetek jelenléte nélkül is sürgősségi kórházi ellátásban kell részesíteni. A tünetek korlátozódhatnak pusztán hányingerre vagy hányásra, és nem feltétlenül tükrözik a túladagolás súlyosságát vagy a szervkárosodás kockázatát. A kezelésnek összhangban kell lennie az érvényben lévő kezelési irányelvekkel. </w:t>
      </w:r>
    </w:p>
    <w:p w14:paraId="7FA516F3" w14:textId="77777777" w:rsidR="006F712B" w:rsidRPr="00DE56D0" w:rsidRDefault="006F712B" w:rsidP="00DE56D0">
      <w:pPr>
        <w:pStyle w:val="Normlbehzs"/>
        <w:spacing w:after="0"/>
        <w:ind w:left="0"/>
        <w:rPr>
          <w:lang w:val="hu-HU"/>
        </w:rPr>
      </w:pPr>
      <w:r w:rsidRPr="00DE56D0">
        <w:rPr>
          <w:lang w:val="hu-HU"/>
        </w:rPr>
        <w:t xml:space="preserve">Ha a túladagolás egy órán belül következett be, aktív szén alkalmazása megfontolandó. A vérplazma paracetamol-koncentrációját a bevétel után 4 órával vagy később kell megmérni (ennél korábban a koncentrációt nem lehet megfelelő biztonsággal megállapítani). N-acetil-cisztein kezelést a paracetamol fogyasztását követően akár 24 óra múlva is lehet alkalmazni, maximális védőhatást azonban a fogyasztást követő 8 órán belül lehet elérni. Ezen idő után az antidotum hatékonysága meredeken csökken. Szükség esetén a páciens intravénásan kaphat N-acetil-ciszteint a megfelelő adagolási </w:t>
      </w:r>
      <w:r w:rsidR="00EE64A9">
        <w:rPr>
          <w:lang w:val="hu-HU"/>
        </w:rPr>
        <w:t>rend</w:t>
      </w:r>
      <w:r w:rsidR="00EE64A9" w:rsidRPr="00DE56D0">
        <w:rPr>
          <w:lang w:val="hu-HU"/>
        </w:rPr>
        <w:t xml:space="preserve"> </w:t>
      </w:r>
      <w:r w:rsidRPr="00DE56D0">
        <w:rPr>
          <w:lang w:val="hu-HU"/>
        </w:rPr>
        <w:t xml:space="preserve">szerint. Ha hányás nem jelentkezik, kórháztól távol eső helyeken metionin orális alkalmazása hasznos alternatíva lehet. Azon betegek kezelésében, akiknél a bevételt követő 24 órán túl is súlyos májelégtelenség áll fenn, mérgezési vagy májspecialista osztály konzíliuma szükséges. </w:t>
      </w:r>
    </w:p>
    <w:p w14:paraId="7B6E584B" w14:textId="77777777" w:rsidR="00321C27" w:rsidRPr="00DE56D0" w:rsidRDefault="00321C27" w:rsidP="00DE56D0">
      <w:pPr>
        <w:pStyle w:val="Normlbehzs"/>
        <w:spacing w:after="0"/>
        <w:ind w:left="0"/>
        <w:rPr>
          <w:lang w:val="hu-HU"/>
        </w:rPr>
      </w:pPr>
    </w:p>
    <w:p w14:paraId="533E245D" w14:textId="77777777" w:rsidR="006F712B" w:rsidRPr="00DE56D0" w:rsidRDefault="006F712B" w:rsidP="00DE56D0">
      <w:pPr>
        <w:pStyle w:val="Normlbehzs"/>
        <w:spacing w:after="0"/>
        <w:ind w:left="0"/>
        <w:rPr>
          <w:lang w:val="hu-HU"/>
        </w:rPr>
      </w:pPr>
      <w:r w:rsidRPr="00DE56D0">
        <w:rPr>
          <w:lang w:val="hu-HU"/>
        </w:rPr>
        <w:t>FENILEFRIN-HIDROKLORID</w:t>
      </w:r>
    </w:p>
    <w:p w14:paraId="1205EC03" w14:textId="77777777" w:rsidR="006F712B" w:rsidRPr="00DE56D0" w:rsidRDefault="006F712B" w:rsidP="00DE56D0">
      <w:pPr>
        <w:pStyle w:val="Normlbehzs"/>
        <w:spacing w:after="0"/>
        <w:ind w:left="0"/>
        <w:rPr>
          <w:lang w:val="hu-HU"/>
        </w:rPr>
      </w:pPr>
      <w:r w:rsidRPr="00DE56D0">
        <w:rPr>
          <w:lang w:val="hu-HU"/>
        </w:rPr>
        <w:t>A súlyos fenilefrin-túladagolás hemodinamikai változásokat, a keringés összeomlását és légzési nehézségeket okoz.</w:t>
      </w:r>
      <w:r w:rsidR="00544003" w:rsidRPr="00DE56D0">
        <w:rPr>
          <w:lang w:val="hu-HU"/>
        </w:rPr>
        <w:t xml:space="preserve"> </w:t>
      </w:r>
      <w:r w:rsidRPr="00DE56D0">
        <w:rPr>
          <w:lang w:val="hu-HU"/>
        </w:rPr>
        <w:t>A kezelés során korai gyomormosás, ill. tüneti és szupportív terápia szükséges.</w:t>
      </w:r>
      <w:r w:rsidR="00544003" w:rsidRPr="00DE56D0">
        <w:rPr>
          <w:lang w:val="hu-HU"/>
        </w:rPr>
        <w:t xml:space="preserve"> </w:t>
      </w:r>
      <w:r w:rsidRPr="00DE56D0">
        <w:rPr>
          <w:lang w:val="hu-HU"/>
        </w:rPr>
        <w:t xml:space="preserve">A vérnyomásemelő hatás intravénás </w:t>
      </w:r>
      <w:r w:rsidR="00AA763A">
        <w:rPr>
          <w:lang w:val="hu-HU"/>
        </w:rPr>
        <w:t>alfa</w:t>
      </w:r>
      <w:r w:rsidRPr="00DE56D0">
        <w:rPr>
          <w:lang w:val="hu-HU"/>
        </w:rPr>
        <w:t>-receptor-blokkoló készítménnyel ellensúlyozható.</w:t>
      </w:r>
    </w:p>
    <w:p w14:paraId="083BFBF8" w14:textId="77777777" w:rsidR="006F712B" w:rsidRDefault="006F712B" w:rsidP="00DE56D0">
      <w:pPr>
        <w:pStyle w:val="Normlbehzs"/>
        <w:spacing w:after="0"/>
        <w:ind w:left="0"/>
        <w:rPr>
          <w:lang w:val="hu-HU"/>
        </w:rPr>
      </w:pPr>
    </w:p>
    <w:p w14:paraId="003E1A83" w14:textId="77777777" w:rsidR="00587049" w:rsidRPr="00DE56D0" w:rsidRDefault="00587049" w:rsidP="00DE56D0">
      <w:pPr>
        <w:pStyle w:val="Normlbehzs"/>
        <w:spacing w:after="0"/>
        <w:ind w:left="0"/>
        <w:rPr>
          <w:lang w:val="hu-HU"/>
        </w:rPr>
      </w:pPr>
    </w:p>
    <w:p w14:paraId="698BB6A7" w14:textId="77777777" w:rsidR="006F712B" w:rsidRPr="00DE56D0" w:rsidRDefault="006F712B" w:rsidP="00DE56D0">
      <w:pPr>
        <w:spacing w:line="240" w:lineRule="auto"/>
        <w:rPr>
          <w:lang w:val="hu-HU"/>
        </w:rPr>
      </w:pPr>
      <w:r w:rsidRPr="00DE56D0">
        <w:rPr>
          <w:b/>
          <w:bCs/>
          <w:lang w:val="hu-HU"/>
        </w:rPr>
        <w:t>5.</w:t>
      </w:r>
      <w:r w:rsidRPr="00DE56D0">
        <w:rPr>
          <w:b/>
          <w:bCs/>
          <w:lang w:val="hu-HU"/>
        </w:rPr>
        <w:tab/>
        <w:t>FARMAKOLÓGIAI TULAJDONSÁGOK</w:t>
      </w:r>
    </w:p>
    <w:p w14:paraId="2FEB252C" w14:textId="77777777" w:rsidR="006F712B" w:rsidRPr="00DE56D0" w:rsidRDefault="006F712B" w:rsidP="00DE56D0">
      <w:pPr>
        <w:spacing w:line="240" w:lineRule="auto"/>
        <w:rPr>
          <w:b/>
          <w:bCs/>
          <w:lang w:val="hu-HU"/>
        </w:rPr>
      </w:pPr>
    </w:p>
    <w:p w14:paraId="6AFDDE8D" w14:textId="77777777" w:rsidR="006F712B" w:rsidRPr="00DE56D0" w:rsidRDefault="006F712B" w:rsidP="00DE56D0">
      <w:pPr>
        <w:spacing w:line="240" w:lineRule="auto"/>
        <w:rPr>
          <w:lang w:val="hu-HU"/>
        </w:rPr>
      </w:pPr>
      <w:r w:rsidRPr="00DE56D0">
        <w:rPr>
          <w:b/>
          <w:bCs/>
          <w:lang w:val="hu-HU"/>
        </w:rPr>
        <w:t xml:space="preserve">5.1 </w:t>
      </w:r>
      <w:r w:rsidRPr="00DE56D0">
        <w:rPr>
          <w:b/>
          <w:bCs/>
          <w:lang w:val="hu-HU"/>
        </w:rPr>
        <w:tab/>
        <w:t>Farmakodinámiás tulajdonságok</w:t>
      </w:r>
    </w:p>
    <w:p w14:paraId="284FB1B3" w14:textId="77777777" w:rsidR="006F712B" w:rsidRPr="00DE56D0" w:rsidRDefault="006F712B" w:rsidP="00DE56D0">
      <w:pPr>
        <w:spacing w:line="240" w:lineRule="auto"/>
        <w:rPr>
          <w:lang w:val="hu-HU"/>
        </w:rPr>
      </w:pPr>
    </w:p>
    <w:p w14:paraId="1460D7DA" w14:textId="77777777" w:rsidR="006F712B" w:rsidRPr="00D56FB6" w:rsidRDefault="006F712B" w:rsidP="00DE56D0">
      <w:pPr>
        <w:tabs>
          <w:tab w:val="clear" w:pos="567"/>
        </w:tabs>
        <w:spacing w:line="240" w:lineRule="auto"/>
        <w:rPr>
          <w:lang w:val="hu-HU"/>
        </w:rPr>
      </w:pPr>
      <w:r w:rsidRPr="004166E4">
        <w:rPr>
          <w:lang w:val="hu-HU"/>
        </w:rPr>
        <w:t>Farmakoterápiás csoport: Paracetamol kombinációk pszicholeptikumok nélkül</w:t>
      </w:r>
    </w:p>
    <w:p w14:paraId="62458608" w14:textId="77777777" w:rsidR="006F712B" w:rsidRPr="00D56FB6" w:rsidRDefault="006F712B" w:rsidP="00DE56D0">
      <w:pPr>
        <w:tabs>
          <w:tab w:val="clear" w:pos="567"/>
        </w:tabs>
        <w:spacing w:line="240" w:lineRule="auto"/>
        <w:rPr>
          <w:lang w:val="hu-HU"/>
        </w:rPr>
      </w:pPr>
      <w:r w:rsidRPr="004166E4">
        <w:rPr>
          <w:lang w:val="hu-HU"/>
        </w:rPr>
        <w:t>ATC kód: N02BE51</w:t>
      </w:r>
    </w:p>
    <w:p w14:paraId="2033D7D2" w14:textId="77777777" w:rsidR="006F712B" w:rsidRPr="00DE56D0" w:rsidRDefault="006F712B" w:rsidP="00DE56D0">
      <w:pPr>
        <w:spacing w:line="240" w:lineRule="auto"/>
        <w:rPr>
          <w:u w:val="single"/>
          <w:lang w:val="hu-HU"/>
        </w:rPr>
      </w:pPr>
    </w:p>
    <w:p w14:paraId="7FEB50E0" w14:textId="77777777" w:rsidR="006F712B" w:rsidRPr="00DE56D0" w:rsidRDefault="006F712B" w:rsidP="00DE56D0">
      <w:pPr>
        <w:spacing w:line="240" w:lineRule="auto"/>
        <w:rPr>
          <w:lang w:val="hu-HU"/>
        </w:rPr>
      </w:pPr>
      <w:r w:rsidRPr="00DE56D0">
        <w:rPr>
          <w:u w:val="single"/>
          <w:lang w:val="hu-HU"/>
        </w:rPr>
        <w:t>Paracetamol</w:t>
      </w:r>
      <w:r w:rsidRPr="00DE56D0">
        <w:rPr>
          <w:lang w:val="hu-HU"/>
        </w:rPr>
        <w:t>: A paracetamol fájdalom- és lázcsillapító hatással egyaránt rendelkezik, amely elsősorban a központi idegrendszeri prosztaglandin-szintézis gátlásával valósul meg.</w:t>
      </w:r>
    </w:p>
    <w:p w14:paraId="018AAD6C" w14:textId="77777777" w:rsidR="006F712B" w:rsidRPr="00DE56D0" w:rsidRDefault="006F712B" w:rsidP="00DE56D0">
      <w:pPr>
        <w:spacing w:line="240" w:lineRule="auto"/>
        <w:rPr>
          <w:lang w:val="hu-HU"/>
        </w:rPr>
      </w:pPr>
    </w:p>
    <w:p w14:paraId="402BA814" w14:textId="77777777" w:rsidR="006F712B" w:rsidRPr="00DE56D0" w:rsidRDefault="006F712B" w:rsidP="00DE56D0">
      <w:pPr>
        <w:spacing w:line="240" w:lineRule="auto"/>
        <w:rPr>
          <w:lang w:val="hu-HU"/>
        </w:rPr>
      </w:pPr>
      <w:r w:rsidRPr="00DE56D0">
        <w:rPr>
          <w:u w:val="single"/>
          <w:lang w:val="hu-HU"/>
        </w:rPr>
        <w:t>Fenilefrin-hidroklorid</w:t>
      </w:r>
      <w:r w:rsidRPr="00DE56D0">
        <w:rPr>
          <w:lang w:val="hu-HU"/>
        </w:rPr>
        <w:t>:</w:t>
      </w:r>
      <w:r w:rsidR="00544003" w:rsidRPr="00DE56D0">
        <w:rPr>
          <w:lang w:val="hu-HU"/>
        </w:rPr>
        <w:t xml:space="preserve"> </w:t>
      </w:r>
      <w:r w:rsidRPr="00DE56D0">
        <w:rPr>
          <w:lang w:val="hu-HU"/>
        </w:rPr>
        <w:t xml:space="preserve">A fenilefrin egy posztszinaptikus </w:t>
      </w:r>
      <w:r w:rsidR="00AA763A">
        <w:rPr>
          <w:lang w:val="hu-HU"/>
        </w:rPr>
        <w:t>alfa</w:t>
      </w:r>
      <w:r w:rsidRPr="00DE56D0">
        <w:rPr>
          <w:lang w:val="hu-HU"/>
        </w:rPr>
        <w:t xml:space="preserve">-receptor agonista, alacsony kardioszelektív </w:t>
      </w:r>
      <w:r w:rsidR="00AA763A">
        <w:rPr>
          <w:lang w:val="hu-HU"/>
        </w:rPr>
        <w:t>béta</w:t>
      </w:r>
      <w:r w:rsidRPr="00DE56D0">
        <w:rPr>
          <w:lang w:val="hu-HU"/>
        </w:rPr>
        <w:t>-receptor affinitással és minimális központi idegrendszeri stimuláló hatással.</w:t>
      </w:r>
      <w:r w:rsidR="00544003" w:rsidRPr="00DE56D0">
        <w:rPr>
          <w:lang w:val="hu-HU"/>
        </w:rPr>
        <w:t xml:space="preserve"> </w:t>
      </w:r>
      <w:r w:rsidRPr="00DE56D0">
        <w:rPr>
          <w:lang w:val="hu-HU"/>
        </w:rPr>
        <w:t>Bizonyítottan enyhíti az orrdugulást, amelyet érszűkítő hatásával, az ödéma és az orrnyálkahártya duzzanatának csökkentése révén ér el.</w:t>
      </w:r>
    </w:p>
    <w:p w14:paraId="65DBE8AC" w14:textId="77777777" w:rsidR="006F712B" w:rsidRPr="00DE56D0" w:rsidRDefault="006F712B" w:rsidP="00DE56D0">
      <w:pPr>
        <w:spacing w:line="240" w:lineRule="auto"/>
        <w:rPr>
          <w:lang w:val="hu-HU"/>
        </w:rPr>
      </w:pPr>
    </w:p>
    <w:p w14:paraId="4079F8E2" w14:textId="77777777" w:rsidR="006F712B" w:rsidRPr="00DE56D0" w:rsidRDefault="006F712B" w:rsidP="00DE56D0">
      <w:pPr>
        <w:spacing w:line="240" w:lineRule="auto"/>
        <w:rPr>
          <w:lang w:val="hu-HU"/>
        </w:rPr>
      </w:pPr>
      <w:r w:rsidRPr="00DE56D0">
        <w:rPr>
          <w:b/>
          <w:bCs/>
          <w:lang w:val="hu-HU"/>
        </w:rPr>
        <w:t>5.2</w:t>
      </w:r>
      <w:r w:rsidRPr="00DE56D0">
        <w:rPr>
          <w:b/>
          <w:bCs/>
          <w:lang w:val="hu-HU"/>
        </w:rPr>
        <w:tab/>
        <w:t>Farmakokinetikai tulajdonságok</w:t>
      </w:r>
    </w:p>
    <w:p w14:paraId="224DCD3F" w14:textId="77777777" w:rsidR="006F712B" w:rsidRPr="00DE56D0" w:rsidRDefault="006F712B" w:rsidP="00DE56D0">
      <w:pPr>
        <w:spacing w:line="240" w:lineRule="auto"/>
        <w:rPr>
          <w:lang w:val="hu-HU"/>
        </w:rPr>
      </w:pPr>
    </w:p>
    <w:p w14:paraId="1DC7A6E1" w14:textId="77777777" w:rsidR="006F712B" w:rsidRPr="00DE56D0" w:rsidRDefault="006F712B" w:rsidP="00DE56D0">
      <w:pPr>
        <w:spacing w:line="240" w:lineRule="auto"/>
        <w:rPr>
          <w:lang w:val="hu-HU"/>
        </w:rPr>
      </w:pPr>
      <w:r w:rsidRPr="00DE56D0">
        <w:rPr>
          <w:lang w:val="hu-HU"/>
        </w:rPr>
        <w:t>A paracetamol gyorsan és teljesen felszívódik, elsősorban a vékonybélből; plazma csúcskoncentrációját szájon át történő alkalmazást követő 15-20 perc múlva éri el.</w:t>
      </w:r>
      <w:r w:rsidR="00544003" w:rsidRPr="00DE56D0">
        <w:rPr>
          <w:lang w:val="hu-HU"/>
        </w:rPr>
        <w:t xml:space="preserve"> </w:t>
      </w:r>
      <w:r w:rsidRPr="00DE56D0">
        <w:rPr>
          <w:lang w:val="hu-HU"/>
        </w:rPr>
        <w:t>A szisztémás hasznosulást a first-pass metabolizmus befolyásolja, értéke a dózistól függően 70–90%. A gyógyszer gyorsan és kiterjedten oszlik el a szervezetben, a plazma eliminációs felezési idő pedig kb.</w:t>
      </w:r>
      <w:r w:rsidR="00AA763A">
        <w:rPr>
          <w:lang w:val="hu-HU"/>
        </w:rPr>
        <w:t xml:space="preserve"> </w:t>
      </w:r>
      <w:r w:rsidRPr="00DE56D0">
        <w:rPr>
          <w:lang w:val="hu-HU"/>
        </w:rPr>
        <w:t>2 óra. A fő metabolitok a gl</w:t>
      </w:r>
      <w:r w:rsidR="00AA763A">
        <w:rPr>
          <w:lang w:val="hu-HU"/>
        </w:rPr>
        <w:t>ü</w:t>
      </w:r>
      <w:r w:rsidRPr="00DE56D0">
        <w:rPr>
          <w:lang w:val="hu-HU"/>
        </w:rPr>
        <w:t>kuronid</w:t>
      </w:r>
      <w:r w:rsidR="0055508A">
        <w:rPr>
          <w:lang w:val="hu-HU"/>
        </w:rPr>
        <w:t>-</w:t>
      </w:r>
      <w:r w:rsidRPr="00DE56D0">
        <w:rPr>
          <w:lang w:val="hu-HU"/>
        </w:rPr>
        <w:t xml:space="preserve"> és a szulfát</w:t>
      </w:r>
      <w:r w:rsidR="0055508A">
        <w:rPr>
          <w:lang w:val="hu-HU"/>
        </w:rPr>
        <w:t>-</w:t>
      </w:r>
      <w:r w:rsidRPr="00DE56D0">
        <w:rPr>
          <w:lang w:val="hu-HU"/>
        </w:rPr>
        <w:t>konjugátumok (&gt; 80%), amelyek a vizelettel ürülnek.</w:t>
      </w:r>
    </w:p>
    <w:p w14:paraId="0F59DA09" w14:textId="77777777" w:rsidR="006F712B" w:rsidRPr="00DE56D0" w:rsidRDefault="006F712B" w:rsidP="00DE56D0">
      <w:pPr>
        <w:spacing w:line="240" w:lineRule="auto"/>
        <w:rPr>
          <w:lang w:val="hu-HU"/>
        </w:rPr>
      </w:pPr>
    </w:p>
    <w:p w14:paraId="050E4C03" w14:textId="77777777" w:rsidR="006F712B" w:rsidRPr="00DE56D0" w:rsidRDefault="006F712B" w:rsidP="00DE56D0">
      <w:pPr>
        <w:spacing w:line="240" w:lineRule="auto"/>
      </w:pPr>
      <w:r w:rsidRPr="00DE56D0">
        <w:rPr>
          <w:lang w:val="hu-HU"/>
        </w:rPr>
        <w:t>A fenilefrin hidroklorid gyorsan felszívódik a gastrointestinalis traktusból.</w:t>
      </w:r>
      <w:r w:rsidR="00544003" w:rsidRPr="00DE56D0">
        <w:t xml:space="preserve"> </w:t>
      </w:r>
      <w:r w:rsidRPr="00DE56D0">
        <w:rPr>
          <w:lang w:val="hu-HU"/>
        </w:rPr>
        <w:t>A preszisztémás metabolizmus jelentős, kb. 60%, amely kb. 40%-os szisztémás biohasznosulást eredményez.</w:t>
      </w:r>
      <w:r w:rsidRPr="00DE56D0">
        <w:t xml:space="preserve"> </w:t>
      </w:r>
      <w:r w:rsidRPr="00DE56D0">
        <w:rPr>
          <w:lang w:val="hu-HU"/>
        </w:rPr>
        <w:t>A gyógyszer a plazma</w:t>
      </w:r>
      <w:r w:rsidR="00AE097E">
        <w:rPr>
          <w:lang w:val="hu-HU"/>
        </w:rPr>
        <w:t>-</w:t>
      </w:r>
      <w:r w:rsidRPr="00DE56D0">
        <w:rPr>
          <w:lang w:val="hu-HU"/>
        </w:rPr>
        <w:t>csúcskoncentrációt 1–2 órán belül éri el, a plazma felezési ideje pedig 2–3 óra.</w:t>
      </w:r>
      <w:r w:rsidRPr="00DE56D0">
        <w:t xml:space="preserve"> </w:t>
      </w:r>
      <w:r w:rsidRPr="00DE56D0">
        <w:rPr>
          <w:lang w:val="hu-HU"/>
        </w:rPr>
        <w:t>Az orrdugulás ellen szájon át alkalmazott fenilefrint általában 4–6 óránként javasolt beadni.</w:t>
      </w:r>
    </w:p>
    <w:p w14:paraId="1086C02C" w14:textId="77777777" w:rsidR="006F712B" w:rsidRPr="00DE56D0" w:rsidRDefault="006F712B" w:rsidP="00DE56D0">
      <w:pPr>
        <w:spacing w:line="240" w:lineRule="auto"/>
        <w:rPr>
          <w:b/>
          <w:bCs/>
        </w:rPr>
      </w:pPr>
    </w:p>
    <w:p w14:paraId="1C870A7D" w14:textId="77777777" w:rsidR="006F712B" w:rsidRPr="00DE56D0" w:rsidRDefault="006F712B" w:rsidP="00DE56D0">
      <w:pPr>
        <w:spacing w:line="240" w:lineRule="auto"/>
      </w:pPr>
      <w:r w:rsidRPr="00DE56D0">
        <w:rPr>
          <w:b/>
          <w:bCs/>
        </w:rPr>
        <w:t>5.3</w:t>
      </w:r>
      <w:r w:rsidRPr="00DE56D0">
        <w:rPr>
          <w:b/>
          <w:bCs/>
        </w:rPr>
        <w:tab/>
      </w:r>
      <w:r w:rsidRPr="00DE56D0">
        <w:rPr>
          <w:b/>
          <w:bCs/>
          <w:lang w:val="hu-HU"/>
        </w:rPr>
        <w:t>A preklinikai biztonságossági vizsgálatok eredményei</w:t>
      </w:r>
    </w:p>
    <w:p w14:paraId="03AA2139" w14:textId="77777777" w:rsidR="006F712B" w:rsidRPr="00DE56D0" w:rsidRDefault="006F712B" w:rsidP="00DE56D0">
      <w:pPr>
        <w:spacing w:line="240" w:lineRule="auto"/>
      </w:pPr>
    </w:p>
    <w:p w14:paraId="30C949F2" w14:textId="77777777" w:rsidR="006F712B" w:rsidRDefault="006F712B" w:rsidP="00DE56D0">
      <w:pPr>
        <w:spacing w:line="240" w:lineRule="auto"/>
        <w:rPr>
          <w:lang w:val="hu-HU"/>
        </w:rPr>
      </w:pPr>
      <w:r w:rsidRPr="0055508A">
        <w:rPr>
          <w:lang w:val="hu-HU"/>
        </w:rPr>
        <w:t>Jelentős preklinikai eredményekről nem számoltak be.</w:t>
      </w:r>
      <w:r w:rsidR="0055508A" w:rsidRPr="0055508A">
        <w:rPr>
          <w:lang w:val="hu-HU"/>
        </w:rPr>
        <w:t xml:space="preserve"> A reprodukciót és a fejlődést érintő toxicitást értékelő, jelenleg elfogadott standardokat követő, hagyományos vizsgálatok nem állnak rendelkezésre.</w:t>
      </w:r>
    </w:p>
    <w:p w14:paraId="35269245" w14:textId="77777777" w:rsidR="00035BFC" w:rsidRPr="00DE56D0" w:rsidRDefault="00035BFC" w:rsidP="00DE56D0">
      <w:pPr>
        <w:pStyle w:val="Normlbehzs"/>
        <w:spacing w:after="0"/>
        <w:ind w:left="0"/>
      </w:pPr>
    </w:p>
    <w:p w14:paraId="23C6343D" w14:textId="77777777" w:rsidR="006F712B" w:rsidRDefault="006F712B" w:rsidP="00DE56D0">
      <w:pPr>
        <w:spacing w:line="240" w:lineRule="auto"/>
        <w:rPr>
          <w:b/>
          <w:bCs/>
        </w:rPr>
      </w:pPr>
    </w:p>
    <w:p w14:paraId="05CED378" w14:textId="77777777" w:rsidR="00B124C1" w:rsidRPr="00DE56D0" w:rsidRDefault="00B124C1" w:rsidP="00DE56D0">
      <w:pPr>
        <w:spacing w:line="240" w:lineRule="auto"/>
        <w:rPr>
          <w:b/>
          <w:bCs/>
        </w:rPr>
      </w:pPr>
    </w:p>
    <w:p w14:paraId="6A9344C2" w14:textId="77777777" w:rsidR="006F712B" w:rsidRPr="00DE56D0" w:rsidRDefault="006F712B" w:rsidP="00DE56D0">
      <w:pPr>
        <w:spacing w:line="240" w:lineRule="auto"/>
        <w:rPr>
          <w:b/>
          <w:bCs/>
        </w:rPr>
      </w:pPr>
      <w:r w:rsidRPr="00DE56D0">
        <w:rPr>
          <w:b/>
          <w:bCs/>
        </w:rPr>
        <w:t>6.</w:t>
      </w:r>
      <w:r w:rsidRPr="00DE56D0">
        <w:rPr>
          <w:b/>
          <w:bCs/>
        </w:rPr>
        <w:tab/>
      </w:r>
      <w:r w:rsidRPr="00DE56D0">
        <w:rPr>
          <w:b/>
          <w:bCs/>
          <w:lang w:val="hu-HU"/>
        </w:rPr>
        <w:t>GYÓGYSZERÉSZETI JELLEMZŐK</w:t>
      </w:r>
    </w:p>
    <w:p w14:paraId="2EC1C016" w14:textId="77777777" w:rsidR="006F712B" w:rsidRPr="00DE56D0" w:rsidRDefault="006F712B" w:rsidP="00DE56D0">
      <w:pPr>
        <w:spacing w:line="240" w:lineRule="auto"/>
        <w:rPr>
          <w:b/>
          <w:bCs/>
        </w:rPr>
      </w:pPr>
      <w:bookmarkStart w:id="2" w:name="_GoBack"/>
      <w:bookmarkEnd w:id="2"/>
    </w:p>
    <w:p w14:paraId="59F2DE43" w14:textId="77777777" w:rsidR="006F712B" w:rsidRPr="00DE56D0" w:rsidRDefault="006F712B" w:rsidP="00DE56D0">
      <w:pPr>
        <w:spacing w:line="240" w:lineRule="auto"/>
        <w:rPr>
          <w:b/>
          <w:bCs/>
        </w:rPr>
      </w:pPr>
      <w:r w:rsidRPr="00DE56D0">
        <w:rPr>
          <w:b/>
          <w:bCs/>
        </w:rPr>
        <w:t>6.1</w:t>
      </w:r>
      <w:r w:rsidRPr="00DE56D0">
        <w:rPr>
          <w:b/>
          <w:bCs/>
        </w:rPr>
        <w:tab/>
      </w:r>
      <w:r w:rsidRPr="00DE56D0">
        <w:rPr>
          <w:b/>
          <w:bCs/>
          <w:lang w:val="hu-HU"/>
        </w:rPr>
        <w:t>Segédanyagok felsorolása</w:t>
      </w:r>
    </w:p>
    <w:p w14:paraId="55459B1D" w14:textId="77777777" w:rsidR="006F712B" w:rsidRPr="00DE56D0" w:rsidRDefault="006F712B" w:rsidP="00DE56D0">
      <w:pPr>
        <w:spacing w:line="240" w:lineRule="auto"/>
      </w:pPr>
    </w:p>
    <w:p w14:paraId="6A5C7B27" w14:textId="77777777" w:rsidR="006F712B" w:rsidRPr="00DE56D0" w:rsidRDefault="006F712B" w:rsidP="00DE56D0">
      <w:pPr>
        <w:pStyle w:val="Normlbehzs"/>
        <w:spacing w:after="0"/>
        <w:ind w:left="0"/>
      </w:pPr>
      <w:bookmarkStart w:id="3" w:name="OLE_LINK1"/>
      <w:bookmarkStart w:id="4" w:name="OLE_LINK2"/>
      <w:r w:rsidRPr="00DE56D0">
        <w:rPr>
          <w:lang w:val="hu-HU"/>
        </w:rPr>
        <w:t>Szacharóz</w:t>
      </w:r>
    </w:p>
    <w:bookmarkEnd w:id="3"/>
    <w:bookmarkEnd w:id="4"/>
    <w:p w14:paraId="78ED7C47" w14:textId="4A78E8F7" w:rsidR="006F712B" w:rsidRPr="00DE56D0" w:rsidRDefault="006F712B" w:rsidP="00DE56D0">
      <w:pPr>
        <w:pStyle w:val="Normlbehzs"/>
        <w:spacing w:after="0"/>
        <w:ind w:left="0"/>
        <w:rPr>
          <w:lang w:val="pt-BR"/>
        </w:rPr>
      </w:pPr>
      <w:r w:rsidRPr="00DE56D0">
        <w:rPr>
          <w:lang w:val="hu-HU"/>
        </w:rPr>
        <w:t>Nátrium-citrát</w:t>
      </w:r>
      <w:r w:rsidR="00CB61D3">
        <w:rPr>
          <w:lang w:val="hu-HU"/>
        </w:rPr>
        <w:t>-dihidrát</w:t>
      </w:r>
    </w:p>
    <w:p w14:paraId="49C5AC53" w14:textId="77777777" w:rsidR="006F712B" w:rsidRPr="00DE56D0" w:rsidRDefault="006F712B" w:rsidP="00DE56D0">
      <w:pPr>
        <w:pStyle w:val="Normlbehzs"/>
        <w:spacing w:after="0"/>
        <w:ind w:left="0"/>
        <w:rPr>
          <w:lang w:val="pt-BR"/>
        </w:rPr>
      </w:pPr>
      <w:r w:rsidRPr="00DE56D0">
        <w:rPr>
          <w:lang w:val="hu-HU"/>
        </w:rPr>
        <w:t>Citromsav</w:t>
      </w:r>
    </w:p>
    <w:p w14:paraId="3F70C1CC" w14:textId="77777777" w:rsidR="006F712B" w:rsidRPr="00DE56D0" w:rsidRDefault="006F712B" w:rsidP="00DE56D0">
      <w:pPr>
        <w:pStyle w:val="Normlbehzs"/>
        <w:spacing w:after="0"/>
        <w:ind w:left="0"/>
        <w:rPr>
          <w:lang w:val="pt-BR"/>
        </w:rPr>
      </w:pPr>
      <w:r w:rsidRPr="00DE56D0">
        <w:rPr>
          <w:lang w:val="hu-HU"/>
        </w:rPr>
        <w:t>Aszkorbinsav</w:t>
      </w:r>
    </w:p>
    <w:p w14:paraId="63C77A30" w14:textId="77777777" w:rsidR="006F712B" w:rsidRPr="00DE56D0" w:rsidRDefault="006F712B" w:rsidP="00DE56D0">
      <w:pPr>
        <w:pStyle w:val="Normlbehzs"/>
        <w:spacing w:after="0"/>
        <w:ind w:left="0"/>
        <w:rPr>
          <w:lang w:val="pt-BR"/>
        </w:rPr>
      </w:pPr>
      <w:r w:rsidRPr="00DE56D0">
        <w:rPr>
          <w:lang w:val="hu-HU"/>
        </w:rPr>
        <w:t>Aceszulfám-kálium</w:t>
      </w:r>
    </w:p>
    <w:p w14:paraId="76A75D6C" w14:textId="77777777" w:rsidR="006F712B" w:rsidRPr="00DE56D0" w:rsidRDefault="006F712B" w:rsidP="00DE56D0">
      <w:pPr>
        <w:pStyle w:val="Normlbehzs"/>
        <w:spacing w:after="0"/>
        <w:ind w:left="0"/>
        <w:rPr>
          <w:lang w:val="pt-BR"/>
        </w:rPr>
      </w:pPr>
      <w:r w:rsidRPr="00DE56D0">
        <w:rPr>
          <w:lang w:val="hu-HU"/>
        </w:rPr>
        <w:t>Aszpart</w:t>
      </w:r>
      <w:r w:rsidR="009D1365">
        <w:rPr>
          <w:lang w:val="hu-HU"/>
        </w:rPr>
        <w:t>á</w:t>
      </w:r>
      <w:r w:rsidRPr="00DE56D0">
        <w:rPr>
          <w:lang w:val="hu-HU"/>
        </w:rPr>
        <w:t>m</w:t>
      </w:r>
    </w:p>
    <w:p w14:paraId="0DB7FE36" w14:textId="77777777" w:rsidR="006F712B" w:rsidRPr="00DE56D0" w:rsidRDefault="006F712B" w:rsidP="00DE56D0">
      <w:pPr>
        <w:pStyle w:val="Normlbehzs"/>
        <w:spacing w:after="0"/>
        <w:ind w:left="0"/>
        <w:rPr>
          <w:lang w:val="pt-BR"/>
        </w:rPr>
      </w:pPr>
      <w:r w:rsidRPr="00DE56D0">
        <w:rPr>
          <w:lang w:val="hu-HU"/>
        </w:rPr>
        <w:t>Kinolin sárga</w:t>
      </w:r>
      <w:r w:rsidR="003E5619">
        <w:rPr>
          <w:lang w:val="hu-HU"/>
        </w:rPr>
        <w:t xml:space="preserve"> (E104)</w:t>
      </w:r>
    </w:p>
    <w:p w14:paraId="66A00866" w14:textId="77777777" w:rsidR="006D1479" w:rsidRDefault="006F712B" w:rsidP="007C58DA">
      <w:pPr>
        <w:pStyle w:val="Normlbehzs"/>
        <w:spacing w:after="0"/>
        <w:ind w:left="0"/>
        <w:rPr>
          <w:lang w:val="hu-HU"/>
        </w:rPr>
      </w:pPr>
      <w:r w:rsidRPr="00DE56D0">
        <w:rPr>
          <w:lang w:val="hu-HU"/>
        </w:rPr>
        <w:t>Citrom aromák</w:t>
      </w:r>
      <w:r w:rsidR="009D1365">
        <w:rPr>
          <w:lang w:val="hu-HU"/>
        </w:rPr>
        <w:t xml:space="preserve"> </w:t>
      </w:r>
      <w:r w:rsidR="00A4680D">
        <w:rPr>
          <w:lang w:val="hu-HU"/>
        </w:rPr>
        <w:t xml:space="preserve">(citromolaj, citrál, citronellol, linalool, citron, maltodextrin, szacharóz, módosított keményítő, </w:t>
      </w:r>
      <w:r w:rsidR="00EB6448">
        <w:rPr>
          <w:lang w:val="hu-HU"/>
        </w:rPr>
        <w:t>gumiarábikum, butil</w:t>
      </w:r>
      <w:r w:rsidR="003E5619">
        <w:rPr>
          <w:lang w:val="hu-HU"/>
        </w:rPr>
        <w:t>ezett</w:t>
      </w:r>
      <w:r w:rsidR="00EB6448">
        <w:rPr>
          <w:lang w:val="hu-HU"/>
        </w:rPr>
        <w:t xml:space="preserve"> hidroxianizol triacetin, tokoferol)</w:t>
      </w:r>
    </w:p>
    <w:p w14:paraId="246F2665" w14:textId="77777777" w:rsidR="00EB6448" w:rsidRPr="00DE56D0" w:rsidRDefault="003E5619" w:rsidP="007C58DA">
      <w:pPr>
        <w:pStyle w:val="Normlbehzs"/>
        <w:spacing w:after="0"/>
        <w:ind w:left="0"/>
        <w:rPr>
          <w:lang w:val="pt-BR"/>
        </w:rPr>
      </w:pPr>
      <w:r>
        <w:rPr>
          <w:lang w:val="hu-HU"/>
        </w:rPr>
        <w:t>c</w:t>
      </w:r>
      <w:r w:rsidR="00EB6448">
        <w:rPr>
          <w:lang w:val="hu-HU"/>
        </w:rPr>
        <w:t>itromlé (citrál, maltodextrin, módosított keményítő, szilícium-dioxid)</w:t>
      </w:r>
    </w:p>
    <w:p w14:paraId="5720B566" w14:textId="77777777" w:rsidR="006F712B" w:rsidRPr="00DE56D0" w:rsidRDefault="006F712B" w:rsidP="00783D27">
      <w:pPr>
        <w:spacing w:line="240" w:lineRule="auto"/>
        <w:rPr>
          <w:lang w:val="pt-BR"/>
        </w:rPr>
      </w:pPr>
    </w:p>
    <w:p w14:paraId="1CDBF98D" w14:textId="77777777" w:rsidR="006F712B" w:rsidRPr="00DE56D0" w:rsidRDefault="006F712B" w:rsidP="00783D27">
      <w:pPr>
        <w:spacing w:line="240" w:lineRule="auto"/>
        <w:rPr>
          <w:lang w:val="pt-BR"/>
        </w:rPr>
      </w:pPr>
      <w:r w:rsidRPr="00DE56D0">
        <w:rPr>
          <w:b/>
          <w:bCs/>
          <w:lang w:val="pt-BR"/>
        </w:rPr>
        <w:t>6.2</w:t>
      </w:r>
      <w:r w:rsidRPr="00DE56D0">
        <w:rPr>
          <w:b/>
          <w:bCs/>
          <w:lang w:val="pt-BR"/>
        </w:rPr>
        <w:tab/>
      </w:r>
      <w:r w:rsidRPr="00DE56D0">
        <w:rPr>
          <w:b/>
          <w:bCs/>
          <w:lang w:val="hu-HU"/>
        </w:rPr>
        <w:t>Inkompatibilitások</w:t>
      </w:r>
    </w:p>
    <w:p w14:paraId="3E01547D" w14:textId="77777777" w:rsidR="006F712B" w:rsidRPr="00DE56D0" w:rsidRDefault="006F712B" w:rsidP="00783D27">
      <w:pPr>
        <w:spacing w:line="240" w:lineRule="auto"/>
        <w:rPr>
          <w:lang w:val="pt-BR"/>
        </w:rPr>
      </w:pPr>
    </w:p>
    <w:p w14:paraId="54131713" w14:textId="77777777" w:rsidR="006F712B" w:rsidRPr="00DE56D0" w:rsidRDefault="006F712B" w:rsidP="00783D27">
      <w:pPr>
        <w:pStyle w:val="Normlbehzs"/>
        <w:spacing w:after="0"/>
        <w:ind w:left="0"/>
        <w:rPr>
          <w:lang w:val="pt-BR"/>
        </w:rPr>
      </w:pPr>
      <w:r w:rsidRPr="00DE56D0">
        <w:rPr>
          <w:lang w:val="hu-HU"/>
        </w:rPr>
        <w:t>Nem értelmezhető</w:t>
      </w:r>
    </w:p>
    <w:p w14:paraId="7B6921AB" w14:textId="77777777" w:rsidR="00783D27" w:rsidRPr="00DE56D0" w:rsidRDefault="00783D27" w:rsidP="00783D27">
      <w:pPr>
        <w:spacing w:line="240" w:lineRule="auto"/>
        <w:rPr>
          <w:lang w:val="pt-BR"/>
        </w:rPr>
      </w:pPr>
    </w:p>
    <w:p w14:paraId="0B3DA14C" w14:textId="77777777" w:rsidR="00783D27" w:rsidRPr="00DE56D0" w:rsidRDefault="006F712B" w:rsidP="00783D27">
      <w:pPr>
        <w:spacing w:line="240" w:lineRule="auto"/>
        <w:rPr>
          <w:lang w:val="pt-BR"/>
        </w:rPr>
      </w:pPr>
      <w:r w:rsidRPr="00DE56D0">
        <w:rPr>
          <w:b/>
          <w:bCs/>
          <w:lang w:val="pt-BR"/>
        </w:rPr>
        <w:t>6.3</w:t>
      </w:r>
      <w:r w:rsidRPr="00DE56D0">
        <w:rPr>
          <w:b/>
          <w:bCs/>
          <w:lang w:val="pt-BR"/>
        </w:rPr>
        <w:tab/>
      </w:r>
      <w:r w:rsidRPr="00DE56D0">
        <w:rPr>
          <w:b/>
          <w:bCs/>
          <w:lang w:val="hu-HU"/>
        </w:rPr>
        <w:t>Felhasználhatósági időtartam</w:t>
      </w:r>
    </w:p>
    <w:p w14:paraId="5661A3F8" w14:textId="77777777" w:rsidR="006F712B" w:rsidRPr="00DE56D0" w:rsidRDefault="006F712B" w:rsidP="00783D27">
      <w:pPr>
        <w:spacing w:line="240" w:lineRule="auto"/>
        <w:rPr>
          <w:lang w:val="pt-BR"/>
        </w:rPr>
      </w:pPr>
    </w:p>
    <w:p w14:paraId="7ADC463E" w14:textId="77777777" w:rsidR="006F712B" w:rsidRPr="00DE56D0" w:rsidRDefault="006F712B" w:rsidP="00DE56D0">
      <w:pPr>
        <w:pStyle w:val="Normlbehzs"/>
        <w:spacing w:after="0"/>
        <w:ind w:left="0"/>
        <w:rPr>
          <w:lang w:val="pt-BR"/>
        </w:rPr>
      </w:pPr>
      <w:r w:rsidRPr="00DE56D0">
        <w:rPr>
          <w:lang w:val="hu-HU"/>
        </w:rPr>
        <w:t>3 év</w:t>
      </w:r>
    </w:p>
    <w:p w14:paraId="6F7FC0F7" w14:textId="77777777" w:rsidR="006F712B" w:rsidRPr="00DE56D0" w:rsidRDefault="006F712B" w:rsidP="00DE56D0">
      <w:pPr>
        <w:spacing w:line="240" w:lineRule="auto"/>
        <w:rPr>
          <w:lang w:val="pt-BR"/>
        </w:rPr>
      </w:pPr>
    </w:p>
    <w:p w14:paraId="131ABB18" w14:textId="77777777" w:rsidR="006F712B" w:rsidRPr="00DE56D0" w:rsidRDefault="006F712B" w:rsidP="00DE56D0">
      <w:pPr>
        <w:spacing w:line="240" w:lineRule="auto"/>
        <w:rPr>
          <w:b/>
          <w:bCs/>
          <w:lang w:val="pt-BR"/>
        </w:rPr>
      </w:pPr>
      <w:r w:rsidRPr="00DE56D0">
        <w:rPr>
          <w:b/>
          <w:bCs/>
          <w:lang w:val="pt-BR"/>
        </w:rPr>
        <w:t>6.4</w:t>
      </w:r>
      <w:r w:rsidRPr="00DE56D0">
        <w:rPr>
          <w:b/>
          <w:bCs/>
          <w:lang w:val="pt-BR"/>
        </w:rPr>
        <w:tab/>
      </w:r>
      <w:r w:rsidRPr="00DE56D0">
        <w:rPr>
          <w:b/>
          <w:bCs/>
          <w:lang w:val="hu-HU"/>
        </w:rPr>
        <w:t>Különleges tárolási előírások</w:t>
      </w:r>
    </w:p>
    <w:p w14:paraId="038848D6" w14:textId="77777777" w:rsidR="006F712B" w:rsidRPr="00DE56D0" w:rsidRDefault="006F712B" w:rsidP="00DE56D0">
      <w:pPr>
        <w:spacing w:line="240" w:lineRule="auto"/>
        <w:rPr>
          <w:i/>
          <w:iCs/>
          <w:lang w:val="pt-BR"/>
        </w:rPr>
      </w:pPr>
    </w:p>
    <w:p w14:paraId="1E5EE74D" w14:textId="77777777" w:rsidR="006F712B" w:rsidRPr="00DE56D0" w:rsidRDefault="006F712B" w:rsidP="00DE56D0">
      <w:pPr>
        <w:pStyle w:val="Normlbehzs"/>
        <w:spacing w:after="0"/>
        <w:ind w:left="0"/>
        <w:rPr>
          <w:lang w:val="pt-BR"/>
        </w:rPr>
      </w:pPr>
      <w:r w:rsidRPr="00DE56D0">
        <w:rPr>
          <w:lang w:val="hu-HU"/>
        </w:rPr>
        <w:t>Legfeljebb 25</w:t>
      </w:r>
      <w:r w:rsidR="00AE69F0">
        <w:rPr>
          <w:lang w:val="hu-HU"/>
        </w:rPr>
        <w:t> </w:t>
      </w:r>
      <w:r w:rsidRPr="00DE56D0">
        <w:rPr>
          <w:lang w:val="hu-HU"/>
        </w:rPr>
        <w:sym w:font="Symbol" w:char="F0B0"/>
      </w:r>
      <w:r w:rsidRPr="00DE56D0">
        <w:rPr>
          <w:lang w:val="hu-HU"/>
        </w:rPr>
        <w:t>C-on tárolandó.</w:t>
      </w:r>
    </w:p>
    <w:p w14:paraId="39DC393C" w14:textId="77777777" w:rsidR="006F712B" w:rsidRPr="00DE56D0" w:rsidRDefault="006F712B" w:rsidP="00DE56D0">
      <w:pPr>
        <w:pStyle w:val="Normlbehzs"/>
        <w:spacing w:after="0"/>
        <w:ind w:left="0"/>
        <w:rPr>
          <w:lang w:val="pt-BR"/>
        </w:rPr>
      </w:pPr>
    </w:p>
    <w:p w14:paraId="508C787B" w14:textId="77777777" w:rsidR="006F712B" w:rsidRPr="00DE56D0" w:rsidRDefault="006F712B" w:rsidP="00DE56D0">
      <w:pPr>
        <w:numPr>
          <w:ilvl w:val="1"/>
          <w:numId w:val="11"/>
        </w:numPr>
        <w:spacing w:line="240" w:lineRule="auto"/>
        <w:ind w:left="0" w:firstLine="0"/>
        <w:rPr>
          <w:b/>
          <w:bCs/>
        </w:rPr>
      </w:pPr>
      <w:r w:rsidRPr="00DE56D0">
        <w:rPr>
          <w:b/>
          <w:bCs/>
          <w:lang w:val="hu-HU"/>
        </w:rPr>
        <w:t>Csomagolás típusa és kiszerelése</w:t>
      </w:r>
    </w:p>
    <w:p w14:paraId="37F6DDAD" w14:textId="77777777" w:rsidR="006F712B" w:rsidRPr="00DE56D0" w:rsidRDefault="006F712B" w:rsidP="00DE56D0">
      <w:pPr>
        <w:spacing w:line="240" w:lineRule="auto"/>
      </w:pPr>
    </w:p>
    <w:p w14:paraId="14A30B45" w14:textId="77777777" w:rsidR="006F712B" w:rsidRPr="00DE56D0" w:rsidRDefault="006F712B" w:rsidP="00DE56D0">
      <w:pPr>
        <w:pStyle w:val="Normlbehzs"/>
        <w:spacing w:after="0"/>
        <w:ind w:left="0"/>
      </w:pPr>
      <w:r w:rsidRPr="00DE56D0">
        <w:rPr>
          <w:lang w:val="hu-HU"/>
        </w:rPr>
        <w:t>A gyógyszer papír/</w:t>
      </w:r>
      <w:r w:rsidR="003E5619">
        <w:rPr>
          <w:lang w:val="hu-HU"/>
        </w:rPr>
        <w:t>PE</w:t>
      </w:r>
      <w:r w:rsidR="002C4161">
        <w:rPr>
          <w:lang w:val="hu-HU"/>
        </w:rPr>
        <w:t>/</w:t>
      </w:r>
      <w:r w:rsidR="003E5619">
        <w:rPr>
          <w:lang w:val="hu-HU"/>
        </w:rPr>
        <w:t>Al/PE</w:t>
      </w:r>
      <w:r w:rsidRPr="00DE56D0">
        <w:rPr>
          <w:lang w:val="hu-HU"/>
        </w:rPr>
        <w:t xml:space="preserve"> összetéte</w:t>
      </w:r>
      <w:r w:rsidR="00825B50" w:rsidRPr="00DE56D0">
        <w:rPr>
          <w:lang w:val="hu-HU"/>
        </w:rPr>
        <w:t xml:space="preserve">lű laminált tasakokba </w:t>
      </w:r>
      <w:r w:rsidR="002C4161">
        <w:rPr>
          <w:lang w:val="hu-HU"/>
        </w:rPr>
        <w:t>van csomagolva.</w:t>
      </w:r>
    </w:p>
    <w:p w14:paraId="4DF40C3D" w14:textId="77777777" w:rsidR="006F712B" w:rsidRPr="00DE56D0" w:rsidRDefault="005248BD" w:rsidP="00DE56D0">
      <w:pPr>
        <w:pStyle w:val="Normlbehzs"/>
        <w:spacing w:after="0"/>
        <w:ind w:left="0"/>
      </w:pPr>
      <w:r>
        <w:rPr>
          <w:lang w:val="hu-HU"/>
        </w:rPr>
        <w:t>Dobozonként</w:t>
      </w:r>
      <w:r w:rsidR="006F712B" w:rsidRPr="00DE56D0">
        <w:rPr>
          <w:lang w:val="hu-HU"/>
        </w:rPr>
        <w:t xml:space="preserve"> öt vagy tíz tasak.</w:t>
      </w:r>
    </w:p>
    <w:p w14:paraId="26866684" w14:textId="77777777" w:rsidR="006F712B" w:rsidRPr="00DE56D0" w:rsidRDefault="006F712B" w:rsidP="00DE56D0">
      <w:pPr>
        <w:pStyle w:val="Normlbehzs"/>
        <w:spacing w:after="0"/>
        <w:ind w:left="0"/>
      </w:pPr>
      <w:r w:rsidRPr="00DE56D0">
        <w:rPr>
          <w:lang w:val="hu-HU"/>
        </w:rPr>
        <w:t>Nem feltétlenül mindegyik kiszerelés kerül kereskedelmi forgalomban.</w:t>
      </w:r>
    </w:p>
    <w:p w14:paraId="0D178E14" w14:textId="77777777" w:rsidR="006F712B" w:rsidRPr="00DE56D0" w:rsidRDefault="006F712B" w:rsidP="00DE56D0">
      <w:pPr>
        <w:pStyle w:val="Normlbehzs"/>
        <w:spacing w:after="0"/>
        <w:ind w:left="0"/>
      </w:pPr>
    </w:p>
    <w:p w14:paraId="5BB24A9D" w14:textId="4577CEF3" w:rsidR="006F712B" w:rsidRPr="00DE56D0" w:rsidRDefault="006F712B" w:rsidP="00DE56D0">
      <w:pPr>
        <w:spacing w:line="240" w:lineRule="auto"/>
        <w:outlineLvl w:val="0"/>
      </w:pPr>
      <w:r w:rsidRPr="00DE56D0">
        <w:rPr>
          <w:b/>
          <w:bCs/>
        </w:rPr>
        <w:t>6.6</w:t>
      </w:r>
      <w:r w:rsidRPr="00DE56D0">
        <w:rPr>
          <w:b/>
          <w:bCs/>
        </w:rPr>
        <w:tab/>
      </w:r>
      <w:r w:rsidRPr="00DE56D0">
        <w:rPr>
          <w:b/>
          <w:bCs/>
          <w:lang w:val="hu-HU"/>
        </w:rPr>
        <w:t>A megsemmisítésre vonatkozó különleges óvintézkedések és egyéb, a készítmény kezelésével kapcsolatos információk</w:t>
      </w:r>
      <w:r w:rsidR="00E514BA">
        <w:rPr>
          <w:b/>
          <w:bCs/>
          <w:lang w:val="hu-HU"/>
        </w:rPr>
        <w:fldChar w:fldCharType="begin"/>
      </w:r>
      <w:r w:rsidR="00E514BA">
        <w:rPr>
          <w:b/>
          <w:bCs/>
          <w:lang w:val="hu-HU"/>
        </w:rPr>
        <w:instrText xml:space="preserve"> DOCVARIABLE vault_nd_45b4a0d8-56ee-4313-bce9-0a22aa227fa2 \* MERGEFORMAT </w:instrText>
      </w:r>
      <w:r w:rsidR="00E514BA">
        <w:rPr>
          <w:b/>
          <w:bCs/>
          <w:lang w:val="hu-HU"/>
        </w:rPr>
        <w:fldChar w:fldCharType="separate"/>
      </w:r>
      <w:r w:rsidR="00E514BA">
        <w:rPr>
          <w:b/>
          <w:bCs/>
          <w:lang w:val="hu-HU"/>
        </w:rPr>
        <w:t xml:space="preserve"> </w:t>
      </w:r>
      <w:r w:rsidR="00E514BA">
        <w:rPr>
          <w:b/>
          <w:bCs/>
          <w:lang w:val="hu-HU"/>
        </w:rPr>
        <w:fldChar w:fldCharType="end"/>
      </w:r>
    </w:p>
    <w:p w14:paraId="61E54F76" w14:textId="77777777" w:rsidR="006F712B" w:rsidRPr="00DE56D0" w:rsidRDefault="006F712B" w:rsidP="00DE56D0">
      <w:pPr>
        <w:spacing w:line="240" w:lineRule="auto"/>
      </w:pPr>
    </w:p>
    <w:p w14:paraId="35264752" w14:textId="77777777" w:rsidR="0055508A" w:rsidRPr="00DE56D0" w:rsidRDefault="0055508A" w:rsidP="00DE56D0">
      <w:pPr>
        <w:pStyle w:val="Normlbehzs"/>
        <w:spacing w:after="0"/>
        <w:ind w:left="0"/>
      </w:pPr>
      <w:r w:rsidRPr="0055508A">
        <w:rPr>
          <w:lang w:val="hu-HU"/>
        </w:rPr>
        <w:t>Bármilyen fel nem használt gyógyszer, illetve hulladékanyag megsemmisítését a gyógyszerekre vonatkozó előírások szerint kell végrehajtani.</w:t>
      </w:r>
    </w:p>
    <w:p w14:paraId="188AEC62" w14:textId="77777777" w:rsidR="006F712B" w:rsidRPr="00DE56D0" w:rsidRDefault="006F712B" w:rsidP="00DE56D0">
      <w:pPr>
        <w:spacing w:line="240" w:lineRule="auto"/>
      </w:pPr>
    </w:p>
    <w:p w14:paraId="249B2C0B" w14:textId="77777777" w:rsidR="00CD50E0" w:rsidRDefault="00CD50E0" w:rsidP="00CD50E0">
      <w:r>
        <w:rPr>
          <w:b/>
          <w:bCs/>
        </w:rPr>
        <w:t>Megjegyzés</w:t>
      </w:r>
      <w:r>
        <w:t xml:space="preserve">: </w:t>
      </w:r>
      <w:r w:rsidRPr="00D00BFB">
        <w:rPr>
          <w:rFonts w:ascii="Wingdings" w:eastAsia="Wingdings" w:hAnsi="Wingdings"/>
          <w:bCs/>
        </w:rPr>
        <w:t></w:t>
      </w:r>
      <w:r>
        <w:t xml:space="preserve"> </w:t>
      </w:r>
      <w:r w:rsidR="00BC1EAB">
        <w:t>(egy keresztes, erős hatású szer</w:t>
      </w:r>
      <w:r w:rsidR="00017C97">
        <w:t>)</w:t>
      </w:r>
    </w:p>
    <w:p w14:paraId="6FF55D90" w14:textId="77777777" w:rsidR="006F712B" w:rsidRDefault="00CD50E0" w:rsidP="00DE56D0">
      <w:pPr>
        <w:spacing w:line="240" w:lineRule="auto"/>
      </w:pPr>
      <w:r>
        <w:t xml:space="preserve">Osztályozás: </w:t>
      </w:r>
      <w:r w:rsidRPr="00CD50E0">
        <w:rPr>
          <w:b/>
        </w:rPr>
        <w:t>I csoport</w:t>
      </w:r>
    </w:p>
    <w:p w14:paraId="331346AA" w14:textId="77777777" w:rsidR="00783D27" w:rsidRDefault="00CD50E0" w:rsidP="00DE56D0">
      <w:pPr>
        <w:spacing w:line="240" w:lineRule="auto"/>
      </w:pPr>
      <w:r>
        <w:t>Orvosi rendelvény nélkül is kiadható gyógyszer</w:t>
      </w:r>
      <w:r w:rsidR="00AA763A">
        <w:t>.</w:t>
      </w:r>
    </w:p>
    <w:p w14:paraId="058AAA39" w14:textId="77777777" w:rsidR="00783D27" w:rsidRDefault="00783D27" w:rsidP="00DE56D0">
      <w:pPr>
        <w:spacing w:line="240" w:lineRule="auto"/>
      </w:pPr>
    </w:p>
    <w:p w14:paraId="33B1049B" w14:textId="77777777" w:rsidR="00A05431" w:rsidRPr="00DE56D0" w:rsidRDefault="00A05431" w:rsidP="00DE56D0">
      <w:pPr>
        <w:spacing w:line="240" w:lineRule="auto"/>
      </w:pPr>
    </w:p>
    <w:p w14:paraId="290A751E" w14:textId="77777777" w:rsidR="006F712B" w:rsidRPr="00DE56D0" w:rsidRDefault="006F712B" w:rsidP="00DE56D0">
      <w:pPr>
        <w:spacing w:line="240" w:lineRule="auto"/>
      </w:pPr>
      <w:r w:rsidRPr="00DE56D0">
        <w:rPr>
          <w:b/>
          <w:bCs/>
        </w:rPr>
        <w:t>7.</w:t>
      </w:r>
      <w:r w:rsidRPr="00DE56D0">
        <w:rPr>
          <w:b/>
          <w:bCs/>
        </w:rPr>
        <w:tab/>
      </w:r>
      <w:r w:rsidRPr="00DE56D0">
        <w:rPr>
          <w:b/>
          <w:bCs/>
          <w:lang w:val="hu-HU"/>
        </w:rPr>
        <w:t>A FORGALOMBA HOZATALI ENGEDÉLY JOGOSULTJA</w:t>
      </w:r>
    </w:p>
    <w:p w14:paraId="113BCC54" w14:textId="77777777" w:rsidR="006F712B" w:rsidRPr="00DE56D0" w:rsidRDefault="006F712B" w:rsidP="00DE56D0">
      <w:pPr>
        <w:spacing w:line="240" w:lineRule="auto"/>
      </w:pPr>
    </w:p>
    <w:p w14:paraId="3E1A707B" w14:textId="77777777" w:rsidR="005248BD" w:rsidRDefault="00FD14C3" w:rsidP="00FD14C3">
      <w:pPr>
        <w:pStyle w:val="Normlbehzs"/>
        <w:spacing w:after="0"/>
        <w:ind w:left="0"/>
        <w:rPr>
          <w:lang w:val="de-DE"/>
        </w:rPr>
      </w:pPr>
      <w:r w:rsidRPr="007753CF">
        <w:rPr>
          <w:lang w:val="de-DE"/>
        </w:rPr>
        <w:t xml:space="preserve">Wick Pharma, Zweigniederlassung der </w:t>
      </w:r>
      <w:r>
        <w:rPr>
          <w:lang w:val="de-DE"/>
        </w:rPr>
        <w:t>Procter &amp; Gamble</w:t>
      </w:r>
      <w:r w:rsidRPr="00FD14C3">
        <w:rPr>
          <w:lang w:val="de-DE"/>
        </w:rPr>
        <w:t xml:space="preserve"> </w:t>
      </w:r>
      <w:r w:rsidRPr="007753CF">
        <w:rPr>
          <w:lang w:val="de-DE"/>
        </w:rPr>
        <w:t xml:space="preserve">GmbH, </w:t>
      </w:r>
    </w:p>
    <w:p w14:paraId="175A00D8" w14:textId="77777777" w:rsidR="005248BD" w:rsidRDefault="00FD14C3" w:rsidP="00FD14C3">
      <w:pPr>
        <w:pStyle w:val="Normlbehzs"/>
        <w:spacing w:after="0"/>
        <w:ind w:left="0"/>
        <w:rPr>
          <w:lang w:val="de-DE"/>
        </w:rPr>
      </w:pPr>
      <w:r w:rsidRPr="007753CF">
        <w:rPr>
          <w:lang w:val="de-DE"/>
        </w:rPr>
        <w:t xml:space="preserve">Sulzbacher Str. 40-50, D-65824 Schwalbach am Taunus, </w:t>
      </w:r>
    </w:p>
    <w:p w14:paraId="72DF0FFE" w14:textId="77777777" w:rsidR="00FD14C3" w:rsidRPr="007753CF" w:rsidRDefault="00FD14C3" w:rsidP="00FD14C3">
      <w:pPr>
        <w:pStyle w:val="Normlbehzs"/>
        <w:spacing w:after="0"/>
        <w:ind w:left="0"/>
        <w:rPr>
          <w:lang w:val="de-DE"/>
        </w:rPr>
      </w:pPr>
      <w:r w:rsidRPr="00FD6B2F">
        <w:rPr>
          <w:lang w:val="de-DE"/>
        </w:rPr>
        <w:t>Németorszá</w:t>
      </w:r>
      <w:r>
        <w:rPr>
          <w:lang w:val="de-DE"/>
        </w:rPr>
        <w:t>g</w:t>
      </w:r>
    </w:p>
    <w:p w14:paraId="727585F2" w14:textId="77777777" w:rsidR="00FD14C3" w:rsidRPr="007753CF" w:rsidRDefault="00FD14C3" w:rsidP="00FD14C3">
      <w:pPr>
        <w:pStyle w:val="Normlbehzs"/>
        <w:spacing w:after="0"/>
        <w:ind w:left="0"/>
        <w:rPr>
          <w:lang w:val="de-DE"/>
        </w:rPr>
      </w:pPr>
    </w:p>
    <w:p w14:paraId="21A08CBA" w14:textId="77777777" w:rsidR="006F712B" w:rsidRPr="00DE56D0" w:rsidRDefault="006F712B" w:rsidP="00DE56D0">
      <w:pPr>
        <w:spacing w:line="240" w:lineRule="auto"/>
      </w:pPr>
    </w:p>
    <w:p w14:paraId="27438022" w14:textId="77777777" w:rsidR="006F712B" w:rsidRPr="00DE56D0" w:rsidRDefault="006F712B" w:rsidP="00DE56D0">
      <w:pPr>
        <w:spacing w:line="240" w:lineRule="auto"/>
        <w:rPr>
          <w:b/>
          <w:bCs/>
        </w:rPr>
      </w:pPr>
      <w:r w:rsidRPr="00DE56D0">
        <w:rPr>
          <w:b/>
          <w:bCs/>
        </w:rPr>
        <w:t>8.</w:t>
      </w:r>
      <w:r w:rsidRPr="00DE56D0">
        <w:rPr>
          <w:b/>
          <w:bCs/>
        </w:rPr>
        <w:tab/>
      </w:r>
      <w:r w:rsidRPr="00DE56D0">
        <w:rPr>
          <w:b/>
          <w:bCs/>
          <w:lang w:val="hu-HU"/>
        </w:rPr>
        <w:t>A FORGALOMBA HOZATALI ENGEDÉLY SZÁMA(I)</w:t>
      </w:r>
    </w:p>
    <w:p w14:paraId="6397538B" w14:textId="77777777" w:rsidR="006F712B" w:rsidRPr="00DE56D0" w:rsidRDefault="006F712B" w:rsidP="00DE56D0">
      <w:pPr>
        <w:numPr>
          <w:ilvl w:val="12"/>
          <w:numId w:val="0"/>
        </w:numPr>
        <w:tabs>
          <w:tab w:val="clear" w:pos="567"/>
        </w:tabs>
        <w:spacing w:line="240" w:lineRule="auto"/>
      </w:pPr>
    </w:p>
    <w:p w14:paraId="3F6CE85E" w14:textId="77777777" w:rsidR="00525D24" w:rsidRDefault="00525D24" w:rsidP="00DE56D0">
      <w:pPr>
        <w:spacing w:line="240" w:lineRule="auto"/>
      </w:pPr>
      <w:r>
        <w:t>OGYI-T-215</w:t>
      </w:r>
      <w:r w:rsidR="00FB0122">
        <w:t>96</w:t>
      </w:r>
      <w:r>
        <w:t>/01</w:t>
      </w:r>
      <w:r>
        <w:tab/>
      </w:r>
      <w:r>
        <w:tab/>
        <w:t>5x</w:t>
      </w:r>
    </w:p>
    <w:p w14:paraId="501B3511" w14:textId="77777777" w:rsidR="00525D24" w:rsidRDefault="00525D24" w:rsidP="00DE56D0">
      <w:pPr>
        <w:spacing w:line="240" w:lineRule="auto"/>
      </w:pPr>
      <w:r>
        <w:t>OGYI-T-215</w:t>
      </w:r>
      <w:r w:rsidR="00FB0122">
        <w:t>96</w:t>
      </w:r>
      <w:r>
        <w:t>/02</w:t>
      </w:r>
      <w:r>
        <w:tab/>
      </w:r>
      <w:r>
        <w:tab/>
        <w:t>10x</w:t>
      </w:r>
    </w:p>
    <w:p w14:paraId="3ECF9BA0" w14:textId="77777777" w:rsidR="006F712B" w:rsidRDefault="006F712B" w:rsidP="00DE56D0">
      <w:pPr>
        <w:spacing w:line="240" w:lineRule="auto"/>
      </w:pPr>
    </w:p>
    <w:p w14:paraId="3D9229C8" w14:textId="77777777" w:rsidR="000F45CF" w:rsidRPr="00DE56D0" w:rsidRDefault="000F45CF" w:rsidP="00DE56D0">
      <w:pPr>
        <w:spacing w:line="240" w:lineRule="auto"/>
      </w:pPr>
    </w:p>
    <w:p w14:paraId="2B59C3A3" w14:textId="77777777" w:rsidR="006F712B" w:rsidRPr="00DE56D0" w:rsidRDefault="006F712B" w:rsidP="00DE56D0">
      <w:pPr>
        <w:spacing w:line="240" w:lineRule="auto"/>
      </w:pPr>
      <w:r w:rsidRPr="00DE56D0">
        <w:rPr>
          <w:b/>
          <w:bCs/>
        </w:rPr>
        <w:t>9.</w:t>
      </w:r>
      <w:r w:rsidRPr="00DE56D0">
        <w:rPr>
          <w:b/>
          <w:bCs/>
        </w:rPr>
        <w:tab/>
      </w:r>
      <w:r w:rsidRPr="00DE56D0">
        <w:rPr>
          <w:b/>
          <w:bCs/>
          <w:lang w:val="hu-HU"/>
        </w:rPr>
        <w:t>A FORGALOMBA HOZATALI ENGEDÉLY ELSŐ KIADÁSÁNAK DÁTUMA</w:t>
      </w:r>
    </w:p>
    <w:p w14:paraId="2DB2FFDC" w14:textId="77777777" w:rsidR="00783D27" w:rsidRDefault="00783D27" w:rsidP="00DE56D0">
      <w:pPr>
        <w:spacing w:line="240" w:lineRule="auto"/>
        <w:rPr>
          <w:i/>
          <w:iCs/>
        </w:rPr>
      </w:pPr>
    </w:p>
    <w:p w14:paraId="470E64E0" w14:textId="77777777" w:rsidR="00783D27" w:rsidRDefault="00EB6448" w:rsidP="00DE56D0">
      <w:pPr>
        <w:spacing w:line="240" w:lineRule="auto"/>
        <w:rPr>
          <w:iCs/>
        </w:rPr>
      </w:pPr>
      <w:r w:rsidRPr="00AD72A5">
        <w:rPr>
          <w:noProof/>
          <w:snapToGrid/>
          <w:lang w:eastAsia="en-US"/>
        </w:rPr>
        <w:t>A forgalomba hozatali engedély első kiadásának dátuma:</w:t>
      </w:r>
      <w:r>
        <w:rPr>
          <w:noProof/>
          <w:snapToGrid/>
          <w:lang w:eastAsia="en-US"/>
        </w:rPr>
        <w:t xml:space="preserve"> </w:t>
      </w:r>
      <w:r w:rsidR="00525D24" w:rsidRPr="00525D24">
        <w:rPr>
          <w:iCs/>
        </w:rPr>
        <w:t>201</w:t>
      </w:r>
      <w:r w:rsidR="00C743F3">
        <w:rPr>
          <w:iCs/>
        </w:rPr>
        <w:t xml:space="preserve">1. január </w:t>
      </w:r>
      <w:r w:rsidR="00E91030">
        <w:rPr>
          <w:iCs/>
        </w:rPr>
        <w:t>6.</w:t>
      </w:r>
    </w:p>
    <w:p w14:paraId="0E40C9EF" w14:textId="77777777" w:rsidR="00EB6448" w:rsidRDefault="00EB6448" w:rsidP="00DE56D0">
      <w:pPr>
        <w:spacing w:line="240" w:lineRule="auto"/>
        <w:rPr>
          <w:noProof/>
          <w:snapToGrid/>
          <w:lang w:eastAsia="en-US"/>
        </w:rPr>
      </w:pPr>
    </w:p>
    <w:p w14:paraId="668F8028" w14:textId="77777777" w:rsidR="00EB6448" w:rsidRPr="00525D24" w:rsidRDefault="00EB6448" w:rsidP="00DE56D0">
      <w:pPr>
        <w:spacing w:line="240" w:lineRule="auto"/>
        <w:rPr>
          <w:iCs/>
        </w:rPr>
      </w:pPr>
      <w:r w:rsidRPr="00AD72A5">
        <w:rPr>
          <w:noProof/>
          <w:snapToGrid/>
          <w:lang w:eastAsia="en-US"/>
        </w:rPr>
        <w:t>A forgalomba hozatali engedély legutóbbi megújításának dátuma:</w:t>
      </w:r>
      <w:r>
        <w:rPr>
          <w:noProof/>
          <w:snapToGrid/>
          <w:lang w:eastAsia="en-US"/>
        </w:rPr>
        <w:t xml:space="preserve"> 2017. </w:t>
      </w:r>
      <w:r w:rsidR="00F80F6D">
        <w:rPr>
          <w:noProof/>
          <w:snapToGrid/>
          <w:lang w:eastAsia="en-US"/>
        </w:rPr>
        <w:t>szeptember 25.</w:t>
      </w:r>
    </w:p>
    <w:p w14:paraId="2A34706D" w14:textId="77777777" w:rsidR="00525D24" w:rsidRPr="00DE56D0" w:rsidRDefault="00525D24" w:rsidP="00DE56D0">
      <w:pPr>
        <w:spacing w:line="240" w:lineRule="auto"/>
        <w:rPr>
          <w:i/>
          <w:iCs/>
        </w:rPr>
      </w:pPr>
    </w:p>
    <w:p w14:paraId="38C9BCAC" w14:textId="77777777" w:rsidR="006F712B" w:rsidRPr="00DE56D0" w:rsidRDefault="006F712B" w:rsidP="003E3CEC">
      <w:pPr>
        <w:numPr>
          <w:ilvl w:val="12"/>
          <w:numId w:val="0"/>
        </w:numPr>
        <w:tabs>
          <w:tab w:val="clear" w:pos="567"/>
        </w:tabs>
        <w:spacing w:line="240" w:lineRule="auto"/>
      </w:pPr>
    </w:p>
    <w:p w14:paraId="2E57D95E" w14:textId="77777777" w:rsidR="006F712B" w:rsidRPr="00DE56D0" w:rsidRDefault="006F712B" w:rsidP="00DE56D0">
      <w:pPr>
        <w:spacing w:line="240" w:lineRule="auto"/>
        <w:rPr>
          <w:b/>
          <w:bCs/>
        </w:rPr>
      </w:pPr>
      <w:r w:rsidRPr="00DE56D0">
        <w:rPr>
          <w:b/>
          <w:bCs/>
        </w:rPr>
        <w:t>10.</w:t>
      </w:r>
      <w:r w:rsidRPr="00DE56D0">
        <w:rPr>
          <w:b/>
          <w:bCs/>
        </w:rPr>
        <w:tab/>
      </w:r>
      <w:r w:rsidRPr="00DE56D0">
        <w:rPr>
          <w:b/>
          <w:bCs/>
          <w:lang w:val="hu-HU"/>
        </w:rPr>
        <w:t>A SZÖVEG ELLENŐRZÉSÉNEK DÁTUMA</w:t>
      </w:r>
    </w:p>
    <w:p w14:paraId="7B3ABE8A" w14:textId="77777777" w:rsidR="00783D27" w:rsidRPr="00DE56D0" w:rsidRDefault="00783D27" w:rsidP="00DE56D0">
      <w:pPr>
        <w:spacing w:line="240" w:lineRule="auto"/>
      </w:pPr>
    </w:p>
    <w:p w14:paraId="17ACBAB5" w14:textId="235200D0" w:rsidR="006F712B" w:rsidRPr="00DE56D0" w:rsidRDefault="005C6DF5" w:rsidP="007154C3">
      <w:pPr>
        <w:numPr>
          <w:ilvl w:val="12"/>
          <w:numId w:val="0"/>
        </w:numPr>
        <w:tabs>
          <w:tab w:val="clear" w:pos="567"/>
        </w:tabs>
        <w:spacing w:line="240" w:lineRule="auto"/>
        <w:rPr>
          <w:noProof/>
        </w:rPr>
      </w:pPr>
      <w:r>
        <w:rPr>
          <w:noProof/>
        </w:rPr>
        <w:t>2026. március 12.</w:t>
      </w:r>
    </w:p>
    <w:sectPr w:rsidR="006F712B" w:rsidRPr="00DE56D0" w:rsidSect="00D00BFB">
      <w:headerReference w:type="even" r:id="rId11"/>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4A544" w14:textId="77777777" w:rsidR="00BE1DE7" w:rsidRDefault="00BE1DE7">
      <w:r>
        <w:separator/>
      </w:r>
    </w:p>
  </w:endnote>
  <w:endnote w:type="continuationSeparator" w:id="0">
    <w:p w14:paraId="50EF4928" w14:textId="77777777" w:rsidR="00BE1DE7" w:rsidRDefault="00BE1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altName w:val="Leelawadee UI"/>
    <w:panose1 w:val="02020603050405020304"/>
    <w:charset w:val="00"/>
    <w:family w:val="roman"/>
    <w:pitch w:val="variable"/>
    <w:sig w:usb0="00000000"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F4987" w14:textId="77777777" w:rsidR="003F57D1" w:rsidRDefault="003F57D1">
    <w:pPr>
      <w:pStyle w:val="llb"/>
      <w:tabs>
        <w:tab w:val="clear" w:pos="8930"/>
        <w:tab w:val="right" w:pos="8931"/>
      </w:tabs>
      <w:ind w:right="9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E129B" w14:textId="44463F9D" w:rsidR="00F1468A" w:rsidRDefault="002C1559">
    <w:pPr>
      <w:pStyle w:val="llb"/>
    </w:pPr>
    <w:r w:rsidRPr="002C1559">
      <w:rPr>
        <w:rFonts w:ascii="Times New Roman" w:hAnsi="Times New Roman" w:cs="Times New Roman"/>
        <w:sz w:val="18"/>
        <w:szCs w:val="18"/>
      </w:rPr>
      <w:t>NNGYK/ETGY/6233/2026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9092E" w14:textId="77777777" w:rsidR="00BE1DE7" w:rsidRDefault="00BE1DE7">
      <w:r>
        <w:separator/>
      </w:r>
    </w:p>
  </w:footnote>
  <w:footnote w:type="continuationSeparator" w:id="0">
    <w:p w14:paraId="57EEACB9" w14:textId="77777777" w:rsidR="00BE1DE7" w:rsidRDefault="00BE1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371A3" w14:textId="77777777" w:rsidR="003F57D1" w:rsidRDefault="003F57D1" w:rsidP="00B0752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EEB25BF" w14:textId="77777777" w:rsidR="003F57D1" w:rsidRDefault="003F57D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13290" w14:textId="0AAD89DD" w:rsidR="003F57D1" w:rsidRPr="00FD36B1" w:rsidRDefault="00E113B2" w:rsidP="00FD36B1">
    <w:pPr>
      <w:pStyle w:val="lfej"/>
      <w:jc w:val="center"/>
      <w:rPr>
        <w:rFonts w:ascii="Times New Roman" w:hAnsi="Times New Roman" w:cs="Times New Roman"/>
        <w:sz w:val="18"/>
        <w:szCs w:val="18"/>
      </w:rPr>
    </w:pPr>
    <w:r w:rsidRPr="00FD36B1">
      <w:rPr>
        <w:rFonts w:ascii="Times New Roman" w:hAnsi="Times New Roman" w:cs="Times New Roman"/>
        <w:sz w:val="18"/>
        <w:szCs w:val="18"/>
      </w:rPr>
      <w:fldChar w:fldCharType="begin"/>
    </w:r>
    <w:r w:rsidRPr="00FD36B1">
      <w:rPr>
        <w:rFonts w:ascii="Times New Roman" w:hAnsi="Times New Roman" w:cs="Times New Roman"/>
        <w:sz w:val="18"/>
        <w:szCs w:val="18"/>
      </w:rPr>
      <w:instrText>PAGE   \* MERGEFORMAT</w:instrText>
    </w:r>
    <w:r w:rsidRPr="00FD36B1">
      <w:rPr>
        <w:rFonts w:ascii="Times New Roman" w:hAnsi="Times New Roman" w:cs="Times New Roman"/>
        <w:sz w:val="18"/>
        <w:szCs w:val="18"/>
      </w:rPr>
      <w:fldChar w:fldCharType="separate"/>
    </w:r>
    <w:r w:rsidR="001202E3" w:rsidRPr="001202E3">
      <w:rPr>
        <w:rFonts w:ascii="Times New Roman" w:hAnsi="Times New Roman" w:cs="Times New Roman"/>
        <w:noProof/>
        <w:sz w:val="18"/>
        <w:szCs w:val="18"/>
        <w:lang w:val="hu-HU"/>
      </w:rPr>
      <w:t>7</w:t>
    </w:r>
    <w:r w:rsidRPr="00FD36B1">
      <w:rPr>
        <w:rFonts w:ascii="Times New Roman" w:hAnsi="Times New Roman" w:cs="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4590322"/>
    <w:multiLevelType w:val="multilevel"/>
    <w:tmpl w:val="A8F43FF2"/>
    <w:lvl w:ilvl="0">
      <w:start w:val="1"/>
      <w:numFmt w:val="decimal"/>
      <w:lvlText w:val="Figure: %1. "/>
      <w:lvlJc w:val="left"/>
      <w:pPr>
        <w:tabs>
          <w:tab w:val="num" w:pos="108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multilevel"/>
    <w:tmpl w:val="FFFFFFFF"/>
    <w:lvl w:ilvl="0">
      <w:start w:val="1"/>
      <w:numFmt w:val="bullet"/>
      <w:lvlText w:val=""/>
      <w:lvlJc w:val="left"/>
      <w:pPr>
        <w:ind w:left="283"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30628A"/>
    <w:multiLevelType w:val="hybridMultilevel"/>
    <w:tmpl w:val="160C2FD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Times New Roman" w:hAnsi="Times New Roman" w:cs="Times New Roman"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Times New Roman" w:hAnsi="Times New Roman" w:cs="Times New Roman"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15:restartNumberingAfterBreak="0">
    <w:nsid w:val="16B978CD"/>
    <w:multiLevelType w:val="multilevel"/>
    <w:tmpl w:val="31304CA6"/>
    <w:lvl w:ilvl="0">
      <w:start w:val="1"/>
      <w:numFmt w:val="decimal"/>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382990"/>
    <w:multiLevelType w:val="hybridMultilevel"/>
    <w:tmpl w:val="826023B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A37FC5"/>
    <w:multiLevelType w:val="multilevel"/>
    <w:tmpl w:val="FFFFFFFF"/>
    <w:lvl w:ilvl="0">
      <w:start w:val="1"/>
      <w:numFmt w:val="bullet"/>
      <w:lvlText w:val="-"/>
      <w:lvlJc w:val="left"/>
      <w:pPr>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6A6724C"/>
    <w:multiLevelType w:val="multilevel"/>
    <w:tmpl w:val="88EA03D4"/>
    <w:lvl w:ilvl="0">
      <w:start w:val="4"/>
      <w:numFmt w:val="decimal"/>
      <w:lvlText w:val="%1"/>
      <w:lvlJc w:val="left"/>
      <w:pPr>
        <w:tabs>
          <w:tab w:val="num" w:pos="570"/>
        </w:tabs>
        <w:ind w:left="570" w:hanging="570"/>
      </w:pPr>
      <w:rPr>
        <w:rFonts w:hint="default"/>
      </w:rPr>
    </w:lvl>
    <w:lvl w:ilvl="1">
      <w:start w:val="6"/>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D6A6707"/>
    <w:multiLevelType w:val="multilevel"/>
    <w:tmpl w:val="08090001"/>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5" w15:restartNumberingAfterBreak="0">
    <w:nsid w:val="2EE53610"/>
    <w:multiLevelType w:val="multilevel"/>
    <w:tmpl w:val="A2B8F0DC"/>
    <w:lvl w:ilvl="0">
      <w:start w:val="1"/>
      <w:numFmt w:val="upperLetter"/>
      <w:lvlText w:val="%1."/>
      <w:lvlJc w:val="left"/>
      <w:pPr>
        <w:ind w:left="149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 w15:restartNumberingAfterBreak="0">
    <w:nsid w:val="32E069A8"/>
    <w:multiLevelType w:val="hybridMultilevel"/>
    <w:tmpl w:val="4338086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Times New Roman" w:hAnsi="Times New Roman" w:cs="Times New Roman"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Times New Roman" w:hAnsi="Times New Roman" w:cs="Times New Roman"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1" w15:restartNumberingAfterBreak="0">
    <w:nsid w:val="3796368B"/>
    <w:multiLevelType w:val="hybridMultilevel"/>
    <w:tmpl w:val="3FFE838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94E277A"/>
    <w:multiLevelType w:val="hybridMultilevel"/>
    <w:tmpl w:val="FD88E11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Times New Roman" w:hAnsi="Times New Roman" w:cs="Times New Roman"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Times New Roman" w:hAnsi="Times New Roman" w:cs="Times New Roman"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 w15:restartNumberingAfterBreak="0">
    <w:nsid w:val="42A1508A"/>
    <w:multiLevelType w:val="hybridMultilevel"/>
    <w:tmpl w:val="103C2DD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Times New Roman" w:hAnsi="Times New Roman" w:cs="Times New Roman"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Times New Roman" w:hAnsi="Times New Roman" w:cs="Times New Roman"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 w15:restartNumberingAfterBreak="0">
    <w:nsid w:val="4A810019"/>
    <w:multiLevelType w:val="multilevel"/>
    <w:tmpl w:val="FFFFFFFF"/>
    <w:lvl w:ilvl="0">
      <w:start w:val="1"/>
      <w:numFmt w:val="bullet"/>
      <w:lvlText w:val="-"/>
      <w:lvlJc w:val="left"/>
      <w:pPr>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F1510A6"/>
    <w:multiLevelType w:val="hybridMultilevel"/>
    <w:tmpl w:val="DC7648D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60C4365"/>
    <w:multiLevelType w:val="multilevel"/>
    <w:tmpl w:val="FFFFFFFF"/>
    <w:lvl w:ilvl="0">
      <w:start w:val="1"/>
      <w:numFmt w:val="bullet"/>
      <w:lvlText w:val="-"/>
      <w:lvlJc w:val="left"/>
      <w:pPr>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0" w15:restartNumberingAfterBreak="0">
    <w:nsid w:val="58841469"/>
    <w:multiLevelType w:val="hybridMultilevel"/>
    <w:tmpl w:val="00921CD6"/>
    <w:lvl w:ilvl="0" w:tplc="B18CBFE4">
      <w:start w:val="4"/>
      <w:numFmt w:val="decimal"/>
      <w:lvlText w:val="%1."/>
      <w:lvlJc w:val="left"/>
      <w:pPr>
        <w:tabs>
          <w:tab w:val="num" w:pos="1140"/>
        </w:tabs>
        <w:ind w:left="1140" w:hanging="420"/>
      </w:pPr>
      <w:rPr>
        <w:rFonts w:hint="default"/>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1" w15:restartNumberingAfterBreak="0">
    <w:nsid w:val="58B56C73"/>
    <w:multiLevelType w:val="hybridMultilevel"/>
    <w:tmpl w:val="1C820088"/>
    <w:lvl w:ilvl="0" w:tplc="EF94C522">
      <w:start w:val="2"/>
      <w:numFmt w:val="decimal"/>
      <w:lvlText w:val="%1."/>
      <w:lvlJc w:val="left"/>
      <w:pPr>
        <w:tabs>
          <w:tab w:val="num" w:pos="570"/>
        </w:tabs>
        <w:ind w:left="570" w:hanging="570"/>
      </w:pPr>
      <w:rPr>
        <w:rFonts w:hint="default"/>
      </w:rPr>
    </w:lvl>
    <w:lvl w:ilvl="1" w:tplc="08090001">
      <w:start w:val="1"/>
      <w:numFmt w:val="bullet"/>
      <w:lvlText w:val=""/>
      <w:lvlJc w:val="left"/>
      <w:pPr>
        <w:tabs>
          <w:tab w:val="num" w:pos="1080"/>
        </w:tabs>
        <w:ind w:left="1080" w:hanging="360"/>
      </w:pPr>
      <w:rPr>
        <w:rFonts w:ascii="Symbol" w:hAnsi="Symbol" w:cs="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15:restartNumberingAfterBreak="0">
    <w:nsid w:val="5B45364D"/>
    <w:multiLevelType w:val="multilevel"/>
    <w:tmpl w:val="CDFCF48C"/>
    <w:lvl w:ilvl="0">
      <w:start w:val="8"/>
      <w:numFmt w:val="decimal"/>
      <w:lvlText w:val="%1."/>
      <w:lvlJc w:val="left"/>
      <w:pPr>
        <w:tabs>
          <w:tab w:val="num" w:pos="570"/>
        </w:tabs>
        <w:ind w:left="570" w:hanging="570"/>
      </w:pPr>
      <w:rPr>
        <w:rFonts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4"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35"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start w:val="1"/>
      <w:numFmt w:val="lowerLetter"/>
      <w:lvlText w:val="%2."/>
      <w:lvlJc w:val="left"/>
      <w:pPr>
        <w:tabs>
          <w:tab w:val="num" w:pos="2073"/>
        </w:tabs>
        <w:ind w:left="2073" w:hanging="360"/>
      </w:pPr>
    </w:lvl>
    <w:lvl w:ilvl="2" w:tplc="0409001B">
      <w:start w:val="1"/>
      <w:numFmt w:val="lowerRoman"/>
      <w:lvlText w:val="%3."/>
      <w:lvlJc w:val="right"/>
      <w:pPr>
        <w:tabs>
          <w:tab w:val="num" w:pos="2793"/>
        </w:tabs>
        <w:ind w:left="2793" w:hanging="180"/>
      </w:pPr>
    </w:lvl>
    <w:lvl w:ilvl="3" w:tplc="0409000F">
      <w:start w:val="1"/>
      <w:numFmt w:val="decimal"/>
      <w:lvlText w:val="%4."/>
      <w:lvlJc w:val="left"/>
      <w:pPr>
        <w:tabs>
          <w:tab w:val="num" w:pos="3513"/>
        </w:tabs>
        <w:ind w:left="3513" w:hanging="360"/>
      </w:pPr>
    </w:lvl>
    <w:lvl w:ilvl="4" w:tplc="04090019">
      <w:start w:val="1"/>
      <w:numFmt w:val="lowerLetter"/>
      <w:lvlText w:val="%5."/>
      <w:lvlJc w:val="left"/>
      <w:pPr>
        <w:tabs>
          <w:tab w:val="num" w:pos="4233"/>
        </w:tabs>
        <w:ind w:left="4233" w:hanging="360"/>
      </w:pPr>
    </w:lvl>
    <w:lvl w:ilvl="5" w:tplc="0409001B">
      <w:start w:val="1"/>
      <w:numFmt w:val="lowerRoman"/>
      <w:lvlText w:val="%6."/>
      <w:lvlJc w:val="right"/>
      <w:pPr>
        <w:tabs>
          <w:tab w:val="num" w:pos="4953"/>
        </w:tabs>
        <w:ind w:left="4953" w:hanging="180"/>
      </w:pPr>
    </w:lvl>
    <w:lvl w:ilvl="6" w:tplc="0409000F">
      <w:start w:val="1"/>
      <w:numFmt w:val="decimal"/>
      <w:lvlText w:val="%7."/>
      <w:lvlJc w:val="left"/>
      <w:pPr>
        <w:tabs>
          <w:tab w:val="num" w:pos="5673"/>
        </w:tabs>
        <w:ind w:left="5673" w:hanging="360"/>
      </w:pPr>
    </w:lvl>
    <w:lvl w:ilvl="7" w:tplc="04090019">
      <w:start w:val="1"/>
      <w:numFmt w:val="lowerLetter"/>
      <w:lvlText w:val="%8."/>
      <w:lvlJc w:val="left"/>
      <w:pPr>
        <w:tabs>
          <w:tab w:val="num" w:pos="6393"/>
        </w:tabs>
        <w:ind w:left="6393" w:hanging="360"/>
      </w:pPr>
    </w:lvl>
    <w:lvl w:ilvl="8" w:tplc="0409001B">
      <w:start w:val="1"/>
      <w:numFmt w:val="lowerRoman"/>
      <w:lvlText w:val="%9."/>
      <w:lvlJc w:val="right"/>
      <w:pPr>
        <w:tabs>
          <w:tab w:val="num" w:pos="7113"/>
        </w:tabs>
        <w:ind w:left="7113" w:hanging="180"/>
      </w:pPr>
    </w:lvl>
  </w:abstractNum>
  <w:abstractNum w:abstractNumId="36"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15:restartNumberingAfterBreak="0">
    <w:nsid w:val="658C02A1"/>
    <w:multiLevelType w:val="multilevel"/>
    <w:tmpl w:val="E7D22186"/>
    <w:lvl w:ilvl="0">
      <w:start w:val="1"/>
      <w:numFmt w:val="upperRoman"/>
      <w:lvlText w:val="%1."/>
      <w:lvlJc w:val="left"/>
      <w:pPr>
        <w:tabs>
          <w:tab w:val="num" w:pos="72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8247730"/>
    <w:multiLevelType w:val="multilevel"/>
    <w:tmpl w:val="6096C72A"/>
    <w:lvl w:ilvl="0">
      <w:start w:val="5"/>
      <w:numFmt w:val="decimal"/>
      <w:lvlText w:val="%1."/>
      <w:lvlJc w:val="left"/>
      <w:pPr>
        <w:tabs>
          <w:tab w:val="num" w:pos="570"/>
        </w:tabs>
        <w:ind w:left="570" w:hanging="57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6BEB7447"/>
    <w:multiLevelType w:val="multilevel"/>
    <w:tmpl w:val="FFFFFFFF"/>
    <w:lvl w:ilvl="0">
      <w:start w:val="1"/>
      <w:numFmt w:val="bullet"/>
      <w:lvlText w:val=""/>
      <w:lvlJc w:val="left"/>
      <w:pPr>
        <w:ind w:left="283" w:hanging="283"/>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D941758"/>
    <w:multiLevelType w:val="multilevel"/>
    <w:tmpl w:val="98907B74"/>
    <w:lvl w:ilvl="0">
      <w:start w:val="1"/>
      <w:numFmt w:val="decimal"/>
      <w:lvlText w:val="%1."/>
      <w:lvlJc w:val="left"/>
      <w:pPr>
        <w:tabs>
          <w:tab w:val="num" w:pos="360"/>
        </w:tabs>
        <w:ind w:left="360" w:hanging="360"/>
      </w:pPr>
      <w:rPr>
        <w:rFonts w:hint="default"/>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3" w15:restartNumberingAfterBreak="0">
    <w:nsid w:val="72352945"/>
    <w:multiLevelType w:val="multilevel"/>
    <w:tmpl w:val="DC763B60"/>
    <w:lvl w:ilvl="0">
      <w:start w:val="3"/>
      <w:numFmt w:val="decimal"/>
      <w:lvlText w:val="%1"/>
      <w:lvlJc w:val="left"/>
      <w:pPr>
        <w:tabs>
          <w:tab w:val="num" w:pos="420"/>
        </w:tabs>
        <w:ind w:left="420" w:hanging="420"/>
      </w:pPr>
      <w:rPr>
        <w:rFonts w:hint="default"/>
        <w:b/>
        <w:bCs/>
      </w:rPr>
    </w:lvl>
    <w:lvl w:ilvl="1">
      <w:start w:val="4"/>
      <w:numFmt w:val="decimal"/>
      <w:lvlText w:val="%1.%2"/>
      <w:lvlJc w:val="left"/>
      <w:pPr>
        <w:tabs>
          <w:tab w:val="num" w:pos="708"/>
        </w:tabs>
        <w:ind w:left="708" w:hanging="420"/>
      </w:pPr>
      <w:rPr>
        <w:rFonts w:hint="default"/>
        <w:b/>
        <w:bCs/>
      </w:rPr>
    </w:lvl>
    <w:lvl w:ilvl="2">
      <w:start w:val="1"/>
      <w:numFmt w:val="decimal"/>
      <w:lvlText w:val="%1.%2.%3"/>
      <w:lvlJc w:val="left"/>
      <w:pPr>
        <w:tabs>
          <w:tab w:val="num" w:pos="1296"/>
        </w:tabs>
        <w:ind w:left="1296" w:hanging="720"/>
      </w:pPr>
      <w:rPr>
        <w:rFonts w:hint="default"/>
        <w:b/>
        <w:bCs/>
      </w:rPr>
    </w:lvl>
    <w:lvl w:ilvl="3">
      <w:start w:val="1"/>
      <w:numFmt w:val="decimal"/>
      <w:lvlText w:val="%1.%2.%3.%4"/>
      <w:lvlJc w:val="left"/>
      <w:pPr>
        <w:tabs>
          <w:tab w:val="num" w:pos="1584"/>
        </w:tabs>
        <w:ind w:left="1584" w:hanging="720"/>
      </w:pPr>
      <w:rPr>
        <w:rFonts w:hint="default"/>
        <w:b/>
        <w:bCs/>
      </w:rPr>
    </w:lvl>
    <w:lvl w:ilvl="4">
      <w:start w:val="1"/>
      <w:numFmt w:val="decimal"/>
      <w:lvlText w:val="%1.%2.%3.%4.%5"/>
      <w:lvlJc w:val="left"/>
      <w:pPr>
        <w:tabs>
          <w:tab w:val="num" w:pos="2232"/>
        </w:tabs>
        <w:ind w:left="2232" w:hanging="1080"/>
      </w:pPr>
      <w:rPr>
        <w:rFonts w:hint="default"/>
        <w:b/>
        <w:bCs/>
      </w:rPr>
    </w:lvl>
    <w:lvl w:ilvl="5">
      <w:start w:val="1"/>
      <w:numFmt w:val="decimal"/>
      <w:lvlText w:val="%1.%2.%3.%4.%5.%6"/>
      <w:lvlJc w:val="left"/>
      <w:pPr>
        <w:tabs>
          <w:tab w:val="num" w:pos="2520"/>
        </w:tabs>
        <w:ind w:left="2520" w:hanging="1080"/>
      </w:pPr>
      <w:rPr>
        <w:rFonts w:hint="default"/>
        <w:b/>
        <w:bCs/>
      </w:rPr>
    </w:lvl>
    <w:lvl w:ilvl="6">
      <w:start w:val="1"/>
      <w:numFmt w:val="decimal"/>
      <w:lvlText w:val="%1.%2.%3.%4.%5.%6.%7"/>
      <w:lvlJc w:val="left"/>
      <w:pPr>
        <w:tabs>
          <w:tab w:val="num" w:pos="3168"/>
        </w:tabs>
        <w:ind w:left="3168" w:hanging="1440"/>
      </w:pPr>
      <w:rPr>
        <w:rFonts w:hint="default"/>
        <w:b/>
        <w:bCs/>
      </w:rPr>
    </w:lvl>
    <w:lvl w:ilvl="7">
      <w:start w:val="1"/>
      <w:numFmt w:val="decimal"/>
      <w:lvlText w:val="%1.%2.%3.%4.%5.%6.%7.%8"/>
      <w:lvlJc w:val="left"/>
      <w:pPr>
        <w:tabs>
          <w:tab w:val="num" w:pos="3456"/>
        </w:tabs>
        <w:ind w:left="3456" w:hanging="1440"/>
      </w:pPr>
      <w:rPr>
        <w:rFonts w:hint="default"/>
        <w:b/>
        <w:bCs/>
      </w:rPr>
    </w:lvl>
    <w:lvl w:ilvl="8">
      <w:start w:val="1"/>
      <w:numFmt w:val="decimal"/>
      <w:lvlText w:val="%1.%2.%3.%4.%5.%6.%7.%8.%9"/>
      <w:lvlJc w:val="left"/>
      <w:pPr>
        <w:tabs>
          <w:tab w:val="num" w:pos="4104"/>
        </w:tabs>
        <w:ind w:left="4104" w:hanging="1800"/>
      </w:pPr>
      <w:rPr>
        <w:rFonts w:hint="default"/>
        <w:b/>
        <w:bCs/>
      </w:rPr>
    </w:lvl>
  </w:abstractNum>
  <w:num w:numId="1">
    <w:abstractNumId w:val="0"/>
    <w:lvlOverride w:ilvl="0">
      <w:lvl w:ilvl="0">
        <w:start w:val="1"/>
        <w:numFmt w:val="bullet"/>
        <w:lvlText w:val="-"/>
        <w:lvlJc w:val="left"/>
        <w:pPr>
          <w:ind w:left="360" w:hanging="360"/>
        </w:pPr>
      </w:lvl>
    </w:lvlOverride>
  </w:num>
  <w:num w:numId="2">
    <w:abstractNumId w:val="0"/>
    <w:lvlOverride w:ilvl="0">
      <w:lvl w:ilvl="0">
        <w:start w:val="1"/>
        <w:numFmt w:val="bullet"/>
        <w:lvlText w:val=""/>
        <w:lvlJc w:val="left"/>
        <w:pPr>
          <w:ind w:left="360" w:hanging="360"/>
        </w:pPr>
        <w:rPr>
          <w:rFonts w:ascii="Symbol" w:hAnsi="Symbol" w:cs="Symbol" w:hint="default"/>
        </w:rPr>
      </w:lvl>
    </w:lvlOverride>
  </w:num>
  <w:num w:numId="3">
    <w:abstractNumId w:val="41"/>
  </w:num>
  <w:num w:numId="4">
    <w:abstractNumId w:val="40"/>
  </w:num>
  <w:num w:numId="5">
    <w:abstractNumId w:val="13"/>
  </w:num>
  <w:num w:numId="6">
    <w:abstractNumId w:val="28"/>
  </w:num>
  <w:num w:numId="7">
    <w:abstractNumId w:val="26"/>
  </w:num>
  <w:num w:numId="8">
    <w:abstractNumId w:val="8"/>
  </w:num>
  <w:num w:numId="9">
    <w:abstractNumId w:val="38"/>
  </w:num>
  <w:num w:numId="10">
    <w:abstractNumId w:val="39"/>
  </w:num>
  <w:num w:numId="11">
    <w:abstractNumId w:val="19"/>
  </w:num>
  <w:num w:numId="12">
    <w:abstractNumId w:val="15"/>
  </w:num>
  <w:num w:numId="13">
    <w:abstractNumId w:val="2"/>
  </w:num>
  <w:num w:numId="14">
    <w:abstractNumId w:val="37"/>
  </w:num>
  <w:num w:numId="15">
    <w:abstractNumId w:val="24"/>
  </w:num>
  <w:num w:numId="16">
    <w:abstractNumId w:val="42"/>
  </w:num>
  <w:num w:numId="17">
    <w:abstractNumId w:val="9"/>
  </w:num>
  <w:num w:numId="18">
    <w:abstractNumId w:val="1"/>
  </w:num>
  <w:num w:numId="19">
    <w:abstractNumId w:val="20"/>
  </w:num>
  <w:num w:numId="20">
    <w:abstractNumId w:val="3"/>
  </w:num>
  <w:num w:numId="21">
    <w:abstractNumId w:val="6"/>
  </w:num>
  <w:num w:numId="22">
    <w:abstractNumId w:val="32"/>
  </w:num>
  <w:num w:numId="23">
    <w:abstractNumId w:val="36"/>
  </w:num>
  <w:num w:numId="24">
    <w:abstractNumId w:val="31"/>
  </w:num>
  <w:num w:numId="25">
    <w:abstractNumId w:val="14"/>
  </w:num>
  <w:num w:numId="26">
    <w:abstractNumId w:val="11"/>
  </w:num>
  <w:num w:numId="27">
    <w:abstractNumId w:val="25"/>
  </w:num>
  <w:num w:numId="28">
    <w:abstractNumId w:val="29"/>
  </w:num>
  <w:num w:numId="29">
    <w:abstractNumId w:val="16"/>
  </w:num>
  <w:num w:numId="30">
    <w:abstractNumId w:val="10"/>
  </w:num>
  <w:num w:numId="31">
    <w:abstractNumId w:val="34"/>
  </w:num>
  <w:num w:numId="32">
    <w:abstractNumId w:val="35"/>
  </w:num>
  <w:num w:numId="33">
    <w:abstractNumId w:val="33"/>
  </w:num>
  <w:num w:numId="34">
    <w:abstractNumId w:val="18"/>
  </w:num>
  <w:num w:numId="35">
    <w:abstractNumId w:val="4"/>
  </w:num>
  <w:num w:numId="36">
    <w:abstractNumId w:val="43"/>
  </w:num>
  <w:num w:numId="37">
    <w:abstractNumId w:val="5"/>
  </w:num>
  <w:num w:numId="38">
    <w:abstractNumId w:val="22"/>
  </w:num>
  <w:num w:numId="39">
    <w:abstractNumId w:val="30"/>
  </w:num>
  <w:num w:numId="40">
    <w:abstractNumId w:val="12"/>
  </w:num>
  <w:num w:numId="41">
    <w:abstractNumId w:val="17"/>
  </w:num>
  <w:num w:numId="42">
    <w:abstractNumId w:val="23"/>
  </w:num>
  <w:num w:numId="43">
    <w:abstractNumId w:val="0"/>
    <w:lvlOverride w:ilvl="0">
      <w:lvl w:ilvl="0">
        <w:start w:val="1"/>
        <w:numFmt w:val="bullet"/>
        <w:lvlText w:val="-"/>
        <w:lvlJc w:val="left"/>
        <w:pPr>
          <w:ind w:left="360" w:hanging="360"/>
        </w:pPr>
      </w:lvl>
    </w:lvlOverride>
  </w:num>
  <w:num w:numId="44">
    <w:abstractNumId w:val="7"/>
  </w:num>
  <w:num w:numId="45">
    <w:abstractNumId w:val="27"/>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GB" w:vendorID="64" w:dllVersion="131078" w:nlCheck="1" w:checkStyle="1"/>
  <w:activeWritingStyle w:appName="MSWord" w:lang="de-DE"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ault_nd_45b4a0d8-56ee-4313-bce9-0a22aa227fa2" w:val=" "/>
    <w:docVar w:name="Version" w:val="0"/>
  </w:docVars>
  <w:rsids>
    <w:rsidRoot w:val="003B678B"/>
    <w:rsid w:val="00001BCA"/>
    <w:rsid w:val="00003DA0"/>
    <w:rsid w:val="00005845"/>
    <w:rsid w:val="00010BC6"/>
    <w:rsid w:val="00013221"/>
    <w:rsid w:val="00017C97"/>
    <w:rsid w:val="00023237"/>
    <w:rsid w:val="000247D2"/>
    <w:rsid w:val="00026D1B"/>
    <w:rsid w:val="00030C8A"/>
    <w:rsid w:val="00032AFB"/>
    <w:rsid w:val="00032CA5"/>
    <w:rsid w:val="00035BFC"/>
    <w:rsid w:val="00037DE9"/>
    <w:rsid w:val="0006367D"/>
    <w:rsid w:val="000642AD"/>
    <w:rsid w:val="00065D02"/>
    <w:rsid w:val="000716F6"/>
    <w:rsid w:val="00075C55"/>
    <w:rsid w:val="000813B3"/>
    <w:rsid w:val="00082ACE"/>
    <w:rsid w:val="00085955"/>
    <w:rsid w:val="00086112"/>
    <w:rsid w:val="00087945"/>
    <w:rsid w:val="000B75AD"/>
    <w:rsid w:val="000D10CA"/>
    <w:rsid w:val="000E40CA"/>
    <w:rsid w:val="000F1550"/>
    <w:rsid w:val="000F385E"/>
    <w:rsid w:val="000F3AA4"/>
    <w:rsid w:val="000F45CF"/>
    <w:rsid w:val="000F673B"/>
    <w:rsid w:val="00100627"/>
    <w:rsid w:val="00116649"/>
    <w:rsid w:val="0011693D"/>
    <w:rsid w:val="001202E3"/>
    <w:rsid w:val="00121378"/>
    <w:rsid w:val="0012469B"/>
    <w:rsid w:val="00127216"/>
    <w:rsid w:val="00131C01"/>
    <w:rsid w:val="00140E67"/>
    <w:rsid w:val="00142AB5"/>
    <w:rsid w:val="00160AD0"/>
    <w:rsid w:val="00166C99"/>
    <w:rsid w:val="0017107E"/>
    <w:rsid w:val="00177200"/>
    <w:rsid w:val="00177D1E"/>
    <w:rsid w:val="00177D88"/>
    <w:rsid w:val="00181984"/>
    <w:rsid w:val="00186CE8"/>
    <w:rsid w:val="00191A59"/>
    <w:rsid w:val="00192B72"/>
    <w:rsid w:val="00194D52"/>
    <w:rsid w:val="001A010E"/>
    <w:rsid w:val="001A1082"/>
    <w:rsid w:val="001A19BB"/>
    <w:rsid w:val="001A54C1"/>
    <w:rsid w:val="001B628A"/>
    <w:rsid w:val="001B6C13"/>
    <w:rsid w:val="001D467F"/>
    <w:rsid w:val="001D4A7A"/>
    <w:rsid w:val="001E6988"/>
    <w:rsid w:val="001F286C"/>
    <w:rsid w:val="001F464D"/>
    <w:rsid w:val="001F6234"/>
    <w:rsid w:val="001F7CBA"/>
    <w:rsid w:val="00202820"/>
    <w:rsid w:val="0020390B"/>
    <w:rsid w:val="002136BC"/>
    <w:rsid w:val="00217E31"/>
    <w:rsid w:val="00226977"/>
    <w:rsid w:val="00230831"/>
    <w:rsid w:val="002329CD"/>
    <w:rsid w:val="00233C63"/>
    <w:rsid w:val="00242D77"/>
    <w:rsid w:val="002719A9"/>
    <w:rsid w:val="00273303"/>
    <w:rsid w:val="00277EC7"/>
    <w:rsid w:val="002803EB"/>
    <w:rsid w:val="002837A0"/>
    <w:rsid w:val="00286B2F"/>
    <w:rsid w:val="00291483"/>
    <w:rsid w:val="0029372A"/>
    <w:rsid w:val="00293AF8"/>
    <w:rsid w:val="002A219A"/>
    <w:rsid w:val="002B7A13"/>
    <w:rsid w:val="002C1559"/>
    <w:rsid w:val="002C410A"/>
    <w:rsid w:val="002C4161"/>
    <w:rsid w:val="002D628C"/>
    <w:rsid w:val="002D73DF"/>
    <w:rsid w:val="002D761A"/>
    <w:rsid w:val="002E5BB7"/>
    <w:rsid w:val="002E5E56"/>
    <w:rsid w:val="002F0AE4"/>
    <w:rsid w:val="002F55DD"/>
    <w:rsid w:val="002F661D"/>
    <w:rsid w:val="00303DC5"/>
    <w:rsid w:val="00304D6D"/>
    <w:rsid w:val="00311FA2"/>
    <w:rsid w:val="00321C27"/>
    <w:rsid w:val="00327E06"/>
    <w:rsid w:val="00332D79"/>
    <w:rsid w:val="00334BA1"/>
    <w:rsid w:val="00343F43"/>
    <w:rsid w:val="0035081F"/>
    <w:rsid w:val="00366B91"/>
    <w:rsid w:val="00367B84"/>
    <w:rsid w:val="00377929"/>
    <w:rsid w:val="0038419A"/>
    <w:rsid w:val="003916CB"/>
    <w:rsid w:val="003A0D6C"/>
    <w:rsid w:val="003A532B"/>
    <w:rsid w:val="003B678B"/>
    <w:rsid w:val="003C2D18"/>
    <w:rsid w:val="003C35F3"/>
    <w:rsid w:val="003C5C59"/>
    <w:rsid w:val="003D53A9"/>
    <w:rsid w:val="003D57A6"/>
    <w:rsid w:val="003D6F25"/>
    <w:rsid w:val="003E3CEC"/>
    <w:rsid w:val="003E5619"/>
    <w:rsid w:val="003E6705"/>
    <w:rsid w:val="003F57D1"/>
    <w:rsid w:val="00406011"/>
    <w:rsid w:val="00413143"/>
    <w:rsid w:val="004166E4"/>
    <w:rsid w:val="00426C87"/>
    <w:rsid w:val="004319F5"/>
    <w:rsid w:val="00432793"/>
    <w:rsid w:val="00445E4D"/>
    <w:rsid w:val="0046471C"/>
    <w:rsid w:val="00472CE4"/>
    <w:rsid w:val="00493FE0"/>
    <w:rsid w:val="00495776"/>
    <w:rsid w:val="004A4C0E"/>
    <w:rsid w:val="004B2EB6"/>
    <w:rsid w:val="004C248A"/>
    <w:rsid w:val="004C3CDD"/>
    <w:rsid w:val="005010D3"/>
    <w:rsid w:val="00502118"/>
    <w:rsid w:val="00507857"/>
    <w:rsid w:val="00510ECD"/>
    <w:rsid w:val="005155A7"/>
    <w:rsid w:val="0051640C"/>
    <w:rsid w:val="00521F8E"/>
    <w:rsid w:val="005248BD"/>
    <w:rsid w:val="00525D24"/>
    <w:rsid w:val="00532963"/>
    <w:rsid w:val="00542C99"/>
    <w:rsid w:val="00544003"/>
    <w:rsid w:val="00552D1C"/>
    <w:rsid w:val="0055508A"/>
    <w:rsid w:val="00557214"/>
    <w:rsid w:val="005622D6"/>
    <w:rsid w:val="00563686"/>
    <w:rsid w:val="005842F9"/>
    <w:rsid w:val="00587049"/>
    <w:rsid w:val="00591C1A"/>
    <w:rsid w:val="00595800"/>
    <w:rsid w:val="005958B4"/>
    <w:rsid w:val="00596CEF"/>
    <w:rsid w:val="005A60BA"/>
    <w:rsid w:val="005A61E1"/>
    <w:rsid w:val="005C0D92"/>
    <w:rsid w:val="005C6DF5"/>
    <w:rsid w:val="005C6F9C"/>
    <w:rsid w:val="005D48F3"/>
    <w:rsid w:val="006032EB"/>
    <w:rsid w:val="006162F0"/>
    <w:rsid w:val="00620AC3"/>
    <w:rsid w:val="0062665B"/>
    <w:rsid w:val="0063393C"/>
    <w:rsid w:val="00634553"/>
    <w:rsid w:val="00635750"/>
    <w:rsid w:val="006373E0"/>
    <w:rsid w:val="00637F44"/>
    <w:rsid w:val="00640862"/>
    <w:rsid w:val="0064775A"/>
    <w:rsid w:val="006556B2"/>
    <w:rsid w:val="00663D68"/>
    <w:rsid w:val="0066549C"/>
    <w:rsid w:val="00666BBF"/>
    <w:rsid w:val="00671DBA"/>
    <w:rsid w:val="00674332"/>
    <w:rsid w:val="0067631E"/>
    <w:rsid w:val="00680DEC"/>
    <w:rsid w:val="00685D78"/>
    <w:rsid w:val="00693B78"/>
    <w:rsid w:val="00697218"/>
    <w:rsid w:val="006A7458"/>
    <w:rsid w:val="006B55D4"/>
    <w:rsid w:val="006D1479"/>
    <w:rsid w:val="006D3FB9"/>
    <w:rsid w:val="006D7096"/>
    <w:rsid w:val="006F4B6B"/>
    <w:rsid w:val="006F4C16"/>
    <w:rsid w:val="006F6F12"/>
    <w:rsid w:val="006F712B"/>
    <w:rsid w:val="00704B17"/>
    <w:rsid w:val="00704E62"/>
    <w:rsid w:val="0071490B"/>
    <w:rsid w:val="00714BB8"/>
    <w:rsid w:val="007154B2"/>
    <w:rsid w:val="007154C3"/>
    <w:rsid w:val="00717BDE"/>
    <w:rsid w:val="007301B8"/>
    <w:rsid w:val="0074095D"/>
    <w:rsid w:val="007423C4"/>
    <w:rsid w:val="007428B5"/>
    <w:rsid w:val="007440B1"/>
    <w:rsid w:val="007449E0"/>
    <w:rsid w:val="00744EF8"/>
    <w:rsid w:val="00747E2A"/>
    <w:rsid w:val="007630E0"/>
    <w:rsid w:val="00763349"/>
    <w:rsid w:val="00780C05"/>
    <w:rsid w:val="00783D27"/>
    <w:rsid w:val="00796A8C"/>
    <w:rsid w:val="007A36C0"/>
    <w:rsid w:val="007B1842"/>
    <w:rsid w:val="007C04A5"/>
    <w:rsid w:val="007C3957"/>
    <w:rsid w:val="007C58DA"/>
    <w:rsid w:val="007E546A"/>
    <w:rsid w:val="007E5C31"/>
    <w:rsid w:val="0080356D"/>
    <w:rsid w:val="008102DB"/>
    <w:rsid w:val="00811081"/>
    <w:rsid w:val="00811CC2"/>
    <w:rsid w:val="00817CA6"/>
    <w:rsid w:val="00823ABE"/>
    <w:rsid w:val="00825B50"/>
    <w:rsid w:val="00826EC8"/>
    <w:rsid w:val="00850AFB"/>
    <w:rsid w:val="0085780B"/>
    <w:rsid w:val="00860C16"/>
    <w:rsid w:val="00864135"/>
    <w:rsid w:val="0087455B"/>
    <w:rsid w:val="00874C9C"/>
    <w:rsid w:val="008A2FE4"/>
    <w:rsid w:val="008B1580"/>
    <w:rsid w:val="008B288B"/>
    <w:rsid w:val="008B5877"/>
    <w:rsid w:val="008B7BAA"/>
    <w:rsid w:val="008C7BF7"/>
    <w:rsid w:val="008E2A34"/>
    <w:rsid w:val="008E33D7"/>
    <w:rsid w:val="008E5432"/>
    <w:rsid w:val="0090458C"/>
    <w:rsid w:val="00904BBE"/>
    <w:rsid w:val="00924DD6"/>
    <w:rsid w:val="009307BB"/>
    <w:rsid w:val="009438F5"/>
    <w:rsid w:val="00944054"/>
    <w:rsid w:val="00955137"/>
    <w:rsid w:val="00960928"/>
    <w:rsid w:val="009611D3"/>
    <w:rsid w:val="00963CD9"/>
    <w:rsid w:val="00965BA3"/>
    <w:rsid w:val="009677D7"/>
    <w:rsid w:val="009850B5"/>
    <w:rsid w:val="00985A76"/>
    <w:rsid w:val="00987E38"/>
    <w:rsid w:val="00995034"/>
    <w:rsid w:val="0099523E"/>
    <w:rsid w:val="009A2CA6"/>
    <w:rsid w:val="009B11C4"/>
    <w:rsid w:val="009C69E2"/>
    <w:rsid w:val="009C6CA9"/>
    <w:rsid w:val="009D1365"/>
    <w:rsid w:val="009D3EF5"/>
    <w:rsid w:val="009D79A8"/>
    <w:rsid w:val="009F164E"/>
    <w:rsid w:val="009F1A3B"/>
    <w:rsid w:val="00A03BCA"/>
    <w:rsid w:val="00A05431"/>
    <w:rsid w:val="00A12C56"/>
    <w:rsid w:val="00A20F6A"/>
    <w:rsid w:val="00A23BAA"/>
    <w:rsid w:val="00A23CF8"/>
    <w:rsid w:val="00A24489"/>
    <w:rsid w:val="00A40B62"/>
    <w:rsid w:val="00A4680D"/>
    <w:rsid w:val="00A47B8F"/>
    <w:rsid w:val="00A52C31"/>
    <w:rsid w:val="00A64929"/>
    <w:rsid w:val="00A65B12"/>
    <w:rsid w:val="00A840C5"/>
    <w:rsid w:val="00A93DD1"/>
    <w:rsid w:val="00AA2B97"/>
    <w:rsid w:val="00AA40EA"/>
    <w:rsid w:val="00AA69B5"/>
    <w:rsid w:val="00AA763A"/>
    <w:rsid w:val="00AE097E"/>
    <w:rsid w:val="00AE2A4F"/>
    <w:rsid w:val="00AE4A25"/>
    <w:rsid w:val="00AE5C36"/>
    <w:rsid w:val="00AE69F0"/>
    <w:rsid w:val="00AE6C49"/>
    <w:rsid w:val="00B0417A"/>
    <w:rsid w:val="00B06094"/>
    <w:rsid w:val="00B07527"/>
    <w:rsid w:val="00B124C1"/>
    <w:rsid w:val="00B12FF9"/>
    <w:rsid w:val="00B15FA1"/>
    <w:rsid w:val="00B223EB"/>
    <w:rsid w:val="00B2586D"/>
    <w:rsid w:val="00B26604"/>
    <w:rsid w:val="00B273C4"/>
    <w:rsid w:val="00B32D6B"/>
    <w:rsid w:val="00B362F7"/>
    <w:rsid w:val="00B423BD"/>
    <w:rsid w:val="00B47A60"/>
    <w:rsid w:val="00B51116"/>
    <w:rsid w:val="00B53C22"/>
    <w:rsid w:val="00B55ABF"/>
    <w:rsid w:val="00B70890"/>
    <w:rsid w:val="00B84E71"/>
    <w:rsid w:val="00BB23A7"/>
    <w:rsid w:val="00BC1EAB"/>
    <w:rsid w:val="00BD45DC"/>
    <w:rsid w:val="00BD6716"/>
    <w:rsid w:val="00BE1DE7"/>
    <w:rsid w:val="00BF5773"/>
    <w:rsid w:val="00BF6130"/>
    <w:rsid w:val="00C16D4A"/>
    <w:rsid w:val="00C225F2"/>
    <w:rsid w:val="00C23418"/>
    <w:rsid w:val="00C301C3"/>
    <w:rsid w:val="00C33E48"/>
    <w:rsid w:val="00C3488D"/>
    <w:rsid w:val="00C41CD9"/>
    <w:rsid w:val="00C60F72"/>
    <w:rsid w:val="00C640E4"/>
    <w:rsid w:val="00C71541"/>
    <w:rsid w:val="00C743F3"/>
    <w:rsid w:val="00C83895"/>
    <w:rsid w:val="00C86185"/>
    <w:rsid w:val="00C9374F"/>
    <w:rsid w:val="00C95670"/>
    <w:rsid w:val="00C960D6"/>
    <w:rsid w:val="00C96870"/>
    <w:rsid w:val="00CA2EF1"/>
    <w:rsid w:val="00CA5CBE"/>
    <w:rsid w:val="00CA6324"/>
    <w:rsid w:val="00CB1F8B"/>
    <w:rsid w:val="00CB2A8D"/>
    <w:rsid w:val="00CB61D3"/>
    <w:rsid w:val="00CC293F"/>
    <w:rsid w:val="00CC42CC"/>
    <w:rsid w:val="00CC7CA1"/>
    <w:rsid w:val="00CD50E0"/>
    <w:rsid w:val="00CD60BE"/>
    <w:rsid w:val="00CE7363"/>
    <w:rsid w:val="00CF54E8"/>
    <w:rsid w:val="00CF65E9"/>
    <w:rsid w:val="00D00BFB"/>
    <w:rsid w:val="00D119F2"/>
    <w:rsid w:val="00D35B3D"/>
    <w:rsid w:val="00D37624"/>
    <w:rsid w:val="00D4007C"/>
    <w:rsid w:val="00D43299"/>
    <w:rsid w:val="00D56FB6"/>
    <w:rsid w:val="00D606D2"/>
    <w:rsid w:val="00D62A44"/>
    <w:rsid w:val="00D70234"/>
    <w:rsid w:val="00D70C57"/>
    <w:rsid w:val="00D71C77"/>
    <w:rsid w:val="00D735BD"/>
    <w:rsid w:val="00D87116"/>
    <w:rsid w:val="00D96F91"/>
    <w:rsid w:val="00DA3BFC"/>
    <w:rsid w:val="00DA5742"/>
    <w:rsid w:val="00DA5CAD"/>
    <w:rsid w:val="00DA6D30"/>
    <w:rsid w:val="00DB2CD1"/>
    <w:rsid w:val="00DB457D"/>
    <w:rsid w:val="00DB4947"/>
    <w:rsid w:val="00DC0E00"/>
    <w:rsid w:val="00DC28D1"/>
    <w:rsid w:val="00DC3AF6"/>
    <w:rsid w:val="00DE01BF"/>
    <w:rsid w:val="00DE56D0"/>
    <w:rsid w:val="00DF7DC7"/>
    <w:rsid w:val="00E0686F"/>
    <w:rsid w:val="00E113B2"/>
    <w:rsid w:val="00E13D48"/>
    <w:rsid w:val="00E2049E"/>
    <w:rsid w:val="00E45689"/>
    <w:rsid w:val="00E45853"/>
    <w:rsid w:val="00E50B4C"/>
    <w:rsid w:val="00E514BA"/>
    <w:rsid w:val="00E52B92"/>
    <w:rsid w:val="00E5593A"/>
    <w:rsid w:val="00E56C93"/>
    <w:rsid w:val="00E60B4C"/>
    <w:rsid w:val="00E62EE6"/>
    <w:rsid w:val="00E65A59"/>
    <w:rsid w:val="00E67991"/>
    <w:rsid w:val="00E70832"/>
    <w:rsid w:val="00E71BFF"/>
    <w:rsid w:val="00E80873"/>
    <w:rsid w:val="00E825E9"/>
    <w:rsid w:val="00E9084C"/>
    <w:rsid w:val="00E91030"/>
    <w:rsid w:val="00EB6448"/>
    <w:rsid w:val="00ED329A"/>
    <w:rsid w:val="00ED5936"/>
    <w:rsid w:val="00ED75DE"/>
    <w:rsid w:val="00EE64A9"/>
    <w:rsid w:val="00EF53F4"/>
    <w:rsid w:val="00F01ED1"/>
    <w:rsid w:val="00F1155D"/>
    <w:rsid w:val="00F1468A"/>
    <w:rsid w:val="00F172B6"/>
    <w:rsid w:val="00F20C3B"/>
    <w:rsid w:val="00F2321C"/>
    <w:rsid w:val="00F36165"/>
    <w:rsid w:val="00F4703D"/>
    <w:rsid w:val="00F5171F"/>
    <w:rsid w:val="00F52068"/>
    <w:rsid w:val="00F54B0D"/>
    <w:rsid w:val="00F560CE"/>
    <w:rsid w:val="00F64B31"/>
    <w:rsid w:val="00F65DD8"/>
    <w:rsid w:val="00F76DD9"/>
    <w:rsid w:val="00F80F6D"/>
    <w:rsid w:val="00F815A8"/>
    <w:rsid w:val="00F838B8"/>
    <w:rsid w:val="00F840DC"/>
    <w:rsid w:val="00F867AA"/>
    <w:rsid w:val="00F90FDA"/>
    <w:rsid w:val="00FA02BC"/>
    <w:rsid w:val="00FB0122"/>
    <w:rsid w:val="00FB521E"/>
    <w:rsid w:val="00FB69B3"/>
    <w:rsid w:val="00FC3298"/>
    <w:rsid w:val="00FC3391"/>
    <w:rsid w:val="00FC6A6A"/>
    <w:rsid w:val="00FD14C3"/>
    <w:rsid w:val="00FD36B1"/>
    <w:rsid w:val="00FD410F"/>
    <w:rsid w:val="00FD4AAD"/>
    <w:rsid w:val="00FD7790"/>
    <w:rsid w:val="00FE10B9"/>
    <w:rsid w:val="00FF021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674AF26"/>
  <w15:chartTrackingRefBased/>
  <w15:docId w15:val="{87E18621-0401-4D0D-80C8-E3C1EE705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napToGrid w:val="0"/>
      <w:sz w:val="22"/>
      <w:szCs w:val="22"/>
      <w:lang w:val="en-GB" w:eastAsia="hu-HU"/>
    </w:rPr>
  </w:style>
  <w:style w:type="paragraph" w:styleId="Cmsor1">
    <w:name w:val="heading 1"/>
    <w:basedOn w:val="Norml"/>
    <w:next w:val="Norml"/>
    <w:qFormat/>
    <w:pPr>
      <w:spacing w:before="240" w:after="120"/>
      <w:ind w:left="357" w:hanging="357"/>
      <w:outlineLvl w:val="0"/>
    </w:pPr>
    <w:rPr>
      <w:b/>
      <w:bCs/>
      <w:caps/>
      <w:sz w:val="26"/>
      <w:szCs w:val="26"/>
      <w:lang w:val="en-US"/>
    </w:rPr>
  </w:style>
  <w:style w:type="paragraph" w:styleId="Cmsor2">
    <w:name w:val="heading 2"/>
    <w:basedOn w:val="Norml"/>
    <w:next w:val="Norml"/>
    <w:qFormat/>
    <w:pPr>
      <w:keepNext/>
      <w:spacing w:before="240" w:after="60"/>
      <w:outlineLvl w:val="1"/>
    </w:pPr>
    <w:rPr>
      <w:rFonts w:ascii="Helvetica" w:hAnsi="Helvetica" w:cs="Helvetica"/>
      <w:b/>
      <w:bCs/>
      <w:i/>
      <w:iCs/>
      <w:sz w:val="24"/>
      <w:szCs w:val="24"/>
    </w:rPr>
  </w:style>
  <w:style w:type="paragraph" w:styleId="Cmsor3">
    <w:name w:val="heading 3"/>
    <w:basedOn w:val="Norml"/>
    <w:next w:val="Norml"/>
    <w:qFormat/>
    <w:pPr>
      <w:keepNext/>
      <w:keepLines/>
      <w:spacing w:before="120" w:after="80"/>
      <w:outlineLvl w:val="2"/>
    </w:pPr>
    <w:rPr>
      <w:b/>
      <w:bCs/>
      <w:kern w:val="28"/>
      <w:sz w:val="24"/>
      <w:szCs w:val="24"/>
      <w:lang w:val="en-US"/>
    </w:rPr>
  </w:style>
  <w:style w:type="paragraph" w:styleId="Cmsor4">
    <w:name w:val="heading 4"/>
    <w:basedOn w:val="Norml"/>
    <w:next w:val="Norml"/>
    <w:qFormat/>
    <w:pPr>
      <w:keepNext/>
      <w:jc w:val="both"/>
      <w:outlineLvl w:val="3"/>
    </w:pPr>
    <w:rPr>
      <w:b/>
      <w:bCs/>
      <w:noProof/>
      <w:lang w:val="hu-HU"/>
    </w:rPr>
  </w:style>
  <w:style w:type="paragraph" w:styleId="Cmsor5">
    <w:name w:val="heading 5"/>
    <w:basedOn w:val="Norml"/>
    <w:next w:val="Norml"/>
    <w:qFormat/>
    <w:pPr>
      <w:keepNext/>
      <w:jc w:val="both"/>
      <w:outlineLvl w:val="4"/>
    </w:pPr>
    <w:rPr>
      <w:noProof/>
      <w:lang w:val="hu-HU"/>
    </w:rPr>
  </w:style>
  <w:style w:type="paragraph" w:styleId="Cmsor6">
    <w:name w:val="heading 6"/>
    <w:basedOn w:val="Norml"/>
    <w:next w:val="Norml"/>
    <w:qFormat/>
    <w:pPr>
      <w:keepNext/>
      <w:tabs>
        <w:tab w:val="left" w:pos="-720"/>
        <w:tab w:val="left" w:pos="4536"/>
      </w:tabs>
      <w:suppressAutoHyphens/>
      <w:outlineLvl w:val="5"/>
    </w:pPr>
    <w:rPr>
      <w:i/>
      <w:iCs/>
    </w:rPr>
  </w:style>
  <w:style w:type="paragraph" w:styleId="Cmsor7">
    <w:name w:val="heading 7"/>
    <w:basedOn w:val="Norml"/>
    <w:next w:val="Norml"/>
    <w:qFormat/>
    <w:pPr>
      <w:keepNext/>
      <w:tabs>
        <w:tab w:val="left" w:pos="-720"/>
        <w:tab w:val="left" w:pos="4536"/>
      </w:tabs>
      <w:suppressAutoHyphens/>
      <w:jc w:val="both"/>
      <w:outlineLvl w:val="6"/>
    </w:pPr>
    <w:rPr>
      <w:i/>
      <w:iCs/>
    </w:rPr>
  </w:style>
  <w:style w:type="paragraph" w:styleId="Cmsor8">
    <w:name w:val="heading 8"/>
    <w:basedOn w:val="Norml"/>
    <w:next w:val="Norml"/>
    <w:qFormat/>
    <w:pPr>
      <w:keepNext/>
      <w:ind w:left="567" w:hanging="567"/>
      <w:jc w:val="both"/>
      <w:outlineLvl w:val="7"/>
    </w:pPr>
    <w:rPr>
      <w:b/>
      <w:bCs/>
      <w:i/>
      <w:iCs/>
    </w:rPr>
  </w:style>
  <w:style w:type="paragraph" w:styleId="Cmsor9">
    <w:name w:val="heading 9"/>
    <w:basedOn w:val="Norml"/>
    <w:next w:val="Norml"/>
    <w:qFormat/>
    <w:pPr>
      <w:keepNext/>
      <w:jc w:val="both"/>
      <w:outlineLvl w:val="8"/>
    </w:pPr>
    <w:rPr>
      <w:b/>
      <w:bCs/>
      <w:i/>
      <w:i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153"/>
        <w:tab w:val="right" w:pos="8306"/>
      </w:tabs>
      <w:spacing w:line="240" w:lineRule="auto"/>
    </w:pPr>
    <w:rPr>
      <w:rFonts w:ascii="Helvetica" w:hAnsi="Helvetica" w:cs="Helvetica"/>
      <w:sz w:val="20"/>
      <w:szCs w:val="20"/>
    </w:rPr>
  </w:style>
  <w:style w:type="paragraph" w:styleId="llb">
    <w:name w:val="footer"/>
    <w:basedOn w:val="Norml"/>
    <w:link w:val="llbChar"/>
    <w:pPr>
      <w:tabs>
        <w:tab w:val="center" w:pos="4536"/>
        <w:tab w:val="center" w:pos="8930"/>
      </w:tabs>
      <w:spacing w:line="240" w:lineRule="auto"/>
    </w:pPr>
    <w:rPr>
      <w:rFonts w:ascii="Helvetica" w:hAnsi="Helvetica" w:cs="Helvetica"/>
      <w:sz w:val="16"/>
      <w:szCs w:val="16"/>
    </w:rPr>
  </w:style>
  <w:style w:type="character" w:styleId="Oldalszm">
    <w:name w:val="page number"/>
    <w:basedOn w:val="Bekezdsalapbettpusa"/>
  </w:style>
  <w:style w:type="paragraph" w:styleId="Szvegtrzsbehzssal">
    <w:name w:val="Body Text Indent"/>
    <w:basedOn w:val="Norml"/>
    <w:pPr>
      <w:tabs>
        <w:tab w:val="clear" w:pos="567"/>
      </w:tabs>
      <w:autoSpaceDE w:val="0"/>
      <w:autoSpaceDN w:val="0"/>
      <w:adjustRightInd w:val="0"/>
      <w:spacing w:line="240" w:lineRule="auto"/>
      <w:ind w:left="720"/>
      <w:jc w:val="both"/>
    </w:pPr>
  </w:style>
  <w:style w:type="paragraph" w:styleId="Szvegtrzs3">
    <w:name w:val="Body Text 3"/>
    <w:basedOn w:val="Norml"/>
    <w:pPr>
      <w:tabs>
        <w:tab w:val="clear" w:pos="567"/>
      </w:tabs>
      <w:autoSpaceDE w:val="0"/>
      <w:autoSpaceDN w:val="0"/>
      <w:adjustRightInd w:val="0"/>
      <w:spacing w:line="240" w:lineRule="auto"/>
      <w:jc w:val="both"/>
    </w:pPr>
    <w:rPr>
      <w:color w:val="0000FF"/>
    </w:rPr>
  </w:style>
  <w:style w:type="paragraph" w:styleId="Szvegtrzsbehzssal2">
    <w:name w:val="Body Text Indent 2"/>
    <w:basedOn w:val="Norml"/>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rPr>
  </w:style>
  <w:style w:type="paragraph" w:styleId="Szvegtrzs">
    <w:name w:val="Body Text"/>
    <w:basedOn w:val="Norml"/>
    <w:pPr>
      <w:tabs>
        <w:tab w:val="clear" w:pos="567"/>
      </w:tabs>
      <w:spacing w:line="240" w:lineRule="auto"/>
    </w:pPr>
    <w:rPr>
      <w:i/>
      <w:iCs/>
      <w:color w:val="008000"/>
    </w:rPr>
  </w:style>
  <w:style w:type="paragraph" w:styleId="Szvegtrzs2">
    <w:name w:val="Body Text 2"/>
    <w:basedOn w:val="Norml"/>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u w:val="single"/>
    </w:rPr>
  </w:style>
  <w:style w:type="character" w:styleId="Jegyzethivatkozs">
    <w:name w:val="annotation reference"/>
    <w:semiHidden/>
    <w:rPr>
      <w:sz w:val="16"/>
      <w:szCs w:val="16"/>
    </w:rPr>
  </w:style>
  <w:style w:type="paragraph" w:styleId="Jegyzetszveg">
    <w:name w:val="annotation text"/>
    <w:basedOn w:val="Norml"/>
    <w:link w:val="JegyzetszvegChar"/>
    <w:semiHidden/>
    <w:rPr>
      <w:sz w:val="20"/>
      <w:szCs w:val="20"/>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styleId="Dokumentumtrkp">
    <w:name w:val="Document Map"/>
    <w:basedOn w:val="Norml"/>
    <w:semiHidden/>
    <w:pPr>
      <w:shd w:val="clear" w:color="auto" w:fill="000080"/>
    </w:pPr>
  </w:style>
  <w:style w:type="character" w:styleId="Hiperhivatkozs">
    <w:name w:val="Hyperlink"/>
    <w:rPr>
      <w:color w:val="0000FF"/>
      <w:u w:val="single"/>
    </w:rPr>
  </w:style>
  <w:style w:type="paragraph" w:customStyle="1" w:styleId="AHeader1">
    <w:name w:val="AHeader 1"/>
    <w:basedOn w:val="Norml"/>
    <w:pPr>
      <w:numPr>
        <w:numId w:val="30"/>
      </w:numPr>
      <w:tabs>
        <w:tab w:val="clear" w:pos="567"/>
      </w:tabs>
      <w:spacing w:after="120" w:line="240" w:lineRule="auto"/>
    </w:pPr>
    <w:rPr>
      <w:rFonts w:ascii="Arial" w:hAnsi="Arial" w:cs="Arial"/>
      <w:b/>
      <w:bCs/>
      <w:sz w:val="24"/>
      <w:szCs w:val="24"/>
    </w:rPr>
  </w:style>
  <w:style w:type="paragraph" w:customStyle="1" w:styleId="AHeader2">
    <w:name w:val="AHeader 2"/>
    <w:basedOn w:val="AHeader1"/>
    <w:pPr>
      <w:numPr>
        <w:ilvl w:val="1"/>
      </w:numPr>
    </w:pPr>
    <w:rPr>
      <w:sz w:val="22"/>
      <w:szCs w:val="22"/>
    </w:rPr>
  </w:style>
  <w:style w:type="paragraph" w:customStyle="1" w:styleId="AHeader3">
    <w:name w:val="AHeader 3"/>
    <w:basedOn w:val="AHeader2"/>
    <w:pPr>
      <w:numPr>
        <w:ilvl w:val="2"/>
      </w:numPr>
    </w:pPr>
  </w:style>
  <w:style w:type="paragraph" w:customStyle="1" w:styleId="AHeader2abc">
    <w:name w:val="AHeader 2 abc"/>
    <w:basedOn w:val="AHeader3"/>
    <w:pPr>
      <w:numPr>
        <w:ilvl w:val="3"/>
      </w:numPr>
      <w:jc w:val="both"/>
    </w:pPr>
    <w:rPr>
      <w:b w:val="0"/>
      <w:bCs w:val="0"/>
    </w:rPr>
  </w:style>
  <w:style w:type="paragraph" w:customStyle="1" w:styleId="AHeader3abc">
    <w:name w:val="AHeader 3 abc"/>
    <w:basedOn w:val="AHeader2abc"/>
    <w:pPr>
      <w:numPr>
        <w:ilvl w:val="4"/>
      </w:numPr>
    </w:pPr>
  </w:style>
  <w:style w:type="paragraph" w:styleId="Szvegtrzsbehzssal3">
    <w:name w:val="Body Text Indent 3"/>
    <w:basedOn w:val="Norml"/>
    <w:pPr>
      <w:tabs>
        <w:tab w:val="left" w:pos="1134"/>
      </w:tabs>
      <w:autoSpaceDE w:val="0"/>
      <w:autoSpaceDN w:val="0"/>
      <w:adjustRightInd w:val="0"/>
      <w:ind w:left="633"/>
      <w:jc w:val="both"/>
    </w:pPr>
  </w:style>
  <w:style w:type="character" w:styleId="Mrltotthiperhivatkozs">
    <w:name w:val="FollowedHyperlink"/>
    <w:rPr>
      <w:color w:val="800080"/>
      <w:u w:val="single"/>
    </w:rPr>
  </w:style>
  <w:style w:type="paragraph" w:customStyle="1" w:styleId="Default">
    <w:name w:val="Default"/>
    <w:pPr>
      <w:autoSpaceDE w:val="0"/>
      <w:autoSpaceDN w:val="0"/>
      <w:adjustRightInd w:val="0"/>
    </w:pPr>
    <w:rPr>
      <w:snapToGrid w:val="0"/>
      <w:lang w:eastAsia="hu-HU"/>
    </w:rPr>
  </w:style>
  <w:style w:type="paragraph" w:styleId="Buborkszveg">
    <w:name w:val="Balloon Text"/>
    <w:basedOn w:val="Norml"/>
    <w:semiHidden/>
    <w:rPr>
      <w:sz w:val="16"/>
      <w:szCs w:val="16"/>
    </w:rPr>
  </w:style>
  <w:style w:type="paragraph" w:styleId="Normlbehzs">
    <w:name w:val="Normal Indent"/>
    <w:basedOn w:val="Norml"/>
    <w:pPr>
      <w:tabs>
        <w:tab w:val="clear" w:pos="567"/>
      </w:tabs>
      <w:spacing w:after="120" w:line="240" w:lineRule="auto"/>
      <w:ind w:left="72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lfejChar">
    <w:name w:val="Élőfej Char"/>
    <w:link w:val="lfej"/>
    <w:uiPriority w:val="99"/>
    <w:rsid w:val="006F6F12"/>
    <w:rPr>
      <w:rFonts w:ascii="Helvetica" w:hAnsi="Helvetica" w:cs="Helvetica"/>
      <w:snapToGrid w:val="0"/>
      <w:lang w:val="en-GB"/>
    </w:rPr>
  </w:style>
  <w:style w:type="character" w:customStyle="1" w:styleId="llbChar">
    <w:name w:val="Élőláb Char"/>
    <w:link w:val="llb"/>
    <w:rsid w:val="006F6F12"/>
    <w:rPr>
      <w:rFonts w:ascii="Helvetica" w:hAnsi="Helvetica" w:cs="Helvetica"/>
      <w:snapToGrid w:val="0"/>
      <w:sz w:val="16"/>
      <w:szCs w:val="16"/>
      <w:lang w:val="en-GB"/>
    </w:rPr>
  </w:style>
  <w:style w:type="paragraph" w:styleId="Megjegyzstrgya">
    <w:name w:val="annotation subject"/>
    <w:basedOn w:val="Jegyzetszveg"/>
    <w:next w:val="Jegyzetszveg"/>
    <w:link w:val="MegjegyzstrgyaChar"/>
    <w:rsid w:val="00744EF8"/>
    <w:rPr>
      <w:b/>
      <w:bCs/>
    </w:rPr>
  </w:style>
  <w:style w:type="character" w:customStyle="1" w:styleId="JegyzetszvegChar">
    <w:name w:val="Jegyzetszöveg Char"/>
    <w:link w:val="Jegyzetszveg"/>
    <w:semiHidden/>
    <w:rsid w:val="00744EF8"/>
    <w:rPr>
      <w:snapToGrid w:val="0"/>
      <w:lang w:val="en-GB" w:eastAsia="hu-HU"/>
    </w:rPr>
  </w:style>
  <w:style w:type="character" w:customStyle="1" w:styleId="MegjegyzstrgyaChar">
    <w:name w:val="Megjegyzés tárgya Char"/>
    <w:link w:val="Megjegyzstrgya"/>
    <w:rsid w:val="00744EF8"/>
    <w:rPr>
      <w:b/>
      <w:bCs/>
      <w:snapToGrid w:val="0"/>
      <w:lang w:val="en-GB" w:eastAsia="hu-HU"/>
    </w:rPr>
  </w:style>
  <w:style w:type="paragraph" w:styleId="Cm">
    <w:name w:val="Title"/>
    <w:basedOn w:val="Norml"/>
    <w:next w:val="Norml"/>
    <w:link w:val="CmChar"/>
    <w:qFormat/>
    <w:rsid w:val="00E514BA"/>
    <w:pPr>
      <w:spacing w:before="240" w:after="60"/>
      <w:jc w:val="center"/>
      <w:outlineLvl w:val="0"/>
    </w:pPr>
    <w:rPr>
      <w:rFonts w:asciiTheme="majorHAnsi" w:eastAsiaTheme="majorEastAsia" w:hAnsiTheme="majorHAnsi" w:cstheme="majorBidi"/>
      <w:b/>
      <w:bCs/>
      <w:kern w:val="28"/>
      <w:sz w:val="32"/>
      <w:szCs w:val="32"/>
    </w:rPr>
  </w:style>
  <w:style w:type="character" w:customStyle="1" w:styleId="CmChar">
    <w:name w:val="Cím Char"/>
    <w:basedOn w:val="Bekezdsalapbettpusa"/>
    <w:link w:val="Cm"/>
    <w:rsid w:val="00E514BA"/>
    <w:rPr>
      <w:rFonts w:asciiTheme="majorHAnsi" w:eastAsiaTheme="majorEastAsia" w:hAnsiTheme="majorHAnsi" w:cstheme="majorBidi"/>
      <w:b/>
      <w:bCs/>
      <w:snapToGrid w:val="0"/>
      <w:kern w:val="28"/>
      <w:sz w:val="32"/>
      <w:szCs w:val="32"/>
      <w:lang w:val="en-GB" w:eastAsia="hu-HU"/>
    </w:rPr>
  </w:style>
  <w:style w:type="paragraph" w:styleId="Vltozat">
    <w:name w:val="Revision"/>
    <w:hidden/>
    <w:uiPriority w:val="99"/>
    <w:semiHidden/>
    <w:rsid w:val="000E40CA"/>
    <w:rPr>
      <w:snapToGrid w:val="0"/>
      <w:sz w:val="22"/>
      <w:szCs w:val="22"/>
      <w:lang w:val="en-GB"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578057044">
      <w:bodyDiv w:val="1"/>
      <w:marLeft w:val="0"/>
      <w:marRight w:val="0"/>
      <w:marTop w:val="0"/>
      <w:marBottom w:val="0"/>
      <w:divBdr>
        <w:top w:val="none" w:sz="0" w:space="0" w:color="auto"/>
        <w:left w:val="none" w:sz="0" w:space="0" w:color="auto"/>
        <w:bottom w:val="none" w:sz="0" w:space="0" w:color="auto"/>
        <w:right w:val="none" w:sz="0" w:space="0" w:color="auto"/>
      </w:divBdr>
    </w:div>
    <w:div w:id="579098652">
      <w:bodyDiv w:val="1"/>
      <w:marLeft w:val="0"/>
      <w:marRight w:val="0"/>
      <w:marTop w:val="0"/>
      <w:marBottom w:val="0"/>
      <w:divBdr>
        <w:top w:val="none" w:sz="0" w:space="0" w:color="auto"/>
        <w:left w:val="none" w:sz="0" w:space="0" w:color="auto"/>
        <w:bottom w:val="none" w:sz="0" w:space="0" w:color="auto"/>
        <w:right w:val="none" w:sz="0" w:space="0" w:color="auto"/>
      </w:divBdr>
    </w:div>
    <w:div w:id="899171283">
      <w:bodyDiv w:val="1"/>
      <w:marLeft w:val="0"/>
      <w:marRight w:val="0"/>
      <w:marTop w:val="0"/>
      <w:marBottom w:val="0"/>
      <w:divBdr>
        <w:top w:val="none" w:sz="0" w:space="0" w:color="auto"/>
        <w:left w:val="none" w:sz="0" w:space="0" w:color="auto"/>
        <w:bottom w:val="none" w:sz="0" w:space="0" w:color="auto"/>
        <w:right w:val="none" w:sz="0" w:space="0" w:color="auto"/>
      </w:divBdr>
    </w:div>
    <w:div w:id="1038703189">
      <w:bodyDiv w:val="1"/>
      <w:marLeft w:val="0"/>
      <w:marRight w:val="0"/>
      <w:marTop w:val="0"/>
      <w:marBottom w:val="0"/>
      <w:divBdr>
        <w:top w:val="none" w:sz="0" w:space="0" w:color="auto"/>
        <w:left w:val="none" w:sz="0" w:space="0" w:color="auto"/>
        <w:bottom w:val="none" w:sz="0" w:space="0" w:color="auto"/>
        <w:right w:val="none" w:sz="0" w:space="0" w:color="auto"/>
      </w:divBdr>
    </w:div>
    <w:div w:id="167151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DE47F1FCFBCA40A426BFA4447F453E" ma:contentTypeVersion="14" ma:contentTypeDescription="Create a new document." ma:contentTypeScope="" ma:versionID="c2e823fb732acae4bd37226d6f8f9ecc">
  <xsd:schema xmlns:xsd="http://www.w3.org/2001/XMLSchema" xmlns:xs="http://www.w3.org/2001/XMLSchema" xmlns:p="http://schemas.microsoft.com/office/2006/metadata/properties" xmlns:ns2="0981aaa0-e26b-4d87-872f-cf9c39e614ea" xmlns:ns3="0263dff6-dff1-4e2f-8519-fa1a946405e4" targetNamespace="http://schemas.microsoft.com/office/2006/metadata/properties" ma:root="true" ma:fieldsID="e1a60447748e2356754431d0518f14dc" ns2:_="" ns3:_="">
    <xsd:import namespace="0981aaa0-e26b-4d87-872f-cf9c39e614ea"/>
    <xsd:import namespace="0263dff6-dff1-4e2f-8519-fa1a946405e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_Flow_SignoffStatu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81aaa0-e26b-4d87-872f-cf9c39e61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63dff6-dff1-4e2f-8519-fa1a946405e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981aaa0-e26b-4d87-872f-cf9c39e614ea" xsi:nil="true"/>
  </documentManagement>
</p:properties>
</file>

<file path=customXml/itemProps1.xml><?xml version="1.0" encoding="utf-8"?>
<ds:datastoreItem xmlns:ds="http://schemas.openxmlformats.org/officeDocument/2006/customXml" ds:itemID="{94A4825E-B5AC-464A-AB2C-63DAAFB7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81aaa0-e26b-4d87-872f-cf9c39e614ea"/>
    <ds:schemaRef ds:uri="0263dff6-dff1-4e2f-8519-fa1a94640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CB015-A3A0-435E-9255-A3E75B3B3309}">
  <ds:schemaRefs>
    <ds:schemaRef ds:uri="http://schemas.microsoft.com/sharepoint/v3/contenttype/forms"/>
  </ds:schemaRefs>
</ds:datastoreItem>
</file>

<file path=customXml/itemProps3.xml><?xml version="1.0" encoding="utf-8"?>
<ds:datastoreItem xmlns:ds="http://schemas.openxmlformats.org/officeDocument/2006/customXml" ds:itemID="{42267B58-C0C2-478F-963F-637D2C1D39A9}">
  <ds:schemaRefs>
    <ds:schemaRef ds:uri="http://purl.org/dc/elements/1.1/"/>
    <ds:schemaRef ds:uri="http://schemas.microsoft.com/office/infopath/2007/PartnerControls"/>
    <ds:schemaRef ds:uri="0263dff6-dff1-4e2f-8519-fa1a946405e4"/>
    <ds:schemaRef ds:uri="http://purl.org/dc/terms/"/>
    <ds:schemaRef ds:uri="http://schemas.microsoft.com/office/2006/documentManagement/types"/>
    <ds:schemaRef ds:uri="http://purl.org/dc/dcmitype/"/>
    <ds:schemaRef ds:uri="http://schemas.openxmlformats.org/package/2006/metadata/core-properties"/>
    <ds:schemaRef ds:uri="0981aaa0-e26b-4d87-872f-cf9c39e614e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2050</Words>
  <Characters>15698</Characters>
  <Application>Microsoft Office Word</Application>
  <DocSecurity>0</DocSecurity>
  <Lines>130</Lines>
  <Paragraphs>35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Version 1</vt:lpstr>
      <vt:lpstr>Version 1</vt:lpstr>
    </vt:vector>
  </TitlesOfParts>
  <Company>EMEA</Company>
  <LinksUpToDate>false</LinksUpToDate>
  <CharactersWithSpaces>17713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1</dc:title>
  <dc:subject>General-EMEA/381614/2006</dc:subject>
  <dc:creator>Liza Takacs</dc:creator>
  <cp:keywords/>
  <cp:lastModifiedBy>HU_OGYI_50.1</cp:lastModifiedBy>
  <cp:revision>2</cp:revision>
  <cp:lastPrinted>2009-10-13T12:23:00Z</cp:lastPrinted>
  <dcterms:created xsi:type="dcterms:W3CDTF">2026-05-07T08:45:00Z</dcterms:created>
  <dcterms:modified xsi:type="dcterms:W3CDTF">2026-05-07T08:45:00Z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ubject">
    <vt:lpwstr>General-EMEA/381614/2006</vt:lpwstr>
  </property>
  <property fmtid="{D5CDD505-2E9C-101B-9397-08002B2CF9AE}" pid="3" name="DM_Name">
    <vt:lpwstr>H-EN_referral_SPC-lab-pl_v 1.2</vt:lpwstr>
  </property>
  <property fmtid="{D5CDD505-2E9C-101B-9397-08002B2CF9AE}" pid="4" name="DM_Owner">
    <vt:lpwstr>Holemarova Zuzana</vt:lpwstr>
  </property>
  <property fmtid="{D5CDD505-2E9C-101B-9397-08002B2CF9AE}" pid="5" name="DM_Creation_Date">
    <vt:lpwstr>11/10/2006 14:31:47</vt:lpwstr>
  </property>
  <property fmtid="{D5CDD505-2E9C-101B-9397-08002B2CF9AE}" pid="6" name="DM_Creator_Name">
    <vt:lpwstr>Holemarova Zuzana</vt:lpwstr>
  </property>
  <property fmtid="{D5CDD505-2E9C-101B-9397-08002B2CF9AE}" pid="7" name="DM_Modifer_Name">
    <vt:lpwstr>Holemarova Zuzana</vt:lpwstr>
  </property>
  <property fmtid="{D5CDD505-2E9C-101B-9397-08002B2CF9AE}" pid="8" name="DM_Modified_Date">
    <vt:lpwstr>11/10/2006 14:31:47</vt:lpwstr>
  </property>
  <property fmtid="{D5CDD505-2E9C-101B-9397-08002B2CF9AE}" pid="9" name="DM_Type">
    <vt:lpwstr>emea_document</vt:lpwstr>
  </property>
  <property fmtid="{D5CDD505-2E9C-101B-9397-08002B2CF9AE}" pid="10" name="DM_Version">
    <vt:lpwstr>0.2, CURRENT</vt:lpwstr>
  </property>
  <property fmtid="{D5CDD505-2E9C-101B-9397-08002B2CF9AE}" pid="11" name="DM_emea_doc_ref_id">
    <vt:lpwstr>EMEA/381614/2006</vt:lpwstr>
  </property>
  <property fmtid="{D5CDD505-2E9C-101B-9397-08002B2CF9AE}" pid="12" name="DM_emea_doc_number">
    <vt:lpwstr>381614</vt:lpwstr>
  </property>
  <property fmtid="{D5CDD505-2E9C-101B-9397-08002B2CF9AE}" pid="13" name="DM_emea_received_date">
    <vt:lpwstr>nulldate</vt:lpwstr>
  </property>
  <property fmtid="{D5CDD505-2E9C-101B-9397-08002B2CF9AE}" pid="14" name="DM_emea_doc_category">
    <vt:lpwstr>General</vt:lpwstr>
  </property>
  <property fmtid="{D5CDD505-2E9C-101B-9397-08002B2CF9AE}" pid="15" name="DM_emea_internal_label">
    <vt:lpwstr>EMEA</vt:lpwstr>
  </property>
  <property fmtid="{D5CDD505-2E9C-101B-9397-08002B2CF9AE}" pid="16" name="DM_emea_legal_date">
    <vt:lpwstr>nulldate</vt:lpwstr>
  </property>
  <property fmtid="{D5CDD505-2E9C-101B-9397-08002B2CF9AE}" pid="17" name="DM_emea_year">
    <vt:lpwstr>2006</vt:lpwstr>
  </property>
  <property fmtid="{D5CDD505-2E9C-101B-9397-08002B2CF9AE}" pid="18" name="DM_emea_sent_date">
    <vt:lpwstr>nulldate</vt:lpwstr>
  </property>
  <property fmtid="{D5CDD505-2E9C-101B-9397-08002B2CF9AE}" pid="19" name="MSIP_Label_d1de76be-9bfa-4162-a0ea-3fa99f3af264_Enabled">
    <vt:lpwstr>true</vt:lpwstr>
  </property>
  <property fmtid="{D5CDD505-2E9C-101B-9397-08002B2CF9AE}" pid="20" name="MSIP_Label_d1de76be-9bfa-4162-a0ea-3fa99f3af264_SetDate">
    <vt:lpwstr>2025-01-12T19:28:48Z</vt:lpwstr>
  </property>
  <property fmtid="{D5CDD505-2E9C-101B-9397-08002B2CF9AE}" pid="21" name="MSIP_Label_d1de76be-9bfa-4162-a0ea-3fa99f3af264_Method">
    <vt:lpwstr>Privileged</vt:lpwstr>
  </property>
  <property fmtid="{D5CDD505-2E9C-101B-9397-08002B2CF9AE}" pid="22" name="MSIP_Label_d1de76be-9bfa-4162-a0ea-3fa99f3af264_Name">
    <vt:lpwstr>Public</vt:lpwstr>
  </property>
  <property fmtid="{D5CDD505-2E9C-101B-9397-08002B2CF9AE}" pid="23" name="MSIP_Label_d1de76be-9bfa-4162-a0ea-3fa99f3af264_SiteId">
    <vt:lpwstr>3596192b-fdf5-4e2c-a6fa-acb706c963d8</vt:lpwstr>
  </property>
  <property fmtid="{D5CDD505-2E9C-101B-9397-08002B2CF9AE}" pid="24" name="MSIP_Label_d1de76be-9bfa-4162-a0ea-3fa99f3af264_ActionId">
    <vt:lpwstr>829dffea-856a-4624-9a9f-8e9c8ae0ca7f</vt:lpwstr>
  </property>
  <property fmtid="{D5CDD505-2E9C-101B-9397-08002B2CF9AE}" pid="25" name="MSIP_Label_d1de76be-9bfa-4162-a0ea-3fa99f3af264_ContentBits">
    <vt:lpwstr>0</vt:lpwstr>
  </property>
</Properties>
</file>