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C86D6" w14:textId="77777777" w:rsidR="00CF3B77" w:rsidRPr="002D0731" w:rsidRDefault="00CF3B77" w:rsidP="002D0731">
      <w:pPr>
        <w:pStyle w:val="WW-Szvegtrzs212"/>
        <w:spacing w:line="240" w:lineRule="auto"/>
        <w:rPr>
          <w:szCs w:val="22"/>
          <w:lang w:val="hu-HU"/>
        </w:rPr>
      </w:pPr>
      <w:bookmarkStart w:id="0" w:name="_GoBack"/>
      <w:bookmarkEnd w:id="0"/>
      <w:r w:rsidRPr="002D0731">
        <w:rPr>
          <w:szCs w:val="22"/>
          <w:lang w:val="hu-HU"/>
        </w:rPr>
        <w:t>1.</w:t>
      </w:r>
      <w:r w:rsidRPr="002D0731">
        <w:rPr>
          <w:szCs w:val="22"/>
          <w:lang w:val="hu-HU"/>
        </w:rPr>
        <w:tab/>
        <w:t>A GYÓGYSZER NEVE</w:t>
      </w:r>
    </w:p>
    <w:p w14:paraId="40BD8D98" w14:textId="77777777" w:rsidR="00CF3B77" w:rsidRPr="00CF1D18" w:rsidRDefault="00CF3B77" w:rsidP="002D0731">
      <w:pPr>
        <w:jc w:val="both"/>
        <w:rPr>
          <w:sz w:val="22"/>
          <w:szCs w:val="22"/>
          <w:lang w:val="pt-PT"/>
        </w:rPr>
      </w:pPr>
    </w:p>
    <w:p w14:paraId="42EDCF7E" w14:textId="77777777" w:rsidR="00CF3B77" w:rsidRPr="002D0731" w:rsidRDefault="000E13E8" w:rsidP="002D0731">
      <w:pPr>
        <w:pStyle w:val="Cmsor1"/>
        <w:spacing w:line="240" w:lineRule="auto"/>
        <w:rPr>
          <w:szCs w:val="22"/>
          <w:lang w:val="pt-PT"/>
        </w:rPr>
      </w:pPr>
      <w:r w:rsidRPr="002D0731">
        <w:rPr>
          <w:szCs w:val="22"/>
          <w:lang w:val="pt-PT"/>
        </w:rPr>
        <w:t>E</w:t>
      </w:r>
      <w:r w:rsidR="00752BEB" w:rsidRPr="002D0731">
        <w:rPr>
          <w:szCs w:val="22"/>
          <w:lang w:val="pt-PT"/>
        </w:rPr>
        <w:t>ligard</w:t>
      </w:r>
      <w:r w:rsidRPr="002D0731">
        <w:rPr>
          <w:szCs w:val="22"/>
          <w:lang w:val="pt-PT"/>
        </w:rPr>
        <w:t xml:space="preserve"> </w:t>
      </w:r>
      <w:r w:rsidR="00772AE6" w:rsidRPr="002D0731">
        <w:rPr>
          <w:szCs w:val="22"/>
          <w:lang w:val="pt-PT"/>
        </w:rPr>
        <w:t>4</w:t>
      </w:r>
      <w:r w:rsidR="00CF3B77" w:rsidRPr="002D0731">
        <w:rPr>
          <w:szCs w:val="22"/>
          <w:lang w:val="pt-PT"/>
        </w:rPr>
        <w:t xml:space="preserve">5 mg por és oldószer oldatos injekcióhoz </w:t>
      </w:r>
    </w:p>
    <w:p w14:paraId="383DF55B" w14:textId="77777777" w:rsidR="00CF3B77" w:rsidRPr="002D0731" w:rsidRDefault="00CF3B77" w:rsidP="002D0731">
      <w:pPr>
        <w:rPr>
          <w:sz w:val="22"/>
          <w:szCs w:val="22"/>
        </w:rPr>
      </w:pPr>
    </w:p>
    <w:p w14:paraId="3BFA8311" w14:textId="77777777" w:rsidR="00CF3B77" w:rsidRPr="002D0731" w:rsidRDefault="00CF3B77" w:rsidP="002D0731">
      <w:pPr>
        <w:rPr>
          <w:sz w:val="22"/>
          <w:szCs w:val="22"/>
        </w:rPr>
      </w:pPr>
    </w:p>
    <w:p w14:paraId="1483094E" w14:textId="77777777" w:rsidR="00CF3B77" w:rsidRPr="002D0731" w:rsidRDefault="00CF3B77" w:rsidP="002D073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2.</w:t>
      </w:r>
      <w:r w:rsidRPr="002D0731">
        <w:rPr>
          <w:b/>
          <w:sz w:val="22"/>
          <w:szCs w:val="22"/>
        </w:rPr>
        <w:tab/>
        <w:t>MINŐSÉGI ÉS MENNYISÉGI ÖSSZETÉTEL</w:t>
      </w:r>
    </w:p>
    <w:p w14:paraId="0208BEEB" w14:textId="77777777" w:rsidR="00CF3B77" w:rsidRPr="002D0731" w:rsidRDefault="00CF3B77" w:rsidP="002D073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2490FF16" w14:textId="77777777" w:rsidR="000365EB" w:rsidRPr="002D0731" w:rsidRDefault="000365EB" w:rsidP="002D073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  <w:r w:rsidRPr="002D0731">
        <w:rPr>
          <w:szCs w:val="22"/>
          <w:lang w:val="hu-HU"/>
        </w:rPr>
        <w:t>Egy előretöltött injekciós fecskendő („B” fecskendő) 45</w:t>
      </w:r>
      <w:r w:rsidR="00752BEB" w:rsidRPr="002D0731">
        <w:rPr>
          <w:szCs w:val="22"/>
          <w:lang w:val="hu-HU"/>
        </w:rPr>
        <w:t> </w:t>
      </w:r>
      <w:r w:rsidRPr="002D0731">
        <w:rPr>
          <w:szCs w:val="22"/>
          <w:lang w:val="hu-HU"/>
        </w:rPr>
        <w:t>mg leuprorelin-acetátot (megfelel 41,7</w:t>
      </w:r>
      <w:r w:rsidR="00752BEB" w:rsidRPr="002D0731">
        <w:rPr>
          <w:szCs w:val="22"/>
          <w:lang w:val="hu-HU"/>
        </w:rPr>
        <w:t> </w:t>
      </w:r>
      <w:r w:rsidRPr="002D0731">
        <w:rPr>
          <w:szCs w:val="22"/>
          <w:lang w:val="hu-HU"/>
        </w:rPr>
        <w:t>mg leuprorelinnek) tartalmaz.</w:t>
      </w:r>
    </w:p>
    <w:p w14:paraId="6996ADEF" w14:textId="77777777" w:rsidR="00CF3B77" w:rsidRPr="002D0731" w:rsidRDefault="00CF3B77" w:rsidP="002D0731">
      <w:pPr>
        <w:rPr>
          <w:sz w:val="22"/>
          <w:szCs w:val="22"/>
        </w:rPr>
      </w:pPr>
    </w:p>
    <w:p w14:paraId="549B8A7B" w14:textId="77777777" w:rsidR="00CF3B77" w:rsidRPr="002D0731" w:rsidRDefault="00CF3B77" w:rsidP="002D0731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2D0731">
        <w:rPr>
          <w:rFonts w:ascii="Times New Roman" w:hAnsi="Times New Roman"/>
          <w:sz w:val="22"/>
          <w:szCs w:val="22"/>
        </w:rPr>
        <w:t xml:space="preserve">A segédanyagok </w:t>
      </w:r>
      <w:r w:rsidR="00E86779" w:rsidRPr="002D0731">
        <w:rPr>
          <w:rFonts w:ascii="Times New Roman" w:hAnsi="Times New Roman"/>
          <w:sz w:val="22"/>
          <w:szCs w:val="22"/>
        </w:rPr>
        <w:t xml:space="preserve">teljes listáját </w:t>
      </w:r>
      <w:r w:rsidRPr="002D0731">
        <w:rPr>
          <w:rFonts w:ascii="Times New Roman" w:hAnsi="Times New Roman"/>
          <w:sz w:val="22"/>
          <w:szCs w:val="22"/>
        </w:rPr>
        <w:t>lásd a 6.1 pontban.</w:t>
      </w:r>
    </w:p>
    <w:p w14:paraId="6E1C76A9" w14:textId="77777777" w:rsidR="00CF3B77" w:rsidRPr="002D0731" w:rsidRDefault="00CF3B77" w:rsidP="002D073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55011366" w14:textId="77777777" w:rsidR="00F7589A" w:rsidRPr="002D0731" w:rsidRDefault="00F7589A" w:rsidP="002D073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25522060" w14:textId="77777777" w:rsidR="00CF3B77" w:rsidRPr="002D0731" w:rsidRDefault="00CF3B77" w:rsidP="002D073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3.</w:t>
      </w:r>
      <w:r w:rsidRPr="002D0731">
        <w:rPr>
          <w:b/>
          <w:sz w:val="22"/>
          <w:szCs w:val="22"/>
        </w:rPr>
        <w:tab/>
        <w:t>GYÓGYSZERFORMA</w:t>
      </w:r>
    </w:p>
    <w:p w14:paraId="5AB0C110" w14:textId="77777777" w:rsidR="00CF3B77" w:rsidRPr="002D0731" w:rsidRDefault="00CF3B77" w:rsidP="002D0731">
      <w:pPr>
        <w:rPr>
          <w:sz w:val="22"/>
          <w:szCs w:val="22"/>
        </w:rPr>
      </w:pPr>
    </w:p>
    <w:p w14:paraId="49EB79E0" w14:textId="77777777" w:rsidR="00CF3B77" w:rsidRPr="002D0731" w:rsidRDefault="00E86779" w:rsidP="002D073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Por és oldószer oldatos injekcióhoz</w:t>
      </w:r>
    </w:p>
    <w:p w14:paraId="69AF51E7" w14:textId="77777777" w:rsidR="00E86779" w:rsidRPr="002D0731" w:rsidRDefault="00E86779" w:rsidP="002D0731">
      <w:pPr>
        <w:jc w:val="both"/>
        <w:rPr>
          <w:sz w:val="22"/>
          <w:szCs w:val="22"/>
        </w:rPr>
      </w:pPr>
    </w:p>
    <w:p w14:paraId="05E5E85B" w14:textId="77777777" w:rsidR="007D316D" w:rsidRPr="002D0731" w:rsidRDefault="00E86779" w:rsidP="002D073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Por</w:t>
      </w:r>
      <w:r w:rsidR="00772AE6" w:rsidRPr="002D0731">
        <w:rPr>
          <w:sz w:val="22"/>
          <w:szCs w:val="22"/>
        </w:rPr>
        <w:t xml:space="preserve"> („B” fecskendő)</w:t>
      </w:r>
      <w:r w:rsidRPr="002D0731">
        <w:rPr>
          <w:sz w:val="22"/>
          <w:szCs w:val="22"/>
        </w:rPr>
        <w:t xml:space="preserve">: </w:t>
      </w:r>
    </w:p>
    <w:p w14:paraId="600FB1F0" w14:textId="77777777" w:rsidR="00711BE4" w:rsidRPr="002D0731" w:rsidRDefault="00711BE4" w:rsidP="002D073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Fehér vagy csaknem fehér por előretöltött fecskendőben.</w:t>
      </w:r>
    </w:p>
    <w:p w14:paraId="552A3DF2" w14:textId="77777777" w:rsidR="00CF3B77" w:rsidRPr="002D0731" w:rsidRDefault="00CF3B77" w:rsidP="002D0731">
      <w:pPr>
        <w:jc w:val="both"/>
        <w:rPr>
          <w:sz w:val="22"/>
          <w:szCs w:val="22"/>
        </w:rPr>
      </w:pPr>
    </w:p>
    <w:p w14:paraId="50974D1F" w14:textId="77777777" w:rsidR="00772AE6" w:rsidRPr="002D0731" w:rsidRDefault="00CF3B77" w:rsidP="002D073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Oldószer</w:t>
      </w:r>
      <w:r w:rsidR="00772AE6" w:rsidRPr="002D0731">
        <w:rPr>
          <w:sz w:val="22"/>
          <w:szCs w:val="22"/>
        </w:rPr>
        <w:t xml:space="preserve"> („A” fecskendő)</w:t>
      </w:r>
      <w:r w:rsidR="00E86779" w:rsidRPr="002D0731">
        <w:rPr>
          <w:sz w:val="22"/>
          <w:szCs w:val="22"/>
        </w:rPr>
        <w:t xml:space="preserve">: </w:t>
      </w:r>
    </w:p>
    <w:p w14:paraId="577680CB" w14:textId="77777777" w:rsidR="00711BE4" w:rsidRPr="002D0731" w:rsidRDefault="00711BE4" w:rsidP="002D073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Tiszta, színtelen vagy halványsárga oldat előretöltött fecskendőben.</w:t>
      </w:r>
    </w:p>
    <w:p w14:paraId="7837C01D" w14:textId="77777777" w:rsidR="007B0CE9" w:rsidRPr="002D0731" w:rsidRDefault="007B0CE9" w:rsidP="002D0731">
      <w:pPr>
        <w:rPr>
          <w:sz w:val="22"/>
          <w:szCs w:val="22"/>
        </w:rPr>
      </w:pPr>
    </w:p>
    <w:p w14:paraId="0DD2069C" w14:textId="77777777" w:rsidR="008629C3" w:rsidRPr="002D0731" w:rsidRDefault="008629C3" w:rsidP="002D0731">
      <w:pPr>
        <w:rPr>
          <w:sz w:val="22"/>
          <w:szCs w:val="22"/>
        </w:rPr>
      </w:pPr>
    </w:p>
    <w:p w14:paraId="4D543BB4" w14:textId="77777777" w:rsidR="00CF3B77" w:rsidRPr="002D0731" w:rsidRDefault="00CF3B77" w:rsidP="002D0731">
      <w:pPr>
        <w:pStyle w:val="WW-Szvegtrzs212"/>
        <w:suppressAutoHyphens w:val="0"/>
        <w:spacing w:line="240" w:lineRule="auto"/>
        <w:rPr>
          <w:caps/>
          <w:szCs w:val="22"/>
          <w:lang w:val="hu-HU"/>
        </w:rPr>
      </w:pPr>
      <w:r w:rsidRPr="002D0731">
        <w:rPr>
          <w:caps/>
          <w:szCs w:val="22"/>
          <w:lang w:val="hu-HU"/>
        </w:rPr>
        <w:t>4.</w:t>
      </w:r>
      <w:r w:rsidRPr="002D0731">
        <w:rPr>
          <w:caps/>
          <w:szCs w:val="22"/>
          <w:lang w:val="hu-HU"/>
        </w:rPr>
        <w:tab/>
        <w:t>KLINIKAI JELLEMZŐK</w:t>
      </w:r>
    </w:p>
    <w:p w14:paraId="3383489A" w14:textId="77777777" w:rsidR="00CF3B77" w:rsidRPr="002D0731" w:rsidRDefault="00CF3B77" w:rsidP="002D0731">
      <w:pPr>
        <w:rPr>
          <w:sz w:val="22"/>
          <w:szCs w:val="22"/>
        </w:rPr>
      </w:pPr>
    </w:p>
    <w:p w14:paraId="4E84F81D" w14:textId="77777777" w:rsidR="00CF3B77" w:rsidRPr="002D0731" w:rsidRDefault="00CF3B77" w:rsidP="002D073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4.1</w:t>
      </w:r>
      <w:r w:rsidRPr="002D0731">
        <w:rPr>
          <w:b/>
          <w:sz w:val="22"/>
          <w:szCs w:val="22"/>
        </w:rPr>
        <w:tab/>
        <w:t>Terápiás javallatok</w:t>
      </w:r>
    </w:p>
    <w:p w14:paraId="5E2F44E7" w14:textId="77777777" w:rsidR="00CF3B77" w:rsidRPr="002D0731" w:rsidRDefault="00CF3B77" w:rsidP="002D0731">
      <w:pPr>
        <w:rPr>
          <w:sz w:val="22"/>
          <w:szCs w:val="22"/>
        </w:rPr>
      </w:pPr>
    </w:p>
    <w:p w14:paraId="56733FFD" w14:textId="77777777" w:rsidR="003243D0" w:rsidRPr="002D0731" w:rsidRDefault="00CF3B77" w:rsidP="002D073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Az </w:t>
      </w:r>
      <w:r w:rsidR="000E13E8" w:rsidRPr="002D0731">
        <w:rPr>
          <w:sz w:val="22"/>
          <w:szCs w:val="22"/>
        </w:rPr>
        <w:t>E</w:t>
      </w:r>
      <w:r w:rsidR="00752BEB" w:rsidRPr="002D0731">
        <w:rPr>
          <w:sz w:val="22"/>
          <w:szCs w:val="22"/>
        </w:rPr>
        <w:t>ligard</w:t>
      </w:r>
      <w:r w:rsidR="000E13E8" w:rsidRPr="002D0731">
        <w:rPr>
          <w:sz w:val="22"/>
          <w:szCs w:val="22"/>
        </w:rPr>
        <w:t xml:space="preserve"> </w:t>
      </w:r>
      <w:r w:rsidR="0021027A" w:rsidRPr="002D0731">
        <w:rPr>
          <w:sz w:val="22"/>
          <w:szCs w:val="22"/>
        </w:rPr>
        <w:t>45</w:t>
      </w:r>
      <w:r w:rsidR="000E13E8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mg a hormonfüggő előrehaladott prosztata</w:t>
      </w:r>
      <w:r w:rsidR="003243D0" w:rsidRPr="002D0731">
        <w:rPr>
          <w:sz w:val="22"/>
          <w:szCs w:val="22"/>
        </w:rPr>
        <w:t xml:space="preserve">daganat, </w:t>
      </w:r>
      <w:r w:rsidR="00804CC9" w:rsidRPr="002D0731">
        <w:rPr>
          <w:sz w:val="22"/>
          <w:szCs w:val="22"/>
        </w:rPr>
        <w:t>valamint a magas kockázatú szervre lokalizált, illetve lokálisan e</w:t>
      </w:r>
      <w:r w:rsidR="00724D78" w:rsidRPr="002D0731">
        <w:rPr>
          <w:sz w:val="22"/>
          <w:szCs w:val="22"/>
        </w:rPr>
        <w:t>l</w:t>
      </w:r>
      <w:r w:rsidR="00804CC9" w:rsidRPr="002D0731">
        <w:rPr>
          <w:sz w:val="22"/>
          <w:szCs w:val="22"/>
        </w:rPr>
        <w:t xml:space="preserve">őrehaladott, hormonfüggő prosztatadaganat </w:t>
      </w:r>
      <w:r w:rsidRPr="002D0731">
        <w:rPr>
          <w:sz w:val="22"/>
          <w:szCs w:val="22"/>
        </w:rPr>
        <w:t>kezelésére javall</w:t>
      </w:r>
      <w:r w:rsidR="00F168AB" w:rsidRPr="002D0731">
        <w:rPr>
          <w:sz w:val="22"/>
          <w:szCs w:val="22"/>
        </w:rPr>
        <w:t>ot</w:t>
      </w:r>
      <w:r w:rsidRPr="002D0731">
        <w:rPr>
          <w:sz w:val="22"/>
          <w:szCs w:val="22"/>
        </w:rPr>
        <w:t>t</w:t>
      </w:r>
      <w:r w:rsidR="003243D0" w:rsidRPr="002D0731">
        <w:rPr>
          <w:sz w:val="22"/>
          <w:szCs w:val="22"/>
        </w:rPr>
        <w:t>, sugárterápiával kombinálva.</w:t>
      </w:r>
    </w:p>
    <w:p w14:paraId="1E6AA03C" w14:textId="77777777" w:rsidR="003243D0" w:rsidRPr="002D0731" w:rsidRDefault="003243D0" w:rsidP="002D0731">
      <w:pPr>
        <w:jc w:val="both"/>
        <w:rPr>
          <w:sz w:val="22"/>
          <w:szCs w:val="22"/>
        </w:rPr>
      </w:pPr>
    </w:p>
    <w:p w14:paraId="7B91D0AB" w14:textId="77777777" w:rsidR="00CF3B77" w:rsidRPr="002D0731" w:rsidRDefault="00CF3B77" w:rsidP="002D073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4.2</w:t>
      </w:r>
      <w:r w:rsidRPr="002D0731">
        <w:rPr>
          <w:b/>
          <w:sz w:val="22"/>
          <w:szCs w:val="22"/>
        </w:rPr>
        <w:tab/>
        <w:t>Adagolás és alkalmazás</w:t>
      </w:r>
    </w:p>
    <w:p w14:paraId="23FF3D23" w14:textId="77777777" w:rsidR="00CF3B77" w:rsidRPr="002D0731" w:rsidRDefault="00CF3B77" w:rsidP="002D0731">
      <w:pPr>
        <w:jc w:val="both"/>
        <w:rPr>
          <w:sz w:val="22"/>
          <w:szCs w:val="22"/>
          <w:u w:val="single"/>
        </w:rPr>
      </w:pPr>
    </w:p>
    <w:p w14:paraId="11D93BDD" w14:textId="77777777" w:rsidR="00E82234" w:rsidRPr="002D0731" w:rsidRDefault="00CF3B77" w:rsidP="002D0731">
      <w:pPr>
        <w:jc w:val="both"/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 xml:space="preserve">Adagolás </w:t>
      </w:r>
    </w:p>
    <w:p w14:paraId="55DA4016" w14:textId="77777777" w:rsidR="00CA77C6" w:rsidRDefault="00CA77C6" w:rsidP="002D0731">
      <w:pPr>
        <w:jc w:val="both"/>
        <w:rPr>
          <w:i/>
          <w:sz w:val="22"/>
          <w:szCs w:val="22"/>
        </w:rPr>
      </w:pPr>
    </w:p>
    <w:p w14:paraId="30D96BAD" w14:textId="77777777" w:rsidR="00CF3B77" w:rsidRPr="002D0731" w:rsidRDefault="00E82234" w:rsidP="002D0731">
      <w:pPr>
        <w:jc w:val="both"/>
        <w:rPr>
          <w:i/>
          <w:sz w:val="22"/>
          <w:szCs w:val="22"/>
        </w:rPr>
      </w:pPr>
      <w:r w:rsidRPr="002D0731">
        <w:rPr>
          <w:i/>
          <w:sz w:val="22"/>
          <w:szCs w:val="22"/>
        </w:rPr>
        <w:t xml:space="preserve">Felnőtt </w:t>
      </w:r>
      <w:r w:rsidR="00CF3B77" w:rsidRPr="002D0731">
        <w:rPr>
          <w:i/>
          <w:sz w:val="22"/>
          <w:szCs w:val="22"/>
        </w:rPr>
        <w:t>férfiak részére</w:t>
      </w:r>
    </w:p>
    <w:p w14:paraId="2004A3F7" w14:textId="77777777" w:rsidR="00CF3B77" w:rsidRPr="002D0731" w:rsidRDefault="00CF3B77" w:rsidP="002D0731">
      <w:pPr>
        <w:rPr>
          <w:sz w:val="22"/>
          <w:szCs w:val="22"/>
        </w:rPr>
      </w:pPr>
      <w:r w:rsidRPr="002D0731">
        <w:rPr>
          <w:sz w:val="22"/>
          <w:szCs w:val="22"/>
        </w:rPr>
        <w:t>Az E</w:t>
      </w:r>
      <w:r w:rsidR="00752BEB" w:rsidRPr="002D0731">
        <w:rPr>
          <w:sz w:val="22"/>
          <w:szCs w:val="22"/>
        </w:rPr>
        <w:t>ligard</w:t>
      </w:r>
      <w:r w:rsidR="000D0DC6">
        <w:rPr>
          <w:sz w:val="22"/>
          <w:szCs w:val="22"/>
        </w:rPr>
        <w:t xml:space="preserve"> 45 mg</w:t>
      </w:r>
      <w:r w:rsidRPr="002D0731">
        <w:rPr>
          <w:sz w:val="22"/>
          <w:szCs w:val="22"/>
        </w:rPr>
        <w:t xml:space="preserve"> alkalmazása k</w:t>
      </w:r>
      <w:r w:rsidR="007D316D" w:rsidRPr="002D0731">
        <w:rPr>
          <w:sz w:val="22"/>
          <w:szCs w:val="22"/>
        </w:rPr>
        <w:t>izárólag</w:t>
      </w:r>
      <w:r w:rsidRPr="002D0731">
        <w:rPr>
          <w:sz w:val="22"/>
          <w:szCs w:val="22"/>
        </w:rPr>
        <w:t xml:space="preserve"> </w:t>
      </w:r>
      <w:r w:rsidR="000E13E8" w:rsidRPr="002D0731">
        <w:rPr>
          <w:sz w:val="22"/>
          <w:szCs w:val="22"/>
        </w:rPr>
        <w:t>olyan</w:t>
      </w:r>
      <w:r w:rsidRPr="002D0731">
        <w:rPr>
          <w:sz w:val="22"/>
          <w:szCs w:val="22"/>
        </w:rPr>
        <w:t xml:space="preserve"> orvos felügyelete mellett folytatható</w:t>
      </w:r>
      <w:r w:rsidR="000E13E8" w:rsidRPr="002D0731">
        <w:rPr>
          <w:sz w:val="22"/>
          <w:szCs w:val="22"/>
        </w:rPr>
        <w:t>, aki megfelelő tapasztalattal rendelkezik a kezelésre adott válasz megfigyelésében</w:t>
      </w:r>
      <w:r w:rsidRPr="002D0731">
        <w:rPr>
          <w:sz w:val="22"/>
          <w:szCs w:val="22"/>
        </w:rPr>
        <w:t>.</w:t>
      </w:r>
    </w:p>
    <w:p w14:paraId="6D130595" w14:textId="77777777" w:rsidR="00CF3B77" w:rsidRPr="002D0731" w:rsidRDefault="00CF3B77" w:rsidP="002D0731">
      <w:pPr>
        <w:jc w:val="both"/>
        <w:rPr>
          <w:sz w:val="22"/>
          <w:szCs w:val="22"/>
        </w:rPr>
      </w:pPr>
    </w:p>
    <w:p w14:paraId="0DCA1094" w14:textId="77777777" w:rsidR="00CF3B77" w:rsidRPr="002D0731" w:rsidRDefault="00CF3B77" w:rsidP="002D073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</w:t>
      </w:r>
      <w:r w:rsidR="000E13E8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0E13E8" w:rsidRPr="002D0731">
        <w:rPr>
          <w:szCs w:val="22"/>
          <w:lang w:val="hu-HU"/>
        </w:rPr>
        <w:t xml:space="preserve"> </w:t>
      </w:r>
      <w:r w:rsidR="0021027A" w:rsidRPr="002D0731">
        <w:rPr>
          <w:szCs w:val="22"/>
          <w:lang w:val="hu-HU"/>
        </w:rPr>
        <w:t>45</w:t>
      </w:r>
      <w:r w:rsidRPr="002D0731">
        <w:rPr>
          <w:szCs w:val="22"/>
          <w:lang w:val="hu-HU"/>
        </w:rPr>
        <w:t> mg</w:t>
      </w:r>
      <w:r w:rsidR="005D32BA">
        <w:rPr>
          <w:szCs w:val="22"/>
          <w:lang w:val="hu-HU"/>
        </w:rPr>
        <w:t xml:space="preserve"> készítmény</w:t>
      </w:r>
      <w:r w:rsidR="00C474E5" w:rsidRPr="002D0731">
        <w:rPr>
          <w:szCs w:val="22"/>
          <w:lang w:val="hu-HU"/>
        </w:rPr>
        <w:t>t</w:t>
      </w:r>
      <w:r w:rsidRPr="002D0731">
        <w:rPr>
          <w:szCs w:val="22"/>
          <w:lang w:val="hu-HU"/>
        </w:rPr>
        <w:t xml:space="preserve"> </w:t>
      </w:r>
      <w:r w:rsidR="005F6BEB" w:rsidRPr="002D0731">
        <w:rPr>
          <w:szCs w:val="22"/>
          <w:lang w:val="hu-HU"/>
        </w:rPr>
        <w:t>h</w:t>
      </w:r>
      <w:r w:rsidR="0021027A" w:rsidRPr="002D0731">
        <w:rPr>
          <w:szCs w:val="22"/>
          <w:lang w:val="hu-HU"/>
        </w:rPr>
        <w:t>at</w:t>
      </w:r>
      <w:r w:rsidR="005F6BEB" w:rsidRPr="002D0731">
        <w:rPr>
          <w:szCs w:val="22"/>
          <w:lang w:val="hu-HU"/>
        </w:rPr>
        <w:t xml:space="preserve">havonta </w:t>
      </w:r>
      <w:r w:rsidRPr="002D0731">
        <w:rPr>
          <w:szCs w:val="22"/>
          <w:lang w:val="hu-HU"/>
        </w:rPr>
        <w:t xml:space="preserve">egyszer szubkután injekció formájában </w:t>
      </w:r>
      <w:r w:rsidR="00C474E5" w:rsidRPr="002D0731">
        <w:rPr>
          <w:szCs w:val="22"/>
          <w:lang w:val="hu-HU"/>
        </w:rPr>
        <w:t>kell beadni</w:t>
      </w:r>
      <w:r w:rsidRPr="002D0731">
        <w:rPr>
          <w:szCs w:val="22"/>
          <w:lang w:val="hu-HU"/>
        </w:rPr>
        <w:t xml:space="preserve">. A beadott oldat </w:t>
      </w:r>
      <w:r w:rsidR="00741D41" w:rsidRPr="002D0731">
        <w:rPr>
          <w:szCs w:val="22"/>
          <w:lang w:val="hu-HU"/>
        </w:rPr>
        <w:t>stabil</w:t>
      </w:r>
      <w:r w:rsidR="004E61B0" w:rsidRPr="002D0731">
        <w:rPr>
          <w:szCs w:val="22"/>
          <w:lang w:val="hu-HU"/>
        </w:rPr>
        <w:t xml:space="preserve"> gyógyszerraktárat</w:t>
      </w:r>
      <w:r w:rsidRPr="002D0731">
        <w:rPr>
          <w:szCs w:val="22"/>
          <w:lang w:val="hu-HU"/>
        </w:rPr>
        <w:t xml:space="preserve"> képez</w:t>
      </w:r>
      <w:r w:rsidR="000E13E8" w:rsidRPr="002D0731">
        <w:rPr>
          <w:szCs w:val="22"/>
          <w:lang w:val="hu-HU"/>
        </w:rPr>
        <w:t>,</w:t>
      </w:r>
      <w:r w:rsidRPr="002D0731">
        <w:rPr>
          <w:szCs w:val="22"/>
          <w:lang w:val="hu-HU"/>
        </w:rPr>
        <w:t xml:space="preserve"> és </w:t>
      </w:r>
      <w:r w:rsidR="00F679A4" w:rsidRPr="002D0731">
        <w:rPr>
          <w:szCs w:val="22"/>
          <w:lang w:val="hu-HU"/>
        </w:rPr>
        <w:t>hat </w:t>
      </w:r>
      <w:r w:rsidRPr="002D0731">
        <w:rPr>
          <w:szCs w:val="22"/>
          <w:lang w:val="hu-HU"/>
        </w:rPr>
        <w:t>hónapon keresztül folyamatos leuprorelin</w:t>
      </w:r>
      <w:r w:rsidR="007369B9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acetát</w:t>
      </w:r>
      <w:r w:rsidR="002C7E6F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kioldódást biztosít.</w:t>
      </w:r>
    </w:p>
    <w:p w14:paraId="1BEAC387" w14:textId="77777777" w:rsidR="00CF3B77" w:rsidRPr="002D0731" w:rsidRDefault="00CF3B77" w:rsidP="002D073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185BC9A4" w14:textId="77777777" w:rsidR="00CF3B77" w:rsidRPr="002D0731" w:rsidRDefault="00CF3B77" w:rsidP="002D0731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Az előrehaladott prosztata</w:t>
      </w:r>
      <w:r w:rsidR="00DE6BA0" w:rsidRPr="002D0731">
        <w:rPr>
          <w:szCs w:val="22"/>
          <w:lang w:val="hu-HU"/>
        </w:rPr>
        <w:t>daganat</w:t>
      </w:r>
      <w:r w:rsidRPr="002D0731">
        <w:rPr>
          <w:szCs w:val="22"/>
          <w:lang w:val="hu-HU"/>
        </w:rPr>
        <w:t xml:space="preserve"> kezelése az </w:t>
      </w:r>
      <w:r w:rsidR="000E13E8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0E13E8" w:rsidRPr="002D0731">
        <w:rPr>
          <w:szCs w:val="22"/>
          <w:lang w:val="hu-HU"/>
        </w:rPr>
        <w:t xml:space="preserve"> </w:t>
      </w:r>
      <w:r w:rsidR="0021027A" w:rsidRPr="002D0731">
        <w:rPr>
          <w:szCs w:val="22"/>
          <w:lang w:val="hu-HU"/>
        </w:rPr>
        <w:t>45</w:t>
      </w:r>
      <w:r w:rsidRPr="002D0731">
        <w:rPr>
          <w:szCs w:val="22"/>
          <w:lang w:val="hu-HU"/>
        </w:rPr>
        <w:t> mg készítménnyel hosszú</w:t>
      </w:r>
      <w:r w:rsidR="00333810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távú kezelést igényel</w:t>
      </w:r>
      <w:r w:rsidR="001877FB" w:rsidRPr="002D0731">
        <w:rPr>
          <w:szCs w:val="22"/>
          <w:lang w:val="hu-HU"/>
        </w:rPr>
        <w:t>,</w:t>
      </w:r>
      <w:r w:rsidRPr="002D0731">
        <w:rPr>
          <w:szCs w:val="22"/>
          <w:lang w:val="hu-HU"/>
        </w:rPr>
        <w:t xml:space="preserve"> </w:t>
      </w:r>
      <w:r w:rsidR="00FE7F90" w:rsidRPr="002D0731">
        <w:rPr>
          <w:szCs w:val="22"/>
          <w:lang w:val="hu-HU"/>
        </w:rPr>
        <w:t>a</w:t>
      </w:r>
      <w:r w:rsidR="0021027A" w:rsidRPr="002D0731">
        <w:rPr>
          <w:szCs w:val="22"/>
          <w:lang w:val="hu-HU"/>
        </w:rPr>
        <w:t>melyet</w:t>
      </w:r>
      <w:r w:rsidRPr="002D0731">
        <w:rPr>
          <w:szCs w:val="22"/>
          <w:lang w:val="hu-HU"/>
        </w:rPr>
        <w:t xml:space="preserve"> remisszió vagy javulás </w:t>
      </w:r>
      <w:r w:rsidR="00C474E5" w:rsidRPr="002D0731">
        <w:rPr>
          <w:szCs w:val="22"/>
          <w:lang w:val="hu-HU"/>
        </w:rPr>
        <w:t xml:space="preserve">esetén </w:t>
      </w:r>
      <w:r w:rsidRPr="002D0731">
        <w:rPr>
          <w:szCs w:val="22"/>
          <w:lang w:val="hu-HU"/>
        </w:rPr>
        <w:t>sem szabad abbahagyni.</w:t>
      </w:r>
    </w:p>
    <w:p w14:paraId="145369E1" w14:textId="77777777" w:rsidR="003243D0" w:rsidRPr="002D0731" w:rsidRDefault="003243D0" w:rsidP="002D073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5F119349" w14:textId="77777777" w:rsidR="003243D0" w:rsidRPr="002D0731" w:rsidRDefault="003243D0" w:rsidP="002D073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Eligard 45 mg </w:t>
      </w:r>
      <w:r w:rsidR="00804CC9" w:rsidRPr="002D0731">
        <w:rPr>
          <w:szCs w:val="22"/>
          <w:lang w:val="hu-HU"/>
        </w:rPr>
        <w:t>neoadjuváns vagy adjuváns terápiaként alkalmazható, sugárkezeléssel kombinálva, magas kockázatú szervre lokalizált, valamint lokálisan előrehaladott prosztatarák esetén.</w:t>
      </w:r>
    </w:p>
    <w:p w14:paraId="404C3A5A" w14:textId="77777777" w:rsidR="003243D0" w:rsidRPr="002D0731" w:rsidRDefault="003243D0" w:rsidP="002D073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47675893" w14:textId="77777777" w:rsidR="00CF3B77" w:rsidRPr="002D0731" w:rsidRDefault="00CF3B77" w:rsidP="002D0731">
      <w:pPr>
        <w:rPr>
          <w:sz w:val="22"/>
          <w:szCs w:val="22"/>
        </w:rPr>
      </w:pPr>
      <w:r w:rsidRPr="00B35B1B">
        <w:rPr>
          <w:sz w:val="22"/>
          <w:szCs w:val="22"/>
        </w:rPr>
        <w:t xml:space="preserve">Az </w:t>
      </w:r>
      <w:r w:rsidR="000E13E8" w:rsidRPr="00B35B1B">
        <w:rPr>
          <w:sz w:val="22"/>
          <w:szCs w:val="22"/>
        </w:rPr>
        <w:t>E</w:t>
      </w:r>
      <w:r w:rsidR="00752BEB" w:rsidRPr="00B35B1B">
        <w:rPr>
          <w:sz w:val="22"/>
          <w:szCs w:val="22"/>
        </w:rPr>
        <w:t>ligard</w:t>
      </w:r>
      <w:r w:rsidR="000E13E8" w:rsidRPr="00B35B1B">
        <w:rPr>
          <w:sz w:val="22"/>
          <w:szCs w:val="22"/>
        </w:rPr>
        <w:t xml:space="preserve"> </w:t>
      </w:r>
      <w:r w:rsidR="0021027A" w:rsidRPr="00B35B1B">
        <w:rPr>
          <w:sz w:val="22"/>
          <w:szCs w:val="22"/>
        </w:rPr>
        <w:t>45</w:t>
      </w:r>
      <w:r w:rsidRPr="00B35B1B">
        <w:rPr>
          <w:sz w:val="22"/>
          <w:szCs w:val="22"/>
        </w:rPr>
        <w:t> mg</w:t>
      </w:r>
      <w:r w:rsidR="000E13E8" w:rsidRPr="00B35B1B">
        <w:rPr>
          <w:sz w:val="22"/>
          <w:szCs w:val="22"/>
        </w:rPr>
        <w:noBreakHyphen/>
      </w:r>
      <w:r w:rsidRPr="00B35B1B">
        <w:rPr>
          <w:sz w:val="22"/>
          <w:szCs w:val="22"/>
        </w:rPr>
        <w:t xml:space="preserve">kezelésre adott válaszreakciót a klinikai paraméterek és a </w:t>
      </w:r>
      <w:r w:rsidR="005D32BA">
        <w:rPr>
          <w:sz w:val="22"/>
          <w:szCs w:val="22"/>
        </w:rPr>
        <w:t xml:space="preserve">szérum </w:t>
      </w:r>
      <w:r w:rsidRPr="00B35B1B">
        <w:rPr>
          <w:sz w:val="22"/>
          <w:szCs w:val="22"/>
        </w:rPr>
        <w:t>prosztataspecifikus antigén</w:t>
      </w:r>
      <w:r w:rsidR="000E13E8" w:rsidRPr="00B35B1B">
        <w:rPr>
          <w:sz w:val="22"/>
          <w:szCs w:val="22"/>
        </w:rPr>
        <w:t> </w:t>
      </w:r>
      <w:r w:rsidRPr="00B35B1B">
        <w:rPr>
          <w:sz w:val="22"/>
          <w:szCs w:val="22"/>
        </w:rPr>
        <w:t>(PSA) szint</w:t>
      </w:r>
      <w:r w:rsidR="007771F6" w:rsidRPr="00B35B1B">
        <w:rPr>
          <w:sz w:val="22"/>
          <w:szCs w:val="22"/>
        </w:rPr>
        <w:t>jének</w:t>
      </w:r>
      <w:r w:rsidRPr="00B35B1B">
        <w:rPr>
          <w:sz w:val="22"/>
          <w:szCs w:val="22"/>
        </w:rPr>
        <w:t xml:space="preserve"> mérésével kell nyomon követni. Klinikai vizsgálatok azt mutatták, hogy a kezelés első 3</w:t>
      </w:r>
      <w:r w:rsidR="000E13E8" w:rsidRPr="00B35B1B">
        <w:rPr>
          <w:sz w:val="22"/>
          <w:szCs w:val="22"/>
        </w:rPr>
        <w:t> </w:t>
      </w:r>
      <w:r w:rsidRPr="00B35B1B">
        <w:rPr>
          <w:sz w:val="22"/>
          <w:szCs w:val="22"/>
        </w:rPr>
        <w:t xml:space="preserve">napja során a </w:t>
      </w:r>
      <w:r w:rsidR="007C69B4" w:rsidRPr="00B35B1B">
        <w:rPr>
          <w:sz w:val="22"/>
          <w:szCs w:val="22"/>
        </w:rPr>
        <w:t>kasztráción</w:t>
      </w:r>
      <w:r w:rsidRPr="00B35B1B">
        <w:rPr>
          <w:sz w:val="22"/>
          <w:szCs w:val="22"/>
        </w:rPr>
        <w:t xml:space="preserve"> át nem esett betegek többségében a tesztoszte</w:t>
      </w:r>
      <w:r w:rsidR="0021027A" w:rsidRPr="00B35B1B">
        <w:rPr>
          <w:sz w:val="22"/>
          <w:szCs w:val="22"/>
        </w:rPr>
        <w:t>ronszint megemelkedett, majd 3</w:t>
      </w:r>
      <w:r w:rsidR="000E13E8" w:rsidRPr="00B35B1B">
        <w:rPr>
          <w:sz w:val="22"/>
          <w:szCs w:val="22"/>
        </w:rPr>
        <w:noBreakHyphen/>
      </w:r>
      <w:r w:rsidR="0021027A" w:rsidRPr="00B35B1B">
        <w:rPr>
          <w:sz w:val="22"/>
          <w:szCs w:val="22"/>
        </w:rPr>
        <w:t>4</w:t>
      </w:r>
      <w:r w:rsidR="000E13E8" w:rsidRPr="00B35B1B">
        <w:rPr>
          <w:sz w:val="22"/>
          <w:szCs w:val="22"/>
        </w:rPr>
        <w:t> </w:t>
      </w:r>
      <w:r w:rsidRPr="00B35B1B">
        <w:rPr>
          <w:sz w:val="22"/>
          <w:szCs w:val="22"/>
        </w:rPr>
        <w:t>héten belül az orvosi kasztrációs szint alá csökkent. Miután a tesztoszteronszint a kasztrációs szintre csökkent, a gyógyszeres kezelés teljes időtartama alatt ezen az alacsony szinten maradt</w:t>
      </w:r>
      <w:r w:rsidR="00F50243" w:rsidRPr="00B35B1B">
        <w:rPr>
          <w:sz w:val="22"/>
          <w:szCs w:val="22"/>
        </w:rPr>
        <w:t xml:space="preserve"> (&lt; 1% tes</w:t>
      </w:r>
      <w:r w:rsidR="000E13E8" w:rsidRPr="00B35B1B">
        <w:rPr>
          <w:sz w:val="22"/>
          <w:szCs w:val="22"/>
        </w:rPr>
        <w:t>z</w:t>
      </w:r>
      <w:r w:rsidR="00F50243" w:rsidRPr="00B35B1B">
        <w:rPr>
          <w:sz w:val="22"/>
          <w:szCs w:val="22"/>
        </w:rPr>
        <w:t>tos</w:t>
      </w:r>
      <w:r w:rsidR="000E13E8" w:rsidRPr="00B35B1B">
        <w:rPr>
          <w:sz w:val="22"/>
          <w:szCs w:val="22"/>
        </w:rPr>
        <w:t>z</w:t>
      </w:r>
      <w:r w:rsidR="00F50243" w:rsidRPr="00B35B1B">
        <w:rPr>
          <w:sz w:val="22"/>
          <w:szCs w:val="22"/>
        </w:rPr>
        <w:t>teron</w:t>
      </w:r>
      <w:r w:rsidR="00FE7F90" w:rsidRPr="00B35B1B">
        <w:rPr>
          <w:sz w:val="22"/>
          <w:szCs w:val="22"/>
        </w:rPr>
        <w:t>-</w:t>
      </w:r>
      <w:r w:rsidR="000E13E8" w:rsidRPr="00B35B1B">
        <w:rPr>
          <w:sz w:val="22"/>
          <w:szCs w:val="22"/>
        </w:rPr>
        <w:t>áttörés</w:t>
      </w:r>
      <w:r w:rsidR="00F50243" w:rsidRPr="00B35B1B">
        <w:rPr>
          <w:sz w:val="22"/>
          <w:szCs w:val="22"/>
        </w:rPr>
        <w:t>)</w:t>
      </w:r>
      <w:r w:rsidRPr="00B35B1B">
        <w:rPr>
          <w:sz w:val="22"/>
          <w:szCs w:val="22"/>
        </w:rPr>
        <w:t xml:space="preserve">. Ha </w:t>
      </w:r>
      <w:r w:rsidR="007F1934" w:rsidRPr="00B35B1B">
        <w:rPr>
          <w:sz w:val="22"/>
          <w:szCs w:val="22"/>
        </w:rPr>
        <w:t xml:space="preserve">úgy tűnik, hogy </w:t>
      </w:r>
      <w:r w:rsidRPr="00B35B1B">
        <w:rPr>
          <w:sz w:val="22"/>
          <w:szCs w:val="22"/>
        </w:rPr>
        <w:t xml:space="preserve">a beteg válaszreakciója az optimálisnál kisebb, </w:t>
      </w:r>
      <w:r w:rsidR="00AF180A" w:rsidRPr="00B35B1B">
        <w:rPr>
          <w:sz w:val="22"/>
          <w:szCs w:val="22"/>
        </w:rPr>
        <w:t>ellenőrizni</w:t>
      </w:r>
      <w:r w:rsidR="00C474E5" w:rsidRPr="00B35B1B">
        <w:rPr>
          <w:sz w:val="22"/>
          <w:szCs w:val="22"/>
        </w:rPr>
        <w:t xml:space="preserve"> kell</w:t>
      </w:r>
      <w:r w:rsidRPr="00B35B1B">
        <w:rPr>
          <w:sz w:val="22"/>
          <w:szCs w:val="22"/>
        </w:rPr>
        <w:t>, hogy a szérum tesztoszteronszint elérte</w:t>
      </w:r>
      <w:r w:rsidR="000E13E8" w:rsidRPr="00B35B1B">
        <w:rPr>
          <w:sz w:val="22"/>
          <w:szCs w:val="22"/>
        </w:rPr>
        <w:noBreakHyphen/>
      </w:r>
      <w:r w:rsidRPr="00B35B1B">
        <w:rPr>
          <w:sz w:val="22"/>
          <w:szCs w:val="22"/>
        </w:rPr>
        <w:t xml:space="preserve">e </w:t>
      </w:r>
      <w:r w:rsidR="00040D3A" w:rsidRPr="005B41E1">
        <w:rPr>
          <w:sz w:val="22"/>
          <w:szCs w:val="22"/>
        </w:rPr>
        <w:lastRenderedPageBreak/>
        <w:t>kasztrációs szintet vagy ezen a szinten marad-e.</w:t>
      </w:r>
      <w:r w:rsidR="0072486B" w:rsidRPr="002D0731">
        <w:rPr>
          <w:sz w:val="22"/>
          <w:szCs w:val="22"/>
        </w:rPr>
        <w:t xml:space="preserve"> Mivel a hatás elmaradása a nem megfelelő elkészítésből, feloldásból, illetve adagolásból is következhet, a tesztoszteronszinteket a feltételezett vagy ismert kezelési hibák esetében kell értékelni (lásd 4.4. pont).</w:t>
      </w:r>
    </w:p>
    <w:p w14:paraId="62BDDCFC" w14:textId="77777777" w:rsidR="004C6DAD" w:rsidRPr="00B35B1B" w:rsidRDefault="004C6DAD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28D3AABB" w14:textId="77777777" w:rsidR="004C6DAD" w:rsidRPr="002D0731" w:rsidRDefault="00A84868" w:rsidP="003654E7">
      <w:pPr>
        <w:pStyle w:val="WW-Szvegtrzs2"/>
        <w:rPr>
          <w:szCs w:val="22"/>
        </w:rPr>
      </w:pPr>
      <w:r w:rsidRPr="00B35B1B">
        <w:rPr>
          <w:i w:val="0"/>
          <w:szCs w:val="22"/>
        </w:rPr>
        <w:t>Folytatható a GnRH</w:t>
      </w:r>
      <w:r w:rsidR="007178C5">
        <w:rPr>
          <w:i w:val="0"/>
          <w:szCs w:val="22"/>
        </w:rPr>
        <w:noBreakHyphen/>
      </w:r>
      <w:r w:rsidRPr="00B35B1B">
        <w:rPr>
          <w:i w:val="0"/>
          <w:szCs w:val="22"/>
        </w:rPr>
        <w:t>agonista</w:t>
      </w:r>
      <w:r w:rsidR="00583C72">
        <w:rPr>
          <w:i w:val="0"/>
          <w:szCs w:val="22"/>
        </w:rPr>
        <w:noBreakHyphen/>
      </w:r>
      <w:r w:rsidRPr="00B35B1B">
        <w:rPr>
          <w:i w:val="0"/>
          <w:szCs w:val="22"/>
        </w:rPr>
        <w:t>kezelés olyan sebészi kasztráción át nem esett, metasztázisos, kasztrációrezisztens prosztatadaganatos betegek esetén, akik GnRH</w:t>
      </w:r>
      <w:r w:rsidR="00507476">
        <w:rPr>
          <w:i w:val="0"/>
          <w:szCs w:val="22"/>
        </w:rPr>
        <w:noBreakHyphen/>
      </w:r>
      <w:r w:rsidRPr="00B35B1B">
        <w:rPr>
          <w:i w:val="0"/>
          <w:szCs w:val="22"/>
        </w:rPr>
        <w:t>agonistát, mint pl. leuprorelint kapnak és kezelhetők androgén</w:t>
      </w:r>
      <w:r w:rsidR="00D21CE2">
        <w:rPr>
          <w:i w:val="0"/>
          <w:szCs w:val="22"/>
        </w:rPr>
        <w:noBreakHyphen/>
      </w:r>
      <w:r w:rsidRPr="00B35B1B">
        <w:rPr>
          <w:i w:val="0"/>
          <w:szCs w:val="22"/>
        </w:rPr>
        <w:t>bioszintézis</w:t>
      </w:r>
      <w:r w:rsidR="00D21CE2">
        <w:rPr>
          <w:i w:val="0"/>
          <w:szCs w:val="22"/>
        </w:rPr>
        <w:noBreakHyphen/>
      </w:r>
      <w:r w:rsidRPr="00B35B1B">
        <w:rPr>
          <w:i w:val="0"/>
          <w:szCs w:val="22"/>
        </w:rPr>
        <w:t>inhibitorokkal vagy androgén</w:t>
      </w:r>
      <w:r w:rsidR="00D21CE2">
        <w:rPr>
          <w:i w:val="0"/>
          <w:szCs w:val="22"/>
        </w:rPr>
        <w:noBreakHyphen/>
      </w:r>
      <w:r w:rsidRPr="00B35B1B">
        <w:rPr>
          <w:i w:val="0"/>
          <w:szCs w:val="22"/>
        </w:rPr>
        <w:t>receptor</w:t>
      </w:r>
      <w:r w:rsidR="00D21CE2">
        <w:rPr>
          <w:i w:val="0"/>
          <w:szCs w:val="22"/>
        </w:rPr>
        <w:noBreakHyphen/>
      </w:r>
      <w:r w:rsidRPr="00B35B1B">
        <w:rPr>
          <w:i w:val="0"/>
          <w:szCs w:val="22"/>
        </w:rPr>
        <w:t>inhibitorokkal.</w:t>
      </w:r>
    </w:p>
    <w:p w14:paraId="5B499316" w14:textId="77777777" w:rsidR="00CF3B77" w:rsidRPr="002D0731" w:rsidRDefault="00CF3B77">
      <w:pPr>
        <w:pStyle w:val="WW-Szvegtrzs2"/>
        <w:jc w:val="both"/>
        <w:rPr>
          <w:i w:val="0"/>
          <w:szCs w:val="22"/>
          <w:shd w:val="clear" w:color="auto" w:fill="FFFF00"/>
        </w:rPr>
      </w:pPr>
    </w:p>
    <w:p w14:paraId="309C93F3" w14:textId="77777777" w:rsidR="00E82234" w:rsidRPr="002D0731" w:rsidRDefault="00E82234">
      <w:pPr>
        <w:pStyle w:val="Vgjegyzetszvege"/>
        <w:tabs>
          <w:tab w:val="clear" w:pos="567"/>
        </w:tabs>
        <w:jc w:val="both"/>
        <w:rPr>
          <w:i/>
          <w:szCs w:val="22"/>
          <w:lang w:val="hu-HU"/>
        </w:rPr>
      </w:pPr>
      <w:r w:rsidRPr="002D0731">
        <w:rPr>
          <w:i/>
          <w:szCs w:val="22"/>
          <w:lang w:val="hu-HU"/>
        </w:rPr>
        <w:t>Gyermekek</w:t>
      </w:r>
      <w:r w:rsidR="007A3754">
        <w:rPr>
          <w:i/>
          <w:szCs w:val="22"/>
          <w:lang w:val="hu-HU"/>
        </w:rPr>
        <w:t xml:space="preserve"> és serdülők</w:t>
      </w:r>
      <w:r w:rsidRPr="002D0731">
        <w:rPr>
          <w:i/>
          <w:szCs w:val="22"/>
          <w:lang w:val="hu-HU"/>
        </w:rPr>
        <w:t>:</w:t>
      </w:r>
    </w:p>
    <w:p w14:paraId="01E4ACC5" w14:textId="77777777" w:rsidR="00E82234" w:rsidRPr="002D0731" w:rsidRDefault="00E82234" w:rsidP="00727895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Az Eligard</w:t>
      </w:r>
      <w:r w:rsidR="00F10751">
        <w:rPr>
          <w:szCs w:val="22"/>
          <w:lang w:val="hu-HU"/>
        </w:rPr>
        <w:t xml:space="preserve"> 45 mg</w:t>
      </w:r>
      <w:r w:rsidRPr="002D0731">
        <w:rPr>
          <w:szCs w:val="22"/>
          <w:lang w:val="hu-HU"/>
        </w:rPr>
        <w:t xml:space="preserve"> biztonságosságát és hatásosságát 0 és 18</w:t>
      </w:r>
      <w:r w:rsidR="00B85BB4">
        <w:rPr>
          <w:szCs w:val="22"/>
          <w:lang w:val="hu-HU"/>
        </w:rPr>
        <w:t> </w:t>
      </w:r>
      <w:r w:rsidRPr="002D0731">
        <w:rPr>
          <w:szCs w:val="22"/>
          <w:lang w:val="hu-HU"/>
        </w:rPr>
        <w:t>év közötti gyermekek esetében</w:t>
      </w:r>
      <w:r w:rsidRPr="002D0731" w:rsidDel="00155CD5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nem igazolták (</w:t>
      </w:r>
      <w:r w:rsidR="002D0731">
        <w:rPr>
          <w:szCs w:val="22"/>
          <w:lang w:val="hu-HU"/>
        </w:rPr>
        <w:t>l</w:t>
      </w:r>
      <w:r w:rsidRPr="002D0731">
        <w:rPr>
          <w:szCs w:val="22"/>
          <w:lang w:val="hu-HU"/>
        </w:rPr>
        <w:t>ásd 4.3 pont)</w:t>
      </w:r>
      <w:r w:rsidR="002D0731">
        <w:rPr>
          <w:szCs w:val="22"/>
          <w:lang w:val="hu-HU"/>
        </w:rPr>
        <w:t>.</w:t>
      </w:r>
    </w:p>
    <w:p w14:paraId="3CC4ACBA" w14:textId="77777777" w:rsidR="00E82234" w:rsidRPr="002D0731" w:rsidRDefault="00E82234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60232706" w14:textId="1059BF8B" w:rsidR="00E82234" w:rsidRPr="002D0731" w:rsidRDefault="009514D4">
      <w:pPr>
        <w:pStyle w:val="Vgjegyzetszvege"/>
        <w:tabs>
          <w:tab w:val="clear" w:pos="567"/>
        </w:tabs>
        <w:jc w:val="both"/>
        <w:rPr>
          <w:i/>
          <w:szCs w:val="22"/>
          <w:lang w:val="hu-HU"/>
        </w:rPr>
      </w:pPr>
      <w:r>
        <w:rPr>
          <w:i/>
          <w:szCs w:val="22"/>
          <w:lang w:val="hu-HU"/>
        </w:rPr>
        <w:t>Különleges</w:t>
      </w:r>
      <w:r w:rsidRPr="002D0731">
        <w:rPr>
          <w:i/>
          <w:szCs w:val="22"/>
          <w:lang w:val="hu-HU"/>
        </w:rPr>
        <w:t xml:space="preserve"> </w:t>
      </w:r>
      <w:r w:rsidR="00E82234" w:rsidRPr="002D0731">
        <w:rPr>
          <w:i/>
          <w:szCs w:val="22"/>
          <w:lang w:val="hu-HU"/>
        </w:rPr>
        <w:t>beteg</w:t>
      </w:r>
      <w:r w:rsidR="00953757">
        <w:rPr>
          <w:i/>
          <w:szCs w:val="22"/>
          <w:lang w:val="hu-HU"/>
        </w:rPr>
        <w:t>csoportok</w:t>
      </w:r>
      <w:r w:rsidR="00E82234" w:rsidRPr="002D0731">
        <w:rPr>
          <w:i/>
          <w:szCs w:val="22"/>
          <w:lang w:val="hu-HU"/>
        </w:rPr>
        <w:t>:</w:t>
      </w:r>
    </w:p>
    <w:p w14:paraId="3F9CFEA6" w14:textId="77777777" w:rsidR="00E82234" w:rsidRPr="002D0731" w:rsidRDefault="00E82234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  <w:r w:rsidRPr="002D0731">
        <w:rPr>
          <w:szCs w:val="22"/>
          <w:lang w:val="hu-HU"/>
        </w:rPr>
        <w:t>Károsodott vese- vagy májfunkciójú betegeken nem végeztek klinikai vizsgálatokat.</w:t>
      </w:r>
    </w:p>
    <w:p w14:paraId="04E20E9C" w14:textId="77777777" w:rsidR="00E82234" w:rsidRPr="002D0731" w:rsidRDefault="00E82234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6F572427" w14:textId="77777777" w:rsidR="00E82234" w:rsidRPr="002D0731" w:rsidRDefault="00B44417">
      <w:pPr>
        <w:jc w:val="both"/>
        <w:rPr>
          <w:sz w:val="22"/>
          <w:szCs w:val="22"/>
          <w:u w:val="single"/>
        </w:rPr>
      </w:pPr>
      <w:r w:rsidRPr="000B2E2C">
        <w:rPr>
          <w:sz w:val="22"/>
          <w:szCs w:val="22"/>
          <w:u w:val="single"/>
        </w:rPr>
        <w:t>Az alkalmazás módja</w:t>
      </w:r>
    </w:p>
    <w:p w14:paraId="7D12CFD2" w14:textId="77777777" w:rsidR="00DF6AAE" w:rsidRDefault="0072486B" w:rsidP="003654E7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66354F">
        <w:rPr>
          <w:b w:val="0"/>
          <w:szCs w:val="22"/>
          <w:lang w:val="hu-HU"/>
        </w:rPr>
        <w:t>Az E</w:t>
      </w:r>
      <w:r w:rsidR="00507476">
        <w:rPr>
          <w:b w:val="0"/>
          <w:szCs w:val="22"/>
          <w:lang w:val="hu-HU"/>
        </w:rPr>
        <w:t>ligard</w:t>
      </w:r>
      <w:r w:rsidRPr="0066354F">
        <w:rPr>
          <w:b w:val="0"/>
          <w:szCs w:val="22"/>
          <w:lang w:val="hu-HU"/>
        </w:rPr>
        <w:t xml:space="preserve"> </w:t>
      </w:r>
      <w:r w:rsidR="0066354F">
        <w:rPr>
          <w:b w:val="0"/>
          <w:szCs w:val="22"/>
          <w:lang w:val="hu-HU"/>
        </w:rPr>
        <w:t>4</w:t>
      </w:r>
      <w:r w:rsidRPr="0066354F">
        <w:rPr>
          <w:b w:val="0"/>
          <w:szCs w:val="22"/>
          <w:lang w:val="hu-HU"/>
        </w:rPr>
        <w:t>5</w:t>
      </w:r>
      <w:r w:rsidR="00A85528">
        <w:rPr>
          <w:b w:val="0"/>
          <w:szCs w:val="22"/>
          <w:lang w:val="hu-HU"/>
        </w:rPr>
        <w:t> </w:t>
      </w:r>
      <w:r w:rsidRPr="0066354F">
        <w:rPr>
          <w:b w:val="0"/>
          <w:szCs w:val="22"/>
          <w:lang w:val="hu-HU"/>
        </w:rPr>
        <w:t>mg el</w:t>
      </w:r>
      <w:r w:rsidR="00D61575">
        <w:rPr>
          <w:b w:val="0"/>
          <w:szCs w:val="22"/>
          <w:lang w:val="hu-HU"/>
        </w:rPr>
        <w:t>ő</w:t>
      </w:r>
      <w:r w:rsidRPr="0066354F">
        <w:rPr>
          <w:b w:val="0"/>
          <w:szCs w:val="22"/>
          <w:lang w:val="hu-HU"/>
        </w:rPr>
        <w:t xml:space="preserve">készítését, feloldását és </w:t>
      </w:r>
      <w:r w:rsidR="00D61575">
        <w:rPr>
          <w:b w:val="0"/>
          <w:szCs w:val="22"/>
          <w:lang w:val="hu-HU"/>
        </w:rPr>
        <w:t>alkalmazását</w:t>
      </w:r>
      <w:r w:rsidR="00D61575" w:rsidRPr="0066354F">
        <w:rPr>
          <w:b w:val="0"/>
          <w:szCs w:val="22"/>
          <w:lang w:val="hu-HU"/>
        </w:rPr>
        <w:t xml:space="preserve"> </w:t>
      </w:r>
      <w:r w:rsidRPr="0066354F">
        <w:rPr>
          <w:b w:val="0"/>
          <w:szCs w:val="22"/>
          <w:lang w:val="hu-HU"/>
        </w:rPr>
        <w:t>kizárólag</w:t>
      </w:r>
      <w:r w:rsidR="00D61575">
        <w:rPr>
          <w:b w:val="0"/>
          <w:szCs w:val="22"/>
          <w:lang w:val="hu-HU"/>
        </w:rPr>
        <w:t xml:space="preserve"> az ezekben az eljárásmódokban jártas</w:t>
      </w:r>
      <w:r w:rsidRPr="0066354F">
        <w:rPr>
          <w:b w:val="0"/>
          <w:szCs w:val="22"/>
          <w:lang w:val="hu-HU"/>
        </w:rPr>
        <w:t xml:space="preserve"> egészségügyi</w:t>
      </w:r>
      <w:r w:rsidR="0066354F">
        <w:rPr>
          <w:b w:val="0"/>
          <w:szCs w:val="22"/>
          <w:lang w:val="hu-HU"/>
        </w:rPr>
        <w:t xml:space="preserve"> </w:t>
      </w:r>
      <w:r w:rsidRPr="0066354F">
        <w:rPr>
          <w:b w:val="0"/>
          <w:szCs w:val="22"/>
          <w:lang w:val="hu-HU"/>
        </w:rPr>
        <w:t>szakemberek</w:t>
      </w:r>
      <w:r w:rsidR="0066354F">
        <w:rPr>
          <w:b w:val="0"/>
          <w:szCs w:val="22"/>
          <w:lang w:val="hu-HU"/>
        </w:rPr>
        <w:t xml:space="preserve"> </w:t>
      </w:r>
      <w:r w:rsidRPr="0066354F">
        <w:rPr>
          <w:b w:val="0"/>
          <w:szCs w:val="22"/>
          <w:lang w:val="hu-HU"/>
        </w:rPr>
        <w:t>végezzék</w:t>
      </w:r>
      <w:r w:rsidR="00D61575">
        <w:rPr>
          <w:b w:val="0"/>
          <w:szCs w:val="22"/>
          <w:lang w:val="hu-HU"/>
        </w:rPr>
        <w:t>.</w:t>
      </w:r>
      <w:r w:rsidR="00DF6AAE" w:rsidRPr="00DF6AAE">
        <w:rPr>
          <w:b w:val="0"/>
          <w:szCs w:val="22"/>
          <w:lang w:val="hu-HU"/>
        </w:rPr>
        <w:t xml:space="preserve"> </w:t>
      </w:r>
      <w:r w:rsidR="00D61575" w:rsidRPr="00D61575">
        <w:rPr>
          <w:b w:val="0"/>
          <w:szCs w:val="22"/>
          <w:lang w:val="hu-HU"/>
        </w:rPr>
        <w:t>Pontosan követni kell a feloldásra és beadásra vonatkozó utasításokat (lásd a 4.4 és a 6.6 pontot).</w:t>
      </w:r>
    </w:p>
    <w:p w14:paraId="55BB9B9B" w14:textId="77777777" w:rsidR="0072486B" w:rsidRPr="00CC7A49" w:rsidRDefault="0072486B" w:rsidP="003654E7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3654E7">
        <w:rPr>
          <w:b w:val="0"/>
          <w:szCs w:val="22"/>
          <w:lang w:val="hu-HU"/>
        </w:rPr>
        <w:t>Amennyiben a termék elkészítése nem megfelelő, nem szabad beadni.</w:t>
      </w:r>
    </w:p>
    <w:p w14:paraId="194D6DF1" w14:textId="77777777" w:rsidR="00CF3B77" w:rsidRPr="002D0731" w:rsidRDefault="00CF3B77">
      <w:pPr>
        <w:jc w:val="both"/>
        <w:rPr>
          <w:sz w:val="22"/>
          <w:szCs w:val="22"/>
          <w:u w:val="single"/>
          <w:shd w:val="clear" w:color="auto" w:fill="FFFF00"/>
        </w:rPr>
      </w:pPr>
    </w:p>
    <w:p w14:paraId="4A7F67DA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 két előretöltött steril fecskendő tartalmát közvetlenül az </w:t>
      </w:r>
      <w:r w:rsidR="000E13E8" w:rsidRPr="002D0731">
        <w:rPr>
          <w:sz w:val="22"/>
          <w:szCs w:val="22"/>
        </w:rPr>
        <w:t>E</w:t>
      </w:r>
      <w:r w:rsidR="005E7118" w:rsidRPr="002D0731">
        <w:rPr>
          <w:sz w:val="22"/>
          <w:szCs w:val="22"/>
        </w:rPr>
        <w:t>ligard</w:t>
      </w:r>
      <w:r w:rsidR="000E13E8" w:rsidRPr="002D0731">
        <w:rPr>
          <w:sz w:val="22"/>
          <w:szCs w:val="22"/>
        </w:rPr>
        <w:t xml:space="preserve"> </w:t>
      </w:r>
      <w:r w:rsidR="00A30D6B" w:rsidRPr="002D0731">
        <w:rPr>
          <w:sz w:val="22"/>
          <w:szCs w:val="22"/>
        </w:rPr>
        <w:t>45</w:t>
      </w:r>
      <w:r w:rsidRPr="002D0731">
        <w:rPr>
          <w:sz w:val="22"/>
          <w:szCs w:val="22"/>
        </w:rPr>
        <w:t xml:space="preserve"> mg </w:t>
      </w:r>
      <w:r w:rsidR="00A30D6B" w:rsidRPr="002D0731">
        <w:rPr>
          <w:sz w:val="22"/>
          <w:szCs w:val="22"/>
        </w:rPr>
        <w:t xml:space="preserve">injekció </w:t>
      </w:r>
      <w:r w:rsidRPr="002D0731">
        <w:rPr>
          <w:sz w:val="22"/>
          <w:szCs w:val="22"/>
        </w:rPr>
        <w:t xml:space="preserve">szubkután beadását megelőzően kell elegyíteni. </w:t>
      </w:r>
    </w:p>
    <w:p w14:paraId="14C003F8" w14:textId="5E15F9E2" w:rsidR="00CF3B77" w:rsidRPr="002D0731" w:rsidRDefault="00CF3B77">
      <w:pPr>
        <w:jc w:val="both"/>
        <w:rPr>
          <w:sz w:val="22"/>
          <w:szCs w:val="22"/>
        </w:rPr>
      </w:pPr>
    </w:p>
    <w:p w14:paraId="2564F88B" w14:textId="77777777" w:rsidR="00CF3B77" w:rsidRPr="002D0731" w:rsidRDefault="00CF3B77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Állatkísérlete</w:t>
      </w:r>
      <w:r w:rsidR="00E95732" w:rsidRPr="002D0731">
        <w:rPr>
          <w:szCs w:val="22"/>
          <w:lang w:val="hu-HU"/>
        </w:rPr>
        <w:t>s</w:t>
      </w:r>
      <w:r w:rsidRPr="002D0731">
        <w:rPr>
          <w:szCs w:val="22"/>
          <w:lang w:val="hu-HU"/>
        </w:rPr>
        <w:t xml:space="preserve"> adatok alapján a</w:t>
      </w:r>
      <w:r w:rsidR="00FF4E0E" w:rsidRPr="002D0731">
        <w:rPr>
          <w:szCs w:val="22"/>
          <w:lang w:val="hu-HU"/>
        </w:rPr>
        <w:t>z</w:t>
      </w:r>
      <w:r w:rsidR="00050820" w:rsidRPr="002D0731">
        <w:rPr>
          <w:szCs w:val="22"/>
          <w:lang w:val="hu-HU"/>
        </w:rPr>
        <w:t xml:space="preserve"> injekció</w:t>
      </w:r>
      <w:r w:rsidRPr="002D0731">
        <w:rPr>
          <w:szCs w:val="22"/>
          <w:lang w:val="hu-HU"/>
        </w:rPr>
        <w:t xml:space="preserve"> </w:t>
      </w:r>
      <w:r w:rsidR="00A30D6B" w:rsidRPr="002D0731">
        <w:rPr>
          <w:szCs w:val="22"/>
          <w:lang w:val="hu-HU"/>
        </w:rPr>
        <w:t>intraart</w:t>
      </w:r>
      <w:r w:rsidR="00337335" w:rsidRPr="002D0731">
        <w:rPr>
          <w:szCs w:val="22"/>
          <w:lang w:val="hu-HU"/>
        </w:rPr>
        <w:t>eriálisan</w:t>
      </w:r>
      <w:r w:rsidRPr="002D0731">
        <w:rPr>
          <w:szCs w:val="22"/>
          <w:lang w:val="hu-HU"/>
        </w:rPr>
        <w:t xml:space="preserve"> vagy intravénásan </w:t>
      </w:r>
      <w:r w:rsidR="00050820" w:rsidRPr="002D0731">
        <w:rPr>
          <w:szCs w:val="22"/>
          <w:lang w:val="hu-HU"/>
        </w:rPr>
        <w:t xml:space="preserve">történő </w:t>
      </w:r>
      <w:r w:rsidRPr="002D0731">
        <w:rPr>
          <w:szCs w:val="22"/>
          <w:lang w:val="hu-HU"/>
        </w:rPr>
        <w:t>bea</w:t>
      </w:r>
      <w:r w:rsidR="00FB3D53" w:rsidRPr="002D0731">
        <w:rPr>
          <w:szCs w:val="22"/>
          <w:lang w:val="hu-HU"/>
        </w:rPr>
        <w:t>d</w:t>
      </w:r>
      <w:r w:rsidR="00050820" w:rsidRPr="002D0731">
        <w:rPr>
          <w:szCs w:val="22"/>
          <w:lang w:val="hu-HU"/>
        </w:rPr>
        <w:t>ása</w:t>
      </w:r>
      <w:r w:rsidRPr="002D0731">
        <w:rPr>
          <w:szCs w:val="22"/>
          <w:lang w:val="hu-HU"/>
        </w:rPr>
        <w:t xml:space="preserve"> szigorúan kerülendő.</w:t>
      </w:r>
    </w:p>
    <w:p w14:paraId="2D9FAFDC" w14:textId="77777777" w:rsidR="00CF3B77" w:rsidRPr="002D0731" w:rsidRDefault="00CF3B77">
      <w:pPr>
        <w:pStyle w:val="Vgjegyzetszvege"/>
        <w:tabs>
          <w:tab w:val="clear" w:pos="567"/>
        </w:tabs>
        <w:jc w:val="both"/>
        <w:rPr>
          <w:szCs w:val="22"/>
          <w:shd w:val="clear" w:color="auto" w:fill="FFFF00"/>
          <w:lang w:val="hu-HU"/>
        </w:rPr>
      </w:pPr>
    </w:p>
    <w:p w14:paraId="622A49B6" w14:textId="77777777" w:rsidR="00CF3B77" w:rsidRPr="002D0731" w:rsidRDefault="00DE6BA0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Egyéb</w:t>
      </w:r>
      <w:r w:rsidR="00CF3B77" w:rsidRPr="002D0731">
        <w:rPr>
          <w:szCs w:val="22"/>
          <w:lang w:val="hu-HU"/>
        </w:rPr>
        <w:t xml:space="preserve"> szubkután injekcióban beadott gyógyszerekhez hasonlóan a beadás helyét </w:t>
      </w:r>
      <w:r w:rsidR="00D063AF" w:rsidRPr="002D0731">
        <w:rPr>
          <w:szCs w:val="22"/>
          <w:lang w:val="hu-HU"/>
        </w:rPr>
        <w:t xml:space="preserve">rendszeresen </w:t>
      </w:r>
      <w:r w:rsidR="00CF3B77" w:rsidRPr="002D0731">
        <w:rPr>
          <w:szCs w:val="22"/>
          <w:lang w:val="hu-HU"/>
        </w:rPr>
        <w:t>váltogatni kell.</w:t>
      </w:r>
    </w:p>
    <w:p w14:paraId="0B5AAD34" w14:textId="77777777" w:rsidR="00CF3B77" w:rsidRPr="002D0731" w:rsidRDefault="00CF3B77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30B34E73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4.3</w:t>
      </w:r>
      <w:r w:rsidRPr="002D0731">
        <w:rPr>
          <w:b/>
          <w:sz w:val="22"/>
          <w:szCs w:val="22"/>
        </w:rPr>
        <w:tab/>
        <w:t>Ellenjavallatok</w:t>
      </w:r>
    </w:p>
    <w:p w14:paraId="69D57235" w14:textId="77777777" w:rsidR="00CF3B77" w:rsidRPr="002D0731" w:rsidRDefault="00CF3B77">
      <w:pPr>
        <w:rPr>
          <w:sz w:val="22"/>
          <w:szCs w:val="22"/>
        </w:rPr>
      </w:pPr>
    </w:p>
    <w:p w14:paraId="3C8B52B1" w14:textId="77777777" w:rsidR="00E82234" w:rsidRPr="002D0731" w:rsidRDefault="00E82234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Az Eligard 45 mg nőknek és gyermekeknek ellenjavallt.</w:t>
      </w:r>
    </w:p>
    <w:p w14:paraId="47F0184F" w14:textId="77777777" w:rsidR="00E82234" w:rsidRPr="002D0731" w:rsidRDefault="00E82234">
      <w:pPr>
        <w:jc w:val="both"/>
        <w:rPr>
          <w:sz w:val="22"/>
          <w:szCs w:val="22"/>
        </w:rPr>
      </w:pPr>
    </w:p>
    <w:p w14:paraId="60E15787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A leuprorelin</w:t>
      </w:r>
      <w:r w:rsidR="00C17C4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acetáttal, </w:t>
      </w:r>
      <w:r w:rsidR="00DE6BA0" w:rsidRPr="002D0731">
        <w:rPr>
          <w:sz w:val="22"/>
          <w:szCs w:val="22"/>
        </w:rPr>
        <w:t>egyéb</w:t>
      </w:r>
      <w:r w:rsidRPr="002D0731">
        <w:rPr>
          <w:sz w:val="22"/>
          <w:szCs w:val="22"/>
        </w:rPr>
        <w:t xml:space="preserve"> GnRH</w:t>
      </w:r>
      <w:r w:rsidR="00C17C4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agonistával vagy a </w:t>
      </w:r>
      <w:r w:rsidR="009D7A37" w:rsidRPr="002D0731">
        <w:rPr>
          <w:sz w:val="22"/>
          <w:szCs w:val="22"/>
        </w:rPr>
        <w:t>6.1 pontban felsorolt</w:t>
      </w:r>
      <w:r w:rsidR="009D7A37" w:rsidRPr="002D0731" w:rsidDel="009D7A37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bármely segédanyagával szembeni túlérzékenység.</w:t>
      </w:r>
    </w:p>
    <w:p w14:paraId="3FE7C529" w14:textId="77777777" w:rsidR="007D2BFB" w:rsidRPr="002D0731" w:rsidRDefault="007D2BFB">
      <w:pPr>
        <w:rPr>
          <w:sz w:val="22"/>
          <w:szCs w:val="22"/>
        </w:rPr>
      </w:pPr>
    </w:p>
    <w:p w14:paraId="39839E0C" w14:textId="77777777" w:rsidR="00CF3B77" w:rsidRPr="002D0731" w:rsidRDefault="00C17C4F">
      <w:pPr>
        <w:rPr>
          <w:sz w:val="22"/>
          <w:szCs w:val="22"/>
        </w:rPr>
      </w:pPr>
      <w:r w:rsidRPr="002D0731">
        <w:rPr>
          <w:sz w:val="22"/>
          <w:szCs w:val="22"/>
        </w:rPr>
        <w:t>K</w:t>
      </w:r>
      <w:r w:rsidR="00CF3B77" w:rsidRPr="002D0731">
        <w:rPr>
          <w:sz w:val="22"/>
          <w:szCs w:val="22"/>
        </w:rPr>
        <w:t xml:space="preserve">orábban </w:t>
      </w:r>
      <w:r w:rsidR="007D2BFB" w:rsidRPr="002D0731">
        <w:rPr>
          <w:sz w:val="22"/>
          <w:szCs w:val="22"/>
        </w:rPr>
        <w:t>orchiectomián átesett betegek (</w:t>
      </w:r>
      <w:r w:rsidR="00DE6BA0" w:rsidRPr="002D0731">
        <w:rPr>
          <w:sz w:val="22"/>
          <w:szCs w:val="22"/>
        </w:rPr>
        <w:t>egyéb</w:t>
      </w:r>
      <w:r w:rsidR="00CF3B77" w:rsidRPr="002D0731">
        <w:rPr>
          <w:sz w:val="22"/>
          <w:szCs w:val="22"/>
        </w:rPr>
        <w:t xml:space="preserve"> GnRH</w:t>
      </w:r>
      <w:r w:rsidRPr="002D0731">
        <w:rPr>
          <w:sz w:val="22"/>
          <w:szCs w:val="22"/>
        </w:rPr>
        <w:noBreakHyphen/>
      </w:r>
      <w:r w:rsidR="00CF3B77" w:rsidRPr="002D0731">
        <w:rPr>
          <w:sz w:val="22"/>
          <w:szCs w:val="22"/>
        </w:rPr>
        <w:t xml:space="preserve">agonistával történő kezeléshez hasonlóan az </w:t>
      </w:r>
      <w:r w:rsidR="000365EB" w:rsidRPr="002D0731">
        <w:rPr>
          <w:sz w:val="22"/>
          <w:szCs w:val="22"/>
        </w:rPr>
        <w:t>E</w:t>
      </w:r>
      <w:r w:rsidR="00752BEB" w:rsidRPr="002D0731">
        <w:rPr>
          <w:sz w:val="22"/>
          <w:szCs w:val="22"/>
        </w:rPr>
        <w:t>ligard</w:t>
      </w:r>
      <w:r w:rsidR="000365EB" w:rsidRPr="002D0731">
        <w:rPr>
          <w:sz w:val="22"/>
          <w:szCs w:val="22"/>
        </w:rPr>
        <w:t xml:space="preserve"> 45 mg</w:t>
      </w:r>
      <w:r w:rsidRPr="002D0731">
        <w:rPr>
          <w:sz w:val="22"/>
          <w:szCs w:val="22"/>
        </w:rPr>
        <w:noBreakHyphen/>
      </w:r>
      <w:r w:rsidR="00CF3B77" w:rsidRPr="002D0731">
        <w:rPr>
          <w:sz w:val="22"/>
          <w:szCs w:val="22"/>
        </w:rPr>
        <w:t>kezelés a sebészi kasztráció</w:t>
      </w:r>
      <w:r w:rsidR="007C69B4" w:rsidRPr="002D0731">
        <w:rPr>
          <w:sz w:val="22"/>
          <w:szCs w:val="22"/>
        </w:rPr>
        <w:t>n átesett</w:t>
      </w:r>
      <w:r w:rsidR="00CF3B77" w:rsidRPr="002D0731">
        <w:rPr>
          <w:sz w:val="22"/>
          <w:szCs w:val="22"/>
        </w:rPr>
        <w:t xml:space="preserve"> betegeknél nem eredményezi a szérum tesztoszteronszint további csökkenését).</w:t>
      </w:r>
    </w:p>
    <w:p w14:paraId="0952F845" w14:textId="77777777" w:rsidR="007D2BFB" w:rsidRPr="002D0731" w:rsidRDefault="007D2BFB">
      <w:pPr>
        <w:rPr>
          <w:sz w:val="22"/>
          <w:szCs w:val="22"/>
        </w:rPr>
      </w:pPr>
    </w:p>
    <w:p w14:paraId="4F0B3499" w14:textId="77777777" w:rsidR="00CF3B77" w:rsidRPr="002D0731" w:rsidRDefault="00CF3B77" w:rsidP="003654E7">
      <w:r w:rsidRPr="002D0731">
        <w:rPr>
          <w:sz w:val="22"/>
          <w:szCs w:val="22"/>
        </w:rPr>
        <w:t>Gerincvelő</w:t>
      </w:r>
      <w:r w:rsidR="00C17C4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kompressziós vagy bizonyított</w:t>
      </w:r>
      <w:r w:rsidR="004944CE" w:rsidRPr="002D0731">
        <w:rPr>
          <w:sz w:val="22"/>
          <w:szCs w:val="22"/>
        </w:rPr>
        <w:t>an</w:t>
      </w:r>
      <w:r w:rsidRPr="002D0731">
        <w:rPr>
          <w:sz w:val="22"/>
          <w:szCs w:val="22"/>
        </w:rPr>
        <w:t xml:space="preserve"> gerincvelő</w:t>
      </w:r>
      <w:r w:rsidR="00C17C4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metasztázisos prosztata</w:t>
      </w:r>
      <w:r w:rsidR="00DE6BA0" w:rsidRPr="002D0731">
        <w:rPr>
          <w:sz w:val="22"/>
          <w:szCs w:val="22"/>
        </w:rPr>
        <w:t>daganat</w:t>
      </w:r>
      <w:r w:rsidRPr="002D0731">
        <w:rPr>
          <w:sz w:val="22"/>
          <w:szCs w:val="22"/>
        </w:rPr>
        <w:t xml:space="preserve">os betegek </w:t>
      </w:r>
      <w:r w:rsidR="008039E5" w:rsidRPr="005B41E1">
        <w:rPr>
          <w:sz w:val="22"/>
          <w:szCs w:val="22"/>
        </w:rPr>
        <w:t xml:space="preserve">egyedüli </w:t>
      </w:r>
      <w:r w:rsidRPr="002D0731">
        <w:rPr>
          <w:sz w:val="22"/>
          <w:szCs w:val="22"/>
        </w:rPr>
        <w:t xml:space="preserve">kezelése </w:t>
      </w:r>
      <w:r w:rsidR="0015515A" w:rsidRPr="002D0731">
        <w:rPr>
          <w:sz w:val="22"/>
          <w:szCs w:val="22"/>
        </w:rPr>
        <w:t xml:space="preserve">monoterápiában </w:t>
      </w:r>
      <w:r w:rsidRPr="002D0731">
        <w:rPr>
          <w:sz w:val="22"/>
          <w:szCs w:val="22"/>
        </w:rPr>
        <w:t>(</w:t>
      </w:r>
      <w:r w:rsidR="007B0CE9" w:rsidRPr="002D0731">
        <w:rPr>
          <w:sz w:val="22"/>
          <w:szCs w:val="22"/>
        </w:rPr>
        <w:t>l</w:t>
      </w:r>
      <w:r w:rsidR="007D2BFB" w:rsidRPr="002D0731">
        <w:rPr>
          <w:sz w:val="22"/>
          <w:szCs w:val="22"/>
        </w:rPr>
        <w:t>ásd</w:t>
      </w:r>
      <w:r w:rsidRPr="002D0731">
        <w:rPr>
          <w:sz w:val="22"/>
          <w:szCs w:val="22"/>
        </w:rPr>
        <w:t xml:space="preserve"> 4.4 pont)</w:t>
      </w:r>
      <w:r w:rsidR="007B0CE9" w:rsidRPr="002D0731">
        <w:rPr>
          <w:sz w:val="22"/>
          <w:szCs w:val="22"/>
        </w:rPr>
        <w:t>.</w:t>
      </w:r>
    </w:p>
    <w:p w14:paraId="7BEDC0FF" w14:textId="77777777" w:rsidR="00CF3B77" w:rsidRPr="002D0731" w:rsidRDefault="00CF3B77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6B11FAA8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4.4</w:t>
      </w:r>
      <w:r w:rsidRPr="002D0731">
        <w:rPr>
          <w:b/>
          <w:sz w:val="22"/>
          <w:szCs w:val="22"/>
        </w:rPr>
        <w:tab/>
        <w:t>Különleges figyelmeztetések és az alkalmazással kapcsolatos óvintézkedések</w:t>
      </w:r>
    </w:p>
    <w:p w14:paraId="2BCA0155" w14:textId="77777777" w:rsidR="00CF3B77" w:rsidRPr="002D0731" w:rsidRDefault="00CF3B77">
      <w:pPr>
        <w:tabs>
          <w:tab w:val="left" w:pos="6300"/>
        </w:tabs>
        <w:jc w:val="both"/>
        <w:rPr>
          <w:sz w:val="22"/>
          <w:szCs w:val="22"/>
          <w:shd w:val="clear" w:color="auto" w:fill="FFFF00"/>
        </w:rPr>
      </w:pPr>
    </w:p>
    <w:p w14:paraId="7FA1EEEB" w14:textId="77777777" w:rsidR="0072486B" w:rsidRPr="002D0731" w:rsidRDefault="00A84868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  <w:r w:rsidRPr="002D0731">
        <w:rPr>
          <w:szCs w:val="22"/>
          <w:u w:val="single"/>
          <w:lang w:val="hu-HU"/>
        </w:rPr>
        <w:t>Megfelelő</w:t>
      </w:r>
      <w:r w:rsidR="004C6DAD" w:rsidRPr="002D0731">
        <w:rPr>
          <w:szCs w:val="22"/>
          <w:u w:val="single"/>
          <w:lang w:val="hu-HU"/>
        </w:rPr>
        <w:t xml:space="preserve"> feloldás:</w:t>
      </w:r>
      <w:r w:rsidR="004C6DAD" w:rsidRPr="002D0731">
        <w:rPr>
          <w:szCs w:val="22"/>
          <w:lang w:val="hu-HU"/>
        </w:rPr>
        <w:t xml:space="preserve"> </w:t>
      </w:r>
      <w:r w:rsidR="002C0932" w:rsidRPr="00203E74">
        <w:rPr>
          <w:szCs w:val="22"/>
          <w:lang w:val="hu-HU"/>
        </w:rPr>
        <w:t>Olyan kezelési hibákat jelentettek, amelyek az előkészítési folyamat bármelyik lépésében bekövetkezhetnek, és amelyek hatástalansághoz vezethetnek. Pontosan követni kell a feloldásra és a beadásra vonatkozó utasításokat (lásd a 6.6 pontot). Ismert kezelési hiba, vagy annak gyanúja esetén a betegeket megfelelően monitorozni kell (lásd a 4.2 pontot).</w:t>
      </w:r>
    </w:p>
    <w:p w14:paraId="0257B3CC" w14:textId="77777777" w:rsidR="0076031B" w:rsidRPr="002D0731" w:rsidRDefault="0076031B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</w:p>
    <w:p w14:paraId="7999477D" w14:textId="77777777" w:rsidR="00E82234" w:rsidRDefault="002C5FF9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  <w:r w:rsidRPr="00B35B1B">
        <w:rPr>
          <w:szCs w:val="22"/>
          <w:u w:val="single"/>
          <w:lang w:val="hu-HU"/>
        </w:rPr>
        <w:t>Az androgén</w:t>
      </w:r>
      <w:r w:rsidR="00D21CE2">
        <w:rPr>
          <w:szCs w:val="22"/>
          <w:u w:val="single"/>
          <w:lang w:val="hu-HU"/>
        </w:rPr>
        <w:noBreakHyphen/>
      </w:r>
      <w:r w:rsidRPr="00B35B1B">
        <w:rPr>
          <w:szCs w:val="22"/>
          <w:u w:val="single"/>
          <w:lang w:val="hu-HU"/>
        </w:rPr>
        <w:t>deprivációs kezelés hatására meghosszabbodhat a QT-intervallum</w:t>
      </w:r>
      <w:r w:rsidR="007B3E38" w:rsidRPr="002D0731">
        <w:rPr>
          <w:szCs w:val="22"/>
          <w:lang w:val="hu-HU"/>
        </w:rPr>
        <w:t>:</w:t>
      </w:r>
      <w:r w:rsidR="00D94F0E" w:rsidRPr="002D0731">
        <w:rPr>
          <w:szCs w:val="22"/>
          <w:lang w:val="hu-HU"/>
        </w:rPr>
        <w:br/>
        <w:t>Az Eligard 45 mg</w:t>
      </w:r>
      <w:r w:rsidR="00D21CE2">
        <w:rPr>
          <w:szCs w:val="22"/>
          <w:lang w:val="hu-HU"/>
        </w:rPr>
        <w:noBreakHyphen/>
      </w:r>
      <w:r w:rsidR="00D94F0E" w:rsidRPr="002D0731">
        <w:rPr>
          <w:szCs w:val="22"/>
          <w:lang w:val="hu-HU"/>
        </w:rPr>
        <w:t>kezelés megkezdése előtt azoknál a betegeknél, akiknek az anamnézisében szerepel a QT-intervallum megnyúlása, vagy fennállnak ennek kockázati tényezői,</w:t>
      </w:r>
      <w:r w:rsidR="003C348A" w:rsidRPr="002D0731">
        <w:rPr>
          <w:szCs w:val="22"/>
          <w:lang w:val="hu-HU"/>
        </w:rPr>
        <w:t xml:space="preserve"> </w:t>
      </w:r>
      <w:r w:rsidR="00D94F0E" w:rsidRPr="002D0731">
        <w:rPr>
          <w:szCs w:val="22"/>
          <w:lang w:val="hu-HU"/>
        </w:rPr>
        <w:t xml:space="preserve">illetve akik olyan kísérő gyógyszereket szednek, amelyek meghosszabbíthatják a QT-intervallumot (lásd 4.5 pont), a kezelőorvosoknak mérlegelnie kell a haszon/kockázat arányát, beleértve az esetleges </w:t>
      </w:r>
      <w:r w:rsidR="00D94F0E" w:rsidRPr="003654E7">
        <w:rPr>
          <w:i/>
          <w:szCs w:val="22"/>
          <w:lang w:val="hu-HU"/>
        </w:rPr>
        <w:t>Torsade de pointes</w:t>
      </w:r>
      <w:r w:rsidR="00D94F0E" w:rsidRPr="002D0731">
        <w:rPr>
          <w:szCs w:val="22"/>
          <w:lang w:val="hu-HU"/>
        </w:rPr>
        <w:t xml:space="preserve"> kialakulását is.</w:t>
      </w:r>
    </w:p>
    <w:p w14:paraId="085870F7" w14:textId="77777777" w:rsidR="007178C5" w:rsidRPr="002D0731" w:rsidRDefault="007178C5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</w:p>
    <w:p w14:paraId="43F26329" w14:textId="77777777" w:rsidR="004C6DAD" w:rsidRPr="00B35B1B" w:rsidRDefault="004C6DAD">
      <w:pPr>
        <w:pStyle w:val="Szvegtrzs"/>
        <w:tabs>
          <w:tab w:val="left" w:pos="6300"/>
        </w:tabs>
        <w:suppressAutoHyphens w:val="0"/>
        <w:rPr>
          <w:szCs w:val="22"/>
          <w:lang w:val="hu-HU" w:eastAsia="de-DE"/>
        </w:rPr>
      </w:pPr>
      <w:r w:rsidRPr="002D0731">
        <w:rPr>
          <w:szCs w:val="22"/>
          <w:u w:val="single"/>
          <w:lang w:val="hu-HU"/>
        </w:rPr>
        <w:t>Kardiovaszkuláris betegségek:</w:t>
      </w:r>
      <w:r w:rsidRPr="00B35B1B">
        <w:rPr>
          <w:szCs w:val="22"/>
          <w:lang w:val="hu-HU" w:eastAsia="de-DE"/>
        </w:rPr>
        <w:t xml:space="preserve"> GnRH</w:t>
      </w:r>
      <w:r w:rsidR="002C7E6F">
        <w:rPr>
          <w:szCs w:val="22"/>
          <w:lang w:val="hu-HU" w:eastAsia="de-DE"/>
        </w:rPr>
        <w:noBreakHyphen/>
      </w:r>
      <w:r w:rsidRPr="00B35B1B">
        <w:rPr>
          <w:szCs w:val="22"/>
          <w:lang w:val="hu-HU" w:eastAsia="de-DE"/>
        </w:rPr>
        <w:t xml:space="preserve">agonisták alkalmazásával összefüggésben </w:t>
      </w:r>
      <w:r w:rsidR="00507476">
        <w:rPr>
          <w:szCs w:val="22"/>
          <w:lang w:val="hu-HU" w:eastAsia="de-DE"/>
        </w:rPr>
        <w:t>szív</w:t>
      </w:r>
      <w:r w:rsidRPr="00B35B1B">
        <w:rPr>
          <w:szCs w:val="22"/>
          <w:lang w:val="hu-HU" w:eastAsia="de-DE"/>
        </w:rPr>
        <w:t>infarktus fokozott kockázatát, hirtelen szívhalál és sztrók előfordulását jelentették férfiaknál. A kockázat kismértékűnek tűnik a jelentések esélyhányadosai alapján, de meglévő kardiovaszkuláris kockázati faktorok esetén gondosan értékelendő a prosztatadaganatos betegek kezelésének megállapításakor. A GnRH</w:t>
      </w:r>
      <w:r w:rsidR="00507476">
        <w:rPr>
          <w:szCs w:val="22"/>
          <w:lang w:val="hu-HU" w:eastAsia="de-DE"/>
        </w:rPr>
        <w:noBreakHyphen/>
      </w:r>
      <w:r w:rsidRPr="00B35B1B">
        <w:rPr>
          <w:szCs w:val="22"/>
          <w:lang w:val="hu-HU" w:eastAsia="de-DE"/>
        </w:rPr>
        <w:t>agonista</w:t>
      </w:r>
      <w:r w:rsidR="00D21CE2">
        <w:rPr>
          <w:szCs w:val="22"/>
          <w:lang w:val="hu-HU" w:eastAsia="de-DE"/>
        </w:rPr>
        <w:noBreakHyphen/>
      </w:r>
      <w:r w:rsidRPr="00B35B1B">
        <w:rPr>
          <w:szCs w:val="22"/>
          <w:lang w:val="hu-HU" w:eastAsia="de-DE"/>
        </w:rPr>
        <w:t>kezelésben részesülő betegek követendők a kardiovaszkuláris betegségek kialakulására gyanús tünetek és jelek szempontjából és az ellátást a jelenleg érvényben lévő klinikai gyakorlatnak megfelelően kell végezni.</w:t>
      </w:r>
    </w:p>
    <w:p w14:paraId="44D2F4E9" w14:textId="77777777" w:rsidR="004C6DAD" w:rsidRPr="002D0731" w:rsidRDefault="004C6DAD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</w:p>
    <w:p w14:paraId="6C0A6064" w14:textId="77777777" w:rsidR="00CF3B77" w:rsidRPr="002D0731" w:rsidRDefault="004C6DAD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  <w:r w:rsidRPr="00B35B1B">
        <w:rPr>
          <w:szCs w:val="22"/>
          <w:u w:val="single"/>
          <w:lang w:val="hu-HU"/>
        </w:rPr>
        <w:t>Átmeneti tesztoszteronszint</w:t>
      </w:r>
      <w:r w:rsidR="00E51409">
        <w:rPr>
          <w:szCs w:val="22"/>
          <w:u w:val="single"/>
          <w:lang w:val="hu-HU"/>
        </w:rPr>
        <w:noBreakHyphen/>
      </w:r>
      <w:r w:rsidRPr="00B35B1B">
        <w:rPr>
          <w:szCs w:val="22"/>
          <w:u w:val="single"/>
          <w:lang w:val="hu-HU"/>
        </w:rPr>
        <w:t xml:space="preserve">emelkedés: </w:t>
      </w:r>
      <w:r w:rsidR="00CF3B77" w:rsidRPr="002D0731">
        <w:rPr>
          <w:szCs w:val="22"/>
          <w:lang w:val="hu-HU"/>
        </w:rPr>
        <w:t>A leuprorelin</w:t>
      </w:r>
      <w:r w:rsidR="00C17C4F" w:rsidRPr="002D0731">
        <w:rPr>
          <w:szCs w:val="22"/>
          <w:lang w:val="hu-HU"/>
        </w:rPr>
        <w:noBreakHyphen/>
      </w:r>
      <w:r w:rsidR="00CF3B77" w:rsidRPr="002D0731">
        <w:rPr>
          <w:szCs w:val="22"/>
          <w:lang w:val="hu-HU"/>
        </w:rPr>
        <w:t>acetát</w:t>
      </w:r>
      <w:r w:rsidR="00D21CE2">
        <w:rPr>
          <w:szCs w:val="22"/>
          <w:lang w:val="hu-HU"/>
        </w:rPr>
        <w:t xml:space="preserve"> az</w:t>
      </w:r>
      <w:r w:rsidR="00CF3B77" w:rsidRPr="002D0731">
        <w:rPr>
          <w:szCs w:val="22"/>
          <w:lang w:val="hu-HU"/>
        </w:rPr>
        <w:t xml:space="preserve"> </w:t>
      </w:r>
      <w:r w:rsidR="00DE6BA0" w:rsidRPr="002D0731">
        <w:rPr>
          <w:szCs w:val="22"/>
          <w:lang w:val="hu-HU"/>
        </w:rPr>
        <w:t>egyéb</w:t>
      </w:r>
      <w:r w:rsidR="00CF3B77" w:rsidRPr="002D0731">
        <w:rPr>
          <w:szCs w:val="22"/>
          <w:lang w:val="hu-HU"/>
        </w:rPr>
        <w:t xml:space="preserve"> GnRH</w:t>
      </w:r>
      <w:r w:rsidR="00D21CE2">
        <w:rPr>
          <w:szCs w:val="22"/>
          <w:lang w:val="hu-HU"/>
        </w:rPr>
        <w:noBreakHyphen/>
      </w:r>
      <w:r w:rsidR="00CF3B77" w:rsidRPr="002D0731">
        <w:rPr>
          <w:szCs w:val="22"/>
          <w:lang w:val="hu-HU"/>
        </w:rPr>
        <w:t>agonistákhoz hasonlóan a kezelés első hetében a tesztoszteron, a dihidrotesztoszteron és a savas foszfatáz szérumkoncentrációinak átmeneti növekedését okozza. A betegek a tünetek rosszabbodását, vagy új tünetek fellépését észlelhetik, például csontfájdalmat, neuropátiát, vérvizelést vagy a húgyvezeték, illetve a hólyag</w:t>
      </w:r>
      <w:r w:rsidR="00DE6BA0" w:rsidRPr="002D0731">
        <w:rPr>
          <w:szCs w:val="22"/>
          <w:lang w:val="hu-HU"/>
        </w:rPr>
        <w:t>kimenet</w:t>
      </w:r>
      <w:r w:rsidR="00CF3B77" w:rsidRPr="002D0731">
        <w:rPr>
          <w:szCs w:val="22"/>
          <w:lang w:val="hu-HU"/>
        </w:rPr>
        <w:t xml:space="preserve"> elzáródását (lásd 4.8 pont). Ezek a tünetek a kezelés folyamán általában megszűnnek.</w:t>
      </w:r>
    </w:p>
    <w:p w14:paraId="6520BCAF" w14:textId="77777777" w:rsidR="00CF3B77" w:rsidRPr="002D0731" w:rsidRDefault="00CF3B77">
      <w:pPr>
        <w:jc w:val="both"/>
        <w:rPr>
          <w:sz w:val="22"/>
          <w:szCs w:val="22"/>
          <w:shd w:val="clear" w:color="auto" w:fill="FFFF00"/>
        </w:rPr>
      </w:pPr>
    </w:p>
    <w:p w14:paraId="33F37631" w14:textId="77777777" w:rsidR="00CF3B77" w:rsidRPr="002D0731" w:rsidRDefault="00C474E5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Megfontolandó m</w:t>
      </w:r>
      <w:r w:rsidR="00CF3B77" w:rsidRPr="002D0731">
        <w:rPr>
          <w:szCs w:val="22"/>
          <w:lang w:val="hu-HU"/>
        </w:rPr>
        <w:t>egfelelő antiandrogén kiegészítő alkalmazása a leuprorelin</w:t>
      </w:r>
      <w:r w:rsidR="00507476">
        <w:rPr>
          <w:szCs w:val="22"/>
          <w:lang w:val="hu-HU"/>
        </w:rPr>
        <w:noBreakHyphen/>
      </w:r>
      <w:r w:rsidR="00CF3B77" w:rsidRPr="002D0731">
        <w:rPr>
          <w:szCs w:val="22"/>
          <w:lang w:val="hu-HU"/>
        </w:rPr>
        <w:t>kezelés megkezdése előtt</w:t>
      </w:r>
      <w:r w:rsidR="004F4CA9" w:rsidRPr="002D0731">
        <w:rPr>
          <w:szCs w:val="22"/>
          <w:lang w:val="hu-HU"/>
        </w:rPr>
        <w:t>i 3</w:t>
      </w:r>
      <w:r w:rsidR="00C17C4F" w:rsidRPr="002D0731">
        <w:rPr>
          <w:szCs w:val="22"/>
          <w:lang w:val="hu-HU"/>
        </w:rPr>
        <w:t> </w:t>
      </w:r>
      <w:r w:rsidR="004F4CA9" w:rsidRPr="002D0731">
        <w:rPr>
          <w:szCs w:val="22"/>
          <w:lang w:val="hu-HU"/>
        </w:rPr>
        <w:t>napban</w:t>
      </w:r>
      <w:r w:rsidR="00CF3B77" w:rsidRPr="002D0731">
        <w:rPr>
          <w:szCs w:val="22"/>
          <w:lang w:val="hu-HU"/>
        </w:rPr>
        <w:t xml:space="preserve"> és a kezelés első </w:t>
      </w:r>
      <w:r w:rsidR="00C17C4F" w:rsidRPr="002D0731">
        <w:rPr>
          <w:szCs w:val="22"/>
          <w:lang w:val="hu-HU"/>
        </w:rPr>
        <w:t>2</w:t>
      </w:r>
      <w:r w:rsidR="00C17C4F" w:rsidRPr="002D0731">
        <w:rPr>
          <w:szCs w:val="22"/>
          <w:lang w:val="hu-HU"/>
        </w:rPr>
        <w:noBreakHyphen/>
        <w:t>3 </w:t>
      </w:r>
      <w:r w:rsidR="00CF3B77" w:rsidRPr="002D0731">
        <w:rPr>
          <w:szCs w:val="22"/>
          <w:lang w:val="hu-HU"/>
        </w:rPr>
        <w:t xml:space="preserve">hetében. Ez a beszámolók szerint a kezdeti </w:t>
      </w:r>
      <w:r w:rsidR="004944CE" w:rsidRPr="002D0731">
        <w:rPr>
          <w:szCs w:val="22"/>
          <w:lang w:val="hu-HU"/>
        </w:rPr>
        <w:t xml:space="preserve">szérum </w:t>
      </w:r>
      <w:r w:rsidR="00CF3B77" w:rsidRPr="002D0731">
        <w:rPr>
          <w:szCs w:val="22"/>
          <w:lang w:val="hu-HU"/>
        </w:rPr>
        <w:t>tesztoszteron</w:t>
      </w:r>
      <w:r w:rsidR="00630A70" w:rsidRPr="002D0731">
        <w:rPr>
          <w:szCs w:val="22"/>
          <w:lang w:val="hu-HU"/>
        </w:rPr>
        <w:t>szint</w:t>
      </w:r>
      <w:r w:rsidR="00CF3B77" w:rsidRPr="002D0731">
        <w:rPr>
          <w:szCs w:val="22"/>
          <w:lang w:val="hu-HU"/>
        </w:rPr>
        <w:t>-emelkedés esetleges következmény</w:t>
      </w:r>
      <w:r w:rsidR="002D73DB" w:rsidRPr="002D0731">
        <w:rPr>
          <w:szCs w:val="22"/>
          <w:lang w:val="hu-HU"/>
        </w:rPr>
        <w:t>eit</w:t>
      </w:r>
      <w:r w:rsidR="00CF3B77" w:rsidRPr="002D0731">
        <w:rPr>
          <w:szCs w:val="22"/>
          <w:lang w:val="hu-HU"/>
        </w:rPr>
        <w:t xml:space="preserve"> kivédi.</w:t>
      </w:r>
    </w:p>
    <w:p w14:paraId="1E0A0FDE" w14:textId="77777777" w:rsidR="00CF3B77" w:rsidRPr="002D0731" w:rsidRDefault="00CF3B77">
      <w:pPr>
        <w:jc w:val="both"/>
        <w:rPr>
          <w:sz w:val="22"/>
          <w:szCs w:val="22"/>
          <w:shd w:val="clear" w:color="auto" w:fill="FFFF00"/>
        </w:rPr>
      </w:pPr>
    </w:p>
    <w:p w14:paraId="030F77DE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Sebészi kasztrálás után az </w:t>
      </w:r>
      <w:r w:rsidR="00D16D3F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D16D3F" w:rsidRPr="002D0731">
        <w:rPr>
          <w:szCs w:val="22"/>
          <w:lang w:val="hu-HU"/>
        </w:rPr>
        <w:t xml:space="preserve"> </w:t>
      </w:r>
      <w:r w:rsidR="004F4CA9" w:rsidRPr="002D0731">
        <w:rPr>
          <w:szCs w:val="22"/>
          <w:lang w:val="hu-HU"/>
        </w:rPr>
        <w:t>45</w:t>
      </w:r>
      <w:r w:rsidRPr="002D0731">
        <w:rPr>
          <w:szCs w:val="22"/>
          <w:lang w:val="hu-HU"/>
        </w:rPr>
        <w:t> mg nem eredményezi a férfi betegek szérum tesztoszteronszintjének további csökkenését.</w:t>
      </w:r>
    </w:p>
    <w:p w14:paraId="03762651" w14:textId="77777777" w:rsidR="00CF3B77" w:rsidRPr="002D0731" w:rsidRDefault="00CF3B77">
      <w:pPr>
        <w:jc w:val="both"/>
        <w:rPr>
          <w:sz w:val="22"/>
          <w:szCs w:val="22"/>
          <w:shd w:val="clear" w:color="auto" w:fill="FFFF00"/>
        </w:rPr>
      </w:pPr>
    </w:p>
    <w:p w14:paraId="66A89A69" w14:textId="77777777" w:rsidR="00CF3B77" w:rsidRPr="002D0731" w:rsidRDefault="002C5FF9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u w:val="single"/>
          <w:lang w:val="hu-HU"/>
        </w:rPr>
        <w:t>Csontsűrűség:</w:t>
      </w:r>
      <w:r w:rsidR="00732045" w:rsidRPr="002D0731">
        <w:rPr>
          <w:szCs w:val="22"/>
          <w:lang w:val="hu-HU"/>
        </w:rPr>
        <w:t xml:space="preserve"> </w:t>
      </w:r>
      <w:r w:rsidR="00CF3B77" w:rsidRPr="002D0731">
        <w:rPr>
          <w:szCs w:val="22"/>
          <w:lang w:val="hu-HU"/>
        </w:rPr>
        <w:t>Az orvosi szakirodalom orchiectomián átesett</w:t>
      </w:r>
      <w:r w:rsidR="00155E54">
        <w:rPr>
          <w:szCs w:val="22"/>
          <w:lang w:val="hu-HU"/>
        </w:rPr>
        <w:t>,</w:t>
      </w:r>
      <w:r w:rsidR="00CF3B77" w:rsidRPr="002D0731">
        <w:rPr>
          <w:szCs w:val="22"/>
          <w:lang w:val="hu-HU"/>
        </w:rPr>
        <w:t xml:space="preserve"> vagy GnRH</w:t>
      </w:r>
      <w:r w:rsidR="00D16D3F" w:rsidRPr="002D0731">
        <w:rPr>
          <w:szCs w:val="22"/>
          <w:lang w:val="hu-HU"/>
        </w:rPr>
        <w:noBreakHyphen/>
      </w:r>
      <w:r w:rsidR="00CF3B77" w:rsidRPr="002D0731">
        <w:rPr>
          <w:szCs w:val="22"/>
          <w:lang w:val="hu-HU"/>
        </w:rPr>
        <w:t>agonistákkal kezelt férfiaknál csontsűrűség</w:t>
      </w:r>
      <w:r w:rsidR="00D16D3F" w:rsidRPr="002D0731">
        <w:rPr>
          <w:szCs w:val="22"/>
          <w:lang w:val="hu-HU"/>
        </w:rPr>
        <w:noBreakHyphen/>
      </w:r>
      <w:r w:rsidR="00CF3B77" w:rsidRPr="002D0731">
        <w:rPr>
          <w:szCs w:val="22"/>
          <w:lang w:val="hu-HU"/>
        </w:rPr>
        <w:t>csökkenésről számol be (lásd 4.8</w:t>
      </w:r>
      <w:r w:rsidR="00752BEB" w:rsidRPr="002D0731">
        <w:rPr>
          <w:szCs w:val="22"/>
          <w:lang w:val="hu-HU"/>
        </w:rPr>
        <w:t> </w:t>
      </w:r>
      <w:r w:rsidR="00CF3B77" w:rsidRPr="002D0731">
        <w:rPr>
          <w:szCs w:val="22"/>
          <w:lang w:val="hu-HU"/>
        </w:rPr>
        <w:t>pont).</w:t>
      </w:r>
    </w:p>
    <w:p w14:paraId="6D38ACB0" w14:textId="2E22D0CD" w:rsidR="00732045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Az antiandrogén</w:t>
      </w:r>
      <w:r w:rsidR="00D21CE2">
        <w:rPr>
          <w:sz w:val="22"/>
          <w:szCs w:val="22"/>
        </w:rPr>
        <w:noBreakHyphen/>
      </w:r>
      <w:r w:rsidRPr="002D0731">
        <w:rPr>
          <w:sz w:val="22"/>
          <w:szCs w:val="22"/>
        </w:rPr>
        <w:t>terápia szignifikánsan növeli az oszteoporózis miatti törések kockázatát. Erről csak korlátozott</w:t>
      </w:r>
      <w:r w:rsidR="00C474E5" w:rsidRPr="002D0731">
        <w:rPr>
          <w:sz w:val="22"/>
          <w:szCs w:val="22"/>
        </w:rPr>
        <w:t xml:space="preserve"> </w:t>
      </w:r>
      <w:r w:rsidR="004944CE" w:rsidRPr="002D0731">
        <w:rPr>
          <w:sz w:val="22"/>
          <w:szCs w:val="22"/>
        </w:rPr>
        <w:t xml:space="preserve">mennyiségű </w:t>
      </w:r>
      <w:r w:rsidR="00C474E5" w:rsidRPr="002D0731">
        <w:rPr>
          <w:sz w:val="22"/>
          <w:szCs w:val="22"/>
        </w:rPr>
        <w:t>adat</w:t>
      </w:r>
      <w:r w:rsidRPr="002D0731">
        <w:rPr>
          <w:sz w:val="22"/>
          <w:szCs w:val="22"/>
        </w:rPr>
        <w:t xml:space="preserve"> áll rendelkezésre. 22</w:t>
      </w:r>
      <w:r w:rsidR="00D16D3F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 xml:space="preserve">hónapig tartó, </w:t>
      </w:r>
      <w:r w:rsidR="004944CE" w:rsidRPr="002D0731">
        <w:rPr>
          <w:sz w:val="22"/>
          <w:szCs w:val="22"/>
        </w:rPr>
        <w:t>gyógyszeres androgén</w:t>
      </w:r>
      <w:r w:rsidR="00D21CE2">
        <w:rPr>
          <w:sz w:val="22"/>
          <w:szCs w:val="22"/>
        </w:rPr>
        <w:noBreakHyphen/>
      </w:r>
      <w:r w:rsidR="00E51409">
        <w:rPr>
          <w:sz w:val="22"/>
          <w:szCs w:val="22"/>
        </w:rPr>
        <w:t>deprivációs</w:t>
      </w:r>
      <w:r w:rsidR="004944CE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terápiát követően a betegek 5%</w:t>
      </w:r>
      <w:r w:rsidR="00D16D3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ánál, 5</w:t>
      </w:r>
      <w:r w:rsidR="00D16D3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10</w:t>
      </w:r>
      <w:r w:rsidR="00D16D3F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évig tartó kezelés után a betegek 4%</w:t>
      </w:r>
      <w:r w:rsidR="00D16D3F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ánál figyeltek meg</w:t>
      </w:r>
      <w:r w:rsidR="00D16D3F" w:rsidRPr="002D0731">
        <w:rPr>
          <w:sz w:val="22"/>
          <w:szCs w:val="22"/>
        </w:rPr>
        <w:t xml:space="preserve"> </w:t>
      </w:r>
      <w:r w:rsidR="00C95DEE" w:rsidRPr="002D0731">
        <w:rPr>
          <w:sz w:val="22"/>
          <w:szCs w:val="22"/>
        </w:rPr>
        <w:t>o</w:t>
      </w:r>
      <w:r w:rsidR="00D16D3F" w:rsidRPr="002D0731">
        <w:rPr>
          <w:sz w:val="22"/>
          <w:szCs w:val="22"/>
        </w:rPr>
        <w:t>szteoporózis miatt bekövetkező töréseket</w:t>
      </w:r>
      <w:r w:rsidRPr="002D0731">
        <w:rPr>
          <w:sz w:val="22"/>
          <w:szCs w:val="22"/>
        </w:rPr>
        <w:t>. Az oszteoporózis miatt</w:t>
      </w:r>
      <w:r w:rsidR="00C95DEE" w:rsidRPr="002D0731">
        <w:rPr>
          <w:sz w:val="22"/>
          <w:szCs w:val="22"/>
        </w:rPr>
        <w:t xml:space="preserve"> bekövetkező</w:t>
      </w:r>
      <w:r w:rsidRPr="002D0731">
        <w:rPr>
          <w:sz w:val="22"/>
          <w:szCs w:val="22"/>
        </w:rPr>
        <w:t xml:space="preserve"> törések kockázata általában </w:t>
      </w:r>
      <w:r w:rsidR="004944CE" w:rsidRPr="002D0731">
        <w:rPr>
          <w:sz w:val="22"/>
          <w:szCs w:val="22"/>
        </w:rPr>
        <w:t>nagyobb</w:t>
      </w:r>
      <w:r w:rsidRPr="002D0731">
        <w:rPr>
          <w:sz w:val="22"/>
          <w:szCs w:val="22"/>
        </w:rPr>
        <w:t>, mint a patológiás töréseké.</w:t>
      </w:r>
    </w:p>
    <w:p w14:paraId="3245C4D7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A hosszantartó tesztoszteronhiány mellett az előrehaladott kor, a dohányzás és az alkoholfogyasztás, az elhízás és a nem elegendő testmozgás is hatással lehet a</w:t>
      </w:r>
      <w:r w:rsidR="007D5693" w:rsidRPr="002D0731">
        <w:rPr>
          <w:sz w:val="22"/>
          <w:szCs w:val="22"/>
        </w:rPr>
        <w:t>z</w:t>
      </w:r>
      <w:r w:rsidRPr="002D0731">
        <w:rPr>
          <w:sz w:val="22"/>
          <w:szCs w:val="22"/>
        </w:rPr>
        <w:t xml:space="preserve"> </w:t>
      </w:r>
      <w:r w:rsidR="00C95DEE" w:rsidRPr="002D0731">
        <w:rPr>
          <w:sz w:val="22"/>
          <w:szCs w:val="22"/>
        </w:rPr>
        <w:t xml:space="preserve">oszteoporózis </w:t>
      </w:r>
      <w:r w:rsidRPr="002D0731">
        <w:rPr>
          <w:sz w:val="22"/>
          <w:szCs w:val="22"/>
        </w:rPr>
        <w:t>kialakulására.</w:t>
      </w:r>
    </w:p>
    <w:p w14:paraId="399D2AF9" w14:textId="77777777" w:rsidR="00C91459" w:rsidRPr="002D0731" w:rsidRDefault="00C91459">
      <w:pPr>
        <w:pStyle w:val="Szvegtrzs"/>
        <w:suppressAutoHyphens w:val="0"/>
        <w:rPr>
          <w:szCs w:val="22"/>
          <w:lang w:val="hu-HU"/>
        </w:rPr>
      </w:pPr>
    </w:p>
    <w:p w14:paraId="5D865524" w14:textId="08B11727" w:rsidR="000365EB" w:rsidRPr="002D0731" w:rsidRDefault="003C35B0">
      <w:pPr>
        <w:rPr>
          <w:sz w:val="22"/>
          <w:szCs w:val="22"/>
          <w:lang w:eastAsia="hu-HU"/>
        </w:rPr>
      </w:pPr>
      <w:r>
        <w:rPr>
          <w:sz w:val="22"/>
          <w:szCs w:val="22"/>
          <w:u w:val="single"/>
          <w:lang w:eastAsia="hu-HU"/>
        </w:rPr>
        <w:t>Hipofízis</w:t>
      </w:r>
      <w:r w:rsidR="00732045" w:rsidRPr="002D0731">
        <w:rPr>
          <w:sz w:val="22"/>
          <w:szCs w:val="22"/>
          <w:u w:val="single"/>
          <w:lang w:eastAsia="hu-HU"/>
        </w:rPr>
        <w:t xml:space="preserve"> apoplexia:</w:t>
      </w:r>
      <w:r w:rsidR="00732045" w:rsidRPr="002D0731">
        <w:rPr>
          <w:sz w:val="22"/>
          <w:szCs w:val="22"/>
          <w:lang w:eastAsia="hu-HU"/>
        </w:rPr>
        <w:t xml:space="preserve"> </w:t>
      </w:r>
      <w:r w:rsidR="000365EB" w:rsidRPr="002D0731">
        <w:rPr>
          <w:sz w:val="22"/>
          <w:szCs w:val="22"/>
          <w:lang w:eastAsia="hu-HU"/>
        </w:rPr>
        <w:t xml:space="preserve">A forgalomba hozatalt követő felügyelet során a GnRH-agonisták alkalmazását követően ritka esetekben </w:t>
      </w:r>
      <w:r>
        <w:rPr>
          <w:sz w:val="22"/>
          <w:szCs w:val="22"/>
          <w:lang w:eastAsia="hu-HU"/>
        </w:rPr>
        <w:t>hipofízis</w:t>
      </w:r>
      <w:r w:rsidR="000365EB" w:rsidRPr="002D0731">
        <w:rPr>
          <w:sz w:val="22"/>
          <w:szCs w:val="22"/>
          <w:lang w:eastAsia="hu-HU"/>
        </w:rPr>
        <w:t xml:space="preserve"> apoplexiáról (a </w:t>
      </w:r>
      <w:r>
        <w:rPr>
          <w:sz w:val="22"/>
          <w:szCs w:val="22"/>
          <w:lang w:eastAsia="hu-HU"/>
        </w:rPr>
        <w:t>hipofízis</w:t>
      </w:r>
      <w:r w:rsidR="000365EB" w:rsidRPr="002D0731">
        <w:rPr>
          <w:sz w:val="22"/>
          <w:szCs w:val="22"/>
          <w:lang w:eastAsia="hu-HU"/>
        </w:rPr>
        <w:t xml:space="preserve"> infar</w:t>
      </w:r>
      <w:r w:rsidR="00DE6BA0" w:rsidRPr="002D0731">
        <w:rPr>
          <w:sz w:val="22"/>
          <w:szCs w:val="22"/>
          <w:lang w:eastAsia="hu-HU"/>
        </w:rPr>
        <w:t>k</w:t>
      </w:r>
      <w:r w:rsidR="000365EB" w:rsidRPr="002D0731">
        <w:rPr>
          <w:sz w:val="22"/>
          <w:szCs w:val="22"/>
          <w:lang w:eastAsia="hu-HU"/>
        </w:rPr>
        <w:t>tusa következtében kialakuló klinikai tünetegyüttes) számoltak be, melyek többsége az első adagot követő 2</w:t>
      </w:r>
      <w:r w:rsidR="005E7118" w:rsidRPr="002D0731">
        <w:rPr>
          <w:sz w:val="22"/>
          <w:szCs w:val="22"/>
          <w:lang w:eastAsia="hu-HU"/>
        </w:rPr>
        <w:t> </w:t>
      </w:r>
      <w:r w:rsidR="000365EB" w:rsidRPr="002D0731">
        <w:rPr>
          <w:sz w:val="22"/>
          <w:szCs w:val="22"/>
          <w:lang w:eastAsia="hu-HU"/>
        </w:rPr>
        <w:t xml:space="preserve">héten belül, néhány pedig egy órán belül alakult ki. Ezekben az esetekben a </w:t>
      </w:r>
      <w:r>
        <w:rPr>
          <w:sz w:val="22"/>
          <w:szCs w:val="22"/>
          <w:lang w:eastAsia="hu-HU"/>
        </w:rPr>
        <w:t>hipofízis</w:t>
      </w:r>
      <w:r w:rsidR="000365EB" w:rsidRPr="002D0731">
        <w:rPr>
          <w:sz w:val="22"/>
          <w:szCs w:val="22"/>
          <w:lang w:eastAsia="hu-HU"/>
        </w:rPr>
        <w:t xml:space="preserve"> apoplexia hirtelen kialakuló fejfájással, hányással, látászavarral, o</w:t>
      </w:r>
      <w:r>
        <w:rPr>
          <w:sz w:val="22"/>
          <w:szCs w:val="22"/>
          <w:lang w:eastAsia="hu-HU"/>
        </w:rPr>
        <w:t>f</w:t>
      </w:r>
      <w:r w:rsidR="000365EB" w:rsidRPr="002D0731">
        <w:rPr>
          <w:sz w:val="22"/>
          <w:szCs w:val="22"/>
          <w:lang w:eastAsia="hu-HU"/>
        </w:rPr>
        <w:t>talmopl</w:t>
      </w:r>
      <w:r>
        <w:rPr>
          <w:sz w:val="22"/>
          <w:szCs w:val="22"/>
          <w:lang w:eastAsia="hu-HU"/>
        </w:rPr>
        <w:t>é</w:t>
      </w:r>
      <w:r w:rsidR="000365EB" w:rsidRPr="002D0731">
        <w:rPr>
          <w:sz w:val="22"/>
          <w:szCs w:val="22"/>
          <w:lang w:eastAsia="hu-HU"/>
        </w:rPr>
        <w:t>giával, megváltozott mentális st</w:t>
      </w:r>
      <w:r w:rsidR="00E51409">
        <w:rPr>
          <w:sz w:val="22"/>
          <w:szCs w:val="22"/>
          <w:lang w:eastAsia="hu-HU"/>
        </w:rPr>
        <w:t>á</w:t>
      </w:r>
      <w:r w:rsidR="000365EB" w:rsidRPr="002D0731">
        <w:rPr>
          <w:sz w:val="22"/>
          <w:szCs w:val="22"/>
          <w:lang w:eastAsia="hu-HU"/>
        </w:rPr>
        <w:t>tuss</w:t>
      </w:r>
      <w:r w:rsidR="00E51409">
        <w:rPr>
          <w:sz w:val="22"/>
          <w:szCs w:val="22"/>
          <w:lang w:eastAsia="hu-HU"/>
        </w:rPr>
        <w:t>z</w:t>
      </w:r>
      <w:r w:rsidR="000365EB" w:rsidRPr="002D0731">
        <w:rPr>
          <w:sz w:val="22"/>
          <w:szCs w:val="22"/>
          <w:lang w:eastAsia="hu-HU"/>
        </w:rPr>
        <w:t xml:space="preserve">al és néha </w:t>
      </w:r>
      <w:r w:rsidR="005E7118" w:rsidRPr="002D0731">
        <w:rPr>
          <w:sz w:val="22"/>
          <w:szCs w:val="22"/>
          <w:lang w:eastAsia="hu-HU"/>
        </w:rPr>
        <w:t>keringés</w:t>
      </w:r>
      <w:r w:rsidR="00D21CE2">
        <w:rPr>
          <w:sz w:val="22"/>
          <w:szCs w:val="22"/>
          <w:lang w:eastAsia="hu-HU"/>
        </w:rPr>
        <w:noBreakHyphen/>
      </w:r>
      <w:r w:rsidR="005E7118" w:rsidRPr="002D0731">
        <w:rPr>
          <w:sz w:val="22"/>
          <w:szCs w:val="22"/>
          <w:lang w:eastAsia="hu-HU"/>
        </w:rPr>
        <w:t>összeomlással</w:t>
      </w:r>
      <w:r w:rsidR="000365EB" w:rsidRPr="002D0731">
        <w:rPr>
          <w:sz w:val="22"/>
          <w:szCs w:val="22"/>
          <w:lang w:eastAsia="hu-HU"/>
        </w:rPr>
        <w:t xml:space="preserve"> jelentkezett. Azonnal orvosi ellátás szükséges.</w:t>
      </w:r>
    </w:p>
    <w:p w14:paraId="057D393F" w14:textId="77777777" w:rsidR="00CF3B77" w:rsidRPr="002D0731" w:rsidRDefault="00CF3B77">
      <w:pPr>
        <w:jc w:val="both"/>
        <w:rPr>
          <w:sz w:val="22"/>
          <w:szCs w:val="22"/>
          <w:shd w:val="clear" w:color="auto" w:fill="FFFF00"/>
        </w:rPr>
      </w:pPr>
    </w:p>
    <w:p w14:paraId="3009E055" w14:textId="0C202A66" w:rsidR="00AE4A66" w:rsidRDefault="00CB4707">
      <w:pPr>
        <w:rPr>
          <w:sz w:val="22"/>
          <w:szCs w:val="22"/>
        </w:rPr>
      </w:pPr>
      <w:r w:rsidRPr="00CB4707">
        <w:rPr>
          <w:sz w:val="22"/>
          <w:szCs w:val="22"/>
          <w:u w:val="single"/>
        </w:rPr>
        <w:t>Metabolikus változások</w:t>
      </w:r>
      <w:r w:rsidR="00AE4A66" w:rsidRPr="002D0731">
        <w:rPr>
          <w:sz w:val="22"/>
          <w:szCs w:val="22"/>
          <w:u w:val="single"/>
        </w:rPr>
        <w:t>:</w:t>
      </w:r>
      <w:r w:rsidR="00AE4A66" w:rsidRPr="002D0731">
        <w:rPr>
          <w:sz w:val="22"/>
          <w:szCs w:val="22"/>
        </w:rPr>
        <w:t xml:space="preserve"> </w:t>
      </w:r>
      <w:r w:rsidR="00A80DB4" w:rsidRPr="002D0731">
        <w:rPr>
          <w:sz w:val="22"/>
          <w:szCs w:val="22"/>
        </w:rPr>
        <w:t>H</w:t>
      </w:r>
      <w:r w:rsidR="00AE4A66" w:rsidRPr="002D0731">
        <w:rPr>
          <w:sz w:val="22"/>
          <w:szCs w:val="22"/>
        </w:rPr>
        <w:t>iperglikémiáról és a diabétesz kialakulásának megnövekedett kockázatáról számoltak be férfiaknál alkalmazott GnRH-agonista</w:t>
      </w:r>
      <w:r w:rsidR="00D21CE2">
        <w:rPr>
          <w:sz w:val="22"/>
          <w:szCs w:val="22"/>
        </w:rPr>
        <w:noBreakHyphen/>
      </w:r>
      <w:r w:rsidR="00AE4A66" w:rsidRPr="002D0731">
        <w:rPr>
          <w:sz w:val="22"/>
          <w:szCs w:val="22"/>
        </w:rPr>
        <w:t>kezelés során. A hiperglikémia a diabetes mellitus kialakulását vagy a diabéteszes betegek romló vércukorszint-szabályozását mutathatja. A GnRH-agonista</w:t>
      </w:r>
      <w:r w:rsidR="00AC134E">
        <w:rPr>
          <w:sz w:val="22"/>
          <w:szCs w:val="22"/>
        </w:rPr>
        <w:t>-</w:t>
      </w:r>
      <w:r w:rsidR="00AE4A66" w:rsidRPr="002D0731">
        <w:rPr>
          <w:sz w:val="22"/>
          <w:szCs w:val="22"/>
        </w:rPr>
        <w:t xml:space="preserve">kezelésben részesülő betegeknél időnként a vér glükóz és/vagy glikozilált hemoglobin (HbA1c) </w:t>
      </w:r>
      <w:r w:rsidR="00E51409">
        <w:rPr>
          <w:sz w:val="22"/>
          <w:szCs w:val="22"/>
        </w:rPr>
        <w:t xml:space="preserve">szintjének </w:t>
      </w:r>
      <w:r w:rsidR="00AE4A66" w:rsidRPr="002D0731">
        <w:rPr>
          <w:sz w:val="22"/>
          <w:szCs w:val="22"/>
        </w:rPr>
        <w:t>ellenőrzése és a hiperglikémia, diabétesz megfelelő kezelése szükséges.</w:t>
      </w:r>
      <w:r>
        <w:rPr>
          <w:sz w:val="22"/>
          <w:szCs w:val="22"/>
        </w:rPr>
        <w:t xml:space="preserve"> A GnRH-agonistával összefüggő metabolikus változások magukba foglalhatják a zsírmájbetegséget.</w:t>
      </w:r>
    </w:p>
    <w:p w14:paraId="05EFEA6F" w14:textId="77777777" w:rsidR="002D0731" w:rsidRPr="002D0731" w:rsidRDefault="002D0731">
      <w:pPr>
        <w:rPr>
          <w:sz w:val="22"/>
          <w:szCs w:val="22"/>
        </w:rPr>
      </w:pPr>
    </w:p>
    <w:p w14:paraId="600157B9" w14:textId="77777777" w:rsidR="00732045" w:rsidRPr="00B35B1B" w:rsidRDefault="00732045" w:rsidP="00B35B1B">
      <w:pPr>
        <w:pStyle w:val="00Paragraph"/>
        <w:spacing w:before="0" w:after="0" w:line="240" w:lineRule="auto"/>
        <w:rPr>
          <w:rFonts w:eastAsia="Times New Roman"/>
          <w:sz w:val="22"/>
          <w:szCs w:val="22"/>
          <w:lang w:val="hu-HU" w:eastAsia="de-DE"/>
        </w:rPr>
      </w:pPr>
      <w:r w:rsidRPr="002D0731">
        <w:rPr>
          <w:rFonts w:eastAsia="Times New Roman"/>
          <w:sz w:val="22"/>
          <w:szCs w:val="22"/>
          <w:u w:val="single"/>
          <w:lang w:val="hu-HU" w:eastAsia="de-DE"/>
        </w:rPr>
        <w:t>Görcs</w:t>
      </w:r>
      <w:r w:rsidR="00E51409">
        <w:rPr>
          <w:rFonts w:eastAsia="Times New Roman"/>
          <w:sz w:val="22"/>
          <w:szCs w:val="22"/>
          <w:u w:val="single"/>
          <w:lang w:val="hu-HU" w:eastAsia="de-DE"/>
        </w:rPr>
        <w:t>rohamok (konvulziók)</w:t>
      </w:r>
      <w:r w:rsidRPr="002D0731">
        <w:rPr>
          <w:rFonts w:eastAsia="Times New Roman"/>
          <w:sz w:val="22"/>
          <w:szCs w:val="22"/>
          <w:u w:val="single"/>
          <w:lang w:val="hu-HU" w:eastAsia="de-DE"/>
        </w:rPr>
        <w:t>:</w:t>
      </w:r>
      <w:r w:rsidRPr="00B35B1B">
        <w:rPr>
          <w:rFonts w:eastAsia="Times New Roman"/>
          <w:sz w:val="22"/>
          <w:szCs w:val="22"/>
          <w:lang w:val="hu-HU" w:eastAsia="de-DE"/>
        </w:rPr>
        <w:t xml:space="preserve"> A f</w:t>
      </w:r>
      <w:r w:rsidRPr="002D0731">
        <w:rPr>
          <w:sz w:val="22"/>
          <w:szCs w:val="22"/>
          <w:lang w:val="hu-HU" w:eastAsia="hu-HU"/>
        </w:rPr>
        <w:t>orgalomba hozatalt követő</w:t>
      </w:r>
      <w:r w:rsidR="00E51409" w:rsidRPr="003654E7">
        <w:rPr>
          <w:sz w:val="22"/>
          <w:szCs w:val="22"/>
          <w:lang w:val="hu-HU" w:eastAsia="hu-HU"/>
        </w:rPr>
        <w:t>en arról számoltak be, hogy a leuprorelin</w:t>
      </w:r>
      <w:r w:rsidR="00E51409" w:rsidRPr="003654E7">
        <w:rPr>
          <w:sz w:val="22"/>
          <w:szCs w:val="22"/>
          <w:lang w:val="hu-HU" w:eastAsia="hu-HU"/>
        </w:rPr>
        <w:noBreakHyphen/>
        <w:t xml:space="preserve">acetát-terápiában részesülő betegeknél, az anamnézisben szereplő </w:t>
      </w:r>
      <w:r w:rsidRPr="002D0731">
        <w:rPr>
          <w:sz w:val="22"/>
          <w:szCs w:val="22"/>
          <w:lang w:val="hu-HU" w:eastAsia="hu-HU"/>
        </w:rPr>
        <w:t>hajlamosító tényezőkkel együtt vagy anélkül</w:t>
      </w:r>
      <w:r w:rsidR="00E51409">
        <w:rPr>
          <w:sz w:val="22"/>
          <w:szCs w:val="22"/>
          <w:lang w:val="hu-HU" w:eastAsia="hu-HU"/>
        </w:rPr>
        <w:t xml:space="preserve">, </w:t>
      </w:r>
      <w:r w:rsidR="00E51409" w:rsidRPr="003654E7">
        <w:rPr>
          <w:sz w:val="22"/>
          <w:szCs w:val="22"/>
          <w:lang w:val="hu-HU" w:eastAsia="hu-HU"/>
        </w:rPr>
        <w:t>görcsrohamokat észleltek</w:t>
      </w:r>
      <w:r w:rsidRPr="00B35B1B">
        <w:rPr>
          <w:rFonts w:eastAsia="Times New Roman"/>
          <w:sz w:val="22"/>
          <w:szCs w:val="22"/>
          <w:lang w:val="hu-HU" w:eastAsia="de-DE"/>
        </w:rPr>
        <w:t xml:space="preserve">. A </w:t>
      </w:r>
      <w:r w:rsidR="00795767">
        <w:rPr>
          <w:rFonts w:eastAsia="Times New Roman"/>
          <w:sz w:val="22"/>
          <w:szCs w:val="22"/>
          <w:lang w:val="hu-HU" w:eastAsia="de-DE"/>
        </w:rPr>
        <w:t>konvulzió</w:t>
      </w:r>
      <w:r w:rsidRPr="00B35B1B">
        <w:rPr>
          <w:rFonts w:eastAsia="Times New Roman"/>
          <w:sz w:val="22"/>
          <w:szCs w:val="22"/>
          <w:lang w:val="hu-HU" w:eastAsia="de-DE"/>
        </w:rPr>
        <w:t>k ellátása az érvényben lévő klinikai gyakorlatnak megfelelően kell, hogy történjen.</w:t>
      </w:r>
    </w:p>
    <w:p w14:paraId="00E255E2" w14:textId="77777777" w:rsidR="00AC4A64" w:rsidRDefault="00AC4A64" w:rsidP="00AC4A64">
      <w:pPr>
        <w:rPr>
          <w:sz w:val="22"/>
          <w:szCs w:val="22"/>
        </w:rPr>
      </w:pPr>
    </w:p>
    <w:p w14:paraId="060560C0" w14:textId="0CD1DC02" w:rsidR="00AC4A64" w:rsidRPr="005B41E1" w:rsidRDefault="00AC4A64" w:rsidP="00AC4A64">
      <w:pPr>
        <w:rPr>
          <w:sz w:val="22"/>
          <w:szCs w:val="22"/>
        </w:rPr>
      </w:pPr>
      <w:r w:rsidRPr="00E92A42">
        <w:rPr>
          <w:sz w:val="22"/>
          <w:szCs w:val="22"/>
          <w:u w:val="single"/>
        </w:rPr>
        <w:t>Idiopathiás koponyaűri nyomásfokozódás:</w:t>
      </w:r>
      <w:r>
        <w:rPr>
          <w:sz w:val="22"/>
          <w:szCs w:val="22"/>
          <w:u w:val="single"/>
        </w:rPr>
        <w:t xml:space="preserve"> </w:t>
      </w:r>
      <w:r w:rsidRPr="00484A09">
        <w:rPr>
          <w:sz w:val="22"/>
          <w:szCs w:val="22"/>
        </w:rPr>
        <w:t>Idiopathiás koponyaűri nyomásfokozódásról (pseudotumor cerebri) számoltak be a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>leuprorelinnel kezelt betegeknél. A betegek figyelmét fel kell hívni az idiopathiás koponyaűri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 xml:space="preserve">nyomásfokozódás jeleire és tüneteire, beleértve a súlyos </w:t>
      </w:r>
      <w:r w:rsidR="008A70A5">
        <w:rPr>
          <w:sz w:val="22"/>
          <w:szCs w:val="22"/>
        </w:rPr>
        <w:t>vagy</w:t>
      </w:r>
      <w:r w:rsidRPr="00484A09">
        <w:rPr>
          <w:sz w:val="22"/>
          <w:szCs w:val="22"/>
        </w:rPr>
        <w:t xml:space="preserve"> visszatérő fejfájást, a látászavarokat és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>a fülzúgást is. Idiopathiás koponyaűri nyomásfokozódás jelentkezése esetén mérlegelni kell a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>leuprorelin-kezelés felfüggesztését.</w:t>
      </w:r>
    </w:p>
    <w:p w14:paraId="2E8F4546" w14:textId="77777777" w:rsidR="00732045" w:rsidRDefault="00732045" w:rsidP="002D0731">
      <w:pPr>
        <w:jc w:val="both"/>
        <w:rPr>
          <w:sz w:val="22"/>
          <w:szCs w:val="22"/>
          <w:u w:val="single"/>
        </w:rPr>
      </w:pPr>
    </w:p>
    <w:p w14:paraId="1804DA65" w14:textId="77777777" w:rsidR="00CB4707" w:rsidRPr="005B41E1" w:rsidRDefault="00CB4707" w:rsidP="00CB4707">
      <w:pPr>
        <w:rPr>
          <w:sz w:val="22"/>
          <w:szCs w:val="22"/>
        </w:rPr>
      </w:pPr>
      <w:r>
        <w:rPr>
          <w:sz w:val="22"/>
          <w:szCs w:val="22"/>
        </w:rPr>
        <w:t>Bőrt érintő súlyos mellékhatások: A leuprorelin</w:t>
      </w:r>
      <w:r>
        <w:rPr>
          <w:sz w:val="22"/>
          <w:szCs w:val="22"/>
        </w:rPr>
        <w:noBreakHyphen/>
        <w:t>kezeléssel összefüggésben bőrt érintő súlyos mellékhatásokat (SCAR-okat), beleértve a potenciálisan életveszélyes vagy halálos kimenetelű Stevens–Johnson</w:t>
      </w:r>
      <w:r>
        <w:rPr>
          <w:sz w:val="22"/>
          <w:szCs w:val="22"/>
        </w:rPr>
        <w:noBreakHyphen/>
        <w:t>szindrómát (SJS) és a toxikus epidermalis necrolysist (TEN), jelentettek. A gyógyszer felírásakor a betegeket tájékoztatni kell a jelekről és a tünetekről és szorosan figyelemmel kell kísérni őket a bőrreakciók tekintetében. Ha az ilyen reakciókra utaló jelek és tünetek jelentkeznek, a leuprorelin alkalmazását azonnal le kell állítani, és (adott esetben) alternatív kezelést kell mérlegelni.</w:t>
      </w:r>
    </w:p>
    <w:p w14:paraId="76E4231E" w14:textId="77777777" w:rsidR="00CB4707" w:rsidRPr="00B35B1B" w:rsidRDefault="00CB4707" w:rsidP="002D0731">
      <w:pPr>
        <w:jc w:val="both"/>
        <w:rPr>
          <w:sz w:val="22"/>
          <w:szCs w:val="22"/>
          <w:u w:val="single"/>
        </w:rPr>
      </w:pPr>
    </w:p>
    <w:p w14:paraId="49616BF1" w14:textId="77777777" w:rsidR="00732045" w:rsidRPr="002D0731" w:rsidRDefault="00732045" w:rsidP="00B35B1B">
      <w:pPr>
        <w:rPr>
          <w:sz w:val="22"/>
          <w:szCs w:val="22"/>
        </w:rPr>
      </w:pPr>
      <w:r w:rsidRPr="00B35B1B">
        <w:rPr>
          <w:sz w:val="22"/>
          <w:szCs w:val="22"/>
          <w:u w:val="single"/>
        </w:rPr>
        <w:t>Egyéb események:</w:t>
      </w:r>
      <w:r w:rsidRPr="00B35B1B">
        <w:rPr>
          <w:sz w:val="22"/>
          <w:szCs w:val="22"/>
        </w:rPr>
        <w:t xml:space="preserve"> A </w:t>
      </w:r>
      <w:r w:rsidRPr="002D0731">
        <w:rPr>
          <w:sz w:val="22"/>
          <w:szCs w:val="22"/>
        </w:rPr>
        <w:t>GnRH</w:t>
      </w:r>
      <w:r w:rsidR="00D21CE2">
        <w:rPr>
          <w:sz w:val="22"/>
          <w:szCs w:val="22"/>
        </w:rPr>
        <w:noBreakHyphen/>
      </w:r>
      <w:r w:rsidRPr="002D0731">
        <w:rPr>
          <w:sz w:val="22"/>
          <w:szCs w:val="22"/>
        </w:rPr>
        <w:t>agonistákkal összefüggésben uret</w:t>
      </w:r>
      <w:r w:rsidR="00795767">
        <w:rPr>
          <w:sz w:val="22"/>
          <w:szCs w:val="22"/>
        </w:rPr>
        <w:t>h</w:t>
      </w:r>
      <w:r w:rsidRPr="002D0731">
        <w:rPr>
          <w:sz w:val="22"/>
          <w:szCs w:val="22"/>
        </w:rPr>
        <w:t>er</w:t>
      </w:r>
      <w:r w:rsidRPr="002D0731">
        <w:rPr>
          <w:sz w:val="22"/>
          <w:szCs w:val="22"/>
        </w:rPr>
        <w:noBreakHyphen/>
        <w:t>obstrukció és gerincvelő</w:t>
      </w:r>
      <w:r w:rsidRPr="002D0731">
        <w:rPr>
          <w:sz w:val="22"/>
          <w:szCs w:val="22"/>
        </w:rPr>
        <w:noBreakHyphen/>
        <w:t>kompresszió eseteit jelentették, mely utóbbi fatális szövődményekkel járó vagy azok nélkül kialakuló paralízishez vezethet. Ha gerincvelő-kompresszió vagy vesekárosodás alakul ki, az ezen a szövődmények esetében szokásos kezelését kell alkalmazni.</w:t>
      </w:r>
    </w:p>
    <w:p w14:paraId="3976CA67" w14:textId="0F3A3D99" w:rsidR="00732045" w:rsidRDefault="00732045" w:rsidP="002D0731">
      <w:pPr>
        <w:rPr>
          <w:sz w:val="22"/>
          <w:szCs w:val="22"/>
        </w:rPr>
      </w:pPr>
      <w:r w:rsidRPr="002D0731">
        <w:rPr>
          <w:sz w:val="22"/>
          <w:szCs w:val="22"/>
        </w:rPr>
        <w:t>Gerinc- és/vagy agyi metasztázis, illetve húgyúti elzáródás fennállása esetén a betegeket a kezelés első heteiben szoros megfigyelés alatt kell tartani.</w:t>
      </w:r>
    </w:p>
    <w:p w14:paraId="0B32C41A" w14:textId="77777777" w:rsidR="00B76B77" w:rsidRPr="002D0731" w:rsidRDefault="00B76B77" w:rsidP="002D0731">
      <w:pPr>
        <w:rPr>
          <w:sz w:val="22"/>
          <w:szCs w:val="22"/>
          <w:u w:val="single"/>
        </w:rPr>
      </w:pPr>
    </w:p>
    <w:p w14:paraId="1D3FA0B2" w14:textId="77777777" w:rsidR="00CF3B77" w:rsidRPr="002D0731" w:rsidRDefault="00CF3B77" w:rsidP="003654E7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4.5</w:t>
      </w:r>
      <w:r w:rsidRPr="002D0731">
        <w:rPr>
          <w:b/>
          <w:sz w:val="22"/>
          <w:szCs w:val="22"/>
        </w:rPr>
        <w:tab/>
        <w:t>Gyógyszerkölcsönhatások és egyéb interakciók</w:t>
      </w:r>
    </w:p>
    <w:p w14:paraId="2D0486E3" w14:textId="77777777" w:rsidR="00CF3B77" w:rsidRPr="002D0731" w:rsidRDefault="00CF3B77">
      <w:pPr>
        <w:jc w:val="both"/>
        <w:rPr>
          <w:sz w:val="22"/>
          <w:szCs w:val="22"/>
        </w:rPr>
      </w:pPr>
    </w:p>
    <w:p w14:paraId="21B76B1D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</w:t>
      </w:r>
      <w:r w:rsidR="00C95DEE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C95DEE" w:rsidRPr="002D0731">
        <w:rPr>
          <w:szCs w:val="22"/>
          <w:lang w:val="hu-HU"/>
        </w:rPr>
        <w:t xml:space="preserve"> </w:t>
      </w:r>
      <w:r w:rsidR="00C91459" w:rsidRPr="002D0731">
        <w:rPr>
          <w:szCs w:val="22"/>
          <w:lang w:val="hu-HU"/>
        </w:rPr>
        <w:t>45</w:t>
      </w:r>
      <w:r w:rsidRPr="002D0731">
        <w:rPr>
          <w:szCs w:val="22"/>
          <w:lang w:val="hu-HU"/>
        </w:rPr>
        <w:t xml:space="preserve"> mg készítménnyel nem végeztek farmakokinetikai </w:t>
      </w:r>
      <w:r w:rsidR="00C95DEE" w:rsidRPr="002D0731">
        <w:rPr>
          <w:szCs w:val="22"/>
          <w:lang w:val="hu-HU"/>
        </w:rPr>
        <w:t xml:space="preserve">gyógyszerinterakciós </w:t>
      </w:r>
      <w:r w:rsidRPr="002D0731">
        <w:rPr>
          <w:szCs w:val="22"/>
          <w:lang w:val="hu-HU"/>
        </w:rPr>
        <w:t xml:space="preserve">vizsgálatokat. </w:t>
      </w:r>
      <w:r w:rsidR="00C95DEE" w:rsidRPr="002D0731">
        <w:rPr>
          <w:szCs w:val="22"/>
          <w:lang w:val="hu-HU"/>
        </w:rPr>
        <w:t xml:space="preserve">Nem </w:t>
      </w:r>
      <w:r w:rsidR="00241984" w:rsidRPr="002D0731">
        <w:rPr>
          <w:szCs w:val="22"/>
          <w:lang w:val="hu-HU"/>
        </w:rPr>
        <w:t>érkeztek jelentések a</w:t>
      </w:r>
      <w:r w:rsidRPr="002D0731">
        <w:rPr>
          <w:szCs w:val="22"/>
          <w:lang w:val="hu-HU"/>
        </w:rPr>
        <w:t xml:space="preserve"> leuprorelin</w:t>
      </w:r>
      <w:r w:rsidR="00C95DEE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 xml:space="preserve">acetát </w:t>
      </w:r>
      <w:r w:rsidR="00DE6BA0" w:rsidRPr="002D0731">
        <w:rPr>
          <w:szCs w:val="22"/>
          <w:lang w:val="hu-HU"/>
        </w:rPr>
        <w:t>egyéb</w:t>
      </w:r>
      <w:r w:rsidRPr="002D0731">
        <w:rPr>
          <w:szCs w:val="22"/>
          <w:lang w:val="hu-HU"/>
        </w:rPr>
        <w:t xml:space="preserve"> gyógyszerekkel</w:t>
      </w:r>
      <w:r w:rsidR="00241984" w:rsidRPr="002D0731">
        <w:rPr>
          <w:szCs w:val="22"/>
          <w:lang w:val="hu-HU"/>
        </w:rPr>
        <w:t xml:space="preserve"> való bármilyen kölcsönhatásáról</w:t>
      </w:r>
      <w:r w:rsidRPr="002D0731">
        <w:rPr>
          <w:szCs w:val="22"/>
          <w:lang w:val="hu-HU"/>
        </w:rPr>
        <w:t>.</w:t>
      </w:r>
    </w:p>
    <w:p w14:paraId="1494F74D" w14:textId="77777777" w:rsidR="00D94F0E" w:rsidRPr="002D0731" w:rsidRDefault="00D94F0E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Mivel az androgén</w:t>
      </w:r>
      <w:r w:rsidR="00D21CE2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deprivációs kezelés meghosszabbíthatja a QT-intervallumot, ezért az Eligard 45</w:t>
      </w:r>
      <w:r w:rsidR="001209A2">
        <w:rPr>
          <w:szCs w:val="22"/>
          <w:lang w:val="hu-HU"/>
        </w:rPr>
        <w:t> </w:t>
      </w:r>
      <w:r w:rsidRPr="002D0731">
        <w:rPr>
          <w:szCs w:val="22"/>
          <w:lang w:val="hu-HU"/>
        </w:rPr>
        <w:t xml:space="preserve">mg együttadását az ismerten QT-intervallumot meghosszabbító vagy </w:t>
      </w:r>
      <w:r w:rsidRPr="003654E7">
        <w:rPr>
          <w:i/>
          <w:szCs w:val="22"/>
          <w:lang w:val="hu-HU"/>
        </w:rPr>
        <w:t>Torsade de pointes</w:t>
      </w:r>
      <w:r w:rsidRPr="002D0731">
        <w:rPr>
          <w:szCs w:val="22"/>
          <w:lang w:val="hu-HU"/>
        </w:rPr>
        <w:t xml:space="preserve"> típusú ritmuszavar kialakulására hajlamosító gyógyszerkészítményekkel, úgymint az IA</w:t>
      </w:r>
      <w:r w:rsidR="00D21CE2">
        <w:rPr>
          <w:szCs w:val="22"/>
          <w:lang w:val="hu-HU"/>
        </w:rPr>
        <w:t>.</w:t>
      </w:r>
      <w:r w:rsidRPr="002D0731">
        <w:rPr>
          <w:szCs w:val="22"/>
          <w:lang w:val="hu-HU"/>
        </w:rPr>
        <w:t xml:space="preserve"> osztályba (például </w:t>
      </w:r>
      <w:r w:rsidR="007178C5">
        <w:rPr>
          <w:szCs w:val="22"/>
          <w:lang w:val="hu-HU"/>
        </w:rPr>
        <w:t>k</w:t>
      </w:r>
      <w:r w:rsidRPr="002D0731">
        <w:rPr>
          <w:szCs w:val="22"/>
          <w:lang w:val="hu-HU"/>
        </w:rPr>
        <w:t>inidin, d</w:t>
      </w:r>
      <w:r w:rsidR="007178C5">
        <w:rPr>
          <w:szCs w:val="22"/>
          <w:lang w:val="hu-HU"/>
        </w:rPr>
        <w:t>iz</w:t>
      </w:r>
      <w:r w:rsidRPr="002D0731">
        <w:rPr>
          <w:szCs w:val="22"/>
          <w:lang w:val="hu-HU"/>
        </w:rPr>
        <w:t>opiramid) vagy III.</w:t>
      </w:r>
      <w:r w:rsidR="00D21CE2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osztályba (például amiodaron, s</w:t>
      </w:r>
      <w:r w:rsidR="007178C5">
        <w:rPr>
          <w:szCs w:val="22"/>
          <w:lang w:val="hu-HU"/>
        </w:rPr>
        <w:t>z</w:t>
      </w:r>
      <w:r w:rsidRPr="002D0731">
        <w:rPr>
          <w:szCs w:val="22"/>
          <w:lang w:val="hu-HU"/>
        </w:rPr>
        <w:t>otalol, dofetilid, ibutilid) tartozó antiar</w:t>
      </w:r>
      <w:r w:rsidR="007178C5">
        <w:rPr>
          <w:szCs w:val="22"/>
          <w:lang w:val="hu-HU"/>
        </w:rPr>
        <w:t>i</w:t>
      </w:r>
      <w:r w:rsidRPr="002D0731">
        <w:rPr>
          <w:szCs w:val="22"/>
          <w:lang w:val="hu-HU"/>
        </w:rPr>
        <w:t>tmiás gyógyszerekkel, metadonnal, moxifloxacinnal, antipszichotikumokkal</w:t>
      </w:r>
      <w:r w:rsidR="001209A2">
        <w:rPr>
          <w:szCs w:val="22"/>
          <w:lang w:val="hu-HU"/>
        </w:rPr>
        <w:t>,</w:t>
      </w:r>
      <w:r w:rsidRPr="002D0731">
        <w:rPr>
          <w:szCs w:val="22"/>
          <w:lang w:val="hu-HU"/>
        </w:rPr>
        <w:t xml:space="preserve"> stb. alaposan meg kell fontolni (lásd 4.4 pont).</w:t>
      </w:r>
    </w:p>
    <w:p w14:paraId="31E00E8E" w14:textId="77777777" w:rsidR="00CF3B77" w:rsidRPr="002D0731" w:rsidRDefault="00CF3B77">
      <w:pPr>
        <w:rPr>
          <w:sz w:val="22"/>
          <w:szCs w:val="22"/>
        </w:rPr>
      </w:pPr>
    </w:p>
    <w:p w14:paraId="7B9B1F4B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4.6</w:t>
      </w:r>
      <w:r w:rsidRPr="002D0731">
        <w:rPr>
          <w:b/>
          <w:sz w:val="22"/>
          <w:szCs w:val="22"/>
        </w:rPr>
        <w:tab/>
        <w:t>T</w:t>
      </w:r>
      <w:r w:rsidR="00AE4A66" w:rsidRPr="002D0731">
        <w:rPr>
          <w:b/>
          <w:sz w:val="22"/>
          <w:szCs w:val="22"/>
        </w:rPr>
        <w:t>ermékenység, t</w:t>
      </w:r>
      <w:r w:rsidRPr="002D0731">
        <w:rPr>
          <w:b/>
          <w:sz w:val="22"/>
          <w:szCs w:val="22"/>
        </w:rPr>
        <w:t>erhesség és szoptatás</w:t>
      </w:r>
    </w:p>
    <w:p w14:paraId="090C8BEB" w14:textId="77777777" w:rsidR="00CF3B77" w:rsidRPr="002D0731" w:rsidRDefault="00CF3B77">
      <w:pPr>
        <w:jc w:val="both"/>
        <w:rPr>
          <w:sz w:val="22"/>
          <w:szCs w:val="22"/>
        </w:rPr>
      </w:pPr>
    </w:p>
    <w:p w14:paraId="416059AA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Nem </w:t>
      </w:r>
      <w:r w:rsidR="00C95DEE" w:rsidRPr="002D0731">
        <w:rPr>
          <w:szCs w:val="22"/>
          <w:lang w:val="hu-HU"/>
        </w:rPr>
        <w:t>értelmezhető</w:t>
      </w:r>
      <w:r w:rsidRPr="002D0731">
        <w:rPr>
          <w:szCs w:val="22"/>
          <w:lang w:val="hu-HU"/>
        </w:rPr>
        <w:t xml:space="preserve">, mivel az </w:t>
      </w:r>
      <w:r w:rsidR="00C95DEE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C95DEE" w:rsidRPr="002D0731">
        <w:rPr>
          <w:szCs w:val="22"/>
          <w:lang w:val="hu-HU"/>
        </w:rPr>
        <w:t xml:space="preserve"> </w:t>
      </w:r>
      <w:r w:rsidR="00C91459" w:rsidRPr="002D0731">
        <w:rPr>
          <w:szCs w:val="22"/>
          <w:lang w:val="hu-HU"/>
        </w:rPr>
        <w:t>45</w:t>
      </w:r>
      <w:r w:rsidRPr="002D0731">
        <w:rPr>
          <w:szCs w:val="22"/>
          <w:lang w:val="hu-HU"/>
        </w:rPr>
        <w:t xml:space="preserve"> mg adása nőknek ellenjavallt. </w:t>
      </w:r>
    </w:p>
    <w:p w14:paraId="285C9771" w14:textId="77777777" w:rsidR="00CF3B77" w:rsidRPr="002D0731" w:rsidRDefault="00CF3B77">
      <w:pPr>
        <w:rPr>
          <w:sz w:val="22"/>
          <w:szCs w:val="22"/>
        </w:rPr>
      </w:pPr>
    </w:p>
    <w:p w14:paraId="032A84E0" w14:textId="77777777" w:rsidR="00CF3B77" w:rsidRPr="002D0731" w:rsidRDefault="00CF3B77">
      <w:pPr>
        <w:ind w:left="567" w:hanging="567"/>
        <w:rPr>
          <w:b/>
          <w:bCs/>
          <w:sz w:val="22"/>
          <w:szCs w:val="22"/>
        </w:rPr>
      </w:pPr>
      <w:r w:rsidRPr="002D0731">
        <w:rPr>
          <w:b/>
          <w:bCs/>
          <w:sz w:val="22"/>
          <w:szCs w:val="22"/>
        </w:rPr>
        <w:t>4.7</w:t>
      </w:r>
      <w:r w:rsidRPr="002D0731">
        <w:rPr>
          <w:b/>
          <w:bCs/>
          <w:sz w:val="22"/>
          <w:szCs w:val="22"/>
        </w:rPr>
        <w:tab/>
        <w:t xml:space="preserve">A készítmény hatásai a gépjárművezetéshez és </w:t>
      </w:r>
      <w:r w:rsidR="004C7A19">
        <w:rPr>
          <w:b/>
          <w:bCs/>
          <w:sz w:val="22"/>
          <w:szCs w:val="22"/>
        </w:rPr>
        <w:t xml:space="preserve">a </w:t>
      </w:r>
      <w:r w:rsidRPr="002D0731">
        <w:rPr>
          <w:b/>
          <w:bCs/>
          <w:sz w:val="22"/>
          <w:szCs w:val="22"/>
        </w:rPr>
        <w:t xml:space="preserve">gépek </w:t>
      </w:r>
      <w:r w:rsidR="00C86F43" w:rsidRPr="002D0731">
        <w:rPr>
          <w:b/>
          <w:bCs/>
          <w:sz w:val="22"/>
          <w:szCs w:val="22"/>
        </w:rPr>
        <w:t xml:space="preserve">kezeléséhez </w:t>
      </w:r>
      <w:r w:rsidRPr="002D0731">
        <w:rPr>
          <w:b/>
          <w:bCs/>
          <w:sz w:val="22"/>
          <w:szCs w:val="22"/>
        </w:rPr>
        <w:t>szükséges képességekre</w:t>
      </w:r>
    </w:p>
    <w:p w14:paraId="1138290B" w14:textId="77777777" w:rsidR="00CF3B77" w:rsidRPr="002D0731" w:rsidRDefault="00CF3B77">
      <w:pPr>
        <w:rPr>
          <w:sz w:val="22"/>
          <w:szCs w:val="22"/>
        </w:rPr>
      </w:pPr>
    </w:p>
    <w:p w14:paraId="328B5029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Az </w:t>
      </w:r>
      <w:r w:rsidR="00C95DEE" w:rsidRPr="002D0731">
        <w:rPr>
          <w:sz w:val="22"/>
          <w:szCs w:val="22"/>
        </w:rPr>
        <w:t>E</w:t>
      </w:r>
      <w:r w:rsidR="00752BEB" w:rsidRPr="002D0731">
        <w:rPr>
          <w:sz w:val="22"/>
          <w:szCs w:val="22"/>
        </w:rPr>
        <w:t>ligard</w:t>
      </w:r>
      <w:r w:rsidR="00C95DEE" w:rsidRPr="002D0731">
        <w:rPr>
          <w:sz w:val="22"/>
          <w:szCs w:val="22"/>
        </w:rPr>
        <w:t xml:space="preserve"> </w:t>
      </w:r>
      <w:r w:rsidR="00CB45B2" w:rsidRPr="002D0731">
        <w:rPr>
          <w:sz w:val="22"/>
          <w:szCs w:val="22"/>
        </w:rPr>
        <w:t>45</w:t>
      </w:r>
      <w:r w:rsidRPr="002D0731">
        <w:rPr>
          <w:sz w:val="22"/>
          <w:szCs w:val="22"/>
        </w:rPr>
        <w:t xml:space="preserve"> mg </w:t>
      </w:r>
      <w:r w:rsidR="00CB45B2" w:rsidRPr="002D0731">
        <w:rPr>
          <w:sz w:val="22"/>
          <w:szCs w:val="22"/>
        </w:rPr>
        <w:t>készítménynek a gépjárművezetéshez</w:t>
      </w:r>
      <w:r w:rsidRPr="002D0731">
        <w:rPr>
          <w:sz w:val="22"/>
          <w:szCs w:val="22"/>
        </w:rPr>
        <w:t xml:space="preserve"> és </w:t>
      </w:r>
      <w:r w:rsidR="004C7A19">
        <w:rPr>
          <w:sz w:val="22"/>
          <w:szCs w:val="22"/>
        </w:rPr>
        <w:t xml:space="preserve">a </w:t>
      </w:r>
      <w:r w:rsidRPr="002D0731">
        <w:rPr>
          <w:sz w:val="22"/>
          <w:szCs w:val="22"/>
        </w:rPr>
        <w:t xml:space="preserve">gépek </w:t>
      </w:r>
      <w:r w:rsidR="00CB45B2" w:rsidRPr="002D0731">
        <w:rPr>
          <w:sz w:val="22"/>
          <w:szCs w:val="22"/>
        </w:rPr>
        <w:t>kezeléséhez</w:t>
      </w:r>
      <w:r w:rsidRPr="002D0731">
        <w:rPr>
          <w:sz w:val="22"/>
          <w:szCs w:val="22"/>
        </w:rPr>
        <w:t xml:space="preserve"> szükséges képességeket befolyásoló hatásait nem vizsgálták. </w:t>
      </w:r>
    </w:p>
    <w:p w14:paraId="258EF21D" w14:textId="77777777" w:rsidR="00CB45B2" w:rsidRPr="002D0731" w:rsidRDefault="00CB45B2">
      <w:pPr>
        <w:rPr>
          <w:sz w:val="22"/>
          <w:szCs w:val="22"/>
        </w:rPr>
      </w:pPr>
    </w:p>
    <w:p w14:paraId="77EB055E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A gépjárművezetés</w:t>
      </w:r>
      <w:r w:rsidR="00AE0403" w:rsidRPr="002D0731">
        <w:rPr>
          <w:sz w:val="22"/>
          <w:szCs w:val="22"/>
        </w:rPr>
        <w:t xml:space="preserve">hez </w:t>
      </w:r>
      <w:r w:rsidRPr="002D0731">
        <w:rPr>
          <w:sz w:val="22"/>
          <w:szCs w:val="22"/>
        </w:rPr>
        <w:t xml:space="preserve">és </w:t>
      </w:r>
      <w:r w:rsidR="004C7A19">
        <w:rPr>
          <w:sz w:val="22"/>
          <w:szCs w:val="22"/>
        </w:rPr>
        <w:t xml:space="preserve">a </w:t>
      </w:r>
      <w:r w:rsidRPr="002D0731">
        <w:rPr>
          <w:sz w:val="22"/>
          <w:szCs w:val="22"/>
        </w:rPr>
        <w:t xml:space="preserve">gépek </w:t>
      </w:r>
      <w:r w:rsidR="00AE0403" w:rsidRPr="002D0731">
        <w:rPr>
          <w:sz w:val="22"/>
          <w:szCs w:val="22"/>
        </w:rPr>
        <w:t>kezeléséhez</w:t>
      </w:r>
      <w:r w:rsidRPr="002D0731">
        <w:rPr>
          <w:sz w:val="22"/>
          <w:szCs w:val="22"/>
        </w:rPr>
        <w:t xml:space="preserve"> szükséges képességeket a jelentkező fáradtság</w:t>
      </w:r>
      <w:r w:rsidR="00AE0403" w:rsidRPr="002D0731">
        <w:rPr>
          <w:sz w:val="22"/>
          <w:szCs w:val="22"/>
        </w:rPr>
        <w:t xml:space="preserve">, szédülés és látászavarok ronthatják, melyek </w:t>
      </w:r>
      <w:r w:rsidR="00EA341C" w:rsidRPr="002D0731">
        <w:rPr>
          <w:sz w:val="22"/>
          <w:szCs w:val="22"/>
        </w:rPr>
        <w:t>vagy a kezelés lehetséges mellékhatásai</w:t>
      </w:r>
      <w:r w:rsidR="00AE0403" w:rsidRPr="002D0731">
        <w:rPr>
          <w:sz w:val="22"/>
          <w:szCs w:val="22"/>
        </w:rPr>
        <w:t>, vagy a fennálló betegség</w:t>
      </w:r>
      <w:r w:rsidR="00EA341C" w:rsidRPr="002D0731">
        <w:rPr>
          <w:sz w:val="22"/>
          <w:szCs w:val="22"/>
        </w:rPr>
        <w:t xml:space="preserve"> következményei</w:t>
      </w:r>
      <w:r w:rsidRPr="002D0731">
        <w:rPr>
          <w:sz w:val="22"/>
          <w:szCs w:val="22"/>
        </w:rPr>
        <w:t>.</w:t>
      </w:r>
    </w:p>
    <w:p w14:paraId="0E39E841" w14:textId="77777777" w:rsidR="00CF3B77" w:rsidRPr="002D0731" w:rsidRDefault="00CF3B77">
      <w:pPr>
        <w:rPr>
          <w:sz w:val="22"/>
          <w:szCs w:val="22"/>
        </w:rPr>
      </w:pPr>
    </w:p>
    <w:p w14:paraId="5E8FB7E3" w14:textId="77777777" w:rsidR="00CF3B77" w:rsidRPr="002D0731" w:rsidRDefault="00CF3B77">
      <w:pPr>
        <w:pStyle w:val="WW-Szvegtrzs212"/>
        <w:suppressAutoHyphens w:val="0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4.8</w:t>
      </w:r>
      <w:r w:rsidRPr="002D0731">
        <w:rPr>
          <w:szCs w:val="22"/>
          <w:lang w:val="hu-HU"/>
        </w:rPr>
        <w:tab/>
        <w:t>Nemkívánatos hatások, mellékhatások</w:t>
      </w:r>
    </w:p>
    <w:p w14:paraId="4A8E7B19" w14:textId="77777777" w:rsidR="00CF3B77" w:rsidRPr="002D0731" w:rsidRDefault="00CF3B77">
      <w:pPr>
        <w:rPr>
          <w:sz w:val="22"/>
          <w:szCs w:val="22"/>
        </w:rPr>
      </w:pPr>
    </w:p>
    <w:p w14:paraId="57153CAE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</w:t>
      </w:r>
      <w:r w:rsidR="009A597D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9A597D" w:rsidRPr="002D0731">
        <w:rPr>
          <w:szCs w:val="22"/>
          <w:lang w:val="hu-HU"/>
        </w:rPr>
        <w:t xml:space="preserve"> </w:t>
      </w:r>
      <w:r w:rsidR="00AE0403" w:rsidRPr="002D0731">
        <w:rPr>
          <w:szCs w:val="22"/>
          <w:lang w:val="hu-HU"/>
        </w:rPr>
        <w:t>45</w:t>
      </w:r>
      <w:r w:rsidRPr="002D0731">
        <w:rPr>
          <w:szCs w:val="22"/>
          <w:lang w:val="hu-HU"/>
        </w:rPr>
        <w:t> mg</w:t>
      </w:r>
      <w:r w:rsidR="00D21CE2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kezelés során előforduló mellékhatások főként a leuprorelin</w:t>
      </w:r>
      <w:r w:rsidR="009A597D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acetát konkrét farmakológiai hatásának, azaz bizonyos hormonszintek növe</w:t>
      </w:r>
      <w:r w:rsidR="00A64092" w:rsidRPr="002D0731">
        <w:rPr>
          <w:szCs w:val="22"/>
          <w:lang w:val="hu-HU"/>
        </w:rPr>
        <w:t>lésének</w:t>
      </w:r>
      <w:r w:rsidRPr="002D0731">
        <w:rPr>
          <w:szCs w:val="22"/>
          <w:lang w:val="hu-HU"/>
        </w:rPr>
        <w:t xml:space="preserve"> és csökken</w:t>
      </w:r>
      <w:r w:rsidR="00A64092" w:rsidRPr="002D0731">
        <w:rPr>
          <w:szCs w:val="22"/>
          <w:lang w:val="hu-HU"/>
        </w:rPr>
        <w:t>t</w:t>
      </w:r>
      <w:r w:rsidRPr="002D0731">
        <w:rPr>
          <w:szCs w:val="22"/>
          <w:lang w:val="hu-HU"/>
        </w:rPr>
        <w:t xml:space="preserve">ésének a következményei. A leggyakrabban előforduló mellékhatások közé tartoznak a hőhullámok, </w:t>
      </w:r>
      <w:r w:rsidR="00831A2F" w:rsidRPr="002D0731">
        <w:rPr>
          <w:szCs w:val="22"/>
          <w:lang w:val="hu-HU"/>
        </w:rPr>
        <w:t>hányinger</w:t>
      </w:r>
      <w:r w:rsidR="007C4DD2" w:rsidRPr="002D0731">
        <w:rPr>
          <w:szCs w:val="22"/>
          <w:lang w:val="hu-HU"/>
        </w:rPr>
        <w:t xml:space="preserve">, </w:t>
      </w:r>
      <w:r w:rsidR="00752BEB" w:rsidRPr="002D0731">
        <w:rPr>
          <w:szCs w:val="22"/>
          <w:lang w:val="hu-HU"/>
        </w:rPr>
        <w:t xml:space="preserve">rosszullét </w:t>
      </w:r>
      <w:r w:rsidRPr="002D0731">
        <w:rPr>
          <w:szCs w:val="22"/>
          <w:lang w:val="hu-HU"/>
        </w:rPr>
        <w:t xml:space="preserve">és a fáradtság, valamint múló helyi irritáció az injekció </w:t>
      </w:r>
      <w:r w:rsidR="001675C6" w:rsidRPr="002D0731">
        <w:rPr>
          <w:szCs w:val="22"/>
          <w:lang w:val="hu-HU"/>
        </w:rPr>
        <w:t xml:space="preserve">beadásának </w:t>
      </w:r>
      <w:r w:rsidRPr="002D0731">
        <w:rPr>
          <w:szCs w:val="22"/>
          <w:lang w:val="hu-HU"/>
        </w:rPr>
        <w:t>helyé</w:t>
      </w:r>
      <w:r w:rsidR="00AE0403" w:rsidRPr="002D0731">
        <w:rPr>
          <w:szCs w:val="22"/>
          <w:lang w:val="hu-HU"/>
        </w:rPr>
        <w:t xml:space="preserve">n. Enyhe </w:t>
      </w:r>
      <w:r w:rsidR="001675C6" w:rsidRPr="002D0731">
        <w:rPr>
          <w:szCs w:val="22"/>
          <w:lang w:val="hu-HU"/>
        </w:rPr>
        <w:t xml:space="preserve">vagy közepes fokú </w:t>
      </w:r>
      <w:r w:rsidR="00AE0403" w:rsidRPr="002D0731">
        <w:rPr>
          <w:szCs w:val="22"/>
          <w:lang w:val="hu-HU"/>
        </w:rPr>
        <w:t>hőhullámok a betegek 58</w:t>
      </w:r>
      <w:r w:rsidRPr="002D0731">
        <w:rPr>
          <w:szCs w:val="22"/>
          <w:lang w:val="hu-HU"/>
        </w:rPr>
        <w:t>%</w:t>
      </w:r>
      <w:r w:rsidR="009A597D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ánál fordulnak elő.</w:t>
      </w:r>
    </w:p>
    <w:p w14:paraId="64C5CDCE" w14:textId="77777777" w:rsidR="00CF3B77" w:rsidRPr="002D0731" w:rsidRDefault="00CF3B77">
      <w:pPr>
        <w:jc w:val="both"/>
        <w:rPr>
          <w:sz w:val="22"/>
          <w:szCs w:val="22"/>
        </w:rPr>
      </w:pPr>
    </w:p>
    <w:p w14:paraId="13753593" w14:textId="77777777" w:rsidR="00E82234" w:rsidRPr="002D0731" w:rsidRDefault="00E82234">
      <w:pPr>
        <w:rPr>
          <w:sz w:val="22"/>
          <w:szCs w:val="22"/>
        </w:rPr>
      </w:pPr>
      <w:r w:rsidRPr="002D0731">
        <w:rPr>
          <w:sz w:val="22"/>
          <w:szCs w:val="22"/>
        </w:rPr>
        <w:t>A mellékhatások táblázatos felsorolása</w:t>
      </w:r>
    </w:p>
    <w:p w14:paraId="129504CC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Az Eligard</w:t>
      </w:r>
      <w:r w:rsidR="00B642AF">
        <w:rPr>
          <w:sz w:val="22"/>
          <w:szCs w:val="22"/>
        </w:rPr>
        <w:t xml:space="preserve"> 45 mg</w:t>
      </w:r>
      <w:r w:rsidR="009A597D" w:rsidRPr="002D0731">
        <w:rPr>
          <w:sz w:val="22"/>
          <w:szCs w:val="22"/>
        </w:rPr>
        <w:noBreakHyphen/>
      </w:r>
      <w:r w:rsidR="00B642AF">
        <w:rPr>
          <w:sz w:val="22"/>
          <w:szCs w:val="22"/>
        </w:rPr>
        <w:t>m</w:t>
      </w:r>
      <w:r w:rsidRPr="002D0731">
        <w:rPr>
          <w:sz w:val="22"/>
          <w:szCs w:val="22"/>
        </w:rPr>
        <w:t xml:space="preserve">al végzett klinikai vizsgálatok során az előrehaladott prosztatakarcinómás betegeknél az alábbi nemkívánatos eseményekről számoltak be. A nemkívánatos események gyakoriságát az alábbiak szerint osztályozzuk: </w:t>
      </w:r>
      <w:r w:rsidR="00AE0403" w:rsidRPr="002D0731">
        <w:rPr>
          <w:sz w:val="22"/>
          <w:szCs w:val="22"/>
        </w:rPr>
        <w:t>n</w:t>
      </w:r>
      <w:r w:rsidRPr="002D0731">
        <w:rPr>
          <w:sz w:val="22"/>
          <w:szCs w:val="22"/>
        </w:rPr>
        <w:t>agyon gyakori</w:t>
      </w:r>
      <w:r w:rsidR="009A597D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(</w:t>
      </w:r>
      <w:r w:rsidR="000C6AF5" w:rsidRPr="002D0731">
        <w:rPr>
          <w:sz w:val="22"/>
          <w:szCs w:val="22"/>
        </w:rPr>
        <w:t>≥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10), gyakori</w:t>
      </w:r>
      <w:r w:rsidR="009A597D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(</w:t>
      </w:r>
      <w:r w:rsidR="000C6AF5" w:rsidRPr="002D0731">
        <w:rPr>
          <w:sz w:val="22"/>
          <w:szCs w:val="22"/>
        </w:rPr>
        <w:t>≥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100</w:t>
      </w:r>
      <w:r w:rsidR="00E03E9F">
        <w:rPr>
          <w:sz w:val="22"/>
          <w:szCs w:val="22"/>
        </w:rPr>
        <w:t xml:space="preserve"> </w:t>
      </w:r>
      <w:r w:rsidR="00E03E9F"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 &lt;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10), nem gyakori</w:t>
      </w:r>
      <w:r w:rsidR="009A597D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(</w:t>
      </w:r>
      <w:r w:rsidR="000C6AF5" w:rsidRPr="002D0731">
        <w:rPr>
          <w:sz w:val="22"/>
          <w:szCs w:val="22"/>
        </w:rPr>
        <w:t>≥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1000</w:t>
      </w:r>
      <w:r w:rsidR="00E03E9F">
        <w:rPr>
          <w:sz w:val="22"/>
          <w:szCs w:val="22"/>
        </w:rPr>
        <w:t xml:space="preserve"> </w:t>
      </w:r>
      <w:r w:rsidR="00E03E9F">
        <w:rPr>
          <w:sz w:val="22"/>
          <w:szCs w:val="22"/>
        </w:rPr>
        <w:noBreakHyphen/>
        <w:t xml:space="preserve"> </w:t>
      </w:r>
      <w:r w:rsidRPr="002D0731">
        <w:rPr>
          <w:sz w:val="22"/>
          <w:szCs w:val="22"/>
        </w:rPr>
        <w:t>&lt;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100), ritka</w:t>
      </w:r>
      <w:r w:rsidR="009A597D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(</w:t>
      </w:r>
      <w:r w:rsidR="000C6AF5" w:rsidRPr="002D0731">
        <w:rPr>
          <w:sz w:val="22"/>
          <w:szCs w:val="22"/>
        </w:rPr>
        <w:t>≥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</w:t>
      </w:r>
      <w:r w:rsidR="00A67AB3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000</w:t>
      </w:r>
      <w:r w:rsidR="00E03E9F">
        <w:rPr>
          <w:sz w:val="22"/>
          <w:szCs w:val="22"/>
        </w:rPr>
        <w:t xml:space="preserve"> </w:t>
      </w:r>
      <w:r w:rsidR="00E03E9F"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 &lt;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 xml:space="preserve">1000) </w:t>
      </w:r>
      <w:r w:rsidR="000C6AF5" w:rsidRPr="002D0731">
        <w:rPr>
          <w:sz w:val="22"/>
          <w:szCs w:val="22"/>
        </w:rPr>
        <w:t xml:space="preserve">és </w:t>
      </w:r>
      <w:r w:rsidRPr="002D0731">
        <w:rPr>
          <w:sz w:val="22"/>
          <w:szCs w:val="22"/>
        </w:rPr>
        <w:t>nagyon ritka</w:t>
      </w:r>
      <w:r w:rsidR="009A597D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(&lt;</w:t>
      </w:r>
      <w:r w:rsidR="001209A2">
        <w:rPr>
          <w:sz w:val="22"/>
          <w:szCs w:val="22"/>
        </w:rPr>
        <w:t> 1/</w:t>
      </w:r>
      <w:r w:rsidRPr="002D0731">
        <w:rPr>
          <w:sz w:val="22"/>
          <w:szCs w:val="22"/>
        </w:rPr>
        <w:t>10</w:t>
      </w:r>
      <w:r w:rsidR="00A67AB3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000)</w:t>
      </w:r>
      <w:r w:rsidR="00297FEC">
        <w:rPr>
          <w:sz w:val="22"/>
          <w:szCs w:val="22"/>
        </w:rPr>
        <w:t>,</w:t>
      </w:r>
      <w:r w:rsidR="00E861A0" w:rsidRPr="002D0731">
        <w:rPr>
          <w:sz w:val="22"/>
          <w:szCs w:val="22"/>
        </w:rPr>
        <w:t xml:space="preserve"> </w:t>
      </w:r>
      <w:r w:rsidR="009A597D" w:rsidRPr="002D0731">
        <w:rPr>
          <w:sz w:val="22"/>
          <w:szCs w:val="22"/>
        </w:rPr>
        <w:t>nem ismert</w:t>
      </w:r>
      <w:r w:rsidR="00E861A0" w:rsidRPr="002D0731">
        <w:rPr>
          <w:sz w:val="22"/>
          <w:szCs w:val="22"/>
        </w:rPr>
        <w:t xml:space="preserve"> (</w:t>
      </w:r>
      <w:r w:rsidR="009A597D" w:rsidRPr="002D0731">
        <w:rPr>
          <w:sz w:val="22"/>
          <w:szCs w:val="22"/>
        </w:rPr>
        <w:t xml:space="preserve">a rendelkezésre álló adatokból nem </w:t>
      </w:r>
      <w:r w:rsidR="00414681" w:rsidRPr="002D0731">
        <w:rPr>
          <w:sz w:val="22"/>
          <w:szCs w:val="22"/>
        </w:rPr>
        <w:t>becsülhető</w:t>
      </w:r>
      <w:r w:rsidR="009A597D" w:rsidRPr="002D0731">
        <w:rPr>
          <w:sz w:val="22"/>
          <w:szCs w:val="22"/>
        </w:rPr>
        <w:t xml:space="preserve"> meg</w:t>
      </w:r>
      <w:r w:rsidR="00E861A0" w:rsidRPr="002D0731">
        <w:rPr>
          <w:sz w:val="22"/>
          <w:szCs w:val="22"/>
        </w:rPr>
        <w:t>)</w:t>
      </w:r>
      <w:r w:rsidRPr="002D0731">
        <w:rPr>
          <w:sz w:val="22"/>
          <w:szCs w:val="22"/>
        </w:rPr>
        <w:t>.</w:t>
      </w:r>
    </w:p>
    <w:p w14:paraId="79E5C904" w14:textId="77777777" w:rsidR="00CF3B77" w:rsidRPr="002D0731" w:rsidRDefault="00CF3B77">
      <w:pPr>
        <w:rPr>
          <w:sz w:val="22"/>
          <w:szCs w:val="22"/>
        </w:rPr>
      </w:pPr>
    </w:p>
    <w:p w14:paraId="7F5DA685" w14:textId="69F1EBFA" w:rsidR="00A80DB4" w:rsidRPr="002D0731" w:rsidRDefault="00724D78" w:rsidP="00507476">
      <w:pPr>
        <w:numPr>
          <w:ilvl w:val="0"/>
          <w:numId w:val="11"/>
        </w:numPr>
        <w:ind w:left="0" w:hanging="11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Táblázat: Az Eligard</w:t>
      </w:r>
      <w:r w:rsidRPr="002D0731">
        <w:rPr>
          <w:b/>
          <w:sz w:val="22"/>
          <w:szCs w:val="22"/>
        </w:rPr>
        <w:noBreakHyphen/>
        <w:t xml:space="preserve">dal végzett klinikai vizsgálatokban előforduló </w:t>
      </w:r>
      <w:r w:rsidR="008A70A5">
        <w:rPr>
          <w:b/>
          <w:sz w:val="22"/>
          <w:szCs w:val="22"/>
        </w:rPr>
        <w:t>mellékhatások</w:t>
      </w:r>
    </w:p>
    <w:p w14:paraId="46CA3720" w14:textId="77777777" w:rsidR="00507476" w:rsidRPr="00B60F2A" w:rsidRDefault="00507476" w:rsidP="00B60F2A">
      <w:pPr>
        <w:rPr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188"/>
        <w:gridCol w:w="6378"/>
      </w:tblGrid>
      <w:tr w:rsidR="00507476" w:rsidRPr="005B41E1" w14:paraId="75BC5A0A" w14:textId="77777777" w:rsidTr="00795767">
        <w:trPr>
          <w:cantSplit/>
        </w:trPr>
        <w:tc>
          <w:tcPr>
            <w:tcW w:w="8566" w:type="dxa"/>
            <w:gridSpan w:val="2"/>
          </w:tcPr>
          <w:p w14:paraId="56B19560" w14:textId="77777777" w:rsidR="00507476" w:rsidRPr="005B41E1" w:rsidRDefault="00507476" w:rsidP="00795767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Fertőző betegségek és parazitafertőzések</w:t>
            </w:r>
          </w:p>
        </w:tc>
      </w:tr>
      <w:tr w:rsidR="00507476" w:rsidRPr="005B41E1" w14:paraId="7C4E8E1B" w14:textId="77777777" w:rsidTr="00795767">
        <w:trPr>
          <w:cantSplit/>
          <w:trHeight w:val="265"/>
        </w:trPr>
        <w:tc>
          <w:tcPr>
            <w:tcW w:w="2188" w:type="dxa"/>
          </w:tcPr>
          <w:p w14:paraId="55D72D7D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lastRenderedPageBreak/>
              <w:t>gyakori</w:t>
            </w:r>
          </w:p>
        </w:tc>
        <w:tc>
          <w:tcPr>
            <w:tcW w:w="6378" w:type="dxa"/>
          </w:tcPr>
          <w:p w14:paraId="3AF8F7FE" w14:textId="77777777" w:rsidR="00507476" w:rsidRPr="005B41E1" w:rsidRDefault="00507476" w:rsidP="00795767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>nasopharyngitis</w:t>
            </w:r>
          </w:p>
        </w:tc>
      </w:tr>
      <w:tr w:rsidR="00507476" w:rsidRPr="005B41E1" w14:paraId="331ACEDD" w14:textId="77777777" w:rsidTr="00795767">
        <w:trPr>
          <w:cantSplit/>
        </w:trPr>
        <w:tc>
          <w:tcPr>
            <w:tcW w:w="2188" w:type="dxa"/>
          </w:tcPr>
          <w:p w14:paraId="6CAEA2E8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02AC9D4A" w14:textId="77777777" w:rsidR="00507476" w:rsidRPr="005B41E1" w:rsidRDefault="00507476" w:rsidP="00795767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>húgyúti fertőzések, helyi bőrfertőzések</w:t>
            </w:r>
          </w:p>
        </w:tc>
      </w:tr>
      <w:tr w:rsidR="00507476" w:rsidRPr="005B41E1" w14:paraId="6912B1AB" w14:textId="77777777" w:rsidTr="00795767">
        <w:trPr>
          <w:cantSplit/>
        </w:trPr>
        <w:tc>
          <w:tcPr>
            <w:tcW w:w="8566" w:type="dxa"/>
            <w:gridSpan w:val="2"/>
          </w:tcPr>
          <w:p w14:paraId="267EC9DC" w14:textId="77777777" w:rsidR="00507476" w:rsidRPr="003654E7" w:rsidRDefault="00507476" w:rsidP="00795767">
            <w:pPr>
              <w:pStyle w:val="lfej"/>
              <w:tabs>
                <w:tab w:val="clear" w:pos="4153"/>
                <w:tab w:val="clear" w:pos="8306"/>
              </w:tabs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54E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  <w:tr w:rsidR="00507476" w:rsidRPr="005B41E1" w14:paraId="617DB10A" w14:textId="77777777" w:rsidTr="00795767">
        <w:trPr>
          <w:cantSplit/>
        </w:trPr>
        <w:tc>
          <w:tcPr>
            <w:tcW w:w="2188" w:type="dxa"/>
          </w:tcPr>
          <w:p w14:paraId="0D36E888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0E83631B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súlyosbodó diabetes mellitus</w:t>
            </w:r>
          </w:p>
        </w:tc>
      </w:tr>
      <w:tr w:rsidR="00507476" w:rsidRPr="005B41E1" w14:paraId="77529CD7" w14:textId="77777777" w:rsidTr="00795767">
        <w:trPr>
          <w:cantSplit/>
        </w:trPr>
        <w:tc>
          <w:tcPr>
            <w:tcW w:w="8566" w:type="dxa"/>
            <w:gridSpan w:val="2"/>
          </w:tcPr>
          <w:p w14:paraId="2DFDA93F" w14:textId="77777777" w:rsidR="00507476" w:rsidRPr="005B41E1" w:rsidRDefault="00507476" w:rsidP="00795767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Pszichiátriai kórképek</w:t>
            </w:r>
          </w:p>
        </w:tc>
      </w:tr>
      <w:tr w:rsidR="00507476" w:rsidRPr="005B41E1" w14:paraId="1348C6E1" w14:textId="77777777" w:rsidTr="00795767">
        <w:trPr>
          <w:cantSplit/>
        </w:trPr>
        <w:tc>
          <w:tcPr>
            <w:tcW w:w="2188" w:type="dxa"/>
          </w:tcPr>
          <w:p w14:paraId="3757E4D5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41F29B9E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szokatlan álmok, depresszió, csökkent libidó</w:t>
            </w:r>
          </w:p>
        </w:tc>
      </w:tr>
      <w:tr w:rsidR="00507476" w:rsidRPr="005B41E1" w14:paraId="7A50002E" w14:textId="77777777" w:rsidTr="00795767">
        <w:trPr>
          <w:cantSplit/>
        </w:trPr>
        <w:tc>
          <w:tcPr>
            <w:tcW w:w="8566" w:type="dxa"/>
            <w:gridSpan w:val="2"/>
          </w:tcPr>
          <w:p w14:paraId="6A026E57" w14:textId="77777777" w:rsidR="00507476" w:rsidRPr="005B41E1" w:rsidRDefault="00507476" w:rsidP="00B60F2A">
            <w:pPr>
              <w:keepNext/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Idegrendszeri betegségek és tünetek</w:t>
            </w:r>
          </w:p>
        </w:tc>
      </w:tr>
      <w:tr w:rsidR="00507476" w:rsidRPr="005B41E1" w14:paraId="55B46387" w14:textId="77777777" w:rsidTr="00795767">
        <w:trPr>
          <w:cantSplit/>
        </w:trPr>
        <w:tc>
          <w:tcPr>
            <w:tcW w:w="2188" w:type="dxa"/>
          </w:tcPr>
          <w:p w14:paraId="6A23D939" w14:textId="77777777" w:rsidR="00507476" w:rsidRPr="005B41E1" w:rsidRDefault="00507476" w:rsidP="00B60F2A">
            <w:pPr>
              <w:keepNext/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7C514AED" w14:textId="77777777" w:rsidR="00507476" w:rsidRPr="005B41E1" w:rsidRDefault="00507476" w:rsidP="00B60F2A">
            <w:pPr>
              <w:pStyle w:val="Vgjegyzetszvege"/>
              <w:keepNext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 xml:space="preserve">szédülés, fejfájás, </w:t>
            </w:r>
            <w:r w:rsidR="00EC2EA3" w:rsidRPr="00EC2EA3">
              <w:rPr>
                <w:szCs w:val="22"/>
                <w:lang w:val="hu-HU"/>
              </w:rPr>
              <w:t>hipesztézia</w:t>
            </w:r>
            <w:r w:rsidRPr="005B41E1">
              <w:rPr>
                <w:szCs w:val="22"/>
                <w:lang w:val="hu-HU"/>
              </w:rPr>
              <w:t>, álmatlanság, íz- és szagérzékelési zavarok, szédülés</w:t>
            </w:r>
          </w:p>
        </w:tc>
      </w:tr>
      <w:tr w:rsidR="00507476" w:rsidRPr="005B41E1" w14:paraId="429B9F62" w14:textId="77777777" w:rsidTr="00795767">
        <w:trPr>
          <w:cantSplit/>
        </w:trPr>
        <w:tc>
          <w:tcPr>
            <w:tcW w:w="2188" w:type="dxa"/>
          </w:tcPr>
          <w:p w14:paraId="045B0E95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344B2A1E" w14:textId="77777777" w:rsidR="00507476" w:rsidRPr="005B41E1" w:rsidRDefault="00507476" w:rsidP="00795767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>kóros akaratlan mozgások</w:t>
            </w:r>
          </w:p>
        </w:tc>
      </w:tr>
      <w:tr w:rsidR="00301AFF" w:rsidRPr="005B41E1" w14:paraId="6EF0F88C" w14:textId="77777777" w:rsidTr="00795767">
        <w:trPr>
          <w:cantSplit/>
        </w:trPr>
        <w:tc>
          <w:tcPr>
            <w:tcW w:w="2188" w:type="dxa"/>
          </w:tcPr>
          <w:p w14:paraId="34C3C360" w14:textId="745DE512" w:rsidR="00301AFF" w:rsidRPr="005B41E1" w:rsidRDefault="00301AFF" w:rsidP="00301AFF">
            <w:pPr>
              <w:ind w:left="2268" w:hanging="19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552B0879" w14:textId="00F6B8F4" w:rsidR="00301AFF" w:rsidRPr="005B41E1" w:rsidRDefault="00301AFF" w:rsidP="00204AB1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AC4A64">
              <w:rPr>
                <w:szCs w:val="22"/>
                <w:lang w:val="hu-HU"/>
              </w:rPr>
              <w:t>idiopathiás koponyaűri nyomásfokozódás (pseudotumor cerebri) (lásd</w:t>
            </w:r>
            <w:r w:rsidR="00204AB1">
              <w:rPr>
                <w:szCs w:val="22"/>
                <w:lang w:val="hu-HU"/>
              </w:rPr>
              <w:t> </w:t>
            </w:r>
            <w:r w:rsidRPr="00AC4A64">
              <w:rPr>
                <w:szCs w:val="22"/>
                <w:lang w:val="hu-HU"/>
              </w:rPr>
              <w:t>4.4 pont)</w:t>
            </w:r>
          </w:p>
        </w:tc>
      </w:tr>
      <w:tr w:rsidR="00507476" w:rsidRPr="005B41E1" w14:paraId="5C4F397D" w14:textId="77777777" w:rsidTr="00795767">
        <w:trPr>
          <w:cantSplit/>
        </w:trPr>
        <w:tc>
          <w:tcPr>
            <w:tcW w:w="8566" w:type="dxa"/>
            <w:gridSpan w:val="2"/>
          </w:tcPr>
          <w:p w14:paraId="673E4E50" w14:textId="77777777" w:rsidR="00507476" w:rsidRPr="005B41E1" w:rsidRDefault="00507476" w:rsidP="00795767">
            <w:pPr>
              <w:pStyle w:val="Vgjegyzetszvege"/>
              <w:keepNext/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5B41E1">
              <w:rPr>
                <w:b/>
                <w:color w:val="000000"/>
                <w:szCs w:val="22"/>
                <w:lang w:val="hu-HU" w:eastAsia="en-US"/>
              </w:rPr>
              <w:t>Szívbetegségek és a szívvel kapcsolatos tünetek</w:t>
            </w:r>
          </w:p>
        </w:tc>
      </w:tr>
      <w:tr w:rsidR="00507476" w:rsidRPr="005B41E1" w14:paraId="7F47362C" w14:textId="77777777" w:rsidTr="00795767">
        <w:trPr>
          <w:cantSplit/>
        </w:trPr>
        <w:tc>
          <w:tcPr>
            <w:tcW w:w="2188" w:type="dxa"/>
          </w:tcPr>
          <w:p w14:paraId="665D55DC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25B3D6E1" w14:textId="77777777" w:rsidR="00507476" w:rsidRPr="005B41E1" w:rsidRDefault="00507476" w:rsidP="00795767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color w:val="000000"/>
                <w:szCs w:val="22"/>
                <w:lang w:val="hu-HU" w:eastAsia="en-US"/>
              </w:rPr>
              <w:t>QT-intervallum megnyúlása (lásd 4.4 és 4.5 pont)</w:t>
            </w:r>
          </w:p>
        </w:tc>
      </w:tr>
      <w:tr w:rsidR="00507476" w:rsidRPr="005B41E1" w14:paraId="26C01338" w14:textId="77777777" w:rsidTr="00795767">
        <w:trPr>
          <w:cantSplit/>
        </w:trPr>
        <w:tc>
          <w:tcPr>
            <w:tcW w:w="8566" w:type="dxa"/>
            <w:gridSpan w:val="2"/>
          </w:tcPr>
          <w:p w14:paraId="69F63E47" w14:textId="77777777" w:rsidR="00507476" w:rsidRPr="005B41E1" w:rsidRDefault="00507476" w:rsidP="00795767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Érbetegségek és tünetek</w:t>
            </w:r>
          </w:p>
        </w:tc>
      </w:tr>
      <w:tr w:rsidR="00507476" w:rsidRPr="005B41E1" w14:paraId="5F4B07F0" w14:textId="77777777" w:rsidTr="00795767">
        <w:trPr>
          <w:cantSplit/>
        </w:trPr>
        <w:tc>
          <w:tcPr>
            <w:tcW w:w="2188" w:type="dxa"/>
          </w:tcPr>
          <w:p w14:paraId="31AE14A0" w14:textId="77777777" w:rsidR="00507476" w:rsidRPr="005B41E1" w:rsidRDefault="00507476" w:rsidP="00795767">
            <w:pPr>
              <w:tabs>
                <w:tab w:val="left" w:pos="289"/>
              </w:tabs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gyakori</w:t>
            </w:r>
          </w:p>
        </w:tc>
        <w:tc>
          <w:tcPr>
            <w:tcW w:w="6378" w:type="dxa"/>
          </w:tcPr>
          <w:p w14:paraId="7E5A0A53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hőhullámok</w:t>
            </w:r>
          </w:p>
        </w:tc>
      </w:tr>
      <w:tr w:rsidR="00507476" w:rsidRPr="005B41E1" w14:paraId="738D2331" w14:textId="77777777" w:rsidTr="00795767">
        <w:trPr>
          <w:cantSplit/>
        </w:trPr>
        <w:tc>
          <w:tcPr>
            <w:tcW w:w="2188" w:type="dxa"/>
          </w:tcPr>
          <w:p w14:paraId="5C7C70B5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2CFCA686" w14:textId="77777777" w:rsidR="00507476" w:rsidRPr="005B41E1" w:rsidRDefault="00507476" w:rsidP="00EC2EA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</w:t>
            </w:r>
            <w:r w:rsidR="00EC2EA3">
              <w:rPr>
                <w:sz w:val="22"/>
                <w:szCs w:val="22"/>
              </w:rPr>
              <w:t>i</w:t>
            </w:r>
            <w:r w:rsidRPr="005B41E1">
              <w:rPr>
                <w:sz w:val="22"/>
                <w:szCs w:val="22"/>
              </w:rPr>
              <w:t>pert</w:t>
            </w:r>
            <w:r w:rsidR="00EC2EA3">
              <w:rPr>
                <w:sz w:val="22"/>
                <w:szCs w:val="22"/>
              </w:rPr>
              <w:t>ó</w:t>
            </w:r>
            <w:r w:rsidRPr="005B41E1">
              <w:rPr>
                <w:sz w:val="22"/>
                <w:szCs w:val="22"/>
              </w:rPr>
              <w:t>nia, h</w:t>
            </w:r>
            <w:r w:rsidR="00EC2EA3">
              <w:rPr>
                <w:sz w:val="22"/>
                <w:szCs w:val="22"/>
              </w:rPr>
              <w:t>i</w:t>
            </w:r>
            <w:r w:rsidRPr="005B41E1">
              <w:rPr>
                <w:sz w:val="22"/>
                <w:szCs w:val="22"/>
              </w:rPr>
              <w:t>pot</w:t>
            </w:r>
            <w:r w:rsidR="00EC2EA3">
              <w:rPr>
                <w:sz w:val="22"/>
                <w:szCs w:val="22"/>
              </w:rPr>
              <w:t>ó</w:t>
            </w:r>
            <w:r w:rsidRPr="005B41E1">
              <w:rPr>
                <w:sz w:val="22"/>
                <w:szCs w:val="22"/>
              </w:rPr>
              <w:t>nia</w:t>
            </w:r>
          </w:p>
        </w:tc>
      </w:tr>
      <w:tr w:rsidR="00507476" w:rsidRPr="005B41E1" w14:paraId="32146DAA" w14:textId="77777777" w:rsidTr="00795767">
        <w:trPr>
          <w:cantSplit/>
        </w:trPr>
        <w:tc>
          <w:tcPr>
            <w:tcW w:w="2188" w:type="dxa"/>
          </w:tcPr>
          <w:p w14:paraId="088BF7B4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7CAA7341" w14:textId="77777777" w:rsidR="00507476" w:rsidRPr="005B41E1" w:rsidRDefault="00507476" w:rsidP="00EC2EA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>s</w:t>
            </w:r>
            <w:r w:rsidR="00EC2EA3">
              <w:rPr>
                <w:szCs w:val="22"/>
                <w:lang w:val="hu-HU"/>
              </w:rPr>
              <w:t>zi</w:t>
            </w:r>
            <w:r w:rsidRPr="005B41E1">
              <w:rPr>
                <w:szCs w:val="22"/>
                <w:lang w:val="hu-HU"/>
              </w:rPr>
              <w:t>n</w:t>
            </w:r>
            <w:r w:rsidR="00EC2EA3">
              <w:rPr>
                <w:szCs w:val="22"/>
                <w:lang w:val="hu-HU"/>
              </w:rPr>
              <w:t>k</w:t>
            </w:r>
            <w:r w:rsidRPr="005B41E1">
              <w:rPr>
                <w:szCs w:val="22"/>
                <w:lang w:val="hu-HU"/>
              </w:rPr>
              <w:t xml:space="preserve">ope és </w:t>
            </w:r>
            <w:r w:rsidR="00EC2EA3">
              <w:rPr>
                <w:szCs w:val="22"/>
                <w:lang w:val="hu-HU"/>
              </w:rPr>
              <w:t>k</w:t>
            </w:r>
            <w:r w:rsidRPr="005B41E1">
              <w:rPr>
                <w:szCs w:val="22"/>
                <w:lang w:val="hu-HU"/>
              </w:rPr>
              <w:t>ollaps</w:t>
            </w:r>
            <w:r w:rsidR="00EC2EA3">
              <w:rPr>
                <w:szCs w:val="22"/>
                <w:lang w:val="hu-HU"/>
              </w:rPr>
              <w:t>z</w:t>
            </w:r>
            <w:r w:rsidRPr="005B41E1">
              <w:rPr>
                <w:szCs w:val="22"/>
                <w:lang w:val="hu-HU"/>
              </w:rPr>
              <w:t>us</w:t>
            </w:r>
          </w:p>
        </w:tc>
      </w:tr>
      <w:tr w:rsidR="00507476" w:rsidRPr="005B41E1" w14:paraId="5FF6117F" w14:textId="77777777" w:rsidTr="00795767">
        <w:trPr>
          <w:cantSplit/>
        </w:trPr>
        <w:tc>
          <w:tcPr>
            <w:tcW w:w="8566" w:type="dxa"/>
            <w:gridSpan w:val="2"/>
          </w:tcPr>
          <w:p w14:paraId="54BFDFB5" w14:textId="77777777" w:rsidR="00507476" w:rsidRPr="005B41E1" w:rsidRDefault="00507476" w:rsidP="00795767">
            <w:pPr>
              <w:ind w:left="1979" w:hanging="1979"/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Légzőrendszeri, mellkasi és mediastinális betegségek és tünetek</w:t>
            </w:r>
          </w:p>
        </w:tc>
      </w:tr>
      <w:tr w:rsidR="00507476" w:rsidRPr="005B41E1" w14:paraId="4CC55324" w14:textId="77777777" w:rsidTr="00795767">
        <w:trPr>
          <w:cantSplit/>
        </w:trPr>
        <w:tc>
          <w:tcPr>
            <w:tcW w:w="2188" w:type="dxa"/>
          </w:tcPr>
          <w:p w14:paraId="7E0A20CE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65997FB6" w14:textId="77777777" w:rsidR="00507476" w:rsidRPr="005B41E1" w:rsidRDefault="006A2567" w:rsidP="00692BC2">
            <w:pPr>
              <w:rPr>
                <w:sz w:val="22"/>
                <w:szCs w:val="22"/>
              </w:rPr>
            </w:pPr>
            <w:r w:rsidRPr="006A2567">
              <w:rPr>
                <w:sz w:val="22"/>
                <w:szCs w:val="22"/>
              </w:rPr>
              <w:t>orrfolyás, nehézlégzés</w:t>
            </w:r>
          </w:p>
        </w:tc>
      </w:tr>
      <w:tr w:rsidR="00692BC2" w:rsidRPr="005B41E1" w14:paraId="66A99E2E" w14:textId="77777777" w:rsidTr="00795767">
        <w:trPr>
          <w:cantSplit/>
        </w:trPr>
        <w:tc>
          <w:tcPr>
            <w:tcW w:w="2188" w:type="dxa"/>
          </w:tcPr>
          <w:p w14:paraId="491366BE" w14:textId="77777777" w:rsidR="00692BC2" w:rsidRPr="005B41E1" w:rsidRDefault="00692BC2" w:rsidP="00692BC2">
            <w:pPr>
              <w:ind w:left="2268" w:hanging="19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085958A0" w14:textId="49072F9F" w:rsidR="00692BC2" w:rsidRDefault="009514D4" w:rsidP="00692B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692BC2" w:rsidRPr="00CA3169">
              <w:rPr>
                <w:sz w:val="22"/>
                <w:szCs w:val="22"/>
              </w:rPr>
              <w:t>nterstitialis tüdőbetegség</w:t>
            </w:r>
          </w:p>
        </w:tc>
      </w:tr>
      <w:tr w:rsidR="00507476" w:rsidRPr="005B41E1" w14:paraId="1AF5519D" w14:textId="77777777" w:rsidTr="00795767">
        <w:trPr>
          <w:cantSplit/>
        </w:trPr>
        <w:tc>
          <w:tcPr>
            <w:tcW w:w="8566" w:type="dxa"/>
            <w:gridSpan w:val="2"/>
          </w:tcPr>
          <w:p w14:paraId="1426436C" w14:textId="77777777" w:rsidR="00507476" w:rsidRPr="005B41E1" w:rsidRDefault="00507476" w:rsidP="00795767">
            <w:pPr>
              <w:ind w:left="1979" w:hanging="1979"/>
              <w:rPr>
                <w:i/>
                <w:sz w:val="22"/>
                <w:szCs w:val="22"/>
                <w:shd w:val="clear" w:color="auto" w:fill="FFFF00"/>
              </w:rPr>
            </w:pPr>
            <w:r w:rsidRPr="005B41E1">
              <w:rPr>
                <w:b/>
                <w:sz w:val="22"/>
                <w:szCs w:val="22"/>
              </w:rPr>
              <w:t>Emésztőrendszeri betegségek és tünetek</w:t>
            </w:r>
          </w:p>
        </w:tc>
      </w:tr>
      <w:tr w:rsidR="00507476" w:rsidRPr="005B41E1" w14:paraId="27277CD7" w14:textId="77777777" w:rsidTr="00795767">
        <w:trPr>
          <w:cantSplit/>
        </w:trPr>
        <w:tc>
          <w:tcPr>
            <w:tcW w:w="2188" w:type="dxa"/>
          </w:tcPr>
          <w:p w14:paraId="5048C389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12822DE6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hányinger, </w:t>
            </w:r>
            <w:r w:rsidR="006A2567" w:rsidRPr="006A2567">
              <w:rPr>
                <w:sz w:val="22"/>
                <w:szCs w:val="22"/>
              </w:rPr>
              <w:t>hasmenés, gasztroenteritisz/kolitisz</w:t>
            </w:r>
          </w:p>
        </w:tc>
      </w:tr>
      <w:tr w:rsidR="00507476" w:rsidRPr="005B41E1" w14:paraId="6F12FC4A" w14:textId="77777777" w:rsidTr="00795767">
        <w:trPr>
          <w:cantSplit/>
        </w:trPr>
        <w:tc>
          <w:tcPr>
            <w:tcW w:w="2188" w:type="dxa"/>
          </w:tcPr>
          <w:p w14:paraId="30ED04FF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0FE569A8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székrekedés, szájszárazság, </w:t>
            </w:r>
            <w:r w:rsidR="006A2567" w:rsidRPr="006A2567">
              <w:rPr>
                <w:sz w:val="22"/>
                <w:szCs w:val="22"/>
              </w:rPr>
              <w:t>emésztési zavar</w:t>
            </w:r>
            <w:r w:rsidRPr="005B41E1">
              <w:rPr>
                <w:sz w:val="22"/>
                <w:szCs w:val="22"/>
              </w:rPr>
              <w:t>, hányás</w:t>
            </w:r>
          </w:p>
        </w:tc>
      </w:tr>
      <w:tr w:rsidR="00507476" w:rsidRPr="005B41E1" w14:paraId="6A583E11" w14:textId="77777777" w:rsidTr="00795767">
        <w:trPr>
          <w:cantSplit/>
        </w:trPr>
        <w:tc>
          <w:tcPr>
            <w:tcW w:w="2188" w:type="dxa"/>
          </w:tcPr>
          <w:p w14:paraId="46658DCE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40FDF978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flatulencia, böfögés </w:t>
            </w:r>
          </w:p>
        </w:tc>
      </w:tr>
      <w:tr w:rsidR="00507476" w:rsidRPr="005B41E1" w14:paraId="2489B112" w14:textId="77777777" w:rsidTr="00795767">
        <w:trPr>
          <w:cantSplit/>
        </w:trPr>
        <w:tc>
          <w:tcPr>
            <w:tcW w:w="8566" w:type="dxa"/>
            <w:gridSpan w:val="2"/>
          </w:tcPr>
          <w:p w14:paraId="56520B55" w14:textId="77777777" w:rsidR="00507476" w:rsidRPr="005B41E1" w:rsidRDefault="00507476" w:rsidP="00795767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A bőr és a bőralatti szövet betegségei és tünetei</w:t>
            </w:r>
          </w:p>
        </w:tc>
      </w:tr>
      <w:tr w:rsidR="00507476" w:rsidRPr="005B41E1" w14:paraId="444B4234" w14:textId="77777777" w:rsidTr="00795767">
        <w:trPr>
          <w:cantSplit/>
        </w:trPr>
        <w:tc>
          <w:tcPr>
            <w:tcW w:w="2188" w:type="dxa"/>
          </w:tcPr>
          <w:p w14:paraId="515AB650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gyakori</w:t>
            </w:r>
          </w:p>
        </w:tc>
        <w:tc>
          <w:tcPr>
            <w:tcW w:w="6378" w:type="dxa"/>
          </w:tcPr>
          <w:p w14:paraId="2010EC70" w14:textId="77777777" w:rsidR="00507476" w:rsidRPr="005B41E1" w:rsidRDefault="00852F65" w:rsidP="00852F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bevérzések a bőrben (</w:t>
            </w:r>
            <w:r w:rsidR="00507476" w:rsidRPr="005B41E1">
              <w:rPr>
                <w:sz w:val="22"/>
                <w:szCs w:val="22"/>
              </w:rPr>
              <w:t>ecchymosis</w:t>
            </w:r>
            <w:r>
              <w:rPr>
                <w:sz w:val="22"/>
                <w:szCs w:val="22"/>
              </w:rPr>
              <w:t>)</w:t>
            </w:r>
            <w:r w:rsidR="00507476" w:rsidRPr="005B41E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bőrpír</w:t>
            </w:r>
          </w:p>
        </w:tc>
      </w:tr>
      <w:tr w:rsidR="00507476" w:rsidRPr="005B41E1" w14:paraId="6C161F97" w14:textId="77777777" w:rsidTr="00795767">
        <w:trPr>
          <w:cantSplit/>
        </w:trPr>
        <w:tc>
          <w:tcPr>
            <w:tcW w:w="2188" w:type="dxa"/>
          </w:tcPr>
          <w:p w14:paraId="1637A39A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6F8C1532" w14:textId="33BAB2D1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viszketés, éjszakai ver</w:t>
            </w:r>
            <w:r w:rsidR="009514D4">
              <w:rPr>
                <w:sz w:val="22"/>
                <w:szCs w:val="22"/>
              </w:rPr>
              <w:t>ej</w:t>
            </w:r>
            <w:r w:rsidRPr="005B41E1">
              <w:rPr>
                <w:sz w:val="22"/>
                <w:szCs w:val="22"/>
              </w:rPr>
              <w:t>tékezés</w:t>
            </w:r>
          </w:p>
        </w:tc>
      </w:tr>
      <w:tr w:rsidR="00507476" w:rsidRPr="005B41E1" w14:paraId="640BECB2" w14:textId="77777777" w:rsidTr="00795767">
        <w:trPr>
          <w:cantSplit/>
        </w:trPr>
        <w:tc>
          <w:tcPr>
            <w:tcW w:w="2188" w:type="dxa"/>
          </w:tcPr>
          <w:p w14:paraId="27C6CA95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1056912C" w14:textId="1C6ABD6A" w:rsidR="00507476" w:rsidRPr="005B41E1" w:rsidRDefault="00507476" w:rsidP="00795767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>nyirkos bőr, fokozott ver</w:t>
            </w:r>
            <w:r w:rsidR="009514D4">
              <w:rPr>
                <w:szCs w:val="22"/>
                <w:lang w:val="hu-HU"/>
              </w:rPr>
              <w:t>ej</w:t>
            </w:r>
            <w:r w:rsidRPr="005B41E1">
              <w:rPr>
                <w:szCs w:val="22"/>
                <w:lang w:val="hu-HU"/>
              </w:rPr>
              <w:t>tékezés</w:t>
            </w:r>
          </w:p>
        </w:tc>
      </w:tr>
      <w:tr w:rsidR="00507476" w:rsidRPr="005B41E1" w14:paraId="6FFA1611" w14:textId="77777777" w:rsidTr="00795767">
        <w:trPr>
          <w:cantSplit/>
        </w:trPr>
        <w:tc>
          <w:tcPr>
            <w:tcW w:w="2188" w:type="dxa"/>
          </w:tcPr>
          <w:p w14:paraId="38844CD8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4684CEB0" w14:textId="77777777" w:rsidR="00507476" w:rsidRPr="005B41E1" w:rsidRDefault="00507476" w:rsidP="00795767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alop</w:t>
            </w:r>
            <w:r w:rsidR="00852F65">
              <w:rPr>
                <w:sz w:val="22"/>
                <w:szCs w:val="22"/>
              </w:rPr>
              <w:t>é</w:t>
            </w:r>
            <w:r w:rsidRPr="005B41E1">
              <w:rPr>
                <w:sz w:val="22"/>
                <w:szCs w:val="22"/>
              </w:rPr>
              <w:t xml:space="preserve">cia, </w:t>
            </w:r>
            <w:r w:rsidRPr="005B41E1">
              <w:rPr>
                <w:color w:val="000000"/>
                <w:sz w:val="22"/>
                <w:szCs w:val="22"/>
              </w:rPr>
              <w:t>bőrkiütés</w:t>
            </w:r>
          </w:p>
        </w:tc>
      </w:tr>
      <w:tr w:rsidR="005A4B86" w:rsidRPr="005B41E1" w14:paraId="554AD5CB" w14:textId="77777777" w:rsidTr="00795767">
        <w:trPr>
          <w:cantSplit/>
        </w:trPr>
        <w:tc>
          <w:tcPr>
            <w:tcW w:w="2188" w:type="dxa"/>
          </w:tcPr>
          <w:p w14:paraId="418CF11E" w14:textId="0544D925" w:rsidR="005A4B86" w:rsidRPr="005B41E1" w:rsidRDefault="005A4B8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797AB8FB" w14:textId="45F15BE8" w:rsidR="005A4B86" w:rsidRDefault="005A4B86" w:rsidP="005A4B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Stevens–Johnson</w:t>
            </w:r>
            <w:r>
              <w:rPr>
                <w:sz w:val="22"/>
                <w:szCs w:val="22"/>
              </w:rPr>
              <w:noBreakHyphen/>
              <w:t>szindróma/toxikus epidermalis necrolysis (SJS/TEN) (lásd 4.4 pont)</w:t>
            </w:r>
          </w:p>
          <w:p w14:paraId="74177F80" w14:textId="0BEEB688" w:rsidR="005A4B86" w:rsidRDefault="009514D4" w:rsidP="005A4B8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5A4B86">
              <w:rPr>
                <w:sz w:val="22"/>
                <w:szCs w:val="22"/>
              </w:rPr>
              <w:t>oxikus bőrkiütés</w:t>
            </w:r>
          </w:p>
          <w:p w14:paraId="570AD2EE" w14:textId="5FDD44CA" w:rsidR="005A4B86" w:rsidRPr="005B41E1" w:rsidRDefault="009514D4" w:rsidP="005A4B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5A4B86">
              <w:rPr>
                <w:sz w:val="22"/>
                <w:szCs w:val="22"/>
              </w:rPr>
              <w:t>rythema multiforme</w:t>
            </w:r>
          </w:p>
        </w:tc>
      </w:tr>
      <w:tr w:rsidR="00507476" w:rsidRPr="005B41E1" w14:paraId="36649A16" w14:textId="77777777" w:rsidTr="00795767">
        <w:trPr>
          <w:cantSplit/>
        </w:trPr>
        <w:tc>
          <w:tcPr>
            <w:tcW w:w="8566" w:type="dxa"/>
            <w:gridSpan w:val="2"/>
          </w:tcPr>
          <w:p w14:paraId="682D8C19" w14:textId="77777777" w:rsidR="00507476" w:rsidRPr="005B41E1" w:rsidRDefault="00507476" w:rsidP="00795767">
            <w:pPr>
              <w:ind w:left="1979" w:hanging="1979"/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A csont-izomrendszer és a kötőszövet betegségei és tünetei</w:t>
            </w:r>
          </w:p>
        </w:tc>
      </w:tr>
      <w:tr w:rsidR="00507476" w:rsidRPr="005B41E1" w14:paraId="33DB48C8" w14:textId="77777777" w:rsidTr="00795767">
        <w:trPr>
          <w:cantSplit/>
          <w:trHeight w:val="468"/>
        </w:trPr>
        <w:tc>
          <w:tcPr>
            <w:tcW w:w="2188" w:type="dxa"/>
          </w:tcPr>
          <w:p w14:paraId="4C781343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3587BFF1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ízületi fájdalom, végtagfájdalom, izomfájdalom, hidegrázások, gyengeség</w:t>
            </w:r>
          </w:p>
        </w:tc>
      </w:tr>
      <w:tr w:rsidR="00507476" w:rsidRPr="005B41E1" w14:paraId="6172800D" w14:textId="77777777" w:rsidTr="00795767">
        <w:trPr>
          <w:cantSplit/>
        </w:trPr>
        <w:tc>
          <w:tcPr>
            <w:tcW w:w="2188" w:type="dxa"/>
          </w:tcPr>
          <w:p w14:paraId="7E83FE63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28C32516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hátfájás, izomgörcsök</w:t>
            </w:r>
          </w:p>
        </w:tc>
      </w:tr>
      <w:tr w:rsidR="00507476" w:rsidRPr="005B41E1" w14:paraId="30757C5A" w14:textId="77777777" w:rsidTr="00795767">
        <w:trPr>
          <w:cantSplit/>
        </w:trPr>
        <w:tc>
          <w:tcPr>
            <w:tcW w:w="8566" w:type="dxa"/>
            <w:gridSpan w:val="2"/>
          </w:tcPr>
          <w:p w14:paraId="00A7625F" w14:textId="77777777" w:rsidR="00507476" w:rsidRPr="005B41E1" w:rsidRDefault="00507476" w:rsidP="00795767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Vese- és húgyúti betegségek és tünetek</w:t>
            </w:r>
          </w:p>
        </w:tc>
      </w:tr>
      <w:tr w:rsidR="00507476" w:rsidRPr="005B41E1" w14:paraId="5D45CCC9" w14:textId="77777777" w:rsidTr="00795767">
        <w:trPr>
          <w:cantSplit/>
        </w:trPr>
        <w:tc>
          <w:tcPr>
            <w:tcW w:w="2188" w:type="dxa"/>
          </w:tcPr>
          <w:p w14:paraId="2630581F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27B170EC" w14:textId="77777777" w:rsidR="00507476" w:rsidRPr="005B41E1" w:rsidRDefault="00507476" w:rsidP="00795767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 xml:space="preserve">csökkent vizeletürítési gyakoriság, vizeletürítési nehézség, </w:t>
            </w:r>
            <w:r w:rsidR="00720AFC" w:rsidRPr="00720AFC">
              <w:rPr>
                <w:color w:val="000000"/>
                <w:sz w:val="22"/>
                <w:szCs w:val="22"/>
              </w:rPr>
              <w:t>fájdalmas vizelés, éjszakai vizelés, csökkent vizelet</w:t>
            </w:r>
            <w:r w:rsidR="00720AFC">
              <w:rPr>
                <w:color w:val="000000"/>
                <w:sz w:val="22"/>
                <w:szCs w:val="22"/>
              </w:rPr>
              <w:t>-</w:t>
            </w:r>
            <w:r w:rsidR="00720AFC" w:rsidRPr="00720AFC">
              <w:rPr>
                <w:color w:val="000000"/>
                <w:sz w:val="22"/>
                <w:szCs w:val="22"/>
              </w:rPr>
              <w:t>elválasztás</w:t>
            </w:r>
            <w:r w:rsidRPr="005B41E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07476" w:rsidRPr="005B41E1" w14:paraId="2C8E08EB" w14:textId="77777777" w:rsidTr="00795767">
        <w:trPr>
          <w:cantSplit/>
        </w:trPr>
        <w:tc>
          <w:tcPr>
            <w:tcW w:w="2188" w:type="dxa"/>
          </w:tcPr>
          <w:p w14:paraId="59CE224F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5407066B" w14:textId="77777777" w:rsidR="00507476" w:rsidRPr="005B41E1" w:rsidRDefault="00507476" w:rsidP="00795767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húgyhólyag</w:t>
            </w:r>
            <w:r w:rsidRPr="005B41E1">
              <w:rPr>
                <w:sz w:val="22"/>
                <w:szCs w:val="22"/>
              </w:rPr>
              <w:noBreakHyphen/>
              <w:t xml:space="preserve">spazmus, haematuria, </w:t>
            </w:r>
            <w:r w:rsidRPr="005B41E1">
              <w:rPr>
                <w:color w:val="000000"/>
                <w:sz w:val="22"/>
                <w:szCs w:val="22"/>
              </w:rPr>
              <w:t>vizeletürítési gyakoriság csökkenésének súlyosbodása, vizeletretenció</w:t>
            </w:r>
          </w:p>
        </w:tc>
      </w:tr>
      <w:tr w:rsidR="00507476" w:rsidRPr="005B41E1" w14:paraId="6CE50524" w14:textId="77777777" w:rsidTr="00795767">
        <w:trPr>
          <w:cantSplit/>
        </w:trPr>
        <w:tc>
          <w:tcPr>
            <w:tcW w:w="8566" w:type="dxa"/>
            <w:gridSpan w:val="2"/>
          </w:tcPr>
          <w:p w14:paraId="5FF8F53D" w14:textId="77777777" w:rsidR="00507476" w:rsidRPr="005B41E1" w:rsidRDefault="00507476" w:rsidP="00795767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A nemi szervekkel és az emlőkkel kapcsolatos betegségek és tünetek</w:t>
            </w:r>
          </w:p>
        </w:tc>
      </w:tr>
      <w:tr w:rsidR="00507476" w:rsidRPr="005B41E1" w14:paraId="194FE73B" w14:textId="77777777" w:rsidTr="00795767">
        <w:trPr>
          <w:cantSplit/>
        </w:trPr>
        <w:tc>
          <w:tcPr>
            <w:tcW w:w="2188" w:type="dxa"/>
          </w:tcPr>
          <w:p w14:paraId="29032A12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7971AEE8" w14:textId="77777777" w:rsidR="00507476" w:rsidRPr="005B41E1" w:rsidRDefault="00507476" w:rsidP="00795767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 xml:space="preserve">emlők fokozott érzékenysége, heresorvadás, </w:t>
            </w:r>
            <w:r w:rsidRPr="005B41E1">
              <w:rPr>
                <w:sz w:val="22"/>
                <w:szCs w:val="22"/>
              </w:rPr>
              <w:t>herefájdalom</w:t>
            </w:r>
            <w:r w:rsidR="00383D8A" w:rsidRPr="00383D8A">
              <w:rPr>
                <w:sz w:val="22"/>
                <w:szCs w:val="22"/>
              </w:rPr>
              <w:t xml:space="preserve"> terméketlenség, </w:t>
            </w:r>
            <w:r w:rsidR="00F62572" w:rsidRPr="00F62572">
              <w:rPr>
                <w:sz w:val="22"/>
                <w:szCs w:val="22"/>
              </w:rPr>
              <w:t>emlőhipertrófia</w:t>
            </w:r>
            <w:r w:rsidR="00383D8A" w:rsidRPr="00383D8A">
              <w:rPr>
                <w:sz w:val="22"/>
                <w:szCs w:val="22"/>
              </w:rPr>
              <w:t>, erektilis diszfunkció, a hímvessző méretének csökkenése</w:t>
            </w:r>
          </w:p>
        </w:tc>
      </w:tr>
      <w:tr w:rsidR="00507476" w:rsidRPr="005B41E1" w14:paraId="21924FB2" w14:textId="77777777" w:rsidTr="00795767">
        <w:trPr>
          <w:cantSplit/>
        </w:trPr>
        <w:tc>
          <w:tcPr>
            <w:tcW w:w="2188" w:type="dxa"/>
          </w:tcPr>
          <w:p w14:paraId="29667A1B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5B673613" w14:textId="77777777" w:rsidR="00507476" w:rsidRPr="005B41E1" w:rsidRDefault="00F62572" w:rsidP="00795767">
            <w:pPr>
              <w:rPr>
                <w:color w:val="000000"/>
                <w:sz w:val="22"/>
                <w:szCs w:val="22"/>
              </w:rPr>
            </w:pPr>
            <w:r w:rsidRPr="00F62572">
              <w:rPr>
                <w:color w:val="000000"/>
                <w:sz w:val="22"/>
                <w:szCs w:val="22"/>
              </w:rPr>
              <w:t>az emlők megnagyobbodása</w:t>
            </w:r>
            <w:r w:rsidR="00507476" w:rsidRPr="005B41E1">
              <w:rPr>
                <w:color w:val="000000"/>
                <w:sz w:val="22"/>
                <w:szCs w:val="22"/>
              </w:rPr>
              <w:t>, impotencia, here-rendellenesség</w:t>
            </w:r>
          </w:p>
        </w:tc>
      </w:tr>
      <w:tr w:rsidR="00507476" w:rsidRPr="005B41E1" w14:paraId="138ADC7A" w14:textId="77777777" w:rsidTr="00795767">
        <w:trPr>
          <w:cantSplit/>
        </w:trPr>
        <w:tc>
          <w:tcPr>
            <w:tcW w:w="2188" w:type="dxa"/>
          </w:tcPr>
          <w:p w14:paraId="05081C82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233A6D96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emlőfájdalom</w:t>
            </w:r>
          </w:p>
        </w:tc>
      </w:tr>
      <w:tr w:rsidR="00507476" w:rsidRPr="005B41E1" w14:paraId="0EA89437" w14:textId="77777777" w:rsidTr="00795767">
        <w:trPr>
          <w:cantSplit/>
        </w:trPr>
        <w:tc>
          <w:tcPr>
            <w:tcW w:w="8566" w:type="dxa"/>
            <w:gridSpan w:val="2"/>
          </w:tcPr>
          <w:p w14:paraId="5138E4A6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 xml:space="preserve">Általános tünetek, az alkalmazás helyén fellépő reakciók </w:t>
            </w:r>
          </w:p>
        </w:tc>
      </w:tr>
      <w:tr w:rsidR="00507476" w:rsidRPr="005B41E1" w14:paraId="3E294AE6" w14:textId="77777777" w:rsidTr="00795767">
        <w:trPr>
          <w:cantSplit/>
        </w:trPr>
        <w:tc>
          <w:tcPr>
            <w:tcW w:w="2188" w:type="dxa"/>
          </w:tcPr>
          <w:p w14:paraId="744AC8A3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gyakori</w:t>
            </w:r>
          </w:p>
        </w:tc>
        <w:tc>
          <w:tcPr>
            <w:tcW w:w="6378" w:type="dxa"/>
          </w:tcPr>
          <w:p w14:paraId="73FFFA11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fáradtság, égő érzés, paresztézia az injekció beadásának helyén</w:t>
            </w:r>
            <w:r w:rsidRPr="005B41E1" w:rsidDel="00042692">
              <w:rPr>
                <w:sz w:val="22"/>
                <w:szCs w:val="22"/>
              </w:rPr>
              <w:t xml:space="preserve"> </w:t>
            </w:r>
          </w:p>
        </w:tc>
      </w:tr>
      <w:tr w:rsidR="00507476" w:rsidRPr="005B41E1" w14:paraId="496FD0AA" w14:textId="77777777" w:rsidTr="00795767">
        <w:trPr>
          <w:cantSplit/>
        </w:trPr>
        <w:tc>
          <w:tcPr>
            <w:tcW w:w="2188" w:type="dxa"/>
          </w:tcPr>
          <w:p w14:paraId="512B229C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7EDB9854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rossz közérzet, fájdalom és véraláfutás az injekció beadásának helyén, szúró érzés az injekció beadásának helyén</w:t>
            </w:r>
          </w:p>
        </w:tc>
      </w:tr>
      <w:tr w:rsidR="00507476" w:rsidRPr="005B41E1" w14:paraId="648A945B" w14:textId="77777777" w:rsidTr="00795767">
        <w:trPr>
          <w:cantSplit/>
        </w:trPr>
        <w:tc>
          <w:tcPr>
            <w:tcW w:w="2188" w:type="dxa"/>
          </w:tcPr>
          <w:p w14:paraId="61A4F73A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10AD5460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viszketés az injekció beadásának helyén, induráció az injekció beadásának helyén, letargia, fájdalom, láz </w:t>
            </w:r>
          </w:p>
        </w:tc>
      </w:tr>
      <w:tr w:rsidR="00507476" w:rsidRPr="005B41E1" w14:paraId="7DCD7F22" w14:textId="77777777" w:rsidTr="00795767">
        <w:trPr>
          <w:cantSplit/>
        </w:trPr>
        <w:tc>
          <w:tcPr>
            <w:tcW w:w="2188" w:type="dxa"/>
          </w:tcPr>
          <w:p w14:paraId="336A4AB7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lastRenderedPageBreak/>
              <w:t>ritka</w:t>
            </w:r>
          </w:p>
        </w:tc>
        <w:tc>
          <w:tcPr>
            <w:tcW w:w="6378" w:type="dxa"/>
          </w:tcPr>
          <w:p w14:paraId="0FC1184A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ulceráció az injekció beadásának helyén</w:t>
            </w:r>
          </w:p>
        </w:tc>
      </w:tr>
      <w:tr w:rsidR="00507476" w:rsidRPr="005B41E1" w14:paraId="0D0E0E8D" w14:textId="77777777" w:rsidTr="00795767">
        <w:trPr>
          <w:cantSplit/>
        </w:trPr>
        <w:tc>
          <w:tcPr>
            <w:tcW w:w="2188" w:type="dxa"/>
          </w:tcPr>
          <w:p w14:paraId="4F933AA7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ritka</w:t>
            </w:r>
          </w:p>
        </w:tc>
        <w:tc>
          <w:tcPr>
            <w:tcW w:w="6378" w:type="dxa"/>
          </w:tcPr>
          <w:p w14:paraId="5E3E09E2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nekrózis az injekció beadásának helyén</w:t>
            </w:r>
          </w:p>
        </w:tc>
      </w:tr>
      <w:tr w:rsidR="00507476" w:rsidRPr="005B41E1" w14:paraId="11004768" w14:textId="77777777" w:rsidTr="00795767">
        <w:trPr>
          <w:cantSplit/>
        </w:trPr>
        <w:tc>
          <w:tcPr>
            <w:tcW w:w="8566" w:type="dxa"/>
            <w:gridSpan w:val="2"/>
          </w:tcPr>
          <w:p w14:paraId="6F50FCD4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Vérképzőszervi és nyirokrendszeri betegségek és tünetek</w:t>
            </w:r>
          </w:p>
        </w:tc>
      </w:tr>
      <w:tr w:rsidR="00507476" w:rsidRPr="005B41E1" w14:paraId="4BBD8722" w14:textId="77777777" w:rsidTr="00795767">
        <w:trPr>
          <w:cantSplit/>
        </w:trPr>
        <w:tc>
          <w:tcPr>
            <w:tcW w:w="2188" w:type="dxa"/>
          </w:tcPr>
          <w:p w14:paraId="52C013F5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2DCA7A2B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hematológiai elváltozások, anémia</w:t>
            </w:r>
          </w:p>
        </w:tc>
      </w:tr>
      <w:tr w:rsidR="00507476" w:rsidRPr="005B41E1" w14:paraId="3608091B" w14:textId="77777777" w:rsidTr="00795767">
        <w:trPr>
          <w:cantSplit/>
        </w:trPr>
        <w:tc>
          <w:tcPr>
            <w:tcW w:w="8566" w:type="dxa"/>
            <w:gridSpan w:val="2"/>
          </w:tcPr>
          <w:p w14:paraId="40F5F014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Laboratóriumi vizsgálatok eredményei</w:t>
            </w:r>
          </w:p>
        </w:tc>
      </w:tr>
      <w:tr w:rsidR="00507476" w:rsidRPr="005B41E1" w14:paraId="70B38133" w14:textId="77777777" w:rsidTr="00795767">
        <w:trPr>
          <w:cantSplit/>
        </w:trPr>
        <w:tc>
          <w:tcPr>
            <w:tcW w:w="2188" w:type="dxa"/>
          </w:tcPr>
          <w:p w14:paraId="6D52227A" w14:textId="77777777" w:rsidR="00507476" w:rsidRPr="005B41E1" w:rsidRDefault="00507476" w:rsidP="00795767">
            <w:pPr>
              <w:ind w:left="2268" w:hanging="2121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0301A214" w14:textId="77777777" w:rsidR="00507476" w:rsidRPr="005B41E1" w:rsidRDefault="00507476" w:rsidP="00795767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megemelkedett kreatin-foszfokináz vérszint, megnyúlt véralvadási idő</w:t>
            </w:r>
          </w:p>
        </w:tc>
      </w:tr>
      <w:tr w:rsidR="00507476" w:rsidRPr="005B41E1" w14:paraId="57407F50" w14:textId="77777777" w:rsidTr="00795767">
        <w:trPr>
          <w:cantSplit/>
        </w:trPr>
        <w:tc>
          <w:tcPr>
            <w:tcW w:w="2188" w:type="dxa"/>
          </w:tcPr>
          <w:p w14:paraId="31707A9D" w14:textId="77777777" w:rsidR="00507476" w:rsidRPr="005B41E1" w:rsidRDefault="00507476" w:rsidP="00795767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3FCA8441" w14:textId="7D668801" w:rsidR="00507476" w:rsidRPr="005B41E1" w:rsidRDefault="00507476" w:rsidP="00204AB1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megemelkedett </w:t>
            </w:r>
            <w:r w:rsidR="008A70A5">
              <w:rPr>
                <w:sz w:val="22"/>
                <w:szCs w:val="22"/>
              </w:rPr>
              <w:t xml:space="preserve">glutamát-piruvát-transzamináz </w:t>
            </w:r>
            <w:r w:rsidRPr="005B41E1">
              <w:rPr>
                <w:sz w:val="22"/>
                <w:szCs w:val="22"/>
              </w:rPr>
              <w:t>vérszint, megemelkedett trigliceridszint a vérben, megnyúlt protrombinidő, testtömeg</w:t>
            </w:r>
            <w:r w:rsidRPr="005B41E1">
              <w:rPr>
                <w:sz w:val="22"/>
                <w:szCs w:val="22"/>
              </w:rPr>
              <w:noBreakHyphen/>
              <w:t>gyarapodás</w:t>
            </w:r>
          </w:p>
        </w:tc>
      </w:tr>
    </w:tbl>
    <w:p w14:paraId="606107C3" w14:textId="77777777" w:rsidR="00CF3B77" w:rsidRPr="002D0731" w:rsidRDefault="00CF3B77" w:rsidP="002D0731">
      <w:pPr>
        <w:pStyle w:val="Szvegtrzs"/>
        <w:rPr>
          <w:szCs w:val="22"/>
          <w:lang w:val="hu-HU"/>
        </w:rPr>
      </w:pPr>
    </w:p>
    <w:p w14:paraId="0573ACAB" w14:textId="77777777" w:rsidR="00CF3B77" w:rsidRPr="002D0731" w:rsidRDefault="000365EB" w:rsidP="002D0731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>A leuprorelin-acetát kezelés során előforduló, általánosságban jelentett egyéb, nemkívánatos események között szerepel perifériás ödéma, tüdőembólia, palpitáció, izomfájdalom, izomgyengeség,</w:t>
      </w:r>
      <w:r w:rsidR="006A4419" w:rsidRPr="002D0731">
        <w:rPr>
          <w:szCs w:val="22"/>
          <w:lang w:val="hu-HU"/>
        </w:rPr>
        <w:t xml:space="preserve"> </w:t>
      </w:r>
      <w:r w:rsidR="007C4DD2" w:rsidRPr="002D0731">
        <w:rPr>
          <w:szCs w:val="22"/>
          <w:lang w:val="hu-HU"/>
        </w:rPr>
        <w:t xml:space="preserve">bőrérzékelés zavara, </w:t>
      </w:r>
      <w:r w:rsidR="006A4419" w:rsidRPr="002D0731">
        <w:rPr>
          <w:szCs w:val="22"/>
          <w:lang w:val="hu-HU"/>
        </w:rPr>
        <w:t>hidegrázás,</w:t>
      </w:r>
      <w:r w:rsidRPr="002D0731">
        <w:rPr>
          <w:szCs w:val="22"/>
          <w:lang w:val="hu-HU"/>
        </w:rPr>
        <w:t xml:space="preserve"> kiütés, amnézia</w:t>
      </w:r>
      <w:r w:rsidR="006A4419" w:rsidRPr="002D0731">
        <w:rPr>
          <w:szCs w:val="22"/>
          <w:lang w:val="hu-HU"/>
        </w:rPr>
        <w:t>, látási zavarok</w:t>
      </w:r>
      <w:r w:rsidRPr="002D0731">
        <w:rPr>
          <w:szCs w:val="22"/>
          <w:lang w:val="hu-HU"/>
        </w:rPr>
        <w:t xml:space="preserve">. </w:t>
      </w:r>
      <w:r w:rsidR="00A27E54" w:rsidRPr="002D0731">
        <w:rPr>
          <w:szCs w:val="22"/>
          <w:lang w:val="hu-HU"/>
        </w:rPr>
        <w:t>Izomatr</w:t>
      </w:r>
      <w:r w:rsidR="00D21CE2">
        <w:rPr>
          <w:szCs w:val="22"/>
          <w:lang w:val="hu-HU"/>
        </w:rPr>
        <w:t>ó</w:t>
      </w:r>
      <w:r w:rsidR="00E03E9F">
        <w:rPr>
          <w:szCs w:val="22"/>
          <w:lang w:val="hu-HU"/>
        </w:rPr>
        <w:t>f</w:t>
      </w:r>
      <w:r w:rsidR="00A27E54" w:rsidRPr="002D0731">
        <w:rPr>
          <w:szCs w:val="22"/>
          <w:lang w:val="hu-HU"/>
        </w:rPr>
        <w:t xml:space="preserve">iát észleltek a gyógyszercsoport készítményeinek hosszútávú alkalmazása során. </w:t>
      </w:r>
      <w:r w:rsidRPr="002D0731">
        <w:rPr>
          <w:szCs w:val="22"/>
          <w:lang w:val="hu-HU"/>
        </w:rPr>
        <w:t>Ritkán beszámoltak a már meglévő hipofízis</w:t>
      </w:r>
      <w:r w:rsidR="00E03E9F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aden</w:t>
      </w:r>
      <w:r w:rsidR="006D6273">
        <w:rPr>
          <w:szCs w:val="22"/>
          <w:lang w:val="hu-HU"/>
        </w:rPr>
        <w:t>ó</w:t>
      </w:r>
      <w:r w:rsidRPr="002D0731">
        <w:rPr>
          <w:szCs w:val="22"/>
          <w:lang w:val="hu-HU"/>
        </w:rPr>
        <w:t>ma elhalásáról, mind rövid, mind pedig hosszú hatástartamú GnRH</w:t>
      </w:r>
      <w:r w:rsidRPr="002D0731">
        <w:rPr>
          <w:szCs w:val="22"/>
          <w:lang w:val="hu-HU"/>
        </w:rPr>
        <w:noBreakHyphen/>
        <w:t xml:space="preserve">agonista alkalmazása után. </w:t>
      </w:r>
      <w:r w:rsidR="00CF3B77" w:rsidRPr="002D0731">
        <w:rPr>
          <w:szCs w:val="22"/>
          <w:lang w:val="hu-HU"/>
        </w:rPr>
        <w:t>Ritkán tromboc</w:t>
      </w:r>
      <w:r w:rsidR="00E03E9F">
        <w:rPr>
          <w:szCs w:val="22"/>
          <w:lang w:val="hu-HU"/>
        </w:rPr>
        <w:t>i</w:t>
      </w:r>
      <w:r w:rsidR="00CF3B77" w:rsidRPr="002D0731">
        <w:rPr>
          <w:szCs w:val="22"/>
          <w:lang w:val="hu-HU"/>
        </w:rPr>
        <w:t>top</w:t>
      </w:r>
      <w:r w:rsidR="00E03E9F">
        <w:rPr>
          <w:szCs w:val="22"/>
          <w:lang w:val="hu-HU"/>
        </w:rPr>
        <w:t>é</w:t>
      </w:r>
      <w:r w:rsidR="00CF3B77" w:rsidRPr="002D0731">
        <w:rPr>
          <w:szCs w:val="22"/>
          <w:lang w:val="hu-HU"/>
        </w:rPr>
        <w:t>niáról és leu</w:t>
      </w:r>
      <w:r w:rsidR="00E03E9F">
        <w:rPr>
          <w:szCs w:val="22"/>
          <w:lang w:val="hu-HU"/>
        </w:rPr>
        <w:t>k</w:t>
      </w:r>
      <w:r w:rsidR="00CF3B77" w:rsidRPr="002D0731">
        <w:rPr>
          <w:szCs w:val="22"/>
          <w:lang w:val="hu-HU"/>
        </w:rPr>
        <w:t>op</w:t>
      </w:r>
      <w:r w:rsidR="00E03E9F">
        <w:rPr>
          <w:szCs w:val="22"/>
          <w:lang w:val="hu-HU"/>
        </w:rPr>
        <w:t>é</w:t>
      </w:r>
      <w:r w:rsidR="00CF3B77" w:rsidRPr="002D0731">
        <w:rPr>
          <w:szCs w:val="22"/>
          <w:lang w:val="hu-HU"/>
        </w:rPr>
        <w:t xml:space="preserve">niáról számoltak be. </w:t>
      </w:r>
      <w:r w:rsidR="002D546F" w:rsidRPr="002D0731">
        <w:rPr>
          <w:szCs w:val="22"/>
          <w:lang w:val="hu-HU"/>
        </w:rPr>
        <w:t>A</w:t>
      </w:r>
      <w:r w:rsidR="00CF3B77" w:rsidRPr="002D0731">
        <w:rPr>
          <w:szCs w:val="22"/>
          <w:lang w:val="hu-HU"/>
        </w:rPr>
        <w:t xml:space="preserve"> gl</w:t>
      </w:r>
      <w:r w:rsidR="00E26F6D" w:rsidRPr="002D0731">
        <w:rPr>
          <w:szCs w:val="22"/>
          <w:lang w:val="hu-HU"/>
        </w:rPr>
        <w:t>ü</w:t>
      </w:r>
      <w:r w:rsidR="00CF3B77" w:rsidRPr="002D0731">
        <w:rPr>
          <w:szCs w:val="22"/>
          <w:lang w:val="hu-HU"/>
        </w:rPr>
        <w:t>kóztolerancia megváltozásá</w:t>
      </w:r>
      <w:r w:rsidR="002D546F" w:rsidRPr="002D0731">
        <w:rPr>
          <w:szCs w:val="22"/>
          <w:lang w:val="hu-HU"/>
        </w:rPr>
        <w:t>t szintén jelentették</w:t>
      </w:r>
      <w:r w:rsidR="00CF3B77" w:rsidRPr="002D0731">
        <w:rPr>
          <w:szCs w:val="22"/>
          <w:lang w:val="hu-HU"/>
        </w:rPr>
        <w:t>.</w:t>
      </w:r>
    </w:p>
    <w:p w14:paraId="41B3D405" w14:textId="77777777" w:rsidR="00A27E54" w:rsidRPr="00B35B1B" w:rsidRDefault="00A27E54" w:rsidP="002D0731">
      <w:pPr>
        <w:jc w:val="both"/>
        <w:rPr>
          <w:sz w:val="22"/>
          <w:szCs w:val="22"/>
        </w:rPr>
      </w:pPr>
    </w:p>
    <w:p w14:paraId="2AD98AA0" w14:textId="77777777" w:rsidR="00A27E54" w:rsidRPr="002D0731" w:rsidRDefault="00A27E54" w:rsidP="002D0731">
      <w:pPr>
        <w:jc w:val="both"/>
        <w:rPr>
          <w:sz w:val="22"/>
          <w:szCs w:val="22"/>
        </w:rPr>
      </w:pPr>
      <w:r w:rsidRPr="00B35B1B">
        <w:rPr>
          <w:sz w:val="22"/>
          <w:szCs w:val="22"/>
        </w:rPr>
        <w:t>Görcs</w:t>
      </w:r>
      <w:r w:rsidR="00D21CE2">
        <w:rPr>
          <w:sz w:val="22"/>
          <w:szCs w:val="22"/>
        </w:rPr>
        <w:t>rohamokat</w:t>
      </w:r>
      <w:r w:rsidRPr="00B35B1B">
        <w:rPr>
          <w:sz w:val="22"/>
          <w:szCs w:val="22"/>
        </w:rPr>
        <w:t xml:space="preserve"> jelentettek GnRH</w:t>
      </w:r>
      <w:r w:rsidR="0095642A">
        <w:rPr>
          <w:sz w:val="22"/>
          <w:szCs w:val="22"/>
        </w:rPr>
        <w:noBreakHyphen/>
      </w:r>
      <w:r w:rsidRPr="00B35B1B">
        <w:rPr>
          <w:sz w:val="22"/>
          <w:szCs w:val="22"/>
        </w:rPr>
        <w:t>agonista</w:t>
      </w:r>
      <w:r w:rsidR="0095642A">
        <w:rPr>
          <w:sz w:val="22"/>
          <w:szCs w:val="22"/>
        </w:rPr>
        <w:noBreakHyphen/>
      </w:r>
      <w:r w:rsidRPr="00B35B1B">
        <w:rPr>
          <w:sz w:val="22"/>
          <w:szCs w:val="22"/>
        </w:rPr>
        <w:t>analógok adását követően (lásd 4.4 pont).</w:t>
      </w:r>
    </w:p>
    <w:p w14:paraId="76A7E88D" w14:textId="77777777" w:rsidR="000365EB" w:rsidRPr="002D0731" w:rsidRDefault="00CF3B77" w:rsidP="002D073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 </w:t>
      </w:r>
      <w:r w:rsidR="00DB4103" w:rsidRPr="002D0731">
        <w:rPr>
          <w:sz w:val="22"/>
          <w:szCs w:val="22"/>
        </w:rPr>
        <w:t>helyi</w:t>
      </w:r>
      <w:r w:rsidR="00624623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 xml:space="preserve">nemkívánatos </w:t>
      </w:r>
      <w:r w:rsidR="001C0306" w:rsidRPr="002D0731">
        <w:rPr>
          <w:sz w:val="22"/>
          <w:szCs w:val="22"/>
        </w:rPr>
        <w:t>események</w:t>
      </w:r>
      <w:r w:rsidRPr="002D0731">
        <w:rPr>
          <w:sz w:val="22"/>
          <w:szCs w:val="22"/>
        </w:rPr>
        <w:t xml:space="preserve">, </w:t>
      </w:r>
      <w:r w:rsidR="00AC03BB" w:rsidRPr="002D0731">
        <w:rPr>
          <w:sz w:val="22"/>
          <w:szCs w:val="22"/>
        </w:rPr>
        <w:t>a</w:t>
      </w:r>
      <w:r w:rsidRPr="002D0731">
        <w:rPr>
          <w:sz w:val="22"/>
          <w:szCs w:val="22"/>
        </w:rPr>
        <w:t xml:space="preserve">melyeket az </w:t>
      </w:r>
      <w:r w:rsidR="004253F5" w:rsidRPr="002D0731">
        <w:rPr>
          <w:sz w:val="22"/>
          <w:szCs w:val="22"/>
        </w:rPr>
        <w:t>E</w:t>
      </w:r>
      <w:r w:rsidR="00752BEB" w:rsidRPr="002D0731">
        <w:rPr>
          <w:sz w:val="22"/>
          <w:szCs w:val="22"/>
        </w:rPr>
        <w:t>ligard</w:t>
      </w:r>
      <w:r w:rsidR="004253F5" w:rsidRPr="002D0731">
        <w:rPr>
          <w:sz w:val="22"/>
          <w:szCs w:val="22"/>
        </w:rPr>
        <w:t xml:space="preserve"> </w:t>
      </w:r>
      <w:r w:rsidR="00021192" w:rsidRPr="002D0731">
        <w:rPr>
          <w:sz w:val="22"/>
          <w:szCs w:val="22"/>
        </w:rPr>
        <w:t>45</w:t>
      </w:r>
      <w:r w:rsidRPr="002D0731">
        <w:rPr>
          <w:sz w:val="22"/>
          <w:szCs w:val="22"/>
        </w:rPr>
        <w:t xml:space="preserve"> mg injekció beadása után jelentettek, </w:t>
      </w:r>
      <w:r w:rsidR="006A4419" w:rsidRPr="002D0731">
        <w:rPr>
          <w:sz w:val="22"/>
          <w:szCs w:val="22"/>
        </w:rPr>
        <w:t>hasonlóak</w:t>
      </w:r>
      <w:r w:rsidRPr="002D0731">
        <w:rPr>
          <w:sz w:val="22"/>
          <w:szCs w:val="22"/>
        </w:rPr>
        <w:t xml:space="preserve">, mint </w:t>
      </w:r>
      <w:r w:rsidR="004253F5" w:rsidRPr="002D0731">
        <w:rPr>
          <w:sz w:val="22"/>
          <w:szCs w:val="22"/>
        </w:rPr>
        <w:t xml:space="preserve">amelyek </w:t>
      </w:r>
      <w:r w:rsidRPr="002D0731">
        <w:rPr>
          <w:sz w:val="22"/>
          <w:szCs w:val="22"/>
        </w:rPr>
        <w:t>a hasonló szubkután készítmények beadásával</w:t>
      </w:r>
      <w:r w:rsidR="004253F5" w:rsidRPr="002D0731">
        <w:rPr>
          <w:sz w:val="22"/>
          <w:szCs w:val="22"/>
        </w:rPr>
        <w:t xml:space="preserve"> gyakran együtt járnak</w:t>
      </w:r>
      <w:r w:rsidRPr="002D0731">
        <w:rPr>
          <w:sz w:val="22"/>
          <w:szCs w:val="22"/>
        </w:rPr>
        <w:t xml:space="preserve">. </w:t>
      </w:r>
    </w:p>
    <w:p w14:paraId="22914D8E" w14:textId="77777777" w:rsidR="000365EB" w:rsidRPr="002D0731" w:rsidRDefault="000365EB">
      <w:pPr>
        <w:rPr>
          <w:sz w:val="22"/>
          <w:szCs w:val="22"/>
        </w:rPr>
      </w:pPr>
    </w:p>
    <w:p w14:paraId="3B58FC74" w14:textId="77777777" w:rsidR="000365EB" w:rsidRPr="002D0731" w:rsidRDefault="000365EB">
      <w:pPr>
        <w:rPr>
          <w:color w:val="000000"/>
          <w:sz w:val="22"/>
          <w:szCs w:val="22"/>
        </w:rPr>
      </w:pPr>
      <w:r w:rsidRPr="002D0731">
        <w:rPr>
          <w:color w:val="000000"/>
          <w:sz w:val="22"/>
          <w:szCs w:val="22"/>
        </w:rPr>
        <w:t>Általában a szubkután injekciót követően előforduló helyi mellékhatások enyhék és a leírások szerint rövid ideig tartanak.</w:t>
      </w:r>
    </w:p>
    <w:p w14:paraId="5FD9CD00" w14:textId="77777777" w:rsidR="00A27E54" w:rsidRPr="00B35B1B" w:rsidRDefault="00A27E54">
      <w:pPr>
        <w:jc w:val="both"/>
        <w:rPr>
          <w:sz w:val="22"/>
          <w:szCs w:val="22"/>
        </w:rPr>
      </w:pPr>
    </w:p>
    <w:p w14:paraId="419A5131" w14:textId="77777777" w:rsidR="00A27E54" w:rsidRPr="002D0731" w:rsidRDefault="00A27E54">
      <w:pPr>
        <w:jc w:val="both"/>
        <w:rPr>
          <w:sz w:val="22"/>
          <w:szCs w:val="22"/>
        </w:rPr>
      </w:pPr>
      <w:r w:rsidRPr="00B35B1B">
        <w:rPr>
          <w:sz w:val="22"/>
          <w:szCs w:val="22"/>
        </w:rPr>
        <w:t>Ritkán ana</w:t>
      </w:r>
      <w:r w:rsidR="00A400DC">
        <w:rPr>
          <w:sz w:val="22"/>
          <w:szCs w:val="22"/>
        </w:rPr>
        <w:t>fi</w:t>
      </w:r>
      <w:r w:rsidRPr="00B35B1B">
        <w:rPr>
          <w:sz w:val="22"/>
          <w:szCs w:val="22"/>
        </w:rPr>
        <w:t>laxiás/ana</w:t>
      </w:r>
      <w:r w:rsidR="00A400DC">
        <w:rPr>
          <w:sz w:val="22"/>
          <w:szCs w:val="22"/>
        </w:rPr>
        <w:t>fi</w:t>
      </w:r>
      <w:r w:rsidRPr="00B35B1B">
        <w:rPr>
          <w:sz w:val="22"/>
          <w:szCs w:val="22"/>
        </w:rPr>
        <w:t>la</w:t>
      </w:r>
      <w:r w:rsidR="00A400DC">
        <w:rPr>
          <w:sz w:val="22"/>
          <w:szCs w:val="22"/>
        </w:rPr>
        <w:t>k</w:t>
      </w:r>
      <w:r w:rsidRPr="00B35B1B">
        <w:rPr>
          <w:sz w:val="22"/>
          <w:szCs w:val="22"/>
        </w:rPr>
        <w:t>toid reakciókat jelentettek GnRH</w:t>
      </w:r>
      <w:r w:rsidR="0095642A">
        <w:rPr>
          <w:sz w:val="22"/>
          <w:szCs w:val="22"/>
        </w:rPr>
        <w:noBreakHyphen/>
      </w:r>
      <w:r w:rsidRPr="00B35B1B">
        <w:rPr>
          <w:sz w:val="22"/>
          <w:szCs w:val="22"/>
        </w:rPr>
        <w:t>agonista</w:t>
      </w:r>
      <w:r w:rsidR="0095642A">
        <w:rPr>
          <w:sz w:val="22"/>
          <w:szCs w:val="22"/>
        </w:rPr>
        <w:noBreakHyphen/>
      </w:r>
      <w:r w:rsidRPr="00B35B1B">
        <w:rPr>
          <w:sz w:val="22"/>
          <w:szCs w:val="22"/>
        </w:rPr>
        <w:t>analógok adását követően.</w:t>
      </w:r>
    </w:p>
    <w:p w14:paraId="5829969F" w14:textId="77777777" w:rsidR="00CF3B77" w:rsidRPr="002D0731" w:rsidRDefault="00CF3B77">
      <w:pPr>
        <w:rPr>
          <w:sz w:val="22"/>
          <w:szCs w:val="22"/>
        </w:rPr>
      </w:pPr>
    </w:p>
    <w:p w14:paraId="4E843916" w14:textId="77777777" w:rsidR="00CF3B77" w:rsidRPr="002D0731" w:rsidRDefault="00CF3B77">
      <w:pPr>
        <w:jc w:val="both"/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A csontsűrűség változása</w:t>
      </w:r>
    </w:p>
    <w:p w14:paraId="418EED57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 szakirodalom</w:t>
      </w:r>
      <w:r w:rsidR="00A400DC">
        <w:rPr>
          <w:szCs w:val="22"/>
          <w:lang w:val="hu-HU"/>
        </w:rPr>
        <w:t>ban</w:t>
      </w:r>
      <w:r w:rsidRPr="002D0731">
        <w:rPr>
          <w:szCs w:val="22"/>
          <w:lang w:val="hu-HU"/>
        </w:rPr>
        <w:t xml:space="preserve"> az orchiectomián átesett vagy GnRH</w:t>
      </w:r>
      <w:r w:rsidR="009F4222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agonistával kezelt férfiak esetében csontsűrűség</w:t>
      </w:r>
      <w:r w:rsidR="00A400DC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csökkenésről számol</w:t>
      </w:r>
      <w:r w:rsidR="00A400DC">
        <w:rPr>
          <w:szCs w:val="22"/>
          <w:lang w:val="hu-HU"/>
        </w:rPr>
        <w:t>tak</w:t>
      </w:r>
      <w:r w:rsidRPr="002D0731">
        <w:rPr>
          <w:szCs w:val="22"/>
          <w:lang w:val="hu-HU"/>
        </w:rPr>
        <w:t xml:space="preserve"> be. </w:t>
      </w:r>
      <w:r w:rsidR="00A400DC">
        <w:rPr>
          <w:szCs w:val="22"/>
          <w:lang w:val="hu-HU"/>
        </w:rPr>
        <w:t>A</w:t>
      </w:r>
      <w:r w:rsidR="002338EA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hosszú ideig tartó leuprorelin</w:t>
      </w:r>
      <w:r w:rsidR="009F4222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 xml:space="preserve">kezelés </w:t>
      </w:r>
      <w:r w:rsidR="00A400DC">
        <w:rPr>
          <w:szCs w:val="22"/>
          <w:lang w:val="hu-HU"/>
        </w:rPr>
        <w:t xml:space="preserve">várhatóan </w:t>
      </w:r>
      <w:r w:rsidR="0000395A" w:rsidRPr="002D0731">
        <w:rPr>
          <w:szCs w:val="22"/>
          <w:lang w:val="hu-HU"/>
        </w:rPr>
        <w:t xml:space="preserve">az oszteoporózis tünetek </w:t>
      </w:r>
      <w:r w:rsidR="00A400DC" w:rsidRPr="005B41E1">
        <w:rPr>
          <w:szCs w:val="22"/>
          <w:lang w:val="hu-HU"/>
        </w:rPr>
        <w:t>fokozódását eredményezheti</w:t>
      </w:r>
      <w:r w:rsidRPr="002D0731">
        <w:rPr>
          <w:szCs w:val="22"/>
          <w:lang w:val="hu-HU"/>
        </w:rPr>
        <w:t xml:space="preserve">. Az oszteoporózis </w:t>
      </w:r>
      <w:r w:rsidR="00A400DC">
        <w:rPr>
          <w:szCs w:val="22"/>
          <w:lang w:val="hu-HU"/>
        </w:rPr>
        <w:t>következtében</w:t>
      </w:r>
      <w:r w:rsidRPr="002D0731">
        <w:rPr>
          <w:szCs w:val="22"/>
          <w:lang w:val="hu-HU"/>
        </w:rPr>
        <w:t xml:space="preserve"> megnövekedett törési kockázatokra vonatkozóan lásd </w:t>
      </w:r>
      <w:r w:rsidR="002835E7" w:rsidRPr="002D0731">
        <w:rPr>
          <w:szCs w:val="22"/>
          <w:lang w:val="hu-HU"/>
        </w:rPr>
        <w:t xml:space="preserve">a </w:t>
      </w:r>
      <w:r w:rsidRPr="002D0731">
        <w:rPr>
          <w:szCs w:val="22"/>
          <w:lang w:val="hu-HU"/>
        </w:rPr>
        <w:t>4.4 pont</w:t>
      </w:r>
      <w:r w:rsidR="002835E7" w:rsidRPr="002D0731">
        <w:rPr>
          <w:szCs w:val="22"/>
          <w:lang w:val="hu-HU"/>
        </w:rPr>
        <w:t>ot</w:t>
      </w:r>
      <w:r w:rsidRPr="002D0731">
        <w:rPr>
          <w:szCs w:val="22"/>
          <w:lang w:val="hu-HU"/>
        </w:rPr>
        <w:t>.</w:t>
      </w:r>
    </w:p>
    <w:p w14:paraId="2333EF1C" w14:textId="77777777" w:rsidR="00CF3B77" w:rsidRPr="002D0731" w:rsidRDefault="00CF3B77">
      <w:pPr>
        <w:jc w:val="both"/>
        <w:rPr>
          <w:sz w:val="22"/>
          <w:szCs w:val="22"/>
          <w:u w:val="single"/>
        </w:rPr>
      </w:pPr>
    </w:p>
    <w:p w14:paraId="1A68CA1C" w14:textId="77777777" w:rsidR="00CF3B77" w:rsidRPr="002D0731" w:rsidRDefault="00CF3B77">
      <w:pPr>
        <w:jc w:val="both"/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A betegség jeleinek és tüneteinek súlyosbodása</w:t>
      </w:r>
    </w:p>
    <w:p w14:paraId="411E4BD8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</w:t>
      </w:r>
      <w:r w:rsidR="005A3870" w:rsidRPr="002D0731">
        <w:rPr>
          <w:szCs w:val="22"/>
          <w:lang w:val="hu-HU"/>
        </w:rPr>
        <w:t xml:space="preserve"> leuprorelin</w:t>
      </w:r>
      <w:r w:rsidR="009F4222" w:rsidRPr="002D0731">
        <w:rPr>
          <w:szCs w:val="22"/>
          <w:lang w:val="hu-HU"/>
        </w:rPr>
        <w:noBreakHyphen/>
      </w:r>
      <w:r w:rsidR="005A3870" w:rsidRPr="002D0731">
        <w:rPr>
          <w:szCs w:val="22"/>
          <w:lang w:val="hu-HU"/>
        </w:rPr>
        <w:t>acetát</w:t>
      </w:r>
      <w:r w:rsidR="00AF0594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kezelés az első néhány hét során a betegség jeleinek és tüneteinek súlyosbodását okozhatja. Ha a gerincmetasztázis és/vagy a húgyúti elzáródás vagy a haemat</w:t>
      </w:r>
      <w:r w:rsidR="0095642A">
        <w:rPr>
          <w:szCs w:val="22"/>
          <w:lang w:val="hu-HU"/>
        </w:rPr>
        <w:t>ú</w:t>
      </w:r>
      <w:r w:rsidRPr="002D0731">
        <w:rPr>
          <w:szCs w:val="22"/>
          <w:lang w:val="hu-HU"/>
        </w:rPr>
        <w:t>ria rosszabbodik, neurológiai problémák, pl. gyengeség és/vagy az alsó végtagok pares</w:t>
      </w:r>
      <w:r w:rsidR="0095642A">
        <w:rPr>
          <w:szCs w:val="22"/>
          <w:lang w:val="hu-HU"/>
        </w:rPr>
        <w:t>z</w:t>
      </w:r>
      <w:r w:rsidRPr="002D0731">
        <w:rPr>
          <w:szCs w:val="22"/>
          <w:lang w:val="hu-HU"/>
        </w:rPr>
        <w:t>t</w:t>
      </w:r>
      <w:r w:rsidR="0095642A">
        <w:rPr>
          <w:szCs w:val="22"/>
          <w:lang w:val="hu-HU"/>
        </w:rPr>
        <w:t>éz</w:t>
      </w:r>
      <w:r w:rsidR="00827AC2" w:rsidRPr="002D0731">
        <w:rPr>
          <w:szCs w:val="22"/>
          <w:lang w:val="hu-HU"/>
        </w:rPr>
        <w:t>i</w:t>
      </w:r>
      <w:r w:rsidR="0095642A">
        <w:rPr>
          <w:szCs w:val="22"/>
          <w:lang w:val="hu-HU"/>
        </w:rPr>
        <w:t>á</w:t>
      </w:r>
      <w:r w:rsidRPr="002D0731">
        <w:rPr>
          <w:szCs w:val="22"/>
          <w:lang w:val="hu-HU"/>
        </w:rPr>
        <w:t xml:space="preserve">ja, illetve a </w:t>
      </w:r>
      <w:r w:rsidR="0088688D" w:rsidRPr="002D0731">
        <w:rPr>
          <w:szCs w:val="22"/>
          <w:lang w:val="hu-HU"/>
        </w:rPr>
        <w:t xml:space="preserve">húgyúti </w:t>
      </w:r>
      <w:r w:rsidRPr="002D0731">
        <w:rPr>
          <w:szCs w:val="22"/>
          <w:lang w:val="hu-HU"/>
        </w:rPr>
        <w:t>tünetek rosszabbodása léphetnek fel.</w:t>
      </w:r>
    </w:p>
    <w:p w14:paraId="425075BC" w14:textId="77777777" w:rsidR="00AE4A66" w:rsidRPr="002D0731" w:rsidRDefault="00AE4A66">
      <w:pPr>
        <w:pStyle w:val="Szvegtrzs"/>
        <w:suppressAutoHyphens w:val="0"/>
        <w:rPr>
          <w:szCs w:val="22"/>
          <w:lang w:val="hu-HU"/>
        </w:rPr>
      </w:pPr>
    </w:p>
    <w:p w14:paraId="23C18617" w14:textId="77777777" w:rsidR="00AE4A66" w:rsidRPr="003654E7" w:rsidRDefault="00AE4A66">
      <w:pPr>
        <w:pStyle w:val="Szvegtrzs"/>
        <w:rPr>
          <w:szCs w:val="22"/>
          <w:u w:val="single"/>
          <w:lang w:val="hu-HU"/>
        </w:rPr>
      </w:pPr>
      <w:r w:rsidRPr="003654E7">
        <w:rPr>
          <w:szCs w:val="22"/>
          <w:u w:val="single"/>
          <w:lang w:val="hu-HU"/>
        </w:rPr>
        <w:t>Feltételezett mellékhatások bejelentése</w:t>
      </w:r>
    </w:p>
    <w:p w14:paraId="5241DD32" w14:textId="77777777" w:rsidR="00AE4A66" w:rsidRPr="002D0731" w:rsidRDefault="00AE4A66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3CFB3E3" w14:textId="46A4DADD" w:rsidR="00AE4A66" w:rsidRPr="002D0731" w:rsidRDefault="00AE4A66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11" w:history="1">
        <w:r w:rsidRPr="00DC1BBC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2D0731">
        <w:rPr>
          <w:szCs w:val="22"/>
          <w:lang w:val="hu-HU"/>
        </w:rPr>
        <w:t xml:space="preserve"> található elérhetőségek valamelyikén keresztül.</w:t>
      </w:r>
    </w:p>
    <w:p w14:paraId="1234D473" w14:textId="77777777" w:rsidR="00AE4A66" w:rsidRPr="002D0731" w:rsidRDefault="00AE4A66">
      <w:pPr>
        <w:pStyle w:val="Szvegtrzs"/>
        <w:suppressAutoHyphens w:val="0"/>
        <w:rPr>
          <w:szCs w:val="22"/>
          <w:lang w:val="hu-HU"/>
        </w:rPr>
      </w:pPr>
    </w:p>
    <w:p w14:paraId="0FC6F01C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4.9</w:t>
      </w:r>
      <w:r w:rsidRPr="002D0731">
        <w:rPr>
          <w:b/>
          <w:sz w:val="22"/>
          <w:szCs w:val="22"/>
        </w:rPr>
        <w:tab/>
        <w:t>Túladagolás</w:t>
      </w:r>
    </w:p>
    <w:p w14:paraId="5DF61BB7" w14:textId="77777777" w:rsidR="00CF3B77" w:rsidRPr="002D0731" w:rsidRDefault="00CF3B77">
      <w:pPr>
        <w:rPr>
          <w:sz w:val="22"/>
          <w:szCs w:val="22"/>
        </w:rPr>
      </w:pPr>
    </w:p>
    <w:p w14:paraId="45922880" w14:textId="77777777" w:rsidR="00CF3B77" w:rsidRPr="002D0731" w:rsidRDefault="003D6E48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</w:t>
      </w:r>
      <w:r w:rsidR="009F4222" w:rsidRPr="002D0731">
        <w:rPr>
          <w:szCs w:val="22"/>
          <w:lang w:val="hu-HU"/>
        </w:rPr>
        <w:t>E</w:t>
      </w:r>
      <w:r w:rsidR="00752BEB" w:rsidRPr="002D0731">
        <w:rPr>
          <w:szCs w:val="22"/>
          <w:lang w:val="hu-HU"/>
        </w:rPr>
        <w:t>ligard</w:t>
      </w:r>
      <w:r w:rsidR="009F4222" w:rsidRPr="002D0731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45</w:t>
      </w:r>
      <w:r w:rsidR="009F4222" w:rsidRPr="002D0731">
        <w:rPr>
          <w:szCs w:val="22"/>
          <w:lang w:val="hu-HU"/>
        </w:rPr>
        <w:t> </w:t>
      </w:r>
      <w:r w:rsidRPr="002D0731">
        <w:rPr>
          <w:szCs w:val="22"/>
          <w:lang w:val="hu-HU"/>
        </w:rPr>
        <w:t xml:space="preserve">mg </w:t>
      </w:r>
      <w:r w:rsidR="00AC5544" w:rsidRPr="002D0731">
        <w:rPr>
          <w:szCs w:val="22"/>
          <w:lang w:val="hu-HU"/>
        </w:rPr>
        <w:t>nem hajlamosít</w:t>
      </w:r>
      <w:r w:rsidR="0088688D" w:rsidRPr="002D0731">
        <w:rPr>
          <w:szCs w:val="22"/>
          <w:lang w:val="hu-HU"/>
        </w:rPr>
        <w:t xml:space="preserve"> abúzus</w:t>
      </w:r>
      <w:r w:rsidR="00AC5544" w:rsidRPr="002D0731">
        <w:rPr>
          <w:szCs w:val="22"/>
          <w:lang w:val="hu-HU"/>
        </w:rPr>
        <w:t>ra</w:t>
      </w:r>
      <w:r w:rsidRPr="002D0731">
        <w:rPr>
          <w:szCs w:val="22"/>
          <w:lang w:val="hu-HU"/>
        </w:rPr>
        <w:t xml:space="preserve"> és a szándékos túladagolás nem val</w:t>
      </w:r>
      <w:r w:rsidR="009735B2" w:rsidRPr="002D0731">
        <w:rPr>
          <w:szCs w:val="22"/>
          <w:lang w:val="hu-HU"/>
        </w:rPr>
        <w:t>ószínűsíthető. A</w:t>
      </w:r>
      <w:r w:rsidR="00AC5544" w:rsidRPr="002D0731">
        <w:rPr>
          <w:szCs w:val="22"/>
          <w:lang w:val="hu-HU"/>
        </w:rPr>
        <w:t>búzusra</w:t>
      </w:r>
      <w:r w:rsidR="009735B2" w:rsidRPr="002D0731">
        <w:rPr>
          <w:szCs w:val="22"/>
          <w:lang w:val="hu-HU"/>
        </w:rPr>
        <w:t xml:space="preserve"> vagy túladagolásra vonatkozóan nem érkezett jelentés a leuprorelin</w:t>
      </w:r>
      <w:r w:rsidR="009F4222" w:rsidRPr="002D0731">
        <w:rPr>
          <w:szCs w:val="22"/>
          <w:lang w:val="hu-HU"/>
        </w:rPr>
        <w:noBreakHyphen/>
      </w:r>
      <w:r w:rsidR="009735B2" w:rsidRPr="002D0731">
        <w:rPr>
          <w:szCs w:val="22"/>
          <w:lang w:val="hu-HU"/>
        </w:rPr>
        <w:t xml:space="preserve">acetát klinikai alkalmazása során, de </w:t>
      </w:r>
      <w:r w:rsidR="003F3BAE" w:rsidRPr="002D0731">
        <w:rPr>
          <w:szCs w:val="22"/>
          <w:lang w:val="hu-HU"/>
        </w:rPr>
        <w:t xml:space="preserve">ha mégis </w:t>
      </w:r>
      <w:r w:rsidR="00404662" w:rsidRPr="002D0731">
        <w:rPr>
          <w:szCs w:val="22"/>
          <w:lang w:val="hu-HU"/>
        </w:rPr>
        <w:t>nagymértékű</w:t>
      </w:r>
      <w:r w:rsidR="003F3BAE" w:rsidRPr="002D0731">
        <w:rPr>
          <w:szCs w:val="22"/>
          <w:lang w:val="hu-HU"/>
        </w:rPr>
        <w:t xml:space="preserve"> expozíció követ</w:t>
      </w:r>
      <w:r w:rsidR="00404662" w:rsidRPr="002D0731">
        <w:rPr>
          <w:szCs w:val="22"/>
          <w:lang w:val="hu-HU"/>
        </w:rPr>
        <w:t xml:space="preserve">kezne be, </w:t>
      </w:r>
      <w:r w:rsidR="00CF3B77" w:rsidRPr="002D0731">
        <w:rPr>
          <w:szCs w:val="22"/>
          <w:lang w:val="hu-HU"/>
        </w:rPr>
        <w:t xml:space="preserve">a beteget megfigyelés alatt kell tartani és </w:t>
      </w:r>
      <w:r w:rsidR="00404662" w:rsidRPr="002D0731">
        <w:rPr>
          <w:szCs w:val="22"/>
          <w:lang w:val="hu-HU"/>
        </w:rPr>
        <w:t>tüneti,</w:t>
      </w:r>
      <w:r w:rsidR="00CF3B77" w:rsidRPr="002D0731">
        <w:rPr>
          <w:szCs w:val="22"/>
          <w:lang w:val="hu-HU"/>
        </w:rPr>
        <w:t xml:space="preserve"> </w:t>
      </w:r>
      <w:r w:rsidR="009F4222" w:rsidRPr="002D0731">
        <w:rPr>
          <w:szCs w:val="22"/>
          <w:lang w:val="hu-HU"/>
        </w:rPr>
        <w:t xml:space="preserve">szupportív </w:t>
      </w:r>
      <w:r w:rsidR="00CF3B77" w:rsidRPr="002D0731">
        <w:rPr>
          <w:szCs w:val="22"/>
          <w:lang w:val="hu-HU"/>
        </w:rPr>
        <w:t>kezelésben kell részesíteni.</w:t>
      </w:r>
    </w:p>
    <w:p w14:paraId="13289B5B" w14:textId="77777777" w:rsidR="00CF3B77" w:rsidRPr="002D0731" w:rsidRDefault="00CF3B77">
      <w:pPr>
        <w:rPr>
          <w:sz w:val="22"/>
          <w:szCs w:val="22"/>
        </w:rPr>
      </w:pPr>
    </w:p>
    <w:p w14:paraId="17DCB845" w14:textId="77777777" w:rsidR="006A4C24" w:rsidRPr="002D0731" w:rsidRDefault="006A4C24">
      <w:pPr>
        <w:rPr>
          <w:sz w:val="22"/>
          <w:szCs w:val="22"/>
        </w:rPr>
      </w:pPr>
    </w:p>
    <w:p w14:paraId="0995EA1D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5.</w:t>
      </w:r>
      <w:r w:rsidRPr="002D0731">
        <w:rPr>
          <w:b/>
          <w:sz w:val="22"/>
          <w:szCs w:val="22"/>
        </w:rPr>
        <w:tab/>
        <w:t>FARMAKOLÓGIAI TULAJDONSÁGOK</w:t>
      </w:r>
    </w:p>
    <w:p w14:paraId="5743131B" w14:textId="77777777" w:rsidR="00CF3B77" w:rsidRPr="00B60F2A" w:rsidRDefault="00CF3B77">
      <w:pPr>
        <w:rPr>
          <w:sz w:val="22"/>
          <w:szCs w:val="22"/>
        </w:rPr>
      </w:pPr>
    </w:p>
    <w:p w14:paraId="4340D1F8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5.1</w:t>
      </w:r>
      <w:r w:rsidRPr="002D0731">
        <w:rPr>
          <w:b/>
          <w:sz w:val="22"/>
          <w:szCs w:val="22"/>
        </w:rPr>
        <w:tab/>
        <w:t>Farmakodinámiás tulajdonságok</w:t>
      </w:r>
    </w:p>
    <w:p w14:paraId="28C3E4CC" w14:textId="77777777" w:rsidR="00CF3B77" w:rsidRPr="002D0731" w:rsidRDefault="00CF3B77">
      <w:pPr>
        <w:rPr>
          <w:sz w:val="22"/>
          <w:szCs w:val="22"/>
        </w:rPr>
      </w:pPr>
    </w:p>
    <w:p w14:paraId="7E2D2772" w14:textId="77777777" w:rsidR="00CF3B77" w:rsidRPr="002D0731" w:rsidRDefault="00CF3B77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bCs/>
          <w:szCs w:val="22"/>
          <w:lang w:val="hu-HU"/>
        </w:rPr>
        <w:t>Farmakoterápiás csoport:</w:t>
      </w:r>
      <w:r w:rsidRPr="002D0731">
        <w:rPr>
          <w:szCs w:val="22"/>
          <w:lang w:val="hu-HU"/>
        </w:rPr>
        <w:t xml:space="preserve"> </w:t>
      </w:r>
      <w:r w:rsidR="00AE4A66" w:rsidRPr="002D0731">
        <w:rPr>
          <w:szCs w:val="22"/>
          <w:lang w:val="hu-HU"/>
        </w:rPr>
        <w:t xml:space="preserve">gonadotropin </w:t>
      </w:r>
      <w:r w:rsidRPr="002D0731">
        <w:rPr>
          <w:szCs w:val="22"/>
          <w:lang w:val="hu-HU"/>
        </w:rPr>
        <w:t>releasing hormon-analógok</w:t>
      </w:r>
      <w:r w:rsidR="00A80DB4" w:rsidRPr="002D0731">
        <w:rPr>
          <w:szCs w:val="22"/>
          <w:lang w:val="hu-HU"/>
        </w:rPr>
        <w:t xml:space="preserve">; </w:t>
      </w:r>
      <w:r w:rsidR="003C348A" w:rsidRPr="002D0731">
        <w:rPr>
          <w:bCs/>
          <w:szCs w:val="22"/>
          <w:lang w:val="hu-HU"/>
        </w:rPr>
        <w:t>ATC</w:t>
      </w:r>
      <w:r w:rsidR="002D0731">
        <w:rPr>
          <w:bCs/>
          <w:szCs w:val="22"/>
          <w:lang w:val="hu-HU"/>
        </w:rPr>
        <w:t xml:space="preserve"> </w:t>
      </w:r>
      <w:r w:rsidRPr="002D0731">
        <w:rPr>
          <w:bCs/>
          <w:szCs w:val="22"/>
          <w:lang w:val="hu-HU"/>
        </w:rPr>
        <w:t>kód:</w:t>
      </w:r>
      <w:r w:rsidRPr="002D0731">
        <w:rPr>
          <w:szCs w:val="22"/>
          <w:lang w:val="hu-HU"/>
        </w:rPr>
        <w:t xml:space="preserve"> L02A E02</w:t>
      </w:r>
    </w:p>
    <w:p w14:paraId="254F293E" w14:textId="77777777" w:rsidR="00CF3B77" w:rsidRPr="002D0731" w:rsidRDefault="00CF3B77">
      <w:pPr>
        <w:jc w:val="both"/>
        <w:rPr>
          <w:strike/>
          <w:sz w:val="22"/>
          <w:szCs w:val="22"/>
        </w:rPr>
      </w:pPr>
    </w:p>
    <w:p w14:paraId="68EDE77E" w14:textId="77777777" w:rsidR="00CF3B77" w:rsidRPr="002D0731" w:rsidRDefault="00CF3B77">
      <w:pPr>
        <w:pStyle w:val="WW-Szvegtrzs3"/>
        <w:jc w:val="left"/>
        <w:rPr>
          <w:sz w:val="22"/>
          <w:szCs w:val="22"/>
        </w:rPr>
      </w:pPr>
      <w:r w:rsidRPr="002D0731">
        <w:rPr>
          <w:sz w:val="22"/>
          <w:szCs w:val="22"/>
        </w:rPr>
        <w:t>A leuprorelin</w:t>
      </w:r>
      <w:r w:rsidR="003653DA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acetát a természetesen előforduló gonadotropin</w:t>
      </w:r>
      <w:r w:rsidR="003653DA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releasing hormon (GnRH) szintetikus nonapeptid agonistája, amely folyamatos adagolás esetén megakadályozza a hipofízis gonadotr</w:t>
      </w:r>
      <w:r w:rsidR="00DE0CF5">
        <w:rPr>
          <w:sz w:val="22"/>
          <w:szCs w:val="22"/>
        </w:rPr>
        <w:t>ó</w:t>
      </w:r>
      <w:r w:rsidRPr="002D0731">
        <w:rPr>
          <w:sz w:val="22"/>
          <w:szCs w:val="22"/>
        </w:rPr>
        <w:t>p hormonszekrécióját és elnyomja a férfiak tes</w:t>
      </w:r>
      <w:r w:rsidR="00DE0CF5">
        <w:rPr>
          <w:sz w:val="22"/>
          <w:szCs w:val="22"/>
        </w:rPr>
        <w:t>z</w:t>
      </w:r>
      <w:r w:rsidRPr="002D0731">
        <w:rPr>
          <w:sz w:val="22"/>
          <w:szCs w:val="22"/>
        </w:rPr>
        <w:t>ti</w:t>
      </w:r>
      <w:r w:rsidR="00DE0CF5">
        <w:rPr>
          <w:sz w:val="22"/>
          <w:szCs w:val="22"/>
        </w:rPr>
        <w:t>k</w:t>
      </w:r>
      <w:r w:rsidRPr="002D0731">
        <w:rPr>
          <w:sz w:val="22"/>
          <w:szCs w:val="22"/>
        </w:rPr>
        <w:t>ul</w:t>
      </w:r>
      <w:r w:rsidR="00DE0CF5">
        <w:rPr>
          <w:sz w:val="22"/>
          <w:szCs w:val="22"/>
        </w:rPr>
        <w:t>á</w:t>
      </w:r>
      <w:r w:rsidRPr="002D0731">
        <w:rPr>
          <w:sz w:val="22"/>
          <w:szCs w:val="22"/>
        </w:rPr>
        <w:t xml:space="preserve">ris szteroidtermelését. Hatása a gyógyszeres kezelés </w:t>
      </w:r>
      <w:r w:rsidR="003653DA" w:rsidRPr="002D0731">
        <w:rPr>
          <w:sz w:val="22"/>
          <w:szCs w:val="22"/>
        </w:rPr>
        <w:t>leállítását követően reverzíbilis</w:t>
      </w:r>
      <w:r w:rsidRPr="002D0731">
        <w:rPr>
          <w:sz w:val="22"/>
          <w:szCs w:val="22"/>
        </w:rPr>
        <w:t xml:space="preserve">. </w:t>
      </w:r>
      <w:r w:rsidR="003653DA" w:rsidRPr="002D0731">
        <w:rPr>
          <w:sz w:val="22"/>
          <w:szCs w:val="22"/>
        </w:rPr>
        <w:t>Mindazonáltal a</w:t>
      </w:r>
      <w:r w:rsidRPr="002D0731">
        <w:rPr>
          <w:sz w:val="22"/>
          <w:szCs w:val="22"/>
        </w:rPr>
        <w:t>z agonista a te</w:t>
      </w:r>
      <w:r w:rsidR="009735B2" w:rsidRPr="002D0731">
        <w:rPr>
          <w:sz w:val="22"/>
          <w:szCs w:val="22"/>
        </w:rPr>
        <w:t xml:space="preserve">rmészetes hormonnál hatékonyabb, </w:t>
      </w:r>
      <w:r w:rsidR="00F679A4" w:rsidRPr="002D0731">
        <w:rPr>
          <w:sz w:val="22"/>
          <w:szCs w:val="22"/>
        </w:rPr>
        <w:t xml:space="preserve">és </w:t>
      </w:r>
      <w:r w:rsidR="009735B2" w:rsidRPr="002D0731">
        <w:rPr>
          <w:sz w:val="22"/>
          <w:szCs w:val="22"/>
        </w:rPr>
        <w:t>a tesztoszteronszint helyreállításához szükséges idő</w:t>
      </w:r>
      <w:r w:rsidR="00033BB3" w:rsidRPr="002D0731">
        <w:rPr>
          <w:sz w:val="22"/>
          <w:szCs w:val="22"/>
        </w:rPr>
        <w:t>tartam</w:t>
      </w:r>
      <w:r w:rsidR="009735B2" w:rsidRPr="002D0731">
        <w:rPr>
          <w:sz w:val="22"/>
          <w:szCs w:val="22"/>
        </w:rPr>
        <w:t xml:space="preserve"> betegenként változhat.</w:t>
      </w:r>
    </w:p>
    <w:p w14:paraId="09D6C0EA" w14:textId="77777777" w:rsidR="00E635CD" w:rsidRDefault="00E635CD">
      <w:pPr>
        <w:pStyle w:val="WW-Szvegtrzs3"/>
        <w:jc w:val="left"/>
        <w:rPr>
          <w:sz w:val="22"/>
          <w:szCs w:val="22"/>
        </w:rPr>
      </w:pPr>
    </w:p>
    <w:p w14:paraId="0EB39951" w14:textId="77777777" w:rsidR="001D6A87" w:rsidRPr="002D0731" w:rsidRDefault="00CF3B77">
      <w:pPr>
        <w:pStyle w:val="WW-Szvegtrzs3"/>
        <w:jc w:val="left"/>
        <w:rPr>
          <w:sz w:val="22"/>
          <w:szCs w:val="22"/>
        </w:rPr>
      </w:pPr>
      <w:r w:rsidRPr="002D0731">
        <w:rPr>
          <w:sz w:val="22"/>
          <w:szCs w:val="22"/>
        </w:rPr>
        <w:t>A leuprorelin</w:t>
      </w:r>
      <w:r w:rsidR="00F679A4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acetát beadása a luteinizáló hormon (LH) és a folli</w:t>
      </w:r>
      <w:r w:rsidR="00DE0CF5">
        <w:rPr>
          <w:sz w:val="22"/>
          <w:szCs w:val="22"/>
        </w:rPr>
        <w:t>k</w:t>
      </w:r>
      <w:r w:rsidRPr="002D0731">
        <w:rPr>
          <w:sz w:val="22"/>
          <w:szCs w:val="22"/>
        </w:rPr>
        <w:t xml:space="preserve">ulusstimuláló hormon (FSH) </w:t>
      </w:r>
      <w:r w:rsidR="00033BB3" w:rsidRPr="002D0731">
        <w:rPr>
          <w:sz w:val="22"/>
          <w:szCs w:val="22"/>
        </w:rPr>
        <w:t>keringő vérben fennálló szintjének</w:t>
      </w:r>
      <w:r w:rsidRPr="002D0731">
        <w:rPr>
          <w:sz w:val="22"/>
          <w:szCs w:val="22"/>
        </w:rPr>
        <w:t xml:space="preserve"> kezdeti megnövekedését okozza, </w:t>
      </w:r>
      <w:r w:rsidR="00F679A4" w:rsidRPr="002D0731">
        <w:rPr>
          <w:sz w:val="22"/>
          <w:szCs w:val="22"/>
        </w:rPr>
        <w:t xml:space="preserve">ami </w:t>
      </w:r>
      <w:r w:rsidRPr="002D0731">
        <w:rPr>
          <w:sz w:val="22"/>
          <w:szCs w:val="22"/>
        </w:rPr>
        <w:t xml:space="preserve">átmenetileg </w:t>
      </w:r>
      <w:r w:rsidR="00F679A4" w:rsidRPr="002D0731">
        <w:rPr>
          <w:sz w:val="22"/>
          <w:szCs w:val="22"/>
        </w:rPr>
        <w:t xml:space="preserve">megnöveli a férfiaknál </w:t>
      </w:r>
      <w:r w:rsidRPr="002D0731">
        <w:rPr>
          <w:sz w:val="22"/>
          <w:szCs w:val="22"/>
        </w:rPr>
        <w:t xml:space="preserve">a </w:t>
      </w:r>
      <w:r w:rsidR="002B6512" w:rsidRPr="002D0731">
        <w:rPr>
          <w:sz w:val="22"/>
          <w:szCs w:val="22"/>
        </w:rPr>
        <w:t>szteroid</w:t>
      </w:r>
      <w:r w:rsidR="00033BB3" w:rsidRPr="002D0731">
        <w:rPr>
          <w:sz w:val="22"/>
          <w:szCs w:val="22"/>
        </w:rPr>
        <w:t xml:space="preserve"> nemi hormonok</w:t>
      </w:r>
      <w:r w:rsidRPr="002D0731">
        <w:rPr>
          <w:sz w:val="22"/>
          <w:szCs w:val="22"/>
        </w:rPr>
        <w:t>, a tesztoszteron és a dihidrotesztoszteron szintjét. A leuprorelin</w:t>
      </w:r>
      <w:r w:rsidR="00F679A4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acetát folyamatos adagolása csökkent LH</w:t>
      </w:r>
      <w:r w:rsidR="00326631" w:rsidRPr="002D0731">
        <w:rPr>
          <w:sz w:val="22"/>
          <w:szCs w:val="22"/>
        </w:rPr>
        <w:t>-</w:t>
      </w:r>
      <w:r w:rsidRPr="002D0731">
        <w:rPr>
          <w:sz w:val="22"/>
          <w:szCs w:val="22"/>
        </w:rPr>
        <w:t xml:space="preserve"> és FSH</w:t>
      </w:r>
      <w:r w:rsidR="00F679A4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szintet eredményez. Férfiaknál a tesztoszteron a kasztrációs küszöb (</w:t>
      </w:r>
      <w:r w:rsidR="00A80DB4" w:rsidRPr="002D0731">
        <w:rPr>
          <w:sz w:val="22"/>
          <w:szCs w:val="22"/>
        </w:rPr>
        <w:t>≤</w:t>
      </w:r>
      <w:r w:rsidR="00F679A4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 xml:space="preserve">50 ng/dl) alá süllyed. Ezek a csökkenések a kezelés megkezdése után </w:t>
      </w:r>
      <w:r w:rsidR="00552336" w:rsidRPr="002D0731">
        <w:rPr>
          <w:sz w:val="22"/>
          <w:szCs w:val="22"/>
        </w:rPr>
        <w:t>3</w:t>
      </w:r>
      <w:r w:rsidR="00F679A4" w:rsidRPr="002D0731">
        <w:rPr>
          <w:sz w:val="22"/>
          <w:szCs w:val="22"/>
        </w:rPr>
        <w:noBreakHyphen/>
      </w:r>
      <w:r w:rsidR="00552336" w:rsidRPr="002D0731">
        <w:rPr>
          <w:sz w:val="22"/>
          <w:szCs w:val="22"/>
        </w:rPr>
        <w:t>4</w:t>
      </w:r>
      <w:r w:rsidR="00F679A4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 xml:space="preserve">héttel következnek be. </w:t>
      </w:r>
      <w:r w:rsidR="00F43C99" w:rsidRPr="002D0731">
        <w:rPr>
          <w:sz w:val="22"/>
          <w:szCs w:val="22"/>
        </w:rPr>
        <w:t>Hat</w:t>
      </w:r>
      <w:r w:rsidRPr="002D0731">
        <w:rPr>
          <w:sz w:val="22"/>
          <w:szCs w:val="22"/>
        </w:rPr>
        <w:t xml:space="preserve"> hónapja kezelt betegek átlagos tesztoszteronszintje </w:t>
      </w:r>
      <w:r w:rsidR="005A3870" w:rsidRPr="002D0731">
        <w:rPr>
          <w:sz w:val="22"/>
          <w:szCs w:val="22"/>
        </w:rPr>
        <w:t>10</w:t>
      </w:r>
      <w:r w:rsidR="00552336" w:rsidRPr="002D0731">
        <w:rPr>
          <w:sz w:val="22"/>
          <w:szCs w:val="22"/>
        </w:rPr>
        <w:t>,4</w:t>
      </w:r>
      <w:r w:rsidRPr="002D0731">
        <w:rPr>
          <w:sz w:val="22"/>
          <w:szCs w:val="22"/>
        </w:rPr>
        <w:t> (±0,</w:t>
      </w:r>
      <w:r w:rsidR="00552336" w:rsidRPr="002D0731">
        <w:rPr>
          <w:sz w:val="22"/>
          <w:szCs w:val="22"/>
        </w:rPr>
        <w:t>53</w:t>
      </w:r>
      <w:r w:rsidRPr="002D0731">
        <w:rPr>
          <w:sz w:val="22"/>
          <w:szCs w:val="22"/>
        </w:rPr>
        <w:t xml:space="preserve">) ng/dl volt, a bilaterális orchiectomián átesett betegek értékeihez hasonlóan. </w:t>
      </w:r>
      <w:r w:rsidR="00AB460B" w:rsidRPr="002D0731">
        <w:rPr>
          <w:sz w:val="22"/>
          <w:szCs w:val="22"/>
        </w:rPr>
        <w:t xml:space="preserve">A </w:t>
      </w:r>
      <w:r w:rsidR="00DE0CF5">
        <w:rPr>
          <w:sz w:val="22"/>
          <w:szCs w:val="22"/>
        </w:rPr>
        <w:t>kulcsfontosságú (</w:t>
      </w:r>
      <w:r w:rsidR="00552336" w:rsidRPr="002D0731">
        <w:rPr>
          <w:sz w:val="22"/>
          <w:szCs w:val="22"/>
        </w:rPr>
        <w:t>piv</w:t>
      </w:r>
      <w:r w:rsidR="00FE5660" w:rsidRPr="002D0731">
        <w:rPr>
          <w:sz w:val="22"/>
          <w:szCs w:val="22"/>
        </w:rPr>
        <w:t>otális</w:t>
      </w:r>
      <w:r w:rsidR="00DE0CF5">
        <w:rPr>
          <w:sz w:val="22"/>
          <w:szCs w:val="22"/>
        </w:rPr>
        <w:t>)</w:t>
      </w:r>
      <w:r w:rsidR="00370BAF" w:rsidRPr="002D0731">
        <w:rPr>
          <w:sz w:val="22"/>
          <w:szCs w:val="22"/>
        </w:rPr>
        <w:t xml:space="preserve"> </w:t>
      </w:r>
      <w:r w:rsidR="00552336" w:rsidRPr="002D0731">
        <w:rPr>
          <w:sz w:val="22"/>
          <w:szCs w:val="22"/>
        </w:rPr>
        <w:t xml:space="preserve">vizsgálatban </w:t>
      </w:r>
      <w:r w:rsidR="00AB460B" w:rsidRPr="002D0731">
        <w:rPr>
          <w:sz w:val="22"/>
          <w:szCs w:val="22"/>
        </w:rPr>
        <w:t xml:space="preserve">a teljes, </w:t>
      </w:r>
      <w:r w:rsidR="00552336" w:rsidRPr="002D0731">
        <w:rPr>
          <w:sz w:val="22"/>
          <w:szCs w:val="22"/>
        </w:rPr>
        <w:t>45</w:t>
      </w:r>
      <w:r w:rsidR="00F679A4" w:rsidRPr="002D0731">
        <w:rPr>
          <w:sz w:val="22"/>
          <w:szCs w:val="22"/>
        </w:rPr>
        <w:t> </w:t>
      </w:r>
      <w:r w:rsidR="00552336" w:rsidRPr="002D0731">
        <w:rPr>
          <w:sz w:val="22"/>
          <w:szCs w:val="22"/>
        </w:rPr>
        <w:t>mg</w:t>
      </w:r>
      <w:r w:rsidR="00AB460B" w:rsidRPr="002D0731">
        <w:rPr>
          <w:sz w:val="22"/>
          <w:szCs w:val="22"/>
        </w:rPr>
        <w:noBreakHyphen/>
        <w:t>os</w:t>
      </w:r>
      <w:r w:rsidR="00552336" w:rsidRPr="002D0731">
        <w:rPr>
          <w:sz w:val="22"/>
          <w:szCs w:val="22"/>
        </w:rPr>
        <w:t xml:space="preserve"> leuprorelin </w:t>
      </w:r>
      <w:r w:rsidR="00AB460B" w:rsidRPr="002D0731">
        <w:rPr>
          <w:sz w:val="22"/>
          <w:szCs w:val="22"/>
        </w:rPr>
        <w:t>dózist</w:t>
      </w:r>
      <w:r w:rsidR="00552336" w:rsidRPr="002D0731">
        <w:rPr>
          <w:sz w:val="22"/>
          <w:szCs w:val="22"/>
        </w:rPr>
        <w:t xml:space="preserve"> </w:t>
      </w:r>
      <w:r w:rsidR="00AB460B" w:rsidRPr="002D0731">
        <w:rPr>
          <w:sz w:val="22"/>
          <w:szCs w:val="22"/>
        </w:rPr>
        <w:t xml:space="preserve">kapó </w:t>
      </w:r>
      <w:r w:rsidRPr="002D0731">
        <w:rPr>
          <w:sz w:val="22"/>
          <w:szCs w:val="22"/>
        </w:rPr>
        <w:t>betegek</w:t>
      </w:r>
      <w:r w:rsidR="00552336" w:rsidRPr="002D0731">
        <w:rPr>
          <w:sz w:val="22"/>
          <w:szCs w:val="22"/>
        </w:rPr>
        <w:t xml:space="preserve"> </w:t>
      </w:r>
      <w:r w:rsidR="00AB460B" w:rsidRPr="002D0731">
        <w:rPr>
          <w:sz w:val="22"/>
          <w:szCs w:val="22"/>
        </w:rPr>
        <w:t>egy kivételével</w:t>
      </w:r>
      <w:r w:rsidR="001C127C" w:rsidRPr="002D0731">
        <w:rPr>
          <w:sz w:val="22"/>
          <w:szCs w:val="22"/>
        </w:rPr>
        <w:t xml:space="preserve"> </w:t>
      </w:r>
      <w:r w:rsidR="001D6A87" w:rsidRPr="002D0731">
        <w:rPr>
          <w:sz w:val="22"/>
          <w:szCs w:val="22"/>
        </w:rPr>
        <w:t>4</w:t>
      </w:r>
      <w:r w:rsidR="00F679A4" w:rsidRPr="002D0731">
        <w:rPr>
          <w:sz w:val="22"/>
          <w:szCs w:val="22"/>
        </w:rPr>
        <w:t> </w:t>
      </w:r>
      <w:r w:rsidR="001D6A87" w:rsidRPr="002D0731">
        <w:rPr>
          <w:sz w:val="22"/>
          <w:szCs w:val="22"/>
        </w:rPr>
        <w:t xml:space="preserve">hét alatt </w:t>
      </w:r>
      <w:r w:rsidR="00AB460B" w:rsidRPr="002D0731">
        <w:rPr>
          <w:sz w:val="22"/>
          <w:szCs w:val="22"/>
        </w:rPr>
        <w:t xml:space="preserve">érték el </w:t>
      </w:r>
      <w:r w:rsidR="00552336" w:rsidRPr="002D0731">
        <w:rPr>
          <w:sz w:val="22"/>
          <w:szCs w:val="22"/>
        </w:rPr>
        <w:t>a kasztrációs szintet</w:t>
      </w:r>
      <w:r w:rsidR="001D6A87" w:rsidRPr="002D0731">
        <w:rPr>
          <w:sz w:val="22"/>
          <w:szCs w:val="22"/>
        </w:rPr>
        <w:t xml:space="preserve">. A betegek </w:t>
      </w:r>
      <w:r w:rsidR="00FE5660" w:rsidRPr="002D0731">
        <w:rPr>
          <w:sz w:val="22"/>
          <w:szCs w:val="22"/>
        </w:rPr>
        <w:t xml:space="preserve">túlnyomó </w:t>
      </w:r>
      <w:r w:rsidR="001D6A87" w:rsidRPr="002D0731">
        <w:rPr>
          <w:sz w:val="22"/>
          <w:szCs w:val="22"/>
        </w:rPr>
        <w:t>többségénél a</w:t>
      </w:r>
      <w:r w:rsidRPr="002D0731">
        <w:rPr>
          <w:sz w:val="22"/>
          <w:szCs w:val="22"/>
        </w:rPr>
        <w:t xml:space="preserve"> tesztoszteronszint</w:t>
      </w:r>
      <w:r w:rsidR="00AB460B" w:rsidRPr="002D0731">
        <w:rPr>
          <w:sz w:val="22"/>
          <w:szCs w:val="22"/>
        </w:rPr>
        <w:t>ek</w:t>
      </w:r>
      <w:r w:rsidRPr="002D0731">
        <w:rPr>
          <w:sz w:val="22"/>
          <w:szCs w:val="22"/>
        </w:rPr>
        <w:t xml:space="preserve"> 20 ng/dl alatt volt</w:t>
      </w:r>
      <w:r w:rsidR="00AB460B" w:rsidRPr="002D0731">
        <w:rPr>
          <w:sz w:val="22"/>
          <w:szCs w:val="22"/>
        </w:rPr>
        <w:t>ak</w:t>
      </w:r>
      <w:r w:rsidRPr="002D0731">
        <w:rPr>
          <w:sz w:val="22"/>
          <w:szCs w:val="22"/>
        </w:rPr>
        <w:t>, azonban az ilyen alacsony szint előnyei</w:t>
      </w:r>
      <w:r w:rsidR="00FE5660" w:rsidRPr="002D0731">
        <w:rPr>
          <w:sz w:val="22"/>
          <w:szCs w:val="22"/>
        </w:rPr>
        <w:t>t</w:t>
      </w:r>
      <w:r w:rsidRPr="002D0731">
        <w:rPr>
          <w:sz w:val="22"/>
          <w:szCs w:val="22"/>
        </w:rPr>
        <w:t xml:space="preserve"> </w:t>
      </w:r>
      <w:r w:rsidR="00AB460B" w:rsidRPr="002D0731">
        <w:rPr>
          <w:sz w:val="22"/>
          <w:szCs w:val="22"/>
        </w:rPr>
        <w:t xml:space="preserve">még </w:t>
      </w:r>
      <w:r w:rsidRPr="002D0731">
        <w:rPr>
          <w:sz w:val="22"/>
          <w:szCs w:val="22"/>
        </w:rPr>
        <w:t xml:space="preserve">nem </w:t>
      </w:r>
      <w:r w:rsidR="00FE5660" w:rsidRPr="002D0731">
        <w:rPr>
          <w:sz w:val="22"/>
          <w:szCs w:val="22"/>
        </w:rPr>
        <w:t>igazolták</w:t>
      </w:r>
      <w:r w:rsidRPr="002D0731">
        <w:rPr>
          <w:sz w:val="22"/>
          <w:szCs w:val="22"/>
        </w:rPr>
        <w:t>. A PSA</w:t>
      </w:r>
      <w:r w:rsidR="00AB460B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szintek </w:t>
      </w:r>
      <w:r w:rsidR="00AB460B" w:rsidRPr="002D0731">
        <w:rPr>
          <w:sz w:val="22"/>
          <w:szCs w:val="22"/>
        </w:rPr>
        <w:t xml:space="preserve">6 hónap alatt </w:t>
      </w:r>
      <w:r w:rsidRPr="002D0731">
        <w:rPr>
          <w:sz w:val="22"/>
          <w:szCs w:val="22"/>
        </w:rPr>
        <w:t>9</w:t>
      </w:r>
      <w:r w:rsidR="001D6A87" w:rsidRPr="002D0731">
        <w:rPr>
          <w:sz w:val="22"/>
          <w:szCs w:val="22"/>
        </w:rPr>
        <w:t>7</w:t>
      </w:r>
      <w:r w:rsidRPr="002D0731">
        <w:rPr>
          <w:sz w:val="22"/>
          <w:szCs w:val="22"/>
        </w:rPr>
        <w:t>%</w:t>
      </w:r>
      <w:r w:rsidR="00AB460B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kal csökkentek. </w:t>
      </w:r>
    </w:p>
    <w:p w14:paraId="1B0D76C5" w14:textId="77777777" w:rsidR="00CF3B77" w:rsidRPr="002D0731" w:rsidRDefault="00CF3B77">
      <w:pPr>
        <w:pStyle w:val="WW-Szvegtrzs3"/>
        <w:jc w:val="left"/>
        <w:rPr>
          <w:sz w:val="22"/>
          <w:szCs w:val="22"/>
        </w:rPr>
      </w:pPr>
      <w:r w:rsidRPr="002D0731">
        <w:rPr>
          <w:sz w:val="22"/>
          <w:szCs w:val="22"/>
        </w:rPr>
        <w:t>Hosszú</w:t>
      </w:r>
      <w:r w:rsidR="002D2C5A" w:rsidRPr="002D0731">
        <w:rPr>
          <w:sz w:val="22"/>
          <w:szCs w:val="22"/>
        </w:rPr>
        <w:t xml:space="preserve"> </w:t>
      </w:r>
      <w:r w:rsidR="00FE5660" w:rsidRPr="002D0731">
        <w:rPr>
          <w:sz w:val="22"/>
          <w:szCs w:val="22"/>
        </w:rPr>
        <w:t xml:space="preserve">időtartamú </w:t>
      </w:r>
      <w:r w:rsidRPr="002D0731">
        <w:rPr>
          <w:sz w:val="22"/>
          <w:szCs w:val="22"/>
        </w:rPr>
        <w:t>vizsgálatok azt mutatták, hogy a kezelés folytatásával a tesztoszteronszint 7</w:t>
      </w:r>
      <w:r w:rsidR="00AB460B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évig</w:t>
      </w:r>
      <w:r w:rsidR="00AB460B" w:rsidRPr="002D0731">
        <w:rPr>
          <w:sz w:val="22"/>
          <w:szCs w:val="22"/>
        </w:rPr>
        <w:t>,</w:t>
      </w:r>
      <w:r w:rsidRPr="002D0731">
        <w:rPr>
          <w:sz w:val="22"/>
          <w:szCs w:val="22"/>
        </w:rPr>
        <w:t xml:space="preserve"> és feltehetően korlátlan ideig a kasztrációs szint alatt tartható. </w:t>
      </w:r>
    </w:p>
    <w:p w14:paraId="6E921BD6" w14:textId="77777777" w:rsidR="00552336" w:rsidRPr="002D0731" w:rsidRDefault="00552336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</w:p>
    <w:p w14:paraId="7642CA63" w14:textId="77777777" w:rsidR="00CF3B77" w:rsidRPr="002D0731" w:rsidRDefault="00CF3B77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  <w:r w:rsidRPr="002D0731">
        <w:rPr>
          <w:sz w:val="22"/>
          <w:szCs w:val="22"/>
        </w:rPr>
        <w:t xml:space="preserve">A klinikai vizsgálati programban a tumor méretét közvetlenül nem mérték, de az </w:t>
      </w:r>
      <w:r w:rsidR="00AB460B" w:rsidRPr="002D0731">
        <w:rPr>
          <w:sz w:val="22"/>
          <w:szCs w:val="22"/>
        </w:rPr>
        <w:t>E</w:t>
      </w:r>
      <w:r w:rsidR="001C127C" w:rsidRPr="002D0731">
        <w:rPr>
          <w:sz w:val="22"/>
          <w:szCs w:val="22"/>
        </w:rPr>
        <w:t>ligard</w:t>
      </w:r>
      <w:r w:rsidR="00AB460B" w:rsidRPr="002D0731">
        <w:rPr>
          <w:sz w:val="22"/>
          <w:szCs w:val="22"/>
        </w:rPr>
        <w:t xml:space="preserve"> </w:t>
      </w:r>
      <w:r w:rsidR="001D6A87" w:rsidRPr="002D0731">
        <w:rPr>
          <w:sz w:val="22"/>
          <w:szCs w:val="22"/>
        </w:rPr>
        <w:t>4</w:t>
      </w:r>
      <w:r w:rsidRPr="002D0731">
        <w:rPr>
          <w:sz w:val="22"/>
          <w:szCs w:val="22"/>
        </w:rPr>
        <w:t xml:space="preserve">5 mg kezelés </w:t>
      </w:r>
      <w:r w:rsidR="00AB460B" w:rsidRPr="002D0731">
        <w:rPr>
          <w:sz w:val="22"/>
          <w:szCs w:val="22"/>
        </w:rPr>
        <w:t>a</w:t>
      </w:r>
      <w:r w:rsidR="00DD6F78" w:rsidRPr="002D0731">
        <w:rPr>
          <w:sz w:val="22"/>
          <w:szCs w:val="22"/>
        </w:rPr>
        <w:t>z átlagos</w:t>
      </w:r>
      <w:r w:rsidRPr="002D0731">
        <w:rPr>
          <w:sz w:val="22"/>
          <w:szCs w:val="22"/>
        </w:rPr>
        <w:t xml:space="preserve"> PSA 9</w:t>
      </w:r>
      <w:r w:rsidR="008C06DD" w:rsidRPr="002D0731">
        <w:rPr>
          <w:sz w:val="22"/>
          <w:szCs w:val="22"/>
        </w:rPr>
        <w:t>7</w:t>
      </w:r>
      <w:r w:rsidRPr="002D0731">
        <w:rPr>
          <w:sz w:val="22"/>
          <w:szCs w:val="22"/>
        </w:rPr>
        <w:t>%</w:t>
      </w:r>
      <w:r w:rsidR="00AB460B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os csökkenése révén indirekt hatékony tumorválaszt jelentett.</w:t>
      </w:r>
    </w:p>
    <w:p w14:paraId="7B5B3CA9" w14:textId="77777777" w:rsidR="00804CC9" w:rsidRPr="002D0731" w:rsidRDefault="00804CC9" w:rsidP="003654E7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Egy olyan </w:t>
      </w:r>
      <w:r w:rsidR="00DE0CF5">
        <w:rPr>
          <w:sz w:val="22"/>
          <w:szCs w:val="22"/>
        </w:rPr>
        <w:t>3</w:t>
      </w:r>
      <w:r w:rsidRPr="002D0731">
        <w:rPr>
          <w:sz w:val="22"/>
          <w:szCs w:val="22"/>
        </w:rPr>
        <w:t>. fázisú, randomizált klinikai vizsgálatban, amelyet 970, lokálisan előrehaladott prosztatarákban szenvedő (főként T2c-T4 és néhány T1c és T2b stádiumú, region</w:t>
      </w:r>
      <w:r w:rsidR="00DE0CF5">
        <w:rPr>
          <w:sz w:val="22"/>
          <w:szCs w:val="22"/>
        </w:rPr>
        <w:t>á</w:t>
      </w:r>
      <w:r w:rsidRPr="002D0731">
        <w:rPr>
          <w:sz w:val="22"/>
          <w:szCs w:val="22"/>
        </w:rPr>
        <w:t>lisan patológiás nyirokcsomó</w:t>
      </w:r>
      <w:r w:rsidR="00477CA4">
        <w:rPr>
          <w:sz w:val="22"/>
          <w:szCs w:val="22"/>
        </w:rPr>
        <w:noBreakHyphen/>
      </w:r>
      <w:r w:rsidRPr="002D0731">
        <w:rPr>
          <w:sz w:val="22"/>
          <w:szCs w:val="22"/>
        </w:rPr>
        <w:t>elváltozással rendelkező ) beteg részvételével folytattak le, és  akik közül 483 beteg sugárterápiával kombinált rövid távú (6 hónapos) androgén</w:t>
      </w:r>
      <w:r w:rsidR="00477CA4">
        <w:rPr>
          <w:sz w:val="22"/>
          <w:szCs w:val="22"/>
        </w:rPr>
        <w:noBreakHyphen/>
      </w:r>
      <w:r w:rsidRPr="002D0731">
        <w:rPr>
          <w:sz w:val="22"/>
          <w:szCs w:val="22"/>
        </w:rPr>
        <w:t>szuppressziós kezelést, 487 beteg pedig hosszú távú (3 éves) kezelést kapott, non-inferiority („nem-rosszabb-mint”) elemzéssel összehasonlították a rövid és hosszú távú, egyidejű és adjuváns GnRH</w:t>
      </w:r>
      <w:r w:rsidR="00477CA4">
        <w:rPr>
          <w:sz w:val="22"/>
          <w:szCs w:val="22"/>
        </w:rPr>
        <w:noBreakHyphen/>
      </w:r>
      <w:r w:rsidRPr="002D0731">
        <w:rPr>
          <w:sz w:val="22"/>
          <w:szCs w:val="22"/>
        </w:rPr>
        <w:t>agonistával (triptorelinnel vagy goszerelinnel) végzett hormonkezelést. Az 5 éves összhalálozás</w:t>
      </w:r>
      <w:r w:rsidR="003564E7">
        <w:rPr>
          <w:sz w:val="22"/>
          <w:szCs w:val="22"/>
        </w:rPr>
        <w:t xml:space="preserve"> </w:t>
      </w:r>
      <w:r w:rsidR="003564E7" w:rsidRPr="005B41E1">
        <w:rPr>
          <w:sz w:val="22"/>
          <w:szCs w:val="22"/>
        </w:rPr>
        <w:t>(</w:t>
      </w:r>
      <w:r w:rsidR="003564E7" w:rsidRPr="00AB47BC">
        <w:rPr>
          <w:i/>
          <w:sz w:val="22"/>
          <w:szCs w:val="22"/>
        </w:rPr>
        <w:t>overall mortality</w:t>
      </w:r>
      <w:r w:rsidR="003564E7" w:rsidRPr="005B41E1">
        <w:rPr>
          <w:sz w:val="22"/>
          <w:szCs w:val="22"/>
        </w:rPr>
        <w:t xml:space="preserve">) </w:t>
      </w:r>
      <w:r w:rsidRPr="002D0731">
        <w:rPr>
          <w:sz w:val="22"/>
          <w:szCs w:val="22"/>
        </w:rPr>
        <w:t>19,0% volt a rövid távú és 15,2% volt a hosszú távú csoportban.</w:t>
      </w:r>
      <w:r w:rsidR="0095106F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A megfigyelt 1,42 értékű kockázati arány</w:t>
      </w:r>
      <w:r w:rsidR="003564E7">
        <w:rPr>
          <w:sz w:val="22"/>
          <w:szCs w:val="22"/>
        </w:rPr>
        <w:t xml:space="preserve"> </w:t>
      </w:r>
      <w:r w:rsidR="003564E7" w:rsidRPr="005B41E1">
        <w:rPr>
          <w:sz w:val="22"/>
          <w:szCs w:val="22"/>
        </w:rPr>
        <w:t>(</w:t>
      </w:r>
      <w:r w:rsidR="003564E7" w:rsidRPr="00AB47BC">
        <w:rPr>
          <w:i/>
          <w:sz w:val="22"/>
          <w:szCs w:val="22"/>
        </w:rPr>
        <w:t>Hazard Ratio</w:t>
      </w:r>
      <w:r w:rsidR="003564E7" w:rsidRPr="005B41E1">
        <w:rPr>
          <w:sz w:val="22"/>
          <w:szCs w:val="22"/>
        </w:rPr>
        <w:t>)</w:t>
      </w:r>
      <w:r w:rsidRPr="002D0731">
        <w:rPr>
          <w:sz w:val="22"/>
          <w:szCs w:val="22"/>
        </w:rPr>
        <w:t xml:space="preserve"> mellett a 95,71%-os egyoldali konfidencia intervallum felső határa 1,79</w:t>
      </w:r>
      <w:r w:rsidR="00477CA4">
        <w:rPr>
          <w:sz w:val="22"/>
          <w:szCs w:val="22"/>
        </w:rPr>
        <w:t xml:space="preserve"> volt</w:t>
      </w:r>
      <w:r w:rsidRPr="002D0731">
        <w:rPr>
          <w:sz w:val="22"/>
          <w:szCs w:val="22"/>
        </w:rPr>
        <w:t>; míg 95,71%-os kétoldali konfidencia intervallum esetén 1,09 és 1</w:t>
      </w:r>
      <w:r w:rsidR="0095106F">
        <w:rPr>
          <w:sz w:val="22"/>
          <w:szCs w:val="22"/>
        </w:rPr>
        <w:t>,</w:t>
      </w:r>
      <w:r w:rsidRPr="002D0731">
        <w:rPr>
          <w:sz w:val="22"/>
          <w:szCs w:val="22"/>
        </w:rPr>
        <w:t>85 volt (non-inferiority p-érték = 0,65), ami azt mutatja, hogy a sugárkezelés és a 6 hónapos androgén</w:t>
      </w:r>
      <w:r w:rsidR="003564E7"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kombinációja rosszabb túlélést biztosít, mint a sugárkezelés és a 3 éves androgén</w:t>
      </w:r>
      <w:r w:rsidR="003564E7"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terápia. A kezelés 5. évében mutatott összesített túlélési arány</w:t>
      </w:r>
      <w:r w:rsidR="00477CA4" w:rsidRPr="00477CA4">
        <w:rPr>
          <w:sz w:val="22"/>
          <w:szCs w:val="22"/>
        </w:rPr>
        <w:t xml:space="preserve"> </w:t>
      </w:r>
      <w:r w:rsidR="00477CA4">
        <w:rPr>
          <w:sz w:val="22"/>
          <w:szCs w:val="22"/>
        </w:rPr>
        <w:t>(</w:t>
      </w:r>
      <w:r w:rsidR="00477CA4" w:rsidRPr="003654E7">
        <w:rPr>
          <w:i/>
          <w:sz w:val="22"/>
          <w:szCs w:val="22"/>
        </w:rPr>
        <w:t>overall survival</w:t>
      </w:r>
      <w:r w:rsidR="00477CA4">
        <w:rPr>
          <w:sz w:val="22"/>
          <w:szCs w:val="22"/>
        </w:rPr>
        <w:t>)</w:t>
      </w:r>
      <w:r w:rsidRPr="002D0731">
        <w:rPr>
          <w:sz w:val="22"/>
          <w:szCs w:val="22"/>
        </w:rPr>
        <w:t xml:space="preserve"> a hosszú távú csoportban 84,8%, a rövid távú csoportban pedig 81,0% volt. A QLQ-C30 alapján megállapított általános életminőség nem mutatott jelentős különbséget a két csoport között (P</w:t>
      </w:r>
      <w:r w:rsidR="00456B64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=</w:t>
      </w:r>
      <w:r w:rsidR="00456B64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0,37). Az eredményekben a lokálisan előrehaladott tumorban szenvedő beteg</w:t>
      </w:r>
      <w:r w:rsidR="0095106F" w:rsidRPr="0095106F">
        <w:rPr>
          <w:sz w:val="22"/>
          <w:szCs w:val="22"/>
        </w:rPr>
        <w:t>csoport</w:t>
      </w:r>
      <w:r w:rsidRPr="002D0731">
        <w:rPr>
          <w:sz w:val="22"/>
          <w:szCs w:val="22"/>
        </w:rPr>
        <w:t xml:space="preserve"> a meghatározó.</w:t>
      </w:r>
    </w:p>
    <w:p w14:paraId="7633139B" w14:textId="77777777" w:rsidR="00804CC9" w:rsidRPr="002D0731" w:rsidRDefault="00804CC9" w:rsidP="003654E7">
      <w:pPr>
        <w:rPr>
          <w:sz w:val="22"/>
          <w:szCs w:val="22"/>
        </w:rPr>
      </w:pPr>
      <w:r w:rsidRPr="002D0731">
        <w:rPr>
          <w:sz w:val="22"/>
          <w:szCs w:val="22"/>
        </w:rPr>
        <w:t>A magas kockázatú, szervre lokalizált prosztatarák indikációjára vonatkozó evidencia olyan publikált vizsgálatokon alapul, amelyekben sugárterápiával kombinált GnRH</w:t>
      </w:r>
      <w:r w:rsidR="00F27C67">
        <w:rPr>
          <w:sz w:val="22"/>
          <w:szCs w:val="22"/>
        </w:rPr>
        <w:noBreakHyphen/>
      </w:r>
      <w:r w:rsidRPr="002D0731">
        <w:rPr>
          <w:sz w:val="22"/>
          <w:szCs w:val="22"/>
        </w:rPr>
        <w:t>analóg</w:t>
      </w:r>
      <w:r w:rsidR="00F27C67">
        <w:rPr>
          <w:sz w:val="22"/>
          <w:szCs w:val="22"/>
        </w:rPr>
        <w:noBreakHyphen/>
      </w:r>
      <w:r w:rsidRPr="002D0731">
        <w:rPr>
          <w:sz w:val="22"/>
          <w:szCs w:val="22"/>
        </w:rPr>
        <w:t>kezelést folytattak, beleértve a leuprorelin</w:t>
      </w:r>
      <w:r w:rsidR="00F27C67">
        <w:rPr>
          <w:sz w:val="22"/>
          <w:szCs w:val="22"/>
        </w:rPr>
        <w:noBreakHyphen/>
      </w:r>
      <w:r w:rsidRPr="002D0731">
        <w:rPr>
          <w:sz w:val="22"/>
          <w:szCs w:val="22"/>
        </w:rPr>
        <w:t>acetát használatát. Öt publikált vizsgálatból származó klinikai adatok elemzése (EORTC 22863, RTOG 85-31, RTOG 92-02, RTOG 8610, valamint D’Amico et al., JAMA, 2004) egyöntetűen bizonyítja a GnRH</w:t>
      </w:r>
      <w:r w:rsidR="00F27C67">
        <w:rPr>
          <w:sz w:val="22"/>
          <w:szCs w:val="22"/>
        </w:rPr>
        <w:noBreakHyphen/>
      </w:r>
      <w:r w:rsidRPr="002D0731">
        <w:rPr>
          <w:sz w:val="22"/>
          <w:szCs w:val="22"/>
        </w:rPr>
        <w:t>analóg és a sugárterápia kombinációjának előnyét. A publikált vizsgálatokban nem lehetett egyértelműen elkülöníteni a lokálisan előrehaladott prosztatarák és a magas kockázatú, szervre lokalizált prosztatarák indikációjához tartozó betegcsoportokat.</w:t>
      </w:r>
    </w:p>
    <w:p w14:paraId="20841706" w14:textId="77777777" w:rsidR="00804CC9" w:rsidRPr="002D0731" w:rsidRDefault="00804CC9">
      <w:pPr>
        <w:rPr>
          <w:sz w:val="22"/>
          <w:szCs w:val="22"/>
        </w:rPr>
      </w:pPr>
    </w:p>
    <w:p w14:paraId="06740272" w14:textId="77777777" w:rsidR="00804CC9" w:rsidRPr="002D0731" w:rsidRDefault="00804CC9" w:rsidP="003564E7">
      <w:pPr>
        <w:rPr>
          <w:sz w:val="22"/>
          <w:szCs w:val="22"/>
        </w:rPr>
      </w:pPr>
      <w:r w:rsidRPr="002D0731">
        <w:rPr>
          <w:sz w:val="22"/>
          <w:szCs w:val="22"/>
        </w:rPr>
        <w:t>A klinikai adatok bizonyítják, hogy a sugárterápia és az azt követő 3 éves androgén</w:t>
      </w:r>
      <w:r w:rsidR="003564E7"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kombinációja előnyben részesítendő a sugárterápia és az azt követő 6 hónapos androgén</w:t>
      </w:r>
      <w:r w:rsidR="003564E7"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kombinációjával szemben.</w:t>
      </w:r>
    </w:p>
    <w:p w14:paraId="2B8E8AE9" w14:textId="77777777" w:rsidR="003243D0" w:rsidRPr="002D0731" w:rsidRDefault="00804CC9" w:rsidP="003564E7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  <w:r w:rsidRPr="002D0731">
        <w:rPr>
          <w:sz w:val="22"/>
          <w:szCs w:val="22"/>
        </w:rPr>
        <w:t>A sugárterápiát kapó, T3-T4 stádiumú betegek esetében a szakmai irányelvek szerint az androgén</w:t>
      </w:r>
      <w:r w:rsidR="003564E7"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javasolt időtartama 2-3 év.</w:t>
      </w:r>
    </w:p>
    <w:p w14:paraId="1673C8AA" w14:textId="77777777" w:rsidR="003243D0" w:rsidRPr="002D0731" w:rsidRDefault="003243D0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</w:p>
    <w:p w14:paraId="72E5E830" w14:textId="77777777" w:rsidR="00CF3B77" w:rsidRPr="002D0731" w:rsidRDefault="00CF3B77">
      <w:pPr>
        <w:pStyle w:val="WW-Szvegtrzs212"/>
        <w:suppressAutoHyphens w:val="0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5.2</w:t>
      </w:r>
      <w:r w:rsidRPr="002D0731">
        <w:rPr>
          <w:szCs w:val="22"/>
          <w:lang w:val="hu-HU"/>
        </w:rPr>
        <w:tab/>
        <w:t>Farmakokinetikai tulajdonságok</w:t>
      </w:r>
    </w:p>
    <w:p w14:paraId="79096FBF" w14:textId="77777777" w:rsidR="00CF3B77" w:rsidRPr="002D0731" w:rsidRDefault="00CF3B77">
      <w:pPr>
        <w:jc w:val="both"/>
        <w:rPr>
          <w:sz w:val="22"/>
          <w:szCs w:val="22"/>
        </w:rPr>
      </w:pPr>
    </w:p>
    <w:p w14:paraId="7A10EB65" w14:textId="77777777" w:rsidR="003564E7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lastRenderedPageBreak/>
        <w:t>Felszívódás: Az előrehaladott prosztatakarcinómás betegeknél az átlagos szérum</w:t>
      </w:r>
      <w:r w:rsidR="00B40F52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 xml:space="preserve">leuprorelinkoncentráció az első injekciót követő </w:t>
      </w:r>
      <w:r w:rsidR="005516C1" w:rsidRPr="002D0731">
        <w:rPr>
          <w:sz w:val="22"/>
          <w:szCs w:val="22"/>
        </w:rPr>
        <w:t>4,4</w:t>
      </w:r>
      <w:r w:rsidR="00DD6F78" w:rsidRPr="002D0731">
        <w:rPr>
          <w:sz w:val="22"/>
          <w:szCs w:val="22"/>
        </w:rPr>
        <w:t> </w:t>
      </w:r>
      <w:r w:rsidR="00CF070E" w:rsidRPr="002D0731">
        <w:rPr>
          <w:sz w:val="22"/>
          <w:szCs w:val="22"/>
        </w:rPr>
        <w:t>óra múlva</w:t>
      </w:r>
      <w:r w:rsidRPr="002D0731">
        <w:rPr>
          <w:sz w:val="22"/>
          <w:szCs w:val="22"/>
        </w:rPr>
        <w:t xml:space="preserve"> </w:t>
      </w:r>
      <w:r w:rsidR="005516C1" w:rsidRPr="002D0731">
        <w:rPr>
          <w:sz w:val="22"/>
          <w:szCs w:val="22"/>
        </w:rPr>
        <w:t>82</w:t>
      </w:r>
      <w:r w:rsidRPr="002D0731">
        <w:rPr>
          <w:sz w:val="22"/>
          <w:szCs w:val="22"/>
        </w:rPr>
        <w:t xml:space="preserve"> ng/ml </w:t>
      </w:r>
      <w:r w:rsidR="005516C1" w:rsidRPr="002D0731">
        <w:rPr>
          <w:sz w:val="22"/>
          <w:szCs w:val="22"/>
        </w:rPr>
        <w:t>(C</w:t>
      </w:r>
      <w:r w:rsidR="005516C1" w:rsidRPr="002D0731">
        <w:rPr>
          <w:sz w:val="22"/>
          <w:szCs w:val="22"/>
          <w:vertAlign w:val="subscript"/>
        </w:rPr>
        <w:t>max</w:t>
      </w:r>
      <w:r w:rsidR="005516C1" w:rsidRPr="002D0731">
        <w:rPr>
          <w:sz w:val="22"/>
          <w:szCs w:val="22"/>
        </w:rPr>
        <w:t xml:space="preserve">) </w:t>
      </w:r>
      <w:r w:rsidRPr="002D0731">
        <w:rPr>
          <w:sz w:val="22"/>
          <w:szCs w:val="22"/>
        </w:rPr>
        <w:t>szintre emelked</w:t>
      </w:r>
      <w:r w:rsidR="00CF070E" w:rsidRPr="002D0731">
        <w:rPr>
          <w:sz w:val="22"/>
          <w:szCs w:val="22"/>
        </w:rPr>
        <w:t>ett</w:t>
      </w:r>
      <w:r w:rsidRPr="002D0731">
        <w:rPr>
          <w:sz w:val="22"/>
          <w:szCs w:val="22"/>
        </w:rPr>
        <w:t xml:space="preserve">. </w:t>
      </w:r>
    </w:p>
    <w:p w14:paraId="76236904" w14:textId="77777777" w:rsidR="00CF3B77" w:rsidRPr="002D0731" w:rsidRDefault="00B40F52">
      <w:pPr>
        <w:rPr>
          <w:sz w:val="22"/>
          <w:szCs w:val="22"/>
        </w:rPr>
      </w:pPr>
      <w:r w:rsidRPr="002D0731">
        <w:rPr>
          <w:sz w:val="22"/>
          <w:szCs w:val="22"/>
        </w:rPr>
        <w:t>Az</w:t>
      </w:r>
      <w:r w:rsidR="00DD6F78" w:rsidRPr="002D0731">
        <w:rPr>
          <w:sz w:val="22"/>
          <w:szCs w:val="22"/>
        </w:rPr>
        <w:t xml:space="preserve"> egyes injekció</w:t>
      </w:r>
      <w:r w:rsidRPr="002D0731">
        <w:rPr>
          <w:sz w:val="22"/>
          <w:szCs w:val="22"/>
        </w:rPr>
        <w:t>k</w:t>
      </w:r>
      <w:r w:rsidR="00DD6F78" w:rsidRPr="002D0731">
        <w:rPr>
          <w:sz w:val="22"/>
          <w:szCs w:val="22"/>
        </w:rPr>
        <w:t xml:space="preserve"> beadását követő</w:t>
      </w:r>
      <w:r w:rsidR="00CF070E" w:rsidRPr="002D0731">
        <w:rPr>
          <w:sz w:val="22"/>
          <w:szCs w:val="22"/>
        </w:rPr>
        <w:t xml:space="preserve"> kezdeti növekedés </w:t>
      </w:r>
      <w:r w:rsidR="00624623" w:rsidRPr="002D0731">
        <w:rPr>
          <w:sz w:val="22"/>
          <w:szCs w:val="22"/>
        </w:rPr>
        <w:t xml:space="preserve">után </w:t>
      </w:r>
      <w:r w:rsidR="005516C1" w:rsidRPr="002D0731">
        <w:rPr>
          <w:sz w:val="22"/>
          <w:szCs w:val="22"/>
        </w:rPr>
        <w:t>(</w:t>
      </w:r>
      <w:r w:rsidRPr="002D0731">
        <w:rPr>
          <w:sz w:val="22"/>
          <w:szCs w:val="22"/>
        </w:rPr>
        <w:t>az</w:t>
      </w:r>
      <w:r w:rsidR="00DD6F78" w:rsidRPr="002D0731">
        <w:rPr>
          <w:sz w:val="22"/>
          <w:szCs w:val="22"/>
        </w:rPr>
        <w:t xml:space="preserve"> egyes </w:t>
      </w:r>
      <w:r w:rsidRPr="002D0731">
        <w:rPr>
          <w:sz w:val="22"/>
          <w:szCs w:val="22"/>
        </w:rPr>
        <w:t>dózisokat</w:t>
      </w:r>
      <w:r w:rsidR="00DD6F78" w:rsidRPr="002D0731">
        <w:rPr>
          <w:sz w:val="22"/>
          <w:szCs w:val="22"/>
        </w:rPr>
        <w:t xml:space="preserve"> követően </w:t>
      </w:r>
      <w:r w:rsidR="005516C1" w:rsidRPr="002D0731">
        <w:rPr>
          <w:sz w:val="22"/>
          <w:szCs w:val="22"/>
        </w:rPr>
        <w:t>a plató</w:t>
      </w:r>
      <w:r w:rsidR="00411F2A">
        <w:rPr>
          <w:sz w:val="22"/>
          <w:szCs w:val="22"/>
        </w:rPr>
        <w:t xml:space="preserve"> </w:t>
      </w:r>
      <w:r w:rsidR="005516C1" w:rsidRPr="002D0731">
        <w:rPr>
          <w:sz w:val="22"/>
          <w:szCs w:val="22"/>
        </w:rPr>
        <w:t>fázis 3</w:t>
      </w:r>
      <w:r w:rsidR="00DD6F78" w:rsidRPr="002D0731">
        <w:rPr>
          <w:sz w:val="22"/>
          <w:szCs w:val="22"/>
        </w:rPr>
        <w:noBreakHyphen/>
      </w:r>
      <w:r w:rsidR="005516C1" w:rsidRPr="002D0731">
        <w:rPr>
          <w:sz w:val="22"/>
          <w:szCs w:val="22"/>
        </w:rPr>
        <w:t>168</w:t>
      </w:r>
      <w:r w:rsidR="00C95A24" w:rsidRPr="002D0731">
        <w:rPr>
          <w:sz w:val="22"/>
          <w:szCs w:val="22"/>
        </w:rPr>
        <w:t> </w:t>
      </w:r>
      <w:r w:rsidR="00CF070E" w:rsidRPr="002D0731">
        <w:rPr>
          <w:sz w:val="22"/>
          <w:szCs w:val="22"/>
        </w:rPr>
        <w:t>nap a szérumszintek viszonylag állandóak (0,2</w:t>
      </w:r>
      <w:r w:rsidR="00DD6F78" w:rsidRPr="002D0731">
        <w:rPr>
          <w:sz w:val="22"/>
          <w:szCs w:val="22"/>
        </w:rPr>
        <w:noBreakHyphen/>
      </w:r>
      <w:r w:rsidR="00CF070E" w:rsidRPr="002D0731">
        <w:rPr>
          <w:sz w:val="22"/>
          <w:szCs w:val="22"/>
        </w:rPr>
        <w:t>2,0</w:t>
      </w:r>
      <w:r w:rsidR="00DD6F78" w:rsidRPr="002D0731">
        <w:rPr>
          <w:sz w:val="22"/>
          <w:szCs w:val="22"/>
        </w:rPr>
        <w:t> </w:t>
      </w:r>
      <w:r w:rsidR="00CF070E" w:rsidRPr="002D0731">
        <w:rPr>
          <w:sz w:val="22"/>
          <w:szCs w:val="22"/>
        </w:rPr>
        <w:t>ng/ml) marad</w:t>
      </w:r>
      <w:r w:rsidR="00842F4B" w:rsidRPr="002D0731">
        <w:rPr>
          <w:sz w:val="22"/>
          <w:szCs w:val="22"/>
        </w:rPr>
        <w:t>tak</w:t>
      </w:r>
      <w:r w:rsidR="00CF070E" w:rsidRPr="002D0731">
        <w:rPr>
          <w:sz w:val="22"/>
          <w:szCs w:val="22"/>
        </w:rPr>
        <w:t>.</w:t>
      </w:r>
      <w:r w:rsidR="00CF3B77" w:rsidRPr="002D0731">
        <w:rPr>
          <w:sz w:val="22"/>
          <w:szCs w:val="22"/>
        </w:rPr>
        <w:t xml:space="preserve"> </w:t>
      </w:r>
      <w:r w:rsidR="00DD6F78" w:rsidRPr="002D0731">
        <w:rPr>
          <w:sz w:val="22"/>
          <w:szCs w:val="22"/>
        </w:rPr>
        <w:t xml:space="preserve">Az </w:t>
      </w:r>
      <w:r w:rsidR="00CF3B77" w:rsidRPr="002D0731">
        <w:rPr>
          <w:sz w:val="22"/>
          <w:szCs w:val="22"/>
        </w:rPr>
        <w:t xml:space="preserve">ismételt adagolás során </w:t>
      </w:r>
      <w:r w:rsidR="00DD6F78" w:rsidRPr="002D0731">
        <w:rPr>
          <w:sz w:val="22"/>
          <w:szCs w:val="22"/>
        </w:rPr>
        <w:t>bekövetkező</w:t>
      </w:r>
      <w:r w:rsidR="00CF3B77" w:rsidRPr="002D0731">
        <w:rPr>
          <w:sz w:val="22"/>
          <w:szCs w:val="22"/>
        </w:rPr>
        <w:t xml:space="preserve"> kumulációra</w:t>
      </w:r>
      <w:r w:rsidR="00DD6F78" w:rsidRPr="002D0731">
        <w:rPr>
          <w:sz w:val="22"/>
          <w:szCs w:val="22"/>
        </w:rPr>
        <w:t xml:space="preserve"> nincs bizonyíték</w:t>
      </w:r>
      <w:r w:rsidR="00CF3B77" w:rsidRPr="002D0731">
        <w:rPr>
          <w:sz w:val="22"/>
          <w:szCs w:val="22"/>
        </w:rPr>
        <w:t>.</w:t>
      </w:r>
    </w:p>
    <w:p w14:paraId="4780AAE0" w14:textId="77777777" w:rsidR="00CF3B77" w:rsidRPr="002D0731" w:rsidRDefault="00CF3B77">
      <w:pPr>
        <w:jc w:val="both"/>
        <w:rPr>
          <w:sz w:val="22"/>
          <w:szCs w:val="22"/>
        </w:rPr>
      </w:pPr>
    </w:p>
    <w:p w14:paraId="2E2826EC" w14:textId="77777777" w:rsidR="00CF3B77" w:rsidRPr="002D0731" w:rsidRDefault="00D00105">
      <w:pPr>
        <w:rPr>
          <w:sz w:val="22"/>
          <w:szCs w:val="22"/>
        </w:rPr>
      </w:pPr>
      <w:r>
        <w:rPr>
          <w:sz w:val="22"/>
          <w:szCs w:val="22"/>
        </w:rPr>
        <w:t>El</w:t>
      </w:r>
      <w:r w:rsidRPr="002D0731">
        <w:rPr>
          <w:sz w:val="22"/>
          <w:szCs w:val="22"/>
        </w:rPr>
        <w:t>oszlás</w:t>
      </w:r>
      <w:r w:rsidR="00CF3B77" w:rsidRPr="002D0731">
        <w:rPr>
          <w:sz w:val="22"/>
          <w:szCs w:val="22"/>
        </w:rPr>
        <w:t>: Egészséges férfi önkénteseknél az intravénás b</w:t>
      </w:r>
      <w:r w:rsidR="003564E7">
        <w:rPr>
          <w:sz w:val="22"/>
          <w:szCs w:val="22"/>
        </w:rPr>
        <w:t>ó</w:t>
      </w:r>
      <w:r w:rsidR="00CF3B77" w:rsidRPr="002D0731">
        <w:rPr>
          <w:sz w:val="22"/>
          <w:szCs w:val="22"/>
        </w:rPr>
        <w:t xml:space="preserve">lus adagolás után a leuprorelin átlagos </w:t>
      </w:r>
      <w:r w:rsidR="00CF3B77" w:rsidRPr="003654E7">
        <w:rPr>
          <w:i/>
          <w:sz w:val="22"/>
          <w:szCs w:val="22"/>
        </w:rPr>
        <w:t>steady</w:t>
      </w:r>
      <w:r w:rsidR="00DD6F78" w:rsidRPr="003654E7">
        <w:rPr>
          <w:i/>
          <w:sz w:val="22"/>
          <w:szCs w:val="22"/>
        </w:rPr>
        <w:noBreakHyphen/>
      </w:r>
      <w:r w:rsidR="00CF3B77" w:rsidRPr="003654E7">
        <w:rPr>
          <w:i/>
          <w:sz w:val="22"/>
          <w:szCs w:val="22"/>
        </w:rPr>
        <w:t>state</w:t>
      </w:r>
      <w:r w:rsidR="00CF3B77" w:rsidRPr="002D0731">
        <w:rPr>
          <w:sz w:val="22"/>
          <w:szCs w:val="22"/>
        </w:rPr>
        <w:t xml:space="preserve"> </w:t>
      </w:r>
      <w:r w:rsidR="00686953" w:rsidRPr="002D0731">
        <w:rPr>
          <w:sz w:val="22"/>
          <w:szCs w:val="22"/>
        </w:rPr>
        <w:t>megoszlási térfogata</w:t>
      </w:r>
      <w:r w:rsidR="00CF3B77" w:rsidRPr="002D0731">
        <w:rPr>
          <w:sz w:val="22"/>
          <w:szCs w:val="22"/>
        </w:rPr>
        <w:t xml:space="preserve"> </w:t>
      </w:r>
      <w:r w:rsidR="00DD6F78" w:rsidRPr="002D0731">
        <w:rPr>
          <w:sz w:val="22"/>
          <w:szCs w:val="22"/>
        </w:rPr>
        <w:t>27 </w:t>
      </w:r>
      <w:r w:rsidR="00CF3B77" w:rsidRPr="002D0731">
        <w:rPr>
          <w:sz w:val="22"/>
          <w:szCs w:val="22"/>
        </w:rPr>
        <w:t xml:space="preserve">liter volt. </w:t>
      </w:r>
      <w:r w:rsidR="00CF3B77" w:rsidRPr="002D0731">
        <w:rPr>
          <w:i/>
          <w:sz w:val="22"/>
          <w:szCs w:val="22"/>
        </w:rPr>
        <w:t>In</w:t>
      </w:r>
      <w:r w:rsidR="00DD6F78" w:rsidRPr="002D0731">
        <w:rPr>
          <w:i/>
          <w:sz w:val="22"/>
          <w:szCs w:val="22"/>
        </w:rPr>
        <w:t> </w:t>
      </w:r>
      <w:r w:rsidR="00CF3B77" w:rsidRPr="002D0731">
        <w:rPr>
          <w:i/>
          <w:sz w:val="22"/>
          <w:szCs w:val="22"/>
        </w:rPr>
        <w:t>vitro</w:t>
      </w:r>
      <w:r w:rsidR="00CF3B77" w:rsidRPr="002D0731">
        <w:rPr>
          <w:sz w:val="22"/>
          <w:szCs w:val="22"/>
        </w:rPr>
        <w:t xml:space="preserve"> a humán </w:t>
      </w:r>
      <w:r w:rsidR="00B40F52" w:rsidRPr="002D0731">
        <w:rPr>
          <w:sz w:val="22"/>
          <w:szCs w:val="22"/>
        </w:rPr>
        <w:t>plazmafehérje-</w:t>
      </w:r>
      <w:r w:rsidR="00CF3B77" w:rsidRPr="002D0731">
        <w:rPr>
          <w:sz w:val="22"/>
          <w:szCs w:val="22"/>
        </w:rPr>
        <w:t>kötődés 43% és 49% között volt.</w:t>
      </w:r>
    </w:p>
    <w:p w14:paraId="5569F384" w14:textId="77777777" w:rsidR="00CF3B77" w:rsidRPr="002D0731" w:rsidRDefault="00CF3B77">
      <w:pPr>
        <w:jc w:val="both"/>
        <w:rPr>
          <w:sz w:val="22"/>
          <w:szCs w:val="22"/>
        </w:rPr>
      </w:pPr>
    </w:p>
    <w:p w14:paraId="5CAFE93E" w14:textId="77777777" w:rsidR="00CF3B77" w:rsidRPr="002D0731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Elimináció: Egészséges férfi önkénteseknél az 1</w:t>
      </w:r>
      <w:r w:rsidR="00E16A85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mg leuprorelin</w:t>
      </w:r>
      <w:r w:rsidR="00E16A85" w:rsidRPr="002D0731">
        <w:rPr>
          <w:sz w:val="22"/>
          <w:szCs w:val="22"/>
        </w:rPr>
        <w:noBreakHyphen/>
      </w:r>
      <w:r w:rsidRPr="002D0731">
        <w:rPr>
          <w:sz w:val="22"/>
          <w:szCs w:val="22"/>
        </w:rPr>
        <w:t>acetát b</w:t>
      </w:r>
      <w:r w:rsidR="003564E7">
        <w:rPr>
          <w:sz w:val="22"/>
          <w:szCs w:val="22"/>
        </w:rPr>
        <w:t>ó</w:t>
      </w:r>
      <w:r w:rsidRPr="002D0731">
        <w:rPr>
          <w:sz w:val="22"/>
          <w:szCs w:val="22"/>
        </w:rPr>
        <w:t>lus intravénás adagolása azt mutatta, hogy az átlagos szisztémás clear</w:t>
      </w:r>
      <w:r w:rsidR="007E316E">
        <w:rPr>
          <w:sz w:val="22"/>
          <w:szCs w:val="22"/>
        </w:rPr>
        <w:t>a</w:t>
      </w:r>
      <w:r w:rsidRPr="002D0731">
        <w:rPr>
          <w:sz w:val="22"/>
          <w:szCs w:val="22"/>
        </w:rPr>
        <w:t>nce 8,34 l/</w:t>
      </w:r>
      <w:r w:rsidR="003564E7">
        <w:rPr>
          <w:sz w:val="22"/>
          <w:szCs w:val="22"/>
        </w:rPr>
        <w:t>óra</w:t>
      </w:r>
      <w:r w:rsidRPr="002D0731">
        <w:rPr>
          <w:sz w:val="22"/>
          <w:szCs w:val="22"/>
        </w:rPr>
        <w:t xml:space="preserve"> volt, kb.</w:t>
      </w:r>
      <w:r w:rsidR="00E16A85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>3</w:t>
      </w:r>
      <w:r w:rsidR="00E16A85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 xml:space="preserve">órás terminális felezési idővel, </w:t>
      </w:r>
      <w:r w:rsidR="003564E7">
        <w:rPr>
          <w:sz w:val="22"/>
          <w:szCs w:val="22"/>
        </w:rPr>
        <w:t xml:space="preserve">a </w:t>
      </w:r>
      <w:r w:rsidRPr="002D0731">
        <w:rPr>
          <w:sz w:val="22"/>
          <w:szCs w:val="22"/>
        </w:rPr>
        <w:t>két kompartmentes modell alapján.</w:t>
      </w:r>
    </w:p>
    <w:p w14:paraId="6393C4A4" w14:textId="77777777" w:rsidR="00CF3B77" w:rsidRPr="002D0731" w:rsidRDefault="00CF3B77">
      <w:pPr>
        <w:jc w:val="both"/>
        <w:rPr>
          <w:sz w:val="22"/>
          <w:szCs w:val="22"/>
        </w:rPr>
      </w:pPr>
    </w:p>
    <w:p w14:paraId="36EBAE9B" w14:textId="77777777" w:rsidR="00CF3B77" w:rsidRPr="002D0731" w:rsidRDefault="00CF3B77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A</w:t>
      </w:r>
      <w:r w:rsidR="005516C1" w:rsidRPr="002D0731">
        <w:rPr>
          <w:sz w:val="22"/>
          <w:szCs w:val="22"/>
        </w:rPr>
        <w:t>z Eligard</w:t>
      </w:r>
      <w:r w:rsidR="005B31E7">
        <w:rPr>
          <w:sz w:val="22"/>
          <w:szCs w:val="22"/>
        </w:rPr>
        <w:t xml:space="preserve"> 45 mg</w:t>
      </w:r>
      <w:r w:rsidR="00285396" w:rsidRPr="002D0731">
        <w:rPr>
          <w:sz w:val="22"/>
          <w:szCs w:val="22"/>
        </w:rPr>
        <w:t xml:space="preserve"> </w:t>
      </w:r>
      <w:r w:rsidR="00B40F52" w:rsidRPr="002D0731">
        <w:rPr>
          <w:sz w:val="22"/>
          <w:szCs w:val="22"/>
        </w:rPr>
        <w:t>kiürülésével</w:t>
      </w:r>
      <w:r w:rsidR="00C95A24" w:rsidRPr="002D0731">
        <w:rPr>
          <w:sz w:val="22"/>
          <w:szCs w:val="22"/>
        </w:rPr>
        <w:t xml:space="preserve"> </w:t>
      </w:r>
      <w:r w:rsidR="00285396" w:rsidRPr="002D0731">
        <w:rPr>
          <w:sz w:val="22"/>
          <w:szCs w:val="22"/>
        </w:rPr>
        <w:t>kapcsolatban</w:t>
      </w:r>
      <w:r w:rsidR="005516C1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nem végeztek vizsgálatokat.</w:t>
      </w:r>
    </w:p>
    <w:p w14:paraId="0A9640C9" w14:textId="77777777" w:rsidR="005516C1" w:rsidRPr="002D0731" w:rsidRDefault="005516C1">
      <w:pPr>
        <w:jc w:val="both"/>
        <w:rPr>
          <w:sz w:val="22"/>
          <w:szCs w:val="22"/>
        </w:rPr>
      </w:pPr>
    </w:p>
    <w:p w14:paraId="414015A4" w14:textId="77777777" w:rsidR="005516C1" w:rsidRPr="002D0731" w:rsidRDefault="005516C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Az Eligard</w:t>
      </w:r>
      <w:r w:rsidR="005B31E7">
        <w:rPr>
          <w:sz w:val="22"/>
          <w:szCs w:val="22"/>
        </w:rPr>
        <w:t xml:space="preserve"> 45 mg</w:t>
      </w:r>
      <w:r w:rsidR="00752BEB" w:rsidRPr="002D0731">
        <w:rPr>
          <w:sz w:val="22"/>
          <w:szCs w:val="22"/>
        </w:rPr>
        <w:noBreakHyphen/>
      </w:r>
      <w:r w:rsidR="005B31E7">
        <w:rPr>
          <w:sz w:val="22"/>
          <w:szCs w:val="22"/>
        </w:rPr>
        <w:t>m</w:t>
      </w:r>
      <w:r w:rsidRPr="002D0731">
        <w:rPr>
          <w:sz w:val="22"/>
          <w:szCs w:val="22"/>
        </w:rPr>
        <w:t xml:space="preserve">al nem végeztek </w:t>
      </w:r>
      <w:r w:rsidR="00460B51" w:rsidRPr="002D0731">
        <w:rPr>
          <w:sz w:val="22"/>
          <w:szCs w:val="22"/>
        </w:rPr>
        <w:t>gyógyszer</w:t>
      </w:r>
      <w:r w:rsidR="005526DA">
        <w:rPr>
          <w:sz w:val="22"/>
          <w:szCs w:val="22"/>
        </w:rPr>
        <w:noBreakHyphen/>
      </w:r>
      <w:r w:rsidR="00C56CA5" w:rsidRPr="002D0731">
        <w:rPr>
          <w:sz w:val="22"/>
          <w:szCs w:val="22"/>
        </w:rPr>
        <w:t>metaboliz</w:t>
      </w:r>
      <w:r w:rsidR="00B40F52" w:rsidRPr="002D0731">
        <w:rPr>
          <w:sz w:val="22"/>
          <w:szCs w:val="22"/>
        </w:rPr>
        <w:t>mus</w:t>
      </w:r>
      <w:r w:rsidR="00C56CA5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vizsgálatot</w:t>
      </w:r>
      <w:r w:rsidR="00DB3ECE" w:rsidRPr="002D0731">
        <w:rPr>
          <w:sz w:val="22"/>
          <w:szCs w:val="22"/>
        </w:rPr>
        <w:t>.</w:t>
      </w:r>
    </w:p>
    <w:p w14:paraId="528B1E60" w14:textId="77777777" w:rsidR="002D0731" w:rsidRPr="002D0731" w:rsidRDefault="002D0731">
      <w:pPr>
        <w:jc w:val="both"/>
        <w:rPr>
          <w:sz w:val="22"/>
          <w:szCs w:val="22"/>
        </w:rPr>
      </w:pPr>
    </w:p>
    <w:p w14:paraId="3E1934FF" w14:textId="77777777" w:rsidR="00CF3B77" w:rsidRPr="002D0731" w:rsidRDefault="00CF3B77" w:rsidP="00727895">
      <w:pPr>
        <w:keepNext/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5.3</w:t>
      </w:r>
      <w:r w:rsidRPr="002D0731">
        <w:rPr>
          <w:b/>
          <w:sz w:val="22"/>
          <w:szCs w:val="22"/>
        </w:rPr>
        <w:tab/>
        <w:t>A preklinikai biztonság</w:t>
      </w:r>
      <w:r w:rsidR="00732EFA" w:rsidRPr="002D0731">
        <w:rPr>
          <w:b/>
          <w:sz w:val="22"/>
          <w:szCs w:val="22"/>
        </w:rPr>
        <w:t>osság</w:t>
      </w:r>
      <w:r w:rsidRPr="002D0731">
        <w:rPr>
          <w:b/>
          <w:sz w:val="22"/>
          <w:szCs w:val="22"/>
        </w:rPr>
        <w:t>i vizsgálatok eredményei</w:t>
      </w:r>
    </w:p>
    <w:p w14:paraId="6812F898" w14:textId="77777777" w:rsidR="00CF3B77" w:rsidRPr="002D0731" w:rsidRDefault="00CF3B77" w:rsidP="00727895">
      <w:pPr>
        <w:keepNext/>
        <w:rPr>
          <w:sz w:val="22"/>
          <w:szCs w:val="22"/>
        </w:rPr>
      </w:pPr>
    </w:p>
    <w:p w14:paraId="3AD7D6E1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 leuprorelin</w:t>
      </w:r>
      <w:r w:rsidR="00E16A85" w:rsidRPr="002D0731"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 xml:space="preserve">acetáttal végzett preklinikai vizsgálatok </w:t>
      </w:r>
      <w:r w:rsidR="003564E7">
        <w:rPr>
          <w:szCs w:val="22"/>
          <w:lang w:val="hu-HU"/>
        </w:rPr>
        <w:noBreakHyphen/>
      </w:r>
      <w:r w:rsidR="00042DC3" w:rsidRPr="002D0731">
        <w:rPr>
          <w:szCs w:val="22"/>
          <w:lang w:val="hu-HU"/>
        </w:rPr>
        <w:t xml:space="preserve"> </w:t>
      </w:r>
      <w:r w:rsidR="00DB3ECE" w:rsidRPr="002D0731">
        <w:rPr>
          <w:szCs w:val="22"/>
          <w:lang w:val="hu-HU"/>
        </w:rPr>
        <w:t xml:space="preserve">mindkét nemre vonatkozóan </w:t>
      </w:r>
      <w:r w:rsidR="003564E7">
        <w:rPr>
          <w:szCs w:val="22"/>
          <w:lang w:val="hu-HU"/>
        </w:rPr>
        <w:noBreakHyphen/>
      </w:r>
      <w:r w:rsidR="00042DC3" w:rsidRPr="002D0731">
        <w:rPr>
          <w:szCs w:val="22"/>
          <w:lang w:val="hu-HU"/>
        </w:rPr>
        <w:t xml:space="preserve"> kimutattak </w:t>
      </w:r>
      <w:r w:rsidRPr="002D0731">
        <w:rPr>
          <w:szCs w:val="22"/>
          <w:lang w:val="hu-HU"/>
        </w:rPr>
        <w:t>reprodukciós rendszerre gyakorolt hatás</w:t>
      </w:r>
      <w:r w:rsidR="00B5171E" w:rsidRPr="002D0731">
        <w:rPr>
          <w:szCs w:val="22"/>
          <w:lang w:val="hu-HU"/>
        </w:rPr>
        <w:t>okat</w:t>
      </w:r>
      <w:r w:rsidR="00DB3ECE" w:rsidRPr="002D0731">
        <w:rPr>
          <w:szCs w:val="22"/>
          <w:lang w:val="hu-HU"/>
        </w:rPr>
        <w:t xml:space="preserve">, </w:t>
      </w:r>
      <w:r w:rsidR="00B40F52" w:rsidRPr="002D0731">
        <w:rPr>
          <w:szCs w:val="22"/>
          <w:lang w:val="hu-HU"/>
        </w:rPr>
        <w:t>a</w:t>
      </w:r>
      <w:r w:rsidR="00DB3ECE" w:rsidRPr="002D0731">
        <w:rPr>
          <w:szCs w:val="22"/>
          <w:lang w:val="hu-HU"/>
        </w:rPr>
        <w:t>melyek</w:t>
      </w:r>
      <w:r w:rsidRPr="002D0731">
        <w:rPr>
          <w:szCs w:val="22"/>
          <w:lang w:val="hu-HU"/>
        </w:rPr>
        <w:t xml:space="preserve"> megfeleltek a hatóanyag ismert, előre várt farmakológiai tulajdonságainak. </w:t>
      </w:r>
      <w:r w:rsidR="00DB3ECE" w:rsidRPr="002D0731">
        <w:rPr>
          <w:szCs w:val="22"/>
          <w:lang w:val="hu-HU"/>
        </w:rPr>
        <w:t xml:space="preserve">Ezek a hatások a kezelés befejezését követően, megfelelő regenerációs időszak után </w:t>
      </w:r>
      <w:r w:rsidR="00E16A85" w:rsidRPr="002D0731">
        <w:rPr>
          <w:szCs w:val="22"/>
          <w:lang w:val="hu-HU"/>
        </w:rPr>
        <w:t xml:space="preserve">reverzíbilisnek </w:t>
      </w:r>
      <w:r w:rsidR="00DB3ECE" w:rsidRPr="002D0731">
        <w:rPr>
          <w:szCs w:val="22"/>
          <w:lang w:val="hu-HU"/>
        </w:rPr>
        <w:t xml:space="preserve">mutatkoztak. </w:t>
      </w:r>
      <w:r w:rsidR="00E16A85" w:rsidRPr="002D0731">
        <w:rPr>
          <w:szCs w:val="22"/>
          <w:lang w:val="hu-HU"/>
        </w:rPr>
        <w:t>A leuprorelin</w:t>
      </w:r>
      <w:r w:rsidR="00E16A85" w:rsidRPr="002D0731">
        <w:rPr>
          <w:szCs w:val="22"/>
          <w:lang w:val="hu-HU"/>
        </w:rPr>
        <w:noBreakHyphen/>
        <w:t>acetát nem mutatott teratogenitást.</w:t>
      </w:r>
      <w:r w:rsidR="003B7C18" w:rsidRPr="002D0731">
        <w:rPr>
          <w:szCs w:val="22"/>
          <w:lang w:val="hu-HU"/>
        </w:rPr>
        <w:t xml:space="preserve"> </w:t>
      </w:r>
      <w:r w:rsidR="00E16A85" w:rsidRPr="002D0731">
        <w:rPr>
          <w:szCs w:val="22"/>
          <w:lang w:val="hu-HU"/>
        </w:rPr>
        <w:t xml:space="preserve">Nyulakon </w:t>
      </w:r>
      <w:r w:rsidR="00DB3ECE" w:rsidRPr="002D0731">
        <w:rPr>
          <w:szCs w:val="22"/>
          <w:lang w:val="hu-HU"/>
        </w:rPr>
        <w:t>embriotoxicitást/</w:t>
      </w:r>
      <w:r w:rsidR="003564E7">
        <w:rPr>
          <w:szCs w:val="22"/>
          <w:lang w:val="hu-HU"/>
        </w:rPr>
        <w:noBreakHyphen/>
      </w:r>
      <w:r w:rsidR="00DB3ECE" w:rsidRPr="002D0731">
        <w:rPr>
          <w:szCs w:val="22"/>
          <w:lang w:val="hu-HU"/>
        </w:rPr>
        <w:t xml:space="preserve">letalitást </w:t>
      </w:r>
      <w:r w:rsidR="00E16A85" w:rsidRPr="002D0731">
        <w:rPr>
          <w:szCs w:val="22"/>
          <w:lang w:val="hu-HU"/>
        </w:rPr>
        <w:t>figyeltek meg a leuprorelin</w:t>
      </w:r>
      <w:r w:rsidR="00E16A85" w:rsidRPr="002D0731">
        <w:rPr>
          <w:szCs w:val="22"/>
          <w:lang w:val="hu-HU"/>
        </w:rPr>
        <w:noBreakHyphen/>
        <w:t xml:space="preserve">acetát reproduktív rendszerre gyakorolt farmakológiai </w:t>
      </w:r>
      <w:r w:rsidR="000365EB" w:rsidRPr="002D0731">
        <w:rPr>
          <w:szCs w:val="22"/>
          <w:lang w:val="hu-HU"/>
        </w:rPr>
        <w:t>hatásai miatt</w:t>
      </w:r>
      <w:r w:rsidR="005B14F0" w:rsidRPr="002D0731">
        <w:rPr>
          <w:szCs w:val="22"/>
          <w:lang w:val="hu-HU"/>
        </w:rPr>
        <w:t xml:space="preserve">. </w:t>
      </w:r>
    </w:p>
    <w:p w14:paraId="055B52A7" w14:textId="77777777" w:rsidR="00CF3B77" w:rsidRPr="002D0731" w:rsidRDefault="00CF3B77">
      <w:pPr>
        <w:jc w:val="both"/>
        <w:rPr>
          <w:i/>
          <w:color w:val="000000"/>
          <w:sz w:val="22"/>
          <w:szCs w:val="22"/>
          <w:shd w:val="clear" w:color="auto" w:fill="FFFF00"/>
        </w:rPr>
      </w:pPr>
    </w:p>
    <w:p w14:paraId="1B7E8D23" w14:textId="77777777" w:rsidR="00CF3B77" w:rsidRPr="002D0731" w:rsidRDefault="00E16A85">
      <w:pPr>
        <w:pStyle w:val="Cmsor3"/>
        <w:rPr>
          <w:sz w:val="22"/>
          <w:szCs w:val="22"/>
          <w:u w:val="none"/>
          <w:lang w:val="hu-HU"/>
        </w:rPr>
      </w:pPr>
      <w:r w:rsidRPr="002D0731">
        <w:rPr>
          <w:sz w:val="22"/>
          <w:szCs w:val="22"/>
          <w:u w:val="none"/>
          <w:lang w:val="hu-HU"/>
        </w:rPr>
        <w:t xml:space="preserve">Patkányokban </w:t>
      </w:r>
      <w:r w:rsidR="00CF3B77" w:rsidRPr="002D0731">
        <w:rPr>
          <w:sz w:val="22"/>
          <w:szCs w:val="22"/>
          <w:u w:val="none"/>
          <w:lang w:val="hu-HU"/>
        </w:rPr>
        <w:t>és egerekben végeztek</w:t>
      </w:r>
      <w:r w:rsidR="005B14F0" w:rsidRPr="002D0731">
        <w:rPr>
          <w:sz w:val="22"/>
          <w:szCs w:val="22"/>
          <w:u w:val="none"/>
          <w:lang w:val="hu-HU"/>
        </w:rPr>
        <w:t xml:space="preserve"> </w:t>
      </w:r>
      <w:r w:rsidRPr="002D0731">
        <w:rPr>
          <w:sz w:val="22"/>
          <w:szCs w:val="22"/>
          <w:u w:val="none"/>
          <w:lang w:val="hu-HU"/>
        </w:rPr>
        <w:t xml:space="preserve">karcinogenitási vizsgálatokat </w:t>
      </w:r>
      <w:r w:rsidR="005B14F0" w:rsidRPr="002D0731">
        <w:rPr>
          <w:sz w:val="22"/>
          <w:szCs w:val="22"/>
          <w:u w:val="none"/>
          <w:lang w:val="hu-HU"/>
        </w:rPr>
        <w:t>24</w:t>
      </w:r>
      <w:r w:rsidRPr="002D0731">
        <w:rPr>
          <w:sz w:val="22"/>
          <w:szCs w:val="22"/>
          <w:u w:val="none"/>
          <w:lang w:val="hu-HU"/>
        </w:rPr>
        <w:t> </w:t>
      </w:r>
      <w:r w:rsidR="005B14F0" w:rsidRPr="002D0731">
        <w:rPr>
          <w:sz w:val="22"/>
          <w:szCs w:val="22"/>
          <w:u w:val="none"/>
          <w:lang w:val="hu-HU"/>
        </w:rPr>
        <w:t>hónapon keresztül</w:t>
      </w:r>
      <w:r w:rsidR="00CF3B77" w:rsidRPr="002D0731">
        <w:rPr>
          <w:sz w:val="22"/>
          <w:szCs w:val="22"/>
          <w:u w:val="none"/>
          <w:lang w:val="hu-HU"/>
        </w:rPr>
        <w:t>.</w:t>
      </w:r>
      <w:r w:rsidR="00477A7B" w:rsidRPr="002D0731">
        <w:rPr>
          <w:sz w:val="22"/>
          <w:szCs w:val="22"/>
          <w:u w:val="none"/>
          <w:lang w:val="hu-HU"/>
        </w:rPr>
        <w:t xml:space="preserve"> </w:t>
      </w:r>
      <w:r w:rsidR="00CF3B77" w:rsidRPr="002D0731">
        <w:rPr>
          <w:sz w:val="22"/>
          <w:szCs w:val="22"/>
          <w:u w:val="none"/>
          <w:lang w:val="hu-HU"/>
        </w:rPr>
        <w:t xml:space="preserve">Patkányoknál </w:t>
      </w:r>
      <w:r w:rsidRPr="002D0731">
        <w:rPr>
          <w:sz w:val="22"/>
          <w:szCs w:val="22"/>
          <w:u w:val="none"/>
          <w:lang w:val="hu-HU"/>
        </w:rPr>
        <w:t xml:space="preserve">a </w:t>
      </w:r>
      <w:r w:rsidR="00CF3B77" w:rsidRPr="002D0731">
        <w:rPr>
          <w:sz w:val="22"/>
          <w:szCs w:val="22"/>
          <w:u w:val="none"/>
          <w:lang w:val="hu-HU"/>
        </w:rPr>
        <w:t>hipofízis</w:t>
      </w:r>
      <w:r w:rsidR="003564E7">
        <w:rPr>
          <w:sz w:val="22"/>
          <w:szCs w:val="22"/>
          <w:u w:val="none"/>
          <w:lang w:val="hu-HU"/>
        </w:rPr>
        <w:noBreakHyphen/>
      </w:r>
      <w:r w:rsidR="00CF3B77" w:rsidRPr="002D0731">
        <w:rPr>
          <w:sz w:val="22"/>
          <w:szCs w:val="22"/>
          <w:u w:val="none"/>
          <w:lang w:val="hu-HU"/>
        </w:rPr>
        <w:t>aden</w:t>
      </w:r>
      <w:r w:rsidR="003564E7">
        <w:rPr>
          <w:sz w:val="22"/>
          <w:szCs w:val="22"/>
          <w:u w:val="none"/>
          <w:lang w:val="hu-HU"/>
        </w:rPr>
        <w:t>ó</w:t>
      </w:r>
      <w:r w:rsidR="00CF3B77" w:rsidRPr="002D0731">
        <w:rPr>
          <w:sz w:val="22"/>
          <w:szCs w:val="22"/>
          <w:u w:val="none"/>
          <w:lang w:val="hu-HU"/>
        </w:rPr>
        <w:t xml:space="preserve">ma előfordulásának dózisfüggő növekedését figyelték meg </w:t>
      </w:r>
      <w:r w:rsidR="005B14F0" w:rsidRPr="002D0731">
        <w:rPr>
          <w:sz w:val="22"/>
          <w:szCs w:val="22"/>
          <w:u w:val="none"/>
          <w:lang w:val="hu-HU"/>
        </w:rPr>
        <w:t>0,6</w:t>
      </w:r>
      <w:r w:rsidR="005B14F0" w:rsidRPr="002D0731">
        <w:rPr>
          <w:sz w:val="22"/>
          <w:szCs w:val="22"/>
          <w:u w:val="none"/>
          <w:lang w:val="hu-HU"/>
        </w:rPr>
        <w:noBreakHyphen/>
        <w:t>4 mg/ttkg/nap adagnál</w:t>
      </w:r>
      <w:r w:rsidR="00477A7B" w:rsidRPr="002D0731">
        <w:rPr>
          <w:sz w:val="22"/>
          <w:szCs w:val="22"/>
          <w:u w:val="none"/>
          <w:lang w:val="hu-HU"/>
        </w:rPr>
        <w:t>,</w:t>
      </w:r>
      <w:r w:rsidR="005B14F0" w:rsidRPr="002D0731">
        <w:rPr>
          <w:sz w:val="22"/>
          <w:szCs w:val="22"/>
          <w:u w:val="none"/>
          <w:lang w:val="hu-HU"/>
        </w:rPr>
        <w:t xml:space="preserve"> szubkután adagolást követően</w:t>
      </w:r>
      <w:r w:rsidR="00CF3B77" w:rsidRPr="002D0731">
        <w:rPr>
          <w:sz w:val="22"/>
          <w:szCs w:val="22"/>
          <w:u w:val="none"/>
          <w:lang w:val="hu-HU"/>
        </w:rPr>
        <w:t xml:space="preserve">. </w:t>
      </w:r>
      <w:r w:rsidRPr="002D0731">
        <w:rPr>
          <w:sz w:val="22"/>
          <w:szCs w:val="22"/>
          <w:u w:val="none"/>
          <w:lang w:val="hu-HU"/>
        </w:rPr>
        <w:t>E</w:t>
      </w:r>
      <w:r w:rsidR="005B14F0" w:rsidRPr="002D0731">
        <w:rPr>
          <w:sz w:val="22"/>
          <w:szCs w:val="22"/>
          <w:u w:val="none"/>
          <w:lang w:val="hu-HU"/>
        </w:rPr>
        <w:t xml:space="preserve">gereknél nem </w:t>
      </w:r>
      <w:r w:rsidRPr="002D0731">
        <w:rPr>
          <w:sz w:val="22"/>
          <w:szCs w:val="22"/>
          <w:u w:val="none"/>
          <w:lang w:val="hu-HU"/>
        </w:rPr>
        <w:t>figyeltek meg ilyen hatást</w:t>
      </w:r>
      <w:r w:rsidR="00B05753" w:rsidRPr="002D0731">
        <w:rPr>
          <w:sz w:val="22"/>
          <w:szCs w:val="22"/>
          <w:u w:val="none"/>
          <w:lang w:val="hu-HU"/>
        </w:rPr>
        <w:t>.</w:t>
      </w:r>
    </w:p>
    <w:p w14:paraId="60F94198" w14:textId="77777777" w:rsidR="00CF3B77" w:rsidRPr="002D0731" w:rsidRDefault="00CF3B77">
      <w:pPr>
        <w:rPr>
          <w:sz w:val="22"/>
          <w:szCs w:val="22"/>
          <w:shd w:val="clear" w:color="auto" w:fill="FFFF00"/>
        </w:rPr>
      </w:pPr>
    </w:p>
    <w:p w14:paraId="555641CE" w14:textId="77777777" w:rsidR="00CF3B77" w:rsidRPr="002D0731" w:rsidRDefault="00CF3B77">
      <w:pPr>
        <w:rPr>
          <w:sz w:val="22"/>
          <w:szCs w:val="22"/>
        </w:rPr>
      </w:pPr>
      <w:r w:rsidRPr="002C7E6F">
        <w:rPr>
          <w:sz w:val="22"/>
          <w:szCs w:val="22"/>
        </w:rPr>
        <w:t>A leuprorelin</w:t>
      </w:r>
      <w:r w:rsidR="00674C71" w:rsidRPr="002C7E6F">
        <w:rPr>
          <w:sz w:val="22"/>
          <w:szCs w:val="22"/>
        </w:rPr>
        <w:noBreakHyphen/>
      </w:r>
      <w:r w:rsidRPr="002C7E6F">
        <w:rPr>
          <w:sz w:val="22"/>
          <w:szCs w:val="22"/>
        </w:rPr>
        <w:t>acetáttal és az</w:t>
      </w:r>
      <w:r w:rsidR="00674C71" w:rsidRPr="002C7E6F">
        <w:rPr>
          <w:sz w:val="22"/>
          <w:szCs w:val="22"/>
        </w:rPr>
        <w:t xml:space="preserve"> annak megfelelő egyhónapos adagolású</w:t>
      </w:r>
      <w:r w:rsidRPr="002C7E6F">
        <w:rPr>
          <w:sz w:val="22"/>
          <w:szCs w:val="22"/>
        </w:rPr>
        <w:t xml:space="preserve"> </w:t>
      </w:r>
      <w:r w:rsidR="00674C71" w:rsidRPr="002C7E6F">
        <w:rPr>
          <w:sz w:val="22"/>
          <w:szCs w:val="22"/>
        </w:rPr>
        <w:t>E</w:t>
      </w:r>
      <w:r w:rsidR="006E6424" w:rsidRPr="002C7E6F">
        <w:rPr>
          <w:sz w:val="22"/>
          <w:szCs w:val="22"/>
        </w:rPr>
        <w:t>ligard</w:t>
      </w:r>
      <w:r w:rsidR="00674C71" w:rsidRPr="002C7E6F">
        <w:rPr>
          <w:sz w:val="22"/>
          <w:szCs w:val="22"/>
        </w:rPr>
        <w:t xml:space="preserve"> </w:t>
      </w:r>
      <w:r w:rsidRPr="002C7E6F">
        <w:rPr>
          <w:sz w:val="22"/>
          <w:szCs w:val="22"/>
        </w:rPr>
        <w:t>7,5 mg</w:t>
      </w:r>
      <w:r w:rsidR="00674C71" w:rsidRPr="002C7E6F">
        <w:rPr>
          <w:sz w:val="22"/>
          <w:szCs w:val="22"/>
        </w:rPr>
        <w:noBreakHyphen/>
      </w:r>
      <w:r w:rsidRPr="002C7E6F">
        <w:rPr>
          <w:sz w:val="22"/>
          <w:szCs w:val="22"/>
        </w:rPr>
        <w:t xml:space="preserve">mal végzett </w:t>
      </w:r>
      <w:r w:rsidRPr="002C7E6F">
        <w:rPr>
          <w:i/>
          <w:iCs/>
          <w:sz w:val="22"/>
          <w:szCs w:val="22"/>
        </w:rPr>
        <w:t>in</w:t>
      </w:r>
      <w:r w:rsidR="00674C71" w:rsidRPr="002C7E6F">
        <w:rPr>
          <w:i/>
          <w:iCs/>
          <w:sz w:val="22"/>
          <w:szCs w:val="22"/>
        </w:rPr>
        <w:t> </w:t>
      </w:r>
      <w:r w:rsidRPr="002C7E6F">
        <w:rPr>
          <w:i/>
          <w:iCs/>
          <w:sz w:val="22"/>
          <w:szCs w:val="22"/>
        </w:rPr>
        <w:t>vitro</w:t>
      </w:r>
      <w:r w:rsidRPr="002C7E6F">
        <w:rPr>
          <w:sz w:val="22"/>
          <w:szCs w:val="22"/>
        </w:rPr>
        <w:t xml:space="preserve"> és </w:t>
      </w:r>
      <w:r w:rsidRPr="002C7E6F">
        <w:rPr>
          <w:i/>
          <w:iCs/>
          <w:sz w:val="22"/>
          <w:szCs w:val="22"/>
        </w:rPr>
        <w:t>in</w:t>
      </w:r>
      <w:r w:rsidR="00674C71" w:rsidRPr="002C7E6F">
        <w:rPr>
          <w:i/>
          <w:iCs/>
          <w:sz w:val="22"/>
          <w:szCs w:val="22"/>
        </w:rPr>
        <w:t> </w:t>
      </w:r>
      <w:r w:rsidRPr="002C7E6F">
        <w:rPr>
          <w:i/>
          <w:iCs/>
          <w:sz w:val="22"/>
          <w:szCs w:val="22"/>
        </w:rPr>
        <w:t>vivo</w:t>
      </w:r>
      <w:r w:rsidRPr="002C7E6F">
        <w:rPr>
          <w:sz w:val="22"/>
          <w:szCs w:val="22"/>
        </w:rPr>
        <w:t xml:space="preserve"> vizsgálatok egyike sem utalt mutag</w:t>
      </w:r>
      <w:r w:rsidR="003564E7" w:rsidRPr="002C7E6F">
        <w:rPr>
          <w:sz w:val="22"/>
          <w:szCs w:val="22"/>
        </w:rPr>
        <w:t>e</w:t>
      </w:r>
      <w:r w:rsidRPr="002C7E6F">
        <w:rPr>
          <w:sz w:val="22"/>
          <w:szCs w:val="22"/>
        </w:rPr>
        <w:t>n</w:t>
      </w:r>
      <w:r w:rsidR="00674C71" w:rsidRPr="002C7E6F">
        <w:rPr>
          <w:sz w:val="22"/>
          <w:szCs w:val="22"/>
        </w:rPr>
        <w:t>itásra</w:t>
      </w:r>
      <w:r w:rsidRPr="002C7E6F">
        <w:rPr>
          <w:sz w:val="22"/>
          <w:szCs w:val="22"/>
        </w:rPr>
        <w:t>.</w:t>
      </w:r>
    </w:p>
    <w:p w14:paraId="692750A7" w14:textId="77777777" w:rsidR="00B13105" w:rsidRPr="00B60F2A" w:rsidRDefault="00B13105">
      <w:pPr>
        <w:pStyle w:val="WW-Szvegtrzs212"/>
        <w:suppressAutoHyphens w:val="0"/>
        <w:spacing w:line="240" w:lineRule="auto"/>
        <w:rPr>
          <w:b w:val="0"/>
          <w:szCs w:val="22"/>
          <w:lang w:val="hu-HU"/>
        </w:rPr>
      </w:pPr>
    </w:p>
    <w:p w14:paraId="244E0830" w14:textId="77777777" w:rsidR="00B13105" w:rsidRPr="00B60F2A" w:rsidRDefault="00B13105">
      <w:pPr>
        <w:pStyle w:val="WW-Szvegtrzs212"/>
        <w:suppressAutoHyphens w:val="0"/>
        <w:spacing w:line="240" w:lineRule="auto"/>
        <w:rPr>
          <w:b w:val="0"/>
          <w:szCs w:val="22"/>
          <w:lang w:val="hu-HU"/>
        </w:rPr>
      </w:pPr>
    </w:p>
    <w:p w14:paraId="609CD408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</w:t>
      </w:r>
      <w:r w:rsidRPr="002D0731">
        <w:rPr>
          <w:b/>
          <w:sz w:val="22"/>
          <w:szCs w:val="22"/>
        </w:rPr>
        <w:tab/>
        <w:t>GYÓGYSZERÉSZETI JELLEMZŐK</w:t>
      </w:r>
    </w:p>
    <w:p w14:paraId="7B7F1264" w14:textId="77777777" w:rsidR="00CF3B77" w:rsidRPr="002D0731" w:rsidRDefault="00CF3B77">
      <w:pPr>
        <w:rPr>
          <w:sz w:val="22"/>
          <w:szCs w:val="22"/>
        </w:rPr>
      </w:pPr>
    </w:p>
    <w:p w14:paraId="54F17E36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6.1</w:t>
      </w:r>
      <w:r w:rsidRPr="002D0731">
        <w:rPr>
          <w:b/>
          <w:sz w:val="22"/>
          <w:szCs w:val="22"/>
        </w:rPr>
        <w:tab/>
        <w:t>Segédanyagok felsorolása</w:t>
      </w:r>
    </w:p>
    <w:p w14:paraId="4F83CF6F" w14:textId="77777777" w:rsidR="00CF3B77" w:rsidRPr="002D0731" w:rsidRDefault="00CF3B77">
      <w:pPr>
        <w:rPr>
          <w:sz w:val="22"/>
          <w:szCs w:val="22"/>
        </w:rPr>
      </w:pPr>
    </w:p>
    <w:p w14:paraId="0EB9ABCB" w14:textId="77777777" w:rsidR="00732EFA" w:rsidRPr="002D0731" w:rsidRDefault="00732EFA">
      <w:pPr>
        <w:tabs>
          <w:tab w:val="left" w:pos="1440"/>
        </w:tabs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Oldószer („A” fecskendő):</w:t>
      </w:r>
    </w:p>
    <w:p w14:paraId="040055C1" w14:textId="77777777" w:rsidR="00674C71" w:rsidRPr="002D0731" w:rsidRDefault="006F7BB1">
      <w:pPr>
        <w:tabs>
          <w:tab w:val="left" w:pos="1440"/>
        </w:tabs>
        <w:rPr>
          <w:sz w:val="22"/>
          <w:szCs w:val="22"/>
        </w:rPr>
      </w:pPr>
      <w:r w:rsidRPr="002D0731">
        <w:rPr>
          <w:sz w:val="22"/>
          <w:szCs w:val="22"/>
        </w:rPr>
        <w:t>Poli(DL</w:t>
      </w:r>
      <w:r w:rsidRPr="002D0731">
        <w:rPr>
          <w:sz w:val="22"/>
          <w:szCs w:val="22"/>
        </w:rPr>
        <w:noBreakHyphen/>
        <w:t>laktát</w:t>
      </w:r>
      <w:r w:rsidRPr="002D0731">
        <w:rPr>
          <w:sz w:val="22"/>
          <w:szCs w:val="22"/>
        </w:rPr>
        <w:noBreakHyphen/>
        <w:t>ko</w:t>
      </w:r>
      <w:r w:rsidRPr="002D0731">
        <w:rPr>
          <w:sz w:val="22"/>
          <w:szCs w:val="22"/>
        </w:rPr>
        <w:noBreakHyphen/>
        <w:t>glikolsav) (</w:t>
      </w:r>
      <w:r w:rsidR="005441F1" w:rsidRPr="002D0731">
        <w:rPr>
          <w:sz w:val="22"/>
          <w:szCs w:val="22"/>
        </w:rPr>
        <w:t>85</w:t>
      </w:r>
      <w:r w:rsidRPr="002D0731">
        <w:rPr>
          <w:sz w:val="22"/>
          <w:szCs w:val="22"/>
        </w:rPr>
        <w:t>:</w:t>
      </w:r>
      <w:r w:rsidR="005441F1" w:rsidRPr="002D0731">
        <w:rPr>
          <w:sz w:val="22"/>
          <w:szCs w:val="22"/>
        </w:rPr>
        <w:t>1</w:t>
      </w:r>
      <w:r w:rsidRPr="002D0731">
        <w:rPr>
          <w:sz w:val="22"/>
          <w:szCs w:val="22"/>
        </w:rPr>
        <w:t>5)</w:t>
      </w:r>
      <w:r w:rsidR="00732EFA" w:rsidRPr="002D0731">
        <w:rPr>
          <w:sz w:val="22"/>
          <w:szCs w:val="22"/>
        </w:rPr>
        <w:t>,</w:t>
      </w:r>
    </w:p>
    <w:p w14:paraId="1BE679C6" w14:textId="77777777" w:rsidR="00732EFA" w:rsidRPr="002D0731" w:rsidRDefault="00732EFA">
      <w:pPr>
        <w:tabs>
          <w:tab w:val="left" w:pos="1440"/>
        </w:tabs>
        <w:rPr>
          <w:sz w:val="22"/>
          <w:szCs w:val="22"/>
        </w:rPr>
      </w:pPr>
      <w:r w:rsidRPr="002D0731">
        <w:rPr>
          <w:sz w:val="22"/>
          <w:szCs w:val="22"/>
        </w:rPr>
        <w:t>N-metil-pirrolidon.</w:t>
      </w:r>
    </w:p>
    <w:p w14:paraId="73DA5E4B" w14:textId="77777777" w:rsidR="00732EFA" w:rsidRPr="002D0731" w:rsidRDefault="00732EFA">
      <w:pPr>
        <w:rPr>
          <w:sz w:val="22"/>
          <w:szCs w:val="22"/>
        </w:rPr>
      </w:pPr>
    </w:p>
    <w:p w14:paraId="1B605A62" w14:textId="77777777" w:rsidR="00CF3B77" w:rsidRPr="002D0731" w:rsidRDefault="0038220B">
      <w:pPr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 xml:space="preserve">Por </w:t>
      </w:r>
      <w:r w:rsidR="00732EFA" w:rsidRPr="002D0731">
        <w:rPr>
          <w:sz w:val="22"/>
          <w:szCs w:val="22"/>
          <w:u w:val="single"/>
        </w:rPr>
        <w:t>(„B” fecskendő)</w:t>
      </w:r>
      <w:r w:rsidR="00CF3B77" w:rsidRPr="002D0731">
        <w:rPr>
          <w:sz w:val="22"/>
          <w:szCs w:val="22"/>
          <w:u w:val="single"/>
        </w:rPr>
        <w:t>:</w:t>
      </w:r>
    </w:p>
    <w:p w14:paraId="5A78343F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Nem tartalmaz segédanyago</w:t>
      </w:r>
      <w:r w:rsidR="0038220B" w:rsidRPr="002D0731">
        <w:rPr>
          <w:szCs w:val="22"/>
          <w:lang w:val="hu-HU"/>
        </w:rPr>
        <w:t>t</w:t>
      </w:r>
      <w:r w:rsidRPr="002D0731">
        <w:rPr>
          <w:szCs w:val="22"/>
          <w:lang w:val="hu-HU"/>
        </w:rPr>
        <w:t>.</w:t>
      </w:r>
    </w:p>
    <w:p w14:paraId="50793C23" w14:textId="77777777" w:rsidR="00724D78" w:rsidRPr="002D0731" w:rsidRDefault="00724D78">
      <w:pPr>
        <w:pStyle w:val="Szvegtrzs"/>
        <w:suppressAutoHyphens w:val="0"/>
        <w:rPr>
          <w:szCs w:val="22"/>
          <w:lang w:val="hu-HU"/>
        </w:rPr>
      </w:pPr>
    </w:p>
    <w:p w14:paraId="5604F018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6.2</w:t>
      </w:r>
      <w:r w:rsidRPr="002D0731">
        <w:rPr>
          <w:b/>
          <w:sz w:val="22"/>
          <w:szCs w:val="22"/>
        </w:rPr>
        <w:tab/>
        <w:t>Inkompatibilitások</w:t>
      </w:r>
    </w:p>
    <w:p w14:paraId="167B9958" w14:textId="77777777" w:rsidR="00CF3B77" w:rsidRPr="002D0731" w:rsidRDefault="00CF3B77">
      <w:pPr>
        <w:rPr>
          <w:sz w:val="22"/>
          <w:szCs w:val="22"/>
        </w:rPr>
      </w:pPr>
    </w:p>
    <w:p w14:paraId="1EB68988" w14:textId="77777777" w:rsidR="00CF3B77" w:rsidRPr="002D0731" w:rsidRDefault="00CF3B77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 „B” fecskendőben található leuprorelint </w:t>
      </w:r>
      <w:r w:rsidR="002416D7" w:rsidRPr="002D0731">
        <w:rPr>
          <w:szCs w:val="22"/>
          <w:lang w:val="hu-HU"/>
        </w:rPr>
        <w:t>kizárólag</w:t>
      </w:r>
      <w:r w:rsidRPr="002D0731">
        <w:rPr>
          <w:szCs w:val="22"/>
          <w:lang w:val="hu-HU"/>
        </w:rPr>
        <w:t xml:space="preserve"> </w:t>
      </w:r>
      <w:r w:rsidR="00B05753" w:rsidRPr="002D0731">
        <w:rPr>
          <w:szCs w:val="22"/>
          <w:lang w:val="hu-HU"/>
        </w:rPr>
        <w:t xml:space="preserve">az „A” fecskendőben lévő oldószerrel szabad összekeverni és tilos </w:t>
      </w:r>
      <w:r w:rsidR="00BD6CB2" w:rsidRPr="002D0731">
        <w:rPr>
          <w:szCs w:val="22"/>
          <w:lang w:val="hu-HU"/>
        </w:rPr>
        <w:t>egyéb</w:t>
      </w:r>
      <w:r w:rsidR="00B05753" w:rsidRPr="002D0731">
        <w:rPr>
          <w:szCs w:val="22"/>
          <w:lang w:val="hu-HU"/>
        </w:rPr>
        <w:t xml:space="preserve"> gyógyszerrel </w:t>
      </w:r>
      <w:r w:rsidRPr="002D0731">
        <w:rPr>
          <w:szCs w:val="22"/>
          <w:lang w:val="hu-HU"/>
        </w:rPr>
        <w:t>e</w:t>
      </w:r>
      <w:r w:rsidR="00B05753" w:rsidRPr="002D0731">
        <w:rPr>
          <w:szCs w:val="22"/>
          <w:lang w:val="hu-HU"/>
        </w:rPr>
        <w:t>le</w:t>
      </w:r>
      <w:r w:rsidRPr="002D0731">
        <w:rPr>
          <w:szCs w:val="22"/>
          <w:lang w:val="hu-HU"/>
        </w:rPr>
        <w:t>gyíteni.</w:t>
      </w:r>
    </w:p>
    <w:p w14:paraId="5BC6E199" w14:textId="77777777" w:rsidR="00CF3B77" w:rsidRPr="002D0731" w:rsidRDefault="00CF3B77">
      <w:pPr>
        <w:rPr>
          <w:sz w:val="22"/>
          <w:szCs w:val="22"/>
        </w:rPr>
      </w:pPr>
    </w:p>
    <w:p w14:paraId="77C99773" w14:textId="77777777" w:rsidR="00CF3B77" w:rsidRPr="002D0731" w:rsidRDefault="00CF3B77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6.3</w:t>
      </w:r>
      <w:r w:rsidRPr="002D0731">
        <w:rPr>
          <w:b/>
          <w:sz w:val="22"/>
          <w:szCs w:val="22"/>
        </w:rPr>
        <w:tab/>
        <w:t>Felhasználhatósági időtartam</w:t>
      </w:r>
    </w:p>
    <w:p w14:paraId="0BC41410" w14:textId="77777777" w:rsidR="00CF3B77" w:rsidRPr="002D0731" w:rsidRDefault="00CF3B77">
      <w:pPr>
        <w:rPr>
          <w:sz w:val="22"/>
          <w:szCs w:val="22"/>
        </w:rPr>
      </w:pPr>
    </w:p>
    <w:p w14:paraId="7C4251E5" w14:textId="77777777" w:rsidR="00CF3B77" w:rsidRDefault="00CF3B77">
      <w:pPr>
        <w:rPr>
          <w:sz w:val="22"/>
          <w:szCs w:val="22"/>
        </w:rPr>
      </w:pPr>
      <w:r w:rsidRPr="002D0731">
        <w:rPr>
          <w:sz w:val="22"/>
          <w:szCs w:val="22"/>
        </w:rPr>
        <w:t>2 év</w:t>
      </w:r>
      <w:r w:rsidR="00A80DB4" w:rsidRPr="002D0731">
        <w:rPr>
          <w:sz w:val="22"/>
          <w:szCs w:val="22"/>
        </w:rPr>
        <w:t>.</w:t>
      </w:r>
    </w:p>
    <w:p w14:paraId="174CC537" w14:textId="77777777" w:rsidR="003A30E0" w:rsidRPr="002D0731" w:rsidRDefault="003A30E0">
      <w:pPr>
        <w:rPr>
          <w:sz w:val="22"/>
          <w:szCs w:val="22"/>
        </w:rPr>
      </w:pPr>
    </w:p>
    <w:p w14:paraId="77368EBE" w14:textId="3D6D3630" w:rsidR="00A80DB4" w:rsidRPr="002D0731" w:rsidRDefault="0093621F">
      <w:pPr>
        <w:rPr>
          <w:sz w:val="22"/>
          <w:szCs w:val="22"/>
        </w:rPr>
      </w:pPr>
      <w:r w:rsidRPr="002D0731">
        <w:rPr>
          <w:sz w:val="22"/>
          <w:szCs w:val="22"/>
        </w:rPr>
        <w:t>Amennyiben a készítményt kivették</w:t>
      </w:r>
      <w:r w:rsidR="00CA0E3A">
        <w:rPr>
          <w:sz w:val="22"/>
          <w:szCs w:val="22"/>
        </w:rPr>
        <w:t xml:space="preserve"> a</w:t>
      </w:r>
      <w:r w:rsidRPr="002D0731">
        <w:rPr>
          <w:sz w:val="22"/>
          <w:szCs w:val="22"/>
        </w:rPr>
        <w:t xml:space="preserve"> hűtőszekrényből, úgy eredeti csomagolásban, szobahőmérsékleten (25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 alatt), legfeljebb négy hétig tárolható.</w:t>
      </w:r>
    </w:p>
    <w:p w14:paraId="030EFEF8" w14:textId="77777777" w:rsidR="0093621F" w:rsidRPr="002D0731" w:rsidRDefault="0093621F">
      <w:pPr>
        <w:rPr>
          <w:sz w:val="22"/>
          <w:szCs w:val="22"/>
        </w:rPr>
      </w:pPr>
    </w:p>
    <w:p w14:paraId="715831F4" w14:textId="77777777" w:rsidR="00B05753" w:rsidRPr="002D0731" w:rsidRDefault="00B05753">
      <w:pPr>
        <w:rPr>
          <w:sz w:val="22"/>
          <w:szCs w:val="22"/>
        </w:rPr>
      </w:pPr>
      <w:r w:rsidRPr="002D0731">
        <w:rPr>
          <w:sz w:val="22"/>
          <w:szCs w:val="22"/>
        </w:rPr>
        <w:t>A tálc</w:t>
      </w:r>
      <w:r w:rsidR="00972AAE" w:rsidRPr="002D0731">
        <w:rPr>
          <w:sz w:val="22"/>
          <w:szCs w:val="22"/>
        </w:rPr>
        <w:t>a</w:t>
      </w:r>
      <w:r w:rsidR="00AE3282" w:rsidRPr="002D0731">
        <w:rPr>
          <w:sz w:val="22"/>
          <w:szCs w:val="22"/>
        </w:rPr>
        <w:t xml:space="preserve"> fel</w:t>
      </w:r>
      <w:r w:rsidR="00067D5A" w:rsidRPr="002D0731">
        <w:rPr>
          <w:sz w:val="22"/>
          <w:szCs w:val="22"/>
        </w:rPr>
        <w:t>bontása</w:t>
      </w:r>
      <w:r w:rsidR="00AE3282" w:rsidRPr="002D0731">
        <w:rPr>
          <w:sz w:val="22"/>
          <w:szCs w:val="22"/>
        </w:rPr>
        <w:t xml:space="preserve"> után az oldatos injekcióhoz való por és oldószer felhasználásával az oldatos injekciót azonnal el kell készíteni és be</w:t>
      </w:r>
      <w:r w:rsidR="00D658BB" w:rsidRPr="002D0731">
        <w:rPr>
          <w:sz w:val="22"/>
          <w:szCs w:val="22"/>
        </w:rPr>
        <w:t xml:space="preserve"> kell </w:t>
      </w:r>
      <w:r w:rsidR="00AE3282" w:rsidRPr="002D0731">
        <w:rPr>
          <w:sz w:val="22"/>
          <w:szCs w:val="22"/>
        </w:rPr>
        <w:t xml:space="preserve">adni a betegnek. </w:t>
      </w:r>
    </w:p>
    <w:p w14:paraId="5F8150E2" w14:textId="77777777" w:rsidR="00B05753" w:rsidRPr="002D0731" w:rsidRDefault="00B05753">
      <w:pPr>
        <w:rPr>
          <w:sz w:val="22"/>
          <w:szCs w:val="22"/>
        </w:rPr>
      </w:pPr>
    </w:p>
    <w:p w14:paraId="7F08C697" w14:textId="77777777" w:rsidR="005441F1" w:rsidRPr="002D0731" w:rsidRDefault="005441F1">
      <w:pPr>
        <w:rPr>
          <w:sz w:val="22"/>
          <w:szCs w:val="22"/>
        </w:rPr>
      </w:pPr>
      <w:r w:rsidRPr="002D0731">
        <w:rPr>
          <w:sz w:val="22"/>
          <w:szCs w:val="22"/>
        </w:rPr>
        <w:t>Az elkészített oldatot: azonnal fel kell használni, az oldat viszkozitása az idő múlásával me</w:t>
      </w:r>
      <w:r w:rsidR="00752BEB" w:rsidRPr="002D0731">
        <w:rPr>
          <w:sz w:val="22"/>
          <w:szCs w:val="22"/>
        </w:rPr>
        <w:t>g</w:t>
      </w:r>
      <w:r w:rsidRPr="002D0731">
        <w:rPr>
          <w:sz w:val="22"/>
          <w:szCs w:val="22"/>
        </w:rPr>
        <w:t>n</w:t>
      </w:r>
      <w:r w:rsidR="00752BEB" w:rsidRPr="002D0731">
        <w:rPr>
          <w:sz w:val="22"/>
          <w:szCs w:val="22"/>
        </w:rPr>
        <w:t>ö</w:t>
      </w:r>
      <w:r w:rsidRPr="002D0731">
        <w:rPr>
          <w:sz w:val="22"/>
          <w:szCs w:val="22"/>
        </w:rPr>
        <w:t xml:space="preserve">vekszik. </w:t>
      </w:r>
    </w:p>
    <w:p w14:paraId="0EB77C8E" w14:textId="77777777" w:rsidR="007813A6" w:rsidRPr="002D0731" w:rsidRDefault="007813A6">
      <w:pPr>
        <w:rPr>
          <w:sz w:val="22"/>
          <w:szCs w:val="22"/>
        </w:rPr>
      </w:pPr>
    </w:p>
    <w:p w14:paraId="30320411" w14:textId="77777777" w:rsidR="00CF3B77" w:rsidRPr="002D0731" w:rsidRDefault="00CF3B77" w:rsidP="00B60F2A">
      <w:pPr>
        <w:keepNext/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6.4</w:t>
      </w:r>
      <w:r w:rsidRPr="002D0731">
        <w:rPr>
          <w:b/>
          <w:sz w:val="22"/>
          <w:szCs w:val="22"/>
        </w:rPr>
        <w:tab/>
        <w:t>Különleges tárolási előírások</w:t>
      </w:r>
    </w:p>
    <w:p w14:paraId="09D2C7A9" w14:textId="77777777" w:rsidR="00CF3B77" w:rsidRPr="002D0731" w:rsidRDefault="00CF3B77" w:rsidP="00B60F2A">
      <w:pPr>
        <w:keepNext/>
        <w:rPr>
          <w:i/>
          <w:sz w:val="22"/>
          <w:szCs w:val="22"/>
        </w:rPr>
      </w:pPr>
    </w:p>
    <w:p w14:paraId="76425CCF" w14:textId="10CCD866" w:rsidR="005441F1" w:rsidRPr="002D0731" w:rsidRDefault="005441F1" w:rsidP="00B60F2A">
      <w:pPr>
        <w:keepNext/>
        <w:rPr>
          <w:sz w:val="22"/>
          <w:szCs w:val="22"/>
        </w:rPr>
      </w:pPr>
      <w:r w:rsidRPr="002D0731">
        <w:rPr>
          <w:sz w:val="22"/>
          <w:szCs w:val="22"/>
        </w:rPr>
        <w:t>Hűtőszekrényben (2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 – 8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°C), a nedvességtől való védelem érdekében az eredeti csomagolásban tárolandó.</w:t>
      </w:r>
    </w:p>
    <w:p w14:paraId="6AEF56CD" w14:textId="1D967EDF" w:rsidR="0093621F" w:rsidRPr="002D0731" w:rsidRDefault="0093621F">
      <w:pPr>
        <w:rPr>
          <w:sz w:val="22"/>
          <w:szCs w:val="22"/>
        </w:rPr>
      </w:pPr>
      <w:r w:rsidRPr="002D0731">
        <w:rPr>
          <w:sz w:val="22"/>
          <w:szCs w:val="22"/>
        </w:rPr>
        <w:t>Az injekció beadása előtt a készítménynek szobahőmérsékletűnek kell lennie. 30 perccel a felhasználás előtt vegyük ki a hűtőszekrényből. Hűtőszekrényen kívül a készítmény eredeti csomagolásban, szobahőmérsékleten (25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 alatt) legfeljebb négy hétig tárolható.</w:t>
      </w:r>
    </w:p>
    <w:p w14:paraId="7AE1DBFF" w14:textId="77777777" w:rsidR="00CF3B77" w:rsidRPr="00B60F2A" w:rsidRDefault="00CF3B77">
      <w:pPr>
        <w:ind w:left="567" w:hanging="567"/>
        <w:rPr>
          <w:sz w:val="22"/>
          <w:szCs w:val="22"/>
        </w:rPr>
      </w:pPr>
    </w:p>
    <w:p w14:paraId="45C1CAA2" w14:textId="77777777" w:rsidR="00CF3B77" w:rsidRPr="002D0731" w:rsidRDefault="00CF3B77" w:rsidP="00727895">
      <w:pPr>
        <w:keepNext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6.5</w:t>
      </w:r>
      <w:r w:rsidRPr="002D0731">
        <w:rPr>
          <w:b/>
          <w:sz w:val="22"/>
          <w:szCs w:val="22"/>
        </w:rPr>
        <w:tab/>
        <w:t>Csomagolás típusa és kiszerelése</w:t>
      </w:r>
    </w:p>
    <w:p w14:paraId="36879294" w14:textId="77777777" w:rsidR="00F05874" w:rsidRPr="002D0731" w:rsidRDefault="00F05874" w:rsidP="00727895">
      <w:pPr>
        <w:pStyle w:val="Vgjegyzetszvege"/>
        <w:keepNext/>
        <w:tabs>
          <w:tab w:val="clear" w:pos="567"/>
        </w:tabs>
        <w:rPr>
          <w:szCs w:val="22"/>
          <w:lang w:val="hu-HU"/>
        </w:rPr>
      </w:pPr>
    </w:p>
    <w:p w14:paraId="0A0EF68F" w14:textId="77777777" w:rsidR="00E93F1A" w:rsidRDefault="00743E50">
      <w:pPr>
        <w:rPr>
          <w:sz w:val="22"/>
          <w:szCs w:val="22"/>
        </w:rPr>
      </w:pPr>
      <w:r w:rsidRPr="002D0731">
        <w:rPr>
          <w:sz w:val="22"/>
          <w:szCs w:val="22"/>
        </w:rPr>
        <w:t>K</w:t>
      </w:r>
      <w:r w:rsidR="00E93F1A" w:rsidRPr="002D0731">
        <w:rPr>
          <w:sz w:val="22"/>
          <w:szCs w:val="22"/>
        </w:rPr>
        <w:t>ét előretöltött fecskendő</w:t>
      </w:r>
      <w:r w:rsidRPr="002D0731">
        <w:rPr>
          <w:sz w:val="22"/>
          <w:szCs w:val="22"/>
        </w:rPr>
        <w:t>, az</w:t>
      </w:r>
      <w:r w:rsidR="00E93F1A" w:rsidRPr="002D0731">
        <w:rPr>
          <w:sz w:val="22"/>
          <w:szCs w:val="22"/>
        </w:rPr>
        <w:t xml:space="preserve"> egyik </w:t>
      </w:r>
      <w:r w:rsidR="00680F8C">
        <w:rPr>
          <w:sz w:val="22"/>
          <w:szCs w:val="22"/>
        </w:rPr>
        <w:t xml:space="preserve">egy </w:t>
      </w:r>
      <w:r w:rsidR="00680F8C" w:rsidRPr="007A4985">
        <w:rPr>
          <w:sz w:val="22"/>
          <w:szCs w:val="22"/>
        </w:rPr>
        <w:t>ciklikus olefin kopolim</w:t>
      </w:r>
      <w:r w:rsidR="000958FB">
        <w:rPr>
          <w:sz w:val="22"/>
          <w:szCs w:val="22"/>
        </w:rPr>
        <w:t>e</w:t>
      </w:r>
      <w:r w:rsidR="00680F8C" w:rsidRPr="007A4985">
        <w:rPr>
          <w:sz w:val="22"/>
          <w:szCs w:val="22"/>
        </w:rPr>
        <w:t xml:space="preserve">r </w:t>
      </w:r>
      <w:r w:rsidR="00680F8C">
        <w:rPr>
          <w:sz w:val="22"/>
          <w:szCs w:val="22"/>
        </w:rPr>
        <w:t>fecskendő, amely</w:t>
      </w:r>
      <w:r w:rsidR="00680F8C" w:rsidRPr="002D0731">
        <w:rPr>
          <w:sz w:val="22"/>
          <w:szCs w:val="22"/>
        </w:rPr>
        <w:t xml:space="preserve"> </w:t>
      </w:r>
      <w:r w:rsidR="0028046E" w:rsidRPr="002D0731">
        <w:rPr>
          <w:sz w:val="22"/>
          <w:szCs w:val="22"/>
        </w:rPr>
        <w:t xml:space="preserve">a </w:t>
      </w:r>
      <w:r w:rsidR="00E93F1A" w:rsidRPr="002D0731">
        <w:rPr>
          <w:sz w:val="22"/>
          <w:szCs w:val="22"/>
        </w:rPr>
        <w:t>port</w:t>
      </w:r>
      <w:r w:rsidR="00680F8C">
        <w:rPr>
          <w:sz w:val="22"/>
          <w:szCs w:val="22"/>
        </w:rPr>
        <w:t xml:space="preserve"> tartalmazza </w:t>
      </w:r>
      <w:r w:rsidR="00680F8C" w:rsidRPr="002D0731">
        <w:rPr>
          <w:sz w:val="22"/>
          <w:szCs w:val="22"/>
        </w:rPr>
        <w:t>(</w:t>
      </w:r>
      <w:r w:rsidR="00680F8C" w:rsidRPr="002D0731">
        <w:rPr>
          <w:i/>
          <w:sz w:val="22"/>
          <w:szCs w:val="22"/>
        </w:rPr>
        <w:t>„B” fecskendő</w:t>
      </w:r>
      <w:r w:rsidR="00680F8C" w:rsidRPr="002D0731">
        <w:rPr>
          <w:sz w:val="22"/>
          <w:szCs w:val="22"/>
        </w:rPr>
        <w:t>)</w:t>
      </w:r>
      <w:r w:rsidR="00E93F1A" w:rsidRPr="002D0731">
        <w:rPr>
          <w:sz w:val="22"/>
          <w:szCs w:val="22"/>
        </w:rPr>
        <w:t xml:space="preserve">, a másik </w:t>
      </w:r>
      <w:r w:rsidR="00680F8C">
        <w:rPr>
          <w:sz w:val="22"/>
          <w:szCs w:val="22"/>
        </w:rPr>
        <w:t xml:space="preserve">egy </w:t>
      </w:r>
      <w:r w:rsidR="00680F8C" w:rsidRPr="007A4985">
        <w:rPr>
          <w:sz w:val="22"/>
          <w:szCs w:val="22"/>
        </w:rPr>
        <w:t xml:space="preserve">polipropilén </w:t>
      </w:r>
      <w:r w:rsidR="00680F8C">
        <w:rPr>
          <w:sz w:val="22"/>
          <w:szCs w:val="22"/>
        </w:rPr>
        <w:t>fecskendő, amely</w:t>
      </w:r>
      <w:r w:rsidR="00680F8C" w:rsidRPr="002D0731">
        <w:rPr>
          <w:sz w:val="22"/>
          <w:szCs w:val="22"/>
        </w:rPr>
        <w:t xml:space="preserve"> </w:t>
      </w:r>
      <w:r w:rsidR="0028046E" w:rsidRPr="002D0731">
        <w:rPr>
          <w:sz w:val="22"/>
          <w:szCs w:val="22"/>
        </w:rPr>
        <w:t xml:space="preserve">az </w:t>
      </w:r>
      <w:r w:rsidR="00E93F1A" w:rsidRPr="002D0731">
        <w:rPr>
          <w:sz w:val="22"/>
          <w:szCs w:val="22"/>
        </w:rPr>
        <w:t>oldószert tartalmazza</w:t>
      </w:r>
      <w:r w:rsidR="00680F8C">
        <w:rPr>
          <w:sz w:val="22"/>
          <w:szCs w:val="22"/>
        </w:rPr>
        <w:t xml:space="preserve"> </w:t>
      </w:r>
      <w:r w:rsidR="00680F8C" w:rsidRPr="002D0731">
        <w:rPr>
          <w:sz w:val="22"/>
          <w:szCs w:val="22"/>
        </w:rPr>
        <w:t>(</w:t>
      </w:r>
      <w:r w:rsidR="00680F8C" w:rsidRPr="002D0731">
        <w:rPr>
          <w:i/>
          <w:sz w:val="22"/>
          <w:szCs w:val="22"/>
        </w:rPr>
        <w:t>„A” fecskendő</w:t>
      </w:r>
      <w:r w:rsidR="00680F8C" w:rsidRPr="002D0731">
        <w:rPr>
          <w:sz w:val="22"/>
          <w:szCs w:val="22"/>
        </w:rPr>
        <w:t>)</w:t>
      </w:r>
      <w:r w:rsidR="00E93F1A" w:rsidRPr="002D0731">
        <w:rPr>
          <w:sz w:val="22"/>
          <w:szCs w:val="22"/>
        </w:rPr>
        <w:t xml:space="preserve">. A két fecskendő együttesen </w:t>
      </w:r>
      <w:r w:rsidR="0028046E" w:rsidRPr="002D0731">
        <w:rPr>
          <w:sz w:val="22"/>
          <w:szCs w:val="22"/>
        </w:rPr>
        <w:t xml:space="preserve">alkotja </w:t>
      </w:r>
      <w:r w:rsidR="00E93F1A" w:rsidRPr="002D0731">
        <w:rPr>
          <w:sz w:val="22"/>
          <w:szCs w:val="22"/>
        </w:rPr>
        <w:t xml:space="preserve">az oldatos injekció elkészítésére alkalmas elegyítő rendszert. </w:t>
      </w:r>
    </w:p>
    <w:p w14:paraId="7B1587AA" w14:textId="77777777" w:rsidR="003D52D8" w:rsidRPr="002D0731" w:rsidRDefault="003D52D8">
      <w:pPr>
        <w:rPr>
          <w:sz w:val="22"/>
          <w:szCs w:val="22"/>
        </w:rPr>
      </w:pPr>
    </w:p>
    <w:p w14:paraId="04027C0C" w14:textId="77777777" w:rsidR="00E93F1A" w:rsidRPr="002D0731" w:rsidRDefault="00E93F1A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Az </w:t>
      </w:r>
      <w:r w:rsidRPr="002D0731">
        <w:rPr>
          <w:i/>
          <w:sz w:val="22"/>
          <w:szCs w:val="22"/>
        </w:rPr>
        <w:t>„A” fecskendő</w:t>
      </w:r>
      <w:r w:rsidRPr="002D0731">
        <w:rPr>
          <w:sz w:val="22"/>
          <w:szCs w:val="22"/>
        </w:rPr>
        <w:t>ben lévő dugattyú egy termoplasztikus (hőre táguló) gumi</w:t>
      </w:r>
      <w:r w:rsidR="00414252" w:rsidRPr="002D0731">
        <w:rPr>
          <w:sz w:val="22"/>
          <w:szCs w:val="22"/>
        </w:rPr>
        <w:t xml:space="preserve">végződéssel </w:t>
      </w:r>
      <w:r w:rsidRPr="002D0731">
        <w:rPr>
          <w:sz w:val="22"/>
          <w:szCs w:val="22"/>
        </w:rPr>
        <w:t>és egy polietilén vagy polipropilén Luer-Lock záróelemmel van ellátva.</w:t>
      </w:r>
    </w:p>
    <w:p w14:paraId="6E5D926D" w14:textId="77777777" w:rsidR="00E93F1A" w:rsidRPr="002D0731" w:rsidRDefault="00E93F1A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 </w:t>
      </w:r>
      <w:r w:rsidRPr="002D0731">
        <w:rPr>
          <w:i/>
          <w:sz w:val="22"/>
          <w:szCs w:val="22"/>
        </w:rPr>
        <w:t>„B” fecskendő</w:t>
      </w:r>
      <w:r w:rsidRPr="002D0731">
        <w:rPr>
          <w:sz w:val="22"/>
          <w:szCs w:val="22"/>
        </w:rPr>
        <w:t xml:space="preserve"> végét lezáró kupak</w:t>
      </w:r>
      <w:r w:rsidR="00567E5F" w:rsidRPr="00567E5F">
        <w:rPr>
          <w:sz w:val="22"/>
          <w:szCs w:val="22"/>
        </w:rPr>
        <w:t xml:space="preserve"> </w:t>
      </w:r>
      <w:r w:rsidR="00567E5F" w:rsidRPr="00C359C1">
        <w:rPr>
          <w:sz w:val="22"/>
          <w:szCs w:val="22"/>
        </w:rPr>
        <w:t>br</w:t>
      </w:r>
      <w:r w:rsidR="00B85BB4">
        <w:rPr>
          <w:sz w:val="22"/>
          <w:szCs w:val="22"/>
        </w:rPr>
        <w:t>ó</w:t>
      </w:r>
      <w:r w:rsidR="00567E5F" w:rsidRPr="00C359C1">
        <w:rPr>
          <w:sz w:val="22"/>
          <w:szCs w:val="22"/>
        </w:rPr>
        <w:t>mbutil</w:t>
      </w:r>
      <w:r w:rsidR="00567E5F">
        <w:rPr>
          <w:sz w:val="22"/>
          <w:szCs w:val="22"/>
        </w:rPr>
        <w:t xml:space="preserve"> gumiból</w:t>
      </w:r>
      <w:r w:rsidR="00923EAE" w:rsidRPr="002D0731">
        <w:rPr>
          <w:sz w:val="22"/>
          <w:szCs w:val="22"/>
        </w:rPr>
        <w:t xml:space="preserve">, </w:t>
      </w:r>
      <w:r w:rsidRPr="002D0731">
        <w:rPr>
          <w:sz w:val="22"/>
          <w:szCs w:val="22"/>
        </w:rPr>
        <w:t xml:space="preserve">a </w:t>
      </w:r>
      <w:r w:rsidR="00FB12FA" w:rsidRPr="002D0731">
        <w:rPr>
          <w:sz w:val="22"/>
          <w:szCs w:val="22"/>
        </w:rPr>
        <w:t xml:space="preserve">„B” fecskendő </w:t>
      </w:r>
      <w:r w:rsidRPr="002D0731">
        <w:rPr>
          <w:sz w:val="22"/>
          <w:szCs w:val="22"/>
        </w:rPr>
        <w:t>kettő darab dugattyú</w:t>
      </w:r>
      <w:r w:rsidR="00FB12FA" w:rsidRPr="002D0731">
        <w:rPr>
          <w:sz w:val="22"/>
          <w:szCs w:val="22"/>
        </w:rPr>
        <w:t>jának végződése</w:t>
      </w:r>
      <w:r w:rsidRPr="002D0731">
        <w:rPr>
          <w:sz w:val="22"/>
          <w:szCs w:val="22"/>
        </w:rPr>
        <w:t xml:space="preserve"> </w:t>
      </w:r>
      <w:r w:rsidR="00044220" w:rsidRPr="002D0731">
        <w:rPr>
          <w:sz w:val="22"/>
          <w:szCs w:val="22"/>
        </w:rPr>
        <w:t xml:space="preserve">klórbutil </w:t>
      </w:r>
      <w:r w:rsidRPr="002D0731">
        <w:rPr>
          <w:sz w:val="22"/>
          <w:szCs w:val="22"/>
        </w:rPr>
        <w:t>gumiból készült.</w:t>
      </w:r>
    </w:p>
    <w:p w14:paraId="16C75709" w14:textId="77777777" w:rsidR="00E93F1A" w:rsidRPr="002D0731" w:rsidRDefault="00E93F1A">
      <w:pPr>
        <w:rPr>
          <w:sz w:val="22"/>
          <w:szCs w:val="22"/>
        </w:rPr>
      </w:pPr>
    </w:p>
    <w:p w14:paraId="7862BC6C" w14:textId="77777777" w:rsidR="00E93F1A" w:rsidRPr="002D0731" w:rsidRDefault="00E93F1A">
      <w:pPr>
        <w:rPr>
          <w:sz w:val="22"/>
          <w:szCs w:val="22"/>
        </w:rPr>
      </w:pPr>
      <w:r w:rsidRPr="002D0731">
        <w:rPr>
          <w:sz w:val="22"/>
          <w:szCs w:val="22"/>
        </w:rPr>
        <w:t>Kiszerelések:</w:t>
      </w:r>
    </w:p>
    <w:p w14:paraId="7EE3785C" w14:textId="77777777" w:rsidR="0073520E" w:rsidRDefault="0073520E" w:rsidP="00B35B1B">
      <w:pPr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2D0731">
        <w:rPr>
          <w:sz w:val="22"/>
          <w:szCs w:val="22"/>
        </w:rPr>
        <w:t xml:space="preserve">Hőformált tálcás csomagolás, amely két hőformált tálcát tartalmaz egy kartondobozban. Az egyik tálca egy előretöltött polipropilén fecskendőt („A” fecskendő), egy a „B” fecskendőhöz szükséges nagy dugattyúrudat és egy nedvességmegkötő tasakot tartalmaz. A másik tálca egy előretöltött </w:t>
      </w:r>
      <w:r w:rsidR="00044220" w:rsidRPr="002D0731">
        <w:rPr>
          <w:sz w:val="22"/>
          <w:szCs w:val="22"/>
        </w:rPr>
        <w:t>ciklikus olefin kopolim</w:t>
      </w:r>
      <w:r w:rsidR="003D52D8">
        <w:rPr>
          <w:sz w:val="22"/>
          <w:szCs w:val="22"/>
        </w:rPr>
        <w:t>e</w:t>
      </w:r>
      <w:r w:rsidR="00044220" w:rsidRPr="002D0731">
        <w:rPr>
          <w:sz w:val="22"/>
          <w:szCs w:val="22"/>
        </w:rPr>
        <w:t>r</w:t>
      </w:r>
      <w:r w:rsidRPr="002D0731">
        <w:rPr>
          <w:sz w:val="22"/>
          <w:szCs w:val="22"/>
        </w:rPr>
        <w:t xml:space="preserve"> fecskendőt („B” fecskendő), egy 18 G-s steril tűt és egy nedvességmegkötő tasakot tartalmaz.</w:t>
      </w:r>
    </w:p>
    <w:p w14:paraId="778D6ECF" w14:textId="77777777" w:rsidR="003D52D8" w:rsidRPr="002D0731" w:rsidRDefault="003D52D8" w:rsidP="003654E7">
      <w:pPr>
        <w:ind w:left="567"/>
        <w:rPr>
          <w:sz w:val="22"/>
          <w:szCs w:val="22"/>
        </w:rPr>
      </w:pPr>
    </w:p>
    <w:p w14:paraId="07E0F21D" w14:textId="77777777" w:rsidR="00E93F1A" w:rsidRPr="002D0731" w:rsidRDefault="00DD010F" w:rsidP="00B35B1B">
      <w:pPr>
        <w:numPr>
          <w:ilvl w:val="0"/>
          <w:numId w:val="9"/>
        </w:numPr>
        <w:tabs>
          <w:tab w:val="clear" w:pos="357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2D0731">
        <w:rPr>
          <w:sz w:val="22"/>
          <w:szCs w:val="22"/>
        </w:rPr>
        <w:t>Gyűjtőcsomagolás, am</w:t>
      </w:r>
      <w:r w:rsidR="009738A5" w:rsidRPr="002D0731">
        <w:rPr>
          <w:sz w:val="22"/>
          <w:szCs w:val="22"/>
        </w:rPr>
        <w:t>ely</w:t>
      </w:r>
      <w:r w:rsidR="00C313EF" w:rsidRPr="002D0731">
        <w:rPr>
          <w:sz w:val="22"/>
          <w:szCs w:val="22"/>
        </w:rPr>
        <w:t xml:space="preserve"> 2</w:t>
      </w:r>
      <w:r w:rsidR="003D52D8">
        <w:rPr>
          <w:sz w:val="22"/>
          <w:szCs w:val="22"/>
        </w:rPr>
        <w:t>×</w:t>
      </w:r>
      <w:r w:rsidR="00E93F1A" w:rsidRPr="002D0731">
        <w:rPr>
          <w:sz w:val="22"/>
          <w:szCs w:val="22"/>
        </w:rPr>
        <w:t>2</w:t>
      </w:r>
      <w:r w:rsidR="009738A5" w:rsidRPr="002D0731">
        <w:rPr>
          <w:sz w:val="22"/>
          <w:szCs w:val="22"/>
        </w:rPr>
        <w:t> </w:t>
      </w:r>
      <w:r w:rsidRPr="002D0731">
        <w:rPr>
          <w:sz w:val="22"/>
          <w:szCs w:val="22"/>
        </w:rPr>
        <w:t xml:space="preserve">db </w:t>
      </w:r>
      <w:r w:rsidR="00E93F1A" w:rsidRPr="002D0731">
        <w:rPr>
          <w:sz w:val="22"/>
          <w:szCs w:val="22"/>
        </w:rPr>
        <w:t>(</w:t>
      </w:r>
      <w:r w:rsidR="00E93F1A" w:rsidRPr="002D0731">
        <w:rPr>
          <w:i/>
          <w:sz w:val="22"/>
          <w:szCs w:val="22"/>
        </w:rPr>
        <w:t>1</w:t>
      </w:r>
      <w:r w:rsidR="009738A5" w:rsidRPr="002D0731">
        <w:rPr>
          <w:i/>
          <w:sz w:val="22"/>
          <w:szCs w:val="22"/>
        </w:rPr>
        <w:noBreakHyphen/>
      </w:r>
      <w:r w:rsidR="00E93F1A" w:rsidRPr="002D0731">
        <w:rPr>
          <w:i/>
          <w:sz w:val="22"/>
          <w:szCs w:val="22"/>
        </w:rPr>
        <w:t>1</w:t>
      </w:r>
      <w:r w:rsidR="009738A5" w:rsidRPr="002D0731">
        <w:rPr>
          <w:i/>
          <w:sz w:val="22"/>
          <w:szCs w:val="22"/>
        </w:rPr>
        <w:t> </w:t>
      </w:r>
      <w:r w:rsidR="00E93F1A" w:rsidRPr="002D0731">
        <w:rPr>
          <w:i/>
          <w:sz w:val="22"/>
          <w:szCs w:val="22"/>
        </w:rPr>
        <w:t>db „A” és „B” fecskendő</w:t>
      </w:r>
      <w:r w:rsidR="00E93F1A" w:rsidRPr="002D0731">
        <w:rPr>
          <w:sz w:val="22"/>
          <w:szCs w:val="22"/>
        </w:rPr>
        <w:t>) előretöltött fecskendő</w:t>
      </w:r>
      <w:r w:rsidRPr="002D0731">
        <w:rPr>
          <w:sz w:val="22"/>
          <w:szCs w:val="22"/>
        </w:rPr>
        <w:t>t</w:t>
      </w:r>
      <w:r w:rsidR="00E93F1A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tartalmaz</w:t>
      </w:r>
      <w:r w:rsidR="00E93F1A" w:rsidRPr="002D0731">
        <w:rPr>
          <w:sz w:val="22"/>
          <w:szCs w:val="22"/>
        </w:rPr>
        <w:t>.</w:t>
      </w:r>
    </w:p>
    <w:p w14:paraId="5BB50033" w14:textId="77777777" w:rsidR="00DF48E3" w:rsidRPr="002D0731" w:rsidRDefault="00DF48E3">
      <w:pPr>
        <w:suppressAutoHyphens w:val="0"/>
        <w:rPr>
          <w:sz w:val="22"/>
          <w:szCs w:val="22"/>
        </w:rPr>
      </w:pPr>
    </w:p>
    <w:p w14:paraId="49D5912C" w14:textId="77777777" w:rsidR="009D6D08" w:rsidRPr="002D0731" w:rsidRDefault="009738A5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>Nem feltétlenül mindegyik kiszerelés kerül kereskedelmi forgalomba.</w:t>
      </w:r>
    </w:p>
    <w:p w14:paraId="212F2D5D" w14:textId="77777777" w:rsidR="00CF3B77" w:rsidRPr="002D0731" w:rsidRDefault="00CF3B77">
      <w:pPr>
        <w:pStyle w:val="Szvegtrzs"/>
        <w:rPr>
          <w:szCs w:val="22"/>
          <w:lang w:val="hu-HU"/>
        </w:rPr>
      </w:pPr>
    </w:p>
    <w:p w14:paraId="29EBFD3D" w14:textId="77777777" w:rsidR="00CF3B77" w:rsidRPr="002D0731" w:rsidRDefault="00CF3B77">
      <w:pPr>
        <w:pStyle w:val="WW-Szvegtrzs212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6.6</w:t>
      </w:r>
      <w:r w:rsidRPr="002D0731">
        <w:rPr>
          <w:szCs w:val="22"/>
          <w:lang w:val="hu-HU"/>
        </w:rPr>
        <w:tab/>
      </w:r>
      <w:r w:rsidR="009738A5" w:rsidRPr="002D0731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5D5EC654" w14:textId="77777777" w:rsidR="0066354F" w:rsidRPr="002D0731" w:rsidRDefault="0066354F">
      <w:pPr>
        <w:rPr>
          <w:sz w:val="22"/>
          <w:szCs w:val="22"/>
        </w:rPr>
      </w:pPr>
    </w:p>
    <w:p w14:paraId="17EB7510" w14:textId="77777777" w:rsidR="005441F1" w:rsidRPr="002D0731" w:rsidRDefault="005441F1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Hagyja, hogy a készítmény szobahőmérsékletűre melegedjen!</w:t>
      </w:r>
      <w:r w:rsidR="0093621F" w:rsidRPr="00B35B1B">
        <w:rPr>
          <w:sz w:val="22"/>
          <w:szCs w:val="22"/>
        </w:rPr>
        <w:t xml:space="preserve"> </w:t>
      </w:r>
      <w:r w:rsidR="0093621F" w:rsidRPr="002D0731">
        <w:rPr>
          <w:b/>
          <w:sz w:val="22"/>
          <w:szCs w:val="22"/>
        </w:rPr>
        <w:t>Felhasználás előtt 30 perccel vegye ki a hűtőszekrényből!</w:t>
      </w:r>
    </w:p>
    <w:p w14:paraId="3EF6938C" w14:textId="77777777" w:rsidR="005441F1" w:rsidRPr="002D0731" w:rsidRDefault="005441F1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Kérjük, először a beteget készítse elő az injekció beadásához, ezután az alábbi utasítás szerint készítse el a készítményt.</w:t>
      </w:r>
      <w:r w:rsidR="0072486B" w:rsidRPr="002D0731">
        <w:rPr>
          <w:b/>
          <w:sz w:val="22"/>
          <w:szCs w:val="22"/>
        </w:rPr>
        <w:t xml:space="preserve"> Amennyiben a termék elkészítése nem a megfelelő technikával történik, nem szabad beadni, mivel előfordulhat, hogy a klinikai hatás elmarad a termék nem megfelelő feloldása miatt.</w:t>
      </w:r>
    </w:p>
    <w:p w14:paraId="14872632" w14:textId="77777777" w:rsidR="005441F1" w:rsidRPr="00B60F2A" w:rsidRDefault="005441F1">
      <w:pPr>
        <w:rPr>
          <w:sz w:val="22"/>
          <w:szCs w:val="22"/>
        </w:rPr>
      </w:pPr>
    </w:p>
    <w:p w14:paraId="1FD118D1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1. lépés: </w:t>
      </w:r>
      <w:r w:rsidRPr="002D0731">
        <w:rPr>
          <w:sz w:val="22"/>
          <w:szCs w:val="22"/>
        </w:rPr>
        <w:t>Nyissa ki a mindkét tálcát (a kis hólyaggal megjelölt sarkánál tépje le a fóliát), és tegye a tartalmát egy tiszta területre (az „A” fecskendőt [1.1 ábra] és a „B” fecskendőt [1.2 ábra] tartalmazó két tálca). Dobja ki a nedvességet megkötő anyagot tartalmazó tasakokat.</w:t>
      </w:r>
    </w:p>
    <w:p w14:paraId="33B1DCCC" w14:textId="77777777" w:rsidR="00752BEB" w:rsidRPr="002D0731" w:rsidRDefault="00752BEB">
      <w:pPr>
        <w:rPr>
          <w:sz w:val="22"/>
          <w:szCs w:val="22"/>
        </w:rPr>
      </w:pPr>
    </w:p>
    <w:p w14:paraId="497053E7" w14:textId="77777777" w:rsidR="003971BE" w:rsidRDefault="00840A5A">
      <w:pPr>
        <w:rPr>
          <w:color w:val="000000"/>
          <w:sz w:val="22"/>
          <w:szCs w:val="22"/>
          <w:lang w:eastAsia="ja-JP"/>
        </w:rPr>
      </w:pPr>
      <w:r>
        <w:rPr>
          <w:noProof/>
          <w:lang w:eastAsia="hu-HU"/>
        </w:rPr>
        <w:lastRenderedPageBreak/>
        <w:drawing>
          <wp:inline distT="0" distB="0" distL="0" distR="0" wp14:anchorId="062609B8" wp14:editId="7C4F8685">
            <wp:extent cx="5743575" cy="1055047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55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F9DEE" w14:textId="77777777" w:rsidR="00752BEB" w:rsidRPr="002D0731" w:rsidRDefault="00752BEB">
      <w:pPr>
        <w:rPr>
          <w:color w:val="000000"/>
          <w:sz w:val="22"/>
          <w:szCs w:val="22"/>
          <w:lang w:eastAsia="ja-JP"/>
        </w:rPr>
      </w:pPr>
    </w:p>
    <w:p w14:paraId="0A6AAB93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2. lépés: Húzza ki, de </w:t>
      </w:r>
      <w:r w:rsidRPr="003654E7">
        <w:rPr>
          <w:b/>
          <w:sz w:val="22"/>
          <w:szCs w:val="22"/>
          <w:u w:val="single"/>
        </w:rPr>
        <w:t>ne csavarja</w:t>
      </w:r>
      <w:r w:rsidRPr="002D0731">
        <w:rPr>
          <w:b/>
          <w:sz w:val="22"/>
          <w:szCs w:val="22"/>
        </w:rPr>
        <w:t xml:space="preserve"> </w:t>
      </w:r>
      <w:r w:rsidRPr="003654E7">
        <w:rPr>
          <w:sz w:val="22"/>
          <w:szCs w:val="22"/>
        </w:rPr>
        <w:t>a</w:t>
      </w:r>
      <w:r w:rsidRPr="002D0731">
        <w:rPr>
          <w:sz w:val="22"/>
          <w:szCs w:val="22"/>
        </w:rPr>
        <w:t xml:space="preserve"> „B” fecskendőből a kék színű rövid dugattyút és a szürke gumidugót, és dobja ki (2. ábra). </w:t>
      </w:r>
      <w:r w:rsidRPr="002D0731">
        <w:rPr>
          <w:b/>
          <w:sz w:val="22"/>
          <w:szCs w:val="22"/>
        </w:rPr>
        <w:t>Ne próbálja meg összekeverni a készítményt, amíg mindkét gumidugó a helyén van.</w:t>
      </w:r>
    </w:p>
    <w:p w14:paraId="3944E079" w14:textId="77777777" w:rsidR="00752BEB" w:rsidRPr="002D0731" w:rsidRDefault="00752BEB">
      <w:pPr>
        <w:rPr>
          <w:b/>
          <w:sz w:val="22"/>
          <w:szCs w:val="22"/>
        </w:rPr>
      </w:pPr>
    </w:p>
    <w:p w14:paraId="22645308" w14:textId="77777777" w:rsidR="00752BEB" w:rsidRPr="002D0731" w:rsidDel="0057618B" w:rsidRDefault="00840A5A">
      <w:pPr>
        <w:rPr>
          <w:sz w:val="22"/>
          <w:szCs w:val="22"/>
        </w:rPr>
      </w:pPr>
      <w:r>
        <w:rPr>
          <w:b/>
          <w:noProof/>
          <w:sz w:val="22"/>
          <w:szCs w:val="22"/>
          <w:lang w:eastAsia="hu-HU"/>
        </w:rPr>
        <w:drawing>
          <wp:inline distT="0" distB="0" distL="0" distR="0" wp14:anchorId="11E8A2BE" wp14:editId="24B80168">
            <wp:extent cx="2971800" cy="1121950"/>
            <wp:effectExtent l="0" t="0" r="0" b="2540"/>
            <wp:docPr id="2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2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221E9" w14:textId="77777777" w:rsidR="00752BEB" w:rsidRPr="002D0731" w:rsidRDefault="00752BEB">
      <w:pPr>
        <w:rPr>
          <w:sz w:val="22"/>
          <w:szCs w:val="22"/>
        </w:rPr>
      </w:pPr>
    </w:p>
    <w:p w14:paraId="016BD6D8" w14:textId="77777777" w:rsidR="00752BEB" w:rsidRPr="002D0731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 xml:space="preserve">3. lépés: </w:t>
      </w:r>
      <w:r w:rsidRPr="002D0731">
        <w:rPr>
          <w:sz w:val="22"/>
          <w:szCs w:val="22"/>
        </w:rPr>
        <w:t>Óvatosan csavarja be a tartalék hosszabb fehér dugattyút a „B” fecskendőben bent maradt szürke gumidugóba (3. ábra).</w:t>
      </w:r>
    </w:p>
    <w:p w14:paraId="211DBEDD" w14:textId="77777777" w:rsidR="00752BEB" w:rsidRPr="002D0731" w:rsidRDefault="00752BEB">
      <w:pPr>
        <w:rPr>
          <w:sz w:val="22"/>
          <w:szCs w:val="22"/>
        </w:rPr>
      </w:pPr>
    </w:p>
    <w:p w14:paraId="0D2FE614" w14:textId="77777777" w:rsidR="00752BEB" w:rsidRPr="002D0731" w:rsidRDefault="00840A5A">
      <w:pPr>
        <w:rPr>
          <w:sz w:val="22"/>
          <w:szCs w:val="22"/>
        </w:rPr>
      </w:pPr>
      <w:r>
        <w:rPr>
          <w:noProof/>
          <w:color w:val="000000"/>
          <w:sz w:val="22"/>
          <w:szCs w:val="22"/>
          <w:lang w:eastAsia="hu-HU"/>
        </w:rPr>
        <w:drawing>
          <wp:inline distT="0" distB="0" distL="0" distR="0" wp14:anchorId="421AB6F7" wp14:editId="15EA06D0">
            <wp:extent cx="2971800" cy="1121950"/>
            <wp:effectExtent l="0" t="0" r="0" b="2540"/>
            <wp:docPr id="3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6" descr="Macintosh HD:Users:Beheer:Desktop:3_45m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2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A3851" w14:textId="77777777" w:rsidR="00752BEB" w:rsidRPr="002D0731" w:rsidRDefault="00752BEB">
      <w:pPr>
        <w:rPr>
          <w:sz w:val="22"/>
          <w:szCs w:val="22"/>
        </w:rPr>
      </w:pPr>
    </w:p>
    <w:p w14:paraId="146F293F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4. lépés: </w:t>
      </w:r>
      <w:r w:rsidRPr="002D0731">
        <w:rPr>
          <w:sz w:val="22"/>
          <w:szCs w:val="22"/>
        </w:rPr>
        <w:t>Vegye le a „B” fecskendőről a szürke gumikupakot és tegye le a fecskendőt (4. ábra).</w:t>
      </w:r>
    </w:p>
    <w:p w14:paraId="078E1F5C" w14:textId="77777777" w:rsidR="00752BEB" w:rsidRPr="002D0731" w:rsidRDefault="00752BEB">
      <w:pPr>
        <w:rPr>
          <w:sz w:val="22"/>
          <w:szCs w:val="22"/>
        </w:rPr>
      </w:pPr>
    </w:p>
    <w:p w14:paraId="7255BC00" w14:textId="77777777" w:rsidR="00752BEB" w:rsidRPr="002D0731" w:rsidRDefault="00840A5A">
      <w:pPr>
        <w:rPr>
          <w:color w:val="000000"/>
          <w:sz w:val="22"/>
          <w:szCs w:val="22"/>
          <w:lang w:eastAsia="ja-JP"/>
        </w:rPr>
      </w:pPr>
      <w:r>
        <w:rPr>
          <w:noProof/>
          <w:color w:val="000000"/>
          <w:sz w:val="22"/>
          <w:szCs w:val="22"/>
          <w:lang w:eastAsia="hu-HU"/>
        </w:rPr>
        <w:drawing>
          <wp:inline distT="0" distB="0" distL="0" distR="0" wp14:anchorId="4E140E50" wp14:editId="7275E81A">
            <wp:extent cx="2971800" cy="1119213"/>
            <wp:effectExtent l="0" t="0" r="0" b="5080"/>
            <wp:docPr id="4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A32F3" w14:textId="77777777" w:rsidR="00752BEB" w:rsidRPr="002D0731" w:rsidRDefault="00752BEB">
      <w:pPr>
        <w:rPr>
          <w:b/>
          <w:sz w:val="22"/>
          <w:szCs w:val="22"/>
        </w:rPr>
      </w:pPr>
    </w:p>
    <w:p w14:paraId="2E21844C" w14:textId="617C968B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5. lépés: </w:t>
      </w:r>
      <w:r w:rsidRPr="002D0731">
        <w:rPr>
          <w:sz w:val="22"/>
          <w:szCs w:val="22"/>
        </w:rPr>
        <w:t>Tartsa az „A” fecskendőt függőleges helyzetben, hogy ne folyjon ki belőle a folyadék, és csavarja le a fecskendőről az átlátszó kupakot (5. ábra).</w:t>
      </w:r>
    </w:p>
    <w:p w14:paraId="56DD204A" w14:textId="77777777" w:rsidR="00752BEB" w:rsidRPr="002D0731" w:rsidRDefault="00752BEB">
      <w:pPr>
        <w:rPr>
          <w:sz w:val="22"/>
          <w:szCs w:val="22"/>
        </w:rPr>
      </w:pPr>
    </w:p>
    <w:p w14:paraId="7C2C9810" w14:textId="77777777" w:rsidR="00752BEB" w:rsidRPr="002D0731" w:rsidRDefault="00840A5A">
      <w:pPr>
        <w:rPr>
          <w:sz w:val="22"/>
          <w:szCs w:val="22"/>
        </w:rPr>
      </w:pPr>
      <w:r>
        <w:rPr>
          <w:noProof/>
          <w:sz w:val="22"/>
          <w:szCs w:val="22"/>
          <w:lang w:eastAsia="hu-HU"/>
        </w:rPr>
        <w:lastRenderedPageBreak/>
        <w:drawing>
          <wp:inline distT="0" distB="0" distL="0" distR="0" wp14:anchorId="305633DE" wp14:editId="7610A064">
            <wp:extent cx="1409700" cy="2450749"/>
            <wp:effectExtent l="0" t="0" r="0" b="6985"/>
            <wp:docPr id="5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45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28E34" w14:textId="77777777" w:rsidR="00752BEB" w:rsidRPr="002D0731" w:rsidRDefault="00752BEB">
      <w:pPr>
        <w:rPr>
          <w:sz w:val="22"/>
          <w:szCs w:val="22"/>
        </w:rPr>
      </w:pPr>
    </w:p>
    <w:p w14:paraId="09A64C6B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6. lépés: </w:t>
      </w:r>
      <w:r w:rsidRPr="002D0731">
        <w:rPr>
          <w:sz w:val="22"/>
          <w:szCs w:val="22"/>
        </w:rPr>
        <w:t xml:space="preserve">Csatlakoztassa egymáshoz a két fecskendőt, úgy, hogy a „B” fecskendőt rányomja és rácsavarja az „A” fecskendőre, amíg stabil nem lesz (6a és 6b ábra). </w:t>
      </w:r>
      <w:r w:rsidRPr="002D0731">
        <w:rPr>
          <w:b/>
          <w:sz w:val="22"/>
          <w:szCs w:val="22"/>
        </w:rPr>
        <w:t xml:space="preserve">Ne </w:t>
      </w:r>
      <w:r w:rsidR="001A23A2" w:rsidRPr="00CF1D18">
        <w:rPr>
          <w:b/>
          <w:sz w:val="22"/>
          <w:szCs w:val="22"/>
        </w:rPr>
        <w:t>csavarja túl!</w:t>
      </w:r>
    </w:p>
    <w:p w14:paraId="4BCE4B16" w14:textId="77777777" w:rsidR="00752BEB" w:rsidRPr="002D0731" w:rsidRDefault="00752BEB">
      <w:pPr>
        <w:rPr>
          <w:sz w:val="22"/>
          <w:szCs w:val="22"/>
        </w:rPr>
      </w:pPr>
    </w:p>
    <w:p w14:paraId="442356E5" w14:textId="77777777" w:rsidR="00752BEB" w:rsidRPr="002D0731" w:rsidRDefault="00840A5A">
      <w:pPr>
        <w:rPr>
          <w:sz w:val="22"/>
          <w:szCs w:val="22"/>
        </w:rPr>
      </w:pPr>
      <w:r>
        <w:rPr>
          <w:noProof/>
          <w:color w:val="000000"/>
          <w:sz w:val="22"/>
          <w:szCs w:val="22"/>
          <w:lang w:eastAsia="hu-HU"/>
        </w:rPr>
        <w:drawing>
          <wp:inline distT="0" distB="0" distL="0" distR="0" wp14:anchorId="76E606E0" wp14:editId="71A2A49A">
            <wp:extent cx="2781300" cy="2354750"/>
            <wp:effectExtent l="0" t="0" r="0" b="7620"/>
            <wp:docPr id="6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9" descr="Macintosh HD:Users:Beheer:Desktop:6_45mg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35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9691C" w14:textId="77777777" w:rsidR="00752BEB" w:rsidRPr="002D0731" w:rsidRDefault="00752BEB">
      <w:pPr>
        <w:rPr>
          <w:sz w:val="22"/>
          <w:szCs w:val="22"/>
        </w:rPr>
      </w:pPr>
    </w:p>
    <w:p w14:paraId="3BD20973" w14:textId="77777777" w:rsidR="00752BEB" w:rsidRPr="00B60F2A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7. lépés: </w:t>
      </w:r>
      <w:r w:rsidRPr="002D0731">
        <w:rPr>
          <w:sz w:val="22"/>
          <w:szCs w:val="22"/>
        </w:rPr>
        <w:t>Fordítsa meg a csatlakoztatott fecskendőket és továbbra is tartsa őket függőleges helyzetben úgy, hogy a „B” fecskendő legyen alul. Közben fecskendezze át az „A’ fecskendőben lévő folyadékot a „B” fecskendőben lévő porra (leuprorelin-acetátra) (7. ábra)</w:t>
      </w:r>
      <w:r w:rsidRPr="00B60F2A">
        <w:rPr>
          <w:sz w:val="22"/>
          <w:szCs w:val="22"/>
        </w:rPr>
        <w:t>.</w:t>
      </w:r>
    </w:p>
    <w:p w14:paraId="03C1560D" w14:textId="77777777" w:rsidR="00752BEB" w:rsidRPr="00B60F2A" w:rsidRDefault="00752BEB">
      <w:pPr>
        <w:rPr>
          <w:sz w:val="22"/>
          <w:szCs w:val="22"/>
        </w:rPr>
      </w:pPr>
    </w:p>
    <w:p w14:paraId="2B0ED8F6" w14:textId="77777777" w:rsidR="00752BEB" w:rsidRPr="002D0731" w:rsidRDefault="00840A5A">
      <w:pPr>
        <w:rPr>
          <w:b/>
          <w:sz w:val="22"/>
          <w:szCs w:val="22"/>
        </w:rPr>
      </w:pPr>
      <w:r>
        <w:rPr>
          <w:noProof/>
          <w:color w:val="000000"/>
          <w:sz w:val="22"/>
          <w:szCs w:val="22"/>
          <w:lang w:eastAsia="hu-HU"/>
        </w:rPr>
        <w:drawing>
          <wp:inline distT="0" distB="0" distL="0" distR="0" wp14:anchorId="07919113" wp14:editId="76773361">
            <wp:extent cx="1409700" cy="2500075"/>
            <wp:effectExtent l="0" t="0" r="0" b="0"/>
            <wp:docPr id="7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 descr="Macintosh HD:Users:Beheer:Desktop:7_45m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5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61D98" w14:textId="77777777" w:rsidR="00752BEB" w:rsidRPr="002D0731" w:rsidRDefault="00752BEB">
      <w:pPr>
        <w:rPr>
          <w:sz w:val="22"/>
          <w:szCs w:val="22"/>
        </w:rPr>
      </w:pPr>
    </w:p>
    <w:p w14:paraId="46CA5451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>8. lépés</w:t>
      </w:r>
      <w:r w:rsidRPr="002D0731">
        <w:rPr>
          <w:sz w:val="22"/>
          <w:szCs w:val="22"/>
        </w:rPr>
        <w:t>: A vízszintes helyzetben tartott fecskendők tartalmának az egyik fecskendőből a másik fecskendőbe történő, óvatos oda-vissz</w:t>
      </w:r>
      <w:r w:rsidR="006E6424" w:rsidRPr="002D0731">
        <w:rPr>
          <w:sz w:val="22"/>
          <w:szCs w:val="22"/>
        </w:rPr>
        <w:t xml:space="preserve">a fecskendezésével (összesen 60 alkalommal, amely kb. </w:t>
      </w:r>
      <w:r w:rsidR="006E6424" w:rsidRPr="002D0731">
        <w:rPr>
          <w:sz w:val="22"/>
          <w:szCs w:val="22"/>
        </w:rPr>
        <w:lastRenderedPageBreak/>
        <w:t>60 </w:t>
      </w:r>
      <w:r w:rsidRPr="002D0731">
        <w:rPr>
          <w:sz w:val="22"/>
          <w:szCs w:val="22"/>
        </w:rPr>
        <w:t>másodpercig tart) alaposan keverje össze a készítményt, amíg homogén</w:t>
      </w:r>
      <w:r w:rsidR="006E6424" w:rsidRPr="002D0731">
        <w:rPr>
          <w:sz w:val="22"/>
          <w:szCs w:val="22"/>
        </w:rPr>
        <w:t>, viszkózus oldatot nem kap (8. </w:t>
      </w:r>
      <w:r w:rsidRPr="002D0731">
        <w:rPr>
          <w:sz w:val="22"/>
          <w:szCs w:val="22"/>
        </w:rPr>
        <w:t>ábra). Eközben ne hajlítsa meg a két fecskendőből álló rendszert (a fecskendők részleges szétcsatlakoztatása ugyanis szivárgást okozhat).</w:t>
      </w:r>
    </w:p>
    <w:p w14:paraId="5B118A41" w14:textId="77777777" w:rsidR="00752BEB" w:rsidRPr="002D0731" w:rsidRDefault="00752BEB">
      <w:pPr>
        <w:rPr>
          <w:sz w:val="22"/>
          <w:szCs w:val="22"/>
        </w:rPr>
      </w:pPr>
    </w:p>
    <w:p w14:paraId="4AF1CFDB" w14:textId="77777777" w:rsidR="00752BEB" w:rsidRPr="002D0731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 xml:space="preserve">Ha alaposan összekeveredett, akkor viszkózus folyadék képződik, aminek a színe színtelen, fehér vagy </w:t>
      </w:r>
      <w:r w:rsidR="00CD6AC0">
        <w:rPr>
          <w:b/>
          <w:sz w:val="22"/>
          <w:szCs w:val="22"/>
        </w:rPr>
        <w:t>halvány</w:t>
      </w:r>
      <w:r w:rsidR="000D2605">
        <w:rPr>
          <w:b/>
          <w:sz w:val="22"/>
          <w:szCs w:val="22"/>
        </w:rPr>
        <w:t>sárga</w:t>
      </w:r>
      <w:r w:rsidRPr="002D0731">
        <w:rPr>
          <w:b/>
          <w:sz w:val="22"/>
          <w:szCs w:val="22"/>
        </w:rPr>
        <w:t xml:space="preserve"> lehet (a fehér</w:t>
      </w:r>
      <w:r w:rsidR="00852314">
        <w:rPr>
          <w:b/>
          <w:sz w:val="22"/>
          <w:szCs w:val="22"/>
        </w:rPr>
        <w:t>től</w:t>
      </w:r>
      <w:r w:rsidRPr="002D0731">
        <w:rPr>
          <w:b/>
          <w:sz w:val="22"/>
          <w:szCs w:val="22"/>
        </w:rPr>
        <w:t xml:space="preserve"> </w:t>
      </w:r>
      <w:r w:rsidR="00852314">
        <w:rPr>
          <w:b/>
          <w:sz w:val="22"/>
          <w:szCs w:val="22"/>
        </w:rPr>
        <w:t>a</w:t>
      </w:r>
      <w:r w:rsidRPr="002D0731">
        <w:rPr>
          <w:b/>
          <w:sz w:val="22"/>
          <w:szCs w:val="22"/>
        </w:rPr>
        <w:t xml:space="preserve"> halványsárg</w:t>
      </w:r>
      <w:r w:rsidR="00852314">
        <w:rPr>
          <w:b/>
          <w:sz w:val="22"/>
          <w:szCs w:val="22"/>
        </w:rPr>
        <w:t>áig terjedő</w:t>
      </w:r>
      <w:r w:rsidRPr="002D0731">
        <w:rPr>
          <w:b/>
          <w:sz w:val="22"/>
          <w:szCs w:val="22"/>
        </w:rPr>
        <w:t xml:space="preserve"> árnyalatokat is beleértve).</w:t>
      </w:r>
    </w:p>
    <w:p w14:paraId="39BFE225" w14:textId="77777777" w:rsidR="00752BEB" w:rsidRPr="002D0731" w:rsidRDefault="00752BEB">
      <w:pPr>
        <w:rPr>
          <w:sz w:val="22"/>
          <w:szCs w:val="22"/>
        </w:rPr>
      </w:pPr>
    </w:p>
    <w:p w14:paraId="11537A43" w14:textId="03A8449E" w:rsidR="00752BEB" w:rsidRPr="002D0731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 xml:space="preserve">Figyelem: Ha a feloldás megtörtént: azonnal végezze el a következő lépést, mert az oldat viszkozitása az idő múlásával nő. Ne tárolja hűtőszekrényben az </w:t>
      </w:r>
      <w:r w:rsidR="006E6424" w:rsidRPr="002D0731">
        <w:rPr>
          <w:b/>
          <w:sz w:val="22"/>
          <w:szCs w:val="22"/>
        </w:rPr>
        <w:t>elkészített gyógyszert</w:t>
      </w:r>
      <w:r w:rsidRPr="002D0731">
        <w:rPr>
          <w:b/>
          <w:sz w:val="22"/>
          <w:szCs w:val="22"/>
        </w:rPr>
        <w:t>!</w:t>
      </w:r>
    </w:p>
    <w:p w14:paraId="4A86277E" w14:textId="77777777" w:rsidR="00752BEB" w:rsidRPr="00B60F2A" w:rsidRDefault="00752BEB">
      <w:pPr>
        <w:rPr>
          <w:sz w:val="22"/>
          <w:szCs w:val="22"/>
        </w:rPr>
      </w:pPr>
    </w:p>
    <w:p w14:paraId="17A5EDBC" w14:textId="77777777" w:rsidR="00752BEB" w:rsidRDefault="00752BEB">
      <w:pPr>
        <w:rPr>
          <w:sz w:val="22"/>
          <w:szCs w:val="22"/>
        </w:rPr>
      </w:pPr>
      <w:r w:rsidRPr="002D0731">
        <w:rPr>
          <w:sz w:val="22"/>
          <w:szCs w:val="22"/>
        </w:rPr>
        <w:t>Figyelem: a készítményt a leírtak szerint kell összekeverni! A rázás NEM LESZ elegendő a készítmény megfelelő összekeveréséhez!</w:t>
      </w:r>
    </w:p>
    <w:p w14:paraId="539DFA6C" w14:textId="77777777" w:rsidR="005D3A9C" w:rsidRPr="002D0731" w:rsidRDefault="005D3A9C">
      <w:pPr>
        <w:rPr>
          <w:sz w:val="22"/>
          <w:szCs w:val="22"/>
        </w:rPr>
      </w:pPr>
    </w:p>
    <w:p w14:paraId="6E9CD2C1" w14:textId="77777777" w:rsidR="00752BEB" w:rsidRPr="002D0731" w:rsidRDefault="00840A5A">
      <w:pPr>
        <w:rPr>
          <w:sz w:val="22"/>
          <w:szCs w:val="22"/>
        </w:rPr>
      </w:pPr>
      <w:r>
        <w:rPr>
          <w:noProof/>
          <w:color w:val="000000"/>
          <w:sz w:val="22"/>
          <w:szCs w:val="22"/>
          <w:lang w:eastAsia="hu-HU"/>
        </w:rPr>
        <w:drawing>
          <wp:inline distT="0" distB="0" distL="0" distR="0" wp14:anchorId="55FB1A41" wp14:editId="1D2B1FEF">
            <wp:extent cx="2743200" cy="980075"/>
            <wp:effectExtent l="0" t="0" r="0" b="0"/>
            <wp:docPr id="8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1" descr="Macintosh HD:Users:Beheer:Desktop:8_45mg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98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E27EF" w14:textId="77777777" w:rsidR="005D3A9C" w:rsidRPr="00B60F2A" w:rsidRDefault="005D3A9C">
      <w:pPr>
        <w:rPr>
          <w:sz w:val="22"/>
          <w:szCs w:val="22"/>
        </w:rPr>
      </w:pPr>
    </w:p>
    <w:p w14:paraId="7E5EAC00" w14:textId="30E2DEF9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>9. lépés</w:t>
      </w:r>
      <w:r w:rsidRPr="002D0731">
        <w:rPr>
          <w:sz w:val="22"/>
          <w:szCs w:val="22"/>
        </w:rPr>
        <w:t>: Tartsa a fecskendőket függőlegesen, úgy, hogy a „B” fecskendő legyen alul. A fecskendőknek továbbra is szorosan illeszkedniük kell egymáshoz. Az „A” fecskendő dugattyújának benyomásával és a „B” fecskendő dugattyújának enyhe húzásával juttassa át az összes összekevert készítményt a „B” fecskendőbe (a vastag fecskendő) (9. ábra)</w:t>
      </w:r>
      <w:r w:rsidR="00204AB1">
        <w:rPr>
          <w:sz w:val="22"/>
          <w:szCs w:val="22"/>
        </w:rPr>
        <w:t>.</w:t>
      </w:r>
    </w:p>
    <w:p w14:paraId="10F97457" w14:textId="77777777" w:rsidR="00752BEB" w:rsidRPr="002D0731" w:rsidRDefault="00752BEB">
      <w:pPr>
        <w:rPr>
          <w:sz w:val="22"/>
          <w:szCs w:val="22"/>
        </w:rPr>
      </w:pPr>
    </w:p>
    <w:p w14:paraId="4CF0D64B" w14:textId="77777777" w:rsidR="00752BEB" w:rsidRPr="002D0731" w:rsidRDefault="00840A5A">
      <w:pPr>
        <w:rPr>
          <w:sz w:val="22"/>
          <w:szCs w:val="22"/>
        </w:rPr>
      </w:pPr>
      <w:r>
        <w:rPr>
          <w:noProof/>
          <w:sz w:val="22"/>
          <w:szCs w:val="22"/>
          <w:lang w:eastAsia="hu-HU"/>
        </w:rPr>
        <w:drawing>
          <wp:inline distT="0" distB="0" distL="0" distR="0" wp14:anchorId="1A74D204" wp14:editId="0EA9B427">
            <wp:extent cx="1398978" cy="2476500"/>
            <wp:effectExtent l="0" t="0" r="0" b="0"/>
            <wp:docPr id="9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78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9C6EC" w14:textId="77777777" w:rsidR="00752BEB" w:rsidRPr="002D0731" w:rsidRDefault="00752BEB">
      <w:pPr>
        <w:rPr>
          <w:sz w:val="22"/>
          <w:szCs w:val="22"/>
        </w:rPr>
      </w:pPr>
    </w:p>
    <w:p w14:paraId="6531371B" w14:textId="0A90CAFB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>10. lépés</w:t>
      </w:r>
      <w:r w:rsidRPr="002D0731">
        <w:rPr>
          <w:sz w:val="22"/>
          <w:szCs w:val="22"/>
        </w:rPr>
        <w:t>: Válassza le az „A” fecskendőt, miközben a folyamatosan benyomva tartja az „A” fecskendő dugattyúját (10. ábra). Győződjön meg róla, hogy semmi nem folyt ki a készítményből, mert különben a tű nem illeszthető fel kellően szorosan.</w:t>
      </w:r>
    </w:p>
    <w:p w14:paraId="2C1BEBD0" w14:textId="77777777" w:rsidR="00752BEB" w:rsidRPr="002D0731" w:rsidRDefault="00752BEB">
      <w:pPr>
        <w:rPr>
          <w:sz w:val="22"/>
          <w:szCs w:val="22"/>
        </w:rPr>
      </w:pPr>
    </w:p>
    <w:p w14:paraId="46325EB5" w14:textId="77777777" w:rsidR="00752BEB" w:rsidRPr="002D0731" w:rsidRDefault="00752BEB">
      <w:pPr>
        <w:rPr>
          <w:sz w:val="22"/>
          <w:szCs w:val="22"/>
        </w:rPr>
      </w:pPr>
      <w:r w:rsidRPr="002D0731">
        <w:rPr>
          <w:sz w:val="22"/>
          <w:szCs w:val="22"/>
        </w:rPr>
        <w:t>Figyelem! A készítményben egy nagy vagy több kis levegőbuborék maradhat majd – ez elfogadható.</w:t>
      </w:r>
    </w:p>
    <w:p w14:paraId="15681EEC" w14:textId="77777777" w:rsidR="00752BEB" w:rsidRPr="002D0731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Ne nyomja ki a levegőbuborékokat a „B” fecskendőből, ugyanis így a készítményből is veszíthet!</w:t>
      </w:r>
    </w:p>
    <w:p w14:paraId="5676FD0E" w14:textId="77777777" w:rsidR="00752BEB" w:rsidRPr="00B60F2A" w:rsidRDefault="00752BEB">
      <w:pPr>
        <w:rPr>
          <w:sz w:val="22"/>
          <w:szCs w:val="22"/>
        </w:rPr>
      </w:pPr>
    </w:p>
    <w:p w14:paraId="2DD6DA34" w14:textId="77777777" w:rsidR="00752BEB" w:rsidRPr="002D0731" w:rsidRDefault="00840A5A">
      <w:pPr>
        <w:rPr>
          <w:b/>
          <w:sz w:val="22"/>
          <w:szCs w:val="22"/>
        </w:rPr>
      </w:pPr>
      <w:r>
        <w:rPr>
          <w:noProof/>
          <w:color w:val="000000"/>
          <w:sz w:val="22"/>
          <w:szCs w:val="22"/>
          <w:lang w:eastAsia="hu-HU"/>
        </w:rPr>
        <w:lastRenderedPageBreak/>
        <w:drawing>
          <wp:inline distT="0" distB="0" distL="0" distR="0" wp14:anchorId="1F7107B3" wp14:editId="4E411519">
            <wp:extent cx="1476375" cy="2566662"/>
            <wp:effectExtent l="0" t="0" r="0" b="5715"/>
            <wp:docPr id="10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4" descr="Macintosh HD:Users:Beheer:Desktop:10_45m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56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DC7BF" w14:textId="77777777" w:rsidR="00752BEB" w:rsidRPr="00B60F2A" w:rsidRDefault="00752BEB">
      <w:pPr>
        <w:rPr>
          <w:sz w:val="22"/>
          <w:szCs w:val="22"/>
        </w:rPr>
      </w:pPr>
    </w:p>
    <w:p w14:paraId="4264AF79" w14:textId="77777777" w:rsidR="00680F8C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 xml:space="preserve">11. lépés: </w:t>
      </w:r>
    </w:p>
    <w:p w14:paraId="2BAC7A91" w14:textId="6FC7AE76" w:rsidR="00680F8C" w:rsidRPr="00B60F2A" w:rsidRDefault="00752BEB" w:rsidP="00840A84">
      <w:pPr>
        <w:pStyle w:val="Listaszerbekezds"/>
        <w:numPr>
          <w:ilvl w:val="0"/>
          <w:numId w:val="14"/>
        </w:numPr>
        <w:rPr>
          <w:sz w:val="22"/>
          <w:szCs w:val="22"/>
        </w:rPr>
      </w:pPr>
      <w:r w:rsidRPr="00CF1D18">
        <w:rPr>
          <w:sz w:val="22"/>
          <w:szCs w:val="22"/>
        </w:rPr>
        <w:t>Tartsa a „B” fecskendőt felfelé</w:t>
      </w:r>
      <w:r w:rsidR="00680F8C" w:rsidRPr="00DA101C">
        <w:rPr>
          <w:sz w:val="22"/>
          <w:szCs w:val="22"/>
        </w:rPr>
        <w:t xml:space="preserve">, </w:t>
      </w:r>
      <w:r w:rsidR="00680F8C" w:rsidRPr="007D136D">
        <w:rPr>
          <w:sz w:val="22"/>
          <w:szCs w:val="22"/>
        </w:rPr>
        <w:t xml:space="preserve">és </w:t>
      </w:r>
      <w:r w:rsidR="00840A84" w:rsidRPr="00840A84">
        <w:rPr>
          <w:sz w:val="22"/>
          <w:szCs w:val="22"/>
        </w:rPr>
        <w:t>tarts</w:t>
      </w:r>
      <w:r w:rsidR="001B40C4">
        <w:rPr>
          <w:sz w:val="22"/>
          <w:szCs w:val="22"/>
        </w:rPr>
        <w:t>a vissza</w:t>
      </w:r>
      <w:r w:rsidR="00840A84" w:rsidRPr="00840A84">
        <w:rPr>
          <w:sz w:val="22"/>
          <w:szCs w:val="22"/>
        </w:rPr>
        <w:t xml:space="preserve"> a fehér színű dugattyú</w:t>
      </w:r>
      <w:r w:rsidR="001B40C4">
        <w:rPr>
          <w:sz w:val="22"/>
          <w:szCs w:val="22"/>
        </w:rPr>
        <w:t>t</w:t>
      </w:r>
      <w:r w:rsidR="00680F8C" w:rsidRPr="007D136D">
        <w:rPr>
          <w:sz w:val="22"/>
          <w:szCs w:val="22"/>
        </w:rPr>
        <w:t>, hogy ne folyjon ki a készítmény</w:t>
      </w:r>
      <w:r w:rsidR="00680F8C" w:rsidRPr="00C530D2">
        <w:rPr>
          <w:sz w:val="22"/>
          <w:szCs w:val="22"/>
        </w:rPr>
        <w:t>.</w:t>
      </w:r>
    </w:p>
    <w:p w14:paraId="12E6DCB4" w14:textId="77777777" w:rsidR="00680F8C" w:rsidRPr="00B60F2A" w:rsidRDefault="00752BEB" w:rsidP="00CF1D18">
      <w:pPr>
        <w:pStyle w:val="Listaszerbekezds"/>
        <w:numPr>
          <w:ilvl w:val="0"/>
          <w:numId w:val="13"/>
        </w:numPr>
        <w:rPr>
          <w:sz w:val="22"/>
          <w:szCs w:val="22"/>
        </w:rPr>
      </w:pPr>
      <w:r w:rsidRPr="00CF1D18">
        <w:rPr>
          <w:sz w:val="22"/>
          <w:szCs w:val="22"/>
        </w:rPr>
        <w:t xml:space="preserve">Nyissa ki a biztonsági tűt tartalmazó csomagot a hátoldalon található papír eltávolításával, majd vegye ki a biztonsági tűt. </w:t>
      </w:r>
      <w:r w:rsidR="00940D83" w:rsidRPr="009C2FB7">
        <w:rPr>
          <w:sz w:val="22"/>
          <w:szCs w:val="22"/>
        </w:rPr>
        <w:t>Ne távolítsa el a csuklós védő</w:t>
      </w:r>
      <w:r w:rsidR="00940D83">
        <w:rPr>
          <w:sz w:val="22"/>
          <w:szCs w:val="22"/>
        </w:rPr>
        <w:t>pajzsot</w:t>
      </w:r>
      <w:r w:rsidR="00940D83" w:rsidRPr="009C2FB7">
        <w:rPr>
          <w:sz w:val="22"/>
          <w:szCs w:val="22"/>
        </w:rPr>
        <w:t>.</w:t>
      </w:r>
    </w:p>
    <w:p w14:paraId="3DAD9891" w14:textId="77777777" w:rsidR="00680F8C" w:rsidRPr="00B60F2A" w:rsidRDefault="00752BEB" w:rsidP="00CF1D18">
      <w:pPr>
        <w:pStyle w:val="Listaszerbekezds"/>
        <w:numPr>
          <w:ilvl w:val="0"/>
          <w:numId w:val="13"/>
        </w:numPr>
        <w:rPr>
          <w:sz w:val="22"/>
          <w:szCs w:val="22"/>
        </w:rPr>
      </w:pPr>
      <w:r w:rsidRPr="00CF1D18">
        <w:rPr>
          <w:sz w:val="22"/>
          <w:szCs w:val="22"/>
        </w:rPr>
        <w:t xml:space="preserve">Csatlakoztassa a biztonsági tűt a „B” fecskendő végéhez, úgy, hogy </w:t>
      </w:r>
      <w:r w:rsidR="00F5577C">
        <w:rPr>
          <w:sz w:val="22"/>
          <w:szCs w:val="22"/>
        </w:rPr>
        <w:t xml:space="preserve">miközben tartja a fecskendőt, </w:t>
      </w:r>
      <w:r w:rsidR="00680F8C" w:rsidRPr="007D136D">
        <w:rPr>
          <w:sz w:val="22"/>
          <w:szCs w:val="22"/>
        </w:rPr>
        <w:t>finoman</w:t>
      </w:r>
      <w:r w:rsidR="00680F8C" w:rsidRPr="00C530D2">
        <w:rPr>
          <w:sz w:val="22"/>
          <w:szCs w:val="22"/>
        </w:rPr>
        <w:t xml:space="preserve"> </w:t>
      </w:r>
      <w:r w:rsidRPr="00CF1D18">
        <w:rPr>
          <w:sz w:val="22"/>
          <w:szCs w:val="22"/>
        </w:rPr>
        <w:t xml:space="preserve">az óramutató járásával megegyező irányba </w:t>
      </w:r>
      <w:r w:rsidR="00680F8C" w:rsidRPr="00C530D2">
        <w:rPr>
          <w:sz w:val="22"/>
          <w:szCs w:val="22"/>
        </w:rPr>
        <w:t>el</w:t>
      </w:r>
      <w:r w:rsidR="00680F8C" w:rsidRPr="007D136D">
        <w:rPr>
          <w:sz w:val="22"/>
          <w:szCs w:val="22"/>
        </w:rPr>
        <w:t>fordítja</w:t>
      </w:r>
      <w:r w:rsidR="00680F8C" w:rsidRPr="00680F8C">
        <w:rPr>
          <w:sz w:val="22"/>
          <w:szCs w:val="22"/>
        </w:rPr>
        <w:t xml:space="preserve"> </w:t>
      </w:r>
      <w:r w:rsidRPr="00CF1D18">
        <w:rPr>
          <w:sz w:val="22"/>
          <w:szCs w:val="22"/>
        </w:rPr>
        <w:t>a tűt</w:t>
      </w:r>
      <w:r w:rsidR="00680F8C">
        <w:rPr>
          <w:sz w:val="22"/>
          <w:szCs w:val="22"/>
        </w:rPr>
        <w:t xml:space="preserve"> </w:t>
      </w:r>
      <w:r w:rsidR="00680F8C" w:rsidRPr="00C530D2">
        <w:rPr>
          <w:sz w:val="22"/>
          <w:szCs w:val="22"/>
        </w:rPr>
        <w:t xml:space="preserve">körülbelül </w:t>
      </w:r>
      <w:r w:rsidR="00680F8C" w:rsidRPr="007D136D">
        <w:rPr>
          <w:sz w:val="22"/>
          <w:szCs w:val="22"/>
        </w:rPr>
        <w:t>háromnegyed fordulattal</w:t>
      </w:r>
      <w:r w:rsidRPr="00CF1D18">
        <w:rPr>
          <w:sz w:val="22"/>
          <w:szCs w:val="22"/>
        </w:rPr>
        <w:t xml:space="preserve">, amíg </w:t>
      </w:r>
      <w:r w:rsidR="00680F8C" w:rsidRPr="00C530D2">
        <w:rPr>
          <w:sz w:val="22"/>
          <w:szCs w:val="22"/>
        </w:rPr>
        <w:t xml:space="preserve">a tű </w:t>
      </w:r>
      <w:r w:rsidR="00680F8C" w:rsidRPr="007D136D">
        <w:rPr>
          <w:sz w:val="22"/>
          <w:szCs w:val="22"/>
        </w:rPr>
        <w:t>biztonságosan</w:t>
      </w:r>
      <w:r w:rsidR="00680F8C" w:rsidRPr="000C5F65">
        <w:rPr>
          <w:szCs w:val="22"/>
        </w:rPr>
        <w:t xml:space="preserve"> </w:t>
      </w:r>
      <w:r w:rsidRPr="00CF1D18">
        <w:rPr>
          <w:sz w:val="22"/>
          <w:szCs w:val="22"/>
        </w:rPr>
        <w:t>rögzül a fecskendőhöz (11. ábra)</w:t>
      </w:r>
      <w:r w:rsidR="00680F8C">
        <w:rPr>
          <w:sz w:val="22"/>
          <w:szCs w:val="22"/>
        </w:rPr>
        <w:t>.</w:t>
      </w:r>
    </w:p>
    <w:p w14:paraId="47C2CED6" w14:textId="77777777" w:rsidR="00AF10BD" w:rsidRPr="00B60F2A" w:rsidRDefault="00AF10BD" w:rsidP="00AF10BD">
      <w:pPr>
        <w:rPr>
          <w:sz w:val="22"/>
          <w:szCs w:val="22"/>
        </w:rPr>
      </w:pPr>
    </w:p>
    <w:p w14:paraId="1785D19E" w14:textId="5A7CD64F" w:rsidR="00AF10BD" w:rsidRDefault="00E571BD" w:rsidP="00680F8C">
      <w:pPr>
        <w:rPr>
          <w:sz w:val="22"/>
          <w:szCs w:val="22"/>
        </w:rPr>
      </w:pPr>
      <w:r w:rsidRPr="00CF1D18">
        <w:rPr>
          <w:b/>
          <w:sz w:val="22"/>
          <w:szCs w:val="22"/>
        </w:rPr>
        <w:t>Ne csavarja túl</w:t>
      </w:r>
      <w:r w:rsidR="00680F8C" w:rsidRPr="007D136D">
        <w:rPr>
          <w:b/>
          <w:sz w:val="22"/>
          <w:szCs w:val="22"/>
        </w:rPr>
        <w:t xml:space="preserve">, </w:t>
      </w:r>
      <w:r w:rsidR="00680F8C" w:rsidRPr="007D136D">
        <w:rPr>
          <w:sz w:val="22"/>
          <w:szCs w:val="22"/>
        </w:rPr>
        <w:t>mert ettől elrepedhet a tű kónusza, és a készítmény kifolyhat az injekció beadás</w:t>
      </w:r>
      <w:r w:rsidR="00680F8C">
        <w:rPr>
          <w:sz w:val="22"/>
          <w:szCs w:val="22"/>
        </w:rPr>
        <w:t>akor</w:t>
      </w:r>
      <w:r w:rsidR="00680F8C" w:rsidRPr="007D136D">
        <w:rPr>
          <w:sz w:val="22"/>
          <w:szCs w:val="22"/>
        </w:rPr>
        <w:t>.</w:t>
      </w:r>
    </w:p>
    <w:p w14:paraId="03C76721" w14:textId="77777777" w:rsidR="00AF10BD" w:rsidRPr="00EA4945" w:rsidRDefault="00AF10BD" w:rsidP="00AF10BD">
      <w:pPr>
        <w:rPr>
          <w:sz w:val="22"/>
          <w:szCs w:val="22"/>
        </w:rPr>
      </w:pPr>
      <w:r w:rsidRPr="00EA4945">
        <w:rPr>
          <w:sz w:val="22"/>
          <w:szCs w:val="22"/>
        </w:rPr>
        <w:t xml:space="preserve">Ha a tű kónusza elrepedt, sérültnek látszik vagy szivárog, a készítmény nem használható fel. A sérült tűt nem szabad lecserélni, és a készítményt nem szabad beadni. </w:t>
      </w:r>
      <w:r w:rsidRPr="00A059CF">
        <w:rPr>
          <w:sz w:val="22"/>
          <w:szCs w:val="22"/>
        </w:rPr>
        <w:t xml:space="preserve">A készítményt teljes </w:t>
      </w:r>
      <w:r w:rsidRPr="00EA4945">
        <w:rPr>
          <w:sz w:val="22"/>
          <w:szCs w:val="22"/>
        </w:rPr>
        <w:t xml:space="preserve">egészében biztonságos módon </w:t>
      </w:r>
      <w:r w:rsidR="0066354F">
        <w:rPr>
          <w:sz w:val="22"/>
          <w:szCs w:val="22"/>
        </w:rPr>
        <w:t>meg</w:t>
      </w:r>
      <w:r w:rsidRPr="00EA4945">
        <w:rPr>
          <w:sz w:val="22"/>
          <w:szCs w:val="22"/>
        </w:rPr>
        <w:t xml:space="preserve"> kell</w:t>
      </w:r>
      <w:r w:rsidR="0066354F">
        <w:rPr>
          <w:sz w:val="22"/>
          <w:szCs w:val="22"/>
        </w:rPr>
        <w:t xml:space="preserve"> semmisíteni</w:t>
      </w:r>
      <w:r w:rsidRPr="00EA4945">
        <w:rPr>
          <w:sz w:val="22"/>
          <w:szCs w:val="22"/>
        </w:rPr>
        <w:t>.</w:t>
      </w:r>
    </w:p>
    <w:p w14:paraId="13CC1078" w14:textId="77777777" w:rsidR="00AF10BD" w:rsidRPr="00EA4945" w:rsidRDefault="00AF10BD" w:rsidP="00AF10BD">
      <w:pPr>
        <w:rPr>
          <w:sz w:val="22"/>
          <w:szCs w:val="22"/>
        </w:rPr>
      </w:pPr>
    </w:p>
    <w:p w14:paraId="16A076E8" w14:textId="77777777" w:rsidR="00AF10BD" w:rsidRPr="001E6355" w:rsidRDefault="00AF10BD" w:rsidP="00AF10BD">
      <w:pPr>
        <w:rPr>
          <w:b/>
          <w:sz w:val="22"/>
          <w:szCs w:val="22"/>
        </w:rPr>
      </w:pPr>
      <w:r w:rsidRPr="00EA4945">
        <w:rPr>
          <w:sz w:val="22"/>
          <w:szCs w:val="22"/>
        </w:rPr>
        <w:t>Ha a tű kónusza sérült, egy új terméket kell helyette felhasználni.</w:t>
      </w:r>
    </w:p>
    <w:p w14:paraId="24FE554F" w14:textId="77777777" w:rsidR="00752BEB" w:rsidRPr="002D0731" w:rsidRDefault="00840A5A">
      <w:pPr>
        <w:rPr>
          <w:b/>
          <w:sz w:val="22"/>
          <w:szCs w:val="22"/>
        </w:rPr>
      </w:pPr>
      <w:r>
        <w:rPr>
          <w:b/>
          <w:noProof/>
          <w:sz w:val="22"/>
          <w:szCs w:val="22"/>
          <w:lang w:eastAsia="hu-HU"/>
        </w:rPr>
        <w:drawing>
          <wp:inline distT="0" distB="0" distL="0" distR="0" wp14:anchorId="31D34D54" wp14:editId="124A62EA">
            <wp:extent cx="1409700" cy="2437283"/>
            <wp:effectExtent l="0" t="0" r="0" b="1270"/>
            <wp:docPr id="11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5" descr="Macintosh HD:Users:Beheer:Desktop:11_45mg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43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B85ED" w14:textId="77777777" w:rsidR="00752BEB" w:rsidRPr="002D0731" w:rsidRDefault="00752BEB">
      <w:pPr>
        <w:rPr>
          <w:sz w:val="22"/>
          <w:szCs w:val="22"/>
        </w:rPr>
      </w:pPr>
    </w:p>
    <w:p w14:paraId="56EDA0D9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>12. lépés</w:t>
      </w:r>
      <w:r w:rsidRPr="002D0731">
        <w:rPr>
          <w:sz w:val="22"/>
          <w:szCs w:val="22"/>
        </w:rPr>
        <w:t>: Az alkalmazás előtt</w:t>
      </w:r>
      <w:r w:rsidR="00AC15B6" w:rsidRPr="00AC15B6">
        <w:rPr>
          <w:color w:val="000000"/>
          <w:sz w:val="22"/>
          <w:szCs w:val="22"/>
        </w:rPr>
        <w:t xml:space="preserve"> </w:t>
      </w:r>
      <w:r w:rsidR="00AC15B6">
        <w:rPr>
          <w:color w:val="000000"/>
          <w:sz w:val="22"/>
          <w:szCs w:val="22"/>
        </w:rPr>
        <w:t>fordítsa el a</w:t>
      </w:r>
      <w:r w:rsidR="00AC15B6" w:rsidRPr="006F2681">
        <w:rPr>
          <w:sz w:val="22"/>
          <w:szCs w:val="22"/>
        </w:rPr>
        <w:t xml:space="preserve"> </w:t>
      </w:r>
      <w:r w:rsidR="00AC15B6">
        <w:rPr>
          <w:sz w:val="22"/>
          <w:szCs w:val="22"/>
        </w:rPr>
        <w:t>biztonsági</w:t>
      </w:r>
      <w:r w:rsidR="00AC15B6">
        <w:rPr>
          <w:color w:val="000000"/>
          <w:sz w:val="22"/>
          <w:szCs w:val="22"/>
        </w:rPr>
        <w:t xml:space="preserve"> </w:t>
      </w:r>
      <w:r w:rsidR="00AC15B6" w:rsidRPr="009C2FB7">
        <w:rPr>
          <w:sz w:val="22"/>
          <w:szCs w:val="22"/>
        </w:rPr>
        <w:t>védő</w:t>
      </w:r>
      <w:r w:rsidR="00AC15B6">
        <w:rPr>
          <w:sz w:val="22"/>
          <w:szCs w:val="22"/>
        </w:rPr>
        <w:t>pajzsot</w:t>
      </w:r>
      <w:r w:rsidR="00AC15B6">
        <w:rPr>
          <w:color w:val="000000"/>
          <w:sz w:val="22"/>
          <w:szCs w:val="22"/>
        </w:rPr>
        <w:t xml:space="preserve"> és</w:t>
      </w:r>
      <w:r w:rsidRPr="002D0731">
        <w:rPr>
          <w:sz w:val="22"/>
          <w:szCs w:val="22"/>
        </w:rPr>
        <w:t xml:space="preserve"> húzza le a tűről</w:t>
      </w:r>
      <w:r w:rsidR="004A6C7E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a tűvédőt</w:t>
      </w:r>
      <w:r w:rsidRPr="002D0731">
        <w:rPr>
          <w:b/>
          <w:sz w:val="22"/>
          <w:szCs w:val="22"/>
        </w:rPr>
        <w:t xml:space="preserve"> </w:t>
      </w:r>
      <w:r w:rsidRPr="002D0731">
        <w:rPr>
          <w:sz w:val="22"/>
          <w:szCs w:val="22"/>
        </w:rPr>
        <w:t>(12.</w:t>
      </w:r>
      <w:r w:rsidR="00B33666">
        <w:rPr>
          <w:sz w:val="22"/>
          <w:szCs w:val="22"/>
        </w:rPr>
        <w:t> </w:t>
      </w:r>
      <w:r w:rsidRPr="002D0731">
        <w:rPr>
          <w:sz w:val="22"/>
          <w:szCs w:val="22"/>
        </w:rPr>
        <w:t>ábra).</w:t>
      </w:r>
    </w:p>
    <w:p w14:paraId="7540972B" w14:textId="77777777" w:rsidR="00752BEB" w:rsidRPr="002D0731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Figyelem: Alkalmazás előtt ne próbálgassa a biztonsági tűt!</w:t>
      </w:r>
    </w:p>
    <w:p w14:paraId="49F453DE" w14:textId="77777777" w:rsidR="00752BEB" w:rsidRPr="00B60F2A" w:rsidRDefault="00752BEB">
      <w:pPr>
        <w:rPr>
          <w:sz w:val="22"/>
          <w:szCs w:val="22"/>
        </w:rPr>
      </w:pPr>
    </w:p>
    <w:p w14:paraId="3D42403E" w14:textId="77777777" w:rsidR="00752BEB" w:rsidRPr="002D0731" w:rsidRDefault="00840A5A">
      <w:pPr>
        <w:rPr>
          <w:sz w:val="22"/>
          <w:szCs w:val="22"/>
        </w:rPr>
      </w:pPr>
      <w:r>
        <w:rPr>
          <w:noProof/>
          <w:sz w:val="22"/>
          <w:szCs w:val="22"/>
          <w:lang w:eastAsia="hu-HU"/>
        </w:rPr>
        <w:lastRenderedPageBreak/>
        <w:drawing>
          <wp:inline distT="0" distB="0" distL="0" distR="0" wp14:anchorId="4AC164DA" wp14:editId="7846E1B9">
            <wp:extent cx="1427135" cy="2476500"/>
            <wp:effectExtent l="0" t="0" r="1905" b="0"/>
            <wp:docPr id="12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13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76723" w14:textId="77777777" w:rsidR="00752BEB" w:rsidRPr="00B60F2A" w:rsidDel="0057618B" w:rsidRDefault="00752BEB">
      <w:pPr>
        <w:rPr>
          <w:sz w:val="22"/>
          <w:szCs w:val="22"/>
        </w:rPr>
      </w:pPr>
    </w:p>
    <w:p w14:paraId="7E2C70AB" w14:textId="77777777" w:rsidR="00752BEB" w:rsidRDefault="00752BEB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 xml:space="preserve">13. lépés: </w:t>
      </w:r>
      <w:r w:rsidRPr="002D0731">
        <w:rPr>
          <w:sz w:val="22"/>
          <w:szCs w:val="22"/>
        </w:rPr>
        <w:t>Alkalmazás előtt távolítsa el a nagy levegőbuborékokat a „B” fecskendőből. Bőr alá adja be a készítményt</w:t>
      </w:r>
      <w:r w:rsidR="003802E4" w:rsidRPr="003802E4">
        <w:rPr>
          <w:sz w:val="22"/>
          <w:szCs w:val="22"/>
        </w:rPr>
        <w:t xml:space="preserve"> </w:t>
      </w:r>
      <w:r w:rsidR="003802E4">
        <w:rPr>
          <w:sz w:val="22"/>
          <w:szCs w:val="22"/>
        </w:rPr>
        <w:t>és közben a</w:t>
      </w:r>
      <w:r w:rsidR="003802E4" w:rsidRPr="006F2681">
        <w:rPr>
          <w:sz w:val="22"/>
          <w:szCs w:val="22"/>
        </w:rPr>
        <w:t xml:space="preserve"> </w:t>
      </w:r>
      <w:r w:rsidR="003802E4">
        <w:rPr>
          <w:sz w:val="22"/>
          <w:szCs w:val="22"/>
        </w:rPr>
        <w:t>biztonsági védőpajzsot tartsa el a tűtől</w:t>
      </w:r>
      <w:r w:rsidRPr="002D0731">
        <w:rPr>
          <w:sz w:val="22"/>
          <w:szCs w:val="22"/>
        </w:rPr>
        <w:t>. Győződjön meg róla, hogy a „B” fecskendő teljes tartalmát beadta</w:t>
      </w:r>
      <w:r w:rsidRPr="002D0731">
        <w:rPr>
          <w:b/>
          <w:sz w:val="22"/>
          <w:szCs w:val="22"/>
        </w:rPr>
        <w:t>.</w:t>
      </w:r>
    </w:p>
    <w:p w14:paraId="09EB50DA" w14:textId="77777777" w:rsidR="005B1167" w:rsidRPr="00B60F2A" w:rsidRDefault="005B1167">
      <w:pPr>
        <w:rPr>
          <w:sz w:val="22"/>
          <w:szCs w:val="22"/>
        </w:rPr>
      </w:pPr>
    </w:p>
    <w:p w14:paraId="23897112" w14:textId="77777777" w:rsidR="00752BEB" w:rsidRPr="002D0731" w:rsidRDefault="00752BEB">
      <w:pPr>
        <w:rPr>
          <w:sz w:val="22"/>
          <w:szCs w:val="22"/>
        </w:rPr>
      </w:pPr>
      <w:r w:rsidRPr="002D0731">
        <w:rPr>
          <w:b/>
          <w:sz w:val="22"/>
          <w:szCs w:val="22"/>
        </w:rPr>
        <w:t xml:space="preserve">14. lépés: </w:t>
      </w:r>
      <w:r w:rsidRPr="002D0731">
        <w:rPr>
          <w:sz w:val="22"/>
          <w:szCs w:val="22"/>
        </w:rPr>
        <w:t>Az injekció beadása után zárja le a biztonsági védőpajzsot az alábbiakban leírt aktiváló módszerek egyikével.</w:t>
      </w:r>
    </w:p>
    <w:p w14:paraId="6AC38A04" w14:textId="77777777" w:rsidR="00752BEB" w:rsidRPr="002D0731" w:rsidRDefault="00752BEB">
      <w:pPr>
        <w:rPr>
          <w:sz w:val="22"/>
          <w:szCs w:val="22"/>
        </w:rPr>
      </w:pPr>
    </w:p>
    <w:p w14:paraId="6A92AA6B" w14:textId="77777777" w:rsidR="00752BEB" w:rsidRPr="002D0731" w:rsidRDefault="00752BEB" w:rsidP="00BE6D4A">
      <w:pPr>
        <w:numPr>
          <w:ilvl w:val="0"/>
          <w:numId w:val="10"/>
        </w:numPr>
        <w:tabs>
          <w:tab w:val="clear" w:pos="1287"/>
        </w:tabs>
        <w:ind w:left="0" w:hanging="11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 xml:space="preserve">Lezárás egy sík felületen </w:t>
      </w:r>
    </w:p>
    <w:p w14:paraId="17A0CB73" w14:textId="77777777" w:rsidR="00752BEB" w:rsidRPr="002D0731" w:rsidRDefault="00752BEB">
      <w:pPr>
        <w:rPr>
          <w:sz w:val="22"/>
          <w:szCs w:val="22"/>
        </w:rPr>
      </w:pPr>
    </w:p>
    <w:p w14:paraId="0EA9C8EE" w14:textId="77777777" w:rsidR="00752BEB" w:rsidRPr="002D0731" w:rsidRDefault="00752BEB">
      <w:pPr>
        <w:rPr>
          <w:sz w:val="22"/>
          <w:szCs w:val="22"/>
        </w:rPr>
      </w:pPr>
      <w:r w:rsidRPr="002D0731">
        <w:rPr>
          <w:sz w:val="22"/>
          <w:szCs w:val="22"/>
        </w:rPr>
        <w:t>Nyomja meg a biztonsági védőpajzsot az emelőgombbal lefelé egy sík felületen (14.1a és 14.1b ábra), hogy lefedje a tűt és lezárja a védőpajzsot.</w:t>
      </w:r>
    </w:p>
    <w:p w14:paraId="228E173F" w14:textId="77777777" w:rsidR="00752BEB" w:rsidRDefault="00752BEB">
      <w:pPr>
        <w:rPr>
          <w:sz w:val="22"/>
          <w:szCs w:val="22"/>
        </w:rPr>
      </w:pPr>
      <w:r w:rsidRPr="002D0731">
        <w:rPr>
          <w:sz w:val="22"/>
          <w:szCs w:val="22"/>
        </w:rPr>
        <w:t>Úgy győződhet meg a zárt pozícióró</w:t>
      </w:r>
      <w:r w:rsidR="004A6C7E" w:rsidRPr="002D0731">
        <w:rPr>
          <w:sz w:val="22"/>
          <w:szCs w:val="22"/>
        </w:rPr>
        <w:t>l, ha hallja és érzi a „kattaná</w:t>
      </w:r>
      <w:r w:rsidRPr="002D0731">
        <w:rPr>
          <w:sz w:val="22"/>
          <w:szCs w:val="22"/>
        </w:rPr>
        <w:t>st”. Ekkor a védőpajzs teljesen lefedi a tűhegyet (14.1b ábra).</w:t>
      </w:r>
    </w:p>
    <w:p w14:paraId="401E9BFC" w14:textId="77777777" w:rsidR="005B1167" w:rsidRPr="002D0731" w:rsidRDefault="005B1167">
      <w:pPr>
        <w:rPr>
          <w:sz w:val="22"/>
          <w:szCs w:val="22"/>
        </w:rPr>
      </w:pPr>
    </w:p>
    <w:p w14:paraId="7152F30D" w14:textId="77777777" w:rsidR="00752BEB" w:rsidRPr="002D0731" w:rsidRDefault="00840A5A">
      <w:pPr>
        <w:rPr>
          <w:sz w:val="22"/>
          <w:szCs w:val="22"/>
        </w:rPr>
      </w:pPr>
      <w:r>
        <w:rPr>
          <w:noProof/>
          <w:sz w:val="22"/>
          <w:szCs w:val="22"/>
          <w:lang w:eastAsia="hu-HU"/>
        </w:rPr>
        <w:drawing>
          <wp:inline distT="0" distB="0" distL="0" distR="0" wp14:anchorId="524E70F0" wp14:editId="264F9569">
            <wp:extent cx="2962275" cy="2440128"/>
            <wp:effectExtent l="0" t="0" r="0" b="0"/>
            <wp:docPr id="13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44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33821" w14:textId="77777777" w:rsidR="00752BEB" w:rsidRPr="00B60F2A" w:rsidRDefault="00752BEB" w:rsidP="00B60F2A">
      <w:pPr>
        <w:tabs>
          <w:tab w:val="left" w:pos="851"/>
          <w:tab w:val="num" w:pos="2160"/>
        </w:tabs>
        <w:rPr>
          <w:sz w:val="22"/>
          <w:szCs w:val="22"/>
        </w:rPr>
      </w:pPr>
    </w:p>
    <w:p w14:paraId="2BCD0DF3" w14:textId="77777777" w:rsidR="00752BEB" w:rsidRPr="002D0731" w:rsidRDefault="00752BEB" w:rsidP="00BE6D4A">
      <w:pPr>
        <w:numPr>
          <w:ilvl w:val="0"/>
          <w:numId w:val="3"/>
        </w:numPr>
        <w:tabs>
          <w:tab w:val="clear" w:pos="1065"/>
        </w:tabs>
        <w:ind w:left="0" w:firstLine="0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Hüvelykujjal történő lezárás</w:t>
      </w:r>
    </w:p>
    <w:p w14:paraId="749CF373" w14:textId="77777777" w:rsidR="00752BEB" w:rsidRPr="00204AB1" w:rsidRDefault="00752BEB">
      <w:pPr>
        <w:tabs>
          <w:tab w:val="left" w:pos="851"/>
        </w:tabs>
        <w:rPr>
          <w:sz w:val="22"/>
          <w:szCs w:val="22"/>
        </w:rPr>
      </w:pPr>
    </w:p>
    <w:p w14:paraId="44346A41" w14:textId="77777777" w:rsidR="00752BEB" w:rsidRPr="002D0731" w:rsidRDefault="00752BEB">
      <w:pPr>
        <w:tabs>
          <w:tab w:val="left" w:pos="851"/>
        </w:tabs>
        <w:rPr>
          <w:sz w:val="22"/>
          <w:szCs w:val="22"/>
        </w:rPr>
      </w:pPr>
      <w:r w:rsidRPr="002D0731">
        <w:rPr>
          <w:sz w:val="22"/>
          <w:szCs w:val="22"/>
        </w:rPr>
        <w:t>Helyezze hüvelykujját</w:t>
      </w:r>
      <w:r w:rsidR="00B22FE1" w:rsidRPr="00B22FE1">
        <w:rPr>
          <w:sz w:val="22"/>
          <w:szCs w:val="22"/>
        </w:rPr>
        <w:t xml:space="preserve"> </w:t>
      </w:r>
      <w:r w:rsidR="00B22FE1">
        <w:rPr>
          <w:sz w:val="22"/>
          <w:szCs w:val="22"/>
        </w:rPr>
        <w:t>a biztonsági védőpajzsra (14.2a ábra), majd takarja el vele a tű hegyét és zárja le a védőpajzsot.</w:t>
      </w:r>
    </w:p>
    <w:p w14:paraId="29DD139C" w14:textId="77777777" w:rsidR="00752BEB" w:rsidRPr="002D0731" w:rsidRDefault="00752BEB">
      <w:pPr>
        <w:rPr>
          <w:sz w:val="22"/>
          <w:szCs w:val="22"/>
        </w:rPr>
      </w:pPr>
      <w:r w:rsidRPr="002D0731">
        <w:rPr>
          <w:sz w:val="22"/>
          <w:szCs w:val="22"/>
        </w:rPr>
        <w:t>Úgy győződhet meg a zárt pozícióról, ha h</w:t>
      </w:r>
      <w:r w:rsidR="004A6C7E" w:rsidRPr="002D0731">
        <w:rPr>
          <w:sz w:val="22"/>
          <w:szCs w:val="22"/>
        </w:rPr>
        <w:t>allja és érzi a „kattaná</w:t>
      </w:r>
      <w:r w:rsidRPr="002D0731">
        <w:rPr>
          <w:sz w:val="22"/>
          <w:szCs w:val="22"/>
        </w:rPr>
        <w:t>st”. Ekkor a védőpajzs teljesen lefedi a tűhegyet (14.2b ábra).</w:t>
      </w:r>
    </w:p>
    <w:p w14:paraId="214612E7" w14:textId="77777777" w:rsidR="00752BEB" w:rsidRPr="002D0731" w:rsidRDefault="00752BEB">
      <w:pPr>
        <w:rPr>
          <w:sz w:val="22"/>
          <w:szCs w:val="22"/>
        </w:rPr>
      </w:pPr>
    </w:p>
    <w:p w14:paraId="184FE97C" w14:textId="77777777" w:rsidR="00752BEB" w:rsidRPr="002D0731" w:rsidRDefault="00840A5A">
      <w:pPr>
        <w:rPr>
          <w:sz w:val="22"/>
          <w:szCs w:val="22"/>
        </w:rPr>
      </w:pPr>
      <w:r>
        <w:rPr>
          <w:noProof/>
          <w:sz w:val="22"/>
          <w:szCs w:val="22"/>
          <w:lang w:eastAsia="hu-HU"/>
        </w:rPr>
        <w:lastRenderedPageBreak/>
        <w:drawing>
          <wp:inline distT="0" distB="0" distL="0" distR="0" wp14:anchorId="5623980A" wp14:editId="2E8C88A2">
            <wp:extent cx="2981325" cy="2519579"/>
            <wp:effectExtent l="0" t="0" r="0" b="0"/>
            <wp:docPr id="14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519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CEB0D" w14:textId="77777777" w:rsidR="005144EE" w:rsidRPr="002D0731" w:rsidRDefault="005144EE">
      <w:pPr>
        <w:tabs>
          <w:tab w:val="left" w:pos="851"/>
        </w:tabs>
        <w:rPr>
          <w:sz w:val="22"/>
          <w:szCs w:val="22"/>
        </w:rPr>
      </w:pPr>
    </w:p>
    <w:p w14:paraId="069223A0" w14:textId="77777777" w:rsidR="005441F1" w:rsidRPr="002D0731" w:rsidRDefault="00752BEB">
      <w:pPr>
        <w:rPr>
          <w:b/>
          <w:noProof/>
          <w:sz w:val="22"/>
          <w:szCs w:val="22"/>
        </w:rPr>
      </w:pPr>
      <w:r w:rsidRPr="002D0731">
        <w:rPr>
          <w:b/>
          <w:sz w:val="22"/>
          <w:szCs w:val="22"/>
        </w:rPr>
        <w:t>15. lépés</w:t>
      </w:r>
      <w:r w:rsidRPr="002D0731">
        <w:rPr>
          <w:sz w:val="22"/>
          <w:szCs w:val="22"/>
        </w:rPr>
        <w:t>: Ha aktiválta a biztonsági tűt, azonnal dobja a tűt és a fecskendőt egy alkalmas, erre a célra kijelölt zárt gyűjtőtartályba.</w:t>
      </w:r>
    </w:p>
    <w:p w14:paraId="2F6D52B2" w14:textId="77777777" w:rsidR="00CF3B77" w:rsidRPr="002D0731" w:rsidRDefault="00CF3B77">
      <w:pPr>
        <w:tabs>
          <w:tab w:val="left" w:pos="180"/>
        </w:tabs>
        <w:jc w:val="both"/>
        <w:rPr>
          <w:sz w:val="22"/>
          <w:szCs w:val="22"/>
        </w:rPr>
      </w:pPr>
    </w:p>
    <w:p w14:paraId="100A3887" w14:textId="77777777" w:rsidR="00CF3B77" w:rsidRPr="002D0731" w:rsidRDefault="00CF3B77">
      <w:pPr>
        <w:rPr>
          <w:sz w:val="22"/>
          <w:szCs w:val="22"/>
        </w:rPr>
      </w:pPr>
      <w:r w:rsidRPr="002D0731">
        <w:rPr>
          <w:b/>
          <w:bCs/>
          <w:sz w:val="22"/>
          <w:szCs w:val="22"/>
        </w:rPr>
        <w:t>Megjegyzés</w:t>
      </w:r>
      <w:r w:rsidR="00A80DB4" w:rsidRPr="002D0731">
        <w:rPr>
          <w:b/>
          <w:bCs/>
          <w:sz w:val="22"/>
          <w:szCs w:val="22"/>
        </w:rPr>
        <w:t xml:space="preserve">: </w:t>
      </w:r>
      <w:r w:rsidR="00A80DB4" w:rsidRPr="002D0731">
        <w:rPr>
          <w:sz w:val="22"/>
          <w:szCs w:val="22"/>
        </w:rPr>
        <w:sym w:font="Wingdings" w:char="F058"/>
      </w:r>
      <w:r w:rsidR="00A80DB4" w:rsidRPr="002D0731">
        <w:rPr>
          <w:sz w:val="22"/>
          <w:szCs w:val="22"/>
        </w:rPr>
        <w:sym w:font="Wingdings" w:char="F058"/>
      </w:r>
      <w:r w:rsidR="00A80DB4" w:rsidRPr="002D0731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(két kereszt</w:t>
      </w:r>
      <w:r w:rsidR="00A80DB4" w:rsidRPr="002D0731">
        <w:rPr>
          <w:sz w:val="22"/>
          <w:szCs w:val="22"/>
        </w:rPr>
        <w:t>es</w:t>
      </w:r>
      <w:r w:rsidRPr="002D0731">
        <w:rPr>
          <w:sz w:val="22"/>
          <w:szCs w:val="22"/>
        </w:rPr>
        <w:t>)</w:t>
      </w:r>
    </w:p>
    <w:p w14:paraId="73275FEB" w14:textId="77777777" w:rsidR="00647D78" w:rsidRPr="002D0731" w:rsidRDefault="00647D78">
      <w:pPr>
        <w:tabs>
          <w:tab w:val="left" w:pos="180"/>
        </w:tabs>
        <w:rPr>
          <w:sz w:val="22"/>
          <w:szCs w:val="22"/>
        </w:rPr>
      </w:pPr>
      <w:r w:rsidRPr="002D0731">
        <w:rPr>
          <w:sz w:val="22"/>
          <w:szCs w:val="22"/>
        </w:rPr>
        <w:t>Osztályozás:</w:t>
      </w:r>
      <w:r w:rsidR="00460B51" w:rsidRPr="002D0731">
        <w:rPr>
          <w:sz w:val="22"/>
          <w:szCs w:val="22"/>
        </w:rPr>
        <w:t xml:space="preserve"> </w:t>
      </w:r>
      <w:r w:rsidRPr="002D0731">
        <w:rPr>
          <w:b/>
          <w:sz w:val="22"/>
          <w:szCs w:val="22"/>
        </w:rPr>
        <w:t>II./2 csoport</w:t>
      </w:r>
    </w:p>
    <w:p w14:paraId="4897A226" w14:textId="77777777" w:rsidR="00647D78" w:rsidRPr="002D0731" w:rsidRDefault="00647D78">
      <w:pPr>
        <w:tabs>
          <w:tab w:val="left" w:pos="180"/>
        </w:tabs>
        <w:rPr>
          <w:sz w:val="22"/>
          <w:szCs w:val="22"/>
        </w:rPr>
      </w:pPr>
      <w:r w:rsidRPr="002D0731">
        <w:rPr>
          <w:sz w:val="22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7C34554E" w14:textId="77777777" w:rsidR="00CF3B77" w:rsidRPr="002D0731" w:rsidRDefault="00CF3B77">
      <w:pPr>
        <w:pStyle w:val="Szvegtrzs"/>
        <w:tabs>
          <w:tab w:val="left" w:pos="180"/>
        </w:tabs>
        <w:suppressAutoHyphens w:val="0"/>
        <w:rPr>
          <w:szCs w:val="22"/>
          <w:lang w:val="hu-HU"/>
        </w:rPr>
      </w:pPr>
    </w:p>
    <w:p w14:paraId="7EB998CE" w14:textId="77777777" w:rsidR="007D2665" w:rsidRPr="002D0731" w:rsidRDefault="007D2665">
      <w:pPr>
        <w:pStyle w:val="Szvegtrzs"/>
        <w:tabs>
          <w:tab w:val="left" w:pos="180"/>
        </w:tabs>
        <w:suppressAutoHyphens w:val="0"/>
        <w:rPr>
          <w:szCs w:val="22"/>
          <w:lang w:val="hu-HU"/>
        </w:rPr>
      </w:pPr>
    </w:p>
    <w:p w14:paraId="31280043" w14:textId="77777777" w:rsidR="00CF3B77" w:rsidRPr="002D0731" w:rsidRDefault="00CF3B77">
      <w:pPr>
        <w:pStyle w:val="Cmsor1"/>
        <w:tabs>
          <w:tab w:val="clear" w:pos="0"/>
          <w:tab w:val="left" w:pos="567"/>
        </w:tabs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7.</w:t>
      </w:r>
      <w:r w:rsidR="00BC43B9" w:rsidRPr="002D0731">
        <w:rPr>
          <w:szCs w:val="22"/>
          <w:lang w:val="hu-HU"/>
        </w:rPr>
        <w:tab/>
      </w:r>
      <w:r w:rsidRPr="002D0731">
        <w:rPr>
          <w:szCs w:val="22"/>
          <w:lang w:val="hu-HU"/>
        </w:rPr>
        <w:t xml:space="preserve">A FORGALOMBA HOZATALI ENGEDÉLY JOGOSULTJA </w:t>
      </w:r>
    </w:p>
    <w:p w14:paraId="669ED3B1" w14:textId="77777777" w:rsidR="00CF3B77" w:rsidRPr="002D0731" w:rsidRDefault="00CF3B77">
      <w:pPr>
        <w:tabs>
          <w:tab w:val="left" w:pos="180"/>
        </w:tabs>
        <w:rPr>
          <w:sz w:val="22"/>
          <w:szCs w:val="22"/>
        </w:rPr>
      </w:pPr>
    </w:p>
    <w:p w14:paraId="0134A542" w14:textId="77777777" w:rsidR="00AE74B9" w:rsidRDefault="00AE74B9" w:rsidP="00AE74B9">
      <w:pPr>
        <w:keepNext/>
        <w:rPr>
          <w:sz w:val="22"/>
          <w:szCs w:val="22"/>
        </w:rPr>
      </w:pPr>
      <w:r>
        <w:rPr>
          <w:sz w:val="22"/>
          <w:szCs w:val="22"/>
        </w:rPr>
        <w:t>Goodwill Pharma Nyrt.</w:t>
      </w:r>
    </w:p>
    <w:p w14:paraId="5BB48F92" w14:textId="77777777" w:rsidR="00AE74B9" w:rsidRDefault="00AE74B9" w:rsidP="00AE74B9">
      <w:pPr>
        <w:keepNext/>
        <w:rPr>
          <w:sz w:val="22"/>
          <w:szCs w:val="22"/>
        </w:rPr>
      </w:pPr>
      <w:r>
        <w:rPr>
          <w:sz w:val="22"/>
          <w:szCs w:val="22"/>
        </w:rPr>
        <w:t>6724 Szeged, Cserzy M. u. 32.</w:t>
      </w:r>
    </w:p>
    <w:p w14:paraId="38F4AF87" w14:textId="77777777" w:rsidR="00AE74B9" w:rsidRDefault="00AE74B9" w:rsidP="00AE74B9">
      <w:pPr>
        <w:tabs>
          <w:tab w:val="left" w:pos="180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09AFE611" w14:textId="448C3927" w:rsidR="00CF3B77" w:rsidRDefault="00CF3B77">
      <w:pPr>
        <w:tabs>
          <w:tab w:val="left" w:pos="180"/>
        </w:tabs>
        <w:rPr>
          <w:sz w:val="22"/>
          <w:szCs w:val="22"/>
        </w:rPr>
      </w:pPr>
    </w:p>
    <w:p w14:paraId="52795912" w14:textId="77777777" w:rsidR="009514D4" w:rsidRPr="002D0731" w:rsidRDefault="009514D4">
      <w:pPr>
        <w:tabs>
          <w:tab w:val="left" w:pos="180"/>
        </w:tabs>
        <w:rPr>
          <w:sz w:val="22"/>
          <w:szCs w:val="22"/>
        </w:rPr>
      </w:pPr>
    </w:p>
    <w:p w14:paraId="3C19DEF6" w14:textId="306B8891" w:rsidR="00CF3B77" w:rsidRPr="002D0731" w:rsidRDefault="00CF3B77" w:rsidP="00B35B1B">
      <w:pPr>
        <w:pStyle w:val="Cmsor1"/>
        <w:numPr>
          <w:ilvl w:val="0"/>
          <w:numId w:val="2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2D0731">
        <w:rPr>
          <w:szCs w:val="22"/>
          <w:lang w:val="hu-HU"/>
        </w:rPr>
        <w:t>A FORGALOMBA HOZATALI ENGEDÉLY SZÁMA</w:t>
      </w:r>
      <w:r w:rsidR="003B7CBC" w:rsidRPr="002D0731">
        <w:rPr>
          <w:szCs w:val="22"/>
          <w:lang w:val="hu-HU"/>
        </w:rPr>
        <w:t>I</w:t>
      </w:r>
    </w:p>
    <w:p w14:paraId="478B5377" w14:textId="77777777" w:rsidR="00CF3B77" w:rsidRPr="002D0731" w:rsidRDefault="00CF3B77">
      <w:pPr>
        <w:rPr>
          <w:sz w:val="22"/>
          <w:szCs w:val="22"/>
        </w:rPr>
      </w:pPr>
    </w:p>
    <w:p w14:paraId="470DDCBD" w14:textId="77777777" w:rsidR="00F42F56" w:rsidRPr="002D0731" w:rsidRDefault="00B032B6">
      <w:pPr>
        <w:rPr>
          <w:sz w:val="22"/>
          <w:szCs w:val="22"/>
        </w:rPr>
      </w:pPr>
      <w:r w:rsidRPr="002D0731">
        <w:rPr>
          <w:sz w:val="22"/>
          <w:szCs w:val="22"/>
        </w:rPr>
        <w:t>OGYI-T-</w:t>
      </w:r>
      <w:r w:rsidR="00BC5B12" w:rsidRPr="002D0731">
        <w:rPr>
          <w:sz w:val="22"/>
          <w:szCs w:val="22"/>
        </w:rPr>
        <w:t>10010</w:t>
      </w:r>
      <w:r w:rsidR="00F42F56" w:rsidRPr="002D0731">
        <w:rPr>
          <w:sz w:val="22"/>
          <w:szCs w:val="22"/>
        </w:rPr>
        <w:t>/0</w:t>
      </w:r>
      <w:r w:rsidR="00BC5B12" w:rsidRPr="002D0731">
        <w:rPr>
          <w:sz w:val="22"/>
          <w:szCs w:val="22"/>
        </w:rPr>
        <w:t>7</w:t>
      </w:r>
      <w:r w:rsidR="00A80DB4" w:rsidRPr="002D0731">
        <w:rPr>
          <w:sz w:val="22"/>
          <w:szCs w:val="22"/>
        </w:rPr>
        <w:tab/>
      </w:r>
      <w:r w:rsidR="00F42F56" w:rsidRPr="002D0731">
        <w:rPr>
          <w:sz w:val="22"/>
          <w:szCs w:val="22"/>
        </w:rPr>
        <w:tab/>
        <w:t>1</w:t>
      </w:r>
      <w:r w:rsidR="00661F7A">
        <w:rPr>
          <w:sz w:val="22"/>
          <w:szCs w:val="22"/>
        </w:rPr>
        <w:t>×</w:t>
      </w:r>
      <w:r w:rsidR="00A80DB4" w:rsidRPr="002D0731">
        <w:rPr>
          <w:sz w:val="22"/>
          <w:szCs w:val="22"/>
        </w:rPr>
        <w:t xml:space="preserve"> </w:t>
      </w:r>
      <w:r w:rsidR="00F42F56" w:rsidRPr="002D0731">
        <w:rPr>
          <w:sz w:val="22"/>
          <w:szCs w:val="22"/>
        </w:rPr>
        <w:t>(tálcás csomagolás)</w:t>
      </w:r>
    </w:p>
    <w:p w14:paraId="79DA16B3" w14:textId="77777777" w:rsidR="00F42F56" w:rsidRPr="002D0731" w:rsidRDefault="00B032B6">
      <w:pPr>
        <w:rPr>
          <w:sz w:val="22"/>
          <w:szCs w:val="22"/>
        </w:rPr>
      </w:pPr>
      <w:r w:rsidRPr="002D0731">
        <w:rPr>
          <w:sz w:val="22"/>
          <w:szCs w:val="22"/>
        </w:rPr>
        <w:t>OGYI-T-</w:t>
      </w:r>
      <w:r w:rsidR="00BC5B12" w:rsidRPr="002D0731">
        <w:rPr>
          <w:sz w:val="22"/>
          <w:szCs w:val="22"/>
        </w:rPr>
        <w:t>10010</w:t>
      </w:r>
      <w:r w:rsidR="00C313EF" w:rsidRPr="002D0731">
        <w:rPr>
          <w:sz w:val="22"/>
          <w:szCs w:val="22"/>
        </w:rPr>
        <w:t>/0</w:t>
      </w:r>
      <w:r w:rsidR="00BC5B12" w:rsidRPr="002D0731">
        <w:rPr>
          <w:sz w:val="22"/>
          <w:szCs w:val="22"/>
        </w:rPr>
        <w:t>8</w:t>
      </w:r>
      <w:r w:rsidR="00A80DB4" w:rsidRPr="002D0731">
        <w:rPr>
          <w:sz w:val="22"/>
          <w:szCs w:val="22"/>
        </w:rPr>
        <w:tab/>
      </w:r>
      <w:r w:rsidR="00C313EF" w:rsidRPr="002D0731">
        <w:rPr>
          <w:sz w:val="22"/>
          <w:szCs w:val="22"/>
        </w:rPr>
        <w:tab/>
        <w:t>2</w:t>
      </w:r>
      <w:r w:rsidR="00661F7A">
        <w:rPr>
          <w:sz w:val="22"/>
          <w:szCs w:val="22"/>
        </w:rPr>
        <w:t>×</w:t>
      </w:r>
      <w:r w:rsidR="00A80DB4" w:rsidRPr="002D0731">
        <w:rPr>
          <w:sz w:val="22"/>
          <w:szCs w:val="22"/>
        </w:rPr>
        <w:t xml:space="preserve"> </w:t>
      </w:r>
      <w:r w:rsidR="00F42F56" w:rsidRPr="002D0731">
        <w:rPr>
          <w:sz w:val="22"/>
          <w:szCs w:val="22"/>
        </w:rPr>
        <w:t>(tálcás csomagolás)</w:t>
      </w:r>
    </w:p>
    <w:p w14:paraId="3EA5BB47" w14:textId="77777777" w:rsidR="00CF3B77" w:rsidRPr="002D0731" w:rsidRDefault="00CF3B77">
      <w:pPr>
        <w:rPr>
          <w:sz w:val="22"/>
          <w:szCs w:val="22"/>
        </w:rPr>
      </w:pPr>
    </w:p>
    <w:p w14:paraId="770E5C25" w14:textId="77777777" w:rsidR="00CF3B77" w:rsidRPr="002D0731" w:rsidRDefault="00CF3B77">
      <w:pPr>
        <w:rPr>
          <w:sz w:val="22"/>
          <w:szCs w:val="22"/>
        </w:rPr>
      </w:pPr>
    </w:p>
    <w:p w14:paraId="7CF1F0F9" w14:textId="77777777" w:rsidR="00CF3B77" w:rsidRPr="002D0731" w:rsidRDefault="00CF3B77">
      <w:pPr>
        <w:pStyle w:val="Cmsor1"/>
        <w:tabs>
          <w:tab w:val="clear" w:pos="0"/>
        </w:tabs>
        <w:spacing w:line="240" w:lineRule="auto"/>
        <w:ind w:left="567" w:hanging="567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9. </w:t>
      </w:r>
      <w:r w:rsidRPr="002D0731">
        <w:rPr>
          <w:szCs w:val="22"/>
          <w:lang w:val="hu-HU"/>
        </w:rPr>
        <w:tab/>
        <w:t>A FORGALOMBA HOZATALI ENGEDÉLY ELSŐ KIADÁSÁNAK/</w:t>
      </w:r>
      <w:r w:rsidR="00E757B5" w:rsidRPr="002D0731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MEGÚJÍTÁSÁNAK DÁTUMA</w:t>
      </w:r>
    </w:p>
    <w:p w14:paraId="68B67245" w14:textId="77777777" w:rsidR="00CF3B77" w:rsidRPr="002D0731" w:rsidRDefault="00CF3B77">
      <w:pPr>
        <w:pStyle w:val="Cmsor1"/>
        <w:spacing w:line="240" w:lineRule="auto"/>
        <w:rPr>
          <w:szCs w:val="22"/>
          <w:lang w:val="hu-HU"/>
        </w:rPr>
      </w:pPr>
    </w:p>
    <w:p w14:paraId="3A4ABDF9" w14:textId="77777777" w:rsidR="0095128A" w:rsidRPr="002D0731" w:rsidRDefault="0095128A">
      <w:pPr>
        <w:rPr>
          <w:sz w:val="22"/>
          <w:szCs w:val="22"/>
        </w:rPr>
      </w:pPr>
      <w:r w:rsidRPr="002D0731">
        <w:rPr>
          <w:sz w:val="22"/>
          <w:szCs w:val="22"/>
        </w:rPr>
        <w:t>A forgalomba hozatali engedély első kiadásának dátuma: 2008. január 14.</w:t>
      </w:r>
    </w:p>
    <w:p w14:paraId="6066CB6D" w14:textId="77777777" w:rsidR="0095128A" w:rsidRPr="002D0731" w:rsidRDefault="0095128A">
      <w:pPr>
        <w:rPr>
          <w:sz w:val="22"/>
          <w:szCs w:val="22"/>
        </w:rPr>
      </w:pPr>
    </w:p>
    <w:p w14:paraId="629709DC" w14:textId="77777777" w:rsidR="0095128A" w:rsidRPr="002D0731" w:rsidRDefault="0095128A">
      <w:pPr>
        <w:rPr>
          <w:sz w:val="22"/>
          <w:szCs w:val="22"/>
        </w:rPr>
      </w:pPr>
      <w:r w:rsidRPr="002D0731">
        <w:rPr>
          <w:sz w:val="22"/>
          <w:szCs w:val="22"/>
        </w:rPr>
        <w:t>A forgalomba hozatali engedély legutóbbi megújításának dátuma: 2011. március 9.</w:t>
      </w:r>
    </w:p>
    <w:p w14:paraId="57622106" w14:textId="77777777" w:rsidR="00BC5B12" w:rsidRPr="002D0731" w:rsidRDefault="00BC5B12">
      <w:pPr>
        <w:rPr>
          <w:sz w:val="22"/>
          <w:szCs w:val="22"/>
        </w:rPr>
      </w:pPr>
    </w:p>
    <w:p w14:paraId="6A99D6CB" w14:textId="77777777" w:rsidR="00E757B5" w:rsidRPr="002D0731" w:rsidRDefault="00E757B5">
      <w:pPr>
        <w:rPr>
          <w:sz w:val="22"/>
          <w:szCs w:val="22"/>
        </w:rPr>
      </w:pPr>
    </w:p>
    <w:p w14:paraId="2AD20E00" w14:textId="77777777" w:rsidR="00CF3B77" w:rsidRPr="002D0731" w:rsidRDefault="00CF3B77">
      <w:pPr>
        <w:pStyle w:val="Cmsor1"/>
        <w:tabs>
          <w:tab w:val="left" w:pos="540"/>
        </w:tabs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10.</w:t>
      </w:r>
      <w:r w:rsidRPr="002D0731">
        <w:rPr>
          <w:szCs w:val="22"/>
          <w:lang w:val="hu-HU"/>
        </w:rPr>
        <w:tab/>
        <w:t>A SZÖVEG ELLENŐRZÉSÉNEK DÁTUMA</w:t>
      </w:r>
    </w:p>
    <w:p w14:paraId="576FF130" w14:textId="77777777" w:rsidR="00CF3B77" w:rsidRPr="002D0731" w:rsidRDefault="00CF3B77">
      <w:pPr>
        <w:rPr>
          <w:sz w:val="22"/>
          <w:szCs w:val="22"/>
        </w:rPr>
      </w:pPr>
    </w:p>
    <w:p w14:paraId="7C849A72" w14:textId="2862FE3D" w:rsidR="00CF3B77" w:rsidRDefault="00AE74B9">
      <w:pPr>
        <w:rPr>
          <w:sz w:val="22"/>
          <w:szCs w:val="22"/>
        </w:rPr>
      </w:pPr>
      <w:r>
        <w:rPr>
          <w:sz w:val="22"/>
          <w:szCs w:val="22"/>
        </w:rPr>
        <w:t xml:space="preserve">2024. </w:t>
      </w:r>
      <w:r w:rsidR="009514D4">
        <w:rPr>
          <w:sz w:val="22"/>
          <w:szCs w:val="22"/>
        </w:rPr>
        <w:t>október 7.</w:t>
      </w:r>
    </w:p>
    <w:p w14:paraId="520ADB57" w14:textId="78E32FCC" w:rsidR="00BC6B81" w:rsidRDefault="00BC6B81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9B7A2FB" w14:textId="77777777" w:rsidR="00BC6B81" w:rsidRPr="002D0731" w:rsidRDefault="00BC6B81" w:rsidP="00BC6B81">
      <w:pPr>
        <w:pStyle w:val="WW-Szvegtrzs212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lastRenderedPageBreak/>
        <w:t>1.</w:t>
      </w:r>
      <w:r w:rsidRPr="002D0731">
        <w:rPr>
          <w:szCs w:val="22"/>
          <w:lang w:val="hu-HU"/>
        </w:rPr>
        <w:tab/>
        <w:t>A GYÓGYSZER NEVE</w:t>
      </w:r>
    </w:p>
    <w:p w14:paraId="14F477EA" w14:textId="77777777" w:rsidR="00BC6B81" w:rsidRPr="00CF1D18" w:rsidRDefault="00BC6B81" w:rsidP="00BC6B81">
      <w:pPr>
        <w:jc w:val="both"/>
        <w:rPr>
          <w:sz w:val="22"/>
          <w:szCs w:val="22"/>
          <w:lang w:val="pt-PT"/>
        </w:rPr>
      </w:pPr>
    </w:p>
    <w:p w14:paraId="01A901E3" w14:textId="77777777" w:rsidR="00BC6B81" w:rsidRPr="002D0731" w:rsidRDefault="00BC6B81" w:rsidP="00BC6B81">
      <w:pPr>
        <w:pStyle w:val="Cmsor1"/>
        <w:spacing w:line="240" w:lineRule="auto"/>
        <w:rPr>
          <w:szCs w:val="22"/>
          <w:lang w:val="pt-PT"/>
        </w:rPr>
      </w:pPr>
      <w:r w:rsidRPr="002D0731">
        <w:rPr>
          <w:szCs w:val="22"/>
          <w:lang w:val="pt-PT"/>
        </w:rPr>
        <w:t>Eligard 45 mg por és oldószer oldatos injekcióhoz</w:t>
      </w:r>
    </w:p>
    <w:p w14:paraId="4BBA0594" w14:textId="77777777" w:rsidR="00BC6B81" w:rsidRPr="002D0731" w:rsidRDefault="00BC6B81" w:rsidP="00BC6B81">
      <w:pPr>
        <w:rPr>
          <w:sz w:val="22"/>
          <w:szCs w:val="22"/>
        </w:rPr>
      </w:pPr>
    </w:p>
    <w:p w14:paraId="3A74EDBC" w14:textId="77777777" w:rsidR="00BC6B81" w:rsidRPr="002D0731" w:rsidRDefault="00BC6B81" w:rsidP="00BC6B81">
      <w:pPr>
        <w:rPr>
          <w:sz w:val="22"/>
          <w:szCs w:val="22"/>
        </w:rPr>
      </w:pPr>
    </w:p>
    <w:p w14:paraId="32D12AFA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2.</w:t>
      </w:r>
      <w:r w:rsidRPr="002D0731">
        <w:rPr>
          <w:b/>
          <w:sz w:val="22"/>
          <w:szCs w:val="22"/>
        </w:rPr>
        <w:tab/>
        <w:t>MINŐSÉGI ÉS MENNYISÉGI ÖSSZETÉTEL</w:t>
      </w:r>
    </w:p>
    <w:p w14:paraId="1D6A7EF5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19953115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  <w:r w:rsidRPr="002D0731">
        <w:rPr>
          <w:szCs w:val="22"/>
          <w:lang w:val="hu-HU"/>
        </w:rPr>
        <w:t>Egy előretöltött injekciós fecskendő („B” fecskendő) 45 mg leuprorelin-acetátot (megfelel 41,7 mg leuprorelinnek) tartalmaz.</w:t>
      </w:r>
    </w:p>
    <w:p w14:paraId="0B88AF53" w14:textId="77777777" w:rsidR="00BC6B81" w:rsidRPr="002D0731" w:rsidRDefault="00BC6B81" w:rsidP="00BC6B81">
      <w:pPr>
        <w:rPr>
          <w:sz w:val="22"/>
          <w:szCs w:val="22"/>
        </w:rPr>
      </w:pPr>
    </w:p>
    <w:p w14:paraId="15BABB94" w14:textId="77777777" w:rsidR="00BC6B81" w:rsidRPr="002D0731" w:rsidRDefault="00BC6B81" w:rsidP="00BC6B81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2D0731">
        <w:rPr>
          <w:rFonts w:ascii="Times New Roman" w:hAnsi="Times New Roman"/>
          <w:sz w:val="22"/>
          <w:szCs w:val="22"/>
        </w:rPr>
        <w:t>A segédanyagok teljes listáját lásd a 6.1 pontban.</w:t>
      </w:r>
    </w:p>
    <w:p w14:paraId="37BAC7A0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13891B12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0DE04221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3.</w:t>
      </w:r>
      <w:r w:rsidRPr="002D0731">
        <w:rPr>
          <w:b/>
          <w:sz w:val="22"/>
          <w:szCs w:val="22"/>
        </w:rPr>
        <w:tab/>
        <w:t>GYÓGYSZERFORMA</w:t>
      </w:r>
    </w:p>
    <w:p w14:paraId="6F55B57E" w14:textId="77777777" w:rsidR="00BC6B81" w:rsidRPr="002D0731" w:rsidRDefault="00BC6B81" w:rsidP="00BC6B81">
      <w:pPr>
        <w:rPr>
          <w:sz w:val="22"/>
          <w:szCs w:val="22"/>
        </w:rPr>
      </w:pPr>
    </w:p>
    <w:p w14:paraId="462083E1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Por és oldószer oldatos injekcióhoz</w:t>
      </w:r>
    </w:p>
    <w:p w14:paraId="68703829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34276C8A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 xml:space="preserve">Por („B” fecskendő): </w:t>
      </w:r>
    </w:p>
    <w:p w14:paraId="677BB655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Fehér vagy csaknem fehér por előretöltött fecskendőben.</w:t>
      </w:r>
    </w:p>
    <w:p w14:paraId="100ED0AB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2367F847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 xml:space="preserve">Oldószer („A” fecskendő): </w:t>
      </w:r>
    </w:p>
    <w:p w14:paraId="66AC928F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Tiszta, színtelen vagy halványsárga oldat előretöltött fecskendőben.</w:t>
      </w:r>
    </w:p>
    <w:p w14:paraId="057F5ED4" w14:textId="77777777" w:rsidR="00BC6B81" w:rsidRPr="002D0731" w:rsidRDefault="00BC6B81" w:rsidP="00BC6B81">
      <w:pPr>
        <w:rPr>
          <w:sz w:val="22"/>
          <w:szCs w:val="22"/>
        </w:rPr>
      </w:pPr>
    </w:p>
    <w:p w14:paraId="0265AD8E" w14:textId="77777777" w:rsidR="00BC6B81" w:rsidRPr="002D0731" w:rsidRDefault="00BC6B81" w:rsidP="00BC6B81">
      <w:pPr>
        <w:rPr>
          <w:sz w:val="22"/>
          <w:szCs w:val="22"/>
        </w:rPr>
      </w:pPr>
    </w:p>
    <w:p w14:paraId="11BFDF74" w14:textId="77777777" w:rsidR="00BC6B81" w:rsidRPr="002D0731" w:rsidRDefault="00BC6B81" w:rsidP="00BC6B81">
      <w:pPr>
        <w:pStyle w:val="WW-Szvegtrzs212"/>
        <w:suppressAutoHyphens w:val="0"/>
        <w:spacing w:line="240" w:lineRule="auto"/>
        <w:rPr>
          <w:caps/>
          <w:szCs w:val="22"/>
          <w:lang w:val="hu-HU"/>
        </w:rPr>
      </w:pPr>
      <w:r w:rsidRPr="002D0731">
        <w:rPr>
          <w:caps/>
          <w:szCs w:val="22"/>
          <w:lang w:val="hu-HU"/>
        </w:rPr>
        <w:t>4.</w:t>
      </w:r>
      <w:r w:rsidRPr="002D0731">
        <w:rPr>
          <w:caps/>
          <w:szCs w:val="22"/>
          <w:lang w:val="hu-HU"/>
        </w:rPr>
        <w:tab/>
        <w:t>KLINIKAI JELLEMZŐK</w:t>
      </w:r>
    </w:p>
    <w:p w14:paraId="08EC27D5" w14:textId="77777777" w:rsidR="00BC6B81" w:rsidRPr="002D0731" w:rsidRDefault="00BC6B81" w:rsidP="00BC6B81">
      <w:pPr>
        <w:rPr>
          <w:sz w:val="22"/>
          <w:szCs w:val="22"/>
        </w:rPr>
      </w:pPr>
    </w:p>
    <w:p w14:paraId="66C0D3D1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4.1</w:t>
      </w:r>
      <w:r w:rsidRPr="002D0731">
        <w:rPr>
          <w:b/>
          <w:sz w:val="22"/>
          <w:szCs w:val="22"/>
        </w:rPr>
        <w:tab/>
        <w:t>Terápiás javallatok</w:t>
      </w:r>
    </w:p>
    <w:p w14:paraId="0E8AF709" w14:textId="77777777" w:rsidR="00BC6B81" w:rsidRPr="002D0731" w:rsidRDefault="00BC6B81" w:rsidP="00BC6B81">
      <w:pPr>
        <w:rPr>
          <w:sz w:val="22"/>
          <w:szCs w:val="22"/>
        </w:rPr>
      </w:pPr>
    </w:p>
    <w:p w14:paraId="0433BC49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Az Eligard 45 mg a hormonfüggő előrehaladott prosztatadaganat, valamint a magas kockázatú szervre lokalizált, illetve lokálisan előrehaladott, hormonfüggő prosztatadaganat kezelésére javallott, sugárterápiával kombinálva.</w:t>
      </w:r>
    </w:p>
    <w:p w14:paraId="4FCAEFD8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37601B91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4.2</w:t>
      </w:r>
      <w:r w:rsidRPr="002D0731">
        <w:rPr>
          <w:b/>
          <w:sz w:val="22"/>
          <w:szCs w:val="22"/>
        </w:rPr>
        <w:tab/>
        <w:t>Adagolás és alkalmazás</w:t>
      </w:r>
    </w:p>
    <w:p w14:paraId="7D0E6B4E" w14:textId="77777777" w:rsidR="00BC6B81" w:rsidRPr="002D0731" w:rsidRDefault="00BC6B81" w:rsidP="00BC6B81">
      <w:pPr>
        <w:jc w:val="both"/>
        <w:rPr>
          <w:sz w:val="22"/>
          <w:szCs w:val="22"/>
          <w:u w:val="single"/>
        </w:rPr>
      </w:pPr>
    </w:p>
    <w:p w14:paraId="2D37832D" w14:textId="77777777" w:rsidR="00BC6B81" w:rsidRPr="002D0731" w:rsidRDefault="00BC6B81" w:rsidP="00BC6B81">
      <w:pPr>
        <w:jc w:val="both"/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 xml:space="preserve">Adagolás </w:t>
      </w:r>
    </w:p>
    <w:p w14:paraId="45B0284B" w14:textId="77777777" w:rsidR="00BC6B81" w:rsidRDefault="00BC6B81" w:rsidP="00BC6B81">
      <w:pPr>
        <w:jc w:val="both"/>
        <w:rPr>
          <w:i/>
          <w:sz w:val="22"/>
          <w:szCs w:val="22"/>
        </w:rPr>
      </w:pPr>
    </w:p>
    <w:p w14:paraId="1206A203" w14:textId="77777777" w:rsidR="00BC6B81" w:rsidRPr="002D0731" w:rsidRDefault="00BC6B81" w:rsidP="00BC6B81">
      <w:pPr>
        <w:jc w:val="both"/>
        <w:rPr>
          <w:i/>
          <w:sz w:val="22"/>
          <w:szCs w:val="22"/>
        </w:rPr>
      </w:pPr>
      <w:r w:rsidRPr="002D0731">
        <w:rPr>
          <w:i/>
          <w:sz w:val="22"/>
          <w:szCs w:val="22"/>
        </w:rPr>
        <w:t>Felnőtt férfiak részére</w:t>
      </w:r>
    </w:p>
    <w:p w14:paraId="2381FB9F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Az Eligard</w:t>
      </w:r>
      <w:r>
        <w:rPr>
          <w:sz w:val="22"/>
          <w:szCs w:val="22"/>
        </w:rPr>
        <w:t xml:space="preserve"> 45 mg</w:t>
      </w:r>
      <w:r w:rsidRPr="002D0731">
        <w:rPr>
          <w:sz w:val="22"/>
          <w:szCs w:val="22"/>
        </w:rPr>
        <w:t xml:space="preserve"> alkalmazása kizárólag olyan orvos felügyelete mellett folytatható, aki megfelelő tapasztalattal rendelkezik a kezelésre adott válasz megfigyelésében.</w:t>
      </w:r>
    </w:p>
    <w:p w14:paraId="4C9ED4E2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0459BEF1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Az Eligard 45 mg</w:t>
      </w:r>
      <w:r>
        <w:rPr>
          <w:szCs w:val="22"/>
          <w:lang w:val="hu-HU"/>
        </w:rPr>
        <w:t xml:space="preserve"> készítmény</w:t>
      </w:r>
      <w:r w:rsidRPr="002D0731">
        <w:rPr>
          <w:szCs w:val="22"/>
          <w:lang w:val="hu-HU"/>
        </w:rPr>
        <w:t>t hathavonta egyszer szubkután injekció formájában kell beadni. A beadott oldat stabil gyógyszerraktárat képez, és hat hónapon keresztül folyamatos leuprorelin</w:t>
      </w:r>
      <w:r w:rsidRPr="002D0731">
        <w:rPr>
          <w:szCs w:val="22"/>
          <w:lang w:val="hu-HU"/>
        </w:rPr>
        <w:noBreakHyphen/>
        <w:t>acetát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kioldódást biztosít.</w:t>
      </w:r>
    </w:p>
    <w:p w14:paraId="01FED90E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28D995BA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Az előrehaladott prosztatadaganat kezelése az Eligard 45 mg készítménnyel hosszú</w:t>
      </w:r>
      <w:r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távú kezelést igényel, amelyet remisszió vagy javulás esetén sem szabad abbahagyni.</w:t>
      </w:r>
    </w:p>
    <w:p w14:paraId="3E51B76C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5FF67337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  <w:r w:rsidRPr="002D0731">
        <w:rPr>
          <w:szCs w:val="22"/>
          <w:lang w:val="hu-HU"/>
        </w:rPr>
        <w:t>Az Eligard 45 mg neoadjuváns vagy adjuváns terápiaként alkalmazható, sugárkezeléssel kombinálva, magas kockázatú szervre lokalizált, valamint lokálisan előrehaladott prosztatarák esetén.</w:t>
      </w:r>
    </w:p>
    <w:p w14:paraId="0CAEDBAD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2B2E3565" w14:textId="77777777" w:rsidR="00BC6B81" w:rsidRPr="002D0731" w:rsidRDefault="00BC6B81" w:rsidP="00BC6B81">
      <w:pPr>
        <w:rPr>
          <w:sz w:val="22"/>
          <w:szCs w:val="22"/>
        </w:rPr>
      </w:pPr>
      <w:r w:rsidRPr="00B35B1B">
        <w:rPr>
          <w:sz w:val="22"/>
          <w:szCs w:val="22"/>
        </w:rPr>
        <w:t>Az Eligard 45 mg</w:t>
      </w:r>
      <w:r w:rsidRPr="00B35B1B">
        <w:rPr>
          <w:sz w:val="22"/>
          <w:szCs w:val="22"/>
        </w:rPr>
        <w:noBreakHyphen/>
        <w:t xml:space="preserve">kezelésre adott válaszreakciót a klinikai paraméterek és a </w:t>
      </w:r>
      <w:r>
        <w:rPr>
          <w:sz w:val="22"/>
          <w:szCs w:val="22"/>
        </w:rPr>
        <w:t xml:space="preserve">szérum </w:t>
      </w:r>
      <w:r w:rsidRPr="00B35B1B">
        <w:rPr>
          <w:sz w:val="22"/>
          <w:szCs w:val="22"/>
        </w:rPr>
        <w:t>prosztataspecifikus antigén (PSA) szintjének mérésével kell nyomon követni. Klinikai vizsgálatok azt mutatták, hogy a kezelés első 3 napja során a kasztráción át nem esett betegek többségében a tesztoszteronszint megemelkedett, majd 3</w:t>
      </w:r>
      <w:r w:rsidRPr="00B35B1B">
        <w:rPr>
          <w:sz w:val="22"/>
          <w:szCs w:val="22"/>
        </w:rPr>
        <w:noBreakHyphen/>
        <w:t>4 héten belül az orvosi kasztrációs szint alá csökkent. Miután a tesztoszteronszint a kasztrációs szintre csökkent, a gyógyszeres kezelés teljes időtartama alatt ezen az alacsony szinten maradt (&lt; 1% tesztoszteron-áttörés). Ha úgy tűnik, hogy a beteg válaszreakciója az optimálisnál kisebb, ellenőrizni kell, hogy a szérum tesztoszteronszint elérte</w:t>
      </w:r>
      <w:r w:rsidRPr="00B35B1B">
        <w:rPr>
          <w:sz w:val="22"/>
          <w:szCs w:val="22"/>
        </w:rPr>
        <w:noBreakHyphen/>
        <w:t xml:space="preserve">e </w:t>
      </w:r>
      <w:r w:rsidRPr="005B41E1">
        <w:rPr>
          <w:sz w:val="22"/>
          <w:szCs w:val="22"/>
        </w:rPr>
        <w:lastRenderedPageBreak/>
        <w:t>kasztrációs szintet vagy ezen a szinten marad-e.</w:t>
      </w:r>
      <w:r w:rsidRPr="002D0731">
        <w:rPr>
          <w:sz w:val="22"/>
          <w:szCs w:val="22"/>
        </w:rPr>
        <w:t xml:space="preserve"> Mivel a hatás elmaradása a nem megfelelő elkészítésből, feloldásból, illetve adagolásból is következhet, a tesztoszteronszinteket a feltételezett vagy ismert kezelési hibák esetében kell értékelni (lásd 4.4 pont).</w:t>
      </w:r>
    </w:p>
    <w:p w14:paraId="26C32A5A" w14:textId="77777777" w:rsidR="00BC6B81" w:rsidRPr="00B35B1B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283C7D30" w14:textId="77777777" w:rsidR="00BC6B81" w:rsidRPr="002D0731" w:rsidRDefault="00BC6B81" w:rsidP="00BC6B81">
      <w:pPr>
        <w:pStyle w:val="WW-Szvegtrzs2"/>
        <w:rPr>
          <w:szCs w:val="22"/>
        </w:rPr>
      </w:pPr>
      <w:r w:rsidRPr="00B35B1B">
        <w:rPr>
          <w:i w:val="0"/>
          <w:szCs w:val="22"/>
        </w:rPr>
        <w:t>Folytatható a GnRH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agonista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kezelés olyan sebészi kasztráción át nem esett, metasztázisos, kasztrációrezisztens prosztatadaganatos betegek esetén, akik GnRH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agonistát, mint pl. leuprorelint kapnak és kezelhetők androgén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bioszintézis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inhibitorokkal vagy androgén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receptor</w:t>
      </w:r>
      <w:r>
        <w:rPr>
          <w:i w:val="0"/>
          <w:szCs w:val="22"/>
        </w:rPr>
        <w:noBreakHyphen/>
      </w:r>
      <w:r w:rsidRPr="00B35B1B">
        <w:rPr>
          <w:i w:val="0"/>
          <w:szCs w:val="22"/>
        </w:rPr>
        <w:t>inhibitorokkal.</w:t>
      </w:r>
    </w:p>
    <w:p w14:paraId="339B60A5" w14:textId="77777777" w:rsidR="00BC6B81" w:rsidRPr="002D0731" w:rsidRDefault="00BC6B81" w:rsidP="00BC6B81">
      <w:pPr>
        <w:pStyle w:val="WW-Szvegtrzs2"/>
        <w:jc w:val="both"/>
        <w:rPr>
          <w:i w:val="0"/>
          <w:szCs w:val="22"/>
          <w:shd w:val="clear" w:color="auto" w:fill="FFFF00"/>
        </w:rPr>
      </w:pPr>
    </w:p>
    <w:p w14:paraId="6AD77B59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i/>
          <w:szCs w:val="22"/>
          <w:lang w:val="hu-HU"/>
        </w:rPr>
      </w:pPr>
      <w:r w:rsidRPr="002D0731">
        <w:rPr>
          <w:i/>
          <w:szCs w:val="22"/>
          <w:lang w:val="hu-HU"/>
        </w:rPr>
        <w:t>Gyermekek</w:t>
      </w:r>
      <w:r>
        <w:rPr>
          <w:i/>
          <w:szCs w:val="22"/>
          <w:lang w:val="hu-HU"/>
        </w:rPr>
        <w:t xml:space="preserve"> és serdülők</w:t>
      </w:r>
      <w:r w:rsidRPr="002D0731">
        <w:rPr>
          <w:i/>
          <w:szCs w:val="22"/>
          <w:lang w:val="hu-HU"/>
        </w:rPr>
        <w:t>:</w:t>
      </w:r>
    </w:p>
    <w:p w14:paraId="67A3E444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Az Eligard</w:t>
      </w:r>
      <w:r>
        <w:rPr>
          <w:szCs w:val="22"/>
          <w:lang w:val="hu-HU"/>
        </w:rPr>
        <w:t xml:space="preserve"> 45 mg</w:t>
      </w:r>
      <w:r w:rsidRPr="002D0731">
        <w:rPr>
          <w:szCs w:val="22"/>
          <w:lang w:val="hu-HU"/>
        </w:rPr>
        <w:t xml:space="preserve"> biztonságosságát és hatásosságát 0 és 18</w:t>
      </w:r>
      <w:r>
        <w:rPr>
          <w:szCs w:val="22"/>
          <w:lang w:val="hu-HU"/>
        </w:rPr>
        <w:t> </w:t>
      </w:r>
      <w:r w:rsidRPr="002D0731">
        <w:rPr>
          <w:szCs w:val="22"/>
          <w:lang w:val="hu-HU"/>
        </w:rPr>
        <w:t>év közötti gyermekek esetében</w:t>
      </w:r>
      <w:r w:rsidRPr="002D0731" w:rsidDel="00155CD5"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nem igazolták (</w:t>
      </w:r>
      <w:r>
        <w:rPr>
          <w:szCs w:val="22"/>
          <w:lang w:val="hu-HU"/>
        </w:rPr>
        <w:t>l</w:t>
      </w:r>
      <w:r w:rsidRPr="002D0731">
        <w:rPr>
          <w:szCs w:val="22"/>
          <w:lang w:val="hu-HU"/>
        </w:rPr>
        <w:t>ásd 4.3 pont)</w:t>
      </w:r>
      <w:r>
        <w:rPr>
          <w:szCs w:val="22"/>
          <w:lang w:val="hu-HU"/>
        </w:rPr>
        <w:t>.</w:t>
      </w:r>
    </w:p>
    <w:p w14:paraId="1578E3F1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59CD42DB" w14:textId="78C042A6" w:rsidR="00BC6B81" w:rsidRPr="002D0731" w:rsidRDefault="009514D4" w:rsidP="00BC6B81">
      <w:pPr>
        <w:pStyle w:val="Vgjegyzetszvege"/>
        <w:tabs>
          <w:tab w:val="clear" w:pos="567"/>
        </w:tabs>
        <w:jc w:val="both"/>
        <w:rPr>
          <w:i/>
          <w:szCs w:val="22"/>
          <w:lang w:val="hu-HU"/>
        </w:rPr>
      </w:pPr>
      <w:r>
        <w:rPr>
          <w:i/>
          <w:szCs w:val="22"/>
          <w:lang w:val="hu-HU"/>
        </w:rPr>
        <w:t>Különleges</w:t>
      </w:r>
      <w:r w:rsidRPr="002D0731">
        <w:rPr>
          <w:i/>
          <w:szCs w:val="22"/>
          <w:lang w:val="hu-HU"/>
        </w:rPr>
        <w:t xml:space="preserve"> </w:t>
      </w:r>
      <w:r w:rsidR="00BC6B81" w:rsidRPr="002D0731">
        <w:rPr>
          <w:i/>
          <w:szCs w:val="22"/>
          <w:lang w:val="hu-HU"/>
        </w:rPr>
        <w:t>beteg</w:t>
      </w:r>
      <w:r w:rsidR="00BC6B81">
        <w:rPr>
          <w:i/>
          <w:szCs w:val="22"/>
          <w:lang w:val="hu-HU"/>
        </w:rPr>
        <w:t>csoportok</w:t>
      </w:r>
      <w:r w:rsidR="00BC6B81" w:rsidRPr="002D0731">
        <w:rPr>
          <w:i/>
          <w:szCs w:val="22"/>
          <w:lang w:val="hu-HU"/>
        </w:rPr>
        <w:t>:</w:t>
      </w:r>
    </w:p>
    <w:p w14:paraId="328AAF24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  <w:r w:rsidRPr="002D0731">
        <w:rPr>
          <w:szCs w:val="22"/>
          <w:lang w:val="hu-HU"/>
        </w:rPr>
        <w:t>Károsodott vese- vagy májfunkciójú betegeken nem végeztek klinikai vizsgálatokat.</w:t>
      </w:r>
    </w:p>
    <w:p w14:paraId="0D6DBAEB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45A87DBF" w14:textId="77777777" w:rsidR="00BC6B81" w:rsidRPr="002D0731" w:rsidRDefault="00BC6B81" w:rsidP="00BC6B81">
      <w:pPr>
        <w:jc w:val="both"/>
        <w:rPr>
          <w:sz w:val="22"/>
          <w:szCs w:val="22"/>
          <w:u w:val="single"/>
        </w:rPr>
      </w:pPr>
      <w:r w:rsidRPr="000B2E2C">
        <w:rPr>
          <w:sz w:val="22"/>
          <w:szCs w:val="22"/>
          <w:u w:val="single"/>
        </w:rPr>
        <w:t>Az alkalmazás módja</w:t>
      </w:r>
    </w:p>
    <w:p w14:paraId="6BECE0F3" w14:textId="77777777" w:rsidR="00BC6B81" w:rsidRDefault="00BC6B81" w:rsidP="00BC6B81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66354F">
        <w:rPr>
          <w:b w:val="0"/>
          <w:szCs w:val="22"/>
          <w:lang w:val="hu-HU"/>
        </w:rPr>
        <w:t>Az E</w:t>
      </w:r>
      <w:r>
        <w:rPr>
          <w:b w:val="0"/>
          <w:szCs w:val="22"/>
          <w:lang w:val="hu-HU"/>
        </w:rPr>
        <w:t>ligard</w:t>
      </w:r>
      <w:r w:rsidRPr="0066354F">
        <w:rPr>
          <w:b w:val="0"/>
          <w:szCs w:val="22"/>
          <w:lang w:val="hu-HU"/>
        </w:rPr>
        <w:t xml:space="preserve"> </w:t>
      </w:r>
      <w:r>
        <w:rPr>
          <w:b w:val="0"/>
          <w:szCs w:val="22"/>
          <w:lang w:val="hu-HU"/>
        </w:rPr>
        <w:t>4</w:t>
      </w:r>
      <w:r w:rsidRPr="0066354F">
        <w:rPr>
          <w:b w:val="0"/>
          <w:szCs w:val="22"/>
          <w:lang w:val="hu-HU"/>
        </w:rPr>
        <w:t>5</w:t>
      </w:r>
      <w:r>
        <w:rPr>
          <w:b w:val="0"/>
          <w:szCs w:val="22"/>
          <w:lang w:val="hu-HU"/>
        </w:rPr>
        <w:t> </w:t>
      </w:r>
      <w:r w:rsidRPr="0066354F">
        <w:rPr>
          <w:b w:val="0"/>
          <w:szCs w:val="22"/>
          <w:lang w:val="hu-HU"/>
        </w:rPr>
        <w:t>mg el</w:t>
      </w:r>
      <w:r>
        <w:rPr>
          <w:b w:val="0"/>
          <w:szCs w:val="22"/>
          <w:lang w:val="hu-HU"/>
        </w:rPr>
        <w:t>ő</w:t>
      </w:r>
      <w:r w:rsidRPr="0066354F">
        <w:rPr>
          <w:b w:val="0"/>
          <w:szCs w:val="22"/>
          <w:lang w:val="hu-HU"/>
        </w:rPr>
        <w:t xml:space="preserve">készítését, feloldását és </w:t>
      </w:r>
      <w:r>
        <w:rPr>
          <w:b w:val="0"/>
          <w:szCs w:val="22"/>
          <w:lang w:val="hu-HU"/>
        </w:rPr>
        <w:t>alkalmazását</w:t>
      </w:r>
      <w:r w:rsidRPr="0066354F">
        <w:rPr>
          <w:b w:val="0"/>
          <w:szCs w:val="22"/>
          <w:lang w:val="hu-HU"/>
        </w:rPr>
        <w:t xml:space="preserve"> kizárólag</w:t>
      </w:r>
      <w:r>
        <w:rPr>
          <w:b w:val="0"/>
          <w:szCs w:val="22"/>
          <w:lang w:val="hu-HU"/>
        </w:rPr>
        <w:t xml:space="preserve"> az ezekben az eljárásmódokban jártas</w:t>
      </w:r>
      <w:r w:rsidRPr="0066354F">
        <w:rPr>
          <w:b w:val="0"/>
          <w:szCs w:val="22"/>
          <w:lang w:val="hu-HU"/>
        </w:rPr>
        <w:t xml:space="preserve"> egészségügyi</w:t>
      </w:r>
      <w:r>
        <w:rPr>
          <w:b w:val="0"/>
          <w:szCs w:val="22"/>
          <w:lang w:val="hu-HU"/>
        </w:rPr>
        <w:t xml:space="preserve"> </w:t>
      </w:r>
      <w:r w:rsidRPr="0066354F">
        <w:rPr>
          <w:b w:val="0"/>
          <w:szCs w:val="22"/>
          <w:lang w:val="hu-HU"/>
        </w:rPr>
        <w:t>szakemberek</w:t>
      </w:r>
      <w:r>
        <w:rPr>
          <w:b w:val="0"/>
          <w:szCs w:val="22"/>
          <w:lang w:val="hu-HU"/>
        </w:rPr>
        <w:t xml:space="preserve"> </w:t>
      </w:r>
      <w:r w:rsidRPr="0066354F">
        <w:rPr>
          <w:b w:val="0"/>
          <w:szCs w:val="22"/>
          <w:lang w:val="hu-HU"/>
        </w:rPr>
        <w:t>végezzék</w:t>
      </w:r>
      <w:r>
        <w:rPr>
          <w:b w:val="0"/>
          <w:szCs w:val="22"/>
          <w:lang w:val="hu-HU"/>
        </w:rPr>
        <w:t>.</w:t>
      </w:r>
      <w:r w:rsidRPr="00DF6AAE">
        <w:rPr>
          <w:b w:val="0"/>
          <w:szCs w:val="22"/>
          <w:lang w:val="hu-HU"/>
        </w:rPr>
        <w:t xml:space="preserve"> </w:t>
      </w:r>
      <w:r w:rsidRPr="00D61575">
        <w:rPr>
          <w:b w:val="0"/>
          <w:szCs w:val="22"/>
          <w:lang w:val="hu-HU"/>
        </w:rPr>
        <w:t>Pontosan követni kell a feloldásra és beadásra vonatkozó utasításokat (lásd 4.4 és a 6.6 pont).</w:t>
      </w:r>
    </w:p>
    <w:p w14:paraId="797EBEF0" w14:textId="77777777" w:rsidR="00BC6B81" w:rsidRPr="00CC7A49" w:rsidRDefault="00BC6B81" w:rsidP="00BC6B81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3654E7">
        <w:rPr>
          <w:b w:val="0"/>
          <w:szCs w:val="22"/>
          <w:lang w:val="hu-HU"/>
        </w:rPr>
        <w:t>Amennyiben a termék elkészítése nem megfelelő, nem szabad beadni.</w:t>
      </w:r>
    </w:p>
    <w:p w14:paraId="0E6FF65A" w14:textId="77777777" w:rsidR="00BC6B81" w:rsidRPr="002D0731" w:rsidRDefault="00BC6B81" w:rsidP="00BC6B81">
      <w:pPr>
        <w:jc w:val="both"/>
        <w:rPr>
          <w:sz w:val="22"/>
          <w:szCs w:val="22"/>
          <w:u w:val="single"/>
          <w:shd w:val="clear" w:color="auto" w:fill="FFFF00"/>
        </w:rPr>
      </w:pPr>
    </w:p>
    <w:p w14:paraId="784A833A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 két előretöltött steril fecskendő tartalmát közvetlenül az Eligard 45 mg injekció szubkután beadását megelőzően kell elegyíteni. </w:t>
      </w:r>
    </w:p>
    <w:p w14:paraId="5D995289" w14:textId="02C9C801" w:rsidR="00BC6B81" w:rsidRPr="002D0731" w:rsidRDefault="00BC6B81" w:rsidP="00BC6B81">
      <w:pPr>
        <w:jc w:val="both"/>
        <w:rPr>
          <w:sz w:val="22"/>
          <w:szCs w:val="22"/>
        </w:rPr>
      </w:pPr>
    </w:p>
    <w:p w14:paraId="5E004562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Állatkísérletes adatok alapján az injekció intraarteriálisan vagy intravénásan történő beadása szigorúan kerülendő.</w:t>
      </w:r>
    </w:p>
    <w:p w14:paraId="4B72A4DB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shd w:val="clear" w:color="auto" w:fill="FFFF00"/>
          <w:lang w:val="hu-HU"/>
        </w:rPr>
      </w:pPr>
    </w:p>
    <w:p w14:paraId="082B40C0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szCs w:val="22"/>
          <w:lang w:val="hu-HU"/>
        </w:rPr>
        <w:t>Egyéb szubkután injekcióban beadott gyógyszerekhez hasonlóan a beadás helyét rendszeresen váltogatni kell.</w:t>
      </w:r>
    </w:p>
    <w:p w14:paraId="7E5FBB65" w14:textId="77777777" w:rsidR="00BC6B81" w:rsidRPr="002D0731" w:rsidRDefault="00BC6B81" w:rsidP="00BC6B81">
      <w:pPr>
        <w:pStyle w:val="Vgjegyzetszvege"/>
        <w:tabs>
          <w:tab w:val="clear" w:pos="567"/>
        </w:tabs>
        <w:jc w:val="both"/>
        <w:rPr>
          <w:szCs w:val="22"/>
          <w:lang w:val="hu-HU"/>
        </w:rPr>
      </w:pPr>
    </w:p>
    <w:p w14:paraId="39A513FE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4.3</w:t>
      </w:r>
      <w:r w:rsidRPr="002D0731">
        <w:rPr>
          <w:b/>
          <w:sz w:val="22"/>
          <w:szCs w:val="22"/>
        </w:rPr>
        <w:tab/>
        <w:t>Ellenjavallatok</w:t>
      </w:r>
    </w:p>
    <w:p w14:paraId="0CFCCC52" w14:textId="77777777" w:rsidR="00BC6B81" w:rsidRPr="002D0731" w:rsidRDefault="00BC6B81" w:rsidP="00BC6B81">
      <w:pPr>
        <w:rPr>
          <w:sz w:val="22"/>
          <w:szCs w:val="22"/>
        </w:rPr>
      </w:pPr>
    </w:p>
    <w:p w14:paraId="59371F7C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Az Eligard 45 mg nőknek és gyermekeknek ellenjavallt.</w:t>
      </w:r>
    </w:p>
    <w:p w14:paraId="32BFACA4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7E4EEC30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leuprorelin</w:t>
      </w:r>
      <w:r w:rsidRPr="002D0731">
        <w:rPr>
          <w:sz w:val="22"/>
          <w:szCs w:val="22"/>
        </w:rPr>
        <w:noBreakHyphen/>
        <w:t>acetáttal, egyéb GnRH</w:t>
      </w:r>
      <w:r w:rsidRPr="002D0731">
        <w:rPr>
          <w:sz w:val="22"/>
          <w:szCs w:val="22"/>
        </w:rPr>
        <w:noBreakHyphen/>
        <w:t>agonistával vagy a 6.1 pontban felsorolt</w:t>
      </w:r>
      <w:r w:rsidRPr="002D0731" w:rsidDel="009D7A37"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bármely segédanyagával szembeni túlérzékenység.</w:t>
      </w:r>
    </w:p>
    <w:p w14:paraId="34C7DAC2" w14:textId="77777777" w:rsidR="00BC6B81" w:rsidRPr="002D0731" w:rsidRDefault="00BC6B81" w:rsidP="00BC6B81">
      <w:pPr>
        <w:rPr>
          <w:sz w:val="22"/>
          <w:szCs w:val="22"/>
        </w:rPr>
      </w:pPr>
    </w:p>
    <w:p w14:paraId="72201EEA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Korábban orchiectomián átesett betegek (egyéb GnRH</w:t>
      </w:r>
      <w:r w:rsidRPr="002D0731">
        <w:rPr>
          <w:sz w:val="22"/>
          <w:szCs w:val="22"/>
        </w:rPr>
        <w:noBreakHyphen/>
        <w:t>agonistával történő kezeléshez hasonlóan az Eligard 45 mg</w:t>
      </w:r>
      <w:r w:rsidRPr="002D0731">
        <w:rPr>
          <w:sz w:val="22"/>
          <w:szCs w:val="22"/>
        </w:rPr>
        <w:noBreakHyphen/>
        <w:t>kezelés a sebészi kasztráción átesett betegeknél nem eredményezi a szérum tesztoszteronszint további csökkenését).</w:t>
      </w:r>
    </w:p>
    <w:p w14:paraId="554EDA10" w14:textId="77777777" w:rsidR="00BC6B81" w:rsidRPr="002D0731" w:rsidRDefault="00BC6B81" w:rsidP="00BC6B81">
      <w:pPr>
        <w:rPr>
          <w:sz w:val="22"/>
          <w:szCs w:val="22"/>
        </w:rPr>
      </w:pPr>
    </w:p>
    <w:p w14:paraId="4D1076BF" w14:textId="77777777" w:rsidR="00BC6B81" w:rsidRPr="002D0731" w:rsidRDefault="00BC6B81" w:rsidP="00BC6B81">
      <w:r w:rsidRPr="002D0731">
        <w:rPr>
          <w:sz w:val="22"/>
          <w:szCs w:val="22"/>
        </w:rPr>
        <w:t>Gerincvelő</w:t>
      </w:r>
      <w:r w:rsidRPr="002D0731">
        <w:rPr>
          <w:sz w:val="22"/>
          <w:szCs w:val="22"/>
        </w:rPr>
        <w:noBreakHyphen/>
        <w:t>kompressziós vagy bizonyítottan gerincvelő</w:t>
      </w:r>
      <w:r w:rsidRPr="002D0731">
        <w:rPr>
          <w:sz w:val="22"/>
          <w:szCs w:val="22"/>
        </w:rPr>
        <w:noBreakHyphen/>
        <w:t xml:space="preserve">metasztázisos prosztatadaganatos betegek </w:t>
      </w:r>
      <w:r w:rsidRPr="005B41E1">
        <w:rPr>
          <w:sz w:val="22"/>
          <w:szCs w:val="22"/>
        </w:rPr>
        <w:t xml:space="preserve">egyedüli </w:t>
      </w:r>
      <w:r w:rsidRPr="002D0731">
        <w:rPr>
          <w:sz w:val="22"/>
          <w:szCs w:val="22"/>
        </w:rPr>
        <w:t>kezelése monoterápiában (lásd 4.4 pont).</w:t>
      </w:r>
    </w:p>
    <w:p w14:paraId="0BA85C8D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</w:p>
    <w:p w14:paraId="54F3348F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4.4</w:t>
      </w:r>
      <w:r w:rsidRPr="002D0731">
        <w:rPr>
          <w:b/>
          <w:sz w:val="22"/>
          <w:szCs w:val="22"/>
        </w:rPr>
        <w:tab/>
        <w:t>Különleges figyelmeztetések és az alkalmazással kapcsolatos óvintézkedések</w:t>
      </w:r>
    </w:p>
    <w:p w14:paraId="113439A7" w14:textId="77777777" w:rsidR="00BC6B81" w:rsidRPr="002D0731" w:rsidRDefault="00BC6B81" w:rsidP="00BC6B81">
      <w:pPr>
        <w:tabs>
          <w:tab w:val="left" w:pos="6300"/>
        </w:tabs>
        <w:jc w:val="both"/>
        <w:rPr>
          <w:sz w:val="22"/>
          <w:szCs w:val="22"/>
          <w:shd w:val="clear" w:color="auto" w:fill="FFFF00"/>
        </w:rPr>
      </w:pPr>
    </w:p>
    <w:p w14:paraId="1B947E22" w14:textId="77777777" w:rsidR="00BC6B81" w:rsidRPr="002D0731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  <w:r w:rsidRPr="002D0731">
        <w:rPr>
          <w:szCs w:val="22"/>
          <w:u w:val="single"/>
          <w:lang w:val="hu-HU"/>
        </w:rPr>
        <w:t>Megfelelő feloldás:</w:t>
      </w:r>
      <w:r w:rsidRPr="002D0731">
        <w:rPr>
          <w:szCs w:val="22"/>
          <w:lang w:val="hu-HU"/>
        </w:rPr>
        <w:t xml:space="preserve"> </w:t>
      </w:r>
      <w:r w:rsidRPr="00203E74">
        <w:rPr>
          <w:szCs w:val="22"/>
          <w:lang w:val="hu-HU"/>
        </w:rPr>
        <w:t>Olyan kezelési hibákat jelentettek, amelyek az előkészítési folyamat bármelyik lépésében bekövetkezhetnek, és amelyek hatástalansághoz vezethetnek. Pontosan követni kell a feloldásra és a beadásra vonatkozó utasításokat (lásd 6.6 pont). Ismert kezelési hiba, vagy annak gyanúja esetén a betegeket megfelelően monitorozni kell (lásd 4.2 pont).</w:t>
      </w:r>
    </w:p>
    <w:p w14:paraId="2AB79640" w14:textId="77777777" w:rsidR="00BC6B81" w:rsidRPr="002D0731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</w:p>
    <w:p w14:paraId="600BDC0E" w14:textId="77777777" w:rsidR="00BC6B81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  <w:r w:rsidRPr="00B35B1B">
        <w:rPr>
          <w:szCs w:val="22"/>
          <w:u w:val="single"/>
          <w:lang w:val="hu-HU"/>
        </w:rPr>
        <w:t>Az androgén</w:t>
      </w:r>
      <w:r>
        <w:rPr>
          <w:szCs w:val="22"/>
          <w:u w:val="single"/>
          <w:lang w:val="hu-HU"/>
        </w:rPr>
        <w:noBreakHyphen/>
      </w:r>
      <w:r w:rsidRPr="00B35B1B">
        <w:rPr>
          <w:szCs w:val="22"/>
          <w:u w:val="single"/>
          <w:lang w:val="hu-HU"/>
        </w:rPr>
        <w:t>deprivációs kezelés hatására meghosszabbodhat a QT-intervallum</w:t>
      </w:r>
      <w:r w:rsidRPr="002D0731">
        <w:rPr>
          <w:szCs w:val="22"/>
          <w:lang w:val="hu-HU"/>
        </w:rPr>
        <w:t>:</w:t>
      </w:r>
      <w:r w:rsidRPr="002D0731">
        <w:rPr>
          <w:szCs w:val="22"/>
          <w:lang w:val="hu-HU"/>
        </w:rPr>
        <w:br/>
        <w:t>Az Eligard 45 mg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 xml:space="preserve">kezelés megkezdése előtt azoknál a betegeknél, akiknek az anamnézisében szerepel a QT-intervallum megnyúlása, vagy fennállnak ennek kockázati tényezői, illetve akik olyan kísérő gyógyszereket szednek, amelyek meghosszabbíthatják a QT-intervallumot (lásd 4.5 pont), a kezelőorvosoknak mérlegelnie kell a haszon/kockázat arányát, beleértve az esetleges </w:t>
      </w:r>
      <w:r w:rsidRPr="003654E7">
        <w:rPr>
          <w:i/>
          <w:szCs w:val="22"/>
          <w:lang w:val="hu-HU"/>
        </w:rPr>
        <w:t>Torsade de pointes</w:t>
      </w:r>
      <w:r w:rsidRPr="002D0731">
        <w:rPr>
          <w:szCs w:val="22"/>
          <w:lang w:val="hu-HU"/>
        </w:rPr>
        <w:t xml:space="preserve"> kialakulását is.</w:t>
      </w:r>
    </w:p>
    <w:p w14:paraId="4205F7E0" w14:textId="77777777" w:rsidR="00BC6B81" w:rsidRPr="002D0731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</w:p>
    <w:p w14:paraId="7A0330B3" w14:textId="77777777" w:rsidR="00BC6B81" w:rsidRPr="00B35B1B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 w:eastAsia="de-DE"/>
        </w:rPr>
      </w:pPr>
      <w:r w:rsidRPr="002D0731">
        <w:rPr>
          <w:szCs w:val="22"/>
          <w:u w:val="single"/>
          <w:lang w:val="hu-HU"/>
        </w:rPr>
        <w:t>Kardiovaszkuláris betegségek:</w:t>
      </w:r>
      <w:r w:rsidRPr="00B35B1B">
        <w:rPr>
          <w:szCs w:val="22"/>
          <w:lang w:val="hu-HU" w:eastAsia="de-DE"/>
        </w:rPr>
        <w:t xml:space="preserve"> GnRH</w:t>
      </w:r>
      <w:r>
        <w:rPr>
          <w:szCs w:val="22"/>
          <w:lang w:val="hu-HU" w:eastAsia="de-DE"/>
        </w:rPr>
        <w:noBreakHyphen/>
      </w:r>
      <w:r w:rsidRPr="00B35B1B">
        <w:rPr>
          <w:szCs w:val="22"/>
          <w:lang w:val="hu-HU" w:eastAsia="de-DE"/>
        </w:rPr>
        <w:t xml:space="preserve">agonisták alkalmazásával összefüggésben </w:t>
      </w:r>
      <w:r>
        <w:rPr>
          <w:szCs w:val="22"/>
          <w:lang w:val="hu-HU" w:eastAsia="de-DE"/>
        </w:rPr>
        <w:t>szív</w:t>
      </w:r>
      <w:r w:rsidRPr="00B35B1B">
        <w:rPr>
          <w:szCs w:val="22"/>
          <w:lang w:val="hu-HU" w:eastAsia="de-DE"/>
        </w:rPr>
        <w:t>infarktus fokozott kockázatát, hirtelen szívhalál és sztrók előfordulását jelentették férfiaknál. A kockázat kismértékűnek tűnik a jelentések esélyhányadosai alapján, de meglévő kardiovaszkuláris kockázati faktorok esetén gondosan értékelendő a prosztatadaganatos betegek kezelésének megállapításakor. A GnRH</w:t>
      </w:r>
      <w:r>
        <w:rPr>
          <w:szCs w:val="22"/>
          <w:lang w:val="hu-HU" w:eastAsia="de-DE"/>
        </w:rPr>
        <w:noBreakHyphen/>
      </w:r>
      <w:r w:rsidRPr="00B35B1B">
        <w:rPr>
          <w:szCs w:val="22"/>
          <w:lang w:val="hu-HU" w:eastAsia="de-DE"/>
        </w:rPr>
        <w:t>agonista</w:t>
      </w:r>
      <w:r>
        <w:rPr>
          <w:szCs w:val="22"/>
          <w:lang w:val="hu-HU" w:eastAsia="de-DE"/>
        </w:rPr>
        <w:noBreakHyphen/>
      </w:r>
      <w:r w:rsidRPr="00B35B1B">
        <w:rPr>
          <w:szCs w:val="22"/>
          <w:lang w:val="hu-HU" w:eastAsia="de-DE"/>
        </w:rPr>
        <w:t>kezelésben részesülő betegek követendők a kardiovaszkuláris betegségek kialakulására gyanús tünetek és jelek szempontjából és az ellátást a jelenleg érvényben lévő klinikai gyakorlatnak megfelelően kell végezni.</w:t>
      </w:r>
    </w:p>
    <w:p w14:paraId="67704B8B" w14:textId="77777777" w:rsidR="00BC6B81" w:rsidRPr="002D0731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</w:p>
    <w:p w14:paraId="5A0F11E6" w14:textId="77777777" w:rsidR="00BC6B81" w:rsidRPr="002D0731" w:rsidRDefault="00BC6B81" w:rsidP="00BC6B81">
      <w:pPr>
        <w:pStyle w:val="Szvegtrzs"/>
        <w:tabs>
          <w:tab w:val="left" w:pos="6300"/>
        </w:tabs>
        <w:suppressAutoHyphens w:val="0"/>
        <w:rPr>
          <w:szCs w:val="22"/>
          <w:lang w:val="hu-HU"/>
        </w:rPr>
      </w:pPr>
      <w:r w:rsidRPr="00B35B1B">
        <w:rPr>
          <w:szCs w:val="22"/>
          <w:u w:val="single"/>
          <w:lang w:val="hu-HU"/>
        </w:rPr>
        <w:t>Átmeneti tesztoszteronszint</w:t>
      </w:r>
      <w:r>
        <w:rPr>
          <w:szCs w:val="22"/>
          <w:u w:val="single"/>
          <w:lang w:val="hu-HU"/>
        </w:rPr>
        <w:noBreakHyphen/>
      </w:r>
      <w:r w:rsidRPr="00B35B1B">
        <w:rPr>
          <w:szCs w:val="22"/>
          <w:u w:val="single"/>
          <w:lang w:val="hu-HU"/>
        </w:rPr>
        <w:t xml:space="preserve">emelkedés: </w:t>
      </w:r>
      <w:r w:rsidRPr="002D0731">
        <w:rPr>
          <w:szCs w:val="22"/>
          <w:lang w:val="hu-HU"/>
        </w:rPr>
        <w:t>A leuprorelin</w:t>
      </w:r>
      <w:r w:rsidRPr="002D0731">
        <w:rPr>
          <w:szCs w:val="22"/>
          <w:lang w:val="hu-HU"/>
        </w:rPr>
        <w:noBreakHyphen/>
        <w:t>acetát</w:t>
      </w:r>
      <w:r>
        <w:rPr>
          <w:szCs w:val="22"/>
          <w:lang w:val="hu-HU"/>
        </w:rPr>
        <w:t xml:space="preserve"> az</w:t>
      </w:r>
      <w:r w:rsidRPr="002D0731">
        <w:rPr>
          <w:szCs w:val="22"/>
          <w:lang w:val="hu-HU"/>
        </w:rPr>
        <w:t xml:space="preserve"> egyéb GnRH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agonistákhoz hasonlóan a kezelés első hetében a tesztoszteron, a dihidrotesztoszteron és a savas foszfatáz szérumkoncentrációinak átmeneti növekedését okozza. A betegek a tünetek rosszabbodását, vagy új tünetek fellépését észlelhetik, például csontfájdalmat, neuropátiát, vérvizelést vagy a húgyvezeték, illetve a hólyagkimenet elzáródását (lásd 4.8 pont). Ezek a tünetek a kezelés folyamán általában megszűnnek.</w:t>
      </w:r>
    </w:p>
    <w:p w14:paraId="0F2E8ECE" w14:textId="77777777" w:rsidR="00BC6B81" w:rsidRPr="002D0731" w:rsidRDefault="00BC6B81" w:rsidP="00BC6B81">
      <w:pPr>
        <w:jc w:val="both"/>
        <w:rPr>
          <w:sz w:val="22"/>
          <w:szCs w:val="22"/>
          <w:shd w:val="clear" w:color="auto" w:fill="FFFF00"/>
        </w:rPr>
      </w:pPr>
    </w:p>
    <w:p w14:paraId="08293E0B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Megfontolandó megfelelő antiandrogén kiegészítő alkalmazása a leuprorelin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kezelés megkezdése előtti 3 napban és a kezelés első 2</w:t>
      </w:r>
      <w:r w:rsidRPr="002D0731">
        <w:rPr>
          <w:szCs w:val="22"/>
          <w:lang w:val="hu-HU"/>
        </w:rPr>
        <w:noBreakHyphen/>
        <w:t>3 hetében. Ez a beszámolók szerint a kezdeti szérum tesztoszteronszint-emelkedés esetleges következményeit kivédi.</w:t>
      </w:r>
    </w:p>
    <w:p w14:paraId="313DF13B" w14:textId="77777777" w:rsidR="00BC6B81" w:rsidRPr="002D0731" w:rsidRDefault="00BC6B81" w:rsidP="00BC6B81">
      <w:pPr>
        <w:jc w:val="both"/>
        <w:rPr>
          <w:sz w:val="22"/>
          <w:szCs w:val="22"/>
          <w:shd w:val="clear" w:color="auto" w:fill="FFFF00"/>
        </w:rPr>
      </w:pPr>
    </w:p>
    <w:p w14:paraId="305C37FB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Sebészi kasztrálás után az Eligard 45 mg nem eredményezi a férfi betegek szérum tesztoszteronszintjének további csökkenését.</w:t>
      </w:r>
    </w:p>
    <w:p w14:paraId="5CDC5FF7" w14:textId="77777777" w:rsidR="00BC6B81" w:rsidRPr="002D0731" w:rsidRDefault="00BC6B81" w:rsidP="00BC6B81">
      <w:pPr>
        <w:jc w:val="both"/>
        <w:rPr>
          <w:sz w:val="22"/>
          <w:szCs w:val="22"/>
          <w:shd w:val="clear" w:color="auto" w:fill="FFFF00"/>
        </w:rPr>
      </w:pPr>
    </w:p>
    <w:p w14:paraId="0D5A6106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u w:val="single"/>
          <w:lang w:val="hu-HU"/>
        </w:rPr>
        <w:t>Csontsűrűség:</w:t>
      </w:r>
      <w:r w:rsidRPr="002D0731">
        <w:rPr>
          <w:szCs w:val="22"/>
          <w:lang w:val="hu-HU"/>
        </w:rPr>
        <w:t xml:space="preserve"> Az orvosi szakirodalom orchiectomián átesett</w:t>
      </w:r>
      <w:r>
        <w:rPr>
          <w:szCs w:val="22"/>
          <w:lang w:val="hu-HU"/>
        </w:rPr>
        <w:t>,</w:t>
      </w:r>
      <w:r w:rsidRPr="002D0731">
        <w:rPr>
          <w:szCs w:val="22"/>
          <w:lang w:val="hu-HU"/>
        </w:rPr>
        <w:t xml:space="preserve"> vagy GnRH</w:t>
      </w:r>
      <w:r w:rsidRPr="002D0731">
        <w:rPr>
          <w:szCs w:val="22"/>
          <w:lang w:val="hu-HU"/>
        </w:rPr>
        <w:noBreakHyphen/>
        <w:t>agonistákkal kezelt férfiaknál csontsűrűség</w:t>
      </w:r>
      <w:r w:rsidRPr="002D0731">
        <w:rPr>
          <w:szCs w:val="22"/>
          <w:lang w:val="hu-HU"/>
        </w:rPr>
        <w:noBreakHyphen/>
        <w:t>csökkenésről számol be (lásd 4.8 pont).</w:t>
      </w:r>
    </w:p>
    <w:p w14:paraId="5F48D1EF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Az antiandrogén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terápia szignifikánsan növeli az oszteoporózis miatti törések kockázatát. Erről csak korlátozott mennyiségű adat áll rendelkezésre. 22 hónapig tartó, gyógyszeres androgén</w:t>
      </w:r>
      <w:r>
        <w:rPr>
          <w:sz w:val="22"/>
          <w:szCs w:val="22"/>
        </w:rPr>
        <w:noBreakHyphen/>
        <w:t>deprivációs</w:t>
      </w:r>
      <w:r w:rsidRPr="002D0731">
        <w:rPr>
          <w:sz w:val="22"/>
          <w:szCs w:val="22"/>
        </w:rPr>
        <w:t xml:space="preserve"> terápiát követően a betegek 5%</w:t>
      </w:r>
      <w:r w:rsidRPr="002D0731">
        <w:rPr>
          <w:sz w:val="22"/>
          <w:szCs w:val="22"/>
        </w:rPr>
        <w:noBreakHyphen/>
        <w:t>ánál, 5</w:t>
      </w:r>
      <w:r w:rsidRPr="002D0731">
        <w:rPr>
          <w:sz w:val="22"/>
          <w:szCs w:val="22"/>
        </w:rPr>
        <w:noBreakHyphen/>
        <w:t>10 évig tartó kezelés után a betegek 4%</w:t>
      </w:r>
      <w:r w:rsidRPr="002D0731">
        <w:rPr>
          <w:sz w:val="22"/>
          <w:szCs w:val="22"/>
        </w:rPr>
        <w:noBreakHyphen/>
        <w:t>ánál figyeltek meg oszteoporózis miatt bekövetkező töréseket. Az oszteoporózis miatt bekövetkező törések kockázata általában nagyobb, mint a patológiás töréseké.</w:t>
      </w:r>
    </w:p>
    <w:p w14:paraId="07AAA4DB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hosszan</w:t>
      </w:r>
      <w:r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tartó tesztoszteronhiány mellett az előrehaladott kor, a dohányzás és az alkoholfogyasztás, az elhízás és a nem elegendő testmozgás is hatással lehet az oszteoporózis kialakulására.</w:t>
      </w:r>
    </w:p>
    <w:p w14:paraId="38830FAB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</w:p>
    <w:p w14:paraId="16FCF01C" w14:textId="77777777" w:rsidR="00BC6B81" w:rsidRPr="002D0731" w:rsidRDefault="00BC6B81" w:rsidP="00BC6B81">
      <w:pPr>
        <w:rPr>
          <w:sz w:val="22"/>
          <w:szCs w:val="22"/>
          <w:lang w:eastAsia="hu-HU"/>
        </w:rPr>
      </w:pPr>
      <w:r>
        <w:rPr>
          <w:sz w:val="22"/>
          <w:szCs w:val="22"/>
          <w:u w:val="single"/>
          <w:lang w:eastAsia="hu-HU"/>
        </w:rPr>
        <w:t>Hipofízis</w:t>
      </w:r>
      <w:r w:rsidRPr="002D0731">
        <w:rPr>
          <w:sz w:val="22"/>
          <w:szCs w:val="22"/>
          <w:u w:val="single"/>
          <w:lang w:eastAsia="hu-HU"/>
        </w:rPr>
        <w:t xml:space="preserve"> apoplexia:</w:t>
      </w:r>
      <w:r w:rsidRPr="002D0731">
        <w:rPr>
          <w:sz w:val="22"/>
          <w:szCs w:val="22"/>
          <w:lang w:eastAsia="hu-HU"/>
        </w:rPr>
        <w:t xml:space="preserve"> A forgalomba hozatalt követő felügyelet során a GnRH-agonisták alkalmazását követően ritka esetekben </w:t>
      </w:r>
      <w:r>
        <w:rPr>
          <w:sz w:val="22"/>
          <w:szCs w:val="22"/>
          <w:lang w:eastAsia="hu-HU"/>
        </w:rPr>
        <w:t>hipofízis</w:t>
      </w:r>
      <w:r w:rsidRPr="002D0731">
        <w:rPr>
          <w:sz w:val="22"/>
          <w:szCs w:val="22"/>
          <w:lang w:eastAsia="hu-HU"/>
        </w:rPr>
        <w:t xml:space="preserve"> apoplexiáról (a </w:t>
      </w:r>
      <w:r>
        <w:rPr>
          <w:sz w:val="22"/>
          <w:szCs w:val="22"/>
          <w:lang w:eastAsia="hu-HU"/>
        </w:rPr>
        <w:t>hipofízis</w:t>
      </w:r>
      <w:r w:rsidRPr="002D0731">
        <w:rPr>
          <w:sz w:val="22"/>
          <w:szCs w:val="22"/>
          <w:lang w:eastAsia="hu-HU"/>
        </w:rPr>
        <w:t xml:space="preserve"> infarktusa következtében kialakuló klinikai tünetegyüttes) számoltak be, melyek többsége az első adagot követő 2 héten belül, néhány pedig egy órán belül alakult ki. Ezekben az esetekben a </w:t>
      </w:r>
      <w:r>
        <w:rPr>
          <w:sz w:val="22"/>
          <w:szCs w:val="22"/>
          <w:lang w:eastAsia="hu-HU"/>
        </w:rPr>
        <w:t>hipofízis</w:t>
      </w:r>
      <w:r w:rsidRPr="002D0731">
        <w:rPr>
          <w:sz w:val="22"/>
          <w:szCs w:val="22"/>
          <w:lang w:eastAsia="hu-HU"/>
        </w:rPr>
        <w:t xml:space="preserve"> apoplexia hirtelen kialakuló fejfájással, hányással, látászavarral, o</w:t>
      </w:r>
      <w:r>
        <w:rPr>
          <w:sz w:val="22"/>
          <w:szCs w:val="22"/>
          <w:lang w:eastAsia="hu-HU"/>
        </w:rPr>
        <w:t>f</w:t>
      </w:r>
      <w:r w:rsidRPr="002D0731">
        <w:rPr>
          <w:sz w:val="22"/>
          <w:szCs w:val="22"/>
          <w:lang w:eastAsia="hu-HU"/>
        </w:rPr>
        <w:t>talmopl</w:t>
      </w:r>
      <w:r>
        <w:rPr>
          <w:sz w:val="22"/>
          <w:szCs w:val="22"/>
          <w:lang w:eastAsia="hu-HU"/>
        </w:rPr>
        <w:t>é</w:t>
      </w:r>
      <w:r w:rsidRPr="002D0731">
        <w:rPr>
          <w:sz w:val="22"/>
          <w:szCs w:val="22"/>
          <w:lang w:eastAsia="hu-HU"/>
        </w:rPr>
        <w:t>giával, megváltozott mentális st</w:t>
      </w:r>
      <w:r>
        <w:rPr>
          <w:sz w:val="22"/>
          <w:szCs w:val="22"/>
          <w:lang w:eastAsia="hu-HU"/>
        </w:rPr>
        <w:t>á</w:t>
      </w:r>
      <w:r w:rsidRPr="002D0731">
        <w:rPr>
          <w:sz w:val="22"/>
          <w:szCs w:val="22"/>
          <w:lang w:eastAsia="hu-HU"/>
        </w:rPr>
        <w:t>tuss</w:t>
      </w:r>
      <w:r>
        <w:rPr>
          <w:sz w:val="22"/>
          <w:szCs w:val="22"/>
          <w:lang w:eastAsia="hu-HU"/>
        </w:rPr>
        <w:t>z</w:t>
      </w:r>
      <w:r w:rsidRPr="002D0731">
        <w:rPr>
          <w:sz w:val="22"/>
          <w:szCs w:val="22"/>
          <w:lang w:eastAsia="hu-HU"/>
        </w:rPr>
        <w:t>al és néha keringés</w:t>
      </w:r>
      <w:r>
        <w:rPr>
          <w:sz w:val="22"/>
          <w:szCs w:val="22"/>
          <w:lang w:eastAsia="hu-HU"/>
        </w:rPr>
        <w:noBreakHyphen/>
      </w:r>
      <w:r w:rsidRPr="002D0731">
        <w:rPr>
          <w:sz w:val="22"/>
          <w:szCs w:val="22"/>
          <w:lang w:eastAsia="hu-HU"/>
        </w:rPr>
        <w:t>összeomlással jelentkezett. Azonnal orvosi ellátás szükséges.</w:t>
      </w:r>
    </w:p>
    <w:p w14:paraId="0094259D" w14:textId="77777777" w:rsidR="00BC6B81" w:rsidRPr="002D0731" w:rsidRDefault="00BC6B81" w:rsidP="00BC6B81">
      <w:pPr>
        <w:jc w:val="both"/>
        <w:rPr>
          <w:sz w:val="22"/>
          <w:szCs w:val="22"/>
          <w:shd w:val="clear" w:color="auto" w:fill="FFFF00"/>
        </w:rPr>
      </w:pPr>
    </w:p>
    <w:p w14:paraId="4E73976E" w14:textId="120A7ED8" w:rsidR="00BC6B81" w:rsidRDefault="00D05E7C" w:rsidP="00BC6B81">
      <w:pPr>
        <w:rPr>
          <w:sz w:val="22"/>
          <w:szCs w:val="22"/>
        </w:rPr>
      </w:pPr>
      <w:r w:rsidRPr="00D05E7C">
        <w:rPr>
          <w:sz w:val="22"/>
          <w:szCs w:val="22"/>
          <w:u w:val="single"/>
        </w:rPr>
        <w:t>Metabolikus változások</w:t>
      </w:r>
      <w:r w:rsidR="00BC6B81" w:rsidRPr="002D0731">
        <w:rPr>
          <w:sz w:val="22"/>
          <w:szCs w:val="22"/>
          <w:u w:val="single"/>
        </w:rPr>
        <w:t>:</w:t>
      </w:r>
      <w:r w:rsidR="00BC6B81" w:rsidRPr="002D0731">
        <w:rPr>
          <w:sz w:val="22"/>
          <w:szCs w:val="22"/>
        </w:rPr>
        <w:t xml:space="preserve"> Hiperglikémiáról és a diabétesz kialakulásának megnövekedett kockázatáról számoltak be férfiaknál alkalmazott GnRH-agonista</w:t>
      </w:r>
      <w:r w:rsidR="00BC6B81">
        <w:rPr>
          <w:sz w:val="22"/>
          <w:szCs w:val="22"/>
        </w:rPr>
        <w:noBreakHyphen/>
      </w:r>
      <w:r w:rsidR="00BC6B81" w:rsidRPr="002D0731">
        <w:rPr>
          <w:sz w:val="22"/>
          <w:szCs w:val="22"/>
        </w:rPr>
        <w:t>kezelés során. A hiperglikémia a diabetes mellitus kialakulását vagy a diabéteszes betegek romló vércukorszint-szabályozását mutathatja. A GnRH-agonista</w:t>
      </w:r>
      <w:r w:rsidR="00BC6B81">
        <w:rPr>
          <w:sz w:val="22"/>
          <w:szCs w:val="22"/>
        </w:rPr>
        <w:t>-</w:t>
      </w:r>
      <w:r w:rsidR="00BC6B81" w:rsidRPr="002D0731">
        <w:rPr>
          <w:sz w:val="22"/>
          <w:szCs w:val="22"/>
        </w:rPr>
        <w:t xml:space="preserve">kezelésben részesülő betegeknél időnként a vér glükóz és/vagy glikozilált hemoglobin (HbA1c) </w:t>
      </w:r>
      <w:r w:rsidR="00BC6B81">
        <w:rPr>
          <w:sz w:val="22"/>
          <w:szCs w:val="22"/>
        </w:rPr>
        <w:t xml:space="preserve">szintjének </w:t>
      </w:r>
      <w:r w:rsidR="00BC6B81" w:rsidRPr="002D0731">
        <w:rPr>
          <w:sz w:val="22"/>
          <w:szCs w:val="22"/>
        </w:rPr>
        <w:t>ellenőrzése és a hiperglikémia, diabétesz megfelelő kezelése szükséges.</w:t>
      </w:r>
      <w:r>
        <w:rPr>
          <w:sz w:val="22"/>
          <w:szCs w:val="22"/>
        </w:rPr>
        <w:t xml:space="preserve"> A GnRH-agonistával összefüggő metabolikus változások magukba foglalhatják a zsírmájbetegséget.</w:t>
      </w:r>
    </w:p>
    <w:p w14:paraId="438534EC" w14:textId="77777777" w:rsidR="00BC6B81" w:rsidRPr="002D0731" w:rsidRDefault="00BC6B81" w:rsidP="00BC6B81">
      <w:pPr>
        <w:rPr>
          <w:sz w:val="22"/>
          <w:szCs w:val="22"/>
        </w:rPr>
      </w:pPr>
    </w:p>
    <w:p w14:paraId="684C1E7E" w14:textId="77777777" w:rsidR="00BC6B81" w:rsidRPr="00B35B1B" w:rsidRDefault="00BC6B81" w:rsidP="00BC6B81">
      <w:pPr>
        <w:pStyle w:val="00Paragraph"/>
        <w:spacing w:before="0" w:after="0" w:line="240" w:lineRule="auto"/>
        <w:rPr>
          <w:rFonts w:eastAsia="Times New Roman"/>
          <w:sz w:val="22"/>
          <w:szCs w:val="22"/>
          <w:lang w:val="hu-HU" w:eastAsia="de-DE"/>
        </w:rPr>
      </w:pPr>
      <w:r w:rsidRPr="002D0731">
        <w:rPr>
          <w:rFonts w:eastAsia="Times New Roman"/>
          <w:sz w:val="22"/>
          <w:szCs w:val="22"/>
          <w:u w:val="single"/>
          <w:lang w:val="hu-HU" w:eastAsia="de-DE"/>
        </w:rPr>
        <w:t>Görcs</w:t>
      </w:r>
      <w:r>
        <w:rPr>
          <w:rFonts w:eastAsia="Times New Roman"/>
          <w:sz w:val="22"/>
          <w:szCs w:val="22"/>
          <w:u w:val="single"/>
          <w:lang w:val="hu-HU" w:eastAsia="de-DE"/>
        </w:rPr>
        <w:t>rohamok (konvulziók)</w:t>
      </w:r>
      <w:r w:rsidRPr="002D0731">
        <w:rPr>
          <w:rFonts w:eastAsia="Times New Roman"/>
          <w:sz w:val="22"/>
          <w:szCs w:val="22"/>
          <w:u w:val="single"/>
          <w:lang w:val="hu-HU" w:eastAsia="de-DE"/>
        </w:rPr>
        <w:t>:</w:t>
      </w:r>
      <w:r w:rsidRPr="00B35B1B">
        <w:rPr>
          <w:rFonts w:eastAsia="Times New Roman"/>
          <w:sz w:val="22"/>
          <w:szCs w:val="22"/>
          <w:lang w:val="hu-HU" w:eastAsia="de-DE"/>
        </w:rPr>
        <w:t xml:space="preserve"> A f</w:t>
      </w:r>
      <w:r w:rsidRPr="002D0731">
        <w:rPr>
          <w:sz w:val="22"/>
          <w:szCs w:val="22"/>
          <w:lang w:val="hu-HU" w:eastAsia="hu-HU"/>
        </w:rPr>
        <w:t>orgalomba hozatalt követő</w:t>
      </w:r>
      <w:r w:rsidRPr="003654E7">
        <w:rPr>
          <w:sz w:val="22"/>
          <w:szCs w:val="22"/>
          <w:lang w:val="hu-HU" w:eastAsia="hu-HU"/>
        </w:rPr>
        <w:t>en arról számoltak be, hogy a leuprorelin</w:t>
      </w:r>
      <w:r w:rsidRPr="003654E7">
        <w:rPr>
          <w:sz w:val="22"/>
          <w:szCs w:val="22"/>
          <w:lang w:val="hu-HU" w:eastAsia="hu-HU"/>
        </w:rPr>
        <w:noBreakHyphen/>
        <w:t xml:space="preserve">acetát-terápiában részesülő betegeknél, az anamnézisben szereplő </w:t>
      </w:r>
      <w:r w:rsidRPr="002D0731">
        <w:rPr>
          <w:sz w:val="22"/>
          <w:szCs w:val="22"/>
          <w:lang w:val="hu-HU" w:eastAsia="hu-HU"/>
        </w:rPr>
        <w:t>hajlamosító tényezőkkel együtt vagy anélkül</w:t>
      </w:r>
      <w:r>
        <w:rPr>
          <w:sz w:val="22"/>
          <w:szCs w:val="22"/>
          <w:lang w:val="hu-HU" w:eastAsia="hu-HU"/>
        </w:rPr>
        <w:t xml:space="preserve">, </w:t>
      </w:r>
      <w:r w:rsidRPr="003654E7">
        <w:rPr>
          <w:sz w:val="22"/>
          <w:szCs w:val="22"/>
          <w:lang w:val="hu-HU" w:eastAsia="hu-HU"/>
        </w:rPr>
        <w:t>görcsrohamokat észleltek</w:t>
      </w:r>
      <w:r w:rsidRPr="00B35B1B">
        <w:rPr>
          <w:rFonts w:eastAsia="Times New Roman"/>
          <w:sz w:val="22"/>
          <w:szCs w:val="22"/>
          <w:lang w:val="hu-HU" w:eastAsia="de-DE"/>
        </w:rPr>
        <w:t xml:space="preserve">. A </w:t>
      </w:r>
      <w:r>
        <w:rPr>
          <w:rFonts w:eastAsia="Times New Roman"/>
          <w:sz w:val="22"/>
          <w:szCs w:val="22"/>
          <w:lang w:val="hu-HU" w:eastAsia="de-DE"/>
        </w:rPr>
        <w:t>konvulzió</w:t>
      </w:r>
      <w:r w:rsidRPr="00B35B1B">
        <w:rPr>
          <w:rFonts w:eastAsia="Times New Roman"/>
          <w:sz w:val="22"/>
          <w:szCs w:val="22"/>
          <w:lang w:val="hu-HU" w:eastAsia="de-DE"/>
        </w:rPr>
        <w:t>k ellátása az érvényben lévő klinikai gyakorlatnak megfelelően kell, hogy történjen.</w:t>
      </w:r>
    </w:p>
    <w:p w14:paraId="4B3AC308" w14:textId="77777777" w:rsidR="00BC6B81" w:rsidRDefault="00BC6B81" w:rsidP="00BC6B81">
      <w:pPr>
        <w:rPr>
          <w:sz w:val="22"/>
          <w:szCs w:val="22"/>
        </w:rPr>
      </w:pPr>
    </w:p>
    <w:p w14:paraId="2858DC08" w14:textId="77777777" w:rsidR="00BC6B81" w:rsidRDefault="00BC6B81" w:rsidP="00BC6B81">
      <w:pPr>
        <w:rPr>
          <w:sz w:val="22"/>
          <w:szCs w:val="22"/>
        </w:rPr>
      </w:pPr>
      <w:r w:rsidRPr="00E92A42">
        <w:rPr>
          <w:sz w:val="22"/>
          <w:szCs w:val="22"/>
          <w:u w:val="single"/>
        </w:rPr>
        <w:t>Idiopathiás koponyaűri nyomásfokozódás:</w:t>
      </w:r>
      <w:r>
        <w:rPr>
          <w:sz w:val="22"/>
          <w:szCs w:val="22"/>
          <w:u w:val="single"/>
        </w:rPr>
        <w:t xml:space="preserve"> </w:t>
      </w:r>
      <w:r w:rsidRPr="00484A09">
        <w:rPr>
          <w:sz w:val="22"/>
          <w:szCs w:val="22"/>
        </w:rPr>
        <w:t>Idiopathiás koponyaűri nyomásfokozódásról (pseudotumor cerebri) számoltak be a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>leuprorelinnel kezelt betegeknél. A betegek figyelmét fel kell hívni az idiopathiás koponyaűri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 xml:space="preserve">nyomásfokozódás jeleire és tüneteire, beleértve a súlyos </w:t>
      </w:r>
      <w:r>
        <w:rPr>
          <w:sz w:val="22"/>
          <w:szCs w:val="22"/>
        </w:rPr>
        <w:t>vagy</w:t>
      </w:r>
      <w:r w:rsidRPr="00484A09">
        <w:rPr>
          <w:sz w:val="22"/>
          <w:szCs w:val="22"/>
        </w:rPr>
        <w:t xml:space="preserve"> visszatérő fejfájást, a látászavarokat és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>a fülzúgást is. Idiopathiás koponyaűri nyomásfokozódás jelentkezése esetén mérlegelni kell a</w:t>
      </w:r>
      <w:r>
        <w:rPr>
          <w:sz w:val="22"/>
          <w:szCs w:val="22"/>
        </w:rPr>
        <w:t xml:space="preserve"> </w:t>
      </w:r>
      <w:r w:rsidRPr="00484A09">
        <w:rPr>
          <w:sz w:val="22"/>
          <w:szCs w:val="22"/>
        </w:rPr>
        <w:t>leuprorelin-kezelés felfüggesztését.</w:t>
      </w:r>
    </w:p>
    <w:p w14:paraId="3B2342C0" w14:textId="77777777" w:rsidR="00D05E7C" w:rsidRPr="005B41E1" w:rsidRDefault="00D05E7C" w:rsidP="00BC6B81">
      <w:pPr>
        <w:rPr>
          <w:sz w:val="22"/>
          <w:szCs w:val="22"/>
        </w:rPr>
      </w:pPr>
    </w:p>
    <w:p w14:paraId="75EA098A" w14:textId="77777777" w:rsidR="00D05E7C" w:rsidRPr="005B41E1" w:rsidRDefault="00D05E7C" w:rsidP="00D05E7C">
      <w:pPr>
        <w:rPr>
          <w:sz w:val="22"/>
          <w:szCs w:val="22"/>
        </w:rPr>
      </w:pPr>
      <w:r>
        <w:rPr>
          <w:sz w:val="22"/>
          <w:szCs w:val="22"/>
        </w:rPr>
        <w:t>Bőrt érintő súlyos mellékhatások: A leuprorelin</w:t>
      </w:r>
      <w:r>
        <w:rPr>
          <w:sz w:val="22"/>
          <w:szCs w:val="22"/>
        </w:rPr>
        <w:noBreakHyphen/>
        <w:t>kezeléssel összefüggésben bőrt érintő súlyos mellékhatásokat (SCAR-okat), beleértve a potenciálisan életveszélyes vagy halálos kimenetelű Stevens–Johnson</w:t>
      </w:r>
      <w:r>
        <w:rPr>
          <w:sz w:val="22"/>
          <w:szCs w:val="22"/>
        </w:rPr>
        <w:noBreakHyphen/>
        <w:t>szindrómát (SJS) és a toxikus epidermalis necrolysist (TEN), jelentettek. A gyógyszer felírásakor a betegeket tájékoztatni kell a jelekről és a tünetekről és szorosan figyelemmel kell kísérni őket a bőrreakciók tekintetében. Ha az ilyen reakciókra utaló jelek és tünetek jelentkeznek, a leuprorelin alkalmazását azonnal le kell állítani, és (adott esetben) alternatív kezelést kell mérlegelni.</w:t>
      </w:r>
    </w:p>
    <w:p w14:paraId="73FDD560" w14:textId="77777777" w:rsidR="00BC6B81" w:rsidRPr="00B35B1B" w:rsidRDefault="00BC6B81" w:rsidP="00BC6B81">
      <w:pPr>
        <w:jc w:val="both"/>
        <w:rPr>
          <w:sz w:val="22"/>
          <w:szCs w:val="22"/>
          <w:u w:val="single"/>
        </w:rPr>
      </w:pPr>
    </w:p>
    <w:p w14:paraId="6BEFC619" w14:textId="77777777" w:rsidR="00BC6B81" w:rsidRPr="002D0731" w:rsidRDefault="00BC6B81" w:rsidP="00BC6B81">
      <w:pPr>
        <w:rPr>
          <w:sz w:val="22"/>
          <w:szCs w:val="22"/>
        </w:rPr>
      </w:pPr>
      <w:r w:rsidRPr="00B35B1B">
        <w:rPr>
          <w:sz w:val="22"/>
          <w:szCs w:val="22"/>
          <w:u w:val="single"/>
        </w:rPr>
        <w:t>Egyéb események:</w:t>
      </w:r>
      <w:r w:rsidRPr="00B35B1B">
        <w:rPr>
          <w:sz w:val="22"/>
          <w:szCs w:val="22"/>
        </w:rPr>
        <w:t xml:space="preserve"> A </w:t>
      </w:r>
      <w:r w:rsidRPr="002D0731">
        <w:rPr>
          <w:sz w:val="22"/>
          <w:szCs w:val="22"/>
        </w:rPr>
        <w:t>GnRH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agonistákkal összefüggésben uret</w:t>
      </w:r>
      <w:r>
        <w:rPr>
          <w:sz w:val="22"/>
          <w:szCs w:val="22"/>
        </w:rPr>
        <w:t>h</w:t>
      </w:r>
      <w:r w:rsidRPr="002D0731">
        <w:rPr>
          <w:sz w:val="22"/>
          <w:szCs w:val="22"/>
        </w:rPr>
        <w:t>er</w:t>
      </w:r>
      <w:r w:rsidRPr="002D0731">
        <w:rPr>
          <w:sz w:val="22"/>
          <w:szCs w:val="22"/>
        </w:rPr>
        <w:noBreakHyphen/>
        <w:t>obstrukció és gerincvelő</w:t>
      </w:r>
      <w:r w:rsidRPr="002D0731">
        <w:rPr>
          <w:sz w:val="22"/>
          <w:szCs w:val="22"/>
        </w:rPr>
        <w:noBreakHyphen/>
        <w:t>kompresszió eseteit jelentették, mely utóbbi fatális szövődményekkel járó vagy azok nélkül kialakuló paralízishez vezethet. Ha gerincvelő-kompresszió vagy vesekárosodás alakul ki, az ezen a szövődmények esetében szokásos kezelését kell alkalmazni.</w:t>
      </w:r>
    </w:p>
    <w:p w14:paraId="688FA198" w14:textId="77777777" w:rsidR="00BC6B8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Gerinc- és/vagy agyi metasztázis, illetve húgyúti elzáródás fennállása esetén a betegeket a kezelés első heteiben szoros megfigyelés alatt kell tartani.</w:t>
      </w:r>
    </w:p>
    <w:p w14:paraId="69372F70" w14:textId="77777777" w:rsidR="00BC6B81" w:rsidRPr="002D0731" w:rsidRDefault="00BC6B81" w:rsidP="00BC6B81">
      <w:pPr>
        <w:rPr>
          <w:sz w:val="22"/>
          <w:szCs w:val="22"/>
          <w:u w:val="single"/>
        </w:rPr>
      </w:pPr>
    </w:p>
    <w:p w14:paraId="0523D91F" w14:textId="77777777" w:rsidR="00BC6B81" w:rsidRPr="002D0731" w:rsidRDefault="00BC6B81" w:rsidP="00BC6B81">
      <w:pPr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4.5</w:t>
      </w:r>
      <w:r w:rsidRPr="002D0731">
        <w:rPr>
          <w:b/>
          <w:sz w:val="22"/>
          <w:szCs w:val="22"/>
        </w:rPr>
        <w:tab/>
        <w:t>Gyógyszerkölcsönhatások és egyéb interakciók</w:t>
      </w:r>
    </w:p>
    <w:p w14:paraId="4B4D3049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6B4238EF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Az Eligard 45 mg készítménnyel nem végeztek farmakokinetikai gyógyszerinterakciós vizsgálatokat. Nem érkeztek jelentések a leuprorelin</w:t>
      </w:r>
      <w:r w:rsidRPr="002D0731">
        <w:rPr>
          <w:szCs w:val="22"/>
          <w:lang w:val="hu-HU"/>
        </w:rPr>
        <w:noBreakHyphen/>
        <w:t>acetát egyéb gyógyszerekkel való bármilyen kölcsönhatásáról.</w:t>
      </w:r>
    </w:p>
    <w:p w14:paraId="668F0F8D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Mivel az androgén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deprivációs kezelés meghosszabbíthatja a QT-intervallumot, ezért az Eligard 45</w:t>
      </w:r>
      <w:r>
        <w:rPr>
          <w:szCs w:val="22"/>
          <w:lang w:val="hu-HU"/>
        </w:rPr>
        <w:t> </w:t>
      </w:r>
      <w:r w:rsidRPr="002D0731">
        <w:rPr>
          <w:szCs w:val="22"/>
          <w:lang w:val="hu-HU"/>
        </w:rPr>
        <w:t xml:space="preserve">mg együttadását az ismerten QT-intervallumot meghosszabbító vagy </w:t>
      </w:r>
      <w:r w:rsidRPr="003654E7">
        <w:rPr>
          <w:i/>
          <w:szCs w:val="22"/>
          <w:lang w:val="hu-HU"/>
        </w:rPr>
        <w:t>Torsade de pointes</w:t>
      </w:r>
      <w:r w:rsidRPr="002D0731">
        <w:rPr>
          <w:szCs w:val="22"/>
          <w:lang w:val="hu-HU"/>
        </w:rPr>
        <w:t xml:space="preserve"> típusú ritmuszavar kialakulására hajlamosító gyógyszerkészítményekkel, úgymint az IA</w:t>
      </w:r>
      <w:r>
        <w:rPr>
          <w:szCs w:val="22"/>
          <w:lang w:val="hu-HU"/>
        </w:rPr>
        <w:t>.</w:t>
      </w:r>
      <w:r w:rsidRPr="002D0731">
        <w:rPr>
          <w:szCs w:val="22"/>
          <w:lang w:val="hu-HU"/>
        </w:rPr>
        <w:t xml:space="preserve"> osztályba (például </w:t>
      </w:r>
      <w:r>
        <w:rPr>
          <w:szCs w:val="22"/>
          <w:lang w:val="hu-HU"/>
        </w:rPr>
        <w:t>k</w:t>
      </w:r>
      <w:r w:rsidRPr="002D0731">
        <w:rPr>
          <w:szCs w:val="22"/>
          <w:lang w:val="hu-HU"/>
        </w:rPr>
        <w:t>inidin, d</w:t>
      </w:r>
      <w:r>
        <w:rPr>
          <w:szCs w:val="22"/>
          <w:lang w:val="hu-HU"/>
        </w:rPr>
        <w:t>iz</w:t>
      </w:r>
      <w:r w:rsidRPr="002D0731">
        <w:rPr>
          <w:szCs w:val="22"/>
          <w:lang w:val="hu-HU"/>
        </w:rPr>
        <w:t>opiramid) vagy III.</w:t>
      </w:r>
      <w:r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osztályba (például amiodaron, s</w:t>
      </w:r>
      <w:r>
        <w:rPr>
          <w:szCs w:val="22"/>
          <w:lang w:val="hu-HU"/>
        </w:rPr>
        <w:t>z</w:t>
      </w:r>
      <w:r w:rsidRPr="002D0731">
        <w:rPr>
          <w:szCs w:val="22"/>
          <w:lang w:val="hu-HU"/>
        </w:rPr>
        <w:t>otalol, dofetilid, ibutilid) tartozó antiar</w:t>
      </w:r>
      <w:r>
        <w:rPr>
          <w:szCs w:val="22"/>
          <w:lang w:val="hu-HU"/>
        </w:rPr>
        <w:t>i</w:t>
      </w:r>
      <w:r w:rsidRPr="002D0731">
        <w:rPr>
          <w:szCs w:val="22"/>
          <w:lang w:val="hu-HU"/>
        </w:rPr>
        <w:t>tmiás gyógyszerekkel, metadonnal, moxifloxacinnal, antipszichotikumokkal</w:t>
      </w:r>
      <w:r>
        <w:rPr>
          <w:szCs w:val="22"/>
          <w:lang w:val="hu-HU"/>
        </w:rPr>
        <w:t>,</w:t>
      </w:r>
      <w:r w:rsidRPr="002D0731">
        <w:rPr>
          <w:szCs w:val="22"/>
          <w:lang w:val="hu-HU"/>
        </w:rPr>
        <w:t xml:space="preserve"> stb. alaposan meg kell fontolni (lásd 4.4 pont).</w:t>
      </w:r>
    </w:p>
    <w:p w14:paraId="19546F43" w14:textId="77777777" w:rsidR="00BC6B81" w:rsidRPr="002D0731" w:rsidRDefault="00BC6B81" w:rsidP="00BC6B81">
      <w:pPr>
        <w:rPr>
          <w:sz w:val="22"/>
          <w:szCs w:val="22"/>
        </w:rPr>
      </w:pPr>
    </w:p>
    <w:p w14:paraId="573D2B6A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4.6</w:t>
      </w:r>
      <w:r w:rsidRPr="002D0731">
        <w:rPr>
          <w:b/>
          <w:sz w:val="22"/>
          <w:szCs w:val="22"/>
        </w:rPr>
        <w:tab/>
        <w:t>Termékenység, terhesség és szoptatás</w:t>
      </w:r>
    </w:p>
    <w:p w14:paraId="60B765AF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76C4E527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Nem értelmezhető, mivel az Eligard 45 mg adása nőknek ellenjavallt. </w:t>
      </w:r>
    </w:p>
    <w:p w14:paraId="7A980FA9" w14:textId="77777777" w:rsidR="00BC6B81" w:rsidRPr="002D0731" w:rsidRDefault="00BC6B81" w:rsidP="00BC6B81">
      <w:pPr>
        <w:rPr>
          <w:sz w:val="22"/>
          <w:szCs w:val="22"/>
        </w:rPr>
      </w:pPr>
    </w:p>
    <w:p w14:paraId="369DC865" w14:textId="77777777" w:rsidR="00BC6B81" w:rsidRPr="002D0731" w:rsidRDefault="00BC6B81" w:rsidP="00BC6B81">
      <w:pPr>
        <w:ind w:left="567" w:hanging="567"/>
        <w:rPr>
          <w:b/>
          <w:bCs/>
          <w:sz w:val="22"/>
          <w:szCs w:val="22"/>
        </w:rPr>
      </w:pPr>
      <w:r w:rsidRPr="002D0731">
        <w:rPr>
          <w:b/>
          <w:bCs/>
          <w:sz w:val="22"/>
          <w:szCs w:val="22"/>
        </w:rPr>
        <w:t>4.7</w:t>
      </w:r>
      <w:r w:rsidRPr="002D0731">
        <w:rPr>
          <w:b/>
          <w:bCs/>
          <w:sz w:val="22"/>
          <w:szCs w:val="22"/>
        </w:rPr>
        <w:tab/>
        <w:t xml:space="preserve">A készítmény hatásai a gépjárművezetéshez és </w:t>
      </w:r>
      <w:r>
        <w:rPr>
          <w:b/>
          <w:bCs/>
          <w:sz w:val="22"/>
          <w:szCs w:val="22"/>
        </w:rPr>
        <w:t xml:space="preserve">a </w:t>
      </w:r>
      <w:r w:rsidRPr="002D0731">
        <w:rPr>
          <w:b/>
          <w:bCs/>
          <w:sz w:val="22"/>
          <w:szCs w:val="22"/>
        </w:rPr>
        <w:t>gépek kezeléséhez szükséges képességekre</w:t>
      </w:r>
    </w:p>
    <w:p w14:paraId="5E1DAA39" w14:textId="77777777" w:rsidR="00BC6B81" w:rsidRPr="002D0731" w:rsidRDefault="00BC6B81" w:rsidP="00BC6B81">
      <w:pPr>
        <w:rPr>
          <w:sz w:val="22"/>
          <w:szCs w:val="22"/>
        </w:rPr>
      </w:pPr>
    </w:p>
    <w:p w14:paraId="33183D40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Az Eligard 45 mg készítménynek a gépjárművezetéshez és </w:t>
      </w:r>
      <w:r>
        <w:rPr>
          <w:sz w:val="22"/>
          <w:szCs w:val="22"/>
        </w:rPr>
        <w:t xml:space="preserve">a </w:t>
      </w:r>
      <w:r w:rsidRPr="002D0731">
        <w:rPr>
          <w:sz w:val="22"/>
          <w:szCs w:val="22"/>
        </w:rPr>
        <w:t xml:space="preserve">gépek kezeléséhez szükséges képességeket befolyásoló hatásait nem vizsgálták. </w:t>
      </w:r>
    </w:p>
    <w:p w14:paraId="43F29358" w14:textId="77777777" w:rsidR="00BC6B81" w:rsidRPr="002D0731" w:rsidRDefault="00BC6B81" w:rsidP="00BC6B81">
      <w:pPr>
        <w:rPr>
          <w:sz w:val="22"/>
          <w:szCs w:val="22"/>
        </w:rPr>
      </w:pPr>
    </w:p>
    <w:p w14:paraId="4C0B81AB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 gépjárművezetéshez és </w:t>
      </w:r>
      <w:r>
        <w:rPr>
          <w:sz w:val="22"/>
          <w:szCs w:val="22"/>
        </w:rPr>
        <w:t xml:space="preserve">a </w:t>
      </w:r>
      <w:r w:rsidRPr="002D0731">
        <w:rPr>
          <w:sz w:val="22"/>
          <w:szCs w:val="22"/>
        </w:rPr>
        <w:t>gépek kezeléséhez szükséges képességeket a jelentkező fáradtság, szédülés és látászavarok ronthatják, melyek vagy a kezelés lehetséges mellékhatásai, vagy a fennálló betegség következményei.</w:t>
      </w:r>
    </w:p>
    <w:p w14:paraId="707A49C5" w14:textId="77777777" w:rsidR="00BC6B81" w:rsidRPr="002D0731" w:rsidRDefault="00BC6B81" w:rsidP="00BC6B81">
      <w:pPr>
        <w:rPr>
          <w:sz w:val="22"/>
          <w:szCs w:val="22"/>
        </w:rPr>
      </w:pPr>
    </w:p>
    <w:p w14:paraId="1E6D03CE" w14:textId="77777777" w:rsidR="00BC6B81" w:rsidRPr="002D0731" w:rsidRDefault="00BC6B81" w:rsidP="00BC6B81">
      <w:pPr>
        <w:pStyle w:val="WW-Szvegtrzs212"/>
        <w:suppressAutoHyphens w:val="0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4.8</w:t>
      </w:r>
      <w:r w:rsidRPr="002D0731">
        <w:rPr>
          <w:szCs w:val="22"/>
          <w:lang w:val="hu-HU"/>
        </w:rPr>
        <w:tab/>
        <w:t>Nemkívánatos hatások, mellékhatások</w:t>
      </w:r>
    </w:p>
    <w:p w14:paraId="5737A56A" w14:textId="77777777" w:rsidR="00BC6B81" w:rsidRPr="002D0731" w:rsidRDefault="00BC6B81" w:rsidP="00BC6B81">
      <w:pPr>
        <w:rPr>
          <w:sz w:val="22"/>
          <w:szCs w:val="22"/>
        </w:rPr>
      </w:pPr>
    </w:p>
    <w:p w14:paraId="0CD1BA76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Az Eligard 45 mg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kezelés során előforduló mellékhatások főként a leuprorelin</w:t>
      </w:r>
      <w:r w:rsidRPr="002D0731">
        <w:rPr>
          <w:szCs w:val="22"/>
          <w:lang w:val="hu-HU"/>
        </w:rPr>
        <w:noBreakHyphen/>
        <w:t xml:space="preserve">acetát konkrét farmakológiai hatásának, azaz bizonyos hormonszintek </w:t>
      </w:r>
      <w:r>
        <w:rPr>
          <w:szCs w:val="22"/>
          <w:lang w:val="hu-HU"/>
        </w:rPr>
        <w:t>növekedésének</w:t>
      </w:r>
      <w:r w:rsidRPr="002D0731">
        <w:rPr>
          <w:szCs w:val="22"/>
          <w:lang w:val="hu-HU"/>
        </w:rPr>
        <w:t xml:space="preserve"> és </w:t>
      </w:r>
      <w:r>
        <w:rPr>
          <w:szCs w:val="22"/>
          <w:lang w:val="hu-HU"/>
        </w:rPr>
        <w:t>csökkenésének</w:t>
      </w:r>
      <w:r w:rsidRPr="002D0731">
        <w:rPr>
          <w:szCs w:val="22"/>
          <w:lang w:val="hu-HU"/>
        </w:rPr>
        <w:t xml:space="preserve"> a következményei. A leggyakrabban előforduló mellékhatások közé tartoznak a hőhullámok, hányinger, rosszullét és a fáradtság, valamint múló helyi irritáció az injekció beadásának helyén. Enyhe vagy közepes fokú hőhullámok a betegek 58%</w:t>
      </w:r>
      <w:r w:rsidRPr="002D0731">
        <w:rPr>
          <w:szCs w:val="22"/>
          <w:lang w:val="hu-HU"/>
        </w:rPr>
        <w:noBreakHyphen/>
        <w:t>ánál fordulnak elő.</w:t>
      </w:r>
    </w:p>
    <w:p w14:paraId="64EB0A5F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27F9BF9F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mellékhatások táblázatos felsorolása</w:t>
      </w:r>
    </w:p>
    <w:p w14:paraId="3338F9D3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Az Eligard</w:t>
      </w:r>
      <w:r>
        <w:rPr>
          <w:sz w:val="22"/>
          <w:szCs w:val="22"/>
        </w:rPr>
        <w:t xml:space="preserve"> 45 mg</w:t>
      </w:r>
      <w:r w:rsidRPr="002D0731">
        <w:rPr>
          <w:sz w:val="22"/>
          <w:szCs w:val="22"/>
        </w:rPr>
        <w:noBreakHyphen/>
      </w:r>
      <w:r>
        <w:rPr>
          <w:sz w:val="22"/>
          <w:szCs w:val="22"/>
        </w:rPr>
        <w:t>m</w:t>
      </w:r>
      <w:r w:rsidRPr="002D0731">
        <w:rPr>
          <w:sz w:val="22"/>
          <w:szCs w:val="22"/>
        </w:rPr>
        <w:t>al végzett klinikai vizsgálatok során az előrehaladott prosztatakarcinómás betegeknél az alábbi nemkívánatos eseményekről számoltak be. A nemkívánatos események gyakoriságát az alábbiak szerint osztályozzuk: nagyon gyakori (≥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10), gyakori (≥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100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 &lt;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10), nem gyakori (≥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1000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noBreakHyphen/>
        <w:t xml:space="preserve"> </w:t>
      </w:r>
      <w:r w:rsidRPr="002D0731">
        <w:rPr>
          <w:sz w:val="22"/>
          <w:szCs w:val="22"/>
        </w:rPr>
        <w:t>&lt;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100), ritka (≥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10 000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 xml:space="preserve"> &lt;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1000) és nagyon ritka (&lt;</w:t>
      </w:r>
      <w:r>
        <w:rPr>
          <w:sz w:val="22"/>
          <w:szCs w:val="22"/>
        </w:rPr>
        <w:t> 1/</w:t>
      </w:r>
      <w:r w:rsidRPr="002D0731">
        <w:rPr>
          <w:sz w:val="22"/>
          <w:szCs w:val="22"/>
        </w:rPr>
        <w:t>10 000)</w:t>
      </w:r>
      <w:r>
        <w:rPr>
          <w:sz w:val="22"/>
          <w:szCs w:val="22"/>
        </w:rPr>
        <w:t>,</w:t>
      </w:r>
      <w:r w:rsidRPr="002D0731">
        <w:rPr>
          <w:sz w:val="22"/>
          <w:szCs w:val="22"/>
        </w:rPr>
        <w:t xml:space="preserve"> nem ismert (a rendelkezésre álló adatokból nem becsülhető meg).</w:t>
      </w:r>
    </w:p>
    <w:p w14:paraId="2BD4DCEF" w14:textId="77777777" w:rsidR="00BC6B81" w:rsidRPr="002D0731" w:rsidRDefault="00BC6B81" w:rsidP="00BC6B81">
      <w:pPr>
        <w:rPr>
          <w:sz w:val="22"/>
          <w:szCs w:val="22"/>
        </w:rPr>
      </w:pPr>
    </w:p>
    <w:p w14:paraId="202C8907" w14:textId="77777777" w:rsidR="00BC6B81" w:rsidRPr="002D0731" w:rsidRDefault="00BC6B81" w:rsidP="00BC6B81">
      <w:pPr>
        <w:numPr>
          <w:ilvl w:val="0"/>
          <w:numId w:val="11"/>
        </w:numPr>
        <w:ind w:left="0" w:hanging="11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Táblázat: Az Eligard</w:t>
      </w:r>
      <w:r w:rsidRPr="002D0731">
        <w:rPr>
          <w:b/>
          <w:sz w:val="22"/>
          <w:szCs w:val="22"/>
        </w:rPr>
        <w:noBreakHyphen/>
        <w:t xml:space="preserve">dal végzett klinikai vizsgálatokban előforduló </w:t>
      </w:r>
      <w:r>
        <w:rPr>
          <w:b/>
          <w:sz w:val="22"/>
          <w:szCs w:val="22"/>
        </w:rPr>
        <w:t>mellékhatások</w:t>
      </w:r>
    </w:p>
    <w:p w14:paraId="6791A0F7" w14:textId="77777777" w:rsidR="00BC6B81" w:rsidRPr="00507476" w:rsidRDefault="00BC6B81" w:rsidP="00BC6B81">
      <w:pPr>
        <w:pStyle w:val="Listaszerbekezds"/>
        <w:rPr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188"/>
        <w:gridCol w:w="6378"/>
      </w:tblGrid>
      <w:tr w:rsidR="00BC6B81" w:rsidRPr="005B41E1" w14:paraId="1A9DF805" w14:textId="77777777" w:rsidTr="006128D3">
        <w:trPr>
          <w:cantSplit/>
        </w:trPr>
        <w:tc>
          <w:tcPr>
            <w:tcW w:w="8566" w:type="dxa"/>
            <w:gridSpan w:val="2"/>
          </w:tcPr>
          <w:p w14:paraId="58D91240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Fertőző betegségek és parazitafertőzések</w:t>
            </w:r>
          </w:p>
        </w:tc>
      </w:tr>
      <w:tr w:rsidR="00BC6B81" w:rsidRPr="005B41E1" w14:paraId="482942BC" w14:textId="77777777" w:rsidTr="006128D3">
        <w:trPr>
          <w:cantSplit/>
          <w:trHeight w:val="265"/>
        </w:trPr>
        <w:tc>
          <w:tcPr>
            <w:tcW w:w="2188" w:type="dxa"/>
          </w:tcPr>
          <w:p w14:paraId="39409855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lastRenderedPageBreak/>
              <w:t>gyakori</w:t>
            </w:r>
          </w:p>
        </w:tc>
        <w:tc>
          <w:tcPr>
            <w:tcW w:w="6378" w:type="dxa"/>
          </w:tcPr>
          <w:p w14:paraId="7E20B769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>nasopharyngitis</w:t>
            </w:r>
          </w:p>
        </w:tc>
      </w:tr>
      <w:tr w:rsidR="00BC6B81" w:rsidRPr="005B41E1" w14:paraId="2029E134" w14:textId="77777777" w:rsidTr="006128D3">
        <w:trPr>
          <w:cantSplit/>
        </w:trPr>
        <w:tc>
          <w:tcPr>
            <w:tcW w:w="2188" w:type="dxa"/>
          </w:tcPr>
          <w:p w14:paraId="71F20F6B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6E467600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>húgyúti fertőzések, helyi bőrfertőzések</w:t>
            </w:r>
          </w:p>
        </w:tc>
      </w:tr>
      <w:tr w:rsidR="00BC6B81" w:rsidRPr="005B41E1" w14:paraId="078FD334" w14:textId="77777777" w:rsidTr="006128D3">
        <w:trPr>
          <w:cantSplit/>
        </w:trPr>
        <w:tc>
          <w:tcPr>
            <w:tcW w:w="8566" w:type="dxa"/>
            <w:gridSpan w:val="2"/>
          </w:tcPr>
          <w:p w14:paraId="01B13D78" w14:textId="77777777" w:rsidR="00BC6B81" w:rsidRPr="003654E7" w:rsidRDefault="00BC6B81" w:rsidP="006128D3">
            <w:pPr>
              <w:pStyle w:val="lfej"/>
              <w:tabs>
                <w:tab w:val="clear" w:pos="4153"/>
                <w:tab w:val="clear" w:pos="8306"/>
              </w:tabs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3654E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Anyagcsere- és táplálkozási betegségek és tünetek</w:t>
            </w:r>
          </w:p>
        </w:tc>
      </w:tr>
      <w:tr w:rsidR="00BC6B81" w:rsidRPr="005B41E1" w14:paraId="78B24317" w14:textId="77777777" w:rsidTr="006128D3">
        <w:trPr>
          <w:cantSplit/>
        </w:trPr>
        <w:tc>
          <w:tcPr>
            <w:tcW w:w="2188" w:type="dxa"/>
          </w:tcPr>
          <w:p w14:paraId="33A6249F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07D7B11C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súlyosbodó diabetes mellitus</w:t>
            </w:r>
          </w:p>
        </w:tc>
      </w:tr>
      <w:tr w:rsidR="00BC6B81" w:rsidRPr="005B41E1" w14:paraId="3E5CAA40" w14:textId="77777777" w:rsidTr="006128D3">
        <w:trPr>
          <w:cantSplit/>
        </w:trPr>
        <w:tc>
          <w:tcPr>
            <w:tcW w:w="8566" w:type="dxa"/>
            <w:gridSpan w:val="2"/>
          </w:tcPr>
          <w:p w14:paraId="69C4CF96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Pszichiátriai kórképek</w:t>
            </w:r>
          </w:p>
        </w:tc>
      </w:tr>
      <w:tr w:rsidR="00BC6B81" w:rsidRPr="005B41E1" w14:paraId="5FAF46BF" w14:textId="77777777" w:rsidTr="006128D3">
        <w:trPr>
          <w:cantSplit/>
        </w:trPr>
        <w:tc>
          <w:tcPr>
            <w:tcW w:w="2188" w:type="dxa"/>
          </w:tcPr>
          <w:p w14:paraId="03FC1D4A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79FC50A8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szokatlan álmok, depresszió, csökkent libidó</w:t>
            </w:r>
          </w:p>
        </w:tc>
      </w:tr>
      <w:tr w:rsidR="00BC6B81" w:rsidRPr="005B41E1" w14:paraId="675934D6" w14:textId="77777777" w:rsidTr="006128D3">
        <w:trPr>
          <w:cantSplit/>
        </w:trPr>
        <w:tc>
          <w:tcPr>
            <w:tcW w:w="8566" w:type="dxa"/>
            <w:gridSpan w:val="2"/>
          </w:tcPr>
          <w:p w14:paraId="623A0831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Idegrendszeri betegségek és tünetek</w:t>
            </w:r>
          </w:p>
        </w:tc>
      </w:tr>
      <w:tr w:rsidR="00BC6B81" w:rsidRPr="005B41E1" w14:paraId="76549568" w14:textId="77777777" w:rsidTr="006128D3">
        <w:trPr>
          <w:cantSplit/>
        </w:trPr>
        <w:tc>
          <w:tcPr>
            <w:tcW w:w="2188" w:type="dxa"/>
          </w:tcPr>
          <w:p w14:paraId="644CEB4E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75EBE8F2" w14:textId="77777777" w:rsidR="00BC6B81" w:rsidRPr="005B41E1" w:rsidRDefault="00BC6B81" w:rsidP="006128D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 xml:space="preserve">szédülés, fejfájás, </w:t>
            </w:r>
            <w:r w:rsidRPr="00EC2EA3">
              <w:rPr>
                <w:szCs w:val="22"/>
                <w:lang w:val="hu-HU"/>
              </w:rPr>
              <w:t>hipesztézia</w:t>
            </w:r>
            <w:r w:rsidRPr="005B41E1">
              <w:rPr>
                <w:szCs w:val="22"/>
                <w:lang w:val="hu-HU"/>
              </w:rPr>
              <w:t>, álmatlanság, íz- és szagérzékelési zavarok, szédülés</w:t>
            </w:r>
          </w:p>
        </w:tc>
      </w:tr>
      <w:tr w:rsidR="00BC6B81" w:rsidRPr="005B41E1" w14:paraId="1F458B18" w14:textId="77777777" w:rsidTr="006128D3">
        <w:trPr>
          <w:cantSplit/>
        </w:trPr>
        <w:tc>
          <w:tcPr>
            <w:tcW w:w="2188" w:type="dxa"/>
          </w:tcPr>
          <w:p w14:paraId="25F49C9C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3428E0D1" w14:textId="77777777" w:rsidR="00BC6B81" w:rsidRPr="005B41E1" w:rsidRDefault="00BC6B81" w:rsidP="006128D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>kóros akaratlan mozgások</w:t>
            </w:r>
          </w:p>
        </w:tc>
      </w:tr>
      <w:tr w:rsidR="00BC6B81" w:rsidRPr="005B41E1" w14:paraId="0C97449B" w14:textId="77777777" w:rsidTr="006128D3">
        <w:trPr>
          <w:cantSplit/>
        </w:trPr>
        <w:tc>
          <w:tcPr>
            <w:tcW w:w="2188" w:type="dxa"/>
          </w:tcPr>
          <w:p w14:paraId="49F5D10A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766144BF" w14:textId="77777777" w:rsidR="00BC6B81" w:rsidRPr="005B41E1" w:rsidRDefault="00BC6B81" w:rsidP="006128D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AC4A64">
              <w:rPr>
                <w:szCs w:val="22"/>
                <w:lang w:val="hu-HU"/>
              </w:rPr>
              <w:t>idiopathiás koponyaűri nyomásfokozódás (pseudotumor cerebri) (lásd 4.4 pont)</w:t>
            </w:r>
          </w:p>
        </w:tc>
      </w:tr>
      <w:tr w:rsidR="00BC6B81" w:rsidRPr="005B41E1" w14:paraId="1B04CF2C" w14:textId="77777777" w:rsidTr="006128D3">
        <w:trPr>
          <w:cantSplit/>
        </w:trPr>
        <w:tc>
          <w:tcPr>
            <w:tcW w:w="8566" w:type="dxa"/>
            <w:gridSpan w:val="2"/>
          </w:tcPr>
          <w:p w14:paraId="222FB378" w14:textId="77777777" w:rsidR="00BC6B81" w:rsidRPr="005B41E1" w:rsidRDefault="00BC6B81" w:rsidP="006128D3">
            <w:pPr>
              <w:pStyle w:val="Vgjegyzetszvege"/>
              <w:keepNext/>
              <w:tabs>
                <w:tab w:val="clear" w:pos="567"/>
              </w:tabs>
              <w:rPr>
                <w:b/>
                <w:szCs w:val="22"/>
                <w:lang w:val="hu-HU"/>
              </w:rPr>
            </w:pPr>
            <w:r w:rsidRPr="005B41E1">
              <w:rPr>
                <w:b/>
                <w:color w:val="000000"/>
                <w:szCs w:val="22"/>
                <w:lang w:val="hu-HU" w:eastAsia="en-US"/>
              </w:rPr>
              <w:t>Szívbetegségek és a szívvel kapcsolatos tünetek</w:t>
            </w:r>
          </w:p>
        </w:tc>
      </w:tr>
      <w:tr w:rsidR="00BC6B81" w:rsidRPr="005B41E1" w14:paraId="4535CDE1" w14:textId="77777777" w:rsidTr="006128D3">
        <w:trPr>
          <w:cantSplit/>
        </w:trPr>
        <w:tc>
          <w:tcPr>
            <w:tcW w:w="2188" w:type="dxa"/>
          </w:tcPr>
          <w:p w14:paraId="228C96E4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06855C62" w14:textId="77777777" w:rsidR="00BC6B81" w:rsidRPr="005B41E1" w:rsidRDefault="00BC6B81" w:rsidP="006128D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color w:val="000000"/>
                <w:szCs w:val="22"/>
                <w:lang w:val="hu-HU" w:eastAsia="en-US"/>
              </w:rPr>
              <w:t>QT-intervallum megnyúlása (lásd 4.4 és 4.5 pont)</w:t>
            </w:r>
          </w:p>
        </w:tc>
      </w:tr>
      <w:tr w:rsidR="00BC6B81" w:rsidRPr="005B41E1" w14:paraId="667B4953" w14:textId="77777777" w:rsidTr="006128D3">
        <w:trPr>
          <w:cantSplit/>
        </w:trPr>
        <w:tc>
          <w:tcPr>
            <w:tcW w:w="8566" w:type="dxa"/>
            <w:gridSpan w:val="2"/>
          </w:tcPr>
          <w:p w14:paraId="3C280602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Érbetegségek és tünetek</w:t>
            </w:r>
          </w:p>
        </w:tc>
      </w:tr>
      <w:tr w:rsidR="00BC6B81" w:rsidRPr="005B41E1" w14:paraId="41732C04" w14:textId="77777777" w:rsidTr="006128D3">
        <w:trPr>
          <w:cantSplit/>
        </w:trPr>
        <w:tc>
          <w:tcPr>
            <w:tcW w:w="2188" w:type="dxa"/>
          </w:tcPr>
          <w:p w14:paraId="22B8E3C0" w14:textId="77777777" w:rsidR="00BC6B81" w:rsidRPr="005B41E1" w:rsidRDefault="00BC6B81" w:rsidP="006128D3">
            <w:pPr>
              <w:tabs>
                <w:tab w:val="left" w:pos="289"/>
              </w:tabs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gyakori</w:t>
            </w:r>
          </w:p>
        </w:tc>
        <w:tc>
          <w:tcPr>
            <w:tcW w:w="6378" w:type="dxa"/>
          </w:tcPr>
          <w:p w14:paraId="2A05F420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hőhullámok</w:t>
            </w:r>
          </w:p>
        </w:tc>
      </w:tr>
      <w:tr w:rsidR="00BC6B81" w:rsidRPr="005B41E1" w14:paraId="3FC0833D" w14:textId="77777777" w:rsidTr="006128D3">
        <w:trPr>
          <w:cantSplit/>
        </w:trPr>
        <w:tc>
          <w:tcPr>
            <w:tcW w:w="2188" w:type="dxa"/>
          </w:tcPr>
          <w:p w14:paraId="7A6C7EB9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2F468747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i</w:t>
            </w:r>
            <w:r w:rsidRPr="005B41E1">
              <w:rPr>
                <w:sz w:val="22"/>
                <w:szCs w:val="22"/>
              </w:rPr>
              <w:t>pert</w:t>
            </w:r>
            <w:r>
              <w:rPr>
                <w:sz w:val="22"/>
                <w:szCs w:val="22"/>
              </w:rPr>
              <w:t>ó</w:t>
            </w:r>
            <w:r w:rsidRPr="005B41E1">
              <w:rPr>
                <w:sz w:val="22"/>
                <w:szCs w:val="22"/>
              </w:rPr>
              <w:t>nia, h</w:t>
            </w:r>
            <w:r>
              <w:rPr>
                <w:sz w:val="22"/>
                <w:szCs w:val="22"/>
              </w:rPr>
              <w:t>i</w:t>
            </w:r>
            <w:r w:rsidRPr="005B41E1">
              <w:rPr>
                <w:sz w:val="22"/>
                <w:szCs w:val="22"/>
              </w:rPr>
              <w:t>pot</w:t>
            </w:r>
            <w:r>
              <w:rPr>
                <w:sz w:val="22"/>
                <w:szCs w:val="22"/>
              </w:rPr>
              <w:t>ó</w:t>
            </w:r>
            <w:r w:rsidRPr="005B41E1">
              <w:rPr>
                <w:sz w:val="22"/>
                <w:szCs w:val="22"/>
              </w:rPr>
              <w:t>nia</w:t>
            </w:r>
          </w:p>
        </w:tc>
      </w:tr>
      <w:tr w:rsidR="00BC6B81" w:rsidRPr="005B41E1" w14:paraId="47BDE82A" w14:textId="77777777" w:rsidTr="006128D3">
        <w:trPr>
          <w:cantSplit/>
        </w:trPr>
        <w:tc>
          <w:tcPr>
            <w:tcW w:w="2188" w:type="dxa"/>
          </w:tcPr>
          <w:p w14:paraId="577789D5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1FEFA5F2" w14:textId="77777777" w:rsidR="00BC6B81" w:rsidRPr="005B41E1" w:rsidRDefault="00BC6B81" w:rsidP="006128D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>s</w:t>
            </w:r>
            <w:r>
              <w:rPr>
                <w:szCs w:val="22"/>
                <w:lang w:val="hu-HU"/>
              </w:rPr>
              <w:t>zi</w:t>
            </w:r>
            <w:r w:rsidRPr="005B41E1">
              <w:rPr>
                <w:szCs w:val="22"/>
                <w:lang w:val="hu-HU"/>
              </w:rPr>
              <w:t>n</w:t>
            </w:r>
            <w:r>
              <w:rPr>
                <w:szCs w:val="22"/>
                <w:lang w:val="hu-HU"/>
              </w:rPr>
              <w:t>k</w:t>
            </w:r>
            <w:r w:rsidRPr="005B41E1">
              <w:rPr>
                <w:szCs w:val="22"/>
                <w:lang w:val="hu-HU"/>
              </w:rPr>
              <w:t xml:space="preserve">ope és </w:t>
            </w:r>
            <w:r>
              <w:rPr>
                <w:szCs w:val="22"/>
                <w:lang w:val="hu-HU"/>
              </w:rPr>
              <w:t>k</w:t>
            </w:r>
            <w:r w:rsidRPr="005B41E1">
              <w:rPr>
                <w:szCs w:val="22"/>
                <w:lang w:val="hu-HU"/>
              </w:rPr>
              <w:t>ollaps</w:t>
            </w:r>
            <w:r>
              <w:rPr>
                <w:szCs w:val="22"/>
                <w:lang w:val="hu-HU"/>
              </w:rPr>
              <w:t>z</w:t>
            </w:r>
            <w:r w:rsidRPr="005B41E1">
              <w:rPr>
                <w:szCs w:val="22"/>
                <w:lang w:val="hu-HU"/>
              </w:rPr>
              <w:t>us</w:t>
            </w:r>
          </w:p>
        </w:tc>
      </w:tr>
      <w:tr w:rsidR="00BC6B81" w:rsidRPr="005B41E1" w14:paraId="6A4A99B7" w14:textId="77777777" w:rsidTr="006128D3">
        <w:trPr>
          <w:cantSplit/>
        </w:trPr>
        <w:tc>
          <w:tcPr>
            <w:tcW w:w="8566" w:type="dxa"/>
            <w:gridSpan w:val="2"/>
          </w:tcPr>
          <w:p w14:paraId="5B807663" w14:textId="77777777" w:rsidR="00BC6B81" w:rsidRPr="005B41E1" w:rsidRDefault="00BC6B81" w:rsidP="006128D3">
            <w:pPr>
              <w:ind w:left="1979" w:hanging="1979"/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Légzőrendszeri, mellkasi és mediastinális betegségek és tünetek</w:t>
            </w:r>
          </w:p>
        </w:tc>
      </w:tr>
      <w:tr w:rsidR="00BC6B81" w:rsidRPr="005B41E1" w14:paraId="3D9AC0DD" w14:textId="77777777" w:rsidTr="006128D3">
        <w:trPr>
          <w:cantSplit/>
        </w:trPr>
        <w:tc>
          <w:tcPr>
            <w:tcW w:w="2188" w:type="dxa"/>
          </w:tcPr>
          <w:p w14:paraId="4AF7F4F2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257CBE3C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6A2567">
              <w:rPr>
                <w:sz w:val="22"/>
                <w:szCs w:val="22"/>
              </w:rPr>
              <w:t>orrfolyás, nehézlégzés</w:t>
            </w:r>
          </w:p>
        </w:tc>
      </w:tr>
      <w:tr w:rsidR="00BC6B81" w:rsidRPr="005B41E1" w14:paraId="663B99FF" w14:textId="77777777" w:rsidTr="006128D3">
        <w:trPr>
          <w:cantSplit/>
        </w:trPr>
        <w:tc>
          <w:tcPr>
            <w:tcW w:w="2188" w:type="dxa"/>
          </w:tcPr>
          <w:p w14:paraId="74E5B98B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2C0C12D7" w14:textId="77777777" w:rsidR="00BC6B81" w:rsidRDefault="00BC6B81" w:rsidP="006128D3">
            <w:pPr>
              <w:rPr>
                <w:sz w:val="22"/>
                <w:szCs w:val="22"/>
              </w:rPr>
            </w:pPr>
            <w:r w:rsidRPr="00CA3169">
              <w:rPr>
                <w:sz w:val="22"/>
                <w:szCs w:val="22"/>
              </w:rPr>
              <w:t>Interstitialis tüdőbetegség</w:t>
            </w:r>
          </w:p>
        </w:tc>
      </w:tr>
      <w:tr w:rsidR="00BC6B81" w:rsidRPr="005B41E1" w14:paraId="7D2AE6B9" w14:textId="77777777" w:rsidTr="006128D3">
        <w:trPr>
          <w:cantSplit/>
        </w:trPr>
        <w:tc>
          <w:tcPr>
            <w:tcW w:w="8566" w:type="dxa"/>
            <w:gridSpan w:val="2"/>
          </w:tcPr>
          <w:p w14:paraId="178FA7F3" w14:textId="77777777" w:rsidR="00BC6B81" w:rsidRPr="005B41E1" w:rsidRDefault="00BC6B81" w:rsidP="006128D3">
            <w:pPr>
              <w:ind w:left="1979" w:hanging="1979"/>
              <w:rPr>
                <w:i/>
                <w:sz w:val="22"/>
                <w:szCs w:val="22"/>
                <w:shd w:val="clear" w:color="auto" w:fill="FFFF00"/>
              </w:rPr>
            </w:pPr>
            <w:r w:rsidRPr="005B41E1">
              <w:rPr>
                <w:b/>
                <w:sz w:val="22"/>
                <w:szCs w:val="22"/>
              </w:rPr>
              <w:t>Emésztőrendszeri betegségek és tünetek</w:t>
            </w:r>
          </w:p>
        </w:tc>
      </w:tr>
      <w:tr w:rsidR="00BC6B81" w:rsidRPr="005B41E1" w14:paraId="5F30004A" w14:textId="77777777" w:rsidTr="006128D3">
        <w:trPr>
          <w:cantSplit/>
        </w:trPr>
        <w:tc>
          <w:tcPr>
            <w:tcW w:w="2188" w:type="dxa"/>
          </w:tcPr>
          <w:p w14:paraId="71E2320D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0DA71DD4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hányinger, </w:t>
            </w:r>
            <w:r w:rsidRPr="006A2567">
              <w:rPr>
                <w:sz w:val="22"/>
                <w:szCs w:val="22"/>
              </w:rPr>
              <w:t>hasmenés, gasztroenteritisz/kolitisz</w:t>
            </w:r>
          </w:p>
        </w:tc>
      </w:tr>
      <w:tr w:rsidR="00BC6B81" w:rsidRPr="005B41E1" w14:paraId="215CAFD2" w14:textId="77777777" w:rsidTr="006128D3">
        <w:trPr>
          <w:cantSplit/>
        </w:trPr>
        <w:tc>
          <w:tcPr>
            <w:tcW w:w="2188" w:type="dxa"/>
          </w:tcPr>
          <w:p w14:paraId="4F881284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323B208E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székrekedés, szájszárazság, </w:t>
            </w:r>
            <w:r w:rsidRPr="006A2567">
              <w:rPr>
                <w:sz w:val="22"/>
                <w:szCs w:val="22"/>
              </w:rPr>
              <w:t>emésztési zavar</w:t>
            </w:r>
            <w:r w:rsidRPr="005B41E1">
              <w:rPr>
                <w:sz w:val="22"/>
                <w:szCs w:val="22"/>
              </w:rPr>
              <w:t>, hányás</w:t>
            </w:r>
          </w:p>
        </w:tc>
      </w:tr>
      <w:tr w:rsidR="00BC6B81" w:rsidRPr="005B41E1" w14:paraId="75E38B3A" w14:textId="77777777" w:rsidTr="006128D3">
        <w:trPr>
          <w:cantSplit/>
        </w:trPr>
        <w:tc>
          <w:tcPr>
            <w:tcW w:w="2188" w:type="dxa"/>
          </w:tcPr>
          <w:p w14:paraId="7BD1C2A8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3925B027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flatulencia, böfögés </w:t>
            </w:r>
          </w:p>
        </w:tc>
      </w:tr>
      <w:tr w:rsidR="00BC6B81" w:rsidRPr="005B41E1" w14:paraId="6A0A7BD5" w14:textId="77777777" w:rsidTr="006128D3">
        <w:trPr>
          <w:cantSplit/>
        </w:trPr>
        <w:tc>
          <w:tcPr>
            <w:tcW w:w="8566" w:type="dxa"/>
            <w:gridSpan w:val="2"/>
          </w:tcPr>
          <w:p w14:paraId="35611FB7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A bőr és a bőralatti szövet betegségei és tünetei</w:t>
            </w:r>
          </w:p>
        </w:tc>
      </w:tr>
      <w:tr w:rsidR="00BC6B81" w:rsidRPr="005B41E1" w14:paraId="589795B4" w14:textId="77777777" w:rsidTr="006128D3">
        <w:trPr>
          <w:cantSplit/>
        </w:trPr>
        <w:tc>
          <w:tcPr>
            <w:tcW w:w="2188" w:type="dxa"/>
          </w:tcPr>
          <w:p w14:paraId="2F3D77BE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gyakori</w:t>
            </w:r>
          </w:p>
        </w:tc>
        <w:tc>
          <w:tcPr>
            <w:tcW w:w="6378" w:type="dxa"/>
          </w:tcPr>
          <w:p w14:paraId="642773EF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bevérzések a bőrben (</w:t>
            </w:r>
            <w:r w:rsidRPr="005B41E1">
              <w:rPr>
                <w:sz w:val="22"/>
                <w:szCs w:val="22"/>
              </w:rPr>
              <w:t>ecchymosis</w:t>
            </w:r>
            <w:r>
              <w:rPr>
                <w:sz w:val="22"/>
                <w:szCs w:val="22"/>
              </w:rPr>
              <w:t>)</w:t>
            </w:r>
            <w:r w:rsidRPr="005B41E1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bőrpír</w:t>
            </w:r>
          </w:p>
        </w:tc>
      </w:tr>
      <w:tr w:rsidR="00BC6B81" w:rsidRPr="005B41E1" w14:paraId="3B6FF574" w14:textId="77777777" w:rsidTr="006128D3">
        <w:trPr>
          <w:cantSplit/>
        </w:trPr>
        <w:tc>
          <w:tcPr>
            <w:tcW w:w="2188" w:type="dxa"/>
          </w:tcPr>
          <w:p w14:paraId="4A56FA39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05CA42C3" w14:textId="37B0EBF4" w:rsidR="00BC6B81" w:rsidRPr="005B41E1" w:rsidRDefault="00BC6B81" w:rsidP="009514D4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viszketés, éjszakai ver</w:t>
            </w:r>
            <w:r w:rsidR="009514D4">
              <w:rPr>
                <w:sz w:val="22"/>
                <w:szCs w:val="22"/>
              </w:rPr>
              <w:t>ej</w:t>
            </w:r>
            <w:r w:rsidRPr="005B41E1">
              <w:rPr>
                <w:sz w:val="22"/>
                <w:szCs w:val="22"/>
              </w:rPr>
              <w:t>tékezés</w:t>
            </w:r>
          </w:p>
        </w:tc>
      </w:tr>
      <w:tr w:rsidR="00BC6B81" w:rsidRPr="005B41E1" w14:paraId="26464C25" w14:textId="77777777" w:rsidTr="006128D3">
        <w:trPr>
          <w:cantSplit/>
        </w:trPr>
        <w:tc>
          <w:tcPr>
            <w:tcW w:w="2188" w:type="dxa"/>
          </w:tcPr>
          <w:p w14:paraId="512828F9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0CB8BD64" w14:textId="1958C510" w:rsidR="00BC6B81" w:rsidRPr="005B41E1" w:rsidRDefault="00BC6B81" w:rsidP="006128D3">
            <w:pPr>
              <w:pStyle w:val="Vgjegyzetszvege"/>
              <w:tabs>
                <w:tab w:val="clear" w:pos="567"/>
              </w:tabs>
              <w:rPr>
                <w:szCs w:val="22"/>
                <w:lang w:val="hu-HU"/>
              </w:rPr>
            </w:pPr>
            <w:r w:rsidRPr="005B41E1">
              <w:rPr>
                <w:szCs w:val="22"/>
                <w:lang w:val="hu-HU"/>
              </w:rPr>
              <w:t>nyirkos bőr, fokozott ver</w:t>
            </w:r>
            <w:r w:rsidR="009514D4">
              <w:rPr>
                <w:szCs w:val="22"/>
                <w:lang w:val="hu-HU"/>
              </w:rPr>
              <w:t>ej</w:t>
            </w:r>
            <w:r w:rsidRPr="005B41E1">
              <w:rPr>
                <w:szCs w:val="22"/>
                <w:lang w:val="hu-HU"/>
              </w:rPr>
              <w:t>tékezés</w:t>
            </w:r>
          </w:p>
        </w:tc>
      </w:tr>
      <w:tr w:rsidR="00BC6B81" w:rsidRPr="005B41E1" w14:paraId="3756F55B" w14:textId="77777777" w:rsidTr="006128D3">
        <w:trPr>
          <w:cantSplit/>
        </w:trPr>
        <w:tc>
          <w:tcPr>
            <w:tcW w:w="2188" w:type="dxa"/>
          </w:tcPr>
          <w:p w14:paraId="71E3DE5C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4DD67518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alop</w:t>
            </w:r>
            <w:r>
              <w:rPr>
                <w:sz w:val="22"/>
                <w:szCs w:val="22"/>
              </w:rPr>
              <w:t>é</w:t>
            </w:r>
            <w:r w:rsidRPr="005B41E1">
              <w:rPr>
                <w:sz w:val="22"/>
                <w:szCs w:val="22"/>
              </w:rPr>
              <w:t xml:space="preserve">cia, </w:t>
            </w:r>
            <w:r w:rsidRPr="005B41E1">
              <w:rPr>
                <w:color w:val="000000"/>
                <w:sz w:val="22"/>
                <w:szCs w:val="22"/>
              </w:rPr>
              <w:t>bőrkiütés</w:t>
            </w:r>
          </w:p>
        </w:tc>
      </w:tr>
      <w:tr w:rsidR="0060255A" w:rsidRPr="005B41E1" w14:paraId="44C753D8" w14:textId="77777777" w:rsidTr="006128D3">
        <w:trPr>
          <w:cantSplit/>
        </w:trPr>
        <w:tc>
          <w:tcPr>
            <w:tcW w:w="2188" w:type="dxa"/>
          </w:tcPr>
          <w:p w14:paraId="45E9F865" w14:textId="37D7F03B" w:rsidR="0060255A" w:rsidRPr="005B41E1" w:rsidRDefault="0060255A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6378" w:type="dxa"/>
          </w:tcPr>
          <w:p w14:paraId="721305B4" w14:textId="7D8CACFB" w:rsidR="0060255A" w:rsidRDefault="0060255A" w:rsidP="0060255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Stevens–Johnson</w:t>
            </w:r>
            <w:r>
              <w:rPr>
                <w:sz w:val="22"/>
                <w:szCs w:val="22"/>
              </w:rPr>
              <w:noBreakHyphen/>
              <w:t>szindróma/toxikus epidermalis necrolysis (SJS/TEN) (lásd 4.4 pont)</w:t>
            </w:r>
          </w:p>
          <w:p w14:paraId="5ECEAC52" w14:textId="441BC730" w:rsidR="0060255A" w:rsidRDefault="009514D4" w:rsidP="0060255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60255A">
              <w:rPr>
                <w:sz w:val="22"/>
                <w:szCs w:val="22"/>
              </w:rPr>
              <w:t>oxikus bőrkiütés</w:t>
            </w:r>
          </w:p>
          <w:p w14:paraId="3BEB1667" w14:textId="78B56615" w:rsidR="0060255A" w:rsidRPr="005B41E1" w:rsidRDefault="009514D4" w:rsidP="00602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60255A">
              <w:rPr>
                <w:sz w:val="22"/>
                <w:szCs w:val="22"/>
              </w:rPr>
              <w:t>rythema multiforme</w:t>
            </w:r>
          </w:p>
        </w:tc>
      </w:tr>
      <w:tr w:rsidR="00BC6B81" w:rsidRPr="005B41E1" w14:paraId="54354887" w14:textId="77777777" w:rsidTr="006128D3">
        <w:trPr>
          <w:cantSplit/>
        </w:trPr>
        <w:tc>
          <w:tcPr>
            <w:tcW w:w="8566" w:type="dxa"/>
            <w:gridSpan w:val="2"/>
          </w:tcPr>
          <w:p w14:paraId="1E0F8385" w14:textId="77777777" w:rsidR="00BC6B81" w:rsidRPr="005B41E1" w:rsidRDefault="00BC6B81" w:rsidP="006128D3">
            <w:pPr>
              <w:ind w:left="1979" w:hanging="1979"/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A csont-izomrendszer és a kötőszövet betegségei és tünetei</w:t>
            </w:r>
          </w:p>
        </w:tc>
      </w:tr>
      <w:tr w:rsidR="00BC6B81" w:rsidRPr="005B41E1" w14:paraId="1780BA26" w14:textId="77777777" w:rsidTr="006128D3">
        <w:trPr>
          <w:cantSplit/>
          <w:trHeight w:val="468"/>
        </w:trPr>
        <w:tc>
          <w:tcPr>
            <w:tcW w:w="2188" w:type="dxa"/>
          </w:tcPr>
          <w:p w14:paraId="1B2C3A43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0AC3E04E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ízületi fájdalom, végtagfájdalom, izomfájdalom, hidegrázások, gyengeség</w:t>
            </w:r>
          </w:p>
        </w:tc>
      </w:tr>
      <w:tr w:rsidR="00BC6B81" w:rsidRPr="005B41E1" w14:paraId="5FA72481" w14:textId="77777777" w:rsidTr="006128D3">
        <w:trPr>
          <w:cantSplit/>
        </w:trPr>
        <w:tc>
          <w:tcPr>
            <w:tcW w:w="2188" w:type="dxa"/>
          </w:tcPr>
          <w:p w14:paraId="407204EB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71337F4A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hátfájás, izomgörcsök</w:t>
            </w:r>
          </w:p>
        </w:tc>
      </w:tr>
      <w:tr w:rsidR="00BC6B81" w:rsidRPr="005B41E1" w14:paraId="1B392582" w14:textId="77777777" w:rsidTr="006128D3">
        <w:trPr>
          <w:cantSplit/>
        </w:trPr>
        <w:tc>
          <w:tcPr>
            <w:tcW w:w="8566" w:type="dxa"/>
            <w:gridSpan w:val="2"/>
          </w:tcPr>
          <w:p w14:paraId="2A3054FD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Vese- és húgyúti betegségek és tünetek</w:t>
            </w:r>
          </w:p>
        </w:tc>
      </w:tr>
      <w:tr w:rsidR="00BC6B81" w:rsidRPr="005B41E1" w14:paraId="5E5E75AF" w14:textId="77777777" w:rsidTr="006128D3">
        <w:trPr>
          <w:cantSplit/>
        </w:trPr>
        <w:tc>
          <w:tcPr>
            <w:tcW w:w="2188" w:type="dxa"/>
          </w:tcPr>
          <w:p w14:paraId="7A60BD85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6C539A97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 xml:space="preserve">csökkent vizeletürítési gyakoriság, vizeletürítési nehézség, </w:t>
            </w:r>
            <w:r w:rsidRPr="00720AFC">
              <w:rPr>
                <w:color w:val="000000"/>
                <w:sz w:val="22"/>
                <w:szCs w:val="22"/>
              </w:rPr>
              <w:t>fájdalmas vizelés, éjszakai vizelés, csökkent vizelet</w:t>
            </w:r>
            <w:r>
              <w:rPr>
                <w:color w:val="000000"/>
                <w:sz w:val="22"/>
                <w:szCs w:val="22"/>
              </w:rPr>
              <w:t>-</w:t>
            </w:r>
            <w:r w:rsidRPr="00720AFC">
              <w:rPr>
                <w:color w:val="000000"/>
                <w:sz w:val="22"/>
                <w:szCs w:val="22"/>
              </w:rPr>
              <w:t>elválasztás</w:t>
            </w:r>
            <w:r w:rsidRPr="005B41E1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BC6B81" w:rsidRPr="005B41E1" w14:paraId="5BB26D4C" w14:textId="77777777" w:rsidTr="006128D3">
        <w:trPr>
          <w:cantSplit/>
        </w:trPr>
        <w:tc>
          <w:tcPr>
            <w:tcW w:w="2188" w:type="dxa"/>
          </w:tcPr>
          <w:p w14:paraId="68D5AAE4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6809D161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húgyhólyag</w:t>
            </w:r>
            <w:r w:rsidRPr="005B41E1">
              <w:rPr>
                <w:sz w:val="22"/>
                <w:szCs w:val="22"/>
              </w:rPr>
              <w:noBreakHyphen/>
              <w:t xml:space="preserve">spazmus, haematuria, </w:t>
            </w:r>
            <w:r w:rsidRPr="005B41E1">
              <w:rPr>
                <w:color w:val="000000"/>
                <w:sz w:val="22"/>
                <w:szCs w:val="22"/>
              </w:rPr>
              <w:t>vizeletürítési gyakoriság csökkenésének súlyosbodása, vizeletretenció</w:t>
            </w:r>
          </w:p>
        </w:tc>
      </w:tr>
      <w:tr w:rsidR="00BC6B81" w:rsidRPr="005B41E1" w14:paraId="1C2581F0" w14:textId="77777777" w:rsidTr="006128D3">
        <w:trPr>
          <w:cantSplit/>
        </w:trPr>
        <w:tc>
          <w:tcPr>
            <w:tcW w:w="8566" w:type="dxa"/>
            <w:gridSpan w:val="2"/>
          </w:tcPr>
          <w:p w14:paraId="6717EE80" w14:textId="77777777" w:rsidR="00BC6B81" w:rsidRPr="005B41E1" w:rsidRDefault="00BC6B81" w:rsidP="006128D3">
            <w:pPr>
              <w:rPr>
                <w:i/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A nemi szervekkel és az emlőkkel kapcsolatos betegségek és tünetek</w:t>
            </w:r>
          </w:p>
        </w:tc>
      </w:tr>
      <w:tr w:rsidR="00BC6B81" w:rsidRPr="005B41E1" w14:paraId="01A0B509" w14:textId="77777777" w:rsidTr="006128D3">
        <w:trPr>
          <w:cantSplit/>
        </w:trPr>
        <w:tc>
          <w:tcPr>
            <w:tcW w:w="2188" w:type="dxa"/>
          </w:tcPr>
          <w:p w14:paraId="65F69B11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40A7D4EF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5B41E1">
              <w:rPr>
                <w:color w:val="000000"/>
                <w:sz w:val="22"/>
                <w:szCs w:val="22"/>
              </w:rPr>
              <w:t xml:space="preserve">emlők fokozott érzékenysége, heresorvadás, </w:t>
            </w:r>
            <w:r w:rsidRPr="005B41E1">
              <w:rPr>
                <w:sz w:val="22"/>
                <w:szCs w:val="22"/>
              </w:rPr>
              <w:t>herefájdalom</w:t>
            </w:r>
            <w:r w:rsidRPr="00383D8A">
              <w:rPr>
                <w:sz w:val="22"/>
                <w:szCs w:val="22"/>
              </w:rPr>
              <w:t xml:space="preserve"> terméketlenség, </w:t>
            </w:r>
            <w:r w:rsidRPr="00F62572">
              <w:rPr>
                <w:sz w:val="22"/>
                <w:szCs w:val="22"/>
              </w:rPr>
              <w:t>emlőhipertrófia</w:t>
            </w:r>
            <w:r w:rsidRPr="00383D8A">
              <w:rPr>
                <w:sz w:val="22"/>
                <w:szCs w:val="22"/>
              </w:rPr>
              <w:t>, erektilis diszfunkció, a hímvessző méretének csökkenése</w:t>
            </w:r>
          </w:p>
        </w:tc>
      </w:tr>
      <w:tr w:rsidR="00BC6B81" w:rsidRPr="005B41E1" w14:paraId="6D3A21A8" w14:textId="77777777" w:rsidTr="006128D3">
        <w:trPr>
          <w:cantSplit/>
        </w:trPr>
        <w:tc>
          <w:tcPr>
            <w:tcW w:w="2188" w:type="dxa"/>
          </w:tcPr>
          <w:p w14:paraId="0D4DD671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7E285B0E" w14:textId="77777777" w:rsidR="00BC6B81" w:rsidRPr="005B41E1" w:rsidRDefault="00BC6B81" w:rsidP="006128D3">
            <w:pPr>
              <w:rPr>
                <w:color w:val="000000"/>
                <w:sz w:val="22"/>
                <w:szCs w:val="22"/>
              </w:rPr>
            </w:pPr>
            <w:r w:rsidRPr="00F62572">
              <w:rPr>
                <w:color w:val="000000"/>
                <w:sz w:val="22"/>
                <w:szCs w:val="22"/>
              </w:rPr>
              <w:t>az emlők megnagyobbodása</w:t>
            </w:r>
            <w:r w:rsidRPr="005B41E1">
              <w:rPr>
                <w:color w:val="000000"/>
                <w:sz w:val="22"/>
                <w:szCs w:val="22"/>
              </w:rPr>
              <w:t>, impotencia, here-rendellenesség</w:t>
            </w:r>
          </w:p>
        </w:tc>
      </w:tr>
      <w:tr w:rsidR="00BC6B81" w:rsidRPr="005B41E1" w14:paraId="565299CE" w14:textId="77777777" w:rsidTr="006128D3">
        <w:trPr>
          <w:cantSplit/>
        </w:trPr>
        <w:tc>
          <w:tcPr>
            <w:tcW w:w="2188" w:type="dxa"/>
          </w:tcPr>
          <w:p w14:paraId="6A2A0C1C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ritka</w:t>
            </w:r>
          </w:p>
        </w:tc>
        <w:tc>
          <w:tcPr>
            <w:tcW w:w="6378" w:type="dxa"/>
          </w:tcPr>
          <w:p w14:paraId="6A1F8588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emlőfájdalom</w:t>
            </w:r>
          </w:p>
        </w:tc>
      </w:tr>
      <w:tr w:rsidR="00BC6B81" w:rsidRPr="005B41E1" w14:paraId="63F90B8C" w14:textId="77777777" w:rsidTr="006128D3">
        <w:trPr>
          <w:cantSplit/>
        </w:trPr>
        <w:tc>
          <w:tcPr>
            <w:tcW w:w="8566" w:type="dxa"/>
            <w:gridSpan w:val="2"/>
          </w:tcPr>
          <w:p w14:paraId="39E36727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 xml:space="preserve">Általános tünetek, az alkalmazás helyén fellépő reakciók </w:t>
            </w:r>
          </w:p>
        </w:tc>
      </w:tr>
      <w:tr w:rsidR="00BC6B81" w:rsidRPr="005B41E1" w14:paraId="68E55D64" w14:textId="77777777" w:rsidTr="006128D3">
        <w:trPr>
          <w:cantSplit/>
        </w:trPr>
        <w:tc>
          <w:tcPr>
            <w:tcW w:w="2188" w:type="dxa"/>
          </w:tcPr>
          <w:p w14:paraId="643CE588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gyakori</w:t>
            </w:r>
          </w:p>
        </w:tc>
        <w:tc>
          <w:tcPr>
            <w:tcW w:w="6378" w:type="dxa"/>
          </w:tcPr>
          <w:p w14:paraId="0F3E6CEC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fáradtság, égő érzés, paresztézia az injekció beadásának helyén</w:t>
            </w:r>
            <w:r w:rsidRPr="005B41E1" w:rsidDel="00042692">
              <w:rPr>
                <w:sz w:val="22"/>
                <w:szCs w:val="22"/>
              </w:rPr>
              <w:t xml:space="preserve"> </w:t>
            </w:r>
          </w:p>
        </w:tc>
      </w:tr>
      <w:tr w:rsidR="00BC6B81" w:rsidRPr="005B41E1" w14:paraId="7ADF9973" w14:textId="77777777" w:rsidTr="006128D3">
        <w:trPr>
          <w:cantSplit/>
        </w:trPr>
        <w:tc>
          <w:tcPr>
            <w:tcW w:w="2188" w:type="dxa"/>
          </w:tcPr>
          <w:p w14:paraId="423CC65B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309262A8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rossz közérzet, fájdalom és véraláfutás az injekció beadásának helyén, szúró érzés az injekció beadásának helyén</w:t>
            </w:r>
          </w:p>
        </w:tc>
      </w:tr>
      <w:tr w:rsidR="00BC6B81" w:rsidRPr="005B41E1" w14:paraId="378673D4" w14:textId="77777777" w:rsidTr="006128D3">
        <w:trPr>
          <w:cantSplit/>
        </w:trPr>
        <w:tc>
          <w:tcPr>
            <w:tcW w:w="2188" w:type="dxa"/>
          </w:tcPr>
          <w:p w14:paraId="6F0EC97C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25548BDD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viszketés az injekció beadásának helyén, induráció az injekció beadásának helyén, letargia, fájdalom, láz </w:t>
            </w:r>
          </w:p>
        </w:tc>
      </w:tr>
      <w:tr w:rsidR="00BC6B81" w:rsidRPr="005B41E1" w14:paraId="1720C64E" w14:textId="77777777" w:rsidTr="006128D3">
        <w:trPr>
          <w:cantSplit/>
        </w:trPr>
        <w:tc>
          <w:tcPr>
            <w:tcW w:w="2188" w:type="dxa"/>
          </w:tcPr>
          <w:p w14:paraId="3C165DFD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lastRenderedPageBreak/>
              <w:t>ritka</w:t>
            </w:r>
          </w:p>
        </w:tc>
        <w:tc>
          <w:tcPr>
            <w:tcW w:w="6378" w:type="dxa"/>
          </w:tcPr>
          <w:p w14:paraId="412081CF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ulceráció az injekció beadásának helyén</w:t>
            </w:r>
          </w:p>
        </w:tc>
      </w:tr>
      <w:tr w:rsidR="00BC6B81" w:rsidRPr="005B41E1" w14:paraId="14CDA394" w14:textId="77777777" w:rsidTr="006128D3">
        <w:trPr>
          <w:cantSplit/>
        </w:trPr>
        <w:tc>
          <w:tcPr>
            <w:tcW w:w="2188" w:type="dxa"/>
          </w:tcPr>
          <w:p w14:paraId="5F646B96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nagyon ritka</w:t>
            </w:r>
          </w:p>
        </w:tc>
        <w:tc>
          <w:tcPr>
            <w:tcW w:w="6378" w:type="dxa"/>
          </w:tcPr>
          <w:p w14:paraId="2A803DBF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nekrózis az injekció beadásának helyén</w:t>
            </w:r>
          </w:p>
        </w:tc>
      </w:tr>
      <w:tr w:rsidR="00BC6B81" w:rsidRPr="005B41E1" w14:paraId="68473071" w14:textId="77777777" w:rsidTr="006128D3">
        <w:trPr>
          <w:cantSplit/>
        </w:trPr>
        <w:tc>
          <w:tcPr>
            <w:tcW w:w="8566" w:type="dxa"/>
            <w:gridSpan w:val="2"/>
          </w:tcPr>
          <w:p w14:paraId="30091A6A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Vérképzőszervi és nyirokrendszeri betegségek és tünetek</w:t>
            </w:r>
          </w:p>
        </w:tc>
      </w:tr>
      <w:tr w:rsidR="00BC6B81" w:rsidRPr="005B41E1" w14:paraId="377A7104" w14:textId="77777777" w:rsidTr="006128D3">
        <w:trPr>
          <w:cantSplit/>
        </w:trPr>
        <w:tc>
          <w:tcPr>
            <w:tcW w:w="2188" w:type="dxa"/>
          </w:tcPr>
          <w:p w14:paraId="0E1A5A63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240A3AB1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hematológiai elváltozások, anémia</w:t>
            </w:r>
          </w:p>
        </w:tc>
      </w:tr>
      <w:tr w:rsidR="00BC6B81" w:rsidRPr="005B41E1" w14:paraId="31F88AC8" w14:textId="77777777" w:rsidTr="006128D3">
        <w:trPr>
          <w:cantSplit/>
        </w:trPr>
        <w:tc>
          <w:tcPr>
            <w:tcW w:w="8566" w:type="dxa"/>
            <w:gridSpan w:val="2"/>
          </w:tcPr>
          <w:p w14:paraId="6F4E82B0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b/>
                <w:sz w:val="22"/>
                <w:szCs w:val="22"/>
              </w:rPr>
              <w:t>Laboratóriumi vizsgálatok eredményei</w:t>
            </w:r>
          </w:p>
        </w:tc>
      </w:tr>
      <w:tr w:rsidR="00BC6B81" w:rsidRPr="005B41E1" w14:paraId="7C90F884" w14:textId="77777777" w:rsidTr="006128D3">
        <w:trPr>
          <w:cantSplit/>
        </w:trPr>
        <w:tc>
          <w:tcPr>
            <w:tcW w:w="2188" w:type="dxa"/>
          </w:tcPr>
          <w:p w14:paraId="26F0E36A" w14:textId="77777777" w:rsidR="00BC6B81" w:rsidRPr="005B41E1" w:rsidRDefault="00BC6B81" w:rsidP="006128D3">
            <w:pPr>
              <w:ind w:left="2268" w:hanging="2121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gyakori</w:t>
            </w:r>
          </w:p>
        </w:tc>
        <w:tc>
          <w:tcPr>
            <w:tcW w:w="6378" w:type="dxa"/>
          </w:tcPr>
          <w:p w14:paraId="02511B4D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megemelkedett kreatin-foszfokináz vérszint, megnyúlt véralvadási idő</w:t>
            </w:r>
          </w:p>
        </w:tc>
      </w:tr>
      <w:tr w:rsidR="00BC6B81" w:rsidRPr="005B41E1" w14:paraId="08395BC2" w14:textId="77777777" w:rsidTr="006128D3">
        <w:trPr>
          <w:cantSplit/>
        </w:trPr>
        <w:tc>
          <w:tcPr>
            <w:tcW w:w="2188" w:type="dxa"/>
          </w:tcPr>
          <w:p w14:paraId="609ACBDA" w14:textId="77777777" w:rsidR="00BC6B81" w:rsidRPr="005B41E1" w:rsidRDefault="00BC6B81" w:rsidP="006128D3">
            <w:pPr>
              <w:ind w:left="2268" w:hanging="1979"/>
              <w:jc w:val="right"/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nem gyakori</w:t>
            </w:r>
          </w:p>
        </w:tc>
        <w:tc>
          <w:tcPr>
            <w:tcW w:w="6378" w:type="dxa"/>
          </w:tcPr>
          <w:p w14:paraId="2D8B4A54" w14:textId="77777777" w:rsidR="00BC6B8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 xml:space="preserve">megemelkedett </w:t>
            </w:r>
            <w:r>
              <w:rPr>
                <w:sz w:val="22"/>
                <w:szCs w:val="22"/>
              </w:rPr>
              <w:t>glutamát-piruvát-transzamináz</w:t>
            </w:r>
            <w:r w:rsidRPr="005B41E1">
              <w:rPr>
                <w:sz w:val="22"/>
                <w:szCs w:val="22"/>
              </w:rPr>
              <w:t xml:space="preserve"> vérszint, </w:t>
            </w:r>
          </w:p>
          <w:p w14:paraId="53AF5414" w14:textId="77777777" w:rsidR="00BC6B81" w:rsidRPr="005B41E1" w:rsidRDefault="00BC6B81" w:rsidP="006128D3">
            <w:pPr>
              <w:rPr>
                <w:sz w:val="22"/>
                <w:szCs w:val="22"/>
              </w:rPr>
            </w:pPr>
            <w:r w:rsidRPr="005B41E1">
              <w:rPr>
                <w:sz w:val="22"/>
                <w:szCs w:val="22"/>
              </w:rPr>
              <w:t>megemelkedett trigliceridszint a vérben, megnyúlt protrombinidő, testtömeg</w:t>
            </w:r>
            <w:r w:rsidRPr="005B41E1">
              <w:rPr>
                <w:sz w:val="22"/>
                <w:szCs w:val="22"/>
              </w:rPr>
              <w:noBreakHyphen/>
              <w:t>gyarapodás</w:t>
            </w:r>
          </w:p>
        </w:tc>
      </w:tr>
    </w:tbl>
    <w:p w14:paraId="1B81E8D0" w14:textId="77777777" w:rsidR="00BC6B81" w:rsidRPr="002D0731" w:rsidRDefault="00BC6B81" w:rsidP="00BC6B81">
      <w:pPr>
        <w:pStyle w:val="Szvegtrzs"/>
        <w:rPr>
          <w:szCs w:val="22"/>
          <w:lang w:val="hu-HU"/>
        </w:rPr>
      </w:pPr>
    </w:p>
    <w:p w14:paraId="61CD240A" w14:textId="77777777" w:rsidR="00BC6B81" w:rsidRPr="002D0731" w:rsidRDefault="00BC6B81" w:rsidP="00BC6B81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 leuprorelin-acetát kezelés során előforduló, általánosságban jelentett egyéb, nemkívánatos események között szerepel perifériás ödéma, tüdőembólia, palpitáció, izomfájdalom, izomgyengeség, </w:t>
      </w:r>
      <w:r>
        <w:rPr>
          <w:szCs w:val="22"/>
          <w:lang w:val="hu-HU"/>
        </w:rPr>
        <w:t xml:space="preserve">a </w:t>
      </w:r>
      <w:r w:rsidRPr="002D0731">
        <w:rPr>
          <w:szCs w:val="22"/>
          <w:lang w:val="hu-HU"/>
        </w:rPr>
        <w:t xml:space="preserve">bőrérzékelés </w:t>
      </w:r>
      <w:r>
        <w:rPr>
          <w:szCs w:val="22"/>
          <w:lang w:val="hu-HU"/>
        </w:rPr>
        <w:t>megváltozása</w:t>
      </w:r>
      <w:r w:rsidRPr="002D0731">
        <w:rPr>
          <w:szCs w:val="22"/>
          <w:lang w:val="hu-HU"/>
        </w:rPr>
        <w:t xml:space="preserve">, hidegrázás, </w:t>
      </w:r>
      <w:r>
        <w:rPr>
          <w:szCs w:val="22"/>
          <w:lang w:val="hu-HU"/>
        </w:rPr>
        <w:t>bőr</w:t>
      </w:r>
      <w:r w:rsidRPr="002D0731">
        <w:rPr>
          <w:szCs w:val="22"/>
          <w:lang w:val="hu-HU"/>
        </w:rPr>
        <w:t>kiütés, amnézia, látási zavarok. Izomatr</w:t>
      </w:r>
      <w:r>
        <w:rPr>
          <w:szCs w:val="22"/>
          <w:lang w:val="hu-HU"/>
        </w:rPr>
        <w:t>óf</w:t>
      </w:r>
      <w:r w:rsidRPr="002D0731">
        <w:rPr>
          <w:szCs w:val="22"/>
          <w:lang w:val="hu-HU"/>
        </w:rPr>
        <w:t>iát észleltek a gyógyszercsoport készítményeinek hosszú</w:t>
      </w:r>
      <w:r>
        <w:rPr>
          <w:szCs w:val="22"/>
          <w:lang w:val="hu-HU"/>
        </w:rPr>
        <w:t xml:space="preserve"> </w:t>
      </w:r>
      <w:r w:rsidRPr="002D0731">
        <w:rPr>
          <w:szCs w:val="22"/>
          <w:lang w:val="hu-HU"/>
        </w:rPr>
        <w:t>távú alkalmazása során. Ritkán beszámoltak a már meglévő hipofízis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aden</w:t>
      </w:r>
      <w:r>
        <w:rPr>
          <w:szCs w:val="22"/>
          <w:lang w:val="hu-HU"/>
        </w:rPr>
        <w:t>ó</w:t>
      </w:r>
      <w:r w:rsidRPr="002D0731">
        <w:rPr>
          <w:szCs w:val="22"/>
          <w:lang w:val="hu-HU"/>
        </w:rPr>
        <w:t>ma elhalásáról, mind rövid, mind pedig hosszú hatástartamú GnRH</w:t>
      </w:r>
      <w:r w:rsidRPr="002D0731">
        <w:rPr>
          <w:szCs w:val="22"/>
          <w:lang w:val="hu-HU"/>
        </w:rPr>
        <w:noBreakHyphen/>
        <w:t>agonista alkalmazása után. Ritkán tromboc</w:t>
      </w:r>
      <w:r>
        <w:rPr>
          <w:szCs w:val="22"/>
          <w:lang w:val="hu-HU"/>
        </w:rPr>
        <w:t>i</w:t>
      </w:r>
      <w:r w:rsidRPr="002D0731">
        <w:rPr>
          <w:szCs w:val="22"/>
          <w:lang w:val="hu-HU"/>
        </w:rPr>
        <w:t>top</w:t>
      </w:r>
      <w:r>
        <w:rPr>
          <w:szCs w:val="22"/>
          <w:lang w:val="hu-HU"/>
        </w:rPr>
        <w:t>é</w:t>
      </w:r>
      <w:r w:rsidRPr="002D0731">
        <w:rPr>
          <w:szCs w:val="22"/>
          <w:lang w:val="hu-HU"/>
        </w:rPr>
        <w:t>niáról és leu</w:t>
      </w:r>
      <w:r>
        <w:rPr>
          <w:szCs w:val="22"/>
          <w:lang w:val="hu-HU"/>
        </w:rPr>
        <w:t>k</w:t>
      </w:r>
      <w:r w:rsidRPr="002D0731">
        <w:rPr>
          <w:szCs w:val="22"/>
          <w:lang w:val="hu-HU"/>
        </w:rPr>
        <w:t>op</w:t>
      </w:r>
      <w:r>
        <w:rPr>
          <w:szCs w:val="22"/>
          <w:lang w:val="hu-HU"/>
        </w:rPr>
        <w:t>é</w:t>
      </w:r>
      <w:r w:rsidRPr="002D0731">
        <w:rPr>
          <w:szCs w:val="22"/>
          <w:lang w:val="hu-HU"/>
        </w:rPr>
        <w:t>niáról számoltak be. A glükóztolerancia megváltozását szintén jelentették.</w:t>
      </w:r>
    </w:p>
    <w:p w14:paraId="15EC817B" w14:textId="77777777" w:rsidR="00BC6B81" w:rsidRPr="00B35B1B" w:rsidRDefault="00BC6B81" w:rsidP="00BC6B81">
      <w:pPr>
        <w:jc w:val="both"/>
        <w:rPr>
          <w:sz w:val="22"/>
          <w:szCs w:val="22"/>
        </w:rPr>
      </w:pPr>
    </w:p>
    <w:p w14:paraId="2D300A1A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B35B1B">
        <w:rPr>
          <w:sz w:val="22"/>
          <w:szCs w:val="22"/>
        </w:rPr>
        <w:t>Görcs</w:t>
      </w:r>
      <w:r>
        <w:rPr>
          <w:sz w:val="22"/>
          <w:szCs w:val="22"/>
        </w:rPr>
        <w:t>rohamokat</w:t>
      </w:r>
      <w:r w:rsidRPr="00B35B1B">
        <w:rPr>
          <w:sz w:val="22"/>
          <w:szCs w:val="22"/>
        </w:rPr>
        <w:t xml:space="preserve"> jelentettek GnRH</w:t>
      </w:r>
      <w:r>
        <w:rPr>
          <w:sz w:val="22"/>
          <w:szCs w:val="22"/>
        </w:rPr>
        <w:noBreakHyphen/>
      </w:r>
      <w:r w:rsidRPr="00B35B1B">
        <w:rPr>
          <w:sz w:val="22"/>
          <w:szCs w:val="22"/>
        </w:rPr>
        <w:t>agonista</w:t>
      </w:r>
      <w:r>
        <w:rPr>
          <w:sz w:val="22"/>
          <w:szCs w:val="22"/>
        </w:rPr>
        <w:noBreakHyphen/>
      </w:r>
      <w:r w:rsidRPr="00B35B1B">
        <w:rPr>
          <w:sz w:val="22"/>
          <w:szCs w:val="22"/>
        </w:rPr>
        <w:t>analógok adását követően (lásd 4.4 pont).</w:t>
      </w:r>
    </w:p>
    <w:p w14:paraId="270046B0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helyi</w:t>
      </w:r>
      <w:r>
        <w:rPr>
          <w:sz w:val="22"/>
          <w:szCs w:val="22"/>
        </w:rPr>
        <w:t>leg jelentkező</w:t>
      </w:r>
      <w:r w:rsidRPr="002D0731">
        <w:rPr>
          <w:sz w:val="22"/>
          <w:szCs w:val="22"/>
        </w:rPr>
        <w:t xml:space="preserve"> nemkívánatos események, amelyeket az Eligard 45 mg injekció beadása után jelentettek, hasonlóak, mint amelyek a hasonló szubkután készítmények beadásával gyakran együtt járnak. </w:t>
      </w:r>
    </w:p>
    <w:p w14:paraId="50A48D1A" w14:textId="77777777" w:rsidR="00BC6B81" w:rsidRPr="002D0731" w:rsidRDefault="00BC6B81" w:rsidP="00BC6B81">
      <w:pPr>
        <w:rPr>
          <w:sz w:val="22"/>
          <w:szCs w:val="22"/>
        </w:rPr>
      </w:pPr>
    </w:p>
    <w:p w14:paraId="53C5FD01" w14:textId="77777777" w:rsidR="00BC6B81" w:rsidRPr="002D0731" w:rsidRDefault="00BC6B81" w:rsidP="00BC6B81">
      <w:pPr>
        <w:rPr>
          <w:color w:val="000000"/>
          <w:sz w:val="22"/>
          <w:szCs w:val="22"/>
        </w:rPr>
      </w:pPr>
      <w:r w:rsidRPr="002D0731">
        <w:rPr>
          <w:color w:val="000000"/>
          <w:sz w:val="22"/>
          <w:szCs w:val="22"/>
        </w:rPr>
        <w:t>Általában a szubkután injekciót követően előforduló helyi mellékhatások enyhék és a leírások szerint rövid ideig tartanak.</w:t>
      </w:r>
    </w:p>
    <w:p w14:paraId="6D87F20B" w14:textId="77777777" w:rsidR="00BC6B81" w:rsidRPr="00B35B1B" w:rsidRDefault="00BC6B81" w:rsidP="00BC6B81">
      <w:pPr>
        <w:jc w:val="both"/>
        <w:rPr>
          <w:sz w:val="22"/>
          <w:szCs w:val="22"/>
        </w:rPr>
      </w:pPr>
    </w:p>
    <w:p w14:paraId="135D724E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B35B1B">
        <w:rPr>
          <w:sz w:val="22"/>
          <w:szCs w:val="22"/>
        </w:rPr>
        <w:t>Ritkán ana</w:t>
      </w:r>
      <w:r>
        <w:rPr>
          <w:sz w:val="22"/>
          <w:szCs w:val="22"/>
        </w:rPr>
        <w:t>fi</w:t>
      </w:r>
      <w:r w:rsidRPr="00B35B1B">
        <w:rPr>
          <w:sz w:val="22"/>
          <w:szCs w:val="22"/>
        </w:rPr>
        <w:t>laxiás/ana</w:t>
      </w:r>
      <w:r>
        <w:rPr>
          <w:sz w:val="22"/>
          <w:szCs w:val="22"/>
        </w:rPr>
        <w:t>fi</w:t>
      </w:r>
      <w:r w:rsidRPr="00B35B1B">
        <w:rPr>
          <w:sz w:val="22"/>
          <w:szCs w:val="22"/>
        </w:rPr>
        <w:t>la</w:t>
      </w:r>
      <w:r>
        <w:rPr>
          <w:sz w:val="22"/>
          <w:szCs w:val="22"/>
        </w:rPr>
        <w:t>k</w:t>
      </w:r>
      <w:r w:rsidRPr="00B35B1B">
        <w:rPr>
          <w:sz w:val="22"/>
          <w:szCs w:val="22"/>
        </w:rPr>
        <w:t>toid reakciókat jelentettek GnRH</w:t>
      </w:r>
      <w:r>
        <w:rPr>
          <w:sz w:val="22"/>
          <w:szCs w:val="22"/>
        </w:rPr>
        <w:noBreakHyphen/>
      </w:r>
      <w:r w:rsidRPr="00B35B1B">
        <w:rPr>
          <w:sz w:val="22"/>
          <w:szCs w:val="22"/>
        </w:rPr>
        <w:t>agonista</w:t>
      </w:r>
      <w:r>
        <w:rPr>
          <w:sz w:val="22"/>
          <w:szCs w:val="22"/>
        </w:rPr>
        <w:noBreakHyphen/>
      </w:r>
      <w:r w:rsidRPr="00B35B1B">
        <w:rPr>
          <w:sz w:val="22"/>
          <w:szCs w:val="22"/>
        </w:rPr>
        <w:t>analógok adását követően.</w:t>
      </w:r>
    </w:p>
    <w:p w14:paraId="02F6D9CE" w14:textId="77777777" w:rsidR="00BC6B81" w:rsidRPr="002D0731" w:rsidRDefault="00BC6B81" w:rsidP="00BC6B81">
      <w:pPr>
        <w:rPr>
          <w:sz w:val="22"/>
          <w:szCs w:val="22"/>
        </w:rPr>
      </w:pPr>
    </w:p>
    <w:p w14:paraId="530E618B" w14:textId="77777777" w:rsidR="00BC6B81" w:rsidRPr="002D0731" w:rsidRDefault="00BC6B81" w:rsidP="00BC6B81">
      <w:pPr>
        <w:jc w:val="both"/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A csontsűrűség változása</w:t>
      </w:r>
    </w:p>
    <w:p w14:paraId="69C0E3B1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 szakirodalom</w:t>
      </w:r>
      <w:r>
        <w:rPr>
          <w:szCs w:val="22"/>
          <w:lang w:val="hu-HU"/>
        </w:rPr>
        <w:t>ban</w:t>
      </w:r>
      <w:r w:rsidRPr="002D0731">
        <w:rPr>
          <w:szCs w:val="22"/>
          <w:lang w:val="hu-HU"/>
        </w:rPr>
        <w:t xml:space="preserve"> az orchiectomián átesett vagy GnRH</w:t>
      </w:r>
      <w:r w:rsidRPr="002D0731">
        <w:rPr>
          <w:szCs w:val="22"/>
          <w:lang w:val="hu-HU"/>
        </w:rPr>
        <w:noBreakHyphen/>
        <w:t>agonistával kezelt férfiak esetében csontsűrűség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csökkenésről számol</w:t>
      </w:r>
      <w:r>
        <w:rPr>
          <w:szCs w:val="22"/>
          <w:lang w:val="hu-HU"/>
        </w:rPr>
        <w:t>tak</w:t>
      </w:r>
      <w:r w:rsidRPr="002D0731">
        <w:rPr>
          <w:szCs w:val="22"/>
          <w:lang w:val="hu-HU"/>
        </w:rPr>
        <w:t xml:space="preserve"> be. </w:t>
      </w:r>
      <w:r>
        <w:rPr>
          <w:szCs w:val="22"/>
          <w:lang w:val="hu-HU"/>
        </w:rPr>
        <w:t xml:space="preserve">A </w:t>
      </w:r>
      <w:r w:rsidRPr="002D0731">
        <w:rPr>
          <w:szCs w:val="22"/>
          <w:lang w:val="hu-HU"/>
        </w:rPr>
        <w:t>hosszú ideig tartó leuprorelin</w:t>
      </w:r>
      <w:r w:rsidRPr="002D0731">
        <w:rPr>
          <w:szCs w:val="22"/>
          <w:lang w:val="hu-HU"/>
        </w:rPr>
        <w:noBreakHyphen/>
        <w:t xml:space="preserve">kezelés </w:t>
      </w:r>
      <w:r>
        <w:rPr>
          <w:szCs w:val="22"/>
          <w:lang w:val="hu-HU"/>
        </w:rPr>
        <w:t xml:space="preserve">várhatóan </w:t>
      </w:r>
      <w:r w:rsidRPr="002D0731">
        <w:rPr>
          <w:szCs w:val="22"/>
          <w:lang w:val="hu-HU"/>
        </w:rPr>
        <w:t xml:space="preserve">az oszteoporózis tünetek </w:t>
      </w:r>
      <w:r w:rsidRPr="005B41E1">
        <w:rPr>
          <w:szCs w:val="22"/>
          <w:lang w:val="hu-HU"/>
        </w:rPr>
        <w:t>fokozódását eredményezheti</w:t>
      </w:r>
      <w:r w:rsidRPr="002D0731">
        <w:rPr>
          <w:szCs w:val="22"/>
          <w:lang w:val="hu-HU"/>
        </w:rPr>
        <w:t xml:space="preserve">. Az oszteoporózis </w:t>
      </w:r>
      <w:r>
        <w:rPr>
          <w:szCs w:val="22"/>
          <w:lang w:val="hu-HU"/>
        </w:rPr>
        <w:t>következtében</w:t>
      </w:r>
      <w:r w:rsidRPr="002D0731">
        <w:rPr>
          <w:szCs w:val="22"/>
          <w:lang w:val="hu-HU"/>
        </w:rPr>
        <w:t xml:space="preserve"> megnövekedett törési kockázatokra vonatkozóan lásd a 4.4 pontot.</w:t>
      </w:r>
    </w:p>
    <w:p w14:paraId="27EBF81C" w14:textId="77777777" w:rsidR="00BC6B81" w:rsidRPr="002D0731" w:rsidRDefault="00BC6B81" w:rsidP="00BC6B81">
      <w:pPr>
        <w:jc w:val="both"/>
        <w:rPr>
          <w:sz w:val="22"/>
          <w:szCs w:val="22"/>
          <w:u w:val="single"/>
        </w:rPr>
      </w:pPr>
    </w:p>
    <w:p w14:paraId="229A18D9" w14:textId="77777777" w:rsidR="00BC6B81" w:rsidRPr="002D0731" w:rsidRDefault="00BC6B81" w:rsidP="00BC6B81">
      <w:pPr>
        <w:jc w:val="both"/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A betegség jeleinek és tüneteinek súlyosbodása</w:t>
      </w:r>
    </w:p>
    <w:p w14:paraId="0CB80C09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 leuprorelin</w:t>
      </w:r>
      <w:r w:rsidRPr="002D0731">
        <w:rPr>
          <w:szCs w:val="22"/>
          <w:lang w:val="hu-HU"/>
        </w:rPr>
        <w:noBreakHyphen/>
        <w:t>acetát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kezelés az első néhány hét során a betegség jeleinek és tüneteinek súlyosbodását okozhatja. Ha a gerincmetasztázis és/vagy a húgyúti elzáródás vagy a haemat</w:t>
      </w:r>
      <w:r>
        <w:rPr>
          <w:szCs w:val="22"/>
          <w:lang w:val="hu-HU"/>
        </w:rPr>
        <w:t>u</w:t>
      </w:r>
      <w:r w:rsidRPr="002D0731">
        <w:rPr>
          <w:szCs w:val="22"/>
          <w:lang w:val="hu-HU"/>
        </w:rPr>
        <w:t>ria rosszabbodik, neurológiai problémák, pl. gyengeség és/vagy az alsó végtagok pares</w:t>
      </w:r>
      <w:r>
        <w:rPr>
          <w:szCs w:val="22"/>
          <w:lang w:val="hu-HU"/>
        </w:rPr>
        <w:t>z</w:t>
      </w:r>
      <w:r w:rsidRPr="002D0731">
        <w:rPr>
          <w:szCs w:val="22"/>
          <w:lang w:val="hu-HU"/>
        </w:rPr>
        <w:t>t</w:t>
      </w:r>
      <w:r>
        <w:rPr>
          <w:szCs w:val="22"/>
          <w:lang w:val="hu-HU"/>
        </w:rPr>
        <w:t>éz</w:t>
      </w:r>
      <w:r w:rsidRPr="002D0731">
        <w:rPr>
          <w:szCs w:val="22"/>
          <w:lang w:val="hu-HU"/>
        </w:rPr>
        <w:t>i</w:t>
      </w:r>
      <w:r>
        <w:rPr>
          <w:szCs w:val="22"/>
          <w:lang w:val="hu-HU"/>
        </w:rPr>
        <w:t>á</w:t>
      </w:r>
      <w:r w:rsidRPr="002D0731">
        <w:rPr>
          <w:szCs w:val="22"/>
          <w:lang w:val="hu-HU"/>
        </w:rPr>
        <w:t>ja, illetve a húgyúti tünetek rosszabbodása léphetnek fel.</w:t>
      </w:r>
    </w:p>
    <w:p w14:paraId="0BB26886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</w:p>
    <w:p w14:paraId="56609972" w14:textId="77777777" w:rsidR="00BC6B81" w:rsidRPr="003654E7" w:rsidRDefault="00BC6B81" w:rsidP="00BC6B81">
      <w:pPr>
        <w:pStyle w:val="Szvegtrzs"/>
        <w:rPr>
          <w:szCs w:val="22"/>
          <w:u w:val="single"/>
          <w:lang w:val="hu-HU"/>
        </w:rPr>
      </w:pPr>
      <w:r w:rsidRPr="003654E7">
        <w:rPr>
          <w:szCs w:val="22"/>
          <w:u w:val="single"/>
          <w:lang w:val="hu-HU"/>
        </w:rPr>
        <w:t>Feltételezett mellékhatások bejelentése</w:t>
      </w:r>
    </w:p>
    <w:p w14:paraId="52EB902A" w14:textId="77777777" w:rsidR="00BC6B81" w:rsidRPr="002D0731" w:rsidRDefault="00BC6B81" w:rsidP="00BC6B81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32068EB9" w14:textId="621A382D" w:rsidR="00BC6B81" w:rsidRPr="002D0731" w:rsidRDefault="00BC6B81" w:rsidP="00BC6B81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26" w:history="1">
        <w:r w:rsidRPr="00DC1BBC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2D0731">
        <w:rPr>
          <w:szCs w:val="22"/>
          <w:lang w:val="hu-HU"/>
        </w:rPr>
        <w:t xml:space="preserve"> található elérhetőségek valamelyikén keresztül.</w:t>
      </w:r>
    </w:p>
    <w:p w14:paraId="409E2586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</w:p>
    <w:p w14:paraId="0E12691D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4.9</w:t>
      </w:r>
      <w:r w:rsidRPr="002D0731">
        <w:rPr>
          <w:b/>
          <w:sz w:val="22"/>
          <w:szCs w:val="22"/>
        </w:rPr>
        <w:tab/>
        <w:t>Túladagolás</w:t>
      </w:r>
    </w:p>
    <w:p w14:paraId="7357326F" w14:textId="77777777" w:rsidR="00BC6B81" w:rsidRPr="002D0731" w:rsidRDefault="00BC6B81" w:rsidP="00BC6B81">
      <w:pPr>
        <w:rPr>
          <w:sz w:val="22"/>
          <w:szCs w:val="22"/>
        </w:rPr>
      </w:pPr>
    </w:p>
    <w:p w14:paraId="7336AF4D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Az Eligard 45 mg nem hajlamosít abúzusra és a szándékos túladagolás nem valószínűsíthető. Abúzusra vagy túladagolásra vonatkozóan nem érkezett jelentés a leuprorelin</w:t>
      </w:r>
      <w:r w:rsidRPr="002D0731">
        <w:rPr>
          <w:szCs w:val="22"/>
          <w:lang w:val="hu-HU"/>
        </w:rPr>
        <w:noBreakHyphen/>
        <w:t>acetát klinikai alkalmazása során, de ha mégis nagymértékű expozíció következne be, a beteget megfigyelés alatt kell tartani és tüneti, szupportív kezelésben kell részesíteni.</w:t>
      </w:r>
    </w:p>
    <w:p w14:paraId="13F01B3B" w14:textId="77777777" w:rsidR="00BC6B81" w:rsidRPr="002D0731" w:rsidRDefault="00BC6B81" w:rsidP="00BC6B81">
      <w:pPr>
        <w:rPr>
          <w:sz w:val="22"/>
          <w:szCs w:val="22"/>
        </w:rPr>
      </w:pPr>
    </w:p>
    <w:p w14:paraId="7D515C74" w14:textId="77777777" w:rsidR="00BC6B81" w:rsidRPr="002D0731" w:rsidRDefault="00BC6B81" w:rsidP="00BC6B81">
      <w:pPr>
        <w:rPr>
          <w:sz w:val="22"/>
          <w:szCs w:val="22"/>
        </w:rPr>
      </w:pPr>
    </w:p>
    <w:p w14:paraId="3554CCEC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5.</w:t>
      </w:r>
      <w:r w:rsidRPr="002D0731">
        <w:rPr>
          <w:b/>
          <w:sz w:val="22"/>
          <w:szCs w:val="22"/>
        </w:rPr>
        <w:tab/>
        <w:t>FARMAKOLÓGIAI TULAJDONSÁGOK</w:t>
      </w:r>
    </w:p>
    <w:p w14:paraId="11463A1A" w14:textId="77777777" w:rsidR="00BC6B81" w:rsidRPr="00AF2DCF" w:rsidRDefault="00BC6B81" w:rsidP="00BC6B81">
      <w:pPr>
        <w:rPr>
          <w:sz w:val="22"/>
        </w:rPr>
      </w:pPr>
    </w:p>
    <w:p w14:paraId="4E2FAC0B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lastRenderedPageBreak/>
        <w:t>5.1</w:t>
      </w:r>
      <w:r w:rsidRPr="002D0731">
        <w:rPr>
          <w:b/>
          <w:sz w:val="22"/>
          <w:szCs w:val="22"/>
        </w:rPr>
        <w:tab/>
        <w:t>Farmakodinámiás tulajdonságok</w:t>
      </w:r>
    </w:p>
    <w:p w14:paraId="15E80F78" w14:textId="77777777" w:rsidR="00BC6B81" w:rsidRPr="002D0731" w:rsidRDefault="00BC6B81" w:rsidP="00BC6B81">
      <w:pPr>
        <w:rPr>
          <w:sz w:val="22"/>
          <w:szCs w:val="22"/>
        </w:rPr>
      </w:pPr>
    </w:p>
    <w:p w14:paraId="02A63089" w14:textId="77777777" w:rsidR="00BC6B81" w:rsidRPr="002D0731" w:rsidRDefault="00BC6B81" w:rsidP="00BC6B81">
      <w:pPr>
        <w:pStyle w:val="Vgjegyzetszvege"/>
        <w:tabs>
          <w:tab w:val="clear" w:pos="567"/>
        </w:tabs>
        <w:rPr>
          <w:szCs w:val="22"/>
          <w:lang w:val="hu-HU"/>
        </w:rPr>
      </w:pPr>
      <w:r w:rsidRPr="002D0731">
        <w:rPr>
          <w:bCs/>
          <w:szCs w:val="22"/>
          <w:lang w:val="hu-HU"/>
        </w:rPr>
        <w:t>Farmakoterápiás csoport:</w:t>
      </w:r>
      <w:r w:rsidRPr="002D0731">
        <w:rPr>
          <w:szCs w:val="22"/>
          <w:lang w:val="hu-HU"/>
        </w:rPr>
        <w:t xml:space="preserve"> gonadotropin releasing hormon-analógok; </w:t>
      </w:r>
      <w:r w:rsidRPr="002D0731">
        <w:rPr>
          <w:bCs/>
          <w:szCs w:val="22"/>
          <w:lang w:val="hu-HU"/>
        </w:rPr>
        <w:t>ATC</w:t>
      </w:r>
      <w:r>
        <w:rPr>
          <w:bCs/>
          <w:szCs w:val="22"/>
          <w:lang w:val="hu-HU"/>
        </w:rPr>
        <w:t xml:space="preserve"> </w:t>
      </w:r>
      <w:r w:rsidRPr="002D0731">
        <w:rPr>
          <w:bCs/>
          <w:szCs w:val="22"/>
          <w:lang w:val="hu-HU"/>
        </w:rPr>
        <w:t>kód:</w:t>
      </w:r>
      <w:r w:rsidRPr="002D0731">
        <w:rPr>
          <w:szCs w:val="22"/>
          <w:lang w:val="hu-HU"/>
        </w:rPr>
        <w:t xml:space="preserve"> L02A E02</w:t>
      </w:r>
    </w:p>
    <w:p w14:paraId="3CA0A540" w14:textId="77777777" w:rsidR="00BC6B81" w:rsidRPr="002D0731" w:rsidRDefault="00BC6B81" w:rsidP="00BC6B81">
      <w:pPr>
        <w:jc w:val="both"/>
        <w:rPr>
          <w:strike/>
          <w:sz w:val="22"/>
          <w:szCs w:val="22"/>
        </w:rPr>
      </w:pPr>
    </w:p>
    <w:p w14:paraId="79F06BE7" w14:textId="77777777" w:rsidR="00BC6B81" w:rsidRPr="002D0731" w:rsidRDefault="00BC6B81" w:rsidP="00BC6B81">
      <w:pPr>
        <w:pStyle w:val="WW-Szvegtrzs3"/>
        <w:jc w:val="left"/>
        <w:rPr>
          <w:sz w:val="22"/>
          <w:szCs w:val="22"/>
        </w:rPr>
      </w:pPr>
      <w:r w:rsidRPr="002D0731">
        <w:rPr>
          <w:sz w:val="22"/>
          <w:szCs w:val="22"/>
        </w:rPr>
        <w:t>A leuprorelin</w:t>
      </w:r>
      <w:r w:rsidRPr="002D0731">
        <w:rPr>
          <w:sz w:val="22"/>
          <w:szCs w:val="22"/>
        </w:rPr>
        <w:noBreakHyphen/>
        <w:t>acetát a természetesen előforduló gonadotropin</w:t>
      </w:r>
      <w:r w:rsidRPr="002D0731">
        <w:rPr>
          <w:sz w:val="22"/>
          <w:szCs w:val="22"/>
        </w:rPr>
        <w:noBreakHyphen/>
        <w:t>releasing hormon (GnRH) szintetikus nonapeptid agonistája, amely folyamatos adagolás esetén megakadályozza a hipofízis gonadotr</w:t>
      </w:r>
      <w:r>
        <w:rPr>
          <w:sz w:val="22"/>
          <w:szCs w:val="22"/>
        </w:rPr>
        <w:t>ó</w:t>
      </w:r>
      <w:r w:rsidRPr="002D0731">
        <w:rPr>
          <w:sz w:val="22"/>
          <w:szCs w:val="22"/>
        </w:rPr>
        <w:t>p hormonszekrécióját és elnyomja a férfiak tes</w:t>
      </w:r>
      <w:r>
        <w:rPr>
          <w:sz w:val="22"/>
          <w:szCs w:val="22"/>
        </w:rPr>
        <w:t>z</w:t>
      </w:r>
      <w:r w:rsidRPr="002D0731">
        <w:rPr>
          <w:sz w:val="22"/>
          <w:szCs w:val="22"/>
        </w:rPr>
        <w:t>ti</w:t>
      </w:r>
      <w:r>
        <w:rPr>
          <w:sz w:val="22"/>
          <w:szCs w:val="22"/>
        </w:rPr>
        <w:t>k</w:t>
      </w:r>
      <w:r w:rsidRPr="002D0731">
        <w:rPr>
          <w:sz w:val="22"/>
          <w:szCs w:val="22"/>
        </w:rPr>
        <w:t>ul</w:t>
      </w:r>
      <w:r>
        <w:rPr>
          <w:sz w:val="22"/>
          <w:szCs w:val="22"/>
        </w:rPr>
        <w:t>á</w:t>
      </w:r>
      <w:r w:rsidRPr="002D0731">
        <w:rPr>
          <w:sz w:val="22"/>
          <w:szCs w:val="22"/>
        </w:rPr>
        <w:t>ris szteroidtermelését. Hatása a gyógyszeres kezelés leállítását követően reverz</w:t>
      </w:r>
      <w:r>
        <w:rPr>
          <w:sz w:val="22"/>
          <w:szCs w:val="22"/>
        </w:rPr>
        <w:t>i</w:t>
      </w:r>
      <w:r w:rsidRPr="002D0731">
        <w:rPr>
          <w:sz w:val="22"/>
          <w:szCs w:val="22"/>
        </w:rPr>
        <w:t>bilis. Mindazonáltal az agonista a természetes hormonnál hatékonyabb, és a tesztoszteronszint helyreállításához szükséges időtartam betegenként változhat.</w:t>
      </w:r>
    </w:p>
    <w:p w14:paraId="17688417" w14:textId="77777777" w:rsidR="00BC6B81" w:rsidRDefault="00BC6B81" w:rsidP="00BC6B81">
      <w:pPr>
        <w:pStyle w:val="WW-Szvegtrzs3"/>
        <w:jc w:val="left"/>
        <w:rPr>
          <w:sz w:val="22"/>
          <w:szCs w:val="22"/>
        </w:rPr>
      </w:pPr>
    </w:p>
    <w:p w14:paraId="1FA033E9" w14:textId="77777777" w:rsidR="00BC6B81" w:rsidRPr="002D0731" w:rsidRDefault="00BC6B81" w:rsidP="00BC6B81">
      <w:pPr>
        <w:pStyle w:val="WW-Szvegtrzs3"/>
        <w:jc w:val="left"/>
        <w:rPr>
          <w:sz w:val="22"/>
          <w:szCs w:val="22"/>
        </w:rPr>
      </w:pPr>
      <w:r w:rsidRPr="002D0731">
        <w:rPr>
          <w:sz w:val="22"/>
          <w:szCs w:val="22"/>
        </w:rPr>
        <w:t>A leuprorelin</w:t>
      </w:r>
      <w:r w:rsidRPr="002D0731">
        <w:rPr>
          <w:sz w:val="22"/>
          <w:szCs w:val="22"/>
        </w:rPr>
        <w:noBreakHyphen/>
        <w:t>acetát beadása a luteinizáló hormon (LH) és a folli</w:t>
      </w:r>
      <w:r>
        <w:rPr>
          <w:sz w:val="22"/>
          <w:szCs w:val="22"/>
        </w:rPr>
        <w:t>k</w:t>
      </w:r>
      <w:r w:rsidRPr="002D0731">
        <w:rPr>
          <w:sz w:val="22"/>
          <w:szCs w:val="22"/>
        </w:rPr>
        <w:t>ulusstimuláló hormon (FSH) keringő vérben fennálló szintjének kezdeti megnövekedését okozza, ami átmenetileg megnöveli a férfiaknál a szteroid nemi hormonok, a tesztoszteron és a dihidrotesztoszteron szintjét. A leuprorelin</w:t>
      </w:r>
      <w:r w:rsidRPr="002D0731">
        <w:rPr>
          <w:sz w:val="22"/>
          <w:szCs w:val="22"/>
        </w:rPr>
        <w:noBreakHyphen/>
        <w:t>acetát folyamatos adagolása csökkent LH- és FSH</w:t>
      </w:r>
      <w:r w:rsidRPr="002D0731">
        <w:rPr>
          <w:sz w:val="22"/>
          <w:szCs w:val="22"/>
        </w:rPr>
        <w:noBreakHyphen/>
        <w:t>szintet eredményez. Férfiaknál a tesztoszteron a kasztrációs küszöb (≤ 50 ng/dl) alá süllyed. Ezek a csökkenések a kezelés megkezdése után 3</w:t>
      </w:r>
      <w:r w:rsidRPr="002D0731">
        <w:rPr>
          <w:sz w:val="22"/>
          <w:szCs w:val="22"/>
        </w:rPr>
        <w:noBreakHyphen/>
        <w:t xml:space="preserve">4 héttel következnek be. Hat hónapja kezelt betegek átlagos tesztoszteronszintje 10,4 (±0,53) ng/dl volt, a bilaterális orchiectomián átesett betegek értékeihez hasonlóan. A </w:t>
      </w:r>
      <w:r>
        <w:rPr>
          <w:sz w:val="22"/>
          <w:szCs w:val="22"/>
        </w:rPr>
        <w:t>kulcsfontosságú (</w:t>
      </w:r>
      <w:r w:rsidRPr="002D0731">
        <w:rPr>
          <w:sz w:val="22"/>
          <w:szCs w:val="22"/>
        </w:rPr>
        <w:t>pivotális</w:t>
      </w:r>
      <w:r>
        <w:rPr>
          <w:sz w:val="22"/>
          <w:szCs w:val="22"/>
        </w:rPr>
        <w:t>)</w:t>
      </w:r>
      <w:r w:rsidRPr="002D0731">
        <w:rPr>
          <w:sz w:val="22"/>
          <w:szCs w:val="22"/>
        </w:rPr>
        <w:t xml:space="preserve"> vizsgálatban a teljes, 45 mg</w:t>
      </w:r>
      <w:r w:rsidRPr="002D0731">
        <w:rPr>
          <w:sz w:val="22"/>
          <w:szCs w:val="22"/>
        </w:rPr>
        <w:noBreakHyphen/>
        <w:t>os leuprorelin dózist kapó betegek egy kivételével 4 hét alatt érték el a kasztrációs szintet. A betegek túlnyomó többségénél a tesztoszteronszintek 20 ng/dl alatt voltak, azonban az ilyen alacsony szint előnyeit még nem igazolták. A PSA</w:t>
      </w:r>
      <w:r w:rsidRPr="002D0731">
        <w:rPr>
          <w:sz w:val="22"/>
          <w:szCs w:val="22"/>
        </w:rPr>
        <w:noBreakHyphen/>
        <w:t>szintek 6 hónap alatt 97%</w:t>
      </w:r>
      <w:r w:rsidRPr="002D0731">
        <w:rPr>
          <w:sz w:val="22"/>
          <w:szCs w:val="22"/>
        </w:rPr>
        <w:noBreakHyphen/>
        <w:t xml:space="preserve">kal csökkentek. </w:t>
      </w:r>
    </w:p>
    <w:p w14:paraId="5FF4250B" w14:textId="77777777" w:rsidR="00BC6B81" w:rsidRPr="002D0731" w:rsidRDefault="00BC6B81" w:rsidP="00BC6B81">
      <w:pPr>
        <w:pStyle w:val="WW-Szvegtrzs3"/>
        <w:jc w:val="left"/>
        <w:rPr>
          <w:sz w:val="22"/>
          <w:szCs w:val="22"/>
        </w:rPr>
      </w:pPr>
      <w:r w:rsidRPr="002D0731">
        <w:rPr>
          <w:sz w:val="22"/>
          <w:szCs w:val="22"/>
        </w:rPr>
        <w:t xml:space="preserve">Hosszú időtartamú vizsgálatok azt mutatták, hogy a kezelés folytatásával a tesztoszteronszint 7 évig, és feltehetően korlátlan ideig a kasztrációs szint alatt tartható. </w:t>
      </w:r>
    </w:p>
    <w:p w14:paraId="343E0810" w14:textId="77777777" w:rsidR="00BC6B81" w:rsidRPr="002D0731" w:rsidRDefault="00BC6B81" w:rsidP="00BC6B81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</w:p>
    <w:p w14:paraId="4AC82B53" w14:textId="77777777" w:rsidR="00BC6B81" w:rsidRPr="002D0731" w:rsidRDefault="00BC6B81" w:rsidP="00BC6B81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  <w:r w:rsidRPr="002D0731">
        <w:rPr>
          <w:sz w:val="22"/>
          <w:szCs w:val="22"/>
        </w:rPr>
        <w:t>A klinikai vizsgálati programban a tumor méretét közvetlenül nem mérték, de az Eligard 45 mg kezelés az átlagos PSA 97%</w:t>
      </w:r>
      <w:r w:rsidRPr="002D0731">
        <w:rPr>
          <w:sz w:val="22"/>
          <w:szCs w:val="22"/>
        </w:rPr>
        <w:noBreakHyphen/>
        <w:t>os csökkenése révén indirekt hatékony tumorválaszt jelentett.</w:t>
      </w:r>
    </w:p>
    <w:p w14:paraId="7C32DD00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Egy olyan </w:t>
      </w:r>
      <w:r>
        <w:rPr>
          <w:sz w:val="22"/>
          <w:szCs w:val="22"/>
        </w:rPr>
        <w:t>3</w:t>
      </w:r>
      <w:r w:rsidRPr="002D0731">
        <w:rPr>
          <w:sz w:val="22"/>
          <w:szCs w:val="22"/>
        </w:rPr>
        <w:t>. fázisú, randomizált klinikai vizsgálatban, amelyet 970, lokálisan előrehaladott prosztatarákban szenvedő (főként T2c-T4 és néhány T1c és T2b stádiumú, region</w:t>
      </w:r>
      <w:r>
        <w:rPr>
          <w:sz w:val="22"/>
          <w:szCs w:val="22"/>
        </w:rPr>
        <w:t>á</w:t>
      </w:r>
      <w:r w:rsidRPr="002D0731">
        <w:rPr>
          <w:sz w:val="22"/>
          <w:szCs w:val="22"/>
        </w:rPr>
        <w:t>lisan patológiás nyirokcsomó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elváltozással rendelkező ) beteg részvételével folytattak le, és  akik közül 483 beteg sugárterápiával kombinált rövid távú (6 hónapos) 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szuppressziós kezelést, 487 beteg pedig hosszú távú (3 éves) kezelést kapott, non-inferiority („nem-rosszabb-mint”) elemzéssel összehasonlították a rövid és hosszú távú, egyidejű és adjuváns GnRH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agonistával (triptorelinnel vagy goszerelinnel) végzett hormonkezelést. Az 5 éves összhalálozás</w:t>
      </w:r>
      <w:r>
        <w:rPr>
          <w:sz w:val="22"/>
          <w:szCs w:val="22"/>
        </w:rPr>
        <w:t xml:space="preserve"> </w:t>
      </w:r>
      <w:r w:rsidRPr="005B41E1">
        <w:rPr>
          <w:sz w:val="22"/>
          <w:szCs w:val="22"/>
        </w:rPr>
        <w:t>(</w:t>
      </w:r>
      <w:r w:rsidRPr="00AB47BC">
        <w:rPr>
          <w:i/>
          <w:sz w:val="22"/>
          <w:szCs w:val="22"/>
        </w:rPr>
        <w:t>overall mortality</w:t>
      </w:r>
      <w:r w:rsidRPr="005B41E1">
        <w:rPr>
          <w:sz w:val="22"/>
          <w:szCs w:val="22"/>
        </w:rPr>
        <w:t xml:space="preserve">) </w:t>
      </w:r>
      <w:r w:rsidRPr="002D0731">
        <w:rPr>
          <w:sz w:val="22"/>
          <w:szCs w:val="22"/>
        </w:rPr>
        <w:t>19,0% volt a rövid távú és 15,2% volt a hosszú távú csoportban.</w:t>
      </w:r>
      <w:r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A megfigyelt 1,42 értékű kockázati arány</w:t>
      </w:r>
      <w:r>
        <w:rPr>
          <w:sz w:val="22"/>
          <w:szCs w:val="22"/>
        </w:rPr>
        <w:t xml:space="preserve"> </w:t>
      </w:r>
      <w:r w:rsidRPr="005B41E1">
        <w:rPr>
          <w:sz w:val="22"/>
          <w:szCs w:val="22"/>
        </w:rPr>
        <w:t>(</w:t>
      </w:r>
      <w:r w:rsidRPr="00AB47BC">
        <w:rPr>
          <w:i/>
          <w:sz w:val="22"/>
          <w:szCs w:val="22"/>
        </w:rPr>
        <w:t>Hazard Ratio</w:t>
      </w:r>
      <w:r w:rsidRPr="005B41E1">
        <w:rPr>
          <w:sz w:val="22"/>
          <w:szCs w:val="22"/>
        </w:rPr>
        <w:t>)</w:t>
      </w:r>
      <w:r w:rsidRPr="002D0731">
        <w:rPr>
          <w:sz w:val="22"/>
          <w:szCs w:val="22"/>
        </w:rPr>
        <w:t xml:space="preserve"> mellett a 95,71%-os egyoldali konfidencia intervallum felső határa 1,79</w:t>
      </w:r>
      <w:r>
        <w:rPr>
          <w:sz w:val="22"/>
          <w:szCs w:val="22"/>
        </w:rPr>
        <w:t xml:space="preserve"> volt</w:t>
      </w:r>
      <w:r w:rsidRPr="002D0731">
        <w:rPr>
          <w:sz w:val="22"/>
          <w:szCs w:val="22"/>
        </w:rPr>
        <w:t>; míg 95,71%-os kétoldali konfidencia intervallum esetén 1,09 és 1</w:t>
      </w:r>
      <w:r>
        <w:rPr>
          <w:sz w:val="22"/>
          <w:szCs w:val="22"/>
        </w:rPr>
        <w:t>,</w:t>
      </w:r>
      <w:r w:rsidRPr="002D0731">
        <w:rPr>
          <w:sz w:val="22"/>
          <w:szCs w:val="22"/>
        </w:rPr>
        <w:t>85 volt (non-inferiority p-érték = 0,65), ami azt mutatja, hogy a sugárkezelés és a 6 hónapos 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kombinációja rosszabb túlélést biztosít, mint a sugárkezelés és a 3 éves 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terápia. A kezelés 5. évében mutatott összesített túlélési arány</w:t>
      </w:r>
      <w:r w:rsidRPr="00477CA4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3654E7">
        <w:rPr>
          <w:i/>
          <w:sz w:val="22"/>
          <w:szCs w:val="22"/>
        </w:rPr>
        <w:t>overall survival</w:t>
      </w:r>
      <w:r>
        <w:rPr>
          <w:sz w:val="22"/>
          <w:szCs w:val="22"/>
        </w:rPr>
        <w:t>)</w:t>
      </w:r>
      <w:r w:rsidRPr="002D0731">
        <w:rPr>
          <w:sz w:val="22"/>
          <w:szCs w:val="22"/>
        </w:rPr>
        <w:t xml:space="preserve"> a hosszú távú csoportban 84,8%, a rövid távú csoportban pedig 81,0% volt. A QLQ-C30 alapján megállapított általános életminőség nem mutatott jelentős különbséget a két csoport között (P</w:t>
      </w:r>
      <w:r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=</w:t>
      </w:r>
      <w:r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0,37). Az eredményekben a lokálisan előrehaladott tumorban szenvedő beteg</w:t>
      </w:r>
      <w:r w:rsidRPr="0095106F">
        <w:rPr>
          <w:sz w:val="22"/>
          <w:szCs w:val="22"/>
        </w:rPr>
        <w:t>csoport</w:t>
      </w:r>
      <w:r w:rsidRPr="002D0731">
        <w:rPr>
          <w:sz w:val="22"/>
          <w:szCs w:val="22"/>
        </w:rPr>
        <w:t xml:space="preserve"> a meghatározó.</w:t>
      </w:r>
    </w:p>
    <w:p w14:paraId="46553EA3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magas kockázatú, szervre lokalizált prosztatarák indikációjára vonatkozó evidencia olyan publikált vizsgálatokon alapul, amelyekben sugárterápiával kombinált GnRH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analóg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kezelést folytattak, beleértve a leuprorelin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acetát használatát. Öt publikált vizsgálatból származó klinikai adatok elemzése (EORTC 22863, RTOG 85-31, RTOG 92-02, RTOG 8610, valamint D’Amico et al., JAMA, 2004) egyöntetűen bizonyítja a GnRH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analóg és a sugárterápia kombinációjának előnyét. A publikált vizsgálatokban nem lehetett egyértelműen elkülöníteni a lokálisan előrehaladott prosztatarák és a magas kockázatú, szervre lokalizált prosztatarák indikációjához tartozó betegcsoportokat.</w:t>
      </w:r>
    </w:p>
    <w:p w14:paraId="4F50D3F2" w14:textId="77777777" w:rsidR="00BC6B81" w:rsidRPr="002D0731" w:rsidRDefault="00BC6B81" w:rsidP="00BC6B81">
      <w:pPr>
        <w:rPr>
          <w:sz w:val="22"/>
          <w:szCs w:val="22"/>
        </w:rPr>
      </w:pPr>
    </w:p>
    <w:p w14:paraId="6ADFD7DC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klinikai adatok bizonyítják, hogy a sugárterápia és az azt követő 3 éves 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kombinációja előnyben részesítendő a sugárterápia és az azt követő 6 hónapos 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kombinációjával szemben.</w:t>
      </w:r>
    </w:p>
    <w:p w14:paraId="2868F0CF" w14:textId="77777777" w:rsidR="00BC6B81" w:rsidRPr="002D0731" w:rsidRDefault="00BC6B81" w:rsidP="00BC6B81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  <w:r w:rsidRPr="002D0731">
        <w:rPr>
          <w:sz w:val="22"/>
          <w:szCs w:val="22"/>
        </w:rPr>
        <w:t>A sugárterápiát kapó, T3-T4 stádiumú betegek esetében a szakmai irányelvek szerint az androgén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deprivációs terápia javasolt időtartama 2-3 év.</w:t>
      </w:r>
    </w:p>
    <w:p w14:paraId="5CEAFF9A" w14:textId="77777777" w:rsidR="00BC6B81" w:rsidRPr="002D0731" w:rsidRDefault="00BC6B81" w:rsidP="00BC6B81">
      <w:pPr>
        <w:pStyle w:val="llb"/>
        <w:tabs>
          <w:tab w:val="clear" w:pos="4536"/>
          <w:tab w:val="clear" w:pos="9072"/>
        </w:tabs>
        <w:rPr>
          <w:sz w:val="22"/>
          <w:szCs w:val="22"/>
        </w:rPr>
      </w:pPr>
    </w:p>
    <w:p w14:paraId="3E5C9EF2" w14:textId="77777777" w:rsidR="00BC6B81" w:rsidRPr="002D0731" w:rsidRDefault="00BC6B81" w:rsidP="00BC6B81">
      <w:pPr>
        <w:pStyle w:val="WW-Szvegtrzs212"/>
        <w:suppressAutoHyphens w:val="0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5.2</w:t>
      </w:r>
      <w:r w:rsidRPr="002D0731">
        <w:rPr>
          <w:szCs w:val="22"/>
          <w:lang w:val="hu-HU"/>
        </w:rPr>
        <w:tab/>
        <w:t>Farmakokinetikai tulajdonságok</w:t>
      </w:r>
    </w:p>
    <w:p w14:paraId="024A8841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0059CD08" w14:textId="77777777" w:rsidR="00BC6B8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Felszívódás: Az előrehaladott prosztatakarcinómás betegeknél az átlagos szérum leuprorelinkoncentráció az első injekciót követő 4,4 óra múlva 82 ng/ml (C</w:t>
      </w:r>
      <w:r w:rsidRPr="002D0731">
        <w:rPr>
          <w:sz w:val="22"/>
          <w:szCs w:val="22"/>
          <w:vertAlign w:val="subscript"/>
        </w:rPr>
        <w:t>max</w:t>
      </w:r>
      <w:r w:rsidRPr="002D0731">
        <w:rPr>
          <w:sz w:val="22"/>
          <w:szCs w:val="22"/>
        </w:rPr>
        <w:t xml:space="preserve">) szintre emelkedett. </w:t>
      </w:r>
    </w:p>
    <w:p w14:paraId="101B4DDB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Az egyes injekciók beadását követő kezdeti növekedés után (az egyes dózisokat követően a plató</w:t>
      </w:r>
      <w:r>
        <w:rPr>
          <w:sz w:val="22"/>
          <w:szCs w:val="22"/>
        </w:rPr>
        <w:t xml:space="preserve"> </w:t>
      </w:r>
      <w:r w:rsidRPr="002D0731">
        <w:rPr>
          <w:sz w:val="22"/>
          <w:szCs w:val="22"/>
        </w:rPr>
        <w:t>fázis 3</w:t>
      </w:r>
      <w:r w:rsidRPr="002D0731">
        <w:rPr>
          <w:sz w:val="22"/>
          <w:szCs w:val="22"/>
        </w:rPr>
        <w:noBreakHyphen/>
        <w:t>168 nap a szérumszintek viszonylag állandóak (0,2</w:t>
      </w:r>
      <w:r w:rsidRPr="002D0731">
        <w:rPr>
          <w:sz w:val="22"/>
          <w:szCs w:val="22"/>
        </w:rPr>
        <w:noBreakHyphen/>
        <w:t>2,0 ng/ml) maradtak. Az ismételt adagolás során bekövetkező kumulációra nincs bizonyíték.</w:t>
      </w:r>
    </w:p>
    <w:p w14:paraId="0286798A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7BF14213" w14:textId="77777777" w:rsidR="00BC6B81" w:rsidRPr="002D0731" w:rsidRDefault="00BC6B81" w:rsidP="00BC6B81">
      <w:pPr>
        <w:rPr>
          <w:sz w:val="22"/>
          <w:szCs w:val="22"/>
        </w:rPr>
      </w:pPr>
      <w:r>
        <w:rPr>
          <w:sz w:val="22"/>
          <w:szCs w:val="22"/>
        </w:rPr>
        <w:t>El</w:t>
      </w:r>
      <w:r w:rsidRPr="002D0731">
        <w:rPr>
          <w:sz w:val="22"/>
          <w:szCs w:val="22"/>
        </w:rPr>
        <w:t>oszlás: Egészséges férfi önkénteseknél az intravénás b</w:t>
      </w:r>
      <w:r>
        <w:rPr>
          <w:sz w:val="22"/>
          <w:szCs w:val="22"/>
        </w:rPr>
        <w:t>ó</w:t>
      </w:r>
      <w:r w:rsidRPr="002D0731">
        <w:rPr>
          <w:sz w:val="22"/>
          <w:szCs w:val="22"/>
        </w:rPr>
        <w:t xml:space="preserve">lus adagolás után a leuprorelin átlagos </w:t>
      </w:r>
      <w:r w:rsidRPr="003654E7">
        <w:rPr>
          <w:i/>
          <w:sz w:val="22"/>
          <w:szCs w:val="22"/>
        </w:rPr>
        <w:t>steady</w:t>
      </w:r>
      <w:r w:rsidRPr="003654E7">
        <w:rPr>
          <w:i/>
          <w:sz w:val="22"/>
          <w:szCs w:val="22"/>
        </w:rPr>
        <w:noBreakHyphen/>
        <w:t>state</w:t>
      </w:r>
      <w:r w:rsidRPr="002D0731">
        <w:rPr>
          <w:sz w:val="22"/>
          <w:szCs w:val="22"/>
        </w:rPr>
        <w:t xml:space="preserve"> megoszlási térfogata 27 liter volt. </w:t>
      </w:r>
      <w:r w:rsidRPr="002D0731">
        <w:rPr>
          <w:i/>
          <w:sz w:val="22"/>
          <w:szCs w:val="22"/>
        </w:rPr>
        <w:t>In vitro</w:t>
      </w:r>
      <w:r w:rsidRPr="002D0731">
        <w:rPr>
          <w:sz w:val="22"/>
          <w:szCs w:val="22"/>
        </w:rPr>
        <w:t xml:space="preserve"> a humán plazmafehérje-kötődés 43% és 49% között volt.</w:t>
      </w:r>
    </w:p>
    <w:p w14:paraId="7180D3C7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76497A64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Elimináció: Egészséges férfi önkénteseknél az 1 mg leuprorelin</w:t>
      </w:r>
      <w:r w:rsidRPr="002D0731">
        <w:rPr>
          <w:sz w:val="22"/>
          <w:szCs w:val="22"/>
        </w:rPr>
        <w:noBreakHyphen/>
        <w:t>acetát b</w:t>
      </w:r>
      <w:r>
        <w:rPr>
          <w:sz w:val="22"/>
          <w:szCs w:val="22"/>
        </w:rPr>
        <w:t>ó</w:t>
      </w:r>
      <w:r w:rsidRPr="002D0731">
        <w:rPr>
          <w:sz w:val="22"/>
          <w:szCs w:val="22"/>
        </w:rPr>
        <w:t>lus intravénás adagolása azt mutatta, hogy az átlagos szisztémás clear</w:t>
      </w:r>
      <w:r>
        <w:rPr>
          <w:sz w:val="22"/>
          <w:szCs w:val="22"/>
        </w:rPr>
        <w:t>a</w:t>
      </w:r>
      <w:r w:rsidRPr="002D0731">
        <w:rPr>
          <w:sz w:val="22"/>
          <w:szCs w:val="22"/>
        </w:rPr>
        <w:t>nce 8,34 l/</w:t>
      </w:r>
      <w:r>
        <w:rPr>
          <w:sz w:val="22"/>
          <w:szCs w:val="22"/>
        </w:rPr>
        <w:t>óra</w:t>
      </w:r>
      <w:r w:rsidRPr="002D0731">
        <w:rPr>
          <w:sz w:val="22"/>
          <w:szCs w:val="22"/>
        </w:rPr>
        <w:t xml:space="preserve"> volt, kb. 3 órás terminális felezési idővel, </w:t>
      </w:r>
      <w:r>
        <w:rPr>
          <w:sz w:val="22"/>
          <w:szCs w:val="22"/>
        </w:rPr>
        <w:t xml:space="preserve">a </w:t>
      </w:r>
      <w:r w:rsidRPr="002D0731">
        <w:rPr>
          <w:sz w:val="22"/>
          <w:szCs w:val="22"/>
        </w:rPr>
        <w:t>két kompartmentes modell alapján.</w:t>
      </w:r>
    </w:p>
    <w:p w14:paraId="7BE94D54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40488B39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Az Eligard</w:t>
      </w:r>
      <w:r>
        <w:rPr>
          <w:sz w:val="22"/>
          <w:szCs w:val="22"/>
        </w:rPr>
        <w:t xml:space="preserve"> 45 mg</w:t>
      </w:r>
      <w:r w:rsidRPr="002D0731">
        <w:rPr>
          <w:sz w:val="22"/>
          <w:szCs w:val="22"/>
        </w:rPr>
        <w:t xml:space="preserve"> kiürülésével kapcsolatban nem végeztek vizsgálatokat.</w:t>
      </w:r>
    </w:p>
    <w:p w14:paraId="3A11DF5A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5AB24AC6" w14:textId="77777777" w:rsidR="00BC6B81" w:rsidRPr="002D0731" w:rsidRDefault="00BC6B81" w:rsidP="00BC6B81">
      <w:pPr>
        <w:jc w:val="both"/>
        <w:rPr>
          <w:sz w:val="22"/>
          <w:szCs w:val="22"/>
        </w:rPr>
      </w:pPr>
      <w:r w:rsidRPr="002D0731">
        <w:rPr>
          <w:sz w:val="22"/>
          <w:szCs w:val="22"/>
        </w:rPr>
        <w:t>Az Eligard</w:t>
      </w:r>
      <w:r>
        <w:rPr>
          <w:sz w:val="22"/>
          <w:szCs w:val="22"/>
        </w:rPr>
        <w:t xml:space="preserve"> 45 mg</w:t>
      </w:r>
      <w:r w:rsidRPr="002D0731">
        <w:rPr>
          <w:sz w:val="22"/>
          <w:szCs w:val="22"/>
        </w:rPr>
        <w:noBreakHyphen/>
      </w:r>
      <w:r>
        <w:rPr>
          <w:sz w:val="22"/>
          <w:szCs w:val="22"/>
        </w:rPr>
        <w:t>m</w:t>
      </w:r>
      <w:r w:rsidRPr="002D0731">
        <w:rPr>
          <w:sz w:val="22"/>
          <w:szCs w:val="22"/>
        </w:rPr>
        <w:t>al nem végeztek gyógyszer</w:t>
      </w:r>
      <w:r>
        <w:rPr>
          <w:sz w:val="22"/>
          <w:szCs w:val="22"/>
        </w:rPr>
        <w:noBreakHyphen/>
      </w:r>
      <w:r w:rsidRPr="002D0731">
        <w:rPr>
          <w:sz w:val="22"/>
          <w:szCs w:val="22"/>
        </w:rPr>
        <w:t>metabolizmus vizsgálatot.</w:t>
      </w:r>
    </w:p>
    <w:p w14:paraId="04EB67EC" w14:textId="77777777" w:rsidR="00BC6B81" w:rsidRPr="002D0731" w:rsidRDefault="00BC6B81" w:rsidP="00BC6B81">
      <w:pPr>
        <w:jc w:val="both"/>
        <w:rPr>
          <w:sz w:val="22"/>
          <w:szCs w:val="22"/>
        </w:rPr>
      </w:pPr>
    </w:p>
    <w:p w14:paraId="55FE81FB" w14:textId="77777777" w:rsidR="00BC6B81" w:rsidRPr="002D0731" w:rsidRDefault="00BC6B81" w:rsidP="00BC6B81">
      <w:pPr>
        <w:keepNext/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5.3</w:t>
      </w:r>
      <w:r w:rsidRPr="002D0731">
        <w:rPr>
          <w:b/>
          <w:sz w:val="22"/>
          <w:szCs w:val="22"/>
        </w:rPr>
        <w:tab/>
        <w:t>A preklinikai biztonságossági vizsgálatok eredményei</w:t>
      </w:r>
    </w:p>
    <w:p w14:paraId="1FCD4B55" w14:textId="77777777" w:rsidR="00BC6B81" w:rsidRPr="002D0731" w:rsidRDefault="00BC6B81" w:rsidP="00BC6B81">
      <w:pPr>
        <w:keepNext/>
        <w:rPr>
          <w:sz w:val="22"/>
          <w:szCs w:val="22"/>
        </w:rPr>
      </w:pPr>
    </w:p>
    <w:p w14:paraId="21CFCADB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 leuprorelin</w:t>
      </w:r>
      <w:r w:rsidRPr="002D0731">
        <w:rPr>
          <w:szCs w:val="22"/>
          <w:lang w:val="hu-HU"/>
        </w:rPr>
        <w:noBreakHyphen/>
        <w:t xml:space="preserve">acetáttal végzett preklinikai vizsgálatok 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 xml:space="preserve"> mindkét nemre vonatkozóan 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 xml:space="preserve"> kimutattak reprodukciós rendszerre gyakorolt hatásokat, amelyek megfeleltek a hatóanyag ismert, előre várt farmakológiai tulajdonságainak. Ezek a hatások a kezelés befejezését követően, megfelelő regenerációs időszak után reverzíbilisnek mutatkoztak. A leuprorelin</w:t>
      </w:r>
      <w:r w:rsidRPr="002D0731">
        <w:rPr>
          <w:szCs w:val="22"/>
          <w:lang w:val="hu-HU"/>
        </w:rPr>
        <w:noBreakHyphen/>
        <w:t>acetát nem mutatott teratogenitást. Nyulakon embriotoxicitást/</w:t>
      </w:r>
      <w:r>
        <w:rPr>
          <w:szCs w:val="22"/>
          <w:lang w:val="hu-HU"/>
        </w:rPr>
        <w:noBreakHyphen/>
      </w:r>
      <w:r w:rsidRPr="002D0731">
        <w:rPr>
          <w:szCs w:val="22"/>
          <w:lang w:val="hu-HU"/>
        </w:rPr>
        <w:t>letalitást figyeltek meg a leuprorelin</w:t>
      </w:r>
      <w:r w:rsidRPr="002D0731">
        <w:rPr>
          <w:szCs w:val="22"/>
          <w:lang w:val="hu-HU"/>
        </w:rPr>
        <w:noBreakHyphen/>
        <w:t xml:space="preserve">acetát reproduktív rendszerre gyakorolt farmakológiai hatásai miatt. </w:t>
      </w:r>
    </w:p>
    <w:p w14:paraId="3BA5F845" w14:textId="77777777" w:rsidR="00BC6B81" w:rsidRPr="002D0731" w:rsidRDefault="00BC6B81" w:rsidP="00BC6B81">
      <w:pPr>
        <w:jc w:val="both"/>
        <w:rPr>
          <w:i/>
          <w:color w:val="000000"/>
          <w:sz w:val="22"/>
          <w:szCs w:val="22"/>
          <w:shd w:val="clear" w:color="auto" w:fill="FFFF00"/>
        </w:rPr>
      </w:pPr>
    </w:p>
    <w:p w14:paraId="69323832" w14:textId="77777777" w:rsidR="00BC6B81" w:rsidRPr="002D0731" w:rsidRDefault="00BC6B81" w:rsidP="00BC6B81">
      <w:pPr>
        <w:pStyle w:val="Cmsor3"/>
        <w:rPr>
          <w:sz w:val="22"/>
          <w:szCs w:val="22"/>
          <w:u w:val="none"/>
          <w:lang w:val="hu-HU"/>
        </w:rPr>
      </w:pPr>
      <w:r w:rsidRPr="002D0731">
        <w:rPr>
          <w:sz w:val="22"/>
          <w:szCs w:val="22"/>
          <w:u w:val="none"/>
          <w:lang w:val="hu-HU"/>
        </w:rPr>
        <w:t>Patkányokban és egerekben végeztek karcinogenitási vizsgálatokat 24 hónapon keresztül. Patkányoknál a hipofízis</w:t>
      </w:r>
      <w:r>
        <w:rPr>
          <w:sz w:val="22"/>
          <w:szCs w:val="22"/>
          <w:u w:val="none"/>
          <w:lang w:val="hu-HU"/>
        </w:rPr>
        <w:noBreakHyphen/>
      </w:r>
      <w:r w:rsidRPr="002D0731">
        <w:rPr>
          <w:sz w:val="22"/>
          <w:szCs w:val="22"/>
          <w:u w:val="none"/>
          <w:lang w:val="hu-HU"/>
        </w:rPr>
        <w:t>aden</w:t>
      </w:r>
      <w:r>
        <w:rPr>
          <w:sz w:val="22"/>
          <w:szCs w:val="22"/>
          <w:u w:val="none"/>
          <w:lang w:val="hu-HU"/>
        </w:rPr>
        <w:t>ó</w:t>
      </w:r>
      <w:r w:rsidRPr="002D0731">
        <w:rPr>
          <w:sz w:val="22"/>
          <w:szCs w:val="22"/>
          <w:u w:val="none"/>
          <w:lang w:val="hu-HU"/>
        </w:rPr>
        <w:t>ma előfordulásának dózisfüggő növekedését figyelték meg 0,6</w:t>
      </w:r>
      <w:r w:rsidRPr="002D0731">
        <w:rPr>
          <w:sz w:val="22"/>
          <w:szCs w:val="22"/>
          <w:u w:val="none"/>
          <w:lang w:val="hu-HU"/>
        </w:rPr>
        <w:noBreakHyphen/>
        <w:t>4 mg/ttkg/nap adagnál, szubkután adagolást követően. Egereknél nem figyeltek meg ilyen hatást.</w:t>
      </w:r>
    </w:p>
    <w:p w14:paraId="46A2BACB" w14:textId="77777777" w:rsidR="00BC6B81" w:rsidRPr="002D0731" w:rsidRDefault="00BC6B81" w:rsidP="00BC6B81">
      <w:pPr>
        <w:rPr>
          <w:sz w:val="22"/>
          <w:szCs w:val="22"/>
          <w:shd w:val="clear" w:color="auto" w:fill="FFFF00"/>
        </w:rPr>
      </w:pPr>
    </w:p>
    <w:p w14:paraId="6BE4D569" w14:textId="77777777" w:rsidR="00BC6B81" w:rsidRPr="002D0731" w:rsidRDefault="00BC6B81" w:rsidP="00BC6B81">
      <w:pPr>
        <w:rPr>
          <w:sz w:val="22"/>
          <w:szCs w:val="22"/>
        </w:rPr>
      </w:pPr>
      <w:r w:rsidRPr="002C7E6F">
        <w:rPr>
          <w:sz w:val="22"/>
          <w:szCs w:val="22"/>
        </w:rPr>
        <w:t>A leuprorelin</w:t>
      </w:r>
      <w:r w:rsidRPr="002C7E6F">
        <w:rPr>
          <w:sz w:val="22"/>
          <w:szCs w:val="22"/>
        </w:rPr>
        <w:noBreakHyphen/>
        <w:t>acetáttal és az annak megfelelő egyhónapos adagolású Eligard 7,5 mg</w:t>
      </w:r>
      <w:r w:rsidRPr="002C7E6F">
        <w:rPr>
          <w:sz w:val="22"/>
          <w:szCs w:val="22"/>
        </w:rPr>
        <w:noBreakHyphen/>
        <w:t xml:space="preserve">mal végzett </w:t>
      </w:r>
      <w:r w:rsidRPr="002C7E6F">
        <w:rPr>
          <w:i/>
          <w:iCs/>
          <w:sz w:val="22"/>
          <w:szCs w:val="22"/>
        </w:rPr>
        <w:t>in vitro</w:t>
      </w:r>
      <w:r w:rsidRPr="002C7E6F">
        <w:rPr>
          <w:sz w:val="22"/>
          <w:szCs w:val="22"/>
        </w:rPr>
        <w:t xml:space="preserve"> és </w:t>
      </w:r>
      <w:r w:rsidRPr="002C7E6F">
        <w:rPr>
          <w:i/>
          <w:iCs/>
          <w:sz w:val="22"/>
          <w:szCs w:val="22"/>
        </w:rPr>
        <w:t>in vivo</w:t>
      </w:r>
      <w:r w:rsidRPr="002C7E6F">
        <w:rPr>
          <w:sz w:val="22"/>
          <w:szCs w:val="22"/>
        </w:rPr>
        <w:t xml:space="preserve"> vizsgálatok egyike sem utalt mutagenitásra.</w:t>
      </w:r>
    </w:p>
    <w:p w14:paraId="44DC0AEA" w14:textId="77777777" w:rsidR="00BC6B81" w:rsidRPr="00AF2DCF" w:rsidRDefault="00BC6B81" w:rsidP="00BC6B81">
      <w:pPr>
        <w:pStyle w:val="WW-Szvegtrzs212"/>
        <w:suppressAutoHyphens w:val="0"/>
        <w:spacing w:line="240" w:lineRule="auto"/>
        <w:rPr>
          <w:b w:val="0"/>
          <w:lang w:val="hu-HU"/>
        </w:rPr>
      </w:pPr>
    </w:p>
    <w:p w14:paraId="489B90E5" w14:textId="77777777" w:rsidR="00BC6B81" w:rsidRPr="00AF2DCF" w:rsidRDefault="00BC6B81" w:rsidP="00BC6B81">
      <w:pPr>
        <w:pStyle w:val="WW-Szvegtrzs212"/>
        <w:suppressAutoHyphens w:val="0"/>
        <w:spacing w:line="240" w:lineRule="auto"/>
        <w:rPr>
          <w:b w:val="0"/>
          <w:lang w:val="hu-HU"/>
        </w:rPr>
      </w:pPr>
    </w:p>
    <w:p w14:paraId="13126B86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</w:t>
      </w:r>
      <w:r w:rsidRPr="002D0731">
        <w:rPr>
          <w:b/>
          <w:sz w:val="22"/>
          <w:szCs w:val="22"/>
        </w:rPr>
        <w:tab/>
        <w:t>GYÓGYSZERÉSZETI JELLEMZŐK</w:t>
      </w:r>
    </w:p>
    <w:p w14:paraId="44B3AE59" w14:textId="77777777" w:rsidR="00BC6B81" w:rsidRPr="002D0731" w:rsidRDefault="00BC6B81" w:rsidP="00BC6B81">
      <w:pPr>
        <w:rPr>
          <w:sz w:val="22"/>
          <w:szCs w:val="22"/>
        </w:rPr>
      </w:pPr>
    </w:p>
    <w:p w14:paraId="3C346ECA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6.1</w:t>
      </w:r>
      <w:r w:rsidRPr="002D0731">
        <w:rPr>
          <w:b/>
          <w:sz w:val="22"/>
          <w:szCs w:val="22"/>
        </w:rPr>
        <w:tab/>
        <w:t>Segédanyagok felsorolása</w:t>
      </w:r>
    </w:p>
    <w:p w14:paraId="428B08C9" w14:textId="77777777" w:rsidR="00BC6B81" w:rsidRPr="002D0731" w:rsidRDefault="00BC6B81" w:rsidP="00BC6B81">
      <w:pPr>
        <w:rPr>
          <w:sz w:val="22"/>
          <w:szCs w:val="22"/>
        </w:rPr>
      </w:pPr>
    </w:p>
    <w:p w14:paraId="6ADCD2D8" w14:textId="77777777" w:rsidR="00BC6B81" w:rsidRPr="002D0731" w:rsidRDefault="00BC6B81" w:rsidP="00BC6B81">
      <w:pPr>
        <w:tabs>
          <w:tab w:val="left" w:pos="1440"/>
        </w:tabs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Oldószer („A” fecskendő):</w:t>
      </w:r>
    </w:p>
    <w:p w14:paraId="3491A1C7" w14:textId="77777777" w:rsidR="00BC6B81" w:rsidRPr="002D0731" w:rsidRDefault="00BC6B81" w:rsidP="00BC6B81">
      <w:pPr>
        <w:tabs>
          <w:tab w:val="left" w:pos="1440"/>
        </w:tabs>
        <w:rPr>
          <w:sz w:val="22"/>
          <w:szCs w:val="22"/>
        </w:rPr>
      </w:pPr>
      <w:r w:rsidRPr="002D0731">
        <w:rPr>
          <w:sz w:val="22"/>
          <w:szCs w:val="22"/>
        </w:rPr>
        <w:t>Poli(DL</w:t>
      </w:r>
      <w:r w:rsidRPr="002D0731">
        <w:rPr>
          <w:sz w:val="22"/>
          <w:szCs w:val="22"/>
        </w:rPr>
        <w:noBreakHyphen/>
        <w:t>laktát</w:t>
      </w:r>
      <w:r w:rsidRPr="002D0731">
        <w:rPr>
          <w:sz w:val="22"/>
          <w:szCs w:val="22"/>
        </w:rPr>
        <w:noBreakHyphen/>
        <w:t>ko</w:t>
      </w:r>
      <w:r w:rsidRPr="002D0731">
        <w:rPr>
          <w:sz w:val="22"/>
          <w:szCs w:val="22"/>
        </w:rPr>
        <w:noBreakHyphen/>
        <w:t>glikolsav) (85:15),</w:t>
      </w:r>
    </w:p>
    <w:p w14:paraId="51F82C21" w14:textId="77777777" w:rsidR="00BC6B81" w:rsidRPr="002D0731" w:rsidRDefault="00BC6B81" w:rsidP="00BC6B81">
      <w:pPr>
        <w:tabs>
          <w:tab w:val="left" w:pos="1440"/>
        </w:tabs>
        <w:rPr>
          <w:sz w:val="22"/>
          <w:szCs w:val="22"/>
        </w:rPr>
      </w:pPr>
      <w:r w:rsidRPr="002D0731">
        <w:rPr>
          <w:sz w:val="22"/>
          <w:szCs w:val="22"/>
        </w:rPr>
        <w:t>N-metil-pirrolidon.</w:t>
      </w:r>
    </w:p>
    <w:p w14:paraId="38C1C9DA" w14:textId="77777777" w:rsidR="00BC6B81" w:rsidRPr="002D0731" w:rsidRDefault="00BC6B81" w:rsidP="00BC6B81">
      <w:pPr>
        <w:rPr>
          <w:sz w:val="22"/>
          <w:szCs w:val="22"/>
        </w:rPr>
      </w:pPr>
    </w:p>
    <w:p w14:paraId="7D697E31" w14:textId="77777777" w:rsidR="00BC6B81" w:rsidRPr="002D0731" w:rsidRDefault="00BC6B81" w:rsidP="00BC6B81">
      <w:pPr>
        <w:rPr>
          <w:sz w:val="22"/>
          <w:szCs w:val="22"/>
          <w:u w:val="single"/>
        </w:rPr>
      </w:pPr>
      <w:r w:rsidRPr="002D0731">
        <w:rPr>
          <w:sz w:val="22"/>
          <w:szCs w:val="22"/>
          <w:u w:val="single"/>
        </w:rPr>
        <w:t>Por („B” fecskendő):</w:t>
      </w:r>
    </w:p>
    <w:p w14:paraId="531B2160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Nem tartalmaz segédanyagot.</w:t>
      </w:r>
    </w:p>
    <w:p w14:paraId="52DC3837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</w:p>
    <w:p w14:paraId="656575BD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6.2</w:t>
      </w:r>
      <w:r w:rsidRPr="002D0731">
        <w:rPr>
          <w:b/>
          <w:sz w:val="22"/>
          <w:szCs w:val="22"/>
        </w:rPr>
        <w:tab/>
        <w:t>Inkompatibilitások</w:t>
      </w:r>
    </w:p>
    <w:p w14:paraId="0062B2C0" w14:textId="77777777" w:rsidR="00BC6B81" w:rsidRPr="002D0731" w:rsidRDefault="00BC6B81" w:rsidP="00BC6B81">
      <w:pPr>
        <w:rPr>
          <w:sz w:val="22"/>
          <w:szCs w:val="22"/>
        </w:rPr>
      </w:pPr>
    </w:p>
    <w:p w14:paraId="6570101E" w14:textId="77777777" w:rsidR="00BC6B81" w:rsidRPr="002D0731" w:rsidRDefault="00BC6B81" w:rsidP="00BC6B81">
      <w:pPr>
        <w:pStyle w:val="Szvegtrzs"/>
        <w:suppressAutoHyphens w:val="0"/>
        <w:rPr>
          <w:szCs w:val="22"/>
          <w:lang w:val="hu-HU"/>
        </w:rPr>
      </w:pPr>
      <w:r w:rsidRPr="002D0731">
        <w:rPr>
          <w:szCs w:val="22"/>
          <w:lang w:val="hu-HU"/>
        </w:rPr>
        <w:t>A „B” fecskendőben található leuprorelint kizárólag az „A” fecskendőben lévő oldószerrel szabad összekeverni és tilos egyéb gyógyszerrel elegyíteni.</w:t>
      </w:r>
    </w:p>
    <w:p w14:paraId="17273AB9" w14:textId="77777777" w:rsidR="00BC6B81" w:rsidRPr="002D0731" w:rsidRDefault="00BC6B81" w:rsidP="00BC6B81">
      <w:pPr>
        <w:rPr>
          <w:sz w:val="22"/>
          <w:szCs w:val="22"/>
        </w:rPr>
      </w:pPr>
    </w:p>
    <w:p w14:paraId="57049BAE" w14:textId="77777777" w:rsidR="00BC6B81" w:rsidRPr="002D0731" w:rsidRDefault="00BC6B81" w:rsidP="00BC6B81">
      <w:pPr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6.3</w:t>
      </w:r>
      <w:r w:rsidRPr="002D0731">
        <w:rPr>
          <w:b/>
          <w:sz w:val="22"/>
          <w:szCs w:val="22"/>
        </w:rPr>
        <w:tab/>
        <w:t>Felhasználhatósági időtartam</w:t>
      </w:r>
    </w:p>
    <w:p w14:paraId="66D53F32" w14:textId="77777777" w:rsidR="00BC6B81" w:rsidRPr="002D0731" w:rsidRDefault="00BC6B81" w:rsidP="00BC6B81">
      <w:pPr>
        <w:rPr>
          <w:sz w:val="22"/>
          <w:szCs w:val="22"/>
        </w:rPr>
      </w:pPr>
    </w:p>
    <w:p w14:paraId="1DE64AF7" w14:textId="77777777" w:rsidR="00BC6B8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2 év.</w:t>
      </w:r>
    </w:p>
    <w:p w14:paraId="26D6AB7E" w14:textId="77777777" w:rsidR="00BC6B81" w:rsidRPr="002D0731" w:rsidRDefault="00BC6B81" w:rsidP="00BC6B81">
      <w:pPr>
        <w:rPr>
          <w:sz w:val="22"/>
          <w:szCs w:val="22"/>
        </w:rPr>
      </w:pPr>
    </w:p>
    <w:p w14:paraId="147DB860" w14:textId="22E9FCA0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lastRenderedPageBreak/>
        <w:t>Amennyiben a készítményt kivették</w:t>
      </w:r>
      <w:r>
        <w:rPr>
          <w:sz w:val="22"/>
          <w:szCs w:val="22"/>
        </w:rPr>
        <w:t xml:space="preserve"> a</w:t>
      </w:r>
      <w:r w:rsidRPr="002D0731">
        <w:rPr>
          <w:sz w:val="22"/>
          <w:szCs w:val="22"/>
        </w:rPr>
        <w:t xml:space="preserve"> hűtőszekrényből, úgy eredeti csomagolásban, szobahőmérsékleten (25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 alatt), legfeljebb négy hétig tárolható.</w:t>
      </w:r>
    </w:p>
    <w:p w14:paraId="3616E5CF" w14:textId="77777777" w:rsidR="00BC6B81" w:rsidRPr="002D0731" w:rsidRDefault="00BC6B81" w:rsidP="00BC6B81">
      <w:pPr>
        <w:rPr>
          <w:sz w:val="22"/>
          <w:szCs w:val="22"/>
        </w:rPr>
      </w:pPr>
    </w:p>
    <w:p w14:paraId="277B131D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 tálca felbontása után az oldatos injekcióhoz való por és oldószer felhasználásával az oldatos injekciót azonnal el kell készíteni és be kell adni a betegnek. </w:t>
      </w:r>
    </w:p>
    <w:p w14:paraId="3798FC01" w14:textId="77777777" w:rsidR="00BC6B81" w:rsidRPr="002D0731" w:rsidRDefault="00BC6B81" w:rsidP="00BC6B81">
      <w:pPr>
        <w:rPr>
          <w:sz w:val="22"/>
          <w:szCs w:val="22"/>
        </w:rPr>
      </w:pPr>
    </w:p>
    <w:p w14:paraId="03087C3F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 xml:space="preserve">Az elkészített oldatot: azonnal fel kell használni, az oldat viszkozitása az idő múlásával megnövekszik. </w:t>
      </w:r>
    </w:p>
    <w:p w14:paraId="7793341B" w14:textId="77777777" w:rsidR="00BC6B81" w:rsidRPr="002D0731" w:rsidRDefault="00BC6B81" w:rsidP="00BC6B81">
      <w:pPr>
        <w:rPr>
          <w:sz w:val="22"/>
          <w:szCs w:val="22"/>
        </w:rPr>
      </w:pPr>
    </w:p>
    <w:p w14:paraId="6542EAFE" w14:textId="77777777" w:rsidR="00BC6B81" w:rsidRPr="002D0731" w:rsidRDefault="00BC6B81" w:rsidP="00BC6B81">
      <w:pPr>
        <w:keepNext/>
        <w:ind w:left="567" w:hanging="567"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6.4</w:t>
      </w:r>
      <w:r w:rsidRPr="002D0731">
        <w:rPr>
          <w:b/>
          <w:sz w:val="22"/>
          <w:szCs w:val="22"/>
        </w:rPr>
        <w:tab/>
        <w:t>Különleges tárolási előírások</w:t>
      </w:r>
    </w:p>
    <w:p w14:paraId="533DF481" w14:textId="77777777" w:rsidR="00BC6B81" w:rsidRPr="002D0731" w:rsidRDefault="00BC6B81" w:rsidP="00BC6B81">
      <w:pPr>
        <w:keepNext/>
        <w:rPr>
          <w:i/>
          <w:sz w:val="22"/>
          <w:szCs w:val="22"/>
        </w:rPr>
      </w:pPr>
    </w:p>
    <w:p w14:paraId="0AD9D7BA" w14:textId="1B4E3C6A" w:rsidR="00BC6B81" w:rsidRPr="002D0731" w:rsidRDefault="00BC6B81" w:rsidP="00BC6B81">
      <w:pPr>
        <w:keepNext/>
        <w:rPr>
          <w:sz w:val="22"/>
          <w:szCs w:val="22"/>
        </w:rPr>
      </w:pPr>
      <w:r w:rsidRPr="002D0731">
        <w:rPr>
          <w:sz w:val="22"/>
          <w:szCs w:val="22"/>
        </w:rPr>
        <w:t>Hűtőszekrényben (2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 – 8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°C), a nedvességtől való védelem érdekében az eredeti csomagolásban tárolandó.</w:t>
      </w:r>
    </w:p>
    <w:p w14:paraId="6235AC65" w14:textId="23706E33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Az injekció beadása előtt a készítménynek szobahőmérsékletűnek kell lennie. 30 perccel a felhasználás előtt vegyük ki a hűtőszekrényből. Hűtőszekrényen kívül a készítmény eredeti csomagolásban, szobahőmérsékleten (25</w:t>
      </w:r>
      <w:r w:rsidR="009514D4">
        <w:rPr>
          <w:sz w:val="22"/>
          <w:szCs w:val="22"/>
        </w:rPr>
        <w:t> </w:t>
      </w:r>
      <w:r w:rsidRPr="002D0731">
        <w:rPr>
          <w:sz w:val="22"/>
          <w:szCs w:val="22"/>
        </w:rPr>
        <w:t>°C alatt) legfeljebb négy hétig tárolható.</w:t>
      </w:r>
    </w:p>
    <w:p w14:paraId="402396E0" w14:textId="77777777" w:rsidR="00BC6B81" w:rsidRPr="00AF2DCF" w:rsidRDefault="00BC6B81" w:rsidP="00BC6B81">
      <w:pPr>
        <w:ind w:left="567" w:hanging="567"/>
        <w:rPr>
          <w:sz w:val="22"/>
        </w:rPr>
      </w:pPr>
    </w:p>
    <w:p w14:paraId="305FF6B4" w14:textId="77777777" w:rsidR="00BC6B81" w:rsidRPr="002D0731" w:rsidRDefault="00BC6B81" w:rsidP="00BC6B81">
      <w:pPr>
        <w:keepNext/>
        <w:rPr>
          <w:b/>
          <w:sz w:val="22"/>
          <w:szCs w:val="22"/>
        </w:rPr>
      </w:pPr>
      <w:r w:rsidRPr="002D0731">
        <w:rPr>
          <w:b/>
          <w:sz w:val="22"/>
          <w:szCs w:val="22"/>
        </w:rPr>
        <w:t>6.5</w:t>
      </w:r>
      <w:r w:rsidRPr="002D0731">
        <w:rPr>
          <w:b/>
          <w:sz w:val="22"/>
          <w:szCs w:val="22"/>
        </w:rPr>
        <w:tab/>
        <w:t>Csomagolás típusa és kiszerelése</w:t>
      </w:r>
    </w:p>
    <w:p w14:paraId="6C881D5F" w14:textId="77777777" w:rsidR="00BC6B81" w:rsidRPr="002D0731" w:rsidRDefault="00BC6B81" w:rsidP="00BC6B81">
      <w:pPr>
        <w:pStyle w:val="Vgjegyzetszvege"/>
        <w:keepNext/>
        <w:tabs>
          <w:tab w:val="clear" w:pos="567"/>
        </w:tabs>
        <w:rPr>
          <w:szCs w:val="22"/>
          <w:lang w:val="hu-HU"/>
        </w:rPr>
      </w:pPr>
    </w:p>
    <w:p w14:paraId="3CDBB861" w14:textId="77777777" w:rsidR="00BC6B81" w:rsidRPr="00BC6562" w:rsidRDefault="00BC6B81" w:rsidP="00BC6B81">
      <w:pPr>
        <w:rPr>
          <w:sz w:val="22"/>
          <w:szCs w:val="22"/>
        </w:rPr>
      </w:pPr>
      <w:r>
        <w:rPr>
          <w:sz w:val="22"/>
          <w:szCs w:val="22"/>
        </w:rPr>
        <w:t>Egy előre összeszerelt fecskendőrendszer</w:t>
      </w:r>
      <w:r w:rsidRPr="00BC6562">
        <w:rPr>
          <w:sz w:val="22"/>
          <w:szCs w:val="22"/>
        </w:rPr>
        <w:t>, amely a követkető elemekből áll:</w:t>
      </w:r>
    </w:p>
    <w:p w14:paraId="543D263F" w14:textId="77777777" w:rsidR="00BC6B81" w:rsidRPr="001C1243" w:rsidRDefault="00BC6B81" w:rsidP="00BC6B81">
      <w:pPr>
        <w:pStyle w:val="Listaszerbekezds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egy előretöltött, port tartalmazó,</w:t>
      </w:r>
      <w:r w:rsidRPr="00E87BCD">
        <w:rPr>
          <w:sz w:val="22"/>
          <w:szCs w:val="22"/>
        </w:rPr>
        <w:t xml:space="preserve"> ciklikus olefin kopolimer</w:t>
      </w:r>
      <w:r>
        <w:rPr>
          <w:sz w:val="22"/>
          <w:szCs w:val="22"/>
        </w:rPr>
        <w:t>ből készült</w:t>
      </w:r>
      <w:r w:rsidRPr="00E87BCD">
        <w:rPr>
          <w:sz w:val="22"/>
          <w:szCs w:val="22"/>
        </w:rPr>
        <w:t xml:space="preserve"> </w:t>
      </w:r>
      <w:r w:rsidRPr="001C1243">
        <w:rPr>
          <w:sz w:val="22"/>
          <w:szCs w:val="22"/>
        </w:rPr>
        <w:t>fecskendő („</w:t>
      </w:r>
      <w:r>
        <w:rPr>
          <w:sz w:val="22"/>
          <w:szCs w:val="22"/>
        </w:rPr>
        <w:t>B</w:t>
      </w:r>
      <w:r w:rsidRPr="001A0396">
        <w:rPr>
          <w:sz w:val="22"/>
        </w:rPr>
        <w:t>” fecskendő</w:t>
      </w:r>
      <w:r w:rsidRPr="001C1243">
        <w:rPr>
          <w:sz w:val="22"/>
          <w:szCs w:val="22"/>
        </w:rPr>
        <w:t>)</w:t>
      </w:r>
    </w:p>
    <w:p w14:paraId="48F123E4" w14:textId="77777777" w:rsidR="00BC6B81" w:rsidRPr="001C1243" w:rsidRDefault="00BC6B81" w:rsidP="00BC6B81">
      <w:pPr>
        <w:pStyle w:val="Listaszerbekezds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egy </w:t>
      </w:r>
      <w:r w:rsidRPr="001C1243">
        <w:rPr>
          <w:sz w:val="22"/>
          <w:szCs w:val="22"/>
        </w:rPr>
        <w:t>előretöltött</w:t>
      </w:r>
      <w:r>
        <w:rPr>
          <w:sz w:val="22"/>
          <w:szCs w:val="22"/>
        </w:rPr>
        <w:t>, oldószert tartalmazó,</w:t>
      </w:r>
      <w:r w:rsidRPr="001C1243">
        <w:rPr>
          <w:sz w:val="22"/>
          <w:szCs w:val="22"/>
        </w:rPr>
        <w:t xml:space="preserve"> </w:t>
      </w:r>
      <w:r w:rsidRPr="00E87BCD">
        <w:rPr>
          <w:sz w:val="22"/>
          <w:szCs w:val="22"/>
        </w:rPr>
        <w:t xml:space="preserve">polipropilén </w:t>
      </w:r>
      <w:r w:rsidRPr="001C1243">
        <w:rPr>
          <w:sz w:val="22"/>
          <w:szCs w:val="22"/>
        </w:rPr>
        <w:t>fecskendő („</w:t>
      </w:r>
      <w:r>
        <w:rPr>
          <w:sz w:val="22"/>
          <w:szCs w:val="22"/>
        </w:rPr>
        <w:t>A</w:t>
      </w:r>
      <w:r w:rsidRPr="001C1243">
        <w:rPr>
          <w:sz w:val="22"/>
          <w:szCs w:val="22"/>
        </w:rPr>
        <w:t>” fecskendő)</w:t>
      </w:r>
    </w:p>
    <w:p w14:paraId="65FAB5F8" w14:textId="77777777" w:rsidR="00BC6B81" w:rsidRPr="00567DA4" w:rsidRDefault="00BC6B81" w:rsidP="00BC6B81">
      <w:pPr>
        <w:pStyle w:val="Listaszerbekezds"/>
        <w:numPr>
          <w:ilvl w:val="0"/>
          <w:numId w:val="18"/>
        </w:numPr>
        <w:rPr>
          <w:sz w:val="22"/>
          <w:szCs w:val="22"/>
        </w:rPr>
      </w:pPr>
      <w:r w:rsidRPr="001C1243">
        <w:rPr>
          <w:sz w:val="22"/>
          <w:szCs w:val="22"/>
        </w:rPr>
        <w:t xml:space="preserve">„A” és a „B” fecskendő </w:t>
      </w:r>
      <w:r>
        <w:rPr>
          <w:sz w:val="22"/>
          <w:szCs w:val="22"/>
        </w:rPr>
        <w:t xml:space="preserve">között elhelyezkedő </w:t>
      </w:r>
      <w:r w:rsidRPr="001C1243">
        <w:rPr>
          <w:sz w:val="22"/>
          <w:szCs w:val="22"/>
        </w:rPr>
        <w:t>reteszgombos csatlakoztató egység</w:t>
      </w:r>
      <w:r w:rsidRPr="00567DA4">
        <w:rPr>
          <w:sz w:val="22"/>
          <w:szCs w:val="22"/>
        </w:rPr>
        <w:t>.</w:t>
      </w:r>
    </w:p>
    <w:p w14:paraId="5E23EA9F" w14:textId="77777777" w:rsidR="00BC6B81" w:rsidRDefault="00BC6B81" w:rsidP="00BC6B81">
      <w:pPr>
        <w:rPr>
          <w:sz w:val="22"/>
          <w:szCs w:val="22"/>
        </w:rPr>
      </w:pPr>
    </w:p>
    <w:p w14:paraId="22ECB572" w14:textId="77777777" w:rsidR="00BC6B81" w:rsidRPr="00D17972" w:rsidRDefault="00BC6B81" w:rsidP="00BC6B81">
      <w:pPr>
        <w:rPr>
          <w:sz w:val="22"/>
          <w:szCs w:val="22"/>
        </w:rPr>
      </w:pPr>
      <w:r w:rsidRPr="00D17972">
        <w:rPr>
          <w:sz w:val="22"/>
          <w:szCs w:val="22"/>
        </w:rPr>
        <w:t xml:space="preserve">Az </w:t>
      </w:r>
      <w:r w:rsidRPr="001A0396">
        <w:rPr>
          <w:sz w:val="22"/>
        </w:rPr>
        <w:t>„A” fecskendő</w:t>
      </w:r>
      <w:r w:rsidRPr="00D17972">
        <w:rPr>
          <w:sz w:val="22"/>
          <w:szCs w:val="22"/>
        </w:rPr>
        <w:t xml:space="preserve">ben lévő dugattyú termoplasztikus (hőre </w:t>
      </w:r>
      <w:r>
        <w:rPr>
          <w:sz w:val="22"/>
          <w:szCs w:val="22"/>
        </w:rPr>
        <w:t>lágyuló</w:t>
      </w:r>
      <w:r w:rsidRPr="00D17972">
        <w:rPr>
          <w:sz w:val="22"/>
          <w:szCs w:val="22"/>
        </w:rPr>
        <w:t>) gumi</w:t>
      </w:r>
      <w:r>
        <w:rPr>
          <w:sz w:val="22"/>
          <w:szCs w:val="22"/>
        </w:rPr>
        <w:t>ból készült</w:t>
      </w:r>
      <w:r w:rsidRPr="00D17972">
        <w:rPr>
          <w:sz w:val="22"/>
          <w:szCs w:val="22"/>
        </w:rPr>
        <w:t>.</w:t>
      </w:r>
    </w:p>
    <w:p w14:paraId="6DF9AE87" w14:textId="77777777" w:rsidR="00BC6B81" w:rsidRDefault="00BC6B81" w:rsidP="00BC6B81">
      <w:pPr>
        <w:rPr>
          <w:sz w:val="22"/>
          <w:szCs w:val="22"/>
        </w:rPr>
      </w:pPr>
      <w:r w:rsidRPr="00D17972">
        <w:rPr>
          <w:sz w:val="22"/>
          <w:szCs w:val="22"/>
        </w:rPr>
        <w:t xml:space="preserve">A </w:t>
      </w:r>
      <w:r w:rsidRPr="001A0396">
        <w:rPr>
          <w:sz w:val="22"/>
        </w:rPr>
        <w:t xml:space="preserve">„B” </w:t>
      </w:r>
      <w:r w:rsidRPr="001C1243">
        <w:rPr>
          <w:sz w:val="22"/>
          <w:szCs w:val="22"/>
        </w:rPr>
        <w:t>fecskendő</w:t>
      </w:r>
      <w:r>
        <w:rPr>
          <w:sz w:val="22"/>
          <w:szCs w:val="22"/>
        </w:rPr>
        <w:t>ben lévő dugattyú</w:t>
      </w:r>
      <w:r w:rsidRPr="00D17972">
        <w:rPr>
          <w:sz w:val="22"/>
          <w:szCs w:val="22"/>
        </w:rPr>
        <w:t xml:space="preserve"> </w:t>
      </w:r>
      <w:r>
        <w:rPr>
          <w:sz w:val="22"/>
          <w:szCs w:val="22"/>
        </w:rPr>
        <w:t>klórbutil gumiból készült.</w:t>
      </w:r>
    </w:p>
    <w:p w14:paraId="1EA96243" w14:textId="77777777" w:rsidR="00BC6B81" w:rsidRPr="005B41E1" w:rsidRDefault="00BC6B81" w:rsidP="00BC6B81">
      <w:pPr>
        <w:rPr>
          <w:sz w:val="22"/>
          <w:szCs w:val="22"/>
        </w:rPr>
      </w:pPr>
    </w:p>
    <w:p w14:paraId="632B697F" w14:textId="77777777" w:rsidR="00BC6B81" w:rsidRPr="005B41E1" w:rsidRDefault="00BC6B81" w:rsidP="00BC6B81">
      <w:pPr>
        <w:rPr>
          <w:sz w:val="22"/>
          <w:szCs w:val="22"/>
        </w:rPr>
      </w:pPr>
      <w:r w:rsidRPr="005B41E1">
        <w:rPr>
          <w:sz w:val="22"/>
          <w:szCs w:val="22"/>
        </w:rPr>
        <w:t>Kiszerelések:</w:t>
      </w:r>
    </w:p>
    <w:p w14:paraId="137B2014" w14:textId="77777777" w:rsidR="00BC6B81" w:rsidRPr="005B41E1" w:rsidRDefault="00BC6B81" w:rsidP="00BC6B81">
      <w:pPr>
        <w:rPr>
          <w:sz w:val="22"/>
          <w:szCs w:val="22"/>
        </w:rPr>
      </w:pPr>
    </w:p>
    <w:p w14:paraId="758A6B2A" w14:textId="77777777" w:rsidR="00BC6B81" w:rsidRPr="005B41E1" w:rsidRDefault="00BC6B81" w:rsidP="00BC6B81">
      <w:pPr>
        <w:numPr>
          <w:ilvl w:val="0"/>
          <w:numId w:val="4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5B41E1">
        <w:rPr>
          <w:sz w:val="22"/>
          <w:szCs w:val="22"/>
        </w:rPr>
        <w:t>Hőformált tálcá</w:t>
      </w:r>
      <w:r>
        <w:rPr>
          <w:sz w:val="22"/>
          <w:szCs w:val="22"/>
        </w:rPr>
        <w:t>t</w:t>
      </w:r>
      <w:r w:rsidRPr="005B41E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és egy 18G-s steril tűt </w:t>
      </w:r>
      <w:r w:rsidRPr="005B41E1">
        <w:rPr>
          <w:sz w:val="22"/>
          <w:szCs w:val="22"/>
        </w:rPr>
        <w:t>tartalmaz</w:t>
      </w:r>
      <w:r>
        <w:rPr>
          <w:sz w:val="22"/>
          <w:szCs w:val="22"/>
        </w:rPr>
        <w:t>ó készlet</w:t>
      </w:r>
      <w:r w:rsidRPr="005B41E1">
        <w:rPr>
          <w:sz w:val="22"/>
          <w:szCs w:val="22"/>
        </w:rPr>
        <w:t xml:space="preserve"> kartondobozban. A tálca egy előre</w:t>
      </w:r>
      <w:r>
        <w:rPr>
          <w:sz w:val="22"/>
          <w:szCs w:val="22"/>
        </w:rPr>
        <w:t xml:space="preserve"> összeszerelt </w:t>
      </w:r>
      <w:r w:rsidRPr="005B41E1">
        <w:rPr>
          <w:sz w:val="22"/>
          <w:szCs w:val="22"/>
        </w:rPr>
        <w:t>fecskendő</w:t>
      </w:r>
      <w:r>
        <w:rPr>
          <w:sz w:val="22"/>
          <w:szCs w:val="22"/>
        </w:rPr>
        <w:t>rendszer</w:t>
      </w:r>
      <w:r w:rsidRPr="005B41E1">
        <w:rPr>
          <w:sz w:val="22"/>
          <w:szCs w:val="22"/>
        </w:rPr>
        <w:t>t és egy nedvességmegkötő tasakot tartalmaz.</w:t>
      </w:r>
    </w:p>
    <w:p w14:paraId="5A3E2A89" w14:textId="77777777" w:rsidR="00BC6B81" w:rsidRPr="005B41E1" w:rsidRDefault="00BC6B81" w:rsidP="00BC6B81">
      <w:pPr>
        <w:tabs>
          <w:tab w:val="num" w:pos="567"/>
        </w:tabs>
        <w:ind w:left="567" w:hanging="567"/>
        <w:rPr>
          <w:sz w:val="22"/>
          <w:szCs w:val="22"/>
        </w:rPr>
      </w:pPr>
    </w:p>
    <w:p w14:paraId="1DF2A269" w14:textId="77777777" w:rsidR="00BC6B81" w:rsidRPr="005B41E1" w:rsidRDefault="00BC6B81" w:rsidP="00BC6B81">
      <w:pPr>
        <w:numPr>
          <w:ilvl w:val="0"/>
          <w:numId w:val="4"/>
        </w:numPr>
        <w:tabs>
          <w:tab w:val="clear" w:pos="720"/>
          <w:tab w:val="num" w:pos="567"/>
        </w:tabs>
        <w:suppressAutoHyphens w:val="0"/>
        <w:ind w:left="567" w:hanging="567"/>
        <w:rPr>
          <w:sz w:val="22"/>
          <w:szCs w:val="22"/>
        </w:rPr>
      </w:pPr>
      <w:r w:rsidRPr="005B41E1">
        <w:rPr>
          <w:sz w:val="22"/>
          <w:szCs w:val="22"/>
        </w:rPr>
        <w:t xml:space="preserve">Gyűjtőcsomagolás, amely </w:t>
      </w:r>
      <w:r>
        <w:rPr>
          <w:sz w:val="22"/>
          <w:szCs w:val="22"/>
        </w:rPr>
        <w:t>2 db,</w:t>
      </w:r>
      <w:r w:rsidRPr="005B41E1">
        <w:rPr>
          <w:sz w:val="22"/>
          <w:szCs w:val="22"/>
        </w:rPr>
        <w:t xml:space="preserve"> előre</w:t>
      </w:r>
      <w:r>
        <w:rPr>
          <w:sz w:val="22"/>
          <w:szCs w:val="22"/>
        </w:rPr>
        <w:t xml:space="preserve"> összeszerelt</w:t>
      </w:r>
      <w:r w:rsidRPr="005B41E1">
        <w:rPr>
          <w:sz w:val="22"/>
          <w:szCs w:val="22"/>
        </w:rPr>
        <w:t xml:space="preserve"> fecskendő</w:t>
      </w:r>
      <w:r>
        <w:rPr>
          <w:sz w:val="22"/>
          <w:szCs w:val="22"/>
        </w:rPr>
        <w:t>rendszer</w:t>
      </w:r>
      <w:r w:rsidRPr="005B41E1">
        <w:rPr>
          <w:sz w:val="22"/>
          <w:szCs w:val="22"/>
        </w:rPr>
        <w:t>t tartalmaz</w:t>
      </w:r>
      <w:r>
        <w:rPr>
          <w:sz w:val="22"/>
          <w:szCs w:val="22"/>
        </w:rPr>
        <w:t>ó készletet tartalmaz</w:t>
      </w:r>
      <w:r w:rsidRPr="005B41E1">
        <w:rPr>
          <w:sz w:val="22"/>
          <w:szCs w:val="22"/>
        </w:rPr>
        <w:t>.</w:t>
      </w:r>
    </w:p>
    <w:p w14:paraId="004D6B6B" w14:textId="77777777" w:rsidR="00BC6B81" w:rsidRPr="002D0731" w:rsidRDefault="00BC6B81" w:rsidP="00BC6B81">
      <w:pPr>
        <w:suppressAutoHyphens w:val="0"/>
        <w:rPr>
          <w:sz w:val="22"/>
          <w:szCs w:val="22"/>
        </w:rPr>
      </w:pPr>
    </w:p>
    <w:p w14:paraId="351E901C" w14:textId="77777777" w:rsidR="00BC6B81" w:rsidRPr="002D0731" w:rsidRDefault="00BC6B81" w:rsidP="00BC6B81">
      <w:pPr>
        <w:pStyle w:val="Szvegtrzs"/>
        <w:rPr>
          <w:szCs w:val="22"/>
          <w:lang w:val="hu-HU"/>
        </w:rPr>
      </w:pPr>
      <w:r w:rsidRPr="002D0731">
        <w:rPr>
          <w:szCs w:val="22"/>
          <w:lang w:val="hu-HU"/>
        </w:rPr>
        <w:t>Nem feltétlenül mindegyik kiszerelés kerül kereskedelmi forgalomba.</w:t>
      </w:r>
    </w:p>
    <w:p w14:paraId="708B4A67" w14:textId="77777777" w:rsidR="00BC6B81" w:rsidRPr="002D0731" w:rsidRDefault="00BC6B81" w:rsidP="00BC6B81">
      <w:pPr>
        <w:pStyle w:val="Szvegtrzs"/>
        <w:rPr>
          <w:szCs w:val="22"/>
          <w:lang w:val="hu-HU"/>
        </w:rPr>
      </w:pPr>
    </w:p>
    <w:p w14:paraId="2AB23D8B" w14:textId="77777777" w:rsidR="00BC6B81" w:rsidRPr="002D0731" w:rsidRDefault="00BC6B81" w:rsidP="00BC6B81">
      <w:pPr>
        <w:pStyle w:val="WW-Szvegtrzs212"/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6.6</w:t>
      </w:r>
      <w:r w:rsidRPr="002D0731">
        <w:rPr>
          <w:szCs w:val="22"/>
          <w:lang w:val="hu-HU"/>
        </w:rPr>
        <w:tab/>
      </w:r>
      <w:r w:rsidRPr="002D0731">
        <w:rPr>
          <w:noProof/>
          <w:szCs w:val="22"/>
          <w:lang w:val="hu-HU"/>
        </w:rPr>
        <w:t>A megsemmisítésre vonatkozó különleges óvintézkedések és egyéb, a készítmény kezelésével kapcsolatos információk</w:t>
      </w:r>
    </w:p>
    <w:p w14:paraId="12EFB52C" w14:textId="77777777" w:rsidR="00BC6B81" w:rsidRPr="002D0731" w:rsidRDefault="00BC6B81" w:rsidP="00BC6B81">
      <w:pPr>
        <w:rPr>
          <w:sz w:val="22"/>
          <w:szCs w:val="22"/>
        </w:rPr>
      </w:pPr>
    </w:p>
    <w:p w14:paraId="11060AE4" w14:textId="77777777" w:rsidR="00BC6B81" w:rsidRPr="005B41E1" w:rsidRDefault="00BC6B81" w:rsidP="00BC6B81">
      <w:pPr>
        <w:rPr>
          <w:b/>
          <w:sz w:val="22"/>
          <w:szCs w:val="22"/>
        </w:rPr>
      </w:pPr>
      <w:r w:rsidRPr="005B41E1">
        <w:rPr>
          <w:b/>
          <w:sz w:val="22"/>
          <w:szCs w:val="22"/>
        </w:rPr>
        <w:t>Hagyja, hogy a készítmény szobahőmérsékletűre melegedjen!</w:t>
      </w:r>
      <w:r w:rsidRPr="005B41E1">
        <w:rPr>
          <w:sz w:val="22"/>
          <w:szCs w:val="22"/>
        </w:rPr>
        <w:t xml:space="preserve"> </w:t>
      </w:r>
      <w:r w:rsidRPr="005B41E1">
        <w:rPr>
          <w:b/>
          <w:sz w:val="22"/>
          <w:szCs w:val="22"/>
        </w:rPr>
        <w:t>Felhasználás előtt 30 perccel vegye ki a hűtőszekrényből!</w:t>
      </w:r>
    </w:p>
    <w:p w14:paraId="2FDC7F42" w14:textId="77777777" w:rsidR="00BC6B81" w:rsidRPr="005B41E1" w:rsidRDefault="00BC6B81" w:rsidP="00BC6B81">
      <w:pPr>
        <w:rPr>
          <w:b/>
          <w:sz w:val="22"/>
          <w:szCs w:val="22"/>
        </w:rPr>
      </w:pPr>
      <w:r w:rsidRPr="005B41E1">
        <w:rPr>
          <w:b/>
          <w:sz w:val="22"/>
          <w:szCs w:val="22"/>
        </w:rPr>
        <w:t>Kérjük, először a beteget készítse elő az injekció beadásához, ezután az alábbi utasítás szerint készítse el a készítményt. Amennyiben a termék elkészítése nem a megfelelő technikával történik, nem szabad beadni, mivel előfordulhat, hogy a klinikai hatás elmarad a termék nem megfelelő feloldása miatt.</w:t>
      </w:r>
    </w:p>
    <w:p w14:paraId="390AC3D2" w14:textId="77777777" w:rsidR="00BC6B81" w:rsidRPr="001A0396" w:rsidRDefault="00BC6B81" w:rsidP="00BC6B81">
      <w:pPr>
        <w:rPr>
          <w:b/>
          <w:sz w:val="22"/>
        </w:rPr>
      </w:pPr>
    </w:p>
    <w:p w14:paraId="6D0715A5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b/>
          <w:sz w:val="22"/>
          <w:szCs w:val="22"/>
        </w:rPr>
        <w:t xml:space="preserve">1. lépés: </w:t>
      </w:r>
      <w:r w:rsidRPr="00431E2B">
        <w:rPr>
          <w:sz w:val="22"/>
          <w:szCs w:val="22"/>
        </w:rPr>
        <w:t>Egy tiszta felület</w:t>
      </w:r>
      <w:r w:rsidRPr="0088172A">
        <w:rPr>
          <w:sz w:val="22"/>
          <w:szCs w:val="22"/>
        </w:rPr>
        <w:t xml:space="preserve">re helyezve, </w:t>
      </w:r>
      <w:r w:rsidRPr="00431E2B">
        <w:rPr>
          <w:sz w:val="22"/>
          <w:szCs w:val="22"/>
        </w:rPr>
        <w:t>nyissa ki a tálcát úgy</w:t>
      </w:r>
      <w:r w:rsidRPr="0088172A">
        <w:rPr>
          <w:sz w:val="22"/>
          <w:szCs w:val="22"/>
        </w:rPr>
        <w:t>,</w:t>
      </w:r>
      <w:r w:rsidRPr="00431E2B">
        <w:rPr>
          <w:sz w:val="22"/>
          <w:szCs w:val="22"/>
        </w:rPr>
        <w:t xml:space="preserve"> hogy a sarkánál </w:t>
      </w:r>
      <w:r w:rsidRPr="0088172A">
        <w:rPr>
          <w:sz w:val="22"/>
          <w:szCs w:val="22"/>
        </w:rPr>
        <w:t>fogva tépje le a fóliát, majd vegye ki a</w:t>
      </w:r>
      <w:r w:rsidRPr="00431E2B">
        <w:rPr>
          <w:sz w:val="22"/>
          <w:szCs w:val="22"/>
        </w:rPr>
        <w:t>nnak</w:t>
      </w:r>
      <w:r w:rsidRPr="0088172A">
        <w:rPr>
          <w:sz w:val="22"/>
          <w:szCs w:val="22"/>
        </w:rPr>
        <w:t xml:space="preserve"> tartalmát</w:t>
      </w:r>
      <w:r w:rsidRPr="00431E2B">
        <w:rPr>
          <w:sz w:val="22"/>
          <w:szCs w:val="22"/>
        </w:rPr>
        <w:t xml:space="preserve">. Dobja ki a nedvességet megkötő anyagot tartalmazó tasakot. Vegye ki a tálcából az előre összeszerelt fecskendőrendszert (1.1 ábra). Nyissa fel a biztonsági tű csomagolását (1.2 ábra) a papír fedél eltávolításával. </w:t>
      </w:r>
      <w:r w:rsidRPr="00431E2B">
        <w:rPr>
          <w:b/>
          <w:bCs/>
          <w:sz w:val="22"/>
          <w:szCs w:val="22"/>
        </w:rPr>
        <w:t>Megjegyzés:</w:t>
      </w:r>
      <w:r w:rsidRPr="00431E2B">
        <w:rPr>
          <w:sz w:val="22"/>
          <w:szCs w:val="22"/>
        </w:rPr>
        <w:t xml:space="preserve"> Az „A” és a „B” fecskendőnek még nem kell egy vonalban állnia.</w:t>
      </w:r>
    </w:p>
    <w:p w14:paraId="43D64A49" w14:textId="77777777" w:rsidR="00BC6B81" w:rsidRPr="00431E2B" w:rsidRDefault="00BC6B81" w:rsidP="00BC6B81">
      <w:pPr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815"/>
        <w:gridCol w:w="4240"/>
      </w:tblGrid>
      <w:tr w:rsidR="00BC6B81" w:rsidRPr="00983662" w14:paraId="5944630C" w14:textId="77777777" w:rsidTr="006128D3">
        <w:tc>
          <w:tcPr>
            <w:tcW w:w="4815" w:type="dxa"/>
            <w:tcBorders>
              <w:bottom w:val="nil"/>
              <w:right w:val="single" w:sz="4" w:space="0" w:color="auto"/>
            </w:tcBorders>
          </w:tcPr>
          <w:p w14:paraId="0EECA95D" w14:textId="77777777" w:rsidR="00BC6B81" w:rsidRPr="00431E2B" w:rsidRDefault="00BC6B81" w:rsidP="006128D3">
            <w:pPr>
              <w:rPr>
                <w:noProof/>
                <w:color w:val="000000"/>
                <w:sz w:val="22"/>
                <w:szCs w:val="22"/>
              </w:rPr>
            </w:pPr>
            <w:r w:rsidRPr="00431E2B">
              <w:rPr>
                <w:b/>
                <w:bCs/>
                <w:noProof/>
                <w:color w:val="000000"/>
                <w:sz w:val="22"/>
                <w:szCs w:val="22"/>
              </w:rPr>
              <w:t>1.1 ábra</w:t>
            </w:r>
          </w:p>
          <w:p w14:paraId="282A1C45" w14:textId="77777777" w:rsidR="00BC6B81" w:rsidRPr="00431E2B" w:rsidRDefault="00BC6B81" w:rsidP="006128D3">
            <w:pPr>
              <w:rPr>
                <w:noProof/>
                <w:color w:val="000000"/>
                <w:sz w:val="22"/>
                <w:szCs w:val="22"/>
              </w:rPr>
            </w:pPr>
            <w:r w:rsidRPr="00431E2B">
              <w:rPr>
                <w:noProof/>
                <w:color w:val="000000"/>
                <w:sz w:val="22"/>
                <w:szCs w:val="22"/>
              </w:rPr>
              <w:t>A tálca tartalma: előre összeszerelt fecskendőrendszer</w:t>
            </w:r>
          </w:p>
        </w:tc>
        <w:tc>
          <w:tcPr>
            <w:tcW w:w="424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28B417B" w14:textId="77777777" w:rsidR="00BC6B81" w:rsidRPr="00431E2B" w:rsidRDefault="00BC6B81" w:rsidP="006128D3">
            <w:pPr>
              <w:rPr>
                <w:noProof/>
                <w:color w:val="000000"/>
                <w:sz w:val="22"/>
                <w:szCs w:val="22"/>
              </w:rPr>
            </w:pPr>
            <w:r w:rsidRPr="00431E2B">
              <w:rPr>
                <w:b/>
                <w:bCs/>
                <w:noProof/>
                <w:color w:val="000000"/>
                <w:sz w:val="22"/>
                <w:szCs w:val="22"/>
              </w:rPr>
              <w:t>1.2 ábra</w:t>
            </w:r>
            <w:r w:rsidRPr="00431E2B">
              <w:rPr>
                <w:noProof/>
                <w:color w:val="000000"/>
                <w:sz w:val="22"/>
                <w:szCs w:val="22"/>
              </w:rPr>
              <w:t xml:space="preserve"> </w:t>
            </w:r>
          </w:p>
          <w:p w14:paraId="635BF149" w14:textId="77777777" w:rsidR="00BC6B81" w:rsidRPr="00431E2B" w:rsidRDefault="00BC6B81" w:rsidP="006128D3">
            <w:pPr>
              <w:rPr>
                <w:noProof/>
                <w:color w:val="000000"/>
                <w:sz w:val="22"/>
                <w:szCs w:val="22"/>
              </w:rPr>
            </w:pPr>
            <w:r w:rsidRPr="00431E2B">
              <w:rPr>
                <w:noProof/>
                <w:color w:val="000000"/>
                <w:sz w:val="22"/>
                <w:szCs w:val="22"/>
              </w:rPr>
              <w:t>A tálca alatt: biztonsági tű és védőpajzs.</w:t>
            </w:r>
          </w:p>
        </w:tc>
      </w:tr>
      <w:tr w:rsidR="00BC6B81" w:rsidRPr="001B0E99" w14:paraId="43C8E25F" w14:textId="77777777" w:rsidTr="006128D3">
        <w:trPr>
          <w:trHeight w:val="204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A1EC" w14:textId="77777777" w:rsidR="00BC6B81" w:rsidRPr="001B0E99" w:rsidRDefault="00BC6B81" w:rsidP="006128D3">
            <w:pPr>
              <w:jc w:val="center"/>
              <w:rPr>
                <w:noProof/>
                <w:color w:val="000000"/>
                <w:szCs w:val="22"/>
              </w:rPr>
            </w:pPr>
            <w:r>
              <w:rPr>
                <w:noProof/>
                <w:color w:val="000000"/>
                <w:szCs w:val="22"/>
                <w:lang w:eastAsia="hu-HU"/>
              </w:rPr>
              <w:lastRenderedPageBreak/>
              <w:drawing>
                <wp:inline distT="0" distB="0" distL="0" distR="0" wp14:anchorId="4200E1C5" wp14:editId="36E22BB1">
                  <wp:extent cx="2819400" cy="1095375"/>
                  <wp:effectExtent l="0" t="0" r="0" b="9525"/>
                  <wp:docPr id="49" name="Kép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88970E" w14:textId="77777777" w:rsidR="00BC6B81" w:rsidRPr="001B0E99" w:rsidRDefault="00BC6B81" w:rsidP="006128D3">
            <w:pPr>
              <w:rPr>
                <w:noProof/>
                <w:color w:val="000000"/>
                <w:szCs w:val="22"/>
              </w:rPr>
            </w:pP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B007" w14:textId="77777777" w:rsidR="00BC6B81" w:rsidRPr="001B0E99" w:rsidRDefault="00BC6B81" w:rsidP="006128D3">
            <w:pPr>
              <w:jc w:val="center"/>
              <w:rPr>
                <w:noProof/>
                <w:color w:val="000000"/>
                <w:szCs w:val="22"/>
              </w:rPr>
            </w:pPr>
            <w:r>
              <w:rPr>
                <w:noProof/>
                <w:color w:val="000000"/>
                <w:szCs w:val="22"/>
                <w:lang w:eastAsia="hu-HU"/>
              </w:rPr>
              <w:drawing>
                <wp:inline distT="0" distB="0" distL="0" distR="0" wp14:anchorId="1DB2F913" wp14:editId="760A0439">
                  <wp:extent cx="1419225" cy="828675"/>
                  <wp:effectExtent l="0" t="0" r="9525" b="9525"/>
                  <wp:docPr id="50" name="Kép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A12A96" w14:textId="77777777" w:rsidR="00BC6B81" w:rsidRPr="001B0E99" w:rsidRDefault="00BC6B81" w:rsidP="00BC6B81">
      <w:pPr>
        <w:rPr>
          <w:b/>
          <w:szCs w:val="22"/>
        </w:rPr>
      </w:pPr>
    </w:p>
    <w:p w14:paraId="1DEB6854" w14:textId="77777777" w:rsidR="00BC6B81" w:rsidRPr="00431E2B" w:rsidRDefault="00BC6B81" w:rsidP="00BC6B81">
      <w:pPr>
        <w:rPr>
          <w:noProof/>
          <w:sz w:val="22"/>
          <w:szCs w:val="22"/>
        </w:rPr>
      </w:pPr>
      <w:r w:rsidRPr="00431E2B">
        <w:rPr>
          <w:b/>
          <w:sz w:val="22"/>
          <w:szCs w:val="22"/>
        </w:rPr>
        <w:t xml:space="preserve">2. lépés: </w:t>
      </w:r>
      <w:r w:rsidRPr="00431E2B">
        <w:rPr>
          <w:bCs/>
          <w:sz w:val="22"/>
          <w:szCs w:val="22"/>
        </w:rPr>
        <w:t xml:space="preserve">Helyezze a hüvelyk- és mutatóujja közé a csatlakozó egység </w:t>
      </w:r>
      <w:r w:rsidRPr="00174CC8">
        <w:rPr>
          <w:bCs/>
          <w:sz w:val="22"/>
          <w:szCs w:val="22"/>
        </w:rPr>
        <w:t>reteszgomb</w:t>
      </w:r>
      <w:r>
        <w:rPr>
          <w:bCs/>
          <w:sz w:val="22"/>
          <w:szCs w:val="22"/>
        </w:rPr>
        <w:t>ját</w:t>
      </w:r>
      <w:r w:rsidRPr="00431E2B">
        <w:rPr>
          <w:bCs/>
          <w:sz w:val="22"/>
          <w:szCs w:val="22"/>
        </w:rPr>
        <w:t>, majd nyomja össze</w:t>
      </w:r>
      <w:r>
        <w:rPr>
          <w:bCs/>
          <w:sz w:val="22"/>
          <w:szCs w:val="22"/>
        </w:rPr>
        <w:t xml:space="preserve"> </w:t>
      </w:r>
      <w:r w:rsidRPr="007D61A1">
        <w:rPr>
          <w:bCs/>
          <w:sz w:val="22"/>
          <w:szCs w:val="22"/>
        </w:rPr>
        <w:t>(2. ábra)</w:t>
      </w:r>
      <w:r w:rsidRPr="00431E2B">
        <w:rPr>
          <w:bCs/>
          <w:sz w:val="22"/>
          <w:szCs w:val="22"/>
        </w:rPr>
        <w:t>, amíg egy kattanó hangot nem hall.</w:t>
      </w:r>
      <w:r>
        <w:rPr>
          <w:bCs/>
          <w:sz w:val="22"/>
          <w:szCs w:val="22"/>
        </w:rPr>
        <w:t xml:space="preserve"> A két fecskendő ezzel egy vonalba kerül.</w:t>
      </w:r>
      <w:r w:rsidRPr="00431E2B">
        <w:rPr>
          <w:bCs/>
          <w:sz w:val="22"/>
          <w:szCs w:val="22"/>
        </w:rPr>
        <w:t xml:space="preserve"> A csatlakozó aktiválásához </w:t>
      </w:r>
      <w:r>
        <w:rPr>
          <w:bCs/>
          <w:sz w:val="22"/>
          <w:szCs w:val="22"/>
        </w:rPr>
        <w:t>mindegy, hogy milyen irányban tartja a fecskendőrendszert</w:t>
      </w:r>
      <w:r w:rsidRPr="00431E2B">
        <w:rPr>
          <w:bCs/>
          <w:sz w:val="22"/>
          <w:szCs w:val="22"/>
        </w:rPr>
        <w:t>. Ne hajlítsa meg a fecskendőrendszert (kérjük</w:t>
      </w:r>
      <w:r w:rsidRPr="0088172A">
        <w:rPr>
          <w:bCs/>
          <w:sz w:val="22"/>
          <w:szCs w:val="22"/>
        </w:rPr>
        <w:t>,</w:t>
      </w:r>
      <w:r w:rsidRPr="00431E2B">
        <w:rPr>
          <w:bCs/>
          <w:sz w:val="22"/>
          <w:szCs w:val="22"/>
        </w:rPr>
        <w:t xml:space="preserve"> vegye figyelembe, hogy emiatt előfordulhat, hogy a fecskendők kissé kicsavarodnak</w:t>
      </w:r>
      <w:r>
        <w:rPr>
          <w:bCs/>
          <w:sz w:val="22"/>
          <w:szCs w:val="22"/>
        </w:rPr>
        <w:t xml:space="preserve"> a helyükről</w:t>
      </w:r>
      <w:r w:rsidRPr="00431E2B">
        <w:rPr>
          <w:bCs/>
          <w:sz w:val="22"/>
          <w:szCs w:val="22"/>
        </w:rPr>
        <w:t>, ami szivárgást okozhat).</w:t>
      </w:r>
    </w:p>
    <w:p w14:paraId="6B0E1BF4" w14:textId="77777777" w:rsidR="00BC6B81" w:rsidRPr="00431E2B" w:rsidRDefault="00BC6B81" w:rsidP="00BC6B81">
      <w:pPr>
        <w:rPr>
          <w:noProof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176"/>
      </w:tblGrid>
      <w:tr w:rsidR="00BC6B81" w:rsidRPr="00F26808" w14:paraId="744036D5" w14:textId="77777777" w:rsidTr="006128D3">
        <w:trPr>
          <w:cantSplit/>
        </w:trPr>
        <w:tc>
          <w:tcPr>
            <w:tcW w:w="3823" w:type="dxa"/>
            <w:tcBorders>
              <w:bottom w:val="nil"/>
            </w:tcBorders>
            <w:vAlign w:val="center"/>
          </w:tcPr>
          <w:p w14:paraId="17535DBF" w14:textId="77777777" w:rsidR="00BC6B81" w:rsidRPr="00431E2B" w:rsidRDefault="00BC6B81" w:rsidP="006128D3">
            <w:pPr>
              <w:spacing w:before="120" w:after="120"/>
              <w:rPr>
                <w:b/>
                <w:bCs/>
                <w:sz w:val="22"/>
                <w:szCs w:val="22"/>
                <w:lang w:eastAsia="nl-NL"/>
              </w:rPr>
            </w:pPr>
            <w:r w:rsidRPr="00431E2B">
              <w:rPr>
                <w:b/>
                <w:bCs/>
                <w:sz w:val="22"/>
                <w:szCs w:val="22"/>
                <w:lang w:eastAsia="nl-NL"/>
              </w:rPr>
              <w:t>2. ábra</w:t>
            </w:r>
          </w:p>
        </w:tc>
      </w:tr>
      <w:tr w:rsidR="00BC6B81" w:rsidRPr="00F26808" w14:paraId="24BCA9BF" w14:textId="77777777" w:rsidTr="006128D3">
        <w:trPr>
          <w:cantSplit/>
          <w:trHeight w:val="3058"/>
        </w:trPr>
        <w:tc>
          <w:tcPr>
            <w:tcW w:w="3823" w:type="dxa"/>
            <w:tcBorders>
              <w:top w:val="nil"/>
            </w:tcBorders>
            <w:vAlign w:val="center"/>
          </w:tcPr>
          <w:p w14:paraId="5E849066" w14:textId="77777777" w:rsidR="00BC6B81" w:rsidRPr="00431E2B" w:rsidRDefault="00BC6B81" w:rsidP="006128D3">
            <w:pPr>
              <w:jc w:val="center"/>
              <w:rPr>
                <w:sz w:val="22"/>
                <w:szCs w:val="22"/>
                <w:lang w:eastAsia="nl-NL"/>
              </w:rPr>
            </w:pPr>
          </w:p>
          <w:p w14:paraId="1EA47F2F" w14:textId="77777777" w:rsidR="00BC6B81" w:rsidRDefault="00BC6B81" w:rsidP="006128D3">
            <w:pPr>
              <w:rPr>
                <w:sz w:val="22"/>
                <w:szCs w:val="22"/>
                <w:lang w:eastAsia="nl-NL"/>
              </w:rPr>
            </w:pPr>
            <w:r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7950F2FE" wp14:editId="3186F6E1">
                  <wp:extent cx="2505075" cy="1847850"/>
                  <wp:effectExtent l="0" t="0" r="9525" b="0"/>
                  <wp:docPr id="51" name="Kép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AFF7A8" w14:textId="77777777" w:rsidR="00BC6B81" w:rsidRPr="00431E2B" w:rsidRDefault="00BC6B81" w:rsidP="006128D3">
            <w:pPr>
              <w:rPr>
                <w:sz w:val="22"/>
                <w:szCs w:val="22"/>
                <w:lang w:eastAsia="nl-NL"/>
              </w:rPr>
            </w:pPr>
          </w:p>
        </w:tc>
      </w:tr>
    </w:tbl>
    <w:p w14:paraId="74C8C353" w14:textId="77777777" w:rsidR="00BC6B81" w:rsidRPr="00431E2B" w:rsidRDefault="00BC6B81" w:rsidP="00BC6B81">
      <w:pPr>
        <w:rPr>
          <w:sz w:val="22"/>
          <w:szCs w:val="22"/>
        </w:rPr>
      </w:pPr>
    </w:p>
    <w:p w14:paraId="54FA372B" w14:textId="77777777" w:rsidR="00BC6B81" w:rsidRPr="00431E2B" w:rsidRDefault="00BC6B81" w:rsidP="00BC6B81">
      <w:pPr>
        <w:rPr>
          <w:color w:val="000000"/>
          <w:sz w:val="22"/>
          <w:szCs w:val="22"/>
        </w:rPr>
      </w:pPr>
      <w:r w:rsidRPr="00431E2B">
        <w:rPr>
          <w:b/>
          <w:sz w:val="22"/>
          <w:szCs w:val="22"/>
        </w:rPr>
        <w:t>3. lépés:</w:t>
      </w:r>
      <w:r w:rsidRPr="00431E2B">
        <w:rPr>
          <w:sz w:val="22"/>
          <w:szCs w:val="22"/>
        </w:rPr>
        <w:t xml:space="preserve"> A fecskendőket vízszintes helyzetben tartva juttassa át az „A” fecskendő folyadék tartalmát a leuprorelin-acetát poranyagot tartalmazó „B” fecskendőbe. Alaposan keverje össze a </w:t>
      </w:r>
      <w:r w:rsidRPr="00B52366">
        <w:rPr>
          <w:sz w:val="22"/>
          <w:szCs w:val="22"/>
        </w:rPr>
        <w:t>készítményt</w:t>
      </w:r>
      <w:r w:rsidRPr="00431E2B">
        <w:rPr>
          <w:sz w:val="22"/>
          <w:szCs w:val="22"/>
        </w:rPr>
        <w:t xml:space="preserve"> úgy</w:t>
      </w:r>
      <w:r w:rsidRPr="00B52366">
        <w:rPr>
          <w:sz w:val="22"/>
          <w:szCs w:val="22"/>
        </w:rPr>
        <w:t>,</w:t>
      </w:r>
      <w:r w:rsidRPr="00431E2B">
        <w:rPr>
          <w:sz w:val="22"/>
          <w:szCs w:val="22"/>
        </w:rPr>
        <w:t xml:space="preserve"> hogy 60</w:t>
      </w:r>
      <w:r w:rsidRPr="00B52366">
        <w:rPr>
          <w:sz w:val="22"/>
          <w:szCs w:val="22"/>
        </w:rPr>
        <w:t>-szor óvatosan oda-vissza átnyom</w:t>
      </w:r>
      <w:r w:rsidRPr="00431E2B">
        <w:rPr>
          <w:sz w:val="22"/>
          <w:szCs w:val="22"/>
        </w:rPr>
        <w:t>ja</w:t>
      </w:r>
      <w:r w:rsidRPr="00B52366">
        <w:rPr>
          <w:sz w:val="22"/>
          <w:szCs w:val="22"/>
        </w:rPr>
        <w:t xml:space="preserve"> a</w:t>
      </w:r>
      <w:r w:rsidRPr="00431E2B">
        <w:rPr>
          <w:sz w:val="22"/>
          <w:szCs w:val="22"/>
        </w:rPr>
        <w:t>z egyik fecskendő tartalmát a másikba,</w:t>
      </w:r>
      <w:r w:rsidRPr="00B52366">
        <w:rPr>
          <w:sz w:val="22"/>
          <w:szCs w:val="22"/>
        </w:rPr>
        <w:t xml:space="preserve"> </w:t>
      </w:r>
      <w:r w:rsidRPr="00431E2B">
        <w:rPr>
          <w:sz w:val="22"/>
          <w:szCs w:val="22"/>
        </w:rPr>
        <w:t>vízszintesen tartva azokat (az „A” fecskendő dugattyújának, majd a „B” fecskendő dugattyújának megnyomása számít egy körnek), ahhoz, hogy egy homogén, viszkózus oldatot kapjon (3. ábra). Ne hajlítsa meg a fecskendőrendszert (kérjük, vegye figyelembe, hogy emiatt előfordulhat, hogy a fecskendők kissé kicsavarodnak a helyükről, ami szivárgást okozhat).</w:t>
      </w:r>
    </w:p>
    <w:p w14:paraId="1E235BBE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66"/>
      </w:tblGrid>
      <w:tr w:rsidR="00BC6B81" w:rsidRPr="00F26808" w14:paraId="40B37679" w14:textId="77777777" w:rsidTr="006128D3">
        <w:trPr>
          <w:cantSplit/>
        </w:trPr>
        <w:tc>
          <w:tcPr>
            <w:tcW w:w="3397" w:type="dxa"/>
            <w:tcBorders>
              <w:bottom w:val="nil"/>
            </w:tcBorders>
          </w:tcPr>
          <w:p w14:paraId="4D8349CF" w14:textId="77777777" w:rsidR="00BC6B81" w:rsidRPr="00431E2B" w:rsidRDefault="00BC6B81" w:rsidP="006128D3">
            <w:pPr>
              <w:spacing w:before="120" w:after="120"/>
              <w:rPr>
                <w:b/>
                <w:bCs/>
                <w:sz w:val="22"/>
                <w:szCs w:val="22"/>
                <w:lang w:eastAsia="nl-NL"/>
              </w:rPr>
            </w:pPr>
            <w:r w:rsidRPr="00431E2B">
              <w:rPr>
                <w:b/>
                <w:bCs/>
                <w:sz w:val="22"/>
                <w:szCs w:val="22"/>
                <w:lang w:eastAsia="nl-NL"/>
              </w:rPr>
              <w:t>3. ábra</w:t>
            </w:r>
          </w:p>
        </w:tc>
      </w:tr>
      <w:tr w:rsidR="00BC6B81" w:rsidRPr="00F26808" w14:paraId="576911AD" w14:textId="77777777" w:rsidTr="006128D3">
        <w:trPr>
          <w:cantSplit/>
          <w:trHeight w:val="3464"/>
        </w:trPr>
        <w:tc>
          <w:tcPr>
            <w:tcW w:w="3397" w:type="dxa"/>
            <w:tcBorders>
              <w:top w:val="nil"/>
            </w:tcBorders>
            <w:vAlign w:val="center"/>
          </w:tcPr>
          <w:p w14:paraId="3FD4C57E" w14:textId="77777777" w:rsidR="00BC6B81" w:rsidRPr="00431E2B" w:rsidRDefault="00BC6B81" w:rsidP="006128D3">
            <w:pPr>
              <w:jc w:val="center"/>
              <w:rPr>
                <w:sz w:val="22"/>
                <w:szCs w:val="22"/>
                <w:lang w:eastAsia="nl-NL"/>
              </w:rPr>
            </w:pPr>
            <w:r>
              <w:rPr>
                <w:noProof/>
                <w:sz w:val="22"/>
                <w:szCs w:val="22"/>
                <w:lang w:eastAsia="hu-HU"/>
              </w:rPr>
              <w:lastRenderedPageBreak/>
              <w:drawing>
                <wp:inline distT="0" distB="0" distL="0" distR="0" wp14:anchorId="21B9F247" wp14:editId="75904DC7">
                  <wp:extent cx="2571750" cy="3067050"/>
                  <wp:effectExtent l="0" t="0" r="0" b="0"/>
                  <wp:docPr id="52" name="Kép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A93BD4" w14:textId="77777777" w:rsidR="00BC6B81" w:rsidRPr="00431E2B" w:rsidRDefault="00BC6B81" w:rsidP="006128D3">
            <w:pPr>
              <w:rPr>
                <w:sz w:val="22"/>
                <w:szCs w:val="22"/>
                <w:lang w:eastAsia="nl-NL"/>
              </w:rPr>
            </w:pPr>
          </w:p>
        </w:tc>
      </w:tr>
    </w:tbl>
    <w:p w14:paraId="74D7F5A2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p w14:paraId="1BF73540" w14:textId="77777777" w:rsidR="00BC6B81" w:rsidRPr="00431E2B" w:rsidRDefault="00BC6B81" w:rsidP="00BC6B81">
      <w:pPr>
        <w:tabs>
          <w:tab w:val="left" w:pos="5580"/>
        </w:tabs>
        <w:rPr>
          <w:b/>
          <w:bCs/>
          <w:color w:val="000000"/>
          <w:sz w:val="22"/>
          <w:szCs w:val="22"/>
        </w:rPr>
      </w:pPr>
      <w:r w:rsidRPr="00431E2B">
        <w:rPr>
          <w:b/>
          <w:bCs/>
          <w:color w:val="000000"/>
          <w:sz w:val="22"/>
          <w:szCs w:val="22"/>
        </w:rPr>
        <w:t>Alapos összekeverés</w:t>
      </w:r>
      <w:r>
        <w:rPr>
          <w:b/>
          <w:bCs/>
          <w:color w:val="000000"/>
          <w:sz w:val="22"/>
          <w:szCs w:val="22"/>
        </w:rPr>
        <w:t xml:space="preserve"> után</w:t>
      </w:r>
      <w:r w:rsidRPr="00431E2B">
        <w:rPr>
          <w:b/>
          <w:bCs/>
          <w:color w:val="000000"/>
          <w:sz w:val="22"/>
          <w:szCs w:val="22"/>
        </w:rPr>
        <w:t xml:space="preserve"> a viszkózus oldat színe a színtelentől a fehéren át a halványbarnáig terjedő tartományba eshet (beleértve a fehér és a halványsárga árnyalatokat is).</w:t>
      </w:r>
    </w:p>
    <w:p w14:paraId="75C29337" w14:textId="77777777" w:rsidR="00BC6B81" w:rsidRPr="00431E2B" w:rsidRDefault="00BC6B81" w:rsidP="00BC6B81">
      <w:pPr>
        <w:tabs>
          <w:tab w:val="left" w:pos="5580"/>
        </w:tabs>
        <w:rPr>
          <w:bCs/>
          <w:color w:val="000000"/>
          <w:sz w:val="22"/>
          <w:szCs w:val="22"/>
        </w:rPr>
      </w:pPr>
    </w:p>
    <w:p w14:paraId="4496A34F" w14:textId="77777777" w:rsidR="00BC6B81" w:rsidRPr="00431E2B" w:rsidRDefault="00BC6B81" w:rsidP="00BC6B81">
      <w:pPr>
        <w:tabs>
          <w:tab w:val="left" w:pos="5580"/>
        </w:tabs>
        <w:rPr>
          <w:b/>
          <w:bCs/>
          <w:color w:val="000000"/>
          <w:sz w:val="22"/>
          <w:szCs w:val="22"/>
        </w:rPr>
      </w:pPr>
      <w:r w:rsidRPr="00431E2B">
        <w:rPr>
          <w:b/>
          <w:bCs/>
          <w:color w:val="000000"/>
          <w:sz w:val="22"/>
          <w:szCs w:val="22"/>
        </w:rPr>
        <w:t xml:space="preserve">Fontos: Keverés után azonnal folytassa a következő lépéssel, mivel a </w:t>
      </w:r>
      <w:r>
        <w:rPr>
          <w:b/>
          <w:bCs/>
          <w:color w:val="000000"/>
          <w:sz w:val="22"/>
          <w:szCs w:val="22"/>
        </w:rPr>
        <w:t>készítmény</w:t>
      </w:r>
      <w:r w:rsidRPr="00431E2B">
        <w:rPr>
          <w:b/>
          <w:bCs/>
          <w:color w:val="000000"/>
          <w:sz w:val="22"/>
          <w:szCs w:val="22"/>
        </w:rPr>
        <w:t xml:space="preserve"> idővel </w:t>
      </w:r>
      <w:r>
        <w:rPr>
          <w:b/>
          <w:bCs/>
          <w:color w:val="000000"/>
          <w:sz w:val="22"/>
          <w:szCs w:val="22"/>
        </w:rPr>
        <w:t xml:space="preserve">egyre </w:t>
      </w:r>
      <w:r w:rsidRPr="00431E2B">
        <w:rPr>
          <w:b/>
          <w:bCs/>
          <w:color w:val="000000"/>
          <w:sz w:val="22"/>
          <w:szCs w:val="22"/>
        </w:rPr>
        <w:t xml:space="preserve">viszkózusabbá válik. Az összekevert </w:t>
      </w:r>
      <w:r>
        <w:rPr>
          <w:b/>
          <w:bCs/>
          <w:color w:val="000000"/>
          <w:sz w:val="22"/>
          <w:szCs w:val="22"/>
        </w:rPr>
        <w:t>készítményt</w:t>
      </w:r>
      <w:r w:rsidRPr="00431E2B">
        <w:rPr>
          <w:b/>
          <w:bCs/>
          <w:color w:val="000000"/>
          <w:sz w:val="22"/>
          <w:szCs w:val="22"/>
        </w:rPr>
        <w:t xml:space="preserve"> ne </w:t>
      </w:r>
      <w:r>
        <w:rPr>
          <w:b/>
          <w:bCs/>
          <w:color w:val="000000"/>
          <w:sz w:val="22"/>
          <w:szCs w:val="22"/>
        </w:rPr>
        <w:t>tárolja hűtőszekrényben!</w:t>
      </w:r>
    </w:p>
    <w:p w14:paraId="6203F121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p w14:paraId="4C465A40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  <w:r w:rsidRPr="00431E2B">
        <w:rPr>
          <w:color w:val="000000"/>
          <w:sz w:val="22"/>
          <w:szCs w:val="22"/>
        </w:rPr>
        <w:t xml:space="preserve">Figyelem: A </w:t>
      </w:r>
      <w:r>
        <w:rPr>
          <w:color w:val="000000"/>
          <w:sz w:val="22"/>
          <w:szCs w:val="22"/>
        </w:rPr>
        <w:t>készítményt</w:t>
      </w:r>
      <w:r w:rsidRPr="00431E2B">
        <w:rPr>
          <w:color w:val="000000"/>
          <w:sz w:val="22"/>
          <w:szCs w:val="22"/>
        </w:rPr>
        <w:t xml:space="preserve"> a leírtak szerint </w:t>
      </w:r>
      <w:r>
        <w:rPr>
          <w:color w:val="000000"/>
          <w:sz w:val="22"/>
          <w:szCs w:val="22"/>
        </w:rPr>
        <w:t>szabad csak összekeverni</w:t>
      </w:r>
      <w:r w:rsidRPr="00431E2B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>a rázogatás</w:t>
      </w:r>
      <w:r w:rsidRPr="00431E2B">
        <w:rPr>
          <w:color w:val="000000"/>
          <w:sz w:val="22"/>
          <w:szCs w:val="22"/>
        </w:rPr>
        <w:t xml:space="preserve"> NEM biztosítja a </w:t>
      </w:r>
      <w:r>
        <w:rPr>
          <w:color w:val="000000"/>
          <w:sz w:val="22"/>
          <w:szCs w:val="22"/>
        </w:rPr>
        <w:t>készítmény</w:t>
      </w:r>
      <w:r w:rsidRPr="00431E2B">
        <w:rPr>
          <w:color w:val="000000"/>
          <w:sz w:val="22"/>
          <w:szCs w:val="22"/>
        </w:rPr>
        <w:t xml:space="preserve"> megfelelő keveredését.</w:t>
      </w:r>
    </w:p>
    <w:p w14:paraId="42012C3B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p w14:paraId="420AAB40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  <w:r w:rsidRPr="00431E2B">
        <w:rPr>
          <w:b/>
          <w:color w:val="000000"/>
          <w:sz w:val="22"/>
          <w:szCs w:val="22"/>
        </w:rPr>
        <w:t xml:space="preserve">4. lépés: </w:t>
      </w:r>
      <w:r w:rsidRPr="00431E2B">
        <w:rPr>
          <w:color w:val="000000"/>
          <w:sz w:val="22"/>
          <w:szCs w:val="22"/>
        </w:rPr>
        <w:t xml:space="preserve">Az összekeverést követően tartsa a fecskendőket függőleges helyzetben úgy, hogy a „B” fecskendő alul helyezkedjen el. A fecskendők továbbra is </w:t>
      </w:r>
      <w:r>
        <w:rPr>
          <w:color w:val="000000"/>
          <w:sz w:val="22"/>
          <w:szCs w:val="22"/>
        </w:rPr>
        <w:t>maradjanak stabilan összekapcsolva</w:t>
      </w:r>
      <w:r w:rsidRPr="00431E2B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A</w:t>
      </w:r>
      <w:r w:rsidRPr="00431E2B">
        <w:rPr>
          <w:color w:val="000000"/>
          <w:sz w:val="22"/>
          <w:szCs w:val="22"/>
        </w:rPr>
        <w:t xml:space="preserve">z „A” fecskendő dugattyújának lenyomásával és a „B” fecskendő dugattyújának enyhe </w:t>
      </w:r>
      <w:r>
        <w:rPr>
          <w:color w:val="000000"/>
          <w:sz w:val="22"/>
          <w:szCs w:val="22"/>
        </w:rPr>
        <w:t>vissza</w:t>
      </w:r>
      <w:r w:rsidRPr="00431E2B">
        <w:rPr>
          <w:color w:val="000000"/>
          <w:sz w:val="22"/>
          <w:szCs w:val="22"/>
        </w:rPr>
        <w:t xml:space="preserve">húzásával </w:t>
      </w:r>
      <w:r>
        <w:rPr>
          <w:color w:val="000000"/>
          <w:sz w:val="22"/>
          <w:szCs w:val="22"/>
        </w:rPr>
        <w:t>j</w:t>
      </w:r>
      <w:r w:rsidRPr="00794F44">
        <w:rPr>
          <w:color w:val="000000"/>
          <w:sz w:val="22"/>
          <w:szCs w:val="22"/>
        </w:rPr>
        <w:t xml:space="preserve">uttassa át az összekevert </w:t>
      </w:r>
      <w:r>
        <w:rPr>
          <w:color w:val="000000"/>
          <w:sz w:val="22"/>
          <w:szCs w:val="22"/>
        </w:rPr>
        <w:t>készítmény</w:t>
      </w:r>
      <w:r w:rsidRPr="00794F44">
        <w:rPr>
          <w:color w:val="000000"/>
          <w:sz w:val="22"/>
          <w:szCs w:val="22"/>
        </w:rPr>
        <w:t xml:space="preserve"> egészét a „B” fecskendőbe (</w:t>
      </w:r>
      <w:r>
        <w:rPr>
          <w:color w:val="000000"/>
          <w:sz w:val="22"/>
          <w:szCs w:val="22"/>
        </w:rPr>
        <w:t xml:space="preserve">a </w:t>
      </w:r>
      <w:r w:rsidRPr="00794F44">
        <w:rPr>
          <w:color w:val="000000"/>
          <w:sz w:val="22"/>
          <w:szCs w:val="22"/>
        </w:rPr>
        <w:t>rövid, széles fecskendő</w:t>
      </w:r>
      <w:r>
        <w:rPr>
          <w:color w:val="000000"/>
          <w:sz w:val="22"/>
          <w:szCs w:val="22"/>
        </w:rPr>
        <w:t>be</w:t>
      </w:r>
      <w:r w:rsidRPr="00794F44">
        <w:rPr>
          <w:color w:val="000000"/>
          <w:sz w:val="22"/>
          <w:szCs w:val="22"/>
        </w:rPr>
        <w:t xml:space="preserve">) </w:t>
      </w:r>
      <w:r w:rsidRPr="00431E2B">
        <w:rPr>
          <w:color w:val="000000"/>
          <w:sz w:val="22"/>
          <w:szCs w:val="22"/>
        </w:rPr>
        <w:t>(4.</w:t>
      </w:r>
      <w:r>
        <w:rPr>
          <w:color w:val="000000"/>
          <w:sz w:val="22"/>
          <w:szCs w:val="22"/>
        </w:rPr>
        <w:t> </w:t>
      </w:r>
      <w:r w:rsidRPr="00431E2B">
        <w:rPr>
          <w:color w:val="000000"/>
          <w:sz w:val="22"/>
          <w:szCs w:val="22"/>
        </w:rPr>
        <w:t>ábra).</w:t>
      </w:r>
    </w:p>
    <w:p w14:paraId="2E588B98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16"/>
      </w:tblGrid>
      <w:tr w:rsidR="00BC6B81" w:rsidRPr="001B0E99" w14:paraId="3766D87E" w14:textId="77777777" w:rsidTr="006128D3">
        <w:tc>
          <w:tcPr>
            <w:tcW w:w="3397" w:type="dxa"/>
            <w:tcBorders>
              <w:bottom w:val="nil"/>
            </w:tcBorders>
          </w:tcPr>
          <w:p w14:paraId="15F01BCA" w14:textId="77777777" w:rsidR="00BC6B81" w:rsidRPr="00E87BCD" w:rsidRDefault="00BC6B81" w:rsidP="006128D3">
            <w:pPr>
              <w:pStyle w:val="Tussenkopjes"/>
              <w:spacing w:before="120" w:after="120"/>
              <w:rPr>
                <w:rFonts w:ascii="Times New Roman" w:hAnsi="Times New Roman" w:cs="Times New Roman"/>
                <w:spacing w:val="0"/>
                <w:sz w:val="22"/>
                <w:szCs w:val="22"/>
                <w:lang w:val="hu-HU"/>
              </w:rPr>
            </w:pPr>
            <w:r w:rsidRPr="00E87BCD">
              <w:rPr>
                <w:rFonts w:ascii="Times New Roman" w:hAnsi="Times New Roman" w:cs="Times New Roman"/>
                <w:spacing w:val="0"/>
                <w:sz w:val="22"/>
                <w:szCs w:val="22"/>
                <w:lang w:val="hu-HU"/>
              </w:rPr>
              <w:t>4. ábra</w:t>
            </w:r>
          </w:p>
        </w:tc>
      </w:tr>
      <w:tr w:rsidR="00BC6B81" w:rsidRPr="001B0E99" w14:paraId="1DD48FFD" w14:textId="77777777" w:rsidTr="006128D3">
        <w:trPr>
          <w:trHeight w:val="4482"/>
        </w:trPr>
        <w:tc>
          <w:tcPr>
            <w:tcW w:w="3397" w:type="dxa"/>
            <w:tcBorders>
              <w:top w:val="nil"/>
            </w:tcBorders>
            <w:vAlign w:val="center"/>
          </w:tcPr>
          <w:p w14:paraId="7F8C37E1" w14:textId="77777777" w:rsidR="00BC6B81" w:rsidRPr="00E87BCD" w:rsidRDefault="00BC6B81" w:rsidP="006128D3">
            <w:pPr>
              <w:pStyle w:val="Tussenkopjes"/>
              <w:jc w:val="center"/>
              <w:rPr>
                <w:rFonts w:ascii="Times New Roman" w:hAnsi="Times New Roman" w:cs="Times New Roman"/>
                <w:b w:val="0"/>
                <w:bCs w:val="0"/>
                <w:spacing w:val="0"/>
                <w:sz w:val="22"/>
                <w:szCs w:val="22"/>
                <w:lang w:val="hu-HU"/>
              </w:rPr>
            </w:pPr>
            <w:r>
              <w:rPr>
                <w:rFonts w:ascii="Times New Roman" w:hAnsi="Times New Roman" w:cs="Times New Roman"/>
                <w:b w:val="0"/>
                <w:bCs w:val="0"/>
                <w:noProof/>
                <w:spacing w:val="0"/>
                <w:sz w:val="22"/>
                <w:szCs w:val="22"/>
                <w:lang w:val="hu-HU" w:eastAsia="hu-HU"/>
              </w:rPr>
              <w:lastRenderedPageBreak/>
              <w:drawing>
                <wp:inline distT="0" distB="0" distL="0" distR="0" wp14:anchorId="3C04D024" wp14:editId="1FB1D0DE">
                  <wp:extent cx="2085975" cy="3533775"/>
                  <wp:effectExtent l="0" t="0" r="9525" b="9525"/>
                  <wp:docPr id="53" name="Kép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353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48B856" w14:textId="77777777" w:rsidR="00BC6B81" w:rsidRPr="00E87BCD" w:rsidRDefault="00BC6B81" w:rsidP="006128D3">
            <w:pPr>
              <w:rPr>
                <w:color w:val="000000"/>
                <w:szCs w:val="22"/>
                <w:lang w:eastAsia="nl-NL"/>
              </w:rPr>
            </w:pPr>
          </w:p>
        </w:tc>
      </w:tr>
    </w:tbl>
    <w:p w14:paraId="7EA4A117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p w14:paraId="0CC4FACD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  <w:r w:rsidRPr="00431E2B">
        <w:rPr>
          <w:b/>
          <w:color w:val="000000"/>
          <w:sz w:val="22"/>
          <w:szCs w:val="22"/>
        </w:rPr>
        <w:t xml:space="preserve">5. </w:t>
      </w:r>
      <w:r w:rsidRPr="00431E2B">
        <w:rPr>
          <w:b/>
          <w:bCs/>
          <w:color w:val="000000"/>
          <w:sz w:val="22"/>
          <w:szCs w:val="22"/>
        </w:rPr>
        <w:t xml:space="preserve">lépés: </w:t>
      </w:r>
      <w:r w:rsidRPr="00431E2B">
        <w:rPr>
          <w:color w:val="000000"/>
          <w:sz w:val="22"/>
          <w:szCs w:val="22"/>
        </w:rPr>
        <w:t>Miután meggyőződött arról, hogy az „A” fecskendő dugattyúj</w:t>
      </w:r>
      <w:r>
        <w:rPr>
          <w:color w:val="000000"/>
          <w:sz w:val="22"/>
          <w:szCs w:val="22"/>
        </w:rPr>
        <w:t>át</w:t>
      </w:r>
      <w:r w:rsidRPr="00431E2B">
        <w:rPr>
          <w:color w:val="000000"/>
          <w:sz w:val="22"/>
          <w:szCs w:val="22"/>
        </w:rPr>
        <w:t xml:space="preserve"> telje</w:t>
      </w:r>
      <w:r>
        <w:rPr>
          <w:color w:val="000000"/>
          <w:sz w:val="22"/>
          <w:szCs w:val="22"/>
        </w:rPr>
        <w:t>s</w:t>
      </w:r>
      <w:r w:rsidRPr="00431E2B">
        <w:rPr>
          <w:color w:val="000000"/>
          <w:sz w:val="22"/>
          <w:szCs w:val="22"/>
        </w:rPr>
        <w:t>en lenyom</w:t>
      </w:r>
      <w:r>
        <w:rPr>
          <w:color w:val="000000"/>
          <w:sz w:val="22"/>
          <w:szCs w:val="22"/>
        </w:rPr>
        <w:t>ta</w:t>
      </w:r>
      <w:r w:rsidRPr="00431E2B">
        <w:rPr>
          <w:color w:val="000000"/>
          <w:sz w:val="22"/>
          <w:szCs w:val="22"/>
        </w:rPr>
        <w:t xml:space="preserve">, fogja meg a csatlakozó egységet és csavarja le a „B” fecskendőről. Az „A” fecskendő a csatlakozó egységen marad (5. ábra). Győződjön meg róla, hogy </w:t>
      </w:r>
      <w:r>
        <w:rPr>
          <w:color w:val="000000"/>
          <w:sz w:val="22"/>
          <w:szCs w:val="22"/>
        </w:rPr>
        <w:t>a készítmény sehol nem folyik ki</w:t>
      </w:r>
      <w:r w:rsidRPr="00431E2B">
        <w:rPr>
          <w:color w:val="000000"/>
          <w:sz w:val="22"/>
          <w:szCs w:val="22"/>
        </w:rPr>
        <w:t xml:space="preserve">, mert különben a tű </w:t>
      </w:r>
      <w:r>
        <w:rPr>
          <w:color w:val="000000"/>
          <w:sz w:val="22"/>
          <w:szCs w:val="22"/>
        </w:rPr>
        <w:t xml:space="preserve">a csatlakoztatásakor </w:t>
      </w:r>
      <w:r w:rsidRPr="00431E2B">
        <w:rPr>
          <w:color w:val="000000"/>
          <w:sz w:val="22"/>
          <w:szCs w:val="22"/>
        </w:rPr>
        <w:t xml:space="preserve">nem </w:t>
      </w:r>
      <w:r>
        <w:rPr>
          <w:color w:val="000000"/>
          <w:sz w:val="22"/>
          <w:szCs w:val="22"/>
        </w:rPr>
        <w:t xml:space="preserve">rögzíthető </w:t>
      </w:r>
      <w:r w:rsidRPr="00431E2B">
        <w:rPr>
          <w:color w:val="000000"/>
          <w:sz w:val="22"/>
          <w:szCs w:val="22"/>
        </w:rPr>
        <w:t>szorosan.</w:t>
      </w:r>
    </w:p>
    <w:p w14:paraId="7BD63F4B" w14:textId="77777777" w:rsidR="00BC6B81" w:rsidRPr="00431E2B" w:rsidRDefault="00BC6B81" w:rsidP="00BC6B81">
      <w:pPr>
        <w:tabs>
          <w:tab w:val="left" w:pos="5580"/>
        </w:tabs>
        <w:rPr>
          <w:color w:val="000000"/>
          <w:sz w:val="22"/>
          <w:szCs w:val="22"/>
        </w:rPr>
      </w:pPr>
    </w:p>
    <w:p w14:paraId="6547229F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sz w:val="22"/>
          <w:szCs w:val="22"/>
        </w:rPr>
        <w:t xml:space="preserve">Figyelem! A készítményben egy nagy vagy több kis levegőbuborék </w:t>
      </w:r>
      <w:r w:rsidRPr="00431E2B">
        <w:rPr>
          <w:sz w:val="22"/>
          <w:szCs w:val="22"/>
          <w:lang w:eastAsia="ja-JP"/>
        </w:rPr>
        <w:t>marad</w:t>
      </w:r>
      <w:r w:rsidRPr="00431E2B">
        <w:rPr>
          <w:sz w:val="22"/>
          <w:szCs w:val="22"/>
        </w:rPr>
        <w:t>hat</w:t>
      </w:r>
      <w:r>
        <w:rPr>
          <w:sz w:val="22"/>
          <w:szCs w:val="22"/>
        </w:rPr>
        <w:t xml:space="preserve"> </w:t>
      </w:r>
      <w:r w:rsidRPr="00431E2B">
        <w:rPr>
          <w:sz w:val="22"/>
          <w:szCs w:val="22"/>
        </w:rPr>
        <w:t>– ez elfogadható.</w:t>
      </w:r>
    </w:p>
    <w:p w14:paraId="750809B2" w14:textId="77777777" w:rsidR="00BC6B81" w:rsidRPr="00431E2B" w:rsidRDefault="00BC6B81" w:rsidP="00BC6B81">
      <w:pPr>
        <w:rPr>
          <w:b/>
          <w:sz w:val="22"/>
          <w:szCs w:val="22"/>
        </w:rPr>
      </w:pPr>
      <w:r w:rsidRPr="00431E2B">
        <w:rPr>
          <w:b/>
          <w:sz w:val="22"/>
          <w:szCs w:val="22"/>
        </w:rPr>
        <w:t>Ne nyomja ki a levegőbuborékokat a „B” fecskendőből, ugyanis így a készítményből is veszíthet!</w:t>
      </w:r>
    </w:p>
    <w:p w14:paraId="5068ECFF" w14:textId="77777777" w:rsidR="00BC6B81" w:rsidRPr="00431E2B" w:rsidRDefault="00BC6B81" w:rsidP="00BC6B81">
      <w:pPr>
        <w:keepNext/>
        <w:tabs>
          <w:tab w:val="left" w:pos="5580"/>
        </w:tabs>
        <w:suppressAutoHyphens w:val="0"/>
        <w:rPr>
          <w:color w:val="000000"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823"/>
      </w:tblGrid>
      <w:tr w:rsidR="00BC6B81" w:rsidRPr="001B0E99" w14:paraId="3D923707" w14:textId="77777777" w:rsidTr="006128D3">
        <w:tc>
          <w:tcPr>
            <w:tcW w:w="3823" w:type="dxa"/>
            <w:tcBorders>
              <w:bottom w:val="nil"/>
            </w:tcBorders>
          </w:tcPr>
          <w:p w14:paraId="6458CBE0" w14:textId="77777777" w:rsidR="00BC6B81" w:rsidRPr="00431E2B" w:rsidRDefault="00BC6B81" w:rsidP="006128D3">
            <w:pPr>
              <w:keepNext/>
              <w:suppressAutoHyphens w:val="0"/>
              <w:spacing w:before="120" w:after="120"/>
              <w:rPr>
                <w:b/>
                <w:bCs/>
                <w:sz w:val="22"/>
                <w:szCs w:val="22"/>
              </w:rPr>
            </w:pPr>
            <w:r w:rsidRPr="00431E2B">
              <w:rPr>
                <w:b/>
                <w:bCs/>
                <w:sz w:val="22"/>
                <w:szCs w:val="22"/>
              </w:rPr>
              <w:t>5. ábra</w:t>
            </w:r>
          </w:p>
        </w:tc>
      </w:tr>
      <w:tr w:rsidR="00BC6B81" w:rsidRPr="001B0E99" w14:paraId="4E519959" w14:textId="77777777" w:rsidTr="006128D3">
        <w:trPr>
          <w:trHeight w:val="5165"/>
        </w:trPr>
        <w:tc>
          <w:tcPr>
            <w:tcW w:w="3823" w:type="dxa"/>
            <w:tcBorders>
              <w:top w:val="nil"/>
            </w:tcBorders>
            <w:vAlign w:val="center"/>
          </w:tcPr>
          <w:p w14:paraId="2D55DB8A" w14:textId="77777777" w:rsidR="00BC6B81" w:rsidRPr="001B0E99" w:rsidRDefault="00BC6B81" w:rsidP="006128D3">
            <w:pPr>
              <w:keepNext/>
              <w:suppressAutoHyphens w:val="0"/>
              <w:jc w:val="center"/>
              <w:rPr>
                <w:szCs w:val="22"/>
              </w:rPr>
            </w:pPr>
            <w:r>
              <w:rPr>
                <w:noProof/>
                <w:szCs w:val="22"/>
                <w:lang w:eastAsia="hu-HU"/>
              </w:rPr>
              <w:drawing>
                <wp:inline distT="0" distB="0" distL="0" distR="0" wp14:anchorId="03A69BAF" wp14:editId="29AF438B">
                  <wp:extent cx="2200275" cy="3705225"/>
                  <wp:effectExtent l="0" t="0" r="9525" b="9525"/>
                  <wp:docPr id="54" name="Kép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370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D4085C" w14:textId="77777777" w:rsidR="00BC6B81" w:rsidRPr="001B0E99" w:rsidRDefault="00BC6B81" w:rsidP="006128D3">
            <w:pPr>
              <w:keepNext/>
              <w:suppressAutoHyphens w:val="0"/>
              <w:rPr>
                <w:szCs w:val="22"/>
              </w:rPr>
            </w:pPr>
          </w:p>
        </w:tc>
      </w:tr>
    </w:tbl>
    <w:p w14:paraId="2B74C2B3" w14:textId="77777777" w:rsidR="00BC6B81" w:rsidRPr="00431E2B" w:rsidRDefault="00BC6B81" w:rsidP="00BC6B81">
      <w:pPr>
        <w:keepNext/>
        <w:tabs>
          <w:tab w:val="left" w:pos="5580"/>
        </w:tabs>
        <w:suppressAutoHyphens w:val="0"/>
        <w:rPr>
          <w:color w:val="000000"/>
          <w:sz w:val="22"/>
          <w:szCs w:val="22"/>
        </w:rPr>
      </w:pPr>
    </w:p>
    <w:p w14:paraId="395E1EED" w14:textId="77777777" w:rsidR="00BC6B81" w:rsidRPr="00431E2B" w:rsidRDefault="00BC6B81" w:rsidP="00BC6B81">
      <w:pPr>
        <w:rPr>
          <w:b/>
          <w:sz w:val="22"/>
          <w:szCs w:val="22"/>
        </w:rPr>
      </w:pPr>
      <w:r w:rsidRPr="00431E2B">
        <w:rPr>
          <w:b/>
          <w:sz w:val="22"/>
          <w:szCs w:val="22"/>
        </w:rPr>
        <w:t>6. lépés:</w:t>
      </w:r>
    </w:p>
    <w:p w14:paraId="6AD53207" w14:textId="77777777" w:rsidR="00BC6B81" w:rsidRPr="00431E2B" w:rsidRDefault="00BC6B81" w:rsidP="00BC6B81">
      <w:pPr>
        <w:pStyle w:val="Listaszerbekezds"/>
        <w:numPr>
          <w:ilvl w:val="0"/>
          <w:numId w:val="16"/>
        </w:numPr>
        <w:rPr>
          <w:sz w:val="22"/>
          <w:szCs w:val="22"/>
        </w:rPr>
      </w:pPr>
      <w:r w:rsidRPr="00431E2B">
        <w:rPr>
          <w:sz w:val="22"/>
          <w:szCs w:val="22"/>
        </w:rPr>
        <w:t>Tartsa a „B” fecskendőt felfelé, és tartsa vissza a fehér színű dugattyút, hogy ne folyjon ki a készítmény.</w:t>
      </w:r>
    </w:p>
    <w:p w14:paraId="0FED1EC6" w14:textId="77777777" w:rsidR="00BC6B81" w:rsidRPr="00431E2B" w:rsidRDefault="00BC6B81" w:rsidP="00BC6B81">
      <w:pPr>
        <w:pStyle w:val="Listaszerbekezds"/>
        <w:numPr>
          <w:ilvl w:val="0"/>
          <w:numId w:val="15"/>
        </w:numPr>
        <w:rPr>
          <w:b/>
          <w:sz w:val="22"/>
          <w:szCs w:val="22"/>
        </w:rPr>
      </w:pPr>
      <w:r w:rsidRPr="00431E2B">
        <w:rPr>
          <w:sz w:val="22"/>
          <w:szCs w:val="22"/>
        </w:rPr>
        <w:t xml:space="preserve">Csatlakoztassa a biztonsági tűt a „B” fecskendő végéhez, úgy, hogy miközben tartja a fecskendőt, finoman az óramutató járásával megegyező irányba elfordítja a tűt körülbelül háromnegyed fordulattal, amíg a tű </w:t>
      </w:r>
      <w:r>
        <w:rPr>
          <w:sz w:val="22"/>
          <w:szCs w:val="22"/>
        </w:rPr>
        <w:t>stabilan</w:t>
      </w:r>
      <w:r w:rsidRPr="00431E2B">
        <w:rPr>
          <w:sz w:val="22"/>
          <w:szCs w:val="22"/>
        </w:rPr>
        <w:t xml:space="preserve"> rögzül a fecskendőhöz (6. ábra)</w:t>
      </w:r>
      <w:r>
        <w:rPr>
          <w:sz w:val="22"/>
          <w:szCs w:val="22"/>
        </w:rPr>
        <w:t>.</w:t>
      </w:r>
    </w:p>
    <w:p w14:paraId="16C23885" w14:textId="77777777" w:rsidR="00BC6B81" w:rsidRPr="00431E2B" w:rsidRDefault="00BC6B81" w:rsidP="00BC6B81">
      <w:pPr>
        <w:pStyle w:val="Listaszerbekezds"/>
        <w:rPr>
          <w:sz w:val="22"/>
          <w:szCs w:val="22"/>
        </w:rPr>
      </w:pPr>
    </w:p>
    <w:p w14:paraId="33FF0EB3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b/>
          <w:sz w:val="22"/>
          <w:szCs w:val="22"/>
        </w:rPr>
        <w:t xml:space="preserve">Ne csavarja túl, </w:t>
      </w:r>
      <w:r w:rsidRPr="00431E2B">
        <w:rPr>
          <w:sz w:val="22"/>
          <w:szCs w:val="22"/>
        </w:rPr>
        <w:t>mert ettől elrepedhet a tű kónusza, és a készítmény kifolyhat az injekció beadásakor. Akár a biztonsági védőpajzs is sérülhet, ha a tűt túl erősen csavarja rá.</w:t>
      </w:r>
    </w:p>
    <w:p w14:paraId="5AE3AE56" w14:textId="77777777" w:rsidR="00BC6B81" w:rsidRPr="00431E2B" w:rsidRDefault="00BC6B81" w:rsidP="00BC6B81">
      <w:pPr>
        <w:rPr>
          <w:sz w:val="22"/>
          <w:szCs w:val="22"/>
        </w:rPr>
      </w:pPr>
    </w:p>
    <w:p w14:paraId="6BA3F3C1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sz w:val="22"/>
          <w:szCs w:val="22"/>
        </w:rPr>
        <w:t xml:space="preserve">Ha a tű kónusza elrepedt, sérültnek látszik vagy </w:t>
      </w:r>
      <w:r>
        <w:rPr>
          <w:sz w:val="22"/>
          <w:szCs w:val="22"/>
        </w:rPr>
        <w:t xml:space="preserve">bárhol </w:t>
      </w:r>
      <w:r w:rsidRPr="00431E2B">
        <w:rPr>
          <w:sz w:val="22"/>
          <w:szCs w:val="22"/>
        </w:rPr>
        <w:t>szivárog, a készítmény nem használható fel. A sérült tűt nem szabad lecserélni, és a készítményt nem szabad beadni. A készítményt teljes egészében biztonságos módon meg kell semmisíteni.</w:t>
      </w:r>
    </w:p>
    <w:p w14:paraId="0BCB1D24" w14:textId="77777777" w:rsidR="00BC6B81" w:rsidRPr="00431E2B" w:rsidRDefault="00BC6B81" w:rsidP="00BC6B81">
      <w:pPr>
        <w:rPr>
          <w:sz w:val="22"/>
          <w:szCs w:val="22"/>
        </w:rPr>
      </w:pPr>
    </w:p>
    <w:p w14:paraId="0A29A275" w14:textId="77777777" w:rsidR="00BC6B81" w:rsidRPr="00431E2B" w:rsidRDefault="00BC6B81" w:rsidP="00BC6B81">
      <w:pPr>
        <w:rPr>
          <w:b/>
          <w:sz w:val="22"/>
          <w:szCs w:val="22"/>
        </w:rPr>
      </w:pPr>
      <w:r w:rsidRPr="00431E2B">
        <w:rPr>
          <w:sz w:val="22"/>
          <w:szCs w:val="22"/>
        </w:rPr>
        <w:t xml:space="preserve">Ha a tű kónusza sérült, egy új </w:t>
      </w:r>
      <w:r>
        <w:rPr>
          <w:sz w:val="22"/>
          <w:szCs w:val="22"/>
        </w:rPr>
        <w:t>készítményt</w:t>
      </w:r>
      <w:r w:rsidRPr="00431E2B">
        <w:rPr>
          <w:sz w:val="22"/>
          <w:szCs w:val="22"/>
        </w:rPr>
        <w:t xml:space="preserve"> kell helyette felhasználni.</w:t>
      </w:r>
    </w:p>
    <w:p w14:paraId="7A4A14B4" w14:textId="77777777" w:rsidR="00BC6B81" w:rsidRPr="00431E2B" w:rsidRDefault="00BC6B81" w:rsidP="00BC6B81">
      <w:pPr>
        <w:keepNext/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</w:tblGrid>
      <w:tr w:rsidR="00BC6B81" w:rsidRPr="00F12874" w14:paraId="06D215E3" w14:textId="77777777" w:rsidTr="006128D3">
        <w:tc>
          <w:tcPr>
            <w:tcW w:w="3397" w:type="dxa"/>
            <w:tcBorders>
              <w:bottom w:val="nil"/>
            </w:tcBorders>
          </w:tcPr>
          <w:p w14:paraId="0709320F" w14:textId="77777777" w:rsidR="00BC6B81" w:rsidRPr="00431E2B" w:rsidRDefault="00BC6B81" w:rsidP="006128D3">
            <w:pPr>
              <w:keepNext/>
              <w:spacing w:before="120" w:after="120"/>
              <w:rPr>
                <w:b/>
                <w:bCs/>
                <w:sz w:val="22"/>
                <w:szCs w:val="22"/>
                <w:lang w:eastAsia="nl-NL"/>
              </w:rPr>
            </w:pPr>
            <w:r w:rsidRPr="00431E2B">
              <w:rPr>
                <w:b/>
                <w:bCs/>
                <w:sz w:val="22"/>
                <w:szCs w:val="22"/>
                <w:lang w:eastAsia="nl-NL"/>
              </w:rPr>
              <w:t>6. ábra</w:t>
            </w:r>
          </w:p>
        </w:tc>
      </w:tr>
      <w:tr w:rsidR="00BC6B81" w:rsidRPr="001B0E99" w14:paraId="5C32812B" w14:textId="77777777" w:rsidTr="006128D3">
        <w:trPr>
          <w:trHeight w:val="4740"/>
        </w:trPr>
        <w:tc>
          <w:tcPr>
            <w:tcW w:w="3397" w:type="dxa"/>
            <w:tcBorders>
              <w:top w:val="nil"/>
            </w:tcBorders>
            <w:vAlign w:val="center"/>
          </w:tcPr>
          <w:p w14:paraId="449E4DED" w14:textId="77777777" w:rsidR="00BC6B81" w:rsidRPr="00E87BCD" w:rsidRDefault="00BC6B81" w:rsidP="006128D3">
            <w:pPr>
              <w:keepNext/>
              <w:jc w:val="center"/>
              <w:rPr>
                <w:lang w:eastAsia="nl-NL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43BF0376" wp14:editId="11F4A926">
                  <wp:extent cx="1800225" cy="3543300"/>
                  <wp:effectExtent l="0" t="0" r="9525" b="0"/>
                  <wp:docPr id="55" name="Kép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205A3D" w14:textId="77777777" w:rsidR="00BC6B81" w:rsidRPr="00E87BCD" w:rsidRDefault="00BC6B81" w:rsidP="006128D3">
            <w:pPr>
              <w:keepNext/>
              <w:rPr>
                <w:lang w:eastAsia="nl-NL"/>
              </w:rPr>
            </w:pPr>
          </w:p>
        </w:tc>
      </w:tr>
    </w:tbl>
    <w:p w14:paraId="18923281" w14:textId="77777777" w:rsidR="00BC6B81" w:rsidRPr="00431E2B" w:rsidRDefault="00BC6B81" w:rsidP="00BC6B81">
      <w:pPr>
        <w:keepNext/>
        <w:rPr>
          <w:sz w:val="22"/>
          <w:szCs w:val="22"/>
        </w:rPr>
      </w:pPr>
    </w:p>
    <w:p w14:paraId="3BA83736" w14:textId="77777777" w:rsidR="00BC6B81" w:rsidRPr="00431E2B" w:rsidDel="000B7130" w:rsidRDefault="00BC6B81" w:rsidP="00BC6B81">
      <w:pPr>
        <w:rPr>
          <w:sz w:val="22"/>
          <w:szCs w:val="22"/>
        </w:rPr>
      </w:pPr>
      <w:r w:rsidRPr="00431E2B">
        <w:rPr>
          <w:b/>
          <w:sz w:val="22"/>
          <w:szCs w:val="22"/>
          <w:lang w:eastAsia="ja-JP"/>
        </w:rPr>
        <w:t>7</w:t>
      </w:r>
      <w:r w:rsidRPr="00431E2B">
        <w:rPr>
          <w:b/>
          <w:sz w:val="22"/>
          <w:szCs w:val="22"/>
        </w:rPr>
        <w:t>. lépés</w:t>
      </w:r>
      <w:r w:rsidRPr="00431E2B">
        <w:rPr>
          <w:sz w:val="22"/>
          <w:szCs w:val="22"/>
        </w:rPr>
        <w:t>: Közvetlenül az alkalmazás előtt</w:t>
      </w:r>
      <w:r w:rsidRPr="00431E2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billentse le</w:t>
      </w:r>
      <w:r w:rsidRPr="00431E2B">
        <w:rPr>
          <w:color w:val="000000"/>
          <w:sz w:val="22"/>
          <w:szCs w:val="22"/>
        </w:rPr>
        <w:t xml:space="preserve"> a</w:t>
      </w:r>
      <w:r w:rsidRPr="00431E2B">
        <w:rPr>
          <w:sz w:val="22"/>
          <w:szCs w:val="22"/>
        </w:rPr>
        <w:t xml:space="preserve"> biztonsági</w:t>
      </w:r>
      <w:r w:rsidRPr="00431E2B">
        <w:rPr>
          <w:color w:val="000000"/>
          <w:sz w:val="22"/>
          <w:szCs w:val="22"/>
        </w:rPr>
        <w:t xml:space="preserve"> </w:t>
      </w:r>
      <w:r w:rsidRPr="00431E2B">
        <w:rPr>
          <w:sz w:val="22"/>
          <w:szCs w:val="22"/>
        </w:rPr>
        <w:t>védőpajzsot</w:t>
      </w:r>
      <w:r w:rsidRPr="00431E2B">
        <w:rPr>
          <w:color w:val="000000"/>
          <w:sz w:val="22"/>
          <w:szCs w:val="22"/>
        </w:rPr>
        <w:t xml:space="preserve"> és</w:t>
      </w:r>
      <w:r w:rsidRPr="00431E2B">
        <w:rPr>
          <w:sz w:val="22"/>
          <w:szCs w:val="22"/>
        </w:rPr>
        <w:t xml:space="preserve"> húzza le a tűről</w:t>
      </w:r>
      <w:r w:rsidRPr="00431E2B" w:rsidDel="000B7130">
        <w:rPr>
          <w:sz w:val="22"/>
          <w:szCs w:val="22"/>
        </w:rPr>
        <w:t xml:space="preserve"> </w:t>
      </w:r>
      <w:r w:rsidRPr="00431E2B">
        <w:rPr>
          <w:sz w:val="22"/>
          <w:szCs w:val="22"/>
        </w:rPr>
        <w:t>a tűvédő</w:t>
      </w:r>
      <w:r>
        <w:rPr>
          <w:sz w:val="22"/>
          <w:szCs w:val="22"/>
        </w:rPr>
        <w:t xml:space="preserve"> kupakot</w:t>
      </w:r>
      <w:r w:rsidRPr="00431E2B">
        <w:rPr>
          <w:sz w:val="22"/>
          <w:szCs w:val="22"/>
        </w:rPr>
        <w:t xml:space="preserve"> (</w:t>
      </w:r>
      <w:r w:rsidRPr="00431E2B">
        <w:rPr>
          <w:sz w:val="22"/>
          <w:szCs w:val="22"/>
          <w:lang w:eastAsia="ja-JP"/>
        </w:rPr>
        <w:t>7</w:t>
      </w:r>
      <w:r w:rsidRPr="00431E2B">
        <w:rPr>
          <w:sz w:val="22"/>
          <w:szCs w:val="22"/>
        </w:rPr>
        <w:t>. ábra).</w:t>
      </w:r>
    </w:p>
    <w:p w14:paraId="3F5ADCDF" w14:textId="77777777" w:rsidR="00BC6B81" w:rsidRPr="00431E2B" w:rsidRDefault="00BC6B81" w:rsidP="00BC6B81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t>Fontos!</w:t>
      </w:r>
      <w:r w:rsidRPr="00431E2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Az injekció beadása előtt ne hozza működésbe a tű biztonsági mechanizmusát</w:t>
      </w:r>
      <w:r w:rsidRPr="00431E2B">
        <w:rPr>
          <w:b/>
          <w:sz w:val="22"/>
          <w:szCs w:val="22"/>
        </w:rPr>
        <w:t>!</w:t>
      </w:r>
      <w:r w:rsidRPr="00431E2B">
        <w:rPr>
          <w:b/>
          <w:sz w:val="22"/>
          <w:szCs w:val="22"/>
          <w:lang w:eastAsia="ja-JP"/>
        </w:rPr>
        <w:t xml:space="preserve"> Amennyiben a </w:t>
      </w:r>
      <w:r>
        <w:rPr>
          <w:b/>
          <w:sz w:val="22"/>
          <w:szCs w:val="22"/>
          <w:lang w:eastAsia="ja-JP"/>
        </w:rPr>
        <w:t>tű kónusza sérültnek tűnik</w:t>
      </w:r>
      <w:r w:rsidRPr="00431E2B">
        <w:rPr>
          <w:b/>
          <w:sz w:val="22"/>
          <w:szCs w:val="22"/>
          <w:lang w:eastAsia="ja-JP"/>
        </w:rPr>
        <w:t xml:space="preserve"> vagy a készítmény szivárgás</w:t>
      </w:r>
      <w:r>
        <w:rPr>
          <w:b/>
          <w:sz w:val="22"/>
          <w:szCs w:val="22"/>
          <w:lang w:eastAsia="ja-JP"/>
        </w:rPr>
        <w:t>á</w:t>
      </w:r>
      <w:r w:rsidRPr="00431E2B">
        <w:rPr>
          <w:b/>
          <w:sz w:val="22"/>
          <w:szCs w:val="22"/>
          <w:lang w:eastAsia="ja-JP"/>
        </w:rPr>
        <w:t xml:space="preserve">t észleli, NE használja </w:t>
      </w:r>
      <w:r w:rsidRPr="00431E2B">
        <w:rPr>
          <w:b/>
          <w:sz w:val="22"/>
          <w:szCs w:val="22"/>
          <w:lang w:eastAsia="ja-JP"/>
        </w:rPr>
        <w:lastRenderedPageBreak/>
        <w:t xml:space="preserve">fel a készítményt! A sérült tű NEM cserélhető ki és a készítmény NEM adható be. </w:t>
      </w:r>
      <w:r>
        <w:rPr>
          <w:b/>
          <w:sz w:val="22"/>
          <w:szCs w:val="22"/>
          <w:lang w:eastAsia="ja-JP"/>
        </w:rPr>
        <w:t>Abban az esetben, ha a tű kónusza sérült,</w:t>
      </w:r>
      <w:r w:rsidRPr="00431E2B">
        <w:rPr>
          <w:b/>
          <w:sz w:val="22"/>
          <w:szCs w:val="22"/>
          <w:lang w:eastAsia="ja-JP"/>
        </w:rPr>
        <w:t xml:space="preserve"> használjon másik ELIGARD </w:t>
      </w:r>
      <w:r>
        <w:rPr>
          <w:b/>
          <w:sz w:val="22"/>
          <w:szCs w:val="22"/>
          <w:lang w:eastAsia="ja-JP"/>
        </w:rPr>
        <w:t>készletet</w:t>
      </w:r>
      <w:r w:rsidRPr="00431E2B">
        <w:rPr>
          <w:b/>
          <w:sz w:val="22"/>
          <w:szCs w:val="22"/>
          <w:lang w:eastAsia="ja-JP"/>
        </w:rPr>
        <w:t>.</w:t>
      </w:r>
    </w:p>
    <w:p w14:paraId="1BD83114" w14:textId="77777777" w:rsidR="00BC6B81" w:rsidRPr="00431E2B" w:rsidRDefault="00BC6B81" w:rsidP="00BC6B81">
      <w:pPr>
        <w:keepNext/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486"/>
      </w:tblGrid>
      <w:tr w:rsidR="00BC6B81" w:rsidRPr="00433A6C" w14:paraId="4E1D17B6" w14:textId="77777777" w:rsidTr="006128D3">
        <w:tc>
          <w:tcPr>
            <w:tcW w:w="3397" w:type="dxa"/>
            <w:tcBorders>
              <w:bottom w:val="nil"/>
            </w:tcBorders>
          </w:tcPr>
          <w:p w14:paraId="4FDF8C7B" w14:textId="77777777" w:rsidR="00BC6B81" w:rsidRPr="00431E2B" w:rsidRDefault="00BC6B81" w:rsidP="00BC6B81">
            <w:pPr>
              <w:keepNext/>
              <w:spacing w:before="120" w:after="120"/>
              <w:rPr>
                <w:b/>
                <w:color w:val="000000"/>
                <w:sz w:val="22"/>
                <w:szCs w:val="22"/>
              </w:rPr>
            </w:pPr>
            <w:r w:rsidRPr="00431E2B">
              <w:rPr>
                <w:b/>
                <w:color w:val="000000"/>
                <w:sz w:val="22"/>
                <w:szCs w:val="22"/>
              </w:rPr>
              <w:t>7. ábra</w:t>
            </w:r>
          </w:p>
        </w:tc>
      </w:tr>
      <w:tr w:rsidR="00BC6B81" w:rsidRPr="001B0E99" w14:paraId="4FC00F8B" w14:textId="77777777" w:rsidTr="006128D3">
        <w:trPr>
          <w:trHeight w:val="4674"/>
        </w:trPr>
        <w:tc>
          <w:tcPr>
            <w:tcW w:w="3397" w:type="dxa"/>
            <w:tcBorders>
              <w:top w:val="nil"/>
            </w:tcBorders>
            <w:vAlign w:val="center"/>
          </w:tcPr>
          <w:p w14:paraId="4D237077" w14:textId="77777777" w:rsidR="00BC6B81" w:rsidRPr="001B0E99" w:rsidRDefault="00BC6B81" w:rsidP="00BC6B81">
            <w:pPr>
              <w:keepNext/>
              <w:jc w:val="center"/>
              <w:rPr>
                <w:bCs/>
                <w:color w:val="000000"/>
                <w:szCs w:val="22"/>
              </w:rPr>
            </w:pPr>
            <w:r>
              <w:rPr>
                <w:bCs/>
                <w:noProof/>
                <w:color w:val="000000"/>
                <w:szCs w:val="22"/>
                <w:lang w:eastAsia="hu-HU"/>
              </w:rPr>
              <w:drawing>
                <wp:inline distT="0" distB="0" distL="0" distR="0" wp14:anchorId="7209E421" wp14:editId="0081B137">
                  <wp:extent cx="2066925" cy="3495675"/>
                  <wp:effectExtent l="0" t="0" r="9525" b="9525"/>
                  <wp:docPr id="56" name="Kép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9E6CC8" w14:textId="77777777" w:rsidR="00BC6B81" w:rsidRPr="001B0E99" w:rsidRDefault="00BC6B81" w:rsidP="00BC6B81">
            <w:pPr>
              <w:keepNext/>
              <w:rPr>
                <w:bCs/>
                <w:color w:val="000000"/>
                <w:szCs w:val="22"/>
              </w:rPr>
            </w:pPr>
          </w:p>
        </w:tc>
      </w:tr>
    </w:tbl>
    <w:p w14:paraId="16212E00" w14:textId="77777777" w:rsidR="00BC6B81" w:rsidRPr="00431E2B" w:rsidRDefault="00BC6B81" w:rsidP="00BC6B81">
      <w:pPr>
        <w:keepNext/>
        <w:rPr>
          <w:sz w:val="22"/>
          <w:szCs w:val="22"/>
        </w:rPr>
      </w:pPr>
    </w:p>
    <w:p w14:paraId="11EE7C10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b/>
          <w:sz w:val="22"/>
          <w:szCs w:val="22"/>
          <w:lang w:eastAsia="ja-JP"/>
        </w:rPr>
        <w:t>8</w:t>
      </w:r>
      <w:r w:rsidRPr="00431E2B">
        <w:rPr>
          <w:b/>
          <w:sz w:val="22"/>
          <w:szCs w:val="22"/>
        </w:rPr>
        <w:t xml:space="preserve">. lépés: </w:t>
      </w:r>
      <w:r w:rsidRPr="00431E2B">
        <w:rPr>
          <w:sz w:val="22"/>
          <w:szCs w:val="22"/>
        </w:rPr>
        <w:t>Alkalmazás előtt távolítsa el a nagy levegőbuborékokat a „B” fecskendőből. Bőr alá adja be a készítményt és közben a biztonsági védőpajzsot tartsa el a tűtől.</w:t>
      </w:r>
    </w:p>
    <w:p w14:paraId="051A1EEC" w14:textId="77777777" w:rsidR="00BC6B81" w:rsidRPr="00431E2B" w:rsidRDefault="00BC6B81" w:rsidP="00BC6B81">
      <w:pPr>
        <w:rPr>
          <w:sz w:val="22"/>
          <w:szCs w:val="22"/>
        </w:rPr>
      </w:pPr>
    </w:p>
    <w:p w14:paraId="5621048C" w14:textId="77777777" w:rsidR="00BC6B81" w:rsidRPr="00431E2B" w:rsidRDefault="00BC6B81" w:rsidP="00BC6B81">
      <w:pPr>
        <w:rPr>
          <w:sz w:val="22"/>
          <w:szCs w:val="22"/>
          <w:lang w:eastAsia="ja-JP"/>
        </w:rPr>
      </w:pPr>
      <w:r w:rsidRPr="00431E2B">
        <w:rPr>
          <w:sz w:val="22"/>
          <w:szCs w:val="22"/>
        </w:rPr>
        <w:t>Az injekció beadásának lépései</w:t>
      </w:r>
      <w:r w:rsidRPr="00431E2B">
        <w:rPr>
          <w:noProof/>
          <w:sz w:val="22"/>
          <w:szCs w:val="22"/>
          <w:lang w:eastAsia="hu-H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A783BC3" wp14:editId="419964D5">
                <wp:simplePos x="0" y="0"/>
                <wp:positionH relativeFrom="column">
                  <wp:posOffset>3690620</wp:posOffset>
                </wp:positionH>
                <wp:positionV relativeFrom="paragraph">
                  <wp:posOffset>122555</wp:posOffset>
                </wp:positionV>
                <wp:extent cx="2256155" cy="3657600"/>
                <wp:effectExtent l="0" t="0" r="10795" b="19050"/>
                <wp:wrapTight wrapText="bothSides">
                  <wp:wrapPolygon edited="0">
                    <wp:start x="0" y="0"/>
                    <wp:lineTo x="0" y="21600"/>
                    <wp:lineTo x="21521" y="21600"/>
                    <wp:lineTo x="21521" y="0"/>
                    <wp:lineTo x="0" y="0"/>
                  </wp:wrapPolygon>
                </wp:wrapTight>
                <wp:docPr id="25" name="Szövegdoboz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155" cy="3657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8EC80E" w14:textId="77777777" w:rsidR="00BC6B81" w:rsidRPr="001C1243" w:rsidRDefault="00BC6B81" w:rsidP="00BC6B81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C1243">
                              <w:rPr>
                                <w:b/>
                                <w:bCs/>
                              </w:rPr>
                              <w:t>8. ábra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A783BC3" id="_x0000_t202" coordsize="21600,21600" o:spt="202" path="m,l,21600r21600,l21600,xe">
                <v:stroke joinstyle="miter"/>
                <v:path gradientshapeok="t" o:connecttype="rect"/>
              </v:shapetype>
              <v:shape id="Szövegdoboz 25" o:spid="_x0000_s1026" type="#_x0000_t202" style="position:absolute;margin-left:290.6pt;margin-top:9.65pt;width:177.65pt;height:4in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" filled="f" strokeweight=".5pt">
                <v:textbox>
                  <w:txbxContent>
                    <w:p w14:paraId="408EC80E" w14:textId="77777777" w:rsidR="00BC6B81" w:rsidRPr="001C1243" w:rsidRDefault="00BC6B81" w:rsidP="00BC6B81">
                      <w:pPr>
                        <w:rPr>
                          <w:b/>
                          <w:bCs/>
                        </w:rPr>
                      </w:pPr>
                      <w:r w:rsidRPr="001C1243">
                        <w:rPr>
                          <w:b/>
                          <w:bCs/>
                        </w:rPr>
                        <w:t>8. ábra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31E2B">
        <w:rPr>
          <w:sz w:val="22"/>
          <w:szCs w:val="22"/>
          <w:lang w:eastAsia="ja-JP"/>
        </w:rPr>
        <w:t>:</w:t>
      </w:r>
    </w:p>
    <w:p w14:paraId="4BB84D45" w14:textId="77777777" w:rsidR="00BC6B81" w:rsidRPr="00431E2B" w:rsidRDefault="00BC6B81" w:rsidP="00BC6B81">
      <w:pPr>
        <w:pStyle w:val="Listaszerbekezds"/>
        <w:numPr>
          <w:ilvl w:val="0"/>
          <w:numId w:val="17"/>
        </w:numPr>
        <w:rPr>
          <w:sz w:val="22"/>
          <w:szCs w:val="22"/>
          <w:lang w:eastAsia="ja-JP"/>
        </w:rPr>
      </w:pPr>
      <w:r w:rsidRPr="00431E2B">
        <w:rPr>
          <w:noProof/>
          <w:sz w:val="22"/>
          <w:szCs w:val="22"/>
          <w:lang w:eastAsia="hu-HU"/>
        </w:rPr>
        <w:drawing>
          <wp:anchor distT="0" distB="0" distL="114300" distR="114300" simplePos="0" relativeHeight="251659264" behindDoc="0" locked="0" layoutInCell="1" allowOverlap="1" wp14:anchorId="34BE1F2D" wp14:editId="7CBED0C5">
            <wp:simplePos x="0" y="0"/>
            <wp:positionH relativeFrom="column">
              <wp:posOffset>3739515</wp:posOffset>
            </wp:positionH>
            <wp:positionV relativeFrom="paragraph">
              <wp:posOffset>242265</wp:posOffset>
            </wp:positionV>
            <wp:extent cx="2057400" cy="1090295"/>
            <wp:effectExtent l="0" t="0" r="0" b="0"/>
            <wp:wrapSquare wrapText="bothSides"/>
            <wp:docPr id="47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1E2B">
        <w:rPr>
          <w:sz w:val="22"/>
          <w:szCs w:val="22"/>
          <w:lang w:eastAsia="ja-JP"/>
        </w:rPr>
        <w:t>Válassza ki az injekció beadási helyét a has</w:t>
      </w:r>
      <w:r>
        <w:rPr>
          <w:sz w:val="22"/>
          <w:szCs w:val="22"/>
          <w:lang w:eastAsia="ja-JP"/>
        </w:rPr>
        <w:t xml:space="preserve"> területén</w:t>
      </w:r>
      <w:r w:rsidRPr="00431E2B">
        <w:rPr>
          <w:sz w:val="22"/>
          <w:szCs w:val="22"/>
          <w:lang w:eastAsia="ja-JP"/>
        </w:rPr>
        <w:t>, a fenék felső részén vagy más olyan helyen, ahol megfelelő mennyiségű bőr alatti szövet található, és amelyen nincs túlzott pigment</w:t>
      </w:r>
      <w:r>
        <w:rPr>
          <w:sz w:val="22"/>
          <w:szCs w:val="22"/>
          <w:lang w:eastAsia="ja-JP"/>
        </w:rPr>
        <w:t>áció</w:t>
      </w:r>
      <w:r w:rsidRPr="00431E2B">
        <w:rPr>
          <w:sz w:val="22"/>
          <w:szCs w:val="22"/>
          <w:lang w:eastAsia="ja-JP"/>
        </w:rPr>
        <w:t xml:space="preserve">, </w:t>
      </w:r>
      <w:r>
        <w:rPr>
          <w:sz w:val="22"/>
          <w:szCs w:val="22"/>
          <w:lang w:eastAsia="ja-JP"/>
        </w:rPr>
        <w:t xml:space="preserve">nincsenek </w:t>
      </w:r>
      <w:r w:rsidRPr="00431E2B">
        <w:rPr>
          <w:sz w:val="22"/>
          <w:szCs w:val="22"/>
          <w:lang w:eastAsia="ja-JP"/>
        </w:rPr>
        <w:t xml:space="preserve">csomók, </w:t>
      </w:r>
      <w:r>
        <w:rPr>
          <w:sz w:val="22"/>
          <w:szCs w:val="22"/>
          <w:lang w:eastAsia="ja-JP"/>
        </w:rPr>
        <w:t>sérülések</w:t>
      </w:r>
      <w:r w:rsidRPr="00431E2B">
        <w:rPr>
          <w:sz w:val="22"/>
          <w:szCs w:val="22"/>
          <w:lang w:eastAsia="ja-JP"/>
        </w:rPr>
        <w:t xml:space="preserve"> </w:t>
      </w:r>
      <w:r>
        <w:rPr>
          <w:sz w:val="22"/>
          <w:szCs w:val="22"/>
          <w:lang w:eastAsia="ja-JP"/>
        </w:rPr>
        <w:t>és nem borítja</w:t>
      </w:r>
      <w:r w:rsidRPr="00431E2B">
        <w:rPr>
          <w:sz w:val="22"/>
          <w:szCs w:val="22"/>
          <w:lang w:eastAsia="ja-JP"/>
        </w:rPr>
        <w:t xml:space="preserve"> szőrzet, és </w:t>
      </w:r>
      <w:r>
        <w:rPr>
          <w:sz w:val="22"/>
          <w:szCs w:val="22"/>
          <w:lang w:eastAsia="ja-JP"/>
        </w:rPr>
        <w:t>ahová nem adtak be injekciót</w:t>
      </w:r>
      <w:r w:rsidRPr="00431E2B">
        <w:rPr>
          <w:sz w:val="22"/>
          <w:szCs w:val="22"/>
          <w:lang w:eastAsia="ja-JP"/>
        </w:rPr>
        <w:t xml:space="preserve"> az utóbbi időben.</w:t>
      </w:r>
    </w:p>
    <w:p w14:paraId="787924CF" w14:textId="77777777" w:rsidR="00BC6B81" w:rsidRPr="00431E2B" w:rsidRDefault="00BC6B81" w:rsidP="00BC6B81">
      <w:pPr>
        <w:pStyle w:val="Listaszerbekezds"/>
        <w:numPr>
          <w:ilvl w:val="0"/>
          <w:numId w:val="17"/>
        </w:numPr>
        <w:rPr>
          <w:sz w:val="22"/>
          <w:szCs w:val="22"/>
          <w:lang w:eastAsia="ja-JP"/>
        </w:rPr>
      </w:pPr>
      <w:r w:rsidRPr="00431E2B">
        <w:rPr>
          <w:sz w:val="22"/>
          <w:szCs w:val="22"/>
          <w:lang w:eastAsia="ja-JP"/>
        </w:rPr>
        <w:t>Tisztítsa meg az injekció beadási helyét alkoholos törlőkendővel (nincs mellékelve).</w:t>
      </w:r>
    </w:p>
    <w:p w14:paraId="5A8603BF" w14:textId="77777777" w:rsidR="00BC6B81" w:rsidRPr="00431E2B" w:rsidRDefault="00BC6B81" w:rsidP="00BC6B81">
      <w:pPr>
        <w:pStyle w:val="Listaszerbekezds"/>
        <w:numPr>
          <w:ilvl w:val="0"/>
          <w:numId w:val="17"/>
        </w:numPr>
        <w:rPr>
          <w:sz w:val="22"/>
          <w:szCs w:val="22"/>
          <w:lang w:eastAsia="ja-JP"/>
        </w:rPr>
      </w:pPr>
      <w:r>
        <w:rPr>
          <w:noProof/>
          <w:sz w:val="22"/>
          <w:szCs w:val="22"/>
          <w:lang w:eastAsia="hu-HU"/>
        </w:rPr>
        <w:drawing>
          <wp:anchor distT="0" distB="0" distL="114300" distR="114300" simplePos="0" relativeHeight="251661312" behindDoc="1" locked="0" layoutInCell="1" allowOverlap="1" wp14:anchorId="3F5C0416" wp14:editId="481596D5">
            <wp:simplePos x="0" y="0"/>
            <wp:positionH relativeFrom="margin">
              <wp:posOffset>3844290</wp:posOffset>
            </wp:positionH>
            <wp:positionV relativeFrom="paragraph">
              <wp:posOffset>55880</wp:posOffset>
            </wp:positionV>
            <wp:extent cx="1943100" cy="2115820"/>
            <wp:effectExtent l="0" t="0" r="0" b="0"/>
            <wp:wrapTight wrapText="bothSides">
              <wp:wrapPolygon edited="0">
                <wp:start x="0" y="0"/>
                <wp:lineTo x="0" y="21393"/>
                <wp:lineTo x="21388" y="21393"/>
                <wp:lineTo x="21388" y="0"/>
                <wp:lineTo x="0" y="0"/>
              </wp:wrapPolygon>
            </wp:wrapTight>
            <wp:docPr id="57" name="Kép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1E2B">
        <w:rPr>
          <w:sz w:val="22"/>
          <w:szCs w:val="22"/>
          <w:lang w:eastAsia="ja-JP"/>
        </w:rPr>
        <w:t xml:space="preserve">A hüvelyk- és mutatóujjával </w:t>
      </w:r>
      <w:r>
        <w:rPr>
          <w:sz w:val="22"/>
          <w:szCs w:val="22"/>
          <w:lang w:eastAsia="ja-JP"/>
        </w:rPr>
        <w:t>csípje össze a bőrt és képezzen redőt</w:t>
      </w:r>
      <w:r w:rsidRPr="00431E2B">
        <w:rPr>
          <w:sz w:val="22"/>
          <w:szCs w:val="22"/>
          <w:lang w:eastAsia="ja-JP"/>
        </w:rPr>
        <w:t xml:space="preserve"> az injekció beadásának helye körül.</w:t>
      </w:r>
    </w:p>
    <w:p w14:paraId="624A9B9D" w14:textId="77777777" w:rsidR="00BC6B81" w:rsidRPr="00431E2B" w:rsidRDefault="00BC6B81" w:rsidP="00BC6B81">
      <w:pPr>
        <w:pStyle w:val="Listaszerbekezds"/>
        <w:numPr>
          <w:ilvl w:val="0"/>
          <w:numId w:val="17"/>
        </w:numPr>
        <w:rPr>
          <w:sz w:val="22"/>
          <w:szCs w:val="22"/>
          <w:lang w:eastAsia="ja-JP"/>
        </w:rPr>
      </w:pPr>
      <w:r>
        <w:rPr>
          <w:sz w:val="22"/>
          <w:szCs w:val="22"/>
          <w:lang w:eastAsia="ja-JP"/>
        </w:rPr>
        <w:t>A d</w:t>
      </w:r>
      <w:r w:rsidRPr="00431E2B">
        <w:rPr>
          <w:sz w:val="22"/>
          <w:szCs w:val="22"/>
          <w:lang w:eastAsia="ja-JP"/>
        </w:rPr>
        <w:t>omináns kezével gyorsan szúrja be a tűt a bőrfelülethez képest 90°-os szögben. A beszúrás mélysége a bőr alatti szövet mennyiségétől és teltségétől, valamint a tű hosszától függ. A tű beszúrása után engedje el a bőrt.</w:t>
      </w:r>
    </w:p>
    <w:p w14:paraId="6340BF15" w14:textId="77777777" w:rsidR="00BC6B81" w:rsidRPr="00431E2B" w:rsidRDefault="00BC6B81" w:rsidP="00BC6B81">
      <w:pPr>
        <w:pStyle w:val="Listaszerbekezds"/>
        <w:numPr>
          <w:ilvl w:val="0"/>
          <w:numId w:val="17"/>
        </w:numPr>
        <w:rPr>
          <w:sz w:val="22"/>
          <w:szCs w:val="22"/>
          <w:lang w:eastAsia="ja-JP"/>
        </w:rPr>
      </w:pPr>
      <w:r w:rsidRPr="00431E2B">
        <w:rPr>
          <w:sz w:val="22"/>
          <w:szCs w:val="22"/>
          <w:lang w:eastAsia="ja-JP"/>
        </w:rPr>
        <w:t xml:space="preserve">Lassú, egyenletes nyomással adja be a gyógyszert, és nyomja le a dugattyút, amíg a fecskendő ki nem ürül. </w:t>
      </w:r>
      <w:r>
        <w:rPr>
          <w:sz w:val="22"/>
          <w:szCs w:val="22"/>
          <w:lang w:eastAsia="ja-JP"/>
        </w:rPr>
        <w:t>Mielőtt a tűt eltávolítaná, g</w:t>
      </w:r>
      <w:r w:rsidRPr="00431E2B">
        <w:rPr>
          <w:sz w:val="22"/>
          <w:szCs w:val="22"/>
          <w:lang w:eastAsia="ja-JP"/>
        </w:rPr>
        <w:t>yőződjön meg arról, hogy a „B” fecskendőben lévő készítmény teljes mennyiségét beadta.</w:t>
      </w:r>
    </w:p>
    <w:p w14:paraId="45EF7BCB" w14:textId="77777777" w:rsidR="00BC6B81" w:rsidRPr="00431E2B" w:rsidRDefault="00BC6B81" w:rsidP="00BC6B81">
      <w:pPr>
        <w:pStyle w:val="Listaszerbekezds"/>
        <w:numPr>
          <w:ilvl w:val="0"/>
          <w:numId w:val="17"/>
        </w:numPr>
        <w:ind w:left="714" w:hanging="357"/>
        <w:rPr>
          <w:sz w:val="22"/>
          <w:szCs w:val="22"/>
          <w:lang w:eastAsia="ja-JP"/>
        </w:rPr>
      </w:pPr>
      <w:r>
        <w:rPr>
          <w:sz w:val="22"/>
          <w:szCs w:val="22"/>
          <w:lang w:eastAsia="ja-JP"/>
        </w:rPr>
        <w:t>Ugyanabban a 90°-os szögben, amiben beszúrta a tűt, gyorsan húzza ki</w:t>
      </w:r>
      <w:r w:rsidRPr="00431E2B">
        <w:rPr>
          <w:sz w:val="22"/>
          <w:szCs w:val="22"/>
          <w:lang w:eastAsia="ja-JP"/>
        </w:rPr>
        <w:t>, miközben a dugattyút lenyomva tartja.</w:t>
      </w:r>
    </w:p>
    <w:p w14:paraId="0F6CFB8F" w14:textId="77777777" w:rsidR="00BC6B81" w:rsidRPr="00431E2B" w:rsidRDefault="00BC6B81" w:rsidP="00BC6B81">
      <w:pPr>
        <w:rPr>
          <w:b/>
          <w:sz w:val="22"/>
          <w:szCs w:val="22"/>
        </w:rPr>
      </w:pPr>
    </w:p>
    <w:p w14:paraId="62FB4423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b/>
          <w:sz w:val="22"/>
          <w:szCs w:val="22"/>
          <w:lang w:eastAsia="ja-JP"/>
        </w:rPr>
        <w:lastRenderedPageBreak/>
        <w:t>9</w:t>
      </w:r>
      <w:r w:rsidRPr="00431E2B">
        <w:rPr>
          <w:b/>
          <w:sz w:val="22"/>
          <w:szCs w:val="22"/>
        </w:rPr>
        <w:t xml:space="preserve">. lépés: </w:t>
      </w:r>
      <w:r w:rsidRPr="00431E2B">
        <w:rPr>
          <w:sz w:val="22"/>
          <w:szCs w:val="22"/>
        </w:rPr>
        <w:t xml:space="preserve">Az injekció beadása után zárja </w:t>
      </w:r>
      <w:r>
        <w:rPr>
          <w:sz w:val="22"/>
          <w:szCs w:val="22"/>
        </w:rPr>
        <w:t>be</w:t>
      </w:r>
      <w:r w:rsidRPr="00431E2B">
        <w:rPr>
          <w:sz w:val="22"/>
          <w:szCs w:val="22"/>
        </w:rPr>
        <w:t xml:space="preserve"> a biztonsági védőpajzsot az alábbiakban leírt aktiváló módszerek egyikével.</w:t>
      </w:r>
    </w:p>
    <w:p w14:paraId="5C71CC7A" w14:textId="77777777" w:rsidR="00BC6B81" w:rsidRPr="00431E2B" w:rsidRDefault="00BC6B81" w:rsidP="00BC6B81">
      <w:pPr>
        <w:rPr>
          <w:sz w:val="22"/>
          <w:szCs w:val="22"/>
        </w:rPr>
      </w:pPr>
    </w:p>
    <w:p w14:paraId="14BE5564" w14:textId="77777777" w:rsidR="00BC6B81" w:rsidRPr="00431E2B" w:rsidRDefault="00BC6B81" w:rsidP="00BC6B81">
      <w:pPr>
        <w:tabs>
          <w:tab w:val="left" w:pos="709"/>
          <w:tab w:val="num" w:pos="2160"/>
        </w:tabs>
        <w:ind w:left="284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  <w:t>Be</w:t>
      </w:r>
      <w:r w:rsidRPr="00431E2B">
        <w:rPr>
          <w:b/>
          <w:sz w:val="22"/>
          <w:szCs w:val="22"/>
        </w:rPr>
        <w:t>zárás egy sík felületen</w:t>
      </w:r>
    </w:p>
    <w:p w14:paraId="64DE9479" w14:textId="77777777" w:rsidR="00BC6B81" w:rsidRPr="00431E2B" w:rsidRDefault="00BC6B81" w:rsidP="00BC6B81">
      <w:pPr>
        <w:tabs>
          <w:tab w:val="left" w:pos="851"/>
        </w:tabs>
        <w:rPr>
          <w:sz w:val="22"/>
          <w:szCs w:val="22"/>
        </w:rPr>
      </w:pPr>
    </w:p>
    <w:p w14:paraId="49F2DA2C" w14:textId="77777777" w:rsidR="00BC6B81" w:rsidRPr="00431E2B" w:rsidRDefault="00BC6B81" w:rsidP="00BC6B81">
      <w:pPr>
        <w:rPr>
          <w:sz w:val="22"/>
          <w:szCs w:val="22"/>
        </w:rPr>
      </w:pPr>
      <w:r>
        <w:rPr>
          <w:sz w:val="22"/>
          <w:szCs w:val="22"/>
        </w:rPr>
        <w:t>A védőpajzsot lefelé tartva, nyomja le egy sík felületre (9a ábra) úgy, hogy az befedje a tűt és bezáródjon a pajzs</w:t>
      </w:r>
      <w:r w:rsidRPr="00431E2B">
        <w:rPr>
          <w:sz w:val="22"/>
          <w:szCs w:val="22"/>
        </w:rPr>
        <w:t>.</w:t>
      </w:r>
    </w:p>
    <w:p w14:paraId="04A89943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sz w:val="22"/>
          <w:szCs w:val="22"/>
        </w:rPr>
        <w:t xml:space="preserve">Úgy győződhet meg a zárt pozícióról, ha hallja és érzi a „kattanást”. Ekkor a védőpajzs teljesen </w:t>
      </w:r>
      <w:r>
        <w:rPr>
          <w:sz w:val="22"/>
          <w:szCs w:val="22"/>
        </w:rPr>
        <w:t>be</w:t>
      </w:r>
      <w:r w:rsidRPr="00431E2B">
        <w:rPr>
          <w:sz w:val="22"/>
          <w:szCs w:val="22"/>
        </w:rPr>
        <w:t>fedi a tű</w:t>
      </w:r>
      <w:r>
        <w:rPr>
          <w:sz w:val="22"/>
          <w:szCs w:val="22"/>
        </w:rPr>
        <w:t xml:space="preserve"> </w:t>
      </w:r>
      <w:r w:rsidRPr="00431E2B">
        <w:rPr>
          <w:sz w:val="22"/>
          <w:szCs w:val="22"/>
        </w:rPr>
        <w:t>hegy</w:t>
      </w:r>
      <w:r>
        <w:rPr>
          <w:sz w:val="22"/>
          <w:szCs w:val="22"/>
        </w:rPr>
        <w:t>é</w:t>
      </w:r>
      <w:r w:rsidRPr="00431E2B">
        <w:rPr>
          <w:sz w:val="22"/>
          <w:szCs w:val="22"/>
        </w:rPr>
        <w:t>t.</w:t>
      </w:r>
    </w:p>
    <w:p w14:paraId="530C598F" w14:textId="77777777" w:rsidR="00BC6B81" w:rsidRPr="00431E2B" w:rsidRDefault="00BC6B81" w:rsidP="00BC6B81">
      <w:pPr>
        <w:rPr>
          <w:sz w:val="22"/>
          <w:szCs w:val="22"/>
        </w:rPr>
      </w:pPr>
    </w:p>
    <w:p w14:paraId="1BD4A1F6" w14:textId="77777777" w:rsidR="00BC6B81" w:rsidRPr="00431E2B" w:rsidRDefault="00BC6B81" w:rsidP="00BC6B81">
      <w:pPr>
        <w:rPr>
          <w:sz w:val="22"/>
          <w:szCs w:val="22"/>
        </w:rPr>
      </w:pPr>
    </w:p>
    <w:p w14:paraId="47561A22" w14:textId="77777777" w:rsidR="00BC6B81" w:rsidRPr="00431E2B" w:rsidRDefault="00BC6B81" w:rsidP="00BC6B81">
      <w:pPr>
        <w:keepNext/>
        <w:tabs>
          <w:tab w:val="left" w:pos="709"/>
          <w:tab w:val="num" w:pos="2160"/>
        </w:tabs>
        <w:ind w:left="284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431E2B">
        <w:rPr>
          <w:b/>
          <w:sz w:val="22"/>
          <w:szCs w:val="22"/>
        </w:rPr>
        <w:t xml:space="preserve">Hüvelykujjal történő </w:t>
      </w:r>
      <w:r>
        <w:rPr>
          <w:b/>
          <w:sz w:val="22"/>
          <w:szCs w:val="22"/>
        </w:rPr>
        <w:t>be</w:t>
      </w:r>
      <w:r w:rsidRPr="00431E2B">
        <w:rPr>
          <w:b/>
          <w:sz w:val="22"/>
          <w:szCs w:val="22"/>
        </w:rPr>
        <w:t>zárás</w:t>
      </w:r>
    </w:p>
    <w:p w14:paraId="4D3553EE" w14:textId="77777777" w:rsidR="00BC6B81" w:rsidRPr="00431E2B" w:rsidRDefault="00BC6B81" w:rsidP="00BC6B81">
      <w:pPr>
        <w:keepNext/>
        <w:tabs>
          <w:tab w:val="left" w:pos="851"/>
        </w:tabs>
        <w:rPr>
          <w:sz w:val="22"/>
          <w:szCs w:val="22"/>
        </w:rPr>
      </w:pPr>
    </w:p>
    <w:p w14:paraId="11E1B98A" w14:textId="77777777" w:rsidR="00BC6B81" w:rsidRPr="00431E2B" w:rsidRDefault="00BC6B81" w:rsidP="00BC6B81">
      <w:pPr>
        <w:tabs>
          <w:tab w:val="left" w:pos="851"/>
        </w:tabs>
        <w:rPr>
          <w:sz w:val="22"/>
          <w:szCs w:val="22"/>
        </w:rPr>
      </w:pPr>
      <w:r w:rsidRPr="00431E2B">
        <w:rPr>
          <w:sz w:val="22"/>
          <w:szCs w:val="22"/>
        </w:rPr>
        <w:t xml:space="preserve">Helyezze hüvelykujját a biztonsági védőpajzsra (9b ábra), majd takarja </w:t>
      </w:r>
      <w:r>
        <w:rPr>
          <w:sz w:val="22"/>
          <w:szCs w:val="22"/>
        </w:rPr>
        <w:t>be</w:t>
      </w:r>
      <w:r w:rsidRPr="00431E2B">
        <w:rPr>
          <w:sz w:val="22"/>
          <w:szCs w:val="22"/>
        </w:rPr>
        <w:t xml:space="preserve"> vele a tű hegyét és zárja </w:t>
      </w:r>
      <w:r>
        <w:rPr>
          <w:sz w:val="22"/>
          <w:szCs w:val="22"/>
        </w:rPr>
        <w:t>be</w:t>
      </w:r>
      <w:r w:rsidRPr="00431E2B">
        <w:rPr>
          <w:sz w:val="22"/>
          <w:szCs w:val="22"/>
        </w:rPr>
        <w:t xml:space="preserve"> a védőpajzsot.</w:t>
      </w:r>
    </w:p>
    <w:p w14:paraId="1B97A213" w14:textId="77777777" w:rsidR="00BC6B81" w:rsidRPr="00431E2B" w:rsidRDefault="00BC6B81" w:rsidP="00BC6B81">
      <w:pPr>
        <w:rPr>
          <w:sz w:val="22"/>
          <w:szCs w:val="22"/>
        </w:rPr>
      </w:pPr>
      <w:r w:rsidRPr="00431E2B">
        <w:rPr>
          <w:sz w:val="22"/>
          <w:szCs w:val="22"/>
        </w:rPr>
        <w:t xml:space="preserve">Úgy győződhet meg a zárt pozícióról, ha hallja és érzi a „kattanást”. Ekkor a védőpajzs teljesen </w:t>
      </w:r>
      <w:r>
        <w:rPr>
          <w:sz w:val="22"/>
          <w:szCs w:val="22"/>
        </w:rPr>
        <w:t>be</w:t>
      </w:r>
      <w:r w:rsidRPr="00431E2B">
        <w:rPr>
          <w:sz w:val="22"/>
          <w:szCs w:val="22"/>
        </w:rPr>
        <w:t>fedi a tű</w:t>
      </w:r>
      <w:r>
        <w:rPr>
          <w:sz w:val="22"/>
          <w:szCs w:val="22"/>
        </w:rPr>
        <w:t xml:space="preserve"> </w:t>
      </w:r>
      <w:r w:rsidRPr="00431E2B">
        <w:rPr>
          <w:sz w:val="22"/>
          <w:szCs w:val="22"/>
        </w:rPr>
        <w:t>hegy</w:t>
      </w:r>
      <w:r>
        <w:rPr>
          <w:sz w:val="22"/>
          <w:szCs w:val="22"/>
        </w:rPr>
        <w:t>é</w:t>
      </w:r>
      <w:r w:rsidRPr="00431E2B">
        <w:rPr>
          <w:sz w:val="22"/>
          <w:szCs w:val="22"/>
        </w:rPr>
        <w:t>t.</w:t>
      </w:r>
    </w:p>
    <w:p w14:paraId="23317C8F" w14:textId="77777777" w:rsidR="00BC6B81" w:rsidRPr="00431E2B" w:rsidRDefault="00BC6B81" w:rsidP="00BC6B81">
      <w:pPr>
        <w:rPr>
          <w:sz w:val="22"/>
          <w:szCs w:val="22"/>
        </w:rPr>
      </w:pPr>
    </w:p>
    <w:p w14:paraId="3C8442A1" w14:textId="77777777" w:rsidR="00BC6B81" w:rsidRPr="00431E2B" w:rsidRDefault="00BC6B81" w:rsidP="00BC6B81">
      <w:pPr>
        <w:keepNext/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39"/>
        <w:gridCol w:w="2977"/>
      </w:tblGrid>
      <w:tr w:rsidR="00BC6B81" w:rsidRPr="00433A6C" w14:paraId="0B380597" w14:textId="77777777" w:rsidTr="006128D3">
        <w:tc>
          <w:tcPr>
            <w:tcW w:w="3539" w:type="dxa"/>
            <w:tcBorders>
              <w:bottom w:val="nil"/>
              <w:right w:val="nil"/>
            </w:tcBorders>
          </w:tcPr>
          <w:p w14:paraId="38FCFBAC" w14:textId="77777777" w:rsidR="00BC6B81" w:rsidRPr="00431E2B" w:rsidRDefault="00BC6B81" w:rsidP="006128D3">
            <w:pPr>
              <w:keepNext/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31E2B">
              <w:rPr>
                <w:b/>
                <w:bCs/>
                <w:color w:val="000000"/>
                <w:sz w:val="22"/>
                <w:szCs w:val="22"/>
              </w:rPr>
              <w:t>9a ábra</w:t>
            </w:r>
          </w:p>
          <w:p w14:paraId="5C4FBF83" w14:textId="77777777" w:rsidR="00BC6B81" w:rsidRPr="00431E2B" w:rsidRDefault="00BC6B81" w:rsidP="006128D3">
            <w:pPr>
              <w:keepNext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Be</w:t>
            </w:r>
            <w:r w:rsidRPr="00431E2B">
              <w:rPr>
                <w:b/>
                <w:color w:val="000000"/>
                <w:sz w:val="22"/>
                <w:szCs w:val="22"/>
              </w:rPr>
              <w:t>zárás egy sík felületen</w:t>
            </w:r>
          </w:p>
        </w:tc>
        <w:tc>
          <w:tcPr>
            <w:tcW w:w="2977" w:type="dxa"/>
            <w:tcBorders>
              <w:left w:val="nil"/>
              <w:bottom w:val="nil"/>
            </w:tcBorders>
          </w:tcPr>
          <w:p w14:paraId="7A72F01C" w14:textId="77777777" w:rsidR="00BC6B81" w:rsidRPr="00431E2B" w:rsidRDefault="00BC6B81" w:rsidP="006128D3">
            <w:pPr>
              <w:keepNext/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431E2B">
              <w:rPr>
                <w:b/>
                <w:bCs/>
                <w:color w:val="000000"/>
                <w:sz w:val="22"/>
                <w:szCs w:val="22"/>
              </w:rPr>
              <w:t>9b ábra</w:t>
            </w:r>
          </w:p>
          <w:p w14:paraId="2672551D" w14:textId="77777777" w:rsidR="00BC6B81" w:rsidRPr="00431E2B" w:rsidRDefault="00BC6B81" w:rsidP="006128D3">
            <w:pPr>
              <w:keepNext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431E2B">
              <w:rPr>
                <w:b/>
                <w:bCs/>
                <w:color w:val="000000"/>
                <w:sz w:val="22"/>
                <w:szCs w:val="22"/>
              </w:rPr>
              <w:t xml:space="preserve">Hüvelykujjal történő </w:t>
            </w:r>
            <w:r>
              <w:rPr>
                <w:b/>
                <w:bCs/>
                <w:color w:val="000000"/>
                <w:sz w:val="22"/>
                <w:szCs w:val="22"/>
              </w:rPr>
              <w:t>be</w:t>
            </w:r>
            <w:r w:rsidRPr="00431E2B">
              <w:rPr>
                <w:b/>
                <w:bCs/>
                <w:color w:val="000000"/>
                <w:sz w:val="22"/>
                <w:szCs w:val="22"/>
              </w:rPr>
              <w:t>zárás</w:t>
            </w:r>
          </w:p>
        </w:tc>
      </w:tr>
      <w:tr w:rsidR="00BC6B81" w:rsidRPr="001B0E99" w14:paraId="1D2D875F" w14:textId="77777777" w:rsidTr="006128D3">
        <w:trPr>
          <w:trHeight w:val="4617"/>
        </w:trPr>
        <w:tc>
          <w:tcPr>
            <w:tcW w:w="6516" w:type="dxa"/>
            <w:gridSpan w:val="2"/>
            <w:tcBorders>
              <w:top w:val="nil"/>
            </w:tcBorders>
          </w:tcPr>
          <w:p w14:paraId="7F3B3357" w14:textId="77777777" w:rsidR="00BC6B81" w:rsidRPr="00E87BCD" w:rsidRDefault="00BC6B81" w:rsidP="006128D3">
            <w:pPr>
              <w:keepNext/>
              <w:rPr>
                <w:color w:val="000000"/>
                <w:szCs w:val="22"/>
              </w:rPr>
            </w:pPr>
            <w:r>
              <w:rPr>
                <w:noProof/>
                <w:color w:val="000000"/>
                <w:szCs w:val="22"/>
                <w:lang w:eastAsia="hu-HU"/>
              </w:rPr>
              <w:drawing>
                <wp:inline distT="0" distB="0" distL="0" distR="0" wp14:anchorId="7F485738" wp14:editId="15470A7D">
                  <wp:extent cx="3876675" cy="2847975"/>
                  <wp:effectExtent l="0" t="0" r="9525" b="9525"/>
                  <wp:docPr id="58" name="Kép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AEF73D" w14:textId="77777777" w:rsidR="00BC6B81" w:rsidRPr="00431E2B" w:rsidRDefault="00BC6B81" w:rsidP="00BC6B81">
      <w:pPr>
        <w:keepNext/>
        <w:tabs>
          <w:tab w:val="left" w:pos="851"/>
        </w:tabs>
        <w:rPr>
          <w:sz w:val="22"/>
          <w:szCs w:val="22"/>
        </w:rPr>
      </w:pPr>
    </w:p>
    <w:p w14:paraId="314FD40D" w14:textId="77777777" w:rsidR="00BC6B81" w:rsidRPr="00431E2B" w:rsidRDefault="00BC6B81" w:rsidP="00BC6B81">
      <w:pPr>
        <w:tabs>
          <w:tab w:val="left" w:pos="851"/>
        </w:tabs>
        <w:rPr>
          <w:sz w:val="22"/>
          <w:szCs w:val="22"/>
          <w:lang w:eastAsia="ja-JP"/>
        </w:rPr>
      </w:pPr>
    </w:p>
    <w:p w14:paraId="5E86B7FC" w14:textId="77777777" w:rsidR="00BC6B81" w:rsidRPr="00431E2B" w:rsidRDefault="00BC6B81" w:rsidP="00BC6B81">
      <w:pPr>
        <w:tabs>
          <w:tab w:val="left" w:pos="851"/>
        </w:tabs>
        <w:rPr>
          <w:sz w:val="22"/>
          <w:szCs w:val="22"/>
        </w:rPr>
      </w:pPr>
      <w:r>
        <w:rPr>
          <w:sz w:val="22"/>
          <w:szCs w:val="22"/>
        </w:rPr>
        <w:t>Amint</w:t>
      </w:r>
      <w:r w:rsidRPr="00431E2B">
        <w:rPr>
          <w:sz w:val="22"/>
          <w:szCs w:val="22"/>
        </w:rPr>
        <w:t xml:space="preserve"> </w:t>
      </w:r>
      <w:r>
        <w:rPr>
          <w:sz w:val="22"/>
          <w:szCs w:val="22"/>
        </w:rPr>
        <w:t>bezárta a biztonsági pajzsot</w:t>
      </w:r>
      <w:r w:rsidRPr="00431E2B">
        <w:rPr>
          <w:sz w:val="22"/>
          <w:szCs w:val="22"/>
        </w:rPr>
        <w:t>, azonnal dobja a tűt és a fecskendőt egy alkalmas, erre a célra kijelölt zárt gyűjtőtartályba.</w:t>
      </w:r>
    </w:p>
    <w:p w14:paraId="714D2067" w14:textId="77777777" w:rsidR="00BC6B81" w:rsidRPr="00A317E5" w:rsidRDefault="00BC6B81" w:rsidP="00BC6B81">
      <w:pPr>
        <w:tabs>
          <w:tab w:val="left" w:pos="180"/>
        </w:tabs>
        <w:jc w:val="both"/>
        <w:rPr>
          <w:sz w:val="22"/>
          <w:szCs w:val="22"/>
        </w:rPr>
      </w:pPr>
    </w:p>
    <w:p w14:paraId="36E0F1CD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b/>
          <w:bCs/>
          <w:sz w:val="22"/>
          <w:szCs w:val="22"/>
        </w:rPr>
        <w:t xml:space="preserve">Megjegyzés: </w:t>
      </w:r>
      <w:r w:rsidRPr="002D0731">
        <w:rPr>
          <w:sz w:val="22"/>
          <w:szCs w:val="22"/>
        </w:rPr>
        <w:sym w:font="Wingdings" w:char="F058"/>
      </w:r>
      <w:r w:rsidRPr="002D0731">
        <w:rPr>
          <w:sz w:val="22"/>
          <w:szCs w:val="22"/>
        </w:rPr>
        <w:sym w:font="Wingdings" w:char="F058"/>
      </w:r>
      <w:r w:rsidRPr="002D0731">
        <w:rPr>
          <w:sz w:val="22"/>
          <w:szCs w:val="22"/>
        </w:rPr>
        <w:t xml:space="preserve"> (két keresztes)</w:t>
      </w:r>
    </w:p>
    <w:p w14:paraId="6EA90BFA" w14:textId="77777777" w:rsidR="00BC6B81" w:rsidRPr="002D0731" w:rsidRDefault="00BC6B81" w:rsidP="00BC6B81">
      <w:pPr>
        <w:tabs>
          <w:tab w:val="left" w:pos="180"/>
        </w:tabs>
        <w:rPr>
          <w:sz w:val="22"/>
          <w:szCs w:val="22"/>
        </w:rPr>
      </w:pPr>
      <w:r w:rsidRPr="002D0731">
        <w:rPr>
          <w:sz w:val="22"/>
          <w:szCs w:val="22"/>
        </w:rPr>
        <w:t xml:space="preserve">Osztályozás: </w:t>
      </w:r>
      <w:r w:rsidRPr="002D0731">
        <w:rPr>
          <w:b/>
          <w:sz w:val="22"/>
          <w:szCs w:val="22"/>
        </w:rPr>
        <w:t>II./2 csoport</w:t>
      </w:r>
    </w:p>
    <w:p w14:paraId="663D7319" w14:textId="77777777" w:rsidR="00BC6B81" w:rsidRPr="002D0731" w:rsidRDefault="00BC6B81" w:rsidP="00BC6B81">
      <w:pPr>
        <w:tabs>
          <w:tab w:val="left" w:pos="180"/>
        </w:tabs>
        <w:rPr>
          <w:sz w:val="22"/>
          <w:szCs w:val="22"/>
        </w:rPr>
      </w:pPr>
      <w:r w:rsidRPr="002D0731">
        <w:rPr>
          <w:sz w:val="22"/>
          <w:szCs w:val="22"/>
        </w:rPr>
        <w:t>Korlátozott érvényű orvosi rendelvényhez kötött, szakorvosi/kórházi diagnózist követően folyamatos szakorvosi ellenőrzés mellett alkalmazható gyógyszer (Sz).</w:t>
      </w:r>
    </w:p>
    <w:p w14:paraId="5E757AE5" w14:textId="77777777" w:rsidR="00BC6B81" w:rsidRPr="002D0731" w:rsidRDefault="00BC6B81" w:rsidP="00BC6B81">
      <w:pPr>
        <w:pStyle w:val="Szvegtrzs"/>
        <w:tabs>
          <w:tab w:val="left" w:pos="180"/>
        </w:tabs>
        <w:suppressAutoHyphens w:val="0"/>
        <w:rPr>
          <w:szCs w:val="22"/>
          <w:lang w:val="hu-HU"/>
        </w:rPr>
      </w:pPr>
    </w:p>
    <w:p w14:paraId="5BF883D9" w14:textId="77777777" w:rsidR="00BC6B81" w:rsidRPr="002D0731" w:rsidRDefault="00BC6B81" w:rsidP="00BC6B81">
      <w:pPr>
        <w:pStyle w:val="Szvegtrzs"/>
        <w:tabs>
          <w:tab w:val="left" w:pos="180"/>
        </w:tabs>
        <w:suppressAutoHyphens w:val="0"/>
        <w:rPr>
          <w:szCs w:val="22"/>
          <w:lang w:val="hu-HU"/>
        </w:rPr>
      </w:pPr>
    </w:p>
    <w:p w14:paraId="67E701CF" w14:textId="77777777" w:rsidR="00BC6B81" w:rsidRPr="002D0731" w:rsidRDefault="00BC6B81" w:rsidP="009514D4">
      <w:pPr>
        <w:pStyle w:val="Cmsor1"/>
        <w:tabs>
          <w:tab w:val="clear" w:pos="0"/>
          <w:tab w:val="left" w:pos="567"/>
        </w:tabs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7.</w:t>
      </w:r>
      <w:r w:rsidRPr="002D0731">
        <w:rPr>
          <w:szCs w:val="22"/>
          <w:lang w:val="hu-HU"/>
        </w:rPr>
        <w:tab/>
        <w:t xml:space="preserve">A FORGALOMBA HOZATALI ENGEDÉLY JOGOSULTJA </w:t>
      </w:r>
    </w:p>
    <w:p w14:paraId="243D4435" w14:textId="77777777" w:rsidR="00BC6B81" w:rsidRPr="002D0731" w:rsidRDefault="00BC6B81" w:rsidP="00BC6B81">
      <w:pPr>
        <w:keepNext/>
        <w:tabs>
          <w:tab w:val="left" w:pos="180"/>
        </w:tabs>
        <w:rPr>
          <w:sz w:val="22"/>
          <w:szCs w:val="22"/>
        </w:rPr>
      </w:pPr>
    </w:p>
    <w:p w14:paraId="2BE80ADB" w14:textId="77777777" w:rsidR="00721913" w:rsidRPr="00C3631D" w:rsidRDefault="00721913" w:rsidP="00721913">
      <w:pPr>
        <w:keepNext/>
        <w:rPr>
          <w:sz w:val="22"/>
          <w:szCs w:val="22"/>
        </w:rPr>
      </w:pPr>
      <w:r w:rsidRPr="00C3631D">
        <w:rPr>
          <w:sz w:val="22"/>
          <w:szCs w:val="22"/>
        </w:rPr>
        <w:t>Goodwill Pharma Nyrt.</w:t>
      </w:r>
    </w:p>
    <w:p w14:paraId="7FF5356B" w14:textId="77777777" w:rsidR="00721913" w:rsidRPr="00C3631D" w:rsidRDefault="00721913" w:rsidP="00721913">
      <w:pPr>
        <w:keepNext/>
        <w:rPr>
          <w:sz w:val="22"/>
          <w:szCs w:val="22"/>
        </w:rPr>
      </w:pPr>
      <w:r w:rsidRPr="00C3631D">
        <w:rPr>
          <w:sz w:val="22"/>
          <w:szCs w:val="22"/>
        </w:rPr>
        <w:t>6724 Szeged, Cserzy M. u. 32.</w:t>
      </w:r>
    </w:p>
    <w:p w14:paraId="7D0F3D1B" w14:textId="77777777" w:rsidR="00721913" w:rsidRDefault="00721913" w:rsidP="00721913">
      <w:pPr>
        <w:tabs>
          <w:tab w:val="left" w:pos="180"/>
        </w:tabs>
        <w:rPr>
          <w:sz w:val="22"/>
          <w:szCs w:val="22"/>
        </w:rPr>
      </w:pPr>
      <w:r w:rsidRPr="00C3631D">
        <w:rPr>
          <w:sz w:val="22"/>
          <w:szCs w:val="22"/>
        </w:rPr>
        <w:t>Magyarország</w:t>
      </w:r>
    </w:p>
    <w:p w14:paraId="0E7D3EF0" w14:textId="77777777" w:rsidR="00BC6B81" w:rsidRDefault="00BC6B81" w:rsidP="00BC6B81">
      <w:pPr>
        <w:tabs>
          <w:tab w:val="left" w:pos="180"/>
        </w:tabs>
        <w:rPr>
          <w:sz w:val="22"/>
          <w:szCs w:val="22"/>
        </w:rPr>
      </w:pPr>
    </w:p>
    <w:p w14:paraId="75E43FF2" w14:textId="77777777" w:rsidR="00BC6B81" w:rsidRPr="002D0731" w:rsidRDefault="00BC6B81" w:rsidP="00BC6B81">
      <w:pPr>
        <w:tabs>
          <w:tab w:val="left" w:pos="180"/>
        </w:tabs>
        <w:rPr>
          <w:sz w:val="22"/>
          <w:szCs w:val="22"/>
        </w:rPr>
      </w:pPr>
    </w:p>
    <w:p w14:paraId="5076210C" w14:textId="00371694" w:rsidR="00BC6B81" w:rsidRPr="002D0731" w:rsidRDefault="00BC6B81" w:rsidP="005E7473">
      <w:pPr>
        <w:pStyle w:val="Cmsor1"/>
        <w:numPr>
          <w:ilvl w:val="0"/>
          <w:numId w:val="19"/>
        </w:numPr>
        <w:tabs>
          <w:tab w:val="clear" w:pos="720"/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2D0731">
        <w:rPr>
          <w:szCs w:val="22"/>
          <w:lang w:val="hu-HU"/>
        </w:rPr>
        <w:t>A FORGALOMBA HOZATALI ENGEDÉLY SZÁMAI</w:t>
      </w:r>
    </w:p>
    <w:p w14:paraId="5EDEA632" w14:textId="77777777" w:rsidR="00BC6B81" w:rsidRPr="002D0731" w:rsidRDefault="00BC6B81" w:rsidP="00BC6B81">
      <w:pPr>
        <w:rPr>
          <w:sz w:val="22"/>
          <w:szCs w:val="22"/>
        </w:rPr>
      </w:pPr>
    </w:p>
    <w:p w14:paraId="1E9AA807" w14:textId="77777777" w:rsidR="00BC6B81" w:rsidRPr="002D0731" w:rsidRDefault="00BC6B81" w:rsidP="00BC6B81">
      <w:pPr>
        <w:tabs>
          <w:tab w:val="left" w:pos="2127"/>
          <w:tab w:val="left" w:pos="2694"/>
        </w:tabs>
        <w:rPr>
          <w:sz w:val="22"/>
          <w:szCs w:val="22"/>
        </w:rPr>
      </w:pPr>
      <w:r w:rsidRPr="002D0731">
        <w:rPr>
          <w:sz w:val="22"/>
          <w:szCs w:val="22"/>
        </w:rPr>
        <w:t>OGYI-T-10010/</w:t>
      </w:r>
      <w:r>
        <w:rPr>
          <w:sz w:val="22"/>
          <w:szCs w:val="22"/>
        </w:rPr>
        <w:t>11</w:t>
      </w:r>
      <w:r w:rsidRPr="002D0731">
        <w:rPr>
          <w:sz w:val="22"/>
          <w:szCs w:val="22"/>
        </w:rPr>
        <w:tab/>
        <w:t>1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9E16C4">
        <w:rPr>
          <w:sz w:val="22"/>
          <w:szCs w:val="22"/>
        </w:rPr>
        <w:t xml:space="preserve">előre összeszerelt fecskendőrendszert tartalmazó </w:t>
      </w:r>
      <w:r w:rsidRPr="002D0731">
        <w:rPr>
          <w:sz w:val="22"/>
          <w:szCs w:val="22"/>
        </w:rPr>
        <w:t>tálcás csomagolás</w:t>
      </w:r>
    </w:p>
    <w:p w14:paraId="2E2CE28B" w14:textId="77777777" w:rsidR="00BC6B81" w:rsidRPr="002D0731" w:rsidRDefault="00BC6B81" w:rsidP="00BC6B81">
      <w:pPr>
        <w:tabs>
          <w:tab w:val="left" w:pos="2127"/>
          <w:tab w:val="left" w:pos="2694"/>
        </w:tabs>
        <w:rPr>
          <w:sz w:val="22"/>
          <w:szCs w:val="22"/>
        </w:rPr>
      </w:pPr>
      <w:r w:rsidRPr="002D0731">
        <w:rPr>
          <w:sz w:val="22"/>
          <w:szCs w:val="22"/>
        </w:rPr>
        <w:t>OGYI-T-10010/</w:t>
      </w:r>
      <w:r>
        <w:rPr>
          <w:sz w:val="22"/>
          <w:szCs w:val="22"/>
        </w:rPr>
        <w:t>12</w:t>
      </w:r>
      <w:r w:rsidRPr="002D0731">
        <w:rPr>
          <w:sz w:val="22"/>
          <w:szCs w:val="22"/>
        </w:rPr>
        <w:tab/>
        <w:t>2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9E16C4">
        <w:rPr>
          <w:sz w:val="22"/>
          <w:szCs w:val="22"/>
        </w:rPr>
        <w:t xml:space="preserve">előre összeszerelt fecskendőrendszert tartalmazó </w:t>
      </w:r>
      <w:r w:rsidRPr="002D0731">
        <w:rPr>
          <w:sz w:val="22"/>
          <w:szCs w:val="22"/>
        </w:rPr>
        <w:t>tálcás csomagolás</w:t>
      </w:r>
    </w:p>
    <w:p w14:paraId="0AFBCBB6" w14:textId="77777777" w:rsidR="00BC6B81" w:rsidRPr="002D0731" w:rsidRDefault="00BC6B81" w:rsidP="00BC6B81">
      <w:pPr>
        <w:rPr>
          <w:sz w:val="22"/>
          <w:szCs w:val="22"/>
        </w:rPr>
      </w:pPr>
    </w:p>
    <w:p w14:paraId="78C2B717" w14:textId="77777777" w:rsidR="00BC6B81" w:rsidRPr="002D0731" w:rsidRDefault="00BC6B81" w:rsidP="00BC6B81">
      <w:pPr>
        <w:rPr>
          <w:sz w:val="22"/>
          <w:szCs w:val="22"/>
        </w:rPr>
      </w:pPr>
    </w:p>
    <w:p w14:paraId="60F6F37A" w14:textId="77777777" w:rsidR="00BC6B81" w:rsidRPr="002D0731" w:rsidRDefault="00BC6B81" w:rsidP="00BC6B81">
      <w:pPr>
        <w:pStyle w:val="Cmsor1"/>
        <w:tabs>
          <w:tab w:val="clear" w:pos="0"/>
        </w:tabs>
        <w:spacing w:line="240" w:lineRule="auto"/>
        <w:ind w:left="567" w:hanging="567"/>
        <w:rPr>
          <w:szCs w:val="22"/>
          <w:lang w:val="hu-HU"/>
        </w:rPr>
      </w:pPr>
      <w:r w:rsidRPr="002D0731">
        <w:rPr>
          <w:szCs w:val="22"/>
          <w:lang w:val="hu-HU"/>
        </w:rPr>
        <w:t xml:space="preserve">9. </w:t>
      </w:r>
      <w:r w:rsidRPr="002D0731">
        <w:rPr>
          <w:szCs w:val="22"/>
          <w:lang w:val="hu-HU"/>
        </w:rPr>
        <w:tab/>
        <w:t>A FORGALOMBA HOZATALI ENGEDÉLY ELSŐ KIADÁSÁNAK/ MEGÚJÍTÁSÁNAK DÁTUMA</w:t>
      </w:r>
    </w:p>
    <w:p w14:paraId="7CE76E8D" w14:textId="77777777" w:rsidR="00BC6B81" w:rsidRPr="002D0731" w:rsidRDefault="00BC6B81" w:rsidP="00BC6B81">
      <w:pPr>
        <w:pStyle w:val="Cmsor1"/>
        <w:spacing w:line="240" w:lineRule="auto"/>
        <w:rPr>
          <w:szCs w:val="22"/>
          <w:lang w:val="hu-HU"/>
        </w:rPr>
      </w:pPr>
    </w:p>
    <w:p w14:paraId="55891241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forgalomba hozatali engedély első kiadásának dátuma: 2008. január 14.</w:t>
      </w:r>
    </w:p>
    <w:p w14:paraId="068E2B59" w14:textId="77777777" w:rsidR="00BC6B81" w:rsidRPr="002D0731" w:rsidRDefault="00BC6B81" w:rsidP="00BC6B81">
      <w:pPr>
        <w:rPr>
          <w:sz w:val="22"/>
          <w:szCs w:val="22"/>
        </w:rPr>
      </w:pPr>
    </w:p>
    <w:p w14:paraId="17219FBF" w14:textId="77777777" w:rsidR="00BC6B81" w:rsidRPr="002D0731" w:rsidRDefault="00BC6B81" w:rsidP="00BC6B81">
      <w:pPr>
        <w:rPr>
          <w:sz w:val="22"/>
          <w:szCs w:val="22"/>
        </w:rPr>
      </w:pPr>
      <w:r w:rsidRPr="002D0731">
        <w:rPr>
          <w:sz w:val="22"/>
          <w:szCs w:val="22"/>
        </w:rPr>
        <w:t>A forgalomba hozatali engedély legutóbbi megújításának dátuma: 2011. március 9.</w:t>
      </w:r>
    </w:p>
    <w:p w14:paraId="7FFA0E84" w14:textId="77777777" w:rsidR="00BC6B81" w:rsidRPr="002D0731" w:rsidRDefault="00BC6B81" w:rsidP="00BC6B81">
      <w:pPr>
        <w:rPr>
          <w:sz w:val="22"/>
          <w:szCs w:val="22"/>
        </w:rPr>
      </w:pPr>
    </w:p>
    <w:p w14:paraId="370BDDA2" w14:textId="77777777" w:rsidR="00BC6B81" w:rsidRPr="002D0731" w:rsidRDefault="00BC6B81" w:rsidP="00BC6B81">
      <w:pPr>
        <w:rPr>
          <w:sz w:val="22"/>
          <w:szCs w:val="22"/>
        </w:rPr>
      </w:pPr>
    </w:p>
    <w:p w14:paraId="5D42571B" w14:textId="77777777" w:rsidR="00BC6B81" w:rsidRPr="002D0731" w:rsidRDefault="00BC6B81" w:rsidP="00BC6B81">
      <w:pPr>
        <w:pStyle w:val="Cmsor1"/>
        <w:tabs>
          <w:tab w:val="left" w:pos="540"/>
        </w:tabs>
        <w:spacing w:line="240" w:lineRule="auto"/>
        <w:rPr>
          <w:szCs w:val="22"/>
          <w:lang w:val="hu-HU"/>
        </w:rPr>
      </w:pPr>
      <w:r w:rsidRPr="002D0731">
        <w:rPr>
          <w:szCs w:val="22"/>
          <w:lang w:val="hu-HU"/>
        </w:rPr>
        <w:t>10.</w:t>
      </w:r>
      <w:r w:rsidRPr="002D0731">
        <w:rPr>
          <w:szCs w:val="22"/>
          <w:lang w:val="hu-HU"/>
        </w:rPr>
        <w:tab/>
        <w:t>A SZÖVEG ELLENŐRZÉSÉNEK DÁTUMA</w:t>
      </w:r>
    </w:p>
    <w:p w14:paraId="55149D0B" w14:textId="77777777" w:rsidR="00BC6B81" w:rsidRPr="002D0731" w:rsidRDefault="00BC6B81" w:rsidP="00BC6B81">
      <w:pPr>
        <w:rPr>
          <w:sz w:val="22"/>
          <w:szCs w:val="22"/>
        </w:rPr>
      </w:pPr>
    </w:p>
    <w:p w14:paraId="3EAD8F6F" w14:textId="5C69D294" w:rsidR="00BC6B81" w:rsidRPr="002D0731" w:rsidRDefault="00721913">
      <w:pPr>
        <w:rPr>
          <w:sz w:val="22"/>
          <w:szCs w:val="22"/>
        </w:rPr>
      </w:pPr>
      <w:r>
        <w:rPr>
          <w:sz w:val="22"/>
          <w:szCs w:val="22"/>
        </w:rPr>
        <w:t xml:space="preserve">2024. </w:t>
      </w:r>
      <w:r w:rsidR="009514D4">
        <w:rPr>
          <w:sz w:val="22"/>
          <w:szCs w:val="22"/>
        </w:rPr>
        <w:t>október 7.</w:t>
      </w:r>
    </w:p>
    <w:sectPr w:rsidR="00BC6B81" w:rsidRPr="002D0731" w:rsidSect="002D0731">
      <w:headerReference w:type="default" r:id="rId38"/>
      <w:footerReference w:type="even" r:id="rId39"/>
      <w:footerReference w:type="default" r:id="rId40"/>
      <w:footerReference w:type="first" r:id="rId41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45CA1" w14:textId="77777777" w:rsidR="00B662E6" w:rsidRDefault="00B662E6">
      <w:r>
        <w:separator/>
      </w:r>
    </w:p>
  </w:endnote>
  <w:endnote w:type="continuationSeparator" w:id="0">
    <w:p w14:paraId="5DCDD4C5" w14:textId="77777777" w:rsidR="00B662E6" w:rsidRDefault="00B6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Neue-Bold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14966" w14:textId="77777777" w:rsidR="00AC4180" w:rsidRDefault="00AC4180" w:rsidP="00AE328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E9C3EB" w14:textId="77777777" w:rsidR="00AC4180" w:rsidRDefault="00AC4180" w:rsidP="00732EFA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A03A7" w14:textId="77777777" w:rsidR="00AC4180" w:rsidRPr="00D84CDB" w:rsidRDefault="00AC4180" w:rsidP="00D84CDB">
    <w:pPr>
      <w:pStyle w:val="llb"/>
      <w:ind w:right="360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A77DC" w14:textId="078BC16C" w:rsidR="00AC4180" w:rsidRPr="00BC6B81" w:rsidRDefault="00721913" w:rsidP="00BC6B81">
    <w:pPr>
      <w:pStyle w:val="llb"/>
    </w:pPr>
    <w:r>
      <w:rPr>
        <w:sz w:val="18"/>
        <w:szCs w:val="18"/>
      </w:rPr>
      <w:t>NNGYK/GYSZ/</w:t>
    </w:r>
    <w:r w:rsidR="009514D4">
      <w:rPr>
        <w:sz w:val="18"/>
        <w:szCs w:val="18"/>
      </w:rPr>
      <w:t>35928</w:t>
    </w:r>
    <w:r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39835A" w14:textId="77777777" w:rsidR="00B662E6" w:rsidRDefault="00B662E6">
      <w:r>
        <w:separator/>
      </w:r>
    </w:p>
  </w:footnote>
  <w:footnote w:type="continuationSeparator" w:id="0">
    <w:p w14:paraId="2048EDFA" w14:textId="77777777" w:rsidR="00B662E6" w:rsidRDefault="00B66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3F4A9" w14:textId="44B1495C" w:rsidR="00AC4180" w:rsidRPr="00666C54" w:rsidRDefault="00AC4180" w:rsidP="00694BA0">
    <w:pPr>
      <w:pStyle w:val="lfej"/>
      <w:jc w:val="center"/>
      <w:rPr>
        <w:rFonts w:ascii="Times New Roman" w:hAnsi="Times New Roman"/>
        <w:sz w:val="18"/>
        <w:szCs w:val="18"/>
      </w:rPr>
    </w:pPr>
    <w:r w:rsidRPr="00666C54">
      <w:rPr>
        <w:rStyle w:val="Oldalszm"/>
        <w:rFonts w:ascii="Times New Roman" w:hAnsi="Times New Roman"/>
        <w:sz w:val="18"/>
        <w:szCs w:val="18"/>
      </w:rPr>
      <w:fldChar w:fldCharType="begin"/>
    </w:r>
    <w:r w:rsidRPr="00666C54">
      <w:rPr>
        <w:rStyle w:val="Oldalszm"/>
        <w:rFonts w:ascii="Times New Roman" w:hAnsi="Times New Roman"/>
        <w:sz w:val="18"/>
        <w:szCs w:val="18"/>
      </w:rPr>
      <w:instrText xml:space="preserve"> PAGE </w:instrText>
    </w:r>
    <w:r w:rsidRPr="00666C54">
      <w:rPr>
        <w:rStyle w:val="Oldalszm"/>
        <w:rFonts w:ascii="Times New Roman" w:hAnsi="Times New Roman"/>
        <w:sz w:val="18"/>
        <w:szCs w:val="18"/>
      </w:rPr>
      <w:fldChar w:fldCharType="separate"/>
    </w:r>
    <w:r w:rsidR="005E7473">
      <w:rPr>
        <w:rStyle w:val="Oldalszm"/>
        <w:rFonts w:ascii="Times New Roman" w:hAnsi="Times New Roman"/>
        <w:noProof/>
        <w:sz w:val="18"/>
        <w:szCs w:val="18"/>
      </w:rPr>
      <w:t>25</w:t>
    </w:r>
    <w:r w:rsidRPr="00666C54">
      <w:rPr>
        <w:rStyle w:val="Oldalszm"/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AE29E0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2"/>
    <w:multiLevelType w:val="singleLevel"/>
    <w:tmpl w:val="00000002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1065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21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288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43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504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57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6480"/>
      </w:pPr>
    </w:lvl>
  </w:abstractNum>
  <w:abstractNum w:abstractNumId="4" w15:restartNumberingAfterBreak="0">
    <w:nsid w:val="12C07A13"/>
    <w:multiLevelType w:val="singleLevel"/>
    <w:tmpl w:val="000000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15F05129"/>
    <w:multiLevelType w:val="multilevel"/>
    <w:tmpl w:val="4F82900E"/>
    <w:lvl w:ilvl="0">
      <w:start w:val="1"/>
      <w:numFmt w:val="bullet"/>
      <w:lvlText w:val="–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7342F"/>
    <w:multiLevelType w:val="hybridMultilevel"/>
    <w:tmpl w:val="4F82900E"/>
    <w:lvl w:ilvl="0" w:tplc="8E5A7DCA">
      <w:start w:val="1"/>
      <w:numFmt w:val="bullet"/>
      <w:lvlText w:val="–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B96117"/>
    <w:multiLevelType w:val="hybridMultilevel"/>
    <w:tmpl w:val="D0D8A6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A5D"/>
    <w:multiLevelType w:val="hybridMultilevel"/>
    <w:tmpl w:val="DB1A27B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451F50"/>
    <w:multiLevelType w:val="hybridMultilevel"/>
    <w:tmpl w:val="119E3A4E"/>
    <w:lvl w:ilvl="0" w:tplc="B934718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3227CB"/>
    <w:multiLevelType w:val="hybridMultilevel"/>
    <w:tmpl w:val="A2004A0A"/>
    <w:lvl w:ilvl="0" w:tplc="040E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505B7A0C"/>
    <w:multiLevelType w:val="hybridMultilevel"/>
    <w:tmpl w:val="DB6A08A0"/>
    <w:lvl w:ilvl="0" w:tplc="D4C628E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20453"/>
    <w:multiLevelType w:val="hybridMultilevel"/>
    <w:tmpl w:val="310870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77C3C"/>
    <w:multiLevelType w:val="hybridMultilevel"/>
    <w:tmpl w:val="AD0657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260C8"/>
    <w:multiLevelType w:val="hybridMultilevel"/>
    <w:tmpl w:val="548E28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D754A"/>
    <w:multiLevelType w:val="hybridMultilevel"/>
    <w:tmpl w:val="8D383F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23A82"/>
    <w:multiLevelType w:val="hybridMultilevel"/>
    <w:tmpl w:val="8CB8EC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B31DC"/>
    <w:multiLevelType w:val="hybridMultilevel"/>
    <w:tmpl w:val="F27034A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9E3399"/>
    <w:multiLevelType w:val="multilevel"/>
    <w:tmpl w:val="8CB8E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6"/>
  </w:num>
  <w:num w:numId="5">
    <w:abstractNumId w:val="6"/>
  </w:num>
  <w:num w:numId="6">
    <w:abstractNumId w:val="5"/>
  </w:num>
  <w:num w:numId="7">
    <w:abstractNumId w:val="11"/>
  </w:num>
  <w:num w:numId="8">
    <w:abstractNumId w:val="18"/>
  </w:num>
  <w:num w:numId="9">
    <w:abstractNumId w:val="9"/>
  </w:num>
  <w:num w:numId="10">
    <w:abstractNumId w:val="10"/>
  </w:num>
  <w:num w:numId="11">
    <w:abstractNumId w:val="15"/>
  </w:num>
  <w:num w:numId="12">
    <w:abstractNumId w:val="0"/>
  </w:num>
  <w:num w:numId="13">
    <w:abstractNumId w:val="14"/>
  </w:num>
  <w:num w:numId="14">
    <w:abstractNumId w:val="17"/>
  </w:num>
  <w:num w:numId="15">
    <w:abstractNumId w:val="8"/>
  </w:num>
  <w:num w:numId="16">
    <w:abstractNumId w:val="13"/>
  </w:num>
  <w:num w:numId="17">
    <w:abstractNumId w:val="7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>
      <v:textbox inset="5.85pt,.7pt,5.85pt,.7pt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D4"/>
    <w:rsid w:val="0000395A"/>
    <w:rsid w:val="000139AD"/>
    <w:rsid w:val="00021192"/>
    <w:rsid w:val="0002190A"/>
    <w:rsid w:val="00025E88"/>
    <w:rsid w:val="00033BB3"/>
    <w:rsid w:val="00036561"/>
    <w:rsid w:val="000365EB"/>
    <w:rsid w:val="00040D3A"/>
    <w:rsid w:val="000417B6"/>
    <w:rsid w:val="00042DC3"/>
    <w:rsid w:val="00044220"/>
    <w:rsid w:val="000446E0"/>
    <w:rsid w:val="00045D00"/>
    <w:rsid w:val="0005064E"/>
    <w:rsid w:val="00050820"/>
    <w:rsid w:val="000571B1"/>
    <w:rsid w:val="00061A15"/>
    <w:rsid w:val="00067D5A"/>
    <w:rsid w:val="0007168D"/>
    <w:rsid w:val="00081DA4"/>
    <w:rsid w:val="00083201"/>
    <w:rsid w:val="00086CBC"/>
    <w:rsid w:val="00090B23"/>
    <w:rsid w:val="00094DB0"/>
    <w:rsid w:val="000958FB"/>
    <w:rsid w:val="00095C08"/>
    <w:rsid w:val="000C4228"/>
    <w:rsid w:val="000C6AF5"/>
    <w:rsid w:val="000D0DC6"/>
    <w:rsid w:val="000D1096"/>
    <w:rsid w:val="000D2605"/>
    <w:rsid w:val="000E13E8"/>
    <w:rsid w:val="000E499E"/>
    <w:rsid w:val="00102D58"/>
    <w:rsid w:val="00106A33"/>
    <w:rsid w:val="00120958"/>
    <w:rsid w:val="001209A2"/>
    <w:rsid w:val="0014201A"/>
    <w:rsid w:val="00142057"/>
    <w:rsid w:val="0015515A"/>
    <w:rsid w:val="00155E54"/>
    <w:rsid w:val="001570EB"/>
    <w:rsid w:val="00166F3B"/>
    <w:rsid w:val="001675C6"/>
    <w:rsid w:val="00177B77"/>
    <w:rsid w:val="00180A50"/>
    <w:rsid w:val="00181048"/>
    <w:rsid w:val="00183736"/>
    <w:rsid w:val="001837D4"/>
    <w:rsid w:val="001871BA"/>
    <w:rsid w:val="00187502"/>
    <w:rsid w:val="001877FB"/>
    <w:rsid w:val="00193B40"/>
    <w:rsid w:val="001A206D"/>
    <w:rsid w:val="001A23A2"/>
    <w:rsid w:val="001B283E"/>
    <w:rsid w:val="001B3ECB"/>
    <w:rsid w:val="001B40C4"/>
    <w:rsid w:val="001B50D0"/>
    <w:rsid w:val="001C0306"/>
    <w:rsid w:val="001C127C"/>
    <w:rsid w:val="001C60DE"/>
    <w:rsid w:val="001C616D"/>
    <w:rsid w:val="001D3D17"/>
    <w:rsid w:val="001D6A87"/>
    <w:rsid w:val="001D74F0"/>
    <w:rsid w:val="001E7A3F"/>
    <w:rsid w:val="001F735D"/>
    <w:rsid w:val="001F78C1"/>
    <w:rsid w:val="002013F7"/>
    <w:rsid w:val="002027B1"/>
    <w:rsid w:val="00204AB1"/>
    <w:rsid w:val="00205117"/>
    <w:rsid w:val="00205AD4"/>
    <w:rsid w:val="0021027A"/>
    <w:rsid w:val="00216705"/>
    <w:rsid w:val="0023352D"/>
    <w:rsid w:val="002338EA"/>
    <w:rsid w:val="002416D7"/>
    <w:rsid w:val="00241984"/>
    <w:rsid w:val="00243263"/>
    <w:rsid w:val="00244A5F"/>
    <w:rsid w:val="00244CFB"/>
    <w:rsid w:val="00247AD5"/>
    <w:rsid w:val="00252EA6"/>
    <w:rsid w:val="00253D29"/>
    <w:rsid w:val="00260E4E"/>
    <w:rsid w:val="002653E7"/>
    <w:rsid w:val="00271D71"/>
    <w:rsid w:val="002738D7"/>
    <w:rsid w:val="0028046E"/>
    <w:rsid w:val="0028207A"/>
    <w:rsid w:val="00283302"/>
    <w:rsid w:val="002835E7"/>
    <w:rsid w:val="00285396"/>
    <w:rsid w:val="002919F6"/>
    <w:rsid w:val="00292349"/>
    <w:rsid w:val="00297FEC"/>
    <w:rsid w:val="002A192B"/>
    <w:rsid w:val="002A2351"/>
    <w:rsid w:val="002B0F7C"/>
    <w:rsid w:val="002B6512"/>
    <w:rsid w:val="002C04FE"/>
    <w:rsid w:val="002C0932"/>
    <w:rsid w:val="002C5FF9"/>
    <w:rsid w:val="002C6681"/>
    <w:rsid w:val="002C7E6F"/>
    <w:rsid w:val="002D06FA"/>
    <w:rsid w:val="002D0731"/>
    <w:rsid w:val="002D2C5A"/>
    <w:rsid w:val="002D37C4"/>
    <w:rsid w:val="002D5369"/>
    <w:rsid w:val="002D546F"/>
    <w:rsid w:val="002D6709"/>
    <w:rsid w:val="002D73DB"/>
    <w:rsid w:val="002D7DFA"/>
    <w:rsid w:val="002E137B"/>
    <w:rsid w:val="002E2F97"/>
    <w:rsid w:val="002F3628"/>
    <w:rsid w:val="002F691A"/>
    <w:rsid w:val="00301AFF"/>
    <w:rsid w:val="0030281B"/>
    <w:rsid w:val="00311876"/>
    <w:rsid w:val="00314937"/>
    <w:rsid w:val="00315BAE"/>
    <w:rsid w:val="00320FF7"/>
    <w:rsid w:val="00323E73"/>
    <w:rsid w:val="003243D0"/>
    <w:rsid w:val="0032494B"/>
    <w:rsid w:val="00326631"/>
    <w:rsid w:val="00333810"/>
    <w:rsid w:val="00337335"/>
    <w:rsid w:val="00343C75"/>
    <w:rsid w:val="00344331"/>
    <w:rsid w:val="00345ADD"/>
    <w:rsid w:val="00345DFD"/>
    <w:rsid w:val="0034728B"/>
    <w:rsid w:val="003564E7"/>
    <w:rsid w:val="00357FFA"/>
    <w:rsid w:val="003653DA"/>
    <w:rsid w:val="003654E7"/>
    <w:rsid w:val="00366364"/>
    <w:rsid w:val="00370BAF"/>
    <w:rsid w:val="003769E3"/>
    <w:rsid w:val="003802E4"/>
    <w:rsid w:val="003811F5"/>
    <w:rsid w:val="0038220B"/>
    <w:rsid w:val="00383843"/>
    <w:rsid w:val="00383D8A"/>
    <w:rsid w:val="003918EF"/>
    <w:rsid w:val="00391E8E"/>
    <w:rsid w:val="003971BE"/>
    <w:rsid w:val="003A30E0"/>
    <w:rsid w:val="003B1194"/>
    <w:rsid w:val="003B2520"/>
    <w:rsid w:val="003B2E88"/>
    <w:rsid w:val="003B68E4"/>
    <w:rsid w:val="003B7C18"/>
    <w:rsid w:val="003B7CBC"/>
    <w:rsid w:val="003C0A0F"/>
    <w:rsid w:val="003C2BFA"/>
    <w:rsid w:val="003C348A"/>
    <w:rsid w:val="003C35B0"/>
    <w:rsid w:val="003D52D8"/>
    <w:rsid w:val="003D6E48"/>
    <w:rsid w:val="003E33CF"/>
    <w:rsid w:val="003E4319"/>
    <w:rsid w:val="003E4F2E"/>
    <w:rsid w:val="003F3585"/>
    <w:rsid w:val="003F3BAE"/>
    <w:rsid w:val="003F5ACD"/>
    <w:rsid w:val="003F74D8"/>
    <w:rsid w:val="004020EE"/>
    <w:rsid w:val="00403D53"/>
    <w:rsid w:val="00404662"/>
    <w:rsid w:val="00411F2A"/>
    <w:rsid w:val="00414252"/>
    <w:rsid w:val="00414681"/>
    <w:rsid w:val="00420B73"/>
    <w:rsid w:val="00423F4D"/>
    <w:rsid w:val="004253F5"/>
    <w:rsid w:val="004277DF"/>
    <w:rsid w:val="00430A1B"/>
    <w:rsid w:val="00446665"/>
    <w:rsid w:val="004508CB"/>
    <w:rsid w:val="0045185E"/>
    <w:rsid w:val="004542FE"/>
    <w:rsid w:val="00455B67"/>
    <w:rsid w:val="00456B64"/>
    <w:rsid w:val="00460B51"/>
    <w:rsid w:val="00463DD6"/>
    <w:rsid w:val="00465761"/>
    <w:rsid w:val="004662E1"/>
    <w:rsid w:val="00471CB0"/>
    <w:rsid w:val="004777F1"/>
    <w:rsid w:val="00477A7B"/>
    <w:rsid w:val="00477CA4"/>
    <w:rsid w:val="00481446"/>
    <w:rsid w:val="00487BBB"/>
    <w:rsid w:val="004944CE"/>
    <w:rsid w:val="004944E3"/>
    <w:rsid w:val="0049476F"/>
    <w:rsid w:val="00497517"/>
    <w:rsid w:val="004A6C7E"/>
    <w:rsid w:val="004B0AED"/>
    <w:rsid w:val="004B0C8C"/>
    <w:rsid w:val="004B4F1D"/>
    <w:rsid w:val="004C1497"/>
    <w:rsid w:val="004C4966"/>
    <w:rsid w:val="004C6DAD"/>
    <w:rsid w:val="004C7A19"/>
    <w:rsid w:val="004D0262"/>
    <w:rsid w:val="004E1248"/>
    <w:rsid w:val="004E61B0"/>
    <w:rsid w:val="004F1229"/>
    <w:rsid w:val="004F3C62"/>
    <w:rsid w:val="004F4CA9"/>
    <w:rsid w:val="004F7B80"/>
    <w:rsid w:val="00505AF1"/>
    <w:rsid w:val="00506096"/>
    <w:rsid w:val="00507476"/>
    <w:rsid w:val="005109F7"/>
    <w:rsid w:val="005144EE"/>
    <w:rsid w:val="00517573"/>
    <w:rsid w:val="00520EFB"/>
    <w:rsid w:val="00523906"/>
    <w:rsid w:val="00523D17"/>
    <w:rsid w:val="0052477E"/>
    <w:rsid w:val="00527CDD"/>
    <w:rsid w:val="00532BEA"/>
    <w:rsid w:val="00535CBE"/>
    <w:rsid w:val="00541BF3"/>
    <w:rsid w:val="005441F1"/>
    <w:rsid w:val="0054495A"/>
    <w:rsid w:val="00550A4E"/>
    <w:rsid w:val="005516C1"/>
    <w:rsid w:val="00552336"/>
    <w:rsid w:val="005526DA"/>
    <w:rsid w:val="0056191C"/>
    <w:rsid w:val="00567E5F"/>
    <w:rsid w:val="005809AD"/>
    <w:rsid w:val="00583C72"/>
    <w:rsid w:val="005866BC"/>
    <w:rsid w:val="0059119C"/>
    <w:rsid w:val="005A3870"/>
    <w:rsid w:val="005A4B86"/>
    <w:rsid w:val="005A63E4"/>
    <w:rsid w:val="005B1167"/>
    <w:rsid w:val="005B14F0"/>
    <w:rsid w:val="005B2348"/>
    <w:rsid w:val="005B31E7"/>
    <w:rsid w:val="005B52B1"/>
    <w:rsid w:val="005D0943"/>
    <w:rsid w:val="005D32BA"/>
    <w:rsid w:val="005D3A9C"/>
    <w:rsid w:val="005D4D56"/>
    <w:rsid w:val="005E4BF9"/>
    <w:rsid w:val="005E548D"/>
    <w:rsid w:val="005E7118"/>
    <w:rsid w:val="005E7473"/>
    <w:rsid w:val="005F05C3"/>
    <w:rsid w:val="005F58DB"/>
    <w:rsid w:val="005F6BEB"/>
    <w:rsid w:val="006018EB"/>
    <w:rsid w:val="0060255A"/>
    <w:rsid w:val="00606337"/>
    <w:rsid w:val="00612A4C"/>
    <w:rsid w:val="00615540"/>
    <w:rsid w:val="00624623"/>
    <w:rsid w:val="00630A70"/>
    <w:rsid w:val="00630CED"/>
    <w:rsid w:val="00642AD2"/>
    <w:rsid w:val="00647D78"/>
    <w:rsid w:val="00656E72"/>
    <w:rsid w:val="00661F7A"/>
    <w:rsid w:val="0066354F"/>
    <w:rsid w:val="00665B8C"/>
    <w:rsid w:val="00666C54"/>
    <w:rsid w:val="0067279F"/>
    <w:rsid w:val="00674132"/>
    <w:rsid w:val="00674C71"/>
    <w:rsid w:val="0067787D"/>
    <w:rsid w:val="00680F8C"/>
    <w:rsid w:val="00686953"/>
    <w:rsid w:val="006876E9"/>
    <w:rsid w:val="00690CC6"/>
    <w:rsid w:val="00691D52"/>
    <w:rsid w:val="00692BC2"/>
    <w:rsid w:val="00694078"/>
    <w:rsid w:val="00694BA0"/>
    <w:rsid w:val="00695B97"/>
    <w:rsid w:val="006A2567"/>
    <w:rsid w:val="006A37B2"/>
    <w:rsid w:val="006A4419"/>
    <w:rsid w:val="006A4C24"/>
    <w:rsid w:val="006C223F"/>
    <w:rsid w:val="006C632C"/>
    <w:rsid w:val="006C67C8"/>
    <w:rsid w:val="006D1ACE"/>
    <w:rsid w:val="006D28FF"/>
    <w:rsid w:val="006D3F76"/>
    <w:rsid w:val="006D599A"/>
    <w:rsid w:val="006D6273"/>
    <w:rsid w:val="006E6424"/>
    <w:rsid w:val="006F1A03"/>
    <w:rsid w:val="006F4C17"/>
    <w:rsid w:val="006F6E9A"/>
    <w:rsid w:val="006F7BB1"/>
    <w:rsid w:val="006F7E56"/>
    <w:rsid w:val="00703047"/>
    <w:rsid w:val="00706ECF"/>
    <w:rsid w:val="0070702C"/>
    <w:rsid w:val="007073BE"/>
    <w:rsid w:val="00711BE4"/>
    <w:rsid w:val="007135E0"/>
    <w:rsid w:val="00713C5B"/>
    <w:rsid w:val="007178C5"/>
    <w:rsid w:val="00720AFC"/>
    <w:rsid w:val="00721913"/>
    <w:rsid w:val="0072486B"/>
    <w:rsid w:val="00724D78"/>
    <w:rsid w:val="00727895"/>
    <w:rsid w:val="00730EC1"/>
    <w:rsid w:val="00732045"/>
    <w:rsid w:val="00732EFA"/>
    <w:rsid w:val="00733D19"/>
    <w:rsid w:val="0073520E"/>
    <w:rsid w:val="007369B9"/>
    <w:rsid w:val="00741D41"/>
    <w:rsid w:val="00742E82"/>
    <w:rsid w:val="00743E50"/>
    <w:rsid w:val="00745D37"/>
    <w:rsid w:val="00747D26"/>
    <w:rsid w:val="00752BEB"/>
    <w:rsid w:val="0076031B"/>
    <w:rsid w:val="007656DA"/>
    <w:rsid w:val="007710C0"/>
    <w:rsid w:val="00772AE6"/>
    <w:rsid w:val="00773948"/>
    <w:rsid w:val="007771F6"/>
    <w:rsid w:val="007813A6"/>
    <w:rsid w:val="0079073A"/>
    <w:rsid w:val="00795767"/>
    <w:rsid w:val="007A3754"/>
    <w:rsid w:val="007B0CE9"/>
    <w:rsid w:val="007B1B6D"/>
    <w:rsid w:val="007B290A"/>
    <w:rsid w:val="007B3E38"/>
    <w:rsid w:val="007B7DA4"/>
    <w:rsid w:val="007C4DD2"/>
    <w:rsid w:val="007C69B4"/>
    <w:rsid w:val="007C6D92"/>
    <w:rsid w:val="007C7A88"/>
    <w:rsid w:val="007D2665"/>
    <w:rsid w:val="007D2BFB"/>
    <w:rsid w:val="007D316D"/>
    <w:rsid w:val="007D5693"/>
    <w:rsid w:val="007E316E"/>
    <w:rsid w:val="007E391C"/>
    <w:rsid w:val="007E3D3B"/>
    <w:rsid w:val="007F1934"/>
    <w:rsid w:val="007F69C0"/>
    <w:rsid w:val="008039E5"/>
    <w:rsid w:val="00804CC9"/>
    <w:rsid w:val="008222C1"/>
    <w:rsid w:val="008275AC"/>
    <w:rsid w:val="00827AC2"/>
    <w:rsid w:val="00831A2F"/>
    <w:rsid w:val="00831BD7"/>
    <w:rsid w:val="00833FBC"/>
    <w:rsid w:val="00835DDF"/>
    <w:rsid w:val="00840A5A"/>
    <w:rsid w:val="00840A84"/>
    <w:rsid w:val="00840EF3"/>
    <w:rsid w:val="00842F4B"/>
    <w:rsid w:val="00843EFD"/>
    <w:rsid w:val="00852314"/>
    <w:rsid w:val="00852F65"/>
    <w:rsid w:val="00853847"/>
    <w:rsid w:val="00861106"/>
    <w:rsid w:val="00862508"/>
    <w:rsid w:val="008629C3"/>
    <w:rsid w:val="00867E83"/>
    <w:rsid w:val="0087529E"/>
    <w:rsid w:val="008768A0"/>
    <w:rsid w:val="00885B9E"/>
    <w:rsid w:val="0088688D"/>
    <w:rsid w:val="00890C9D"/>
    <w:rsid w:val="00893417"/>
    <w:rsid w:val="008A4EE6"/>
    <w:rsid w:val="008A5CDF"/>
    <w:rsid w:val="008A70A5"/>
    <w:rsid w:val="008A78D6"/>
    <w:rsid w:val="008B1238"/>
    <w:rsid w:val="008B285C"/>
    <w:rsid w:val="008C01D3"/>
    <w:rsid w:val="008C06DD"/>
    <w:rsid w:val="008D5B2C"/>
    <w:rsid w:val="008D660E"/>
    <w:rsid w:val="008E36A1"/>
    <w:rsid w:val="008E3A06"/>
    <w:rsid w:val="008E7C63"/>
    <w:rsid w:val="008F26B6"/>
    <w:rsid w:val="00913032"/>
    <w:rsid w:val="00923EAE"/>
    <w:rsid w:val="009240C7"/>
    <w:rsid w:val="00930F27"/>
    <w:rsid w:val="0093621F"/>
    <w:rsid w:val="00940D83"/>
    <w:rsid w:val="00945988"/>
    <w:rsid w:val="00945DD1"/>
    <w:rsid w:val="00945E85"/>
    <w:rsid w:val="009462BA"/>
    <w:rsid w:val="0095106F"/>
    <w:rsid w:val="0095128A"/>
    <w:rsid w:val="009514D4"/>
    <w:rsid w:val="00953757"/>
    <w:rsid w:val="0095642A"/>
    <w:rsid w:val="0095655C"/>
    <w:rsid w:val="00963E71"/>
    <w:rsid w:val="00971F00"/>
    <w:rsid w:val="00972AAE"/>
    <w:rsid w:val="009735B2"/>
    <w:rsid w:val="009738A5"/>
    <w:rsid w:val="00976F51"/>
    <w:rsid w:val="009923FF"/>
    <w:rsid w:val="0099378A"/>
    <w:rsid w:val="00993F33"/>
    <w:rsid w:val="00996583"/>
    <w:rsid w:val="009A597D"/>
    <w:rsid w:val="009B2443"/>
    <w:rsid w:val="009B4A65"/>
    <w:rsid w:val="009C0099"/>
    <w:rsid w:val="009D6988"/>
    <w:rsid w:val="009D6D08"/>
    <w:rsid w:val="009D73CD"/>
    <w:rsid w:val="009D76E7"/>
    <w:rsid w:val="009D7A37"/>
    <w:rsid w:val="009E01F8"/>
    <w:rsid w:val="009E140F"/>
    <w:rsid w:val="009E2FB8"/>
    <w:rsid w:val="009E31B2"/>
    <w:rsid w:val="009E3365"/>
    <w:rsid w:val="009E5A38"/>
    <w:rsid w:val="009E6674"/>
    <w:rsid w:val="009F130E"/>
    <w:rsid w:val="009F3A03"/>
    <w:rsid w:val="009F4222"/>
    <w:rsid w:val="00A006E4"/>
    <w:rsid w:val="00A007C2"/>
    <w:rsid w:val="00A039C1"/>
    <w:rsid w:val="00A05688"/>
    <w:rsid w:val="00A104C0"/>
    <w:rsid w:val="00A112F7"/>
    <w:rsid w:val="00A15281"/>
    <w:rsid w:val="00A22EF2"/>
    <w:rsid w:val="00A27E54"/>
    <w:rsid w:val="00A30390"/>
    <w:rsid w:val="00A30D6B"/>
    <w:rsid w:val="00A31F0A"/>
    <w:rsid w:val="00A34ACB"/>
    <w:rsid w:val="00A400DC"/>
    <w:rsid w:val="00A448B1"/>
    <w:rsid w:val="00A54942"/>
    <w:rsid w:val="00A64092"/>
    <w:rsid w:val="00A67AB3"/>
    <w:rsid w:val="00A76A41"/>
    <w:rsid w:val="00A80DB4"/>
    <w:rsid w:val="00A83868"/>
    <w:rsid w:val="00A84868"/>
    <w:rsid w:val="00A85528"/>
    <w:rsid w:val="00A93EDF"/>
    <w:rsid w:val="00A93EF3"/>
    <w:rsid w:val="00AB460B"/>
    <w:rsid w:val="00AC03BB"/>
    <w:rsid w:val="00AC134E"/>
    <w:rsid w:val="00AC15B6"/>
    <w:rsid w:val="00AC362B"/>
    <w:rsid w:val="00AC4180"/>
    <w:rsid w:val="00AC464E"/>
    <w:rsid w:val="00AC4A64"/>
    <w:rsid w:val="00AC5544"/>
    <w:rsid w:val="00AD398D"/>
    <w:rsid w:val="00AD622A"/>
    <w:rsid w:val="00AE0403"/>
    <w:rsid w:val="00AE3282"/>
    <w:rsid w:val="00AE4A66"/>
    <w:rsid w:val="00AE74B9"/>
    <w:rsid w:val="00AF0594"/>
    <w:rsid w:val="00AF10BD"/>
    <w:rsid w:val="00AF180A"/>
    <w:rsid w:val="00B02352"/>
    <w:rsid w:val="00B032B6"/>
    <w:rsid w:val="00B05753"/>
    <w:rsid w:val="00B117ED"/>
    <w:rsid w:val="00B13105"/>
    <w:rsid w:val="00B16A29"/>
    <w:rsid w:val="00B22FE1"/>
    <w:rsid w:val="00B23D1E"/>
    <w:rsid w:val="00B27B92"/>
    <w:rsid w:val="00B3336C"/>
    <w:rsid w:val="00B33666"/>
    <w:rsid w:val="00B35B1B"/>
    <w:rsid w:val="00B364C8"/>
    <w:rsid w:val="00B36514"/>
    <w:rsid w:val="00B40F52"/>
    <w:rsid w:val="00B44417"/>
    <w:rsid w:val="00B4672B"/>
    <w:rsid w:val="00B5171E"/>
    <w:rsid w:val="00B53461"/>
    <w:rsid w:val="00B60F2A"/>
    <w:rsid w:val="00B624C9"/>
    <w:rsid w:val="00B642AF"/>
    <w:rsid w:val="00B64572"/>
    <w:rsid w:val="00B662E6"/>
    <w:rsid w:val="00B70636"/>
    <w:rsid w:val="00B76547"/>
    <w:rsid w:val="00B76B77"/>
    <w:rsid w:val="00B80BCE"/>
    <w:rsid w:val="00B85BB4"/>
    <w:rsid w:val="00B90D05"/>
    <w:rsid w:val="00B94554"/>
    <w:rsid w:val="00B94EF5"/>
    <w:rsid w:val="00BC43B9"/>
    <w:rsid w:val="00BC5B12"/>
    <w:rsid w:val="00BC6B81"/>
    <w:rsid w:val="00BD6CB2"/>
    <w:rsid w:val="00BD7C7E"/>
    <w:rsid w:val="00BE1A6C"/>
    <w:rsid w:val="00BE2364"/>
    <w:rsid w:val="00BE668E"/>
    <w:rsid w:val="00BE6D4A"/>
    <w:rsid w:val="00BF4D81"/>
    <w:rsid w:val="00C015B3"/>
    <w:rsid w:val="00C17C4F"/>
    <w:rsid w:val="00C3080F"/>
    <w:rsid w:val="00C313EF"/>
    <w:rsid w:val="00C31CB8"/>
    <w:rsid w:val="00C37092"/>
    <w:rsid w:val="00C375E4"/>
    <w:rsid w:val="00C474E5"/>
    <w:rsid w:val="00C51CCD"/>
    <w:rsid w:val="00C56CA5"/>
    <w:rsid w:val="00C72771"/>
    <w:rsid w:val="00C7407B"/>
    <w:rsid w:val="00C75D36"/>
    <w:rsid w:val="00C76005"/>
    <w:rsid w:val="00C77EC7"/>
    <w:rsid w:val="00C828E6"/>
    <w:rsid w:val="00C85C7A"/>
    <w:rsid w:val="00C86F43"/>
    <w:rsid w:val="00C906E8"/>
    <w:rsid w:val="00C9073A"/>
    <w:rsid w:val="00C91459"/>
    <w:rsid w:val="00C95A24"/>
    <w:rsid w:val="00C95DEE"/>
    <w:rsid w:val="00C97E1B"/>
    <w:rsid w:val="00CA0B49"/>
    <w:rsid w:val="00CA0E3A"/>
    <w:rsid w:val="00CA3463"/>
    <w:rsid w:val="00CA4889"/>
    <w:rsid w:val="00CA77C6"/>
    <w:rsid w:val="00CB45B2"/>
    <w:rsid w:val="00CB4707"/>
    <w:rsid w:val="00CC3A63"/>
    <w:rsid w:val="00CC5BF4"/>
    <w:rsid w:val="00CC7A49"/>
    <w:rsid w:val="00CD2495"/>
    <w:rsid w:val="00CD42B3"/>
    <w:rsid w:val="00CD6AC0"/>
    <w:rsid w:val="00CE075A"/>
    <w:rsid w:val="00CE109D"/>
    <w:rsid w:val="00CF070E"/>
    <w:rsid w:val="00CF1D18"/>
    <w:rsid w:val="00CF3B77"/>
    <w:rsid w:val="00D00105"/>
    <w:rsid w:val="00D05E7C"/>
    <w:rsid w:val="00D063AF"/>
    <w:rsid w:val="00D16177"/>
    <w:rsid w:val="00D16D3F"/>
    <w:rsid w:val="00D21CE2"/>
    <w:rsid w:val="00D25812"/>
    <w:rsid w:val="00D27406"/>
    <w:rsid w:val="00D41DC9"/>
    <w:rsid w:val="00D43989"/>
    <w:rsid w:val="00D51A6A"/>
    <w:rsid w:val="00D54984"/>
    <w:rsid w:val="00D61575"/>
    <w:rsid w:val="00D6318B"/>
    <w:rsid w:val="00D64D63"/>
    <w:rsid w:val="00D658BB"/>
    <w:rsid w:val="00D71D38"/>
    <w:rsid w:val="00D726CF"/>
    <w:rsid w:val="00D75543"/>
    <w:rsid w:val="00D77C52"/>
    <w:rsid w:val="00D81A80"/>
    <w:rsid w:val="00D84CDB"/>
    <w:rsid w:val="00D86A4F"/>
    <w:rsid w:val="00D910E9"/>
    <w:rsid w:val="00D924F2"/>
    <w:rsid w:val="00D94F0E"/>
    <w:rsid w:val="00D96222"/>
    <w:rsid w:val="00DA1B12"/>
    <w:rsid w:val="00DB02F7"/>
    <w:rsid w:val="00DB1FA5"/>
    <w:rsid w:val="00DB3E29"/>
    <w:rsid w:val="00DB3ECE"/>
    <w:rsid w:val="00DB4103"/>
    <w:rsid w:val="00DC1BBC"/>
    <w:rsid w:val="00DC2A79"/>
    <w:rsid w:val="00DC6776"/>
    <w:rsid w:val="00DD010F"/>
    <w:rsid w:val="00DD2758"/>
    <w:rsid w:val="00DD4684"/>
    <w:rsid w:val="00DD6F78"/>
    <w:rsid w:val="00DE0CF5"/>
    <w:rsid w:val="00DE1395"/>
    <w:rsid w:val="00DE3FC6"/>
    <w:rsid w:val="00DE6BA0"/>
    <w:rsid w:val="00DF48E3"/>
    <w:rsid w:val="00DF6AAE"/>
    <w:rsid w:val="00DF781D"/>
    <w:rsid w:val="00E03BCC"/>
    <w:rsid w:val="00E03E9F"/>
    <w:rsid w:val="00E06790"/>
    <w:rsid w:val="00E1054A"/>
    <w:rsid w:val="00E15381"/>
    <w:rsid w:val="00E16A85"/>
    <w:rsid w:val="00E26F6D"/>
    <w:rsid w:val="00E30C9D"/>
    <w:rsid w:val="00E33460"/>
    <w:rsid w:val="00E42209"/>
    <w:rsid w:val="00E447CD"/>
    <w:rsid w:val="00E51409"/>
    <w:rsid w:val="00E514C9"/>
    <w:rsid w:val="00E54277"/>
    <w:rsid w:val="00E55F64"/>
    <w:rsid w:val="00E571BD"/>
    <w:rsid w:val="00E574D9"/>
    <w:rsid w:val="00E60067"/>
    <w:rsid w:val="00E62431"/>
    <w:rsid w:val="00E635CD"/>
    <w:rsid w:val="00E757B5"/>
    <w:rsid w:val="00E8085D"/>
    <w:rsid w:val="00E82234"/>
    <w:rsid w:val="00E85A1A"/>
    <w:rsid w:val="00E861A0"/>
    <w:rsid w:val="00E86779"/>
    <w:rsid w:val="00E93F1A"/>
    <w:rsid w:val="00E95732"/>
    <w:rsid w:val="00E96598"/>
    <w:rsid w:val="00EA1869"/>
    <w:rsid w:val="00EA2DB1"/>
    <w:rsid w:val="00EA341C"/>
    <w:rsid w:val="00EB5B0D"/>
    <w:rsid w:val="00EB73A9"/>
    <w:rsid w:val="00EB73FE"/>
    <w:rsid w:val="00EC0A8C"/>
    <w:rsid w:val="00EC2EA3"/>
    <w:rsid w:val="00ED0F1B"/>
    <w:rsid w:val="00ED6CF3"/>
    <w:rsid w:val="00EF348F"/>
    <w:rsid w:val="00F05874"/>
    <w:rsid w:val="00F10751"/>
    <w:rsid w:val="00F13189"/>
    <w:rsid w:val="00F168AB"/>
    <w:rsid w:val="00F20933"/>
    <w:rsid w:val="00F24715"/>
    <w:rsid w:val="00F27C67"/>
    <w:rsid w:val="00F42A50"/>
    <w:rsid w:val="00F42F56"/>
    <w:rsid w:val="00F43C99"/>
    <w:rsid w:val="00F47E71"/>
    <w:rsid w:val="00F50243"/>
    <w:rsid w:val="00F5577C"/>
    <w:rsid w:val="00F62572"/>
    <w:rsid w:val="00F679A4"/>
    <w:rsid w:val="00F71CD8"/>
    <w:rsid w:val="00F7589A"/>
    <w:rsid w:val="00F82F3A"/>
    <w:rsid w:val="00F82F98"/>
    <w:rsid w:val="00F92BE4"/>
    <w:rsid w:val="00F9347D"/>
    <w:rsid w:val="00F978B6"/>
    <w:rsid w:val="00FA21BD"/>
    <w:rsid w:val="00FA7FAD"/>
    <w:rsid w:val="00FB0BF1"/>
    <w:rsid w:val="00FB12FA"/>
    <w:rsid w:val="00FB3D53"/>
    <w:rsid w:val="00FC1055"/>
    <w:rsid w:val="00FC253B"/>
    <w:rsid w:val="00FC5163"/>
    <w:rsid w:val="00FC5677"/>
    <w:rsid w:val="00FC58B7"/>
    <w:rsid w:val="00FC6CE0"/>
    <w:rsid w:val="00FD0F9D"/>
    <w:rsid w:val="00FE00AF"/>
    <w:rsid w:val="00FE2632"/>
    <w:rsid w:val="00FE5660"/>
    <w:rsid w:val="00FE7F90"/>
    <w:rsid w:val="00FF0938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,"/>
  <w:listSeparator w:val=";"/>
  <w14:docId w14:val="04544285"/>
  <w15:docId w15:val="{BA6CB25E-BF8C-4805-A604-3DA6B7E5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E00AF"/>
    <w:pPr>
      <w:suppressAutoHyphens/>
    </w:pPr>
    <w:rPr>
      <w:sz w:val="24"/>
      <w:szCs w:val="24"/>
      <w:lang w:val="hu-HU" w:eastAsia="ar-SA"/>
    </w:rPr>
  </w:style>
  <w:style w:type="paragraph" w:styleId="Cmsor1">
    <w:name w:val="heading 1"/>
    <w:basedOn w:val="Norml"/>
    <w:next w:val="Norml"/>
    <w:qFormat/>
    <w:rsid w:val="00FE00AF"/>
    <w:pPr>
      <w:keepNext/>
      <w:tabs>
        <w:tab w:val="num" w:pos="0"/>
      </w:tabs>
      <w:spacing w:line="240" w:lineRule="atLeast"/>
      <w:outlineLvl w:val="0"/>
    </w:pPr>
    <w:rPr>
      <w:b/>
      <w:bCs/>
      <w:sz w:val="22"/>
      <w:lang w:val="en-GB"/>
    </w:rPr>
  </w:style>
  <w:style w:type="paragraph" w:styleId="Cmsor2">
    <w:name w:val="heading 2"/>
    <w:basedOn w:val="Norml"/>
    <w:next w:val="Norml"/>
    <w:qFormat/>
    <w:rsid w:val="00FE00AF"/>
    <w:pPr>
      <w:keepNext/>
      <w:tabs>
        <w:tab w:val="num" w:pos="0"/>
      </w:tabs>
      <w:outlineLvl w:val="1"/>
    </w:pPr>
    <w:rPr>
      <w:b/>
      <w:bCs/>
    </w:rPr>
  </w:style>
  <w:style w:type="paragraph" w:styleId="Cmsor3">
    <w:name w:val="heading 3"/>
    <w:basedOn w:val="Norml"/>
    <w:next w:val="Norml"/>
    <w:qFormat/>
    <w:rsid w:val="00FE00AF"/>
    <w:pPr>
      <w:keepNext/>
      <w:tabs>
        <w:tab w:val="num" w:pos="0"/>
      </w:tabs>
      <w:outlineLvl w:val="2"/>
    </w:pPr>
    <w:rPr>
      <w:szCs w:val="20"/>
      <w:u w:val="single"/>
      <w:lang w:val="en-A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FE00AF"/>
    <w:rPr>
      <w:rFonts w:ascii="Symbol" w:hAnsi="Symbol"/>
    </w:rPr>
  </w:style>
  <w:style w:type="character" w:customStyle="1" w:styleId="WW-Bekezdsalap-bettpusa">
    <w:name w:val="WW-Bekezdés alap-betűtípusa"/>
    <w:rsid w:val="00FE00AF"/>
  </w:style>
  <w:style w:type="character" w:styleId="Oldalszm">
    <w:name w:val="page number"/>
    <w:basedOn w:val="WW-Bekezdsalap-bettpusa"/>
    <w:rsid w:val="00FE00AF"/>
  </w:style>
  <w:style w:type="paragraph" w:styleId="Szvegtrzs">
    <w:name w:val="Body Text"/>
    <w:basedOn w:val="Norml"/>
    <w:rsid w:val="00FE00AF"/>
    <w:rPr>
      <w:sz w:val="22"/>
      <w:szCs w:val="20"/>
      <w:lang w:val="fr-FR"/>
    </w:rPr>
  </w:style>
  <w:style w:type="paragraph" w:styleId="Lista">
    <w:name w:val="List"/>
    <w:basedOn w:val="Szvegtrzs"/>
    <w:rsid w:val="00FE00AF"/>
    <w:rPr>
      <w:rFonts w:cs="Tahoma"/>
    </w:rPr>
  </w:style>
  <w:style w:type="paragraph" w:customStyle="1" w:styleId="Felirat">
    <w:name w:val="Felirat"/>
    <w:basedOn w:val="Norml"/>
    <w:rsid w:val="00FE00AF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FE00AF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FE00A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m">
    <w:name w:val="Title"/>
    <w:basedOn w:val="Norml"/>
    <w:next w:val="Alcm"/>
    <w:qFormat/>
    <w:rsid w:val="00FE00AF"/>
    <w:pPr>
      <w:jc w:val="center"/>
    </w:pPr>
    <w:rPr>
      <w:b/>
      <w:sz w:val="22"/>
      <w:szCs w:val="20"/>
      <w:lang w:val="en-GB"/>
    </w:rPr>
  </w:style>
  <w:style w:type="paragraph" w:styleId="Alcm">
    <w:name w:val="Subtitle"/>
    <w:basedOn w:val="Cmsor"/>
    <w:next w:val="Szvegtrzs"/>
    <w:qFormat/>
    <w:rsid w:val="00FE00AF"/>
    <w:pPr>
      <w:jc w:val="center"/>
    </w:pPr>
    <w:rPr>
      <w:i/>
      <w:iCs/>
    </w:rPr>
  </w:style>
  <w:style w:type="paragraph" w:styleId="Vgjegyzetszvege">
    <w:name w:val="endnote text"/>
    <w:basedOn w:val="Norml"/>
    <w:semiHidden/>
    <w:rsid w:val="00FE00AF"/>
    <w:pPr>
      <w:tabs>
        <w:tab w:val="left" w:pos="567"/>
      </w:tabs>
    </w:pPr>
    <w:rPr>
      <w:sz w:val="22"/>
      <w:szCs w:val="20"/>
      <w:lang w:val="en-GB"/>
    </w:rPr>
  </w:style>
  <w:style w:type="paragraph" w:styleId="lfej">
    <w:name w:val="header"/>
    <w:basedOn w:val="Norml"/>
    <w:link w:val="lfejChar"/>
    <w:uiPriority w:val="99"/>
    <w:rsid w:val="00FE00AF"/>
    <w:pPr>
      <w:tabs>
        <w:tab w:val="left" w:pos="567"/>
        <w:tab w:val="center" w:pos="4153"/>
        <w:tab w:val="right" w:pos="8306"/>
      </w:tabs>
    </w:pPr>
    <w:rPr>
      <w:rFonts w:ascii="Helvetica" w:hAnsi="Helvetica"/>
      <w:sz w:val="20"/>
      <w:szCs w:val="20"/>
      <w:lang w:val="en-GB"/>
    </w:rPr>
  </w:style>
  <w:style w:type="paragraph" w:customStyle="1" w:styleId="WW-Szvegtrzs2">
    <w:name w:val="WW-Szövegtörzs 2"/>
    <w:basedOn w:val="Norml"/>
    <w:rsid w:val="00FE00AF"/>
    <w:rPr>
      <w:i/>
      <w:iCs/>
      <w:sz w:val="22"/>
      <w:szCs w:val="20"/>
    </w:rPr>
  </w:style>
  <w:style w:type="paragraph" w:styleId="llb">
    <w:name w:val="footer"/>
    <w:basedOn w:val="Norml"/>
    <w:link w:val="llbChar"/>
    <w:rsid w:val="00FE00AF"/>
    <w:pPr>
      <w:tabs>
        <w:tab w:val="center" w:pos="4536"/>
        <w:tab w:val="right" w:pos="9072"/>
      </w:tabs>
    </w:pPr>
  </w:style>
  <w:style w:type="paragraph" w:styleId="TJ2">
    <w:name w:val="toc 2"/>
    <w:basedOn w:val="Norml"/>
    <w:next w:val="Norml"/>
    <w:semiHidden/>
    <w:rsid w:val="00FE00AF"/>
    <w:pPr>
      <w:tabs>
        <w:tab w:val="left" w:pos="567"/>
        <w:tab w:val="right" w:leader="dot" w:pos="9072"/>
      </w:tabs>
      <w:spacing w:before="240" w:line="360" w:lineRule="auto"/>
    </w:pPr>
    <w:rPr>
      <w:rFonts w:ascii="Arial" w:hAnsi="Arial"/>
      <w:sz w:val="22"/>
      <w:szCs w:val="20"/>
      <w:lang w:val="en-US"/>
    </w:rPr>
  </w:style>
  <w:style w:type="paragraph" w:customStyle="1" w:styleId="WW-Szvegtrzs3">
    <w:name w:val="WW-Szövegtörzs 3"/>
    <w:basedOn w:val="Norml"/>
    <w:rsid w:val="00FE00AF"/>
    <w:pPr>
      <w:jc w:val="both"/>
    </w:pPr>
  </w:style>
  <w:style w:type="paragraph" w:customStyle="1" w:styleId="WW-Szvegtrzs212">
    <w:name w:val="WW-Szövegtörzs 212"/>
    <w:basedOn w:val="Norml"/>
    <w:rsid w:val="00FE00AF"/>
    <w:pPr>
      <w:spacing w:line="260" w:lineRule="atLeast"/>
      <w:ind w:left="567" w:hanging="567"/>
    </w:pPr>
    <w:rPr>
      <w:b/>
      <w:sz w:val="22"/>
      <w:szCs w:val="20"/>
      <w:lang w:val="en-GB"/>
    </w:rPr>
  </w:style>
  <w:style w:type="paragraph" w:customStyle="1" w:styleId="WW-NormlWeb">
    <w:name w:val="WW-Normál (Web)"/>
    <w:basedOn w:val="Norml"/>
    <w:rsid w:val="00FE00AF"/>
    <w:pPr>
      <w:spacing w:before="100" w:after="119" w:line="260" w:lineRule="atLeast"/>
    </w:pPr>
    <w:rPr>
      <w:rFonts w:ascii="Arial Unicode MS" w:eastAsia="Arial Unicode MS" w:hAnsi="Arial Unicode MS"/>
      <w:szCs w:val="20"/>
    </w:rPr>
  </w:style>
  <w:style w:type="paragraph" w:customStyle="1" w:styleId="Normal1">
    <w:name w:val="Normal1"/>
    <w:basedOn w:val="Norml"/>
    <w:rsid w:val="00FE00AF"/>
    <w:rPr>
      <w:sz w:val="20"/>
      <w:szCs w:val="20"/>
    </w:rPr>
  </w:style>
  <w:style w:type="paragraph" w:customStyle="1" w:styleId="Tblzattartalom">
    <w:name w:val="Táblázattartalom"/>
    <w:basedOn w:val="Szvegtrzs"/>
    <w:rsid w:val="00FE00AF"/>
    <w:pPr>
      <w:suppressLineNumbers/>
    </w:pPr>
  </w:style>
  <w:style w:type="paragraph" w:customStyle="1" w:styleId="Tblzatfejlc">
    <w:name w:val="Táblázatfejléc"/>
    <w:basedOn w:val="Tblzattartalom"/>
    <w:rsid w:val="00FE00AF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  <w:rsid w:val="00FE00AF"/>
  </w:style>
  <w:style w:type="paragraph" w:styleId="Buborkszveg">
    <w:name w:val="Balloon Text"/>
    <w:basedOn w:val="Norml"/>
    <w:semiHidden/>
    <w:rsid w:val="009E3365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A83868"/>
    <w:rPr>
      <w:sz w:val="16"/>
      <w:szCs w:val="16"/>
    </w:rPr>
  </w:style>
  <w:style w:type="paragraph" w:styleId="Jegyzetszveg">
    <w:name w:val="annotation text"/>
    <w:basedOn w:val="Norml"/>
    <w:semiHidden/>
    <w:rsid w:val="00A83868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A83868"/>
    <w:rPr>
      <w:b/>
      <w:bCs/>
    </w:rPr>
  </w:style>
  <w:style w:type="paragraph" w:styleId="Dokumentumtrkp">
    <w:name w:val="Document Map"/>
    <w:basedOn w:val="Norml"/>
    <w:semiHidden/>
    <w:rsid w:val="00481446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Rcsostblzat">
    <w:name w:val="Table Grid"/>
    <w:basedOn w:val="Normltblzat"/>
    <w:rsid w:val="002D670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AE4A66"/>
    <w:rPr>
      <w:color w:val="0000FF"/>
      <w:u w:val="single"/>
    </w:rPr>
  </w:style>
  <w:style w:type="character" w:customStyle="1" w:styleId="llbChar">
    <w:name w:val="Élőláb Char"/>
    <w:link w:val="llb"/>
    <w:locked/>
    <w:rsid w:val="00804CC9"/>
    <w:rPr>
      <w:sz w:val="24"/>
      <w:szCs w:val="24"/>
      <w:lang w:val="hu-HU" w:eastAsia="ar-SA"/>
    </w:rPr>
  </w:style>
  <w:style w:type="paragraph" w:customStyle="1" w:styleId="00Paragraph">
    <w:name w:val="00Paragraph"/>
    <w:rsid w:val="00732045"/>
    <w:pPr>
      <w:spacing w:before="120" w:after="120" w:line="300" w:lineRule="atLeast"/>
    </w:pPr>
    <w:rPr>
      <w:rFonts w:eastAsia="MS Mincho"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72"/>
    <w:qFormat/>
    <w:rsid w:val="00680F8C"/>
    <w:pPr>
      <w:ind w:left="720"/>
      <w:contextualSpacing/>
    </w:pPr>
  </w:style>
  <w:style w:type="character" w:customStyle="1" w:styleId="lfejChar">
    <w:name w:val="Élőfej Char"/>
    <w:link w:val="lfej"/>
    <w:uiPriority w:val="99"/>
    <w:rsid w:val="00507476"/>
    <w:rPr>
      <w:rFonts w:ascii="Helvetica" w:hAnsi="Helvetica"/>
      <w:lang w:val="en-GB" w:eastAsia="ar-SA"/>
    </w:rPr>
  </w:style>
  <w:style w:type="paragraph" w:styleId="Vltozat">
    <w:name w:val="Revision"/>
    <w:hidden/>
    <w:uiPriority w:val="71"/>
    <w:semiHidden/>
    <w:rsid w:val="00507476"/>
    <w:rPr>
      <w:sz w:val="24"/>
      <w:szCs w:val="24"/>
      <w:lang w:val="hu-HU" w:eastAsia="ar-SA"/>
    </w:rPr>
  </w:style>
  <w:style w:type="paragraph" w:customStyle="1" w:styleId="Tussenkopjes">
    <w:name w:val="Tussenkopjes"/>
    <w:basedOn w:val="Norml"/>
    <w:next w:val="Norml"/>
    <w:uiPriority w:val="99"/>
    <w:rsid w:val="00BC6B81"/>
    <w:pPr>
      <w:widowControl w:val="0"/>
      <w:tabs>
        <w:tab w:val="left" w:pos="227"/>
      </w:tabs>
      <w:autoSpaceDE w:val="0"/>
      <w:autoSpaceDN w:val="0"/>
      <w:adjustRightInd w:val="0"/>
      <w:spacing w:line="140" w:lineRule="atLeast"/>
      <w:jc w:val="both"/>
      <w:textAlignment w:val="center"/>
    </w:pPr>
    <w:rPr>
      <w:rFonts w:ascii="HelveticaNeue-Bold" w:eastAsia="Yu Mincho" w:hAnsi="HelveticaNeue-Bold" w:cs="HelveticaNeue-Bold"/>
      <w:b/>
      <w:bCs/>
      <w:color w:val="000000"/>
      <w:spacing w:val="1"/>
      <w:sz w:val="13"/>
      <w:szCs w:val="13"/>
      <w:lang w:val="en-GB" w:eastAsia="nl-NL"/>
    </w:rPr>
  </w:style>
  <w:style w:type="paragraph" w:customStyle="1" w:styleId="Default">
    <w:name w:val="Default"/>
    <w:rsid w:val="005A4B86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yperlink" Target="https://www.ema.europa.eu/en/documents/template-form/qrd-appendix-v-adverse-drug-reaction-reporting-details_en.docx" TargetMode="External"/><Relationship Id="rId39" Type="http://schemas.openxmlformats.org/officeDocument/2006/relationships/footer" Target="footer1.xml"/><Relationship Id="rId21" Type="http://schemas.openxmlformats.org/officeDocument/2006/relationships/image" Target="media/image10.jpeg"/><Relationship Id="rId34" Type="http://schemas.openxmlformats.org/officeDocument/2006/relationships/image" Target="media/image22.jpeg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7.jpe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4.png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31" Type="http://schemas.openxmlformats.org/officeDocument/2006/relationships/image" Target="media/image1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png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057A2139FB024190CDCF8A4C718772" ma:contentTypeVersion="0" ma:contentTypeDescription="Create a new document." ma:contentTypeScope="" ma:versionID="8841e51ddad8c79de569b10806724ac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6D09E-E6B7-419F-A3E5-3FD535C27079}">
  <ds:schemaRefs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B313D7-76F2-4BF7-80D3-C177579CAB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D70B42-A607-4818-B5DD-9FFB579B5E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DF1A686-EF32-4CBC-97C5-5E0EE1872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8805</Words>
  <Characters>60760</Characters>
  <Application>Microsoft Office Word</Application>
  <DocSecurity>0</DocSecurity>
  <Lines>506</Lines>
  <Paragraphs>138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[Version 6, 01/2004]</vt:lpstr>
      <vt:lpstr>[Version 6, 01/2004]</vt:lpstr>
      <vt:lpstr>[Version 6, 01/2004]</vt:lpstr>
    </vt:vector>
  </TitlesOfParts>
  <Company>OGYI</Company>
  <LinksUpToDate>false</LinksUpToDate>
  <CharactersWithSpaces>69427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[Version 6, 01/2004]</dc:title>
  <dc:creator>Tamás</dc:creator>
  <cp:lastModifiedBy>HU OGYI 49.1</cp:lastModifiedBy>
  <cp:revision>3</cp:revision>
  <cp:lastPrinted>2008-01-11T10:29:00Z</cp:lastPrinted>
  <dcterms:created xsi:type="dcterms:W3CDTF">2024-10-14T12:48:00Z</dcterms:created>
  <dcterms:modified xsi:type="dcterms:W3CDTF">2024-10-14T12:48:00Z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0x010100DB057A2139FB024190CDCF8A4C718772</vt:lpwstr>
  </property>
</Properties>
</file>