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  <w:t>A GYÓGYSZER NEVE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Cs/>
          <w:sz w:val="22"/>
          <w:szCs w:val="22"/>
        </w:rPr>
      </w:pP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25 mg filmtabletta</w:t>
      </w:r>
    </w:p>
    <w:p w:rsidR="00601E88" w:rsidRDefault="00CD7A0A">
      <w:pPr>
        <w:rPr>
          <w:bCs/>
          <w:sz w:val="22"/>
          <w:szCs w:val="22"/>
        </w:rPr>
      </w:pP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50 mg filmtabletta</w:t>
      </w:r>
    </w:p>
    <w:p w:rsidR="00601E88" w:rsidRDefault="00CD7A0A">
      <w:pPr>
        <w:rPr>
          <w:bCs/>
          <w:sz w:val="22"/>
          <w:szCs w:val="22"/>
        </w:rPr>
      </w:pP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100 mg filmtabletta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  <w:t>MINŐSÉGI ÉS MENNYISÉGI ÖSSZETÉTEL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filmtabletta:</w:t>
      </w:r>
      <w:r>
        <w:rPr>
          <w:sz w:val="22"/>
          <w:szCs w:val="22"/>
        </w:rPr>
        <w:t xml:space="preserve"> 25 mg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-káliumot tartalmaz filmtablettánként, ami 22,9 mg </w:t>
      </w:r>
      <w:proofErr w:type="spellStart"/>
      <w:r>
        <w:rPr>
          <w:sz w:val="22"/>
          <w:szCs w:val="22"/>
        </w:rPr>
        <w:t>lozartánnak</w:t>
      </w:r>
      <w:proofErr w:type="spellEnd"/>
      <w:r>
        <w:rPr>
          <w:sz w:val="22"/>
          <w:szCs w:val="22"/>
        </w:rPr>
        <w:t xml:space="preserve"> felel meg.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 xml:space="preserve">: 50 mg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-káliumot tartalmaz filmtablettánként, ami 45,8 mg </w:t>
      </w:r>
      <w:proofErr w:type="spellStart"/>
      <w:r>
        <w:rPr>
          <w:sz w:val="22"/>
          <w:szCs w:val="22"/>
        </w:rPr>
        <w:t>lozartánnak</w:t>
      </w:r>
      <w:proofErr w:type="spellEnd"/>
      <w:r>
        <w:rPr>
          <w:sz w:val="22"/>
          <w:szCs w:val="22"/>
        </w:rPr>
        <w:t xml:space="preserve"> felel meg.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 xml:space="preserve">: 100 mg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-káliumot tartalmaz filmtablettánként, ami 91,5 mg </w:t>
      </w:r>
      <w:proofErr w:type="spellStart"/>
      <w:r>
        <w:rPr>
          <w:sz w:val="22"/>
          <w:szCs w:val="22"/>
        </w:rPr>
        <w:t>lozartánnak</w:t>
      </w:r>
      <w:proofErr w:type="spellEnd"/>
      <w:r>
        <w:rPr>
          <w:sz w:val="22"/>
          <w:szCs w:val="22"/>
        </w:rPr>
        <w:t xml:space="preserve"> felel meg.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bCs/>
          <w:noProof/>
          <w:sz w:val="22"/>
          <w:szCs w:val="22"/>
          <w:u w:val="single"/>
        </w:rPr>
        <w:t>Ismert hatású segédanyag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laktóz-monohidrát</w:t>
      </w:r>
      <w:proofErr w:type="spellEnd"/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  <w:r>
        <w:rPr>
          <w:sz w:val="22"/>
          <w:szCs w:val="22"/>
        </w:rPr>
        <w:t>: 27,3 mg tablettánként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>: 54,7 mg tablettánként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109,3 mg tablettánként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segédanyagok teljes listáját lásd a 6.1 pontban.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b/>
          <w:sz w:val="22"/>
          <w:szCs w:val="22"/>
        </w:rPr>
        <w:tab/>
        <w:t>GYÓGYSZERFORMA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Filmtabletta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  <w:r>
        <w:rPr>
          <w:sz w:val="22"/>
          <w:szCs w:val="22"/>
        </w:rPr>
        <w:t>: Sárga színű, ovális, domború, egyik oldalon bemetszéssel ellátott filmtabletták.</w:t>
      </w:r>
    </w:p>
    <w:p w:rsidR="00601E88" w:rsidRDefault="00CD7A0A">
      <w:pPr>
        <w:rPr>
          <w:sz w:val="22"/>
          <w:szCs w:val="22"/>
        </w:rPr>
      </w:pPr>
      <w:r>
        <w:rPr>
          <w:noProof/>
          <w:sz w:val="22"/>
          <w:szCs w:val="22"/>
        </w:rPr>
        <w:t>A tabletta egyenlő dózisokra osztható.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 xml:space="preserve">: Fehér, kerek, metszett élű, domború, egyik oldalon bemetszéssel ellátott filmtabletták. </w:t>
      </w:r>
      <w:r>
        <w:rPr>
          <w:noProof/>
          <w:sz w:val="22"/>
          <w:szCs w:val="22"/>
          <w:lang w:eastAsia="en-US"/>
        </w:rPr>
        <w:t>A tablettán lévő bemetszés nem a tabletta széttörésére szolgál.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Fehér színű, ovális, domború filmtabletták.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4.</w:t>
      </w:r>
      <w:r>
        <w:rPr>
          <w:b/>
          <w:caps/>
          <w:sz w:val="22"/>
          <w:szCs w:val="22"/>
        </w:rPr>
        <w:tab/>
        <w:t>KLINIKAI JELLEMZŐK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4.1</w:t>
      </w:r>
      <w:r>
        <w:rPr>
          <w:b/>
          <w:sz w:val="22"/>
          <w:szCs w:val="22"/>
        </w:rPr>
        <w:tab/>
        <w:t>Terápiás javallatok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numPr>
          <w:ilvl w:val="0"/>
          <w:numId w:val="29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Esszenciális </w:t>
      </w:r>
      <w:proofErr w:type="spellStart"/>
      <w:r>
        <w:rPr>
          <w:sz w:val="22"/>
          <w:szCs w:val="22"/>
          <w:lang w:eastAsia="en-US"/>
        </w:rPr>
        <w:t>hypertonia</w:t>
      </w:r>
      <w:proofErr w:type="spellEnd"/>
      <w:r>
        <w:rPr>
          <w:sz w:val="22"/>
          <w:szCs w:val="22"/>
          <w:lang w:eastAsia="en-US"/>
        </w:rPr>
        <w:t xml:space="preserve"> kezelése</w:t>
      </w:r>
      <w:r>
        <w:rPr>
          <w:color w:val="000000"/>
          <w:sz w:val="22"/>
          <w:szCs w:val="22"/>
        </w:rPr>
        <w:t xml:space="preserve"> felnőtteknél, valamint 6–18 éves gyermeknél és serdülőknél</w:t>
      </w:r>
      <w:r>
        <w:rPr>
          <w:sz w:val="22"/>
          <w:szCs w:val="22"/>
          <w:lang w:eastAsia="en-US"/>
        </w:rPr>
        <w:t>.</w:t>
      </w:r>
    </w:p>
    <w:p w:rsidR="00601E88" w:rsidRDefault="00CD7A0A">
      <w:pPr>
        <w:numPr>
          <w:ilvl w:val="0"/>
          <w:numId w:val="29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Hypertonia</w:t>
      </w:r>
      <w:proofErr w:type="spellEnd"/>
      <w:r>
        <w:rPr>
          <w:sz w:val="22"/>
          <w:szCs w:val="22"/>
          <w:lang w:eastAsia="en-US"/>
        </w:rPr>
        <w:t xml:space="preserve">-elleni kezelés részeként, </w:t>
      </w:r>
      <w:proofErr w:type="spellStart"/>
      <w:r>
        <w:rPr>
          <w:sz w:val="22"/>
          <w:szCs w:val="22"/>
          <w:lang w:eastAsia="en-US"/>
        </w:rPr>
        <w:t>hypertoniában</w:t>
      </w:r>
      <w:proofErr w:type="spellEnd"/>
      <w:r>
        <w:rPr>
          <w:sz w:val="22"/>
          <w:szCs w:val="22"/>
          <w:lang w:eastAsia="en-US"/>
        </w:rPr>
        <w:t xml:space="preserve">, és </w:t>
      </w:r>
      <w:proofErr w:type="spellStart"/>
      <w:r>
        <w:rPr>
          <w:sz w:val="22"/>
          <w:szCs w:val="22"/>
          <w:lang w:eastAsia="en-US"/>
        </w:rPr>
        <w:t>proteinuriával</w:t>
      </w:r>
      <w:proofErr w:type="spellEnd"/>
      <w:r>
        <w:rPr>
          <w:sz w:val="22"/>
          <w:szCs w:val="22"/>
          <w:lang w:eastAsia="en-US"/>
        </w:rPr>
        <w:t xml:space="preserve"> járó (≥ 0,5 g/nap), 2-es típusú diabetes mellitusban szenvedő felnőtt betegek vesebetegségének kezelése (lásd 4.3, 4.4, 4.5 és 5.1 pont).</w:t>
      </w:r>
    </w:p>
    <w:p w:rsidR="00601E88" w:rsidRDefault="00CD7A0A">
      <w:pPr>
        <w:numPr>
          <w:ilvl w:val="0"/>
          <w:numId w:val="29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Krónikus szívelégtelenség kezelése felnőtt betegek esetén, ahol az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 xml:space="preserve">-konvertáló enzim (ACE) gátlókkal történő kezelés intolerancia, </w:t>
      </w:r>
      <w:r>
        <w:rPr>
          <w:i/>
          <w:iCs/>
          <w:sz w:val="22"/>
          <w:szCs w:val="22"/>
          <w:lang w:eastAsia="en-US"/>
        </w:rPr>
        <w:t xml:space="preserve">főként köhögés </w:t>
      </w:r>
      <w:r>
        <w:rPr>
          <w:sz w:val="22"/>
          <w:szCs w:val="22"/>
          <w:lang w:eastAsia="en-US"/>
        </w:rPr>
        <w:t xml:space="preserve">vagy ellenjavallat miatt nem alkalmazható. Azokat a szívelégtelenségben szenvedő betegeket, akiknek az állapotát egy ACE-gátlóval stabilizálták, nem szabad </w:t>
      </w:r>
      <w:proofErr w:type="spellStart"/>
      <w:r>
        <w:rPr>
          <w:sz w:val="22"/>
          <w:szCs w:val="22"/>
          <w:lang w:eastAsia="en-US"/>
        </w:rPr>
        <w:t>lozartánra</w:t>
      </w:r>
      <w:proofErr w:type="spellEnd"/>
      <w:r>
        <w:rPr>
          <w:sz w:val="22"/>
          <w:szCs w:val="22"/>
          <w:lang w:eastAsia="en-US"/>
        </w:rPr>
        <w:t xml:space="preserve"> átállítani. A betegek legalább 40%-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balkamrai </w:t>
      </w:r>
      <w:proofErr w:type="spellStart"/>
      <w:r>
        <w:rPr>
          <w:sz w:val="22"/>
          <w:szCs w:val="22"/>
          <w:lang w:eastAsia="en-US"/>
        </w:rPr>
        <w:t>ejekciós</w:t>
      </w:r>
      <w:proofErr w:type="spellEnd"/>
      <w:r>
        <w:rPr>
          <w:sz w:val="22"/>
          <w:szCs w:val="22"/>
          <w:lang w:eastAsia="en-US"/>
        </w:rPr>
        <w:t xml:space="preserve"> frakcióval rendelkezzenek, </w:t>
      </w:r>
      <w:proofErr w:type="spellStart"/>
      <w:r>
        <w:rPr>
          <w:sz w:val="22"/>
          <w:szCs w:val="22"/>
          <w:lang w:eastAsia="en-US"/>
        </w:rPr>
        <w:t>klinikailag</w:t>
      </w:r>
      <w:proofErr w:type="spellEnd"/>
      <w:r>
        <w:rPr>
          <w:sz w:val="22"/>
          <w:szCs w:val="22"/>
          <w:lang w:eastAsia="en-US"/>
        </w:rPr>
        <w:t xml:space="preserve"> stabil állapotban kell lenniük és a krónikus szívelégtelenségre beállított kezelésben kell részesülniük.</w:t>
      </w:r>
    </w:p>
    <w:p w:rsidR="00601E88" w:rsidRDefault="00CD7A0A">
      <w:pPr>
        <w:numPr>
          <w:ilvl w:val="0"/>
          <w:numId w:val="29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stroke kockázatának csökkentése EKG-val igazolt balkamra-</w:t>
      </w:r>
      <w:proofErr w:type="spellStart"/>
      <w:r>
        <w:rPr>
          <w:sz w:val="22"/>
          <w:szCs w:val="22"/>
          <w:lang w:eastAsia="en-US"/>
        </w:rPr>
        <w:t>hypertrophiában</w:t>
      </w:r>
      <w:proofErr w:type="spellEnd"/>
      <w:r>
        <w:rPr>
          <w:sz w:val="22"/>
          <w:szCs w:val="22"/>
          <w:lang w:eastAsia="en-US"/>
        </w:rPr>
        <w:t xml:space="preserve"> szenvedő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felnőtt betegeknél (lásd 5.1 pont, LIFE vizsgálat, Rassz).</w:t>
      </w:r>
    </w:p>
    <w:p w:rsidR="00601E88" w:rsidRDefault="00601E88">
      <w:pPr>
        <w:rPr>
          <w:sz w:val="22"/>
          <w:szCs w:val="22"/>
        </w:rPr>
      </w:pPr>
      <w:bookmarkStart w:id="0" w:name="_GoBack"/>
      <w:bookmarkEnd w:id="0"/>
    </w:p>
    <w:p w:rsidR="00601E88" w:rsidRDefault="00CD7A0A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4.2</w:t>
      </w:r>
      <w:r>
        <w:rPr>
          <w:b/>
          <w:sz w:val="22"/>
          <w:szCs w:val="22"/>
        </w:rPr>
        <w:tab/>
        <w:t>Adagolás és alkalmazás</w:t>
      </w:r>
    </w:p>
    <w:p w:rsidR="00601E88" w:rsidRDefault="00601E88">
      <w:pPr>
        <w:autoSpaceDE w:val="0"/>
        <w:autoSpaceDN w:val="0"/>
        <w:adjustRightInd w:val="0"/>
        <w:rPr>
          <w:i/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u w:val="single"/>
          <w:lang w:eastAsia="en-US"/>
        </w:rPr>
        <w:t>Adagolás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Hypertonia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betegek többségénél a szokásos kezdő és fenntartó dózis naponta egyszer 50 mg. A maximális vérnyomáscsökkentő hatás a kezelés megkezdése után 3</w:t>
      </w:r>
      <w:r>
        <w:rPr>
          <w:sz w:val="22"/>
          <w:szCs w:val="22"/>
          <w:lang w:eastAsia="en-US"/>
        </w:rPr>
        <w:noBreakHyphen/>
        <w:t xml:space="preserve">6 héttel érhető el. Egyes betegeknél a hatás tovább fokozható a dózis naponta egyszer 100 mg-ra történő emelésével (reggeli bevétel).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egyéb vérnyomáscsökkentő szerekkel, főként vízhajtókkal (pl.: </w:t>
      </w:r>
      <w:proofErr w:type="spellStart"/>
      <w:r>
        <w:rPr>
          <w:sz w:val="22"/>
          <w:szCs w:val="22"/>
          <w:lang w:eastAsia="en-US"/>
        </w:rPr>
        <w:t>hidroklorotiaziddal</w:t>
      </w:r>
      <w:proofErr w:type="spellEnd"/>
      <w:r>
        <w:rPr>
          <w:sz w:val="22"/>
          <w:szCs w:val="22"/>
          <w:lang w:eastAsia="en-US"/>
        </w:rPr>
        <w:t>) együtt adható (lásd 4.3, 4.4, 4.5 és 5.1 pont).</w:t>
      </w:r>
    </w:p>
    <w:p w:rsidR="00601E88" w:rsidRDefault="00601E88">
      <w:pPr>
        <w:autoSpaceDE w:val="0"/>
        <w:autoSpaceDN w:val="0"/>
        <w:adjustRightInd w:val="0"/>
        <w:rPr>
          <w:iCs/>
          <w:color w:val="000000"/>
          <w:sz w:val="22"/>
          <w:szCs w:val="22"/>
          <w:u w:val="single"/>
        </w:rPr>
      </w:pPr>
    </w:p>
    <w:p w:rsidR="00601E88" w:rsidRDefault="00CD7A0A">
      <w:pPr>
        <w:autoSpaceDE w:val="0"/>
        <w:autoSpaceDN w:val="0"/>
        <w:adjustRightInd w:val="0"/>
        <w:rPr>
          <w:color w:val="000000"/>
          <w:sz w:val="22"/>
          <w:szCs w:val="22"/>
          <w:u w:val="single"/>
        </w:rPr>
      </w:pPr>
      <w:r>
        <w:rPr>
          <w:iCs/>
          <w:color w:val="000000"/>
          <w:sz w:val="22"/>
          <w:szCs w:val="22"/>
          <w:u w:val="single"/>
        </w:rPr>
        <w:t>Napi ≥0,5 g mértékű</w:t>
      </w:r>
      <w:r>
        <w:rPr>
          <w:color w:val="000000"/>
          <w:sz w:val="22"/>
          <w:szCs w:val="22"/>
          <w:u w:val="single"/>
        </w:rPr>
        <w:t xml:space="preserve"> </w:t>
      </w:r>
      <w:proofErr w:type="spellStart"/>
      <w:r>
        <w:rPr>
          <w:color w:val="000000"/>
          <w:sz w:val="22"/>
          <w:szCs w:val="22"/>
          <w:u w:val="single"/>
        </w:rPr>
        <w:t>proteinuriában</w:t>
      </w:r>
      <w:proofErr w:type="spellEnd"/>
      <w:r>
        <w:rPr>
          <w:color w:val="000000"/>
          <w:sz w:val="22"/>
          <w:szCs w:val="22"/>
          <w:u w:val="single"/>
        </w:rPr>
        <w:t xml:space="preserve"> szenvedő, 2</w:t>
      </w:r>
      <w:r>
        <w:rPr>
          <w:color w:val="000000"/>
          <w:sz w:val="22"/>
          <w:szCs w:val="22"/>
          <w:u w:val="single"/>
        </w:rPr>
        <w:noBreakHyphen/>
        <w:t xml:space="preserve">es típusú diabeteses és </w:t>
      </w:r>
      <w:proofErr w:type="spellStart"/>
      <w:r>
        <w:rPr>
          <w:color w:val="000000"/>
          <w:sz w:val="22"/>
          <w:szCs w:val="22"/>
          <w:u w:val="single"/>
        </w:rPr>
        <w:t>hypertoniás</w:t>
      </w:r>
      <w:proofErr w:type="spellEnd"/>
      <w:r>
        <w:rPr>
          <w:color w:val="000000"/>
          <w:sz w:val="22"/>
          <w:szCs w:val="22"/>
          <w:u w:val="single"/>
        </w:rPr>
        <w:t xml:space="preserve"> betegek</w:t>
      </w:r>
    </w:p>
    <w:p w:rsidR="00601E88" w:rsidRDefault="00CD7A0A">
      <w:pPr>
        <w:widowControl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szokásos kezdő dózis naponta egyszer 50 mg.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dózisa a vérnyomás alakulásának megfelelően naponta egyszer 100 mg</w:t>
      </w:r>
      <w:r>
        <w:rPr>
          <w:color w:val="000000"/>
          <w:sz w:val="22"/>
          <w:szCs w:val="22"/>
        </w:rPr>
        <w:noBreakHyphen/>
        <w:t>ra emelhető a terápia bevezetését követő első hónap után.</w:t>
      </w:r>
    </w:p>
    <w:p w:rsidR="00601E88" w:rsidRDefault="00CD7A0A">
      <w:pPr>
        <w:widowControl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együtt adható egyéb vérnyomáscsökkentő készítményekkel (pl. </w:t>
      </w:r>
      <w:proofErr w:type="spellStart"/>
      <w:r>
        <w:rPr>
          <w:color w:val="000000"/>
          <w:sz w:val="22"/>
          <w:szCs w:val="22"/>
        </w:rPr>
        <w:t>diuretikumokkal</w:t>
      </w:r>
      <w:proofErr w:type="spellEnd"/>
      <w:r>
        <w:rPr>
          <w:color w:val="000000"/>
          <w:sz w:val="22"/>
          <w:szCs w:val="22"/>
        </w:rPr>
        <w:t>, kalciumcsatorna</w:t>
      </w:r>
      <w:r>
        <w:rPr>
          <w:color w:val="000000"/>
          <w:sz w:val="22"/>
          <w:szCs w:val="22"/>
        </w:rPr>
        <w:noBreakHyphen/>
        <w:t>gátlókkal, alfa-, illetve béta</w:t>
      </w:r>
      <w:r>
        <w:rPr>
          <w:color w:val="000000"/>
          <w:sz w:val="22"/>
          <w:szCs w:val="22"/>
        </w:rPr>
        <w:noBreakHyphen/>
        <w:t xml:space="preserve">blokkolókkal és centrálisan ható szerekkel) </w:t>
      </w:r>
      <w:r>
        <w:rPr>
          <w:sz w:val="22"/>
          <w:szCs w:val="22"/>
          <w:lang w:eastAsia="en-US"/>
        </w:rPr>
        <w:t>(lásd 4.3, 4.4, 4.5 és 5.1 pont)</w:t>
      </w:r>
      <w:r>
        <w:rPr>
          <w:color w:val="000000"/>
          <w:sz w:val="22"/>
          <w:szCs w:val="22"/>
        </w:rPr>
        <w:t xml:space="preserve">, valamint inzulinnal és más, általánosan használt </w:t>
      </w:r>
      <w:proofErr w:type="spellStart"/>
      <w:r>
        <w:rPr>
          <w:color w:val="000000"/>
          <w:sz w:val="22"/>
          <w:szCs w:val="22"/>
        </w:rPr>
        <w:t>antidiabetikumokkal</w:t>
      </w:r>
      <w:proofErr w:type="spellEnd"/>
      <w:r>
        <w:rPr>
          <w:color w:val="000000"/>
          <w:sz w:val="22"/>
          <w:szCs w:val="22"/>
        </w:rPr>
        <w:t xml:space="preserve"> (pl. </w:t>
      </w:r>
      <w:proofErr w:type="spellStart"/>
      <w:r>
        <w:rPr>
          <w:color w:val="000000"/>
          <w:sz w:val="22"/>
          <w:szCs w:val="22"/>
        </w:rPr>
        <w:t>szulfonilureákkal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glitazonokkal</w:t>
      </w:r>
      <w:proofErr w:type="spellEnd"/>
      <w:r>
        <w:rPr>
          <w:color w:val="000000"/>
          <w:sz w:val="22"/>
          <w:szCs w:val="22"/>
        </w:rPr>
        <w:t xml:space="preserve">, és </w:t>
      </w:r>
      <w:proofErr w:type="spellStart"/>
      <w:r>
        <w:rPr>
          <w:color w:val="000000"/>
          <w:sz w:val="22"/>
          <w:szCs w:val="22"/>
        </w:rPr>
        <w:t>glükozidáz</w:t>
      </w:r>
      <w:proofErr w:type="spellEnd"/>
      <w:r>
        <w:rPr>
          <w:color w:val="000000"/>
          <w:sz w:val="22"/>
          <w:szCs w:val="22"/>
        </w:rPr>
        <w:t>-gátlókkal).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keepNext/>
        <w:widowControl w:val="0"/>
        <w:tabs>
          <w:tab w:val="left" w:pos="567"/>
        </w:tabs>
        <w:rPr>
          <w:color w:val="000000"/>
          <w:sz w:val="22"/>
          <w:szCs w:val="22"/>
          <w:u w:val="single"/>
        </w:rPr>
      </w:pPr>
      <w:r>
        <w:rPr>
          <w:iCs/>
          <w:color w:val="000000"/>
          <w:sz w:val="22"/>
          <w:szCs w:val="22"/>
          <w:u w:val="single"/>
        </w:rPr>
        <w:t>Szívelégtelenség</w:t>
      </w:r>
    </w:p>
    <w:p w:rsidR="00601E88" w:rsidRDefault="00CD7A0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Szívelégtelenségben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szokásos kezdő dózisa naponta egyszer 12,5 mg. A dózist általában hetente kell emelni (azaz napi 12,5 mg, napi 25 mg, napi 50 mg, napi 100 mg, legfeljebb napi egyszer 150 mg maximális dózisig), a beteg toleranciájának megfelelően.</w:t>
      </w:r>
    </w:p>
    <w:p w:rsidR="00601E88" w:rsidRDefault="00601E88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:rsidR="00601E88" w:rsidRDefault="00CD7A0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A stroke kockázatának csökkentése EKG</w:t>
      </w:r>
      <w:r>
        <w:rPr>
          <w:color w:val="000000"/>
          <w:sz w:val="22"/>
          <w:szCs w:val="22"/>
          <w:u w:val="single"/>
        </w:rPr>
        <w:noBreakHyphen/>
        <w:t>val igazolt balkamra</w:t>
      </w:r>
      <w:r>
        <w:rPr>
          <w:color w:val="000000"/>
          <w:sz w:val="22"/>
          <w:szCs w:val="22"/>
          <w:u w:val="single"/>
        </w:rPr>
        <w:noBreakHyphen/>
      </w:r>
      <w:proofErr w:type="spellStart"/>
      <w:r>
        <w:rPr>
          <w:color w:val="000000"/>
          <w:sz w:val="22"/>
          <w:szCs w:val="22"/>
          <w:u w:val="single"/>
        </w:rPr>
        <w:t>hypertrophiában</w:t>
      </w:r>
      <w:proofErr w:type="spellEnd"/>
      <w:r>
        <w:rPr>
          <w:color w:val="000000"/>
          <w:sz w:val="22"/>
          <w:szCs w:val="22"/>
          <w:u w:val="single"/>
        </w:rPr>
        <w:t xml:space="preserve"> szenvedő </w:t>
      </w:r>
      <w:proofErr w:type="spellStart"/>
      <w:r>
        <w:rPr>
          <w:color w:val="000000"/>
          <w:sz w:val="22"/>
          <w:szCs w:val="22"/>
          <w:u w:val="single"/>
        </w:rPr>
        <w:t>hypertoniás</w:t>
      </w:r>
      <w:proofErr w:type="spellEnd"/>
      <w:r>
        <w:rPr>
          <w:color w:val="000000"/>
          <w:sz w:val="22"/>
          <w:szCs w:val="22"/>
          <w:u w:val="single"/>
        </w:rPr>
        <w:t xml:space="preserve"> betegeknél</w:t>
      </w:r>
    </w:p>
    <w:p w:rsidR="00601E88" w:rsidRDefault="00CD7A0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szokásos kezdő dózis naponta egyszer 50 mg. A vérnyomáscsökkentésre adott válasz függvényében kis dózisban </w:t>
      </w:r>
      <w:proofErr w:type="spellStart"/>
      <w:r>
        <w:rPr>
          <w:color w:val="000000"/>
          <w:sz w:val="22"/>
          <w:szCs w:val="22"/>
        </w:rPr>
        <w:t>hidroklorotiazidot</w:t>
      </w:r>
      <w:proofErr w:type="spellEnd"/>
      <w:r>
        <w:rPr>
          <w:color w:val="000000"/>
          <w:sz w:val="22"/>
          <w:szCs w:val="22"/>
        </w:rPr>
        <w:t xml:space="preserve"> is kell adni, és/vagy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dózisát napi 100 mg</w:t>
      </w:r>
      <w:r>
        <w:rPr>
          <w:color w:val="000000"/>
          <w:sz w:val="22"/>
          <w:szCs w:val="22"/>
        </w:rPr>
        <w:noBreakHyphen/>
        <w:t>ra kell emelni.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pStyle w:val="MGGTextLeft"/>
        <w:rPr>
          <w:i/>
          <w:color w:val="000000"/>
          <w:sz w:val="22"/>
          <w:szCs w:val="22"/>
          <w:u w:val="single"/>
          <w:lang w:val="hu-HU"/>
        </w:rPr>
      </w:pPr>
      <w:r>
        <w:rPr>
          <w:i/>
          <w:color w:val="000000"/>
          <w:sz w:val="22"/>
          <w:szCs w:val="22"/>
          <w:u w:val="single"/>
          <w:lang w:val="hu-HU"/>
        </w:rPr>
        <w:t>Különleges betegcsoportok</w:t>
      </w:r>
    </w:p>
    <w:p w:rsidR="00601E88" w:rsidRDefault="00601E88">
      <w:pPr>
        <w:pStyle w:val="MGGTextLeft"/>
        <w:rPr>
          <w:i/>
          <w:color w:val="000000"/>
          <w:sz w:val="22"/>
          <w:szCs w:val="22"/>
          <w:u w:val="single"/>
          <w:lang w:val="hu-HU"/>
        </w:rPr>
      </w:pPr>
    </w:p>
    <w:p w:rsidR="00601E88" w:rsidRDefault="00CD7A0A">
      <w:pPr>
        <w:pStyle w:val="MGGTextLeft"/>
        <w:rPr>
          <w:i/>
          <w:color w:val="000000"/>
          <w:sz w:val="22"/>
          <w:szCs w:val="22"/>
          <w:u w:val="single"/>
          <w:lang w:val="hu-HU"/>
        </w:rPr>
      </w:pPr>
      <w:r>
        <w:rPr>
          <w:color w:val="000000"/>
          <w:sz w:val="22"/>
          <w:szCs w:val="22"/>
          <w:u w:val="single"/>
          <w:lang w:val="hu-HU"/>
        </w:rPr>
        <w:t xml:space="preserve">Alkalmazása </w:t>
      </w:r>
      <w:proofErr w:type="spellStart"/>
      <w:r>
        <w:rPr>
          <w:color w:val="000000"/>
          <w:sz w:val="22"/>
          <w:szCs w:val="22"/>
          <w:u w:val="single"/>
          <w:lang w:val="hu-HU"/>
        </w:rPr>
        <w:t>intravascularis</w:t>
      </w:r>
      <w:proofErr w:type="spellEnd"/>
      <w:r>
        <w:rPr>
          <w:color w:val="000000"/>
          <w:sz w:val="22"/>
          <w:szCs w:val="22"/>
          <w:u w:val="single"/>
          <w:lang w:val="hu-HU"/>
        </w:rPr>
        <w:t xml:space="preserve"> volumenhiányban szenvedő betegeknél:</w:t>
      </w:r>
    </w:p>
    <w:p w:rsidR="00601E88" w:rsidRDefault="00CD7A0A">
      <w:pPr>
        <w:pStyle w:val="Szvegtrzs"/>
        <w:rPr>
          <w:color w:val="000000"/>
          <w:szCs w:val="22"/>
          <w:lang w:val="hu-HU"/>
        </w:rPr>
      </w:pPr>
      <w:proofErr w:type="spellStart"/>
      <w:r>
        <w:rPr>
          <w:color w:val="000000"/>
          <w:szCs w:val="22"/>
          <w:lang w:val="hu-HU"/>
        </w:rPr>
        <w:t>Intravascularis</w:t>
      </w:r>
      <w:proofErr w:type="spellEnd"/>
      <w:r>
        <w:rPr>
          <w:color w:val="000000"/>
          <w:szCs w:val="22"/>
          <w:lang w:val="hu-HU"/>
        </w:rPr>
        <w:t xml:space="preserve"> volumenhiányban szenvedő (pl. nagy dózisú vízhajtókkal kezelt) betegeknél a napi egyszer 25 mg</w:t>
      </w:r>
      <w:r>
        <w:rPr>
          <w:color w:val="000000"/>
          <w:szCs w:val="22"/>
          <w:lang w:val="hu-HU"/>
        </w:rPr>
        <w:noBreakHyphen/>
      </w:r>
      <w:proofErr w:type="spellStart"/>
      <w:r>
        <w:rPr>
          <w:color w:val="000000"/>
          <w:szCs w:val="22"/>
          <w:lang w:val="hu-HU"/>
        </w:rPr>
        <w:t>os</w:t>
      </w:r>
      <w:proofErr w:type="spellEnd"/>
      <w:r>
        <w:rPr>
          <w:color w:val="000000"/>
          <w:szCs w:val="22"/>
          <w:lang w:val="hu-HU"/>
        </w:rPr>
        <w:t xml:space="preserve"> kezdő dózis alkalmazását kell fontolóra venni (lásd 4.4 pont).</w:t>
      </w:r>
    </w:p>
    <w:p w:rsidR="00601E88" w:rsidRDefault="00601E88">
      <w:pPr>
        <w:pStyle w:val="Szvegtrzs"/>
        <w:rPr>
          <w:color w:val="000000"/>
          <w:szCs w:val="22"/>
          <w:lang w:val="hu-HU"/>
        </w:rPr>
      </w:pPr>
    </w:p>
    <w:p w:rsidR="00601E88" w:rsidRDefault="00CD7A0A">
      <w:pPr>
        <w:pStyle w:val="Szvegtrzs"/>
        <w:rPr>
          <w:color w:val="000000"/>
          <w:szCs w:val="22"/>
          <w:lang w:val="hu-HU"/>
        </w:rPr>
      </w:pPr>
      <w:r>
        <w:rPr>
          <w:color w:val="000000"/>
          <w:szCs w:val="22"/>
          <w:u w:val="single"/>
          <w:lang w:val="hu-HU"/>
        </w:rPr>
        <w:t xml:space="preserve">Alkalmazása </w:t>
      </w:r>
      <w:r>
        <w:rPr>
          <w:iCs/>
          <w:color w:val="000000"/>
          <w:szCs w:val="22"/>
          <w:u w:val="single"/>
          <w:lang w:val="hu-HU"/>
        </w:rPr>
        <w:t xml:space="preserve">vesekárosodásban szenvedő és </w:t>
      </w:r>
      <w:proofErr w:type="spellStart"/>
      <w:r>
        <w:rPr>
          <w:iCs/>
          <w:color w:val="000000"/>
          <w:szCs w:val="22"/>
          <w:u w:val="single"/>
          <w:lang w:val="hu-HU"/>
        </w:rPr>
        <w:t>hemodializált</w:t>
      </w:r>
      <w:proofErr w:type="spellEnd"/>
      <w:r>
        <w:rPr>
          <w:iCs/>
          <w:color w:val="000000"/>
          <w:szCs w:val="22"/>
          <w:u w:val="single"/>
          <w:lang w:val="hu-HU"/>
        </w:rPr>
        <w:t xml:space="preserve"> betegeknél:</w:t>
      </w:r>
    </w:p>
    <w:p w:rsidR="00601E88" w:rsidRDefault="00CD7A0A">
      <w:pPr>
        <w:tabs>
          <w:tab w:val="left" w:pos="567"/>
        </w:tabs>
        <w:rPr>
          <w:iCs/>
          <w:noProof/>
          <w:color w:val="000000"/>
          <w:sz w:val="22"/>
          <w:szCs w:val="22"/>
        </w:rPr>
      </w:pPr>
      <w:r>
        <w:rPr>
          <w:iCs/>
          <w:noProof/>
          <w:color w:val="000000"/>
          <w:sz w:val="22"/>
          <w:szCs w:val="22"/>
        </w:rPr>
        <w:t>A vesekárosodásban szenvedő és hemodializált betegeknél nem szükséges a kezdő dózis módosítása.</w:t>
      </w:r>
    </w:p>
    <w:p w:rsidR="00601E88" w:rsidRDefault="00601E88">
      <w:pPr>
        <w:tabs>
          <w:tab w:val="left" w:pos="567"/>
        </w:tabs>
        <w:rPr>
          <w:iCs/>
          <w:noProof/>
          <w:color w:val="000000"/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iCs/>
          <w:noProof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 xml:space="preserve">Alkalmazása </w:t>
      </w:r>
      <w:r>
        <w:rPr>
          <w:noProof/>
          <w:color w:val="000000"/>
          <w:sz w:val="22"/>
          <w:szCs w:val="22"/>
          <w:u w:val="single"/>
        </w:rPr>
        <w:t>májkárosodásban szenvedő betegeknél:</w:t>
      </w:r>
    </w:p>
    <w:p w:rsidR="00601E88" w:rsidRDefault="00CD7A0A">
      <w:pPr>
        <w:autoSpaceDE w:val="0"/>
        <w:autoSpaceDN w:val="0"/>
        <w:adjustRightInd w:val="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 xml:space="preserve">Azoknál a betegeknél, akiknek kórtörténetében májkárosodás szerepel, </w:t>
      </w:r>
      <w:r>
        <w:rPr>
          <w:sz w:val="22"/>
          <w:szCs w:val="22"/>
        </w:rPr>
        <w:t>kisebb</w:t>
      </w:r>
      <w:r>
        <w:rPr>
          <w:noProof/>
          <w:color w:val="000000"/>
          <w:sz w:val="22"/>
          <w:szCs w:val="22"/>
        </w:rPr>
        <w:t xml:space="preserve"> dózis alkalmazását kell megfontolni. Súlyos májkárosodásban szenvedő betegekre vonatkozóan nem áll rendelkezésre kezelési tapasztalat. A lozartán ennélfogva ellenjavallt súlyos májkárosodásban szenvedő betegeknél (lásd 4.3 és 4.4 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Gyermekek és serdülők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:rsidR="00601E88" w:rsidRDefault="00CD7A0A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 hónapos– &lt;6 éves kor</w:t>
      </w:r>
    </w:p>
    <w:p w:rsidR="00601E88" w:rsidRDefault="00CD7A0A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biztonságosságot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hatásosságot</w:t>
      </w:r>
      <w:proofErr w:type="spellEnd"/>
      <w:r>
        <w:rPr>
          <w:sz w:val="22"/>
          <w:szCs w:val="22"/>
        </w:rPr>
        <w:t xml:space="preserve"> 6 hónapos–&lt;6 éves csecsemők és gyermekek esetében nem értékelték. A jelenleg rendelkezésre álló adatok az 5.1 és 5.2 pontban találhatók, de az adagolásra nem tehető javaslat.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6–18 éves kor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Azon 20 kg-nál nehezebb, de 50 kg-nál könnyebb betegek esetén, akik le tudják nyelni a tablettákat, a javasolt dózis naponta egyszer 25 mg. Kivételes esetekben a dózis maximum naponta egyszer 50 mg-ra emelhető. Az adagolást a vérnyomáscsökkentésre adott válasz függvényében kell módosítani.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50 </w:t>
      </w:r>
      <w:proofErr w:type="gramStart"/>
      <w:r>
        <w:rPr>
          <w:sz w:val="22"/>
          <w:szCs w:val="22"/>
          <w:lang w:eastAsia="en-US"/>
        </w:rPr>
        <w:t>kg-nál</w:t>
      </w:r>
      <w:proofErr w:type="gramEnd"/>
      <w:r>
        <w:rPr>
          <w:sz w:val="22"/>
          <w:szCs w:val="22"/>
          <w:lang w:eastAsia="en-US"/>
        </w:rPr>
        <w:t xml:space="preserve"> nehezebb betegeknél a szokásos dózis naponta egyszer 50 mg. Kivételes esetekben a dózis módosítható maximum naponta egyszer 100 mg-ra. Az 1,4 mg/</w:t>
      </w:r>
      <w:proofErr w:type="spellStart"/>
      <w:r>
        <w:rPr>
          <w:sz w:val="22"/>
          <w:szCs w:val="22"/>
          <w:lang w:eastAsia="en-US"/>
        </w:rPr>
        <w:t>ttkg</w:t>
      </w:r>
      <w:proofErr w:type="spellEnd"/>
      <w:r>
        <w:rPr>
          <w:sz w:val="22"/>
          <w:szCs w:val="22"/>
          <w:lang w:eastAsia="en-US"/>
        </w:rPr>
        <w:t xml:space="preserve"> (illetve 100 mg) feletti napi dózisokat gyermekeknél és serdülőknél nem vizsgálták.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6 évesnél fiatalabb gyermekeknek nem javasolt, mivel e betegcsoportra vonatkozóan korlátozott adat áll rendelkezésre.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30 ml/perc/1,73 m</w:t>
      </w:r>
      <w:r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 xml:space="preserve"> alatti </w:t>
      </w:r>
      <w:proofErr w:type="spellStart"/>
      <w:r>
        <w:rPr>
          <w:sz w:val="22"/>
          <w:szCs w:val="22"/>
          <w:lang w:eastAsia="en-US"/>
        </w:rPr>
        <w:t>glomeruláris</w:t>
      </w:r>
      <w:proofErr w:type="spellEnd"/>
      <w:r>
        <w:rPr>
          <w:sz w:val="22"/>
          <w:szCs w:val="22"/>
          <w:lang w:eastAsia="en-US"/>
        </w:rPr>
        <w:t xml:space="preserve"> filtrációs rátájú gyermekeknek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javasolt, mivel nem áll rendelkezésre erre vonatkozó adat (lásd még 4.4 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májkárosodásban szenvedő gyermekeknek nem javasolt (lásd még 4.4 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noProof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Alkalmazása </w:t>
      </w:r>
      <w:r>
        <w:rPr>
          <w:noProof/>
          <w:color w:val="000000"/>
          <w:sz w:val="22"/>
          <w:szCs w:val="22"/>
          <w:u w:val="single"/>
        </w:rPr>
        <w:t>időseknél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noProof/>
          <w:color w:val="000000"/>
          <w:sz w:val="22"/>
          <w:szCs w:val="22"/>
        </w:rPr>
        <w:t>Bár 75 éves kor felett meg kell fontolni a 25 mg</w:t>
      </w:r>
      <w:r>
        <w:rPr>
          <w:noProof/>
          <w:color w:val="000000"/>
          <w:sz w:val="22"/>
          <w:szCs w:val="22"/>
        </w:rPr>
        <w:noBreakHyphen/>
        <w:t>os kezdő dózis alkalmazását, a dózismódosítás időseknél általában nem szükséges.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Az alkalmazás módja</w:t>
      </w:r>
    </w:p>
    <w:p w:rsidR="00601E88" w:rsidRDefault="00601E88">
      <w:pPr>
        <w:rPr>
          <w:sz w:val="22"/>
          <w:szCs w:val="22"/>
          <w:u w:val="single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tablettákat egy pohár vízzel kell lenyelni.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tabletták bevehetők étkezéskor vagy étkezéstől függetlenül.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4.3</w:t>
      </w:r>
      <w:r>
        <w:rPr>
          <w:b/>
          <w:sz w:val="22"/>
          <w:szCs w:val="22"/>
        </w:rPr>
        <w:tab/>
        <w:t>Ellenjavallatok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numPr>
          <w:ilvl w:val="0"/>
          <w:numId w:val="30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készítmény hatóanyagával vagy</w:t>
      </w:r>
      <w:r>
        <w:rPr>
          <w:noProof/>
          <w:sz w:val="22"/>
          <w:szCs w:val="22"/>
          <w:lang w:eastAsia="en-US"/>
        </w:rPr>
        <w:t xml:space="preserve"> a 4.4 pontban és 6.1 pontban felsorolt</w:t>
      </w:r>
      <w:r>
        <w:rPr>
          <w:sz w:val="22"/>
          <w:szCs w:val="22"/>
          <w:lang w:eastAsia="en-US"/>
        </w:rPr>
        <w:t xml:space="preserve"> bármely segédanyagával szembeni túlérzékenység.</w:t>
      </w:r>
    </w:p>
    <w:p w:rsidR="00601E88" w:rsidRDefault="00CD7A0A">
      <w:pPr>
        <w:numPr>
          <w:ilvl w:val="0"/>
          <w:numId w:val="30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terhesség második és harmadik trimesztere (lásd 4.4 és 4.6 pont).</w:t>
      </w:r>
    </w:p>
    <w:p w:rsidR="00601E88" w:rsidRDefault="00CD7A0A">
      <w:pPr>
        <w:numPr>
          <w:ilvl w:val="0"/>
          <w:numId w:val="30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Súlyos májkárosodás.</w:t>
      </w:r>
    </w:p>
    <w:p w:rsidR="00601E88" w:rsidRDefault="00CD7A0A">
      <w:pPr>
        <w:numPr>
          <w:ilvl w:val="0"/>
          <w:numId w:val="30"/>
        </w:numPr>
        <w:tabs>
          <w:tab w:val="clear" w:pos="720"/>
          <w:tab w:val="num" w:pos="567"/>
        </w:tabs>
        <w:ind w:left="567" w:hanging="567"/>
        <w:rPr>
          <w:sz w:val="22"/>
          <w:szCs w:val="18"/>
        </w:rPr>
      </w:pPr>
      <w:r>
        <w:rPr>
          <w:sz w:val="22"/>
          <w:szCs w:val="18"/>
        </w:rPr>
        <w:t xml:space="preserve">A </w:t>
      </w:r>
      <w:proofErr w:type="spellStart"/>
      <w:r>
        <w:rPr>
          <w:sz w:val="22"/>
          <w:szCs w:val="18"/>
        </w:rPr>
        <w:t>Lavestra</w:t>
      </w:r>
      <w:proofErr w:type="spellEnd"/>
      <w:r>
        <w:rPr>
          <w:sz w:val="22"/>
          <w:szCs w:val="18"/>
        </w:rPr>
        <w:t xml:space="preserve"> egyidejű alkalmazása </w:t>
      </w:r>
      <w:proofErr w:type="spellStart"/>
      <w:r>
        <w:rPr>
          <w:sz w:val="22"/>
          <w:szCs w:val="18"/>
        </w:rPr>
        <w:t>aliszkirén</w:t>
      </w:r>
      <w:proofErr w:type="spellEnd"/>
      <w:r>
        <w:rPr>
          <w:sz w:val="22"/>
          <w:szCs w:val="18"/>
        </w:rPr>
        <w:t xml:space="preserve"> tartalmú készítményekkel ellenjavallt diabetes mellitusban szenvedő vagy károsodott veseműködésű betegeknél (GFR </w:t>
      </w:r>
      <w:proofErr w:type="gramStart"/>
      <w:r>
        <w:rPr>
          <w:sz w:val="22"/>
          <w:szCs w:val="18"/>
        </w:rPr>
        <w:t>&lt; 60</w:t>
      </w:r>
      <w:proofErr w:type="gramEnd"/>
      <w:r>
        <w:rPr>
          <w:sz w:val="22"/>
          <w:szCs w:val="18"/>
        </w:rPr>
        <w:t> ml/perc/1,73 m</w:t>
      </w:r>
      <w:r>
        <w:rPr>
          <w:sz w:val="22"/>
          <w:szCs w:val="18"/>
          <w:vertAlign w:val="superscript"/>
        </w:rPr>
        <w:t>2</w:t>
      </w:r>
      <w:r>
        <w:rPr>
          <w:sz w:val="22"/>
          <w:szCs w:val="18"/>
        </w:rPr>
        <w:t>) (lásd 4.5 és 5.1 pont).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4.4</w:t>
      </w:r>
      <w:r>
        <w:rPr>
          <w:b/>
          <w:sz w:val="22"/>
          <w:szCs w:val="22"/>
        </w:rPr>
        <w:tab/>
        <w:t>Különleges figyelmeztetések és az alkalmazással kapcsolatos óvintézkedések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Túlérzékenység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i/>
          <w:iCs/>
          <w:sz w:val="22"/>
          <w:szCs w:val="22"/>
          <w:lang w:eastAsia="en-US"/>
        </w:rPr>
        <w:t>Angiooedema</w:t>
      </w:r>
      <w:proofErr w:type="spellEnd"/>
      <w:r>
        <w:rPr>
          <w:i/>
          <w:iCs/>
          <w:sz w:val="22"/>
          <w:szCs w:val="22"/>
          <w:lang w:eastAsia="en-US"/>
        </w:rPr>
        <w:t xml:space="preserve">: </w:t>
      </w:r>
      <w:r>
        <w:rPr>
          <w:sz w:val="22"/>
          <w:szCs w:val="22"/>
          <w:lang w:eastAsia="en-US"/>
        </w:rPr>
        <w:t xml:space="preserve">Azokat a betegeket, akiknek a kórtörténetében </w:t>
      </w:r>
      <w:proofErr w:type="spellStart"/>
      <w:r>
        <w:rPr>
          <w:sz w:val="22"/>
          <w:szCs w:val="22"/>
          <w:lang w:eastAsia="en-US"/>
        </w:rPr>
        <w:t>angiooedema</w:t>
      </w:r>
      <w:proofErr w:type="spellEnd"/>
      <w:r>
        <w:rPr>
          <w:sz w:val="22"/>
          <w:szCs w:val="22"/>
          <w:lang w:eastAsia="en-US"/>
        </w:rPr>
        <w:t xml:space="preserve"> (az arc, ajkak, torok és/vagy nyelv duzzanata) szerepel, szigorú megfigyelés alatt kell tartani (lásd 4.8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Hypotonia</w:t>
      </w:r>
      <w:proofErr w:type="spellEnd"/>
      <w:r>
        <w:rPr>
          <w:sz w:val="22"/>
          <w:szCs w:val="22"/>
          <w:u w:val="single"/>
          <w:lang w:eastAsia="en-US"/>
        </w:rPr>
        <w:t xml:space="preserve"> és az elektrolit-/vízháztartás egyensúlyzavara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Tünetekkel járó </w:t>
      </w:r>
      <w:proofErr w:type="spellStart"/>
      <w:r>
        <w:rPr>
          <w:sz w:val="22"/>
          <w:szCs w:val="22"/>
          <w:lang w:eastAsia="en-US"/>
        </w:rPr>
        <w:t>hypotonia</w:t>
      </w:r>
      <w:proofErr w:type="spellEnd"/>
      <w:r>
        <w:rPr>
          <w:sz w:val="22"/>
          <w:szCs w:val="22"/>
          <w:lang w:eastAsia="en-US"/>
        </w:rPr>
        <w:t xml:space="preserve"> fordulhat elő azon betegek esetén, akik nagy dózisú </w:t>
      </w:r>
      <w:proofErr w:type="spellStart"/>
      <w:r>
        <w:rPr>
          <w:sz w:val="22"/>
          <w:szCs w:val="22"/>
          <w:lang w:eastAsia="en-US"/>
        </w:rPr>
        <w:t>diuretikum</w:t>
      </w:r>
      <w:proofErr w:type="spellEnd"/>
      <w:r>
        <w:rPr>
          <w:sz w:val="22"/>
          <w:szCs w:val="22"/>
          <w:lang w:eastAsia="en-US"/>
        </w:rPr>
        <w:t xml:space="preserve">-kezelés, sószegény étrend, hasmenés vagy hányás miatt </w:t>
      </w:r>
      <w:proofErr w:type="spellStart"/>
      <w:r>
        <w:rPr>
          <w:sz w:val="22"/>
          <w:szCs w:val="22"/>
          <w:lang w:eastAsia="en-US"/>
        </w:rPr>
        <w:t>intravascularis</w:t>
      </w:r>
      <w:proofErr w:type="spellEnd"/>
      <w:r>
        <w:rPr>
          <w:sz w:val="22"/>
          <w:szCs w:val="22"/>
          <w:lang w:eastAsia="en-US"/>
        </w:rPr>
        <w:t xml:space="preserve"> volumen- és/vagy nátriumhiányban szenvednek, főként az első dózis vagy dózisemelés után.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adagolásának megkezdése előtt ezeket az állapotokat rendezni kell, vagy kisebb kezdő dózist kell alkalmazni (lásd 4.2 pont). Ez a </w:t>
      </w:r>
      <w:r>
        <w:rPr>
          <w:color w:val="000000"/>
          <w:sz w:val="22"/>
          <w:szCs w:val="22"/>
        </w:rPr>
        <w:t xml:space="preserve">6–18 éves </w:t>
      </w:r>
      <w:r>
        <w:rPr>
          <w:sz w:val="22"/>
          <w:szCs w:val="22"/>
          <w:lang w:eastAsia="en-US"/>
        </w:rPr>
        <w:t>gyermekekre és serdülőkre is vonatkozik.</w:t>
      </w:r>
    </w:p>
    <w:p w:rsidR="00601E88" w:rsidRDefault="00601E88">
      <w:pPr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Az elektrolit-háztartás zavara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elektrolit-háztartás zavara – a diabetes meglététől függetlenül – vesekárosodás esetén gyakori, és kezelendő. Egy </w:t>
      </w:r>
      <w:proofErr w:type="spellStart"/>
      <w:r>
        <w:rPr>
          <w:sz w:val="22"/>
          <w:szCs w:val="22"/>
          <w:lang w:eastAsia="en-US"/>
        </w:rPr>
        <w:t>nephropathiás</w:t>
      </w:r>
      <w:proofErr w:type="spellEnd"/>
      <w:r>
        <w:rPr>
          <w:sz w:val="22"/>
          <w:szCs w:val="22"/>
          <w:lang w:eastAsia="en-US"/>
        </w:rPr>
        <w:t xml:space="preserve">, 2-es típusú diabeteses betegek bevonásával végzett klinikai vizsgálatban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kezelt betegeknél a </w:t>
      </w:r>
      <w:proofErr w:type="spellStart"/>
      <w:r>
        <w:rPr>
          <w:sz w:val="22"/>
          <w:szCs w:val="22"/>
          <w:lang w:eastAsia="en-US"/>
        </w:rPr>
        <w:t>hyperkalaemia</w:t>
      </w:r>
      <w:proofErr w:type="spellEnd"/>
      <w:r>
        <w:rPr>
          <w:sz w:val="22"/>
          <w:szCs w:val="22"/>
          <w:lang w:eastAsia="en-US"/>
        </w:rPr>
        <w:t xml:space="preserve"> előfordulási gyakorisága nagyobb volt a </w:t>
      </w:r>
      <w:proofErr w:type="spellStart"/>
      <w:r>
        <w:rPr>
          <w:sz w:val="22"/>
          <w:szCs w:val="22"/>
          <w:lang w:eastAsia="en-US"/>
        </w:rPr>
        <w:t>placepocsoporthoz</w:t>
      </w:r>
      <w:proofErr w:type="spellEnd"/>
      <w:r>
        <w:rPr>
          <w:sz w:val="22"/>
          <w:szCs w:val="22"/>
          <w:lang w:eastAsia="en-US"/>
        </w:rPr>
        <w:t xml:space="preserve"> képest (lásd 4.8 pont). Ennek megfelelően a kálium plazmakoncentrációit és a kreatinin-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 xml:space="preserve"> értékeket</w:t>
      </w:r>
      <w:r>
        <w:t xml:space="preserve"> </w:t>
      </w:r>
      <w:r>
        <w:rPr>
          <w:sz w:val="22"/>
          <w:szCs w:val="22"/>
          <w:lang w:eastAsia="en-US"/>
        </w:rPr>
        <w:t xml:space="preserve">szorosan </w:t>
      </w:r>
      <w:proofErr w:type="spellStart"/>
      <w:r>
        <w:rPr>
          <w:sz w:val="22"/>
          <w:szCs w:val="22"/>
          <w:lang w:eastAsia="en-US"/>
        </w:rPr>
        <w:t>monitorozni</w:t>
      </w:r>
      <w:proofErr w:type="spellEnd"/>
      <w:r>
        <w:rPr>
          <w:sz w:val="22"/>
          <w:szCs w:val="22"/>
          <w:lang w:eastAsia="en-US"/>
        </w:rPr>
        <w:t xml:space="preserve"> kell, főként azon betegeknél, akik szívelégtelenségben szenvednek vagy kreatinin-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>-ük 30</w:t>
      </w:r>
      <w:r>
        <w:rPr>
          <w:sz w:val="22"/>
          <w:szCs w:val="22"/>
          <w:lang w:eastAsia="en-US"/>
        </w:rPr>
        <w:noBreakHyphen/>
        <w:t>50 ml/perc között van.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káliummegtakarító </w:t>
      </w:r>
      <w:proofErr w:type="spellStart"/>
      <w:r>
        <w:rPr>
          <w:sz w:val="22"/>
          <w:szCs w:val="22"/>
          <w:lang w:eastAsia="en-US"/>
        </w:rPr>
        <w:t>diuretikumok</w:t>
      </w:r>
      <w:proofErr w:type="spellEnd"/>
      <w:r>
        <w:rPr>
          <w:sz w:val="22"/>
          <w:szCs w:val="22"/>
          <w:lang w:eastAsia="en-US"/>
        </w:rPr>
        <w:t xml:space="preserve">, káliumpótlók, </w:t>
      </w:r>
      <w:proofErr w:type="spellStart"/>
      <w:r>
        <w:rPr>
          <w:sz w:val="22"/>
          <w:szCs w:val="22"/>
          <w:lang w:eastAsia="en-US"/>
        </w:rPr>
        <w:t>káliumtartalmú</w:t>
      </w:r>
      <w:proofErr w:type="spellEnd"/>
      <w:r>
        <w:rPr>
          <w:sz w:val="22"/>
          <w:szCs w:val="22"/>
          <w:lang w:eastAsia="en-US"/>
        </w:rPr>
        <w:t xml:space="preserve"> sópótlók, vagy olyan más gyógyszerek, melyek növelhetik a szérum káliumszintet (például a </w:t>
      </w:r>
      <w:proofErr w:type="spellStart"/>
      <w:r>
        <w:rPr>
          <w:sz w:val="22"/>
          <w:szCs w:val="22"/>
          <w:lang w:eastAsia="en-US"/>
        </w:rPr>
        <w:t>trimetoprim</w:t>
      </w:r>
      <w:proofErr w:type="spellEnd"/>
      <w:r>
        <w:rPr>
          <w:sz w:val="22"/>
          <w:szCs w:val="22"/>
          <w:lang w:eastAsia="en-US"/>
        </w:rPr>
        <w:t xml:space="preserve"> tartalmú készítmények) együttes alkalmazása nem javasolt (lásd 4.5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 w:rsidP="009A4DF2">
      <w:pPr>
        <w:keepNext/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lastRenderedPageBreak/>
        <w:t>Intestinalis</w:t>
      </w:r>
      <w:proofErr w:type="spellEnd"/>
      <w:r>
        <w:rPr>
          <w:sz w:val="22"/>
          <w:szCs w:val="22"/>
          <w:u w:val="single"/>
          <w:lang w:eastAsia="en-US"/>
        </w:rPr>
        <w:t xml:space="preserve"> </w:t>
      </w:r>
      <w:proofErr w:type="spellStart"/>
      <w:r>
        <w:rPr>
          <w:sz w:val="22"/>
          <w:szCs w:val="22"/>
          <w:u w:val="single"/>
          <w:lang w:eastAsia="en-US"/>
        </w:rPr>
        <w:t>angiooedema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Intestinalis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angiooedemáról</w:t>
      </w:r>
      <w:proofErr w:type="spellEnd"/>
      <w:r>
        <w:rPr>
          <w:sz w:val="22"/>
          <w:szCs w:val="22"/>
          <w:lang w:eastAsia="en-US"/>
        </w:rPr>
        <w:t xml:space="preserve"> számoltak be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II-receptor-blokkolóval (többek között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) kezelt betegek esetén (lásd 4.8 pont). Ezeknél a betegeknél </w:t>
      </w:r>
      <w:proofErr w:type="spellStart"/>
      <w:r>
        <w:rPr>
          <w:sz w:val="22"/>
          <w:szCs w:val="22"/>
          <w:lang w:eastAsia="en-US"/>
        </w:rPr>
        <w:t>abdominalis</w:t>
      </w:r>
      <w:proofErr w:type="spellEnd"/>
      <w:r>
        <w:rPr>
          <w:sz w:val="22"/>
          <w:szCs w:val="22"/>
          <w:lang w:eastAsia="en-US"/>
        </w:rPr>
        <w:t xml:space="preserve"> fájdalom, hányinger, hányás és hasmenés jelentkezett. A tünetek az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II-receptor-blokkolóval végzett kezelés leállítása után megszűntek. Amennyiben </w:t>
      </w:r>
      <w:proofErr w:type="spellStart"/>
      <w:r>
        <w:rPr>
          <w:sz w:val="22"/>
          <w:szCs w:val="22"/>
          <w:lang w:eastAsia="en-US"/>
        </w:rPr>
        <w:t>intestinalis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angiooedemát</w:t>
      </w:r>
      <w:proofErr w:type="spellEnd"/>
      <w:r>
        <w:rPr>
          <w:sz w:val="22"/>
          <w:szCs w:val="22"/>
          <w:lang w:eastAsia="en-US"/>
        </w:rPr>
        <w:t xml:space="preserve"> diagnosztizálnak,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-kezelést le kell állítani, és a beteget megfelelően </w:t>
      </w:r>
      <w:proofErr w:type="spellStart"/>
      <w:r>
        <w:rPr>
          <w:sz w:val="22"/>
          <w:szCs w:val="22"/>
          <w:lang w:eastAsia="en-US"/>
        </w:rPr>
        <w:t>monitorozni</w:t>
      </w:r>
      <w:proofErr w:type="spellEnd"/>
      <w:r>
        <w:rPr>
          <w:sz w:val="22"/>
          <w:szCs w:val="22"/>
          <w:lang w:eastAsia="en-US"/>
        </w:rPr>
        <w:t xml:space="preserve"> kell mindaddig, amíg a tünetek teljes mértékben meg nem szűnnek.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Májkárosodás 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Májcirrhosisban</w:t>
      </w:r>
      <w:proofErr w:type="spellEnd"/>
      <w:r>
        <w:rPr>
          <w:sz w:val="22"/>
          <w:szCs w:val="22"/>
          <w:lang w:eastAsia="en-US"/>
        </w:rPr>
        <w:t xml:space="preserve"> a </w:t>
      </w:r>
      <w:proofErr w:type="spellStart"/>
      <w:r>
        <w:rPr>
          <w:sz w:val="22"/>
          <w:szCs w:val="22"/>
          <w:lang w:eastAsia="en-US"/>
        </w:rPr>
        <w:t>farmakokinetikai</w:t>
      </w:r>
      <w:proofErr w:type="spellEnd"/>
      <w:r>
        <w:rPr>
          <w:sz w:val="22"/>
          <w:szCs w:val="22"/>
          <w:lang w:eastAsia="en-US"/>
        </w:rPr>
        <w:t xml:space="preserve"> adatok alapján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plazmakoncentrációja szignifikánsan magasabb, ezért azon betegeknek, akik kórtörténetében májkárosodás szerepel, kisebb dózis alkalmazása javasolt. Súlyos májkárosodásban szenvedő betegeknél alkalmazott </w:t>
      </w:r>
      <w:proofErr w:type="spellStart"/>
      <w:r>
        <w:rPr>
          <w:sz w:val="22"/>
          <w:szCs w:val="22"/>
          <w:lang w:eastAsia="en-US"/>
        </w:rPr>
        <w:t>lozartánra</w:t>
      </w:r>
      <w:proofErr w:type="spellEnd"/>
      <w:r>
        <w:rPr>
          <w:sz w:val="22"/>
          <w:szCs w:val="22"/>
          <w:lang w:eastAsia="en-US"/>
        </w:rPr>
        <w:t xml:space="preserve"> vonatkozóan nem áll rendelkezésre terápiás tapasztalat. Ezért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súlyos májkárosodásban szenvedő betegeknél nem alkalmazható (lásd. 4.2, 4.3 és 5.2 pont).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májkárosodásban szenvedő gyermekeknél sem javasolt (lásd 4.2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Vesekárosodás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renin</w:t>
      </w:r>
      <w:proofErr w:type="spellEnd"/>
      <w:r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 xml:space="preserve">-rendszer gátlása következtében megváltozott vesefunkcióról (a veseelégtelenséget is beleértve) számoltak be (főként olyan betegek esetén, akiknek a vesefunkciója a </w:t>
      </w:r>
      <w:proofErr w:type="spellStart"/>
      <w:r>
        <w:rPr>
          <w:sz w:val="22"/>
          <w:szCs w:val="22"/>
          <w:lang w:eastAsia="en-US"/>
        </w:rPr>
        <w:t>renin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angiotenzin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aldoszteron</w:t>
      </w:r>
      <w:proofErr w:type="spellEnd"/>
      <w:r>
        <w:rPr>
          <w:sz w:val="22"/>
          <w:szCs w:val="22"/>
          <w:lang w:eastAsia="en-US"/>
        </w:rPr>
        <w:t xml:space="preserve"> rendszertől függ, mint pl. súlyos szívelégtelenségben vagy korábban fennálló </w:t>
      </w:r>
      <w:proofErr w:type="spellStart"/>
      <w:r>
        <w:rPr>
          <w:sz w:val="22"/>
          <w:szCs w:val="22"/>
          <w:lang w:eastAsia="en-US"/>
        </w:rPr>
        <w:t>renalis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dysfunctióban</w:t>
      </w:r>
      <w:proofErr w:type="spellEnd"/>
      <w:r>
        <w:rPr>
          <w:sz w:val="22"/>
          <w:szCs w:val="22"/>
          <w:lang w:eastAsia="en-US"/>
        </w:rPr>
        <w:t xml:space="preserve"> szenvedő betegek). A </w:t>
      </w:r>
      <w:proofErr w:type="spellStart"/>
      <w:r>
        <w:rPr>
          <w:sz w:val="22"/>
          <w:szCs w:val="22"/>
          <w:lang w:eastAsia="en-US"/>
        </w:rPr>
        <w:t>renin-angiotenzin-aldoszteron</w:t>
      </w:r>
      <w:proofErr w:type="spellEnd"/>
      <w:r>
        <w:rPr>
          <w:sz w:val="22"/>
          <w:szCs w:val="22"/>
          <w:lang w:eastAsia="en-US"/>
        </w:rPr>
        <w:t xml:space="preserve"> rendszert befolyásoló egyéb gyógyszerekhez hasonlóan, a vér karbamid és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növekedését jelentették kétoldali veseartéria-szűkület és az egy vesével rendelkező betegek veseartériájának szűkülete esetén; ezek a vesefunkcióban bekövetkező változások a kezelés abbahagyásával reverzibilisek lehetnek.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óvatosan alkalmazandó kétoldali veseartéria-szűkület vagy egy vesével rendelkező betegek veseartériájának szűkülete esetén.</w:t>
      </w:r>
    </w:p>
    <w:p w:rsidR="00601E88" w:rsidRDefault="00601E88">
      <w:pPr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>Alkalmazása károsodott veseműködésű gyermekeknél</w:t>
      </w:r>
      <w:r>
        <w:t xml:space="preserve"> </w:t>
      </w:r>
      <w:r>
        <w:rPr>
          <w:i/>
          <w:iCs/>
          <w:sz w:val="22"/>
          <w:szCs w:val="22"/>
          <w:lang w:eastAsia="en-US"/>
        </w:rPr>
        <w:t>és serdülőknél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&lt; 30 ml/perc/1,73 m</w:t>
      </w:r>
      <w:r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glomeru</w:t>
      </w:r>
      <w:r w:rsidR="00F23C75">
        <w:rPr>
          <w:sz w:val="22"/>
          <w:szCs w:val="22"/>
          <w:lang w:eastAsia="en-US"/>
        </w:rPr>
        <w:t>lu</w:t>
      </w:r>
      <w:r>
        <w:rPr>
          <w:sz w:val="22"/>
          <w:szCs w:val="22"/>
          <w:lang w:eastAsia="en-US"/>
        </w:rPr>
        <w:t>s</w:t>
      </w:r>
      <w:proofErr w:type="spellEnd"/>
      <w:r>
        <w:rPr>
          <w:sz w:val="22"/>
          <w:szCs w:val="22"/>
          <w:lang w:eastAsia="en-US"/>
        </w:rPr>
        <w:t xml:space="preserve"> filtrációs rátájú gyermekeknek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javasolt, mivel nem áll rendelkezésre erre vonatkozó adat (lásd 4.2 pont).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 mellett a vesefunkciót rendszeresen </w:t>
      </w:r>
      <w:proofErr w:type="spellStart"/>
      <w:r>
        <w:rPr>
          <w:sz w:val="22"/>
          <w:szCs w:val="22"/>
          <w:lang w:eastAsia="en-US"/>
        </w:rPr>
        <w:t>monitorozni</w:t>
      </w:r>
      <w:proofErr w:type="spellEnd"/>
      <w:r>
        <w:rPr>
          <w:sz w:val="22"/>
          <w:szCs w:val="22"/>
          <w:lang w:eastAsia="en-US"/>
        </w:rPr>
        <w:t xml:space="preserve"> kell, mivel az károsodhat. Ez főként olyan esetekben fordul elő, amikor 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a vesefunkció károsodását várhatóan előidéző egyéb körülmények (láz, kiszáradás) fennállásával egyidejűleg alkalmazzák.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i/>
          <w:sz w:val="22"/>
          <w:szCs w:val="22"/>
        </w:rPr>
      </w:pP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ACE-gátlók együttes alkalmazása a vesefunkció károsodását idézte elő. Ezért az együttes alkalmazás nem javasolt (lásd 4.5 pont).</w:t>
      </w:r>
    </w:p>
    <w:p w:rsidR="00601E88" w:rsidRDefault="00601E88">
      <w:pPr>
        <w:pStyle w:val="MGGTextLeft"/>
        <w:rPr>
          <w:iCs/>
          <w:sz w:val="22"/>
          <w:szCs w:val="22"/>
          <w:u w:val="single"/>
          <w:lang w:val="hu-HU"/>
        </w:rPr>
      </w:pPr>
    </w:p>
    <w:p w:rsidR="00601E88" w:rsidRDefault="00CD7A0A">
      <w:pPr>
        <w:pStyle w:val="MGGTextLeft"/>
        <w:rPr>
          <w:iCs/>
          <w:sz w:val="22"/>
          <w:szCs w:val="22"/>
          <w:u w:val="single"/>
          <w:lang w:val="hu-HU"/>
        </w:rPr>
      </w:pPr>
      <w:r>
        <w:rPr>
          <w:iCs/>
          <w:sz w:val="22"/>
          <w:szCs w:val="22"/>
          <w:u w:val="single"/>
          <w:lang w:val="hu-HU"/>
        </w:rPr>
        <w:t>Vesetranszplantáció</w:t>
      </w:r>
    </w:p>
    <w:p w:rsidR="00601E88" w:rsidRDefault="00CD7A0A">
      <w:pPr>
        <w:pStyle w:val="MGGText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Nemrégiben vesetranszplantáción átesett betegek körében nincs tapasztalat.</w:t>
      </w:r>
    </w:p>
    <w:p w:rsidR="00601E88" w:rsidRDefault="00601E88">
      <w:pPr>
        <w:rPr>
          <w:i/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Primer </w:t>
      </w:r>
      <w:proofErr w:type="spellStart"/>
      <w:r>
        <w:rPr>
          <w:sz w:val="22"/>
          <w:szCs w:val="22"/>
          <w:u w:val="single"/>
          <w:lang w:eastAsia="en-US"/>
        </w:rPr>
        <w:t>hyperaldosteronismus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primer </w:t>
      </w:r>
      <w:proofErr w:type="spellStart"/>
      <w:r>
        <w:rPr>
          <w:sz w:val="22"/>
          <w:szCs w:val="22"/>
          <w:lang w:eastAsia="en-US"/>
        </w:rPr>
        <w:t>hyperaldosteronismusban</w:t>
      </w:r>
      <w:proofErr w:type="spellEnd"/>
      <w:r>
        <w:rPr>
          <w:sz w:val="22"/>
          <w:szCs w:val="22"/>
          <w:lang w:eastAsia="en-US"/>
        </w:rPr>
        <w:t xml:space="preserve"> szenvedő betegek általában nem reagálnak a </w:t>
      </w:r>
      <w:proofErr w:type="spellStart"/>
      <w:r>
        <w:rPr>
          <w:sz w:val="22"/>
          <w:szCs w:val="22"/>
          <w:lang w:eastAsia="en-US"/>
        </w:rPr>
        <w:t>renin-angiotenzin</w:t>
      </w:r>
      <w:proofErr w:type="spellEnd"/>
      <w:r>
        <w:rPr>
          <w:sz w:val="22"/>
          <w:szCs w:val="22"/>
          <w:lang w:eastAsia="en-US"/>
        </w:rPr>
        <w:t xml:space="preserve"> rendszer gátlásán keresztül ható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gyógyszerekre. Ennek megfelelően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nem ajánlott.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Szívkoszorúér-betegség és </w:t>
      </w:r>
      <w:proofErr w:type="spellStart"/>
      <w:r>
        <w:rPr>
          <w:sz w:val="22"/>
          <w:szCs w:val="22"/>
          <w:u w:val="single"/>
          <w:lang w:eastAsia="en-US"/>
        </w:rPr>
        <w:t>cerebrovascularis</w:t>
      </w:r>
      <w:proofErr w:type="spellEnd"/>
      <w:r>
        <w:rPr>
          <w:sz w:val="22"/>
          <w:szCs w:val="22"/>
          <w:u w:val="single"/>
          <w:lang w:eastAsia="en-US"/>
        </w:rPr>
        <w:t xml:space="preserve"> betegség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Más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szerekhez hasonlóan, a nagymértékű vérnyomás-csökkenés </w:t>
      </w:r>
      <w:proofErr w:type="spellStart"/>
      <w:r>
        <w:rPr>
          <w:sz w:val="22"/>
          <w:szCs w:val="22"/>
          <w:lang w:eastAsia="en-US"/>
        </w:rPr>
        <w:t>ischaemiás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és </w:t>
      </w:r>
      <w:proofErr w:type="spellStart"/>
      <w:r>
        <w:rPr>
          <w:sz w:val="22"/>
          <w:szCs w:val="22"/>
          <w:lang w:eastAsia="en-US"/>
        </w:rPr>
        <w:t>cerebrovascularis</w:t>
      </w:r>
      <w:proofErr w:type="spellEnd"/>
      <w:r>
        <w:rPr>
          <w:sz w:val="22"/>
          <w:szCs w:val="22"/>
          <w:lang w:eastAsia="en-US"/>
        </w:rPr>
        <w:t xml:space="preserve"> betegségben szenvedő betegeknél </w:t>
      </w:r>
      <w:proofErr w:type="spellStart"/>
      <w:r>
        <w:rPr>
          <w:sz w:val="22"/>
          <w:szCs w:val="22"/>
          <w:lang w:eastAsia="en-US"/>
        </w:rPr>
        <w:t>myocardialis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infarctushoz</w:t>
      </w:r>
      <w:proofErr w:type="spellEnd"/>
      <w:r>
        <w:rPr>
          <w:sz w:val="22"/>
          <w:szCs w:val="22"/>
          <w:lang w:eastAsia="en-US"/>
        </w:rPr>
        <w:t xml:space="preserve"> vagy stroke-hoz vezethet.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Szívelégtelenség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renin-angiotenzin</w:t>
      </w:r>
      <w:proofErr w:type="spellEnd"/>
      <w:r>
        <w:rPr>
          <w:sz w:val="22"/>
          <w:szCs w:val="22"/>
          <w:lang w:eastAsia="en-US"/>
        </w:rPr>
        <w:t xml:space="preserve"> rendszeren keresztül ható egyéb gyógyszerekhez hasonlóan, vesekárosodással együtt járó vagy vesekárosodás nélküli szívelégtelenségben szenvedő betegeknél fennáll a súlyos artériás </w:t>
      </w:r>
      <w:proofErr w:type="spellStart"/>
      <w:r>
        <w:rPr>
          <w:sz w:val="22"/>
          <w:szCs w:val="22"/>
          <w:lang w:eastAsia="en-US"/>
        </w:rPr>
        <w:t>hypotonia</w:t>
      </w:r>
      <w:proofErr w:type="spellEnd"/>
      <w:r>
        <w:rPr>
          <w:sz w:val="22"/>
          <w:szCs w:val="22"/>
          <w:lang w:eastAsia="en-US"/>
        </w:rPr>
        <w:t xml:space="preserve"> és a (gyakran akut) vesekárosodás kockázata.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Nem áll rendelkezésre kielégítő terápiás tapasztalat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alkalmazásával kapcsolatban egyidejűleg szívelégtelenségben és súlyos vesekárosodásban, súlyos szívelégtelenségben (NYHA IV. stádium), valamint szívelégtelenségben és tünetekkel járó, életveszélyes </w:t>
      </w:r>
      <w:proofErr w:type="spellStart"/>
      <w:r>
        <w:rPr>
          <w:sz w:val="22"/>
          <w:szCs w:val="22"/>
          <w:lang w:eastAsia="en-US"/>
        </w:rPr>
        <w:t>cardialis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arrhythmiában</w:t>
      </w:r>
      <w:proofErr w:type="spellEnd"/>
      <w:r>
        <w:rPr>
          <w:sz w:val="22"/>
          <w:szCs w:val="22"/>
          <w:lang w:eastAsia="en-US"/>
        </w:rPr>
        <w:t xml:space="preserve"> szenvedő </w:t>
      </w:r>
      <w:r>
        <w:rPr>
          <w:sz w:val="22"/>
          <w:szCs w:val="22"/>
          <w:lang w:eastAsia="en-US"/>
        </w:rPr>
        <w:lastRenderedPageBreak/>
        <w:t xml:space="preserve">betegeknél.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ezen betegcsoportokban tehát óvatosan alkalmazandó.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béta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blokkolóval kombinációban óvatosan alkalmazandó (lásd 5.1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Aorta</w:t>
      </w:r>
      <w:r w:rsidR="00F23C75">
        <w:rPr>
          <w:sz w:val="22"/>
          <w:szCs w:val="22"/>
          <w:u w:val="single"/>
          <w:lang w:eastAsia="en-US"/>
        </w:rPr>
        <w:t>-</w:t>
      </w:r>
      <w:r>
        <w:rPr>
          <w:sz w:val="22"/>
          <w:szCs w:val="22"/>
          <w:u w:val="single"/>
          <w:lang w:eastAsia="en-US"/>
        </w:rPr>
        <w:t xml:space="preserve"> és </w:t>
      </w:r>
      <w:proofErr w:type="spellStart"/>
      <w:r>
        <w:rPr>
          <w:sz w:val="22"/>
          <w:szCs w:val="22"/>
          <w:u w:val="single"/>
          <w:lang w:eastAsia="en-US"/>
        </w:rPr>
        <w:t>mitralis</w:t>
      </w:r>
      <w:proofErr w:type="spellEnd"/>
      <w:r>
        <w:rPr>
          <w:sz w:val="22"/>
          <w:szCs w:val="22"/>
          <w:u w:val="single"/>
          <w:lang w:eastAsia="en-US"/>
        </w:rPr>
        <w:t xml:space="preserve"> billentyűszűkület, </w:t>
      </w:r>
      <w:proofErr w:type="spellStart"/>
      <w:r>
        <w:rPr>
          <w:sz w:val="22"/>
          <w:szCs w:val="22"/>
          <w:u w:val="single"/>
          <w:lang w:eastAsia="en-US"/>
        </w:rPr>
        <w:t>obstruktív</w:t>
      </w:r>
      <w:proofErr w:type="spellEnd"/>
      <w:r>
        <w:rPr>
          <w:sz w:val="22"/>
          <w:szCs w:val="22"/>
          <w:u w:val="single"/>
          <w:lang w:eastAsia="en-US"/>
        </w:rPr>
        <w:t xml:space="preserve"> </w:t>
      </w:r>
      <w:proofErr w:type="spellStart"/>
      <w:r>
        <w:rPr>
          <w:sz w:val="22"/>
          <w:szCs w:val="22"/>
          <w:u w:val="single"/>
          <w:lang w:eastAsia="en-US"/>
        </w:rPr>
        <w:t>hypertrophiás</w:t>
      </w:r>
      <w:proofErr w:type="spellEnd"/>
      <w:r>
        <w:rPr>
          <w:sz w:val="22"/>
          <w:szCs w:val="22"/>
          <w:u w:val="single"/>
          <w:lang w:eastAsia="en-US"/>
        </w:rPr>
        <w:t xml:space="preserve"> </w:t>
      </w:r>
      <w:proofErr w:type="spellStart"/>
      <w:r>
        <w:rPr>
          <w:sz w:val="22"/>
          <w:szCs w:val="22"/>
          <w:u w:val="single"/>
          <w:lang w:eastAsia="en-US"/>
        </w:rPr>
        <w:t>cardiomyopathia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Más </w:t>
      </w:r>
      <w:proofErr w:type="spellStart"/>
      <w:r>
        <w:rPr>
          <w:sz w:val="22"/>
          <w:szCs w:val="22"/>
          <w:lang w:eastAsia="en-US"/>
        </w:rPr>
        <w:t>vazodilatátorokhoz</w:t>
      </w:r>
      <w:proofErr w:type="spellEnd"/>
      <w:r>
        <w:rPr>
          <w:sz w:val="22"/>
          <w:szCs w:val="22"/>
          <w:lang w:eastAsia="en-US"/>
        </w:rPr>
        <w:t xml:space="preserve"> hasonlóan, fokozott óvatossággal kell eljárni azoknál a betegeknél, akik aorta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 xml:space="preserve"> vagy </w:t>
      </w:r>
      <w:proofErr w:type="spellStart"/>
      <w:r>
        <w:rPr>
          <w:sz w:val="22"/>
          <w:szCs w:val="22"/>
          <w:lang w:eastAsia="en-US"/>
        </w:rPr>
        <w:t>mitralis</w:t>
      </w:r>
      <w:proofErr w:type="spellEnd"/>
      <w:r>
        <w:rPr>
          <w:sz w:val="22"/>
          <w:szCs w:val="22"/>
          <w:lang w:eastAsia="en-US"/>
        </w:rPr>
        <w:t xml:space="preserve"> billentyűszűkületben vagy </w:t>
      </w:r>
      <w:proofErr w:type="spellStart"/>
      <w:r>
        <w:rPr>
          <w:sz w:val="22"/>
          <w:szCs w:val="22"/>
          <w:lang w:eastAsia="en-US"/>
        </w:rPr>
        <w:t>obstruktív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hypertrophiás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cardiomyopathiában</w:t>
      </w:r>
      <w:proofErr w:type="spellEnd"/>
      <w:r>
        <w:rPr>
          <w:sz w:val="22"/>
          <w:szCs w:val="22"/>
          <w:lang w:eastAsia="en-US"/>
        </w:rPr>
        <w:t xml:space="preserve"> szenvednek.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Segédanyagok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filmtabletták </w:t>
      </w:r>
      <w:proofErr w:type="spellStart"/>
      <w:r>
        <w:rPr>
          <w:sz w:val="22"/>
          <w:szCs w:val="22"/>
          <w:lang w:eastAsia="en-US"/>
        </w:rPr>
        <w:t>laktóz-monohidrátot</w:t>
      </w:r>
      <w:proofErr w:type="spellEnd"/>
      <w:r>
        <w:rPr>
          <w:sz w:val="22"/>
          <w:szCs w:val="22"/>
          <w:lang w:eastAsia="en-US"/>
        </w:rPr>
        <w:t xml:space="preserve"> tartalmaznak. Ritkán előforduló, örökletes </w:t>
      </w:r>
      <w:proofErr w:type="spellStart"/>
      <w:r>
        <w:rPr>
          <w:sz w:val="22"/>
          <w:szCs w:val="22"/>
          <w:lang w:eastAsia="en-US"/>
        </w:rPr>
        <w:t>galaktózintoleranciában</w:t>
      </w:r>
      <w:proofErr w:type="spellEnd"/>
      <w:r>
        <w:rPr>
          <w:sz w:val="22"/>
          <w:szCs w:val="22"/>
          <w:lang w:eastAsia="en-US"/>
        </w:rPr>
        <w:t xml:space="preserve">, teljes </w:t>
      </w:r>
      <w:proofErr w:type="spellStart"/>
      <w:r>
        <w:rPr>
          <w:sz w:val="22"/>
          <w:szCs w:val="22"/>
          <w:lang w:eastAsia="en-US"/>
        </w:rPr>
        <w:t>laktázhiányban</w:t>
      </w:r>
      <w:proofErr w:type="spellEnd"/>
      <w:r>
        <w:rPr>
          <w:sz w:val="22"/>
          <w:szCs w:val="22"/>
          <w:lang w:eastAsia="en-US"/>
        </w:rPr>
        <w:t xml:space="preserve"> vagy glükóz-</w:t>
      </w:r>
      <w:proofErr w:type="spellStart"/>
      <w:r>
        <w:rPr>
          <w:sz w:val="22"/>
          <w:szCs w:val="22"/>
          <w:lang w:eastAsia="en-US"/>
        </w:rPr>
        <w:t>galaktóz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malabszorpcióban</w:t>
      </w:r>
      <w:proofErr w:type="spellEnd"/>
      <w:r>
        <w:rPr>
          <w:sz w:val="22"/>
          <w:szCs w:val="22"/>
          <w:lang w:eastAsia="en-US"/>
        </w:rPr>
        <w:t xml:space="preserve"> a készítmény nem szedhető.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Terhesség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-kezelést terhesség alatt nem szabad elkezdeni. Hacsak a folyamatos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 nem elengedhetetlen, a terhességet tervező betegeknek más, olyan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kezelésre kell átállniuk, melynek biztonságossága terhességben alátámasztott.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szedését azonnal abba kell hagyni, amennyiben terhességet állapítottak meg. Szükség esetén más, megfelelő kezelésre kell átállni (lásd 4.3, 4.6 pontokat).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Egyéb figyelmeztetések és óvintézkedések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Amint azt az </w:t>
      </w:r>
      <w:proofErr w:type="spellStart"/>
      <w:r>
        <w:rPr>
          <w:sz w:val="22"/>
          <w:szCs w:val="22"/>
          <w:lang w:eastAsia="en-US"/>
        </w:rPr>
        <w:t>angiotenzinkonvertáló</w:t>
      </w:r>
      <w:proofErr w:type="spellEnd"/>
      <w:r>
        <w:rPr>
          <w:sz w:val="22"/>
          <w:szCs w:val="22"/>
          <w:lang w:eastAsia="en-US"/>
        </w:rPr>
        <w:t xml:space="preserve"> enzim inhibitoroknál megfigyelték, úgy tűnik,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más </w:t>
      </w:r>
      <w:proofErr w:type="spellStart"/>
      <w:r>
        <w:rPr>
          <w:sz w:val="22"/>
          <w:szCs w:val="22"/>
          <w:lang w:eastAsia="en-US"/>
        </w:rPr>
        <w:t>angiotenzin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a vérnyomás csökkentését illetően feketebőrű embereknél kevésbé hatékonyak, mint nem feketebőrű embereknél, lehetséges, hogy azért, mert a feketebőrű, magas vérnyomásban szenvedő populációban gyakrabban fordul elő alacsony </w:t>
      </w:r>
      <w:proofErr w:type="spellStart"/>
      <w:r>
        <w:rPr>
          <w:sz w:val="22"/>
          <w:szCs w:val="22"/>
          <w:lang w:eastAsia="en-US"/>
        </w:rPr>
        <w:t>reninszint</w:t>
      </w:r>
      <w:proofErr w:type="spellEnd"/>
      <w:r>
        <w:rPr>
          <w:sz w:val="22"/>
          <w:szCs w:val="22"/>
          <w:lang w:eastAsia="en-US"/>
        </w:rPr>
        <w:t>.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A </w:t>
      </w:r>
      <w:proofErr w:type="spellStart"/>
      <w:r>
        <w:rPr>
          <w:sz w:val="22"/>
          <w:szCs w:val="22"/>
          <w:u w:val="single"/>
        </w:rPr>
        <w:t>renin</w:t>
      </w:r>
      <w:r>
        <w:rPr>
          <w:sz w:val="22"/>
          <w:szCs w:val="22"/>
          <w:u w:val="single"/>
        </w:rPr>
        <w:noBreakHyphen/>
        <w:t>angiotenzin</w:t>
      </w:r>
      <w:r>
        <w:rPr>
          <w:sz w:val="22"/>
          <w:szCs w:val="22"/>
          <w:u w:val="single"/>
        </w:rPr>
        <w:noBreakHyphen/>
        <w:t>aldoszteron</w:t>
      </w:r>
      <w:proofErr w:type="spellEnd"/>
      <w:r>
        <w:rPr>
          <w:sz w:val="22"/>
          <w:szCs w:val="22"/>
          <w:u w:val="single"/>
        </w:rPr>
        <w:t xml:space="preserve"> rendszer (RAAS) kettős blokádja 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Bizonyíték van rá, hogy az ACE-gátlók,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vagy </w:t>
      </w:r>
      <w:proofErr w:type="spellStart"/>
      <w:r>
        <w:rPr>
          <w:sz w:val="22"/>
          <w:szCs w:val="22"/>
        </w:rPr>
        <w:t>aliszkirén</w:t>
      </w:r>
      <w:proofErr w:type="spellEnd"/>
      <w:r>
        <w:rPr>
          <w:sz w:val="22"/>
          <w:szCs w:val="22"/>
        </w:rPr>
        <w:t xml:space="preserve"> egyidejű alkalmazása fokozza a </w:t>
      </w:r>
      <w:proofErr w:type="spellStart"/>
      <w:r>
        <w:rPr>
          <w:sz w:val="22"/>
          <w:szCs w:val="22"/>
        </w:rPr>
        <w:t>hypotonia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hyperkalaemia</w:t>
      </w:r>
      <w:proofErr w:type="spellEnd"/>
      <w:r>
        <w:rPr>
          <w:sz w:val="22"/>
          <w:szCs w:val="22"/>
        </w:rPr>
        <w:t xml:space="preserve"> és csökkent veseműködés (beleértve az akut veseelégtelenség) kockázatát. A RAAS ACE-gátlók,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vagy </w:t>
      </w:r>
      <w:proofErr w:type="spellStart"/>
      <w:r>
        <w:rPr>
          <w:sz w:val="22"/>
          <w:szCs w:val="22"/>
        </w:rPr>
        <w:t>aliszkirén</w:t>
      </w:r>
      <w:proofErr w:type="spellEnd"/>
      <w:r>
        <w:rPr>
          <w:sz w:val="22"/>
          <w:szCs w:val="22"/>
        </w:rPr>
        <w:t xml:space="preserve"> kombinált alkalmazásával történő kettős blokádja ezért nem javasolt (lásd 4.5 és 5.1 pont).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Ha a kettősblokád-kezelést abszolút szükségesnek ítélik, ez csak szakorvos felügyeletével, a vesefunkció, elektrolit szintek és a vérnyomás gyakori és szoros ellenőrzése mellett történhet.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Az ACE-gátlók és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nem alkalmazhatók egyidejűleg diabeteses </w:t>
      </w:r>
      <w:proofErr w:type="spellStart"/>
      <w:r>
        <w:rPr>
          <w:sz w:val="22"/>
          <w:szCs w:val="22"/>
        </w:rPr>
        <w:t>nephropathiában</w:t>
      </w:r>
      <w:proofErr w:type="spellEnd"/>
      <w:r>
        <w:rPr>
          <w:sz w:val="22"/>
          <w:szCs w:val="22"/>
        </w:rPr>
        <w:t xml:space="preserve"> szenvedő betegeknél.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numPr>
          <w:ilvl w:val="1"/>
          <w:numId w:val="36"/>
        </w:num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Gyógyszerkölcsönhatások és egyéb interakciók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pStyle w:val="Default"/>
      </w:pPr>
      <w:r>
        <w:rPr>
          <w:sz w:val="22"/>
          <w:szCs w:val="22"/>
          <w:lang w:eastAsia="en-US"/>
        </w:rPr>
        <w:t xml:space="preserve">Az egyéb antihipertenzív szerek növelhetik a lozartán hypotoniát okozó hatását. </w:t>
      </w:r>
      <w:r>
        <w:rPr>
          <w:sz w:val="22"/>
          <w:szCs w:val="22"/>
        </w:rPr>
        <w:t>A lozartán együttes alkalmazása olyan egyéb hatóanyagokkal, amelyek mellékhatásként hypotoniát okozhatnak (mint a</w:t>
      </w:r>
      <w:r>
        <w:t xml:space="preserve"> triciklusos</w:t>
      </w:r>
      <w:r>
        <w:rPr>
          <w:sz w:val="22"/>
          <w:szCs w:val="22"/>
        </w:rPr>
        <w:t xml:space="preserve"> antidepresszánsok, antipszichotikumok, baklofén és az amifosztin) növelheti a hypotonia kockázatát.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 döntően a </w:t>
      </w:r>
      <w:proofErr w:type="spellStart"/>
      <w:r>
        <w:rPr>
          <w:sz w:val="22"/>
          <w:szCs w:val="22"/>
        </w:rPr>
        <w:t>citokróm</w:t>
      </w:r>
      <w:proofErr w:type="spellEnd"/>
      <w:r>
        <w:rPr>
          <w:sz w:val="22"/>
          <w:szCs w:val="22"/>
        </w:rPr>
        <w:t xml:space="preserve"> P450 (CYP) 2C9 által </w:t>
      </w:r>
      <w:proofErr w:type="spellStart"/>
      <w:r>
        <w:rPr>
          <w:sz w:val="22"/>
          <w:szCs w:val="22"/>
        </w:rPr>
        <w:t>metabolizálódik</w:t>
      </w:r>
      <w:proofErr w:type="spellEnd"/>
      <w:r>
        <w:rPr>
          <w:sz w:val="22"/>
          <w:szCs w:val="22"/>
        </w:rPr>
        <w:t xml:space="preserve"> aktív </w:t>
      </w:r>
      <w:proofErr w:type="spellStart"/>
      <w:r>
        <w:rPr>
          <w:sz w:val="22"/>
          <w:szCs w:val="22"/>
        </w:rPr>
        <w:t>karboxisav-metabolittá</w:t>
      </w:r>
      <w:proofErr w:type="spellEnd"/>
      <w:r>
        <w:rPr>
          <w:sz w:val="22"/>
          <w:szCs w:val="22"/>
        </w:rPr>
        <w:t xml:space="preserve">. Egy klinikai vizsgálatban azt tapasztalták, hogy a </w:t>
      </w:r>
      <w:proofErr w:type="spellStart"/>
      <w:r>
        <w:rPr>
          <w:sz w:val="22"/>
          <w:szCs w:val="22"/>
        </w:rPr>
        <w:t>flukonazol</w:t>
      </w:r>
      <w:proofErr w:type="spellEnd"/>
      <w:r>
        <w:rPr>
          <w:sz w:val="22"/>
          <w:szCs w:val="22"/>
        </w:rPr>
        <w:t xml:space="preserve"> (a CYP2C9 inhibitora) kb. 50%-</w:t>
      </w:r>
      <w:proofErr w:type="spellStart"/>
      <w:r>
        <w:rPr>
          <w:sz w:val="22"/>
          <w:szCs w:val="22"/>
        </w:rPr>
        <w:t>kal</w:t>
      </w:r>
      <w:proofErr w:type="spellEnd"/>
      <w:r>
        <w:rPr>
          <w:sz w:val="22"/>
          <w:szCs w:val="22"/>
        </w:rPr>
        <w:t xml:space="preserve"> csökkenti az aktív </w:t>
      </w:r>
      <w:proofErr w:type="spellStart"/>
      <w:r>
        <w:rPr>
          <w:sz w:val="22"/>
          <w:szCs w:val="22"/>
        </w:rPr>
        <w:t>metabolit</w:t>
      </w:r>
      <w:proofErr w:type="spellEnd"/>
      <w:r>
        <w:rPr>
          <w:sz w:val="22"/>
          <w:szCs w:val="22"/>
        </w:rPr>
        <w:t xml:space="preserve"> expozícióját. Azt tapasztalták, hogy a </w:t>
      </w:r>
      <w:proofErr w:type="spellStart"/>
      <w:r>
        <w:rPr>
          <w:sz w:val="22"/>
          <w:szCs w:val="22"/>
        </w:rPr>
        <w:t>lozartánnal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rifampicinnel</w:t>
      </w:r>
      <w:proofErr w:type="spellEnd"/>
      <w:r>
        <w:rPr>
          <w:sz w:val="22"/>
          <w:szCs w:val="22"/>
        </w:rPr>
        <w:t xml:space="preserve"> (a metabolizmust végző enzimek induktora) folytatott egyidejű kezelés 40%-</w:t>
      </w:r>
      <w:proofErr w:type="spellStart"/>
      <w:r>
        <w:rPr>
          <w:sz w:val="22"/>
          <w:szCs w:val="22"/>
        </w:rPr>
        <w:t>kal</w:t>
      </w:r>
      <w:proofErr w:type="spellEnd"/>
      <w:r>
        <w:rPr>
          <w:sz w:val="22"/>
          <w:szCs w:val="22"/>
        </w:rPr>
        <w:t xml:space="preserve"> csökkenti az aktív </w:t>
      </w:r>
      <w:proofErr w:type="spellStart"/>
      <w:r>
        <w:rPr>
          <w:sz w:val="22"/>
          <w:szCs w:val="22"/>
        </w:rPr>
        <w:t>metabolit</w:t>
      </w:r>
      <w:proofErr w:type="spellEnd"/>
      <w:r>
        <w:rPr>
          <w:sz w:val="22"/>
          <w:szCs w:val="22"/>
        </w:rPr>
        <w:t xml:space="preserve"> plazmakoncentrációját. E hatás klinikai jelentősége nem ismert. </w:t>
      </w:r>
      <w:proofErr w:type="spellStart"/>
      <w:r>
        <w:rPr>
          <w:sz w:val="22"/>
          <w:szCs w:val="22"/>
        </w:rPr>
        <w:t>Fluvasztatinnal</w:t>
      </w:r>
      <w:proofErr w:type="spellEnd"/>
      <w:r>
        <w:rPr>
          <w:sz w:val="22"/>
          <w:szCs w:val="22"/>
        </w:rPr>
        <w:t xml:space="preserve"> (a CYP2C9 gyenge inhibitora) végzett egyidejű kezelés során nem észleltek különbséget az expozícióban. 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Mint más, az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-t vagy annak hatását gátló gyógyszerek esetén, a káliummegtakarító egyéb gyógyszerekkel (pl. káliummegtakarító </w:t>
      </w:r>
      <w:proofErr w:type="spellStart"/>
      <w:r>
        <w:rPr>
          <w:sz w:val="22"/>
          <w:szCs w:val="22"/>
        </w:rPr>
        <w:t>diuretikumok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amilorid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triamteren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spironolakton</w:t>
      </w:r>
      <w:proofErr w:type="spellEnd"/>
      <w:r>
        <w:rPr>
          <w:sz w:val="22"/>
          <w:szCs w:val="22"/>
        </w:rPr>
        <w:t xml:space="preserve">) vagy a káliumszintet növelő gyógyszerekkel (pl. </w:t>
      </w:r>
      <w:proofErr w:type="spellStart"/>
      <w:r>
        <w:rPr>
          <w:sz w:val="22"/>
          <w:szCs w:val="22"/>
        </w:rPr>
        <w:t>heparin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trimetoprim</w:t>
      </w:r>
      <w:proofErr w:type="spellEnd"/>
      <w:r>
        <w:rPr>
          <w:sz w:val="22"/>
          <w:szCs w:val="22"/>
        </w:rPr>
        <w:t xml:space="preserve"> tartalmú készítmények), káliumpótlókkal vagy káliumot tartalmazó sópótlókkal történő egyidejű alkalmazása a szérum káliumszint emelkedéséhez vezethet. E gyógyszerek kombinációja nem javasolt.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Lítium és ACE-gátlók együttes alkalmazása során a szérum lítiumszintek és toxicitás reverzibilis emelkedéséről számoltak be.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-receptor-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esetében nagyon ritkán hasonló </w:t>
      </w:r>
      <w:r>
        <w:rPr>
          <w:sz w:val="22"/>
          <w:szCs w:val="22"/>
          <w:lang w:eastAsia="en-US"/>
        </w:rPr>
        <w:lastRenderedPageBreak/>
        <w:t xml:space="preserve">eseteket jelentettek. Lítiumot és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óvatosan kell együtt alkalmazni. Ha ez a kombináció elkerülhetetlenül szükséges, az együttes alkalmazás során a szérum lítium-szint </w:t>
      </w:r>
      <w:proofErr w:type="spellStart"/>
      <w:r>
        <w:rPr>
          <w:sz w:val="22"/>
          <w:szCs w:val="22"/>
          <w:lang w:eastAsia="en-US"/>
        </w:rPr>
        <w:t>monitorozása</w:t>
      </w:r>
      <w:proofErr w:type="spellEnd"/>
      <w:r>
        <w:rPr>
          <w:sz w:val="22"/>
          <w:szCs w:val="22"/>
          <w:lang w:eastAsia="en-US"/>
        </w:rPr>
        <w:t xml:space="preserve"> ajánlott.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és nem-szteroid gyulladáscsökkentő gyógyszerek (NSAID-ok, azaz szelektív COX-2-gátlók, gyulladáscsökkentő dózisban adott </w:t>
      </w:r>
      <w:proofErr w:type="spellStart"/>
      <w:r>
        <w:rPr>
          <w:sz w:val="22"/>
          <w:szCs w:val="22"/>
          <w:lang w:eastAsia="en-US"/>
        </w:rPr>
        <w:t>acetilszalicilsav</w:t>
      </w:r>
      <w:proofErr w:type="spellEnd"/>
      <w:r>
        <w:rPr>
          <w:sz w:val="22"/>
          <w:szCs w:val="22"/>
          <w:lang w:eastAsia="en-US"/>
        </w:rPr>
        <w:t xml:space="preserve"> vagy nem szelektív NSAID-ok) együttes alkalmazásakor az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hatás csökkenése következhet be.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vagy </w:t>
      </w:r>
      <w:proofErr w:type="spellStart"/>
      <w:r>
        <w:rPr>
          <w:sz w:val="22"/>
          <w:szCs w:val="22"/>
          <w:lang w:eastAsia="en-US"/>
        </w:rPr>
        <w:t>diuretikumok</w:t>
      </w:r>
      <w:proofErr w:type="spellEnd"/>
      <w:r>
        <w:rPr>
          <w:sz w:val="22"/>
          <w:szCs w:val="22"/>
          <w:lang w:eastAsia="en-US"/>
        </w:rPr>
        <w:t xml:space="preserve"> és NSAID együttes alkalmazása a vesefunkció romlásának megnövekedett kockázatához, ezen belül lehetséges akut veseelégtelenséghez és a szérum káliumszintjének növekedéséhez vezethet, főként már fennálló, nem megfelelő vesefunkcióval rendelkező betegek esetében. A kombináció óvatosan alkalmazandó, főként időseknél. A betegeknek megfelelően hidratált állapotban kell lenniük és az együttes terápia bevezetésekor, illetve ezt követően rendszeres időközönként figyelmet kell fordítani a vesefunkció </w:t>
      </w:r>
      <w:proofErr w:type="spellStart"/>
      <w:r>
        <w:rPr>
          <w:sz w:val="22"/>
          <w:szCs w:val="22"/>
          <w:lang w:eastAsia="en-US"/>
        </w:rPr>
        <w:t>monitorozására</w:t>
      </w:r>
      <w:proofErr w:type="spellEnd"/>
      <w:r>
        <w:rPr>
          <w:sz w:val="22"/>
          <w:szCs w:val="22"/>
          <w:lang w:eastAsia="en-US"/>
        </w:rPr>
        <w:t>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 klinikai vizsgálati adatok azt mutatták, hogy a </w:t>
      </w:r>
      <w:proofErr w:type="spellStart"/>
      <w:r>
        <w:rPr>
          <w:sz w:val="22"/>
          <w:szCs w:val="22"/>
        </w:rPr>
        <w:t>renin-angiotenzin-aldoszteron</w:t>
      </w:r>
      <w:proofErr w:type="spellEnd"/>
      <w:r>
        <w:rPr>
          <w:sz w:val="22"/>
          <w:szCs w:val="22"/>
        </w:rPr>
        <w:t xml:space="preserve"> rendszernek (RAAS) ACE-gátlók,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vagy </w:t>
      </w:r>
      <w:proofErr w:type="spellStart"/>
      <w:r>
        <w:rPr>
          <w:sz w:val="22"/>
          <w:szCs w:val="22"/>
        </w:rPr>
        <w:t>aliszkirén</w:t>
      </w:r>
      <w:proofErr w:type="spellEnd"/>
      <w:r>
        <w:rPr>
          <w:sz w:val="22"/>
          <w:szCs w:val="22"/>
        </w:rPr>
        <w:t xml:space="preserve"> kombinációjával történő kettős blokádja nagyobb gyakorisággal okoz mellékhatásokat, például </w:t>
      </w:r>
      <w:proofErr w:type="spellStart"/>
      <w:r>
        <w:rPr>
          <w:sz w:val="22"/>
          <w:szCs w:val="22"/>
        </w:rPr>
        <w:t>hypotoniát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hyperkalaemiát</w:t>
      </w:r>
      <w:proofErr w:type="spellEnd"/>
      <w:r>
        <w:rPr>
          <w:sz w:val="22"/>
          <w:szCs w:val="22"/>
        </w:rPr>
        <w:t xml:space="preserve"> vagy vesekárosodást (többek között akut veseelégtelenséget), mint csak egyféle RAAS-</w:t>
      </w:r>
      <w:proofErr w:type="spellStart"/>
      <w:r>
        <w:rPr>
          <w:sz w:val="22"/>
          <w:szCs w:val="22"/>
        </w:rPr>
        <w:t>ra</w:t>
      </w:r>
      <w:proofErr w:type="spellEnd"/>
      <w:r>
        <w:rPr>
          <w:sz w:val="22"/>
          <w:szCs w:val="22"/>
        </w:rPr>
        <w:t xml:space="preserve"> ható szer alkalmazása (lásd 4.3, 4.4 és 5.1 pont).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A grépfrútlé olyan összetevőket tartalmaz, amelyek gátolják a CYP450 enzimeket, és csökkenthetik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aktív </w:t>
      </w:r>
      <w:proofErr w:type="spellStart"/>
      <w:r>
        <w:rPr>
          <w:color w:val="000000"/>
          <w:sz w:val="22"/>
          <w:szCs w:val="22"/>
        </w:rPr>
        <w:t>metabolitjának</w:t>
      </w:r>
      <w:proofErr w:type="spellEnd"/>
      <w:r>
        <w:rPr>
          <w:color w:val="000000"/>
          <w:sz w:val="22"/>
          <w:szCs w:val="22"/>
        </w:rPr>
        <w:t xml:space="preserve"> koncentrációját, ami csökkentheti a terápiás hatást.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color w:val="000000"/>
          <w:sz w:val="22"/>
          <w:szCs w:val="22"/>
        </w:rPr>
        <w:t>hidroklorotiazid</w:t>
      </w:r>
      <w:proofErr w:type="spellEnd"/>
      <w:r>
        <w:rPr>
          <w:color w:val="000000"/>
          <w:sz w:val="22"/>
          <w:szCs w:val="22"/>
        </w:rPr>
        <w:t xml:space="preserve"> tabletta szedése alatt kerülni kell a grépfrútlé fogyasztását.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t>4.6</w:t>
      </w:r>
      <w:r>
        <w:rPr>
          <w:b/>
          <w:sz w:val="22"/>
          <w:szCs w:val="22"/>
        </w:rPr>
        <w:tab/>
        <w:t>Termékenység, terhesség és szoptatás</w:t>
      </w:r>
    </w:p>
    <w:p w:rsidR="00601E88" w:rsidRDefault="00601E88">
      <w:pPr>
        <w:keepNext/>
        <w:rPr>
          <w:b/>
          <w:i/>
          <w:sz w:val="22"/>
          <w:szCs w:val="22"/>
        </w:rPr>
      </w:pPr>
    </w:p>
    <w:p w:rsidR="00601E88" w:rsidRDefault="00CD7A0A">
      <w:pPr>
        <w:keepNext/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Terhesség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a terhesség első trimeszterében nem javasolt (lásd 4.4 pont).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ellenjavallt a terhesség második és harmadik trimeszterében (lásd 4.3 és 4.4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ACE-gátlók első trimeszterben történő szedését követő </w:t>
      </w:r>
      <w:proofErr w:type="spellStart"/>
      <w:r>
        <w:rPr>
          <w:sz w:val="22"/>
          <w:szCs w:val="22"/>
          <w:lang w:eastAsia="en-US"/>
        </w:rPr>
        <w:t>teratogén</w:t>
      </w:r>
      <w:proofErr w:type="spellEnd"/>
      <w:r>
        <w:rPr>
          <w:sz w:val="22"/>
          <w:szCs w:val="22"/>
          <w:lang w:eastAsia="en-US"/>
        </w:rPr>
        <w:t xml:space="preserve"> kockázatra vonatkozó epidemiológiai adatok nem egyértelműek, a kockázat kismértékű növekedése azonban nem zárható ki. Bár az ATII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teratogén</w:t>
      </w:r>
      <w:proofErr w:type="spellEnd"/>
      <w:r>
        <w:rPr>
          <w:sz w:val="22"/>
          <w:szCs w:val="22"/>
          <w:lang w:eastAsia="en-US"/>
        </w:rPr>
        <w:t xml:space="preserve"> kockázatára vonatkozóan nem állnak rendelkezésre kontrollos epidemiológiai adatok, azonban feltételezhető, hogy a kockázat erre a gyógyszercsoportra vonatkozóan is hasonló. Hacsak az ATII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>receptor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antagonistával</w:t>
      </w:r>
      <w:proofErr w:type="spellEnd"/>
      <w:r>
        <w:rPr>
          <w:sz w:val="22"/>
          <w:szCs w:val="22"/>
          <w:lang w:eastAsia="en-US"/>
        </w:rPr>
        <w:t xml:space="preserve"> történő folyamatos kezelés nem elengedhetetlen, a terhességet tervező betegeknek más, olyan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kezelésre kell átállniuk, melynek biztonságossága terhességben alátámasztott. Az ATII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>receptor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antagonista</w:t>
      </w:r>
      <w:proofErr w:type="spellEnd"/>
      <w:r>
        <w:rPr>
          <w:sz w:val="22"/>
          <w:szCs w:val="22"/>
          <w:lang w:eastAsia="en-US"/>
        </w:rPr>
        <w:t xml:space="preserve"> szedését azonnal abba kell hagyni, amennyiben terhességet állapítottak meg. Szükség esetén más, megfelelő kezelésre kell átállni.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Ismert, hogy az ATII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második és harmadik trimeszterben történő szedése embernél magzatkárosodást (csökkent veseműködés, </w:t>
      </w:r>
      <w:proofErr w:type="spellStart"/>
      <w:r>
        <w:rPr>
          <w:sz w:val="22"/>
          <w:szCs w:val="22"/>
          <w:lang w:eastAsia="en-US"/>
        </w:rPr>
        <w:t>oligohydramnion</w:t>
      </w:r>
      <w:proofErr w:type="spellEnd"/>
      <w:r>
        <w:rPr>
          <w:sz w:val="22"/>
          <w:szCs w:val="22"/>
          <w:lang w:eastAsia="en-US"/>
        </w:rPr>
        <w:t xml:space="preserve">, koponya csontosodásának visszamaradása) és </w:t>
      </w:r>
      <w:proofErr w:type="spellStart"/>
      <w:r>
        <w:rPr>
          <w:sz w:val="22"/>
          <w:szCs w:val="22"/>
          <w:lang w:eastAsia="en-US"/>
        </w:rPr>
        <w:t>neonatális</w:t>
      </w:r>
      <w:proofErr w:type="spellEnd"/>
      <w:r>
        <w:rPr>
          <w:sz w:val="22"/>
          <w:szCs w:val="22"/>
          <w:lang w:eastAsia="en-US"/>
        </w:rPr>
        <w:t xml:space="preserve"> toxicitást (veseelégtelenség, </w:t>
      </w:r>
      <w:proofErr w:type="spellStart"/>
      <w:r>
        <w:rPr>
          <w:sz w:val="22"/>
          <w:szCs w:val="22"/>
          <w:lang w:eastAsia="en-US"/>
        </w:rPr>
        <w:t>hypotonia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hyperkalaemia</w:t>
      </w:r>
      <w:proofErr w:type="spellEnd"/>
      <w:r>
        <w:rPr>
          <w:sz w:val="22"/>
          <w:szCs w:val="22"/>
          <w:lang w:eastAsia="en-US"/>
        </w:rPr>
        <w:t>) okozhat (lásd 5.3 pontot).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Amennyiben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szedése a terhesség második illetve harmadik trimeszterében történt, javasolt a vesefunkció és a koponya ultrahangos ellenőrzése. 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ATII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>receptor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antagonistát</w:t>
      </w:r>
      <w:proofErr w:type="spellEnd"/>
      <w:r>
        <w:rPr>
          <w:sz w:val="22"/>
          <w:szCs w:val="22"/>
          <w:lang w:eastAsia="en-US"/>
        </w:rPr>
        <w:t xml:space="preserve"> szedő anyák csecsemőit fokozott figyelemmel kell kísérni a </w:t>
      </w:r>
      <w:proofErr w:type="spellStart"/>
      <w:r>
        <w:rPr>
          <w:sz w:val="22"/>
          <w:szCs w:val="22"/>
          <w:lang w:eastAsia="en-US"/>
        </w:rPr>
        <w:t>hypotonia</w:t>
      </w:r>
      <w:proofErr w:type="spellEnd"/>
      <w:r>
        <w:rPr>
          <w:sz w:val="22"/>
          <w:szCs w:val="22"/>
          <w:lang w:eastAsia="en-US"/>
        </w:rPr>
        <w:t xml:space="preserve"> észlelése érdekében (lásd 4.3, 4.4 pontokat).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Szoptatás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Mivel nem áll rendelkezésre adat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szoptatás alatti alkalmazásáról, szedése nem javasolt szoptatás alatt. Ilyen esetben – különösen újszülött vagy koraszülött szoptatása esetén –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helyett olyan kezelés alkalmazása javasolt, amelynek biztonságossága jobban alátámasztott.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 w:rsidP="009A4DF2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4.7</w:t>
      </w:r>
      <w:r>
        <w:rPr>
          <w:b/>
          <w:bCs/>
          <w:sz w:val="22"/>
          <w:szCs w:val="22"/>
        </w:rPr>
        <w:tab/>
        <w:t>A készítmény hatásai a gépjárművezetéshez és a gépek kezeléséhez szükséges képességekre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gépjárművezetéshez és a gépek kezeléséhez szükséges képességeket befolyásoló hatásokat tanulmányozó vizsgálatot nem végeztek. Gépjárművezetéskor és gépek kezelésekor azonban figyelembe kell venni, hogy néhány esetben szédülés és álmosság jelentkezhet az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kezelés során, különösen a kezelés </w:t>
      </w:r>
      <w:proofErr w:type="gramStart"/>
      <w:r>
        <w:rPr>
          <w:sz w:val="22"/>
          <w:szCs w:val="22"/>
          <w:lang w:eastAsia="en-US"/>
        </w:rPr>
        <w:t>kezdetén</w:t>
      </w:r>
      <w:proofErr w:type="gramEnd"/>
      <w:r>
        <w:rPr>
          <w:sz w:val="22"/>
          <w:szCs w:val="22"/>
          <w:lang w:eastAsia="en-US"/>
        </w:rPr>
        <w:t xml:space="preserve"> vagy ha dózisemelés történik.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noProof/>
          <w:color w:val="000000"/>
          <w:sz w:val="22"/>
          <w:szCs w:val="22"/>
        </w:rPr>
      </w:pPr>
      <w:r>
        <w:rPr>
          <w:b/>
          <w:sz w:val="22"/>
          <w:szCs w:val="22"/>
        </w:rPr>
        <w:t>4.8</w:t>
      </w:r>
      <w:r>
        <w:rPr>
          <w:b/>
          <w:sz w:val="22"/>
          <w:szCs w:val="22"/>
        </w:rPr>
        <w:tab/>
        <w:t>Nemkívánatos hatások, mellékhatások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A lozartánt a következő klinikai vizsgálatokban értékelték:</w:t>
      </w:r>
    </w:p>
    <w:p w:rsidR="00601E88" w:rsidRDefault="00CD7A0A">
      <w:pPr>
        <w:numPr>
          <w:ilvl w:val="0"/>
          <w:numId w:val="34"/>
        </w:numPr>
        <w:ind w:hanging="57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Esszenciális hypertonia kontrollos klinikai vizsgálatában több mint 3000, 18 éves vagy idősebb, felnőtt beteg részvételével.</w:t>
      </w:r>
    </w:p>
    <w:p w:rsidR="00601E88" w:rsidRDefault="00CD7A0A">
      <w:pPr>
        <w:numPr>
          <w:ilvl w:val="0"/>
          <w:numId w:val="34"/>
        </w:numPr>
        <w:ind w:hanging="570"/>
        <w:rPr>
          <w:noProof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177, </w:t>
      </w:r>
      <w:proofErr w:type="spellStart"/>
      <w:r>
        <w:rPr>
          <w:color w:val="000000"/>
          <w:sz w:val="22"/>
          <w:szCs w:val="22"/>
        </w:rPr>
        <w:t>hypertoniában</w:t>
      </w:r>
      <w:proofErr w:type="spellEnd"/>
      <w:r>
        <w:rPr>
          <w:color w:val="000000"/>
          <w:sz w:val="22"/>
          <w:szCs w:val="22"/>
        </w:rPr>
        <w:t xml:space="preserve"> szenvedő, 6</w:t>
      </w:r>
      <w:r>
        <w:rPr>
          <w:color w:val="000000"/>
          <w:sz w:val="22"/>
          <w:szCs w:val="22"/>
        </w:rPr>
        <w:noBreakHyphen/>
        <w:t>16 éves gyermek és serdülő beteggel végzett kontrollos klinikai vizsgálatban.</w:t>
      </w:r>
    </w:p>
    <w:p w:rsidR="00601E88" w:rsidRDefault="00CD7A0A">
      <w:pPr>
        <w:numPr>
          <w:ilvl w:val="0"/>
          <w:numId w:val="34"/>
        </w:numPr>
        <w:ind w:hanging="57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Több mint 9000, 55 és 80 év közötti, hypertoniában és balkamra</w:t>
      </w:r>
      <w:r w:rsidR="00F23C75">
        <w:rPr>
          <w:noProof/>
          <w:color w:val="000000"/>
          <w:sz w:val="22"/>
          <w:szCs w:val="22"/>
        </w:rPr>
        <w:t>-</w:t>
      </w:r>
      <w:r>
        <w:rPr>
          <w:noProof/>
          <w:color w:val="000000"/>
          <w:sz w:val="22"/>
          <w:szCs w:val="22"/>
        </w:rPr>
        <w:t>hypertrophiában szenvedő beteggel végzett, kontrollos klinikai vizsgálatban (lásd LIFE vizsgálat, 5.1 pont).</w:t>
      </w:r>
    </w:p>
    <w:p w:rsidR="00601E88" w:rsidRDefault="00CD7A0A">
      <w:pPr>
        <w:numPr>
          <w:ilvl w:val="0"/>
          <w:numId w:val="34"/>
        </w:numPr>
        <w:ind w:hanging="57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 xml:space="preserve">Több mint 7700, krónikus szívelégtelenségben szenvedő felnőtt beteg részvételével végzett, kontrollos klinikai vizsgálatokban (lásd </w:t>
      </w:r>
      <w:r>
        <w:rPr>
          <w:sz w:val="22"/>
          <w:szCs w:val="22"/>
        </w:rPr>
        <w:t>ELITE I, ELITE II és HEAAL</w:t>
      </w:r>
      <w:r>
        <w:rPr>
          <w:noProof/>
          <w:color w:val="000000"/>
          <w:sz w:val="22"/>
          <w:szCs w:val="22"/>
        </w:rPr>
        <w:t xml:space="preserve"> vizsgálat, 5.1 pont).</w:t>
      </w:r>
    </w:p>
    <w:p w:rsidR="00601E88" w:rsidRDefault="00CD7A0A">
      <w:pPr>
        <w:numPr>
          <w:ilvl w:val="0"/>
          <w:numId w:val="34"/>
        </w:numPr>
        <w:autoSpaceDE w:val="0"/>
        <w:autoSpaceDN w:val="0"/>
        <w:adjustRightInd w:val="0"/>
        <w:ind w:hanging="57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Több mint 1500, 31 éves vagy idősebb, proteinuriával járó 2</w:t>
      </w:r>
      <w:r>
        <w:rPr>
          <w:noProof/>
          <w:color w:val="000000"/>
          <w:sz w:val="22"/>
          <w:szCs w:val="22"/>
        </w:rPr>
        <w:noBreakHyphen/>
        <w:t xml:space="preserve">es típusú diabetesben szenvedő beteg részvételével végzett, kontrollos klinikai vizsgálatban (lásd </w:t>
      </w:r>
      <w:r>
        <w:rPr>
          <w:sz w:val="22"/>
          <w:szCs w:val="22"/>
        </w:rPr>
        <w:t>RENAAL</w:t>
      </w:r>
      <w:r>
        <w:rPr>
          <w:noProof/>
          <w:color w:val="000000"/>
          <w:sz w:val="22"/>
          <w:szCs w:val="22"/>
        </w:rPr>
        <w:t xml:space="preserve"> vizsgálat, 5.1 pont)</w:t>
      </w:r>
    </w:p>
    <w:p w:rsidR="00601E88" w:rsidRDefault="00601E88">
      <w:pPr>
        <w:autoSpaceDE w:val="0"/>
        <w:autoSpaceDN w:val="0"/>
        <w:adjustRightInd w:val="0"/>
        <w:rPr>
          <w:noProof/>
          <w:color w:val="000000"/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noProof/>
          <w:color w:val="000000"/>
          <w:sz w:val="22"/>
          <w:szCs w:val="22"/>
        </w:rPr>
        <w:t>Ezen vizsgálatok során a leggyakoribb mellékhatás a szédülés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keepNext/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Nagyon gyakori (≥ 1/10)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Gyakori (≥ 1/100 - </w:t>
      </w:r>
      <w:proofErr w:type="gramStart"/>
      <w:r>
        <w:rPr>
          <w:sz w:val="22"/>
          <w:szCs w:val="22"/>
          <w:lang w:eastAsia="en-US"/>
        </w:rPr>
        <w:t>&lt; 1</w:t>
      </w:r>
      <w:proofErr w:type="gramEnd"/>
      <w:r>
        <w:rPr>
          <w:sz w:val="22"/>
          <w:szCs w:val="22"/>
          <w:lang w:eastAsia="en-US"/>
        </w:rPr>
        <w:t>/10)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Nem gyakori (≥ 1/1000 - </w:t>
      </w:r>
      <w:proofErr w:type="gramStart"/>
      <w:r>
        <w:rPr>
          <w:sz w:val="22"/>
          <w:szCs w:val="22"/>
          <w:lang w:eastAsia="en-US"/>
        </w:rPr>
        <w:t>&lt; 1</w:t>
      </w:r>
      <w:proofErr w:type="gramEnd"/>
      <w:r>
        <w:rPr>
          <w:sz w:val="22"/>
          <w:szCs w:val="22"/>
          <w:lang w:eastAsia="en-US"/>
        </w:rPr>
        <w:t>/100)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Ritka (≥ 1/10 000 - &lt;1/1000)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Nagyon ritka: (&lt;1/10 000)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Nem ismert (a gyakorisága a rendelkezésre álló adatokból nem állapítható meg)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1. táblázat: A placebokontrollos klinikai vizsgálatok során és a forgalomba hozatalt követően tapasztalt mellékhatások gyakorisága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7"/>
        <w:gridCol w:w="1277"/>
        <w:gridCol w:w="1701"/>
        <w:gridCol w:w="1439"/>
        <w:gridCol w:w="1495"/>
        <w:gridCol w:w="1310"/>
      </w:tblGrid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keepNext/>
              <w:jc w:val="center"/>
              <w:rPr>
                <w:b/>
                <w:sz w:val="22"/>
                <w:szCs w:val="22"/>
                <w:lang w:eastAsia="de-DE"/>
              </w:rPr>
            </w:pPr>
            <w:r>
              <w:rPr>
                <w:b/>
                <w:sz w:val="22"/>
                <w:szCs w:val="22"/>
              </w:rPr>
              <w:t>Mellékhatás</w:t>
            </w:r>
          </w:p>
        </w:tc>
        <w:tc>
          <w:tcPr>
            <w:tcW w:w="32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color w:val="auto"/>
                <w:sz w:val="22"/>
                <w:szCs w:val="22"/>
                <w:lang w:val="hu-HU"/>
              </w:rPr>
              <w:t>A mellékhatás gyakorisága indikáció alapján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color w:val="auto"/>
                <w:sz w:val="22"/>
                <w:szCs w:val="22"/>
                <w:lang w:val="hu-HU"/>
              </w:rPr>
              <w:t>Egyéb</w:t>
            </w:r>
          </w:p>
        </w:tc>
      </w:tr>
      <w:tr w:rsidR="00601E88" w:rsidTr="009A4DF2">
        <w:trPr>
          <w:cantSplit/>
          <w:trHeight w:val="860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keepNext/>
              <w:jc w:val="center"/>
              <w:rPr>
                <w:sz w:val="22"/>
                <w:szCs w:val="22"/>
                <w:lang w:eastAsia="de-DE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keepNext/>
              <w:jc w:val="center"/>
              <w:rPr>
                <w:b/>
                <w:sz w:val="22"/>
                <w:szCs w:val="22"/>
                <w:lang w:eastAsia="de-DE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Hypertonia</w:t>
            </w:r>
            <w:proofErr w:type="spellEnd"/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keepNext/>
              <w:jc w:val="center"/>
              <w:rPr>
                <w:b/>
                <w:sz w:val="22"/>
                <w:szCs w:val="22"/>
                <w:lang w:eastAsia="de-DE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Balkamra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hypertrophiá-ban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szenvedő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hypertoniás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betegek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 w:eastAsia="en-US"/>
              </w:rPr>
              <w:t>Krónikus szívelégtelen-</w:t>
            </w:r>
            <w:proofErr w:type="spellStart"/>
            <w:r>
              <w:rPr>
                <w:b/>
                <w:sz w:val="22"/>
                <w:szCs w:val="22"/>
                <w:lang w:val="hu-HU" w:eastAsia="en-US"/>
              </w:rPr>
              <w:t>ség</w:t>
            </w:r>
            <w:proofErr w:type="spellEnd"/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MGGTextLeft"/>
              <w:keepNext/>
              <w:jc w:val="center"/>
              <w:rPr>
                <w:b/>
                <w:color w:val="000000"/>
                <w:sz w:val="22"/>
                <w:szCs w:val="22"/>
                <w:lang w:val="hu-HU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  <w:lang w:val="hu-HU"/>
              </w:rPr>
              <w:t>Hypertonia</w:t>
            </w:r>
            <w:proofErr w:type="spellEnd"/>
            <w:r>
              <w:rPr>
                <w:b/>
                <w:color w:val="000000"/>
                <w:sz w:val="22"/>
                <w:szCs w:val="22"/>
                <w:lang w:val="hu-HU"/>
              </w:rPr>
              <w:t xml:space="preserve"> és vesebetegség-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hu-HU"/>
              </w:rPr>
              <w:t>gel</w:t>
            </w:r>
            <w:proofErr w:type="spellEnd"/>
            <w:r>
              <w:rPr>
                <w:b/>
                <w:color w:val="000000"/>
                <w:sz w:val="22"/>
                <w:szCs w:val="22"/>
                <w:lang w:val="hu-HU"/>
              </w:rPr>
              <w:t xml:space="preserve"> társuló 2</w:t>
            </w:r>
            <w:r>
              <w:rPr>
                <w:b/>
                <w:color w:val="000000"/>
                <w:sz w:val="22"/>
                <w:szCs w:val="22"/>
                <w:lang w:val="hu-HU"/>
              </w:rPr>
              <w:noBreakHyphen/>
              <w:t>es típusú diabetes</w:t>
            </w:r>
          </w:p>
          <w:p w:rsidR="00601E88" w:rsidRDefault="00601E88">
            <w:pPr>
              <w:pStyle w:val="Default"/>
              <w:keepNext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  <w:vertAlign w:val="superscript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Forgalomba hozatalt követő </w:t>
            </w:r>
            <w:proofErr w:type="spellStart"/>
            <w:r>
              <w:rPr>
                <w:b/>
                <w:bCs/>
                <w:color w:val="auto"/>
                <w:sz w:val="22"/>
                <w:szCs w:val="22"/>
                <w:lang w:val="hu-HU"/>
              </w:rPr>
              <w:t>tapasztala</w:t>
            </w:r>
            <w:proofErr w:type="spellEnd"/>
            <w:r>
              <w:rPr>
                <w:b/>
                <w:bCs/>
                <w:color w:val="auto"/>
                <w:sz w:val="22"/>
                <w:szCs w:val="22"/>
                <w:lang w:val="hu-HU"/>
              </w:rPr>
              <w:t>-tok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rPr>
                <w:b/>
                <w:sz w:val="22"/>
                <w:szCs w:val="22"/>
                <w:highlight w:val="yellow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anaemia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thrombocytopenia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Immunrendszeri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túlérzékenység, </w:t>
            </w:r>
            <w:proofErr w:type="spellStart"/>
            <w:r>
              <w:rPr>
                <w:sz w:val="22"/>
                <w:szCs w:val="22"/>
                <w:lang w:val="hu-HU"/>
              </w:rPr>
              <w:t>anafilaxiás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reakciók, </w:t>
            </w:r>
            <w:proofErr w:type="spellStart"/>
            <w:r>
              <w:rPr>
                <w:sz w:val="22"/>
                <w:szCs w:val="22"/>
                <w:lang w:val="hu-HU"/>
              </w:rPr>
              <w:t>angiooedema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* és </w:t>
            </w:r>
            <w:proofErr w:type="spellStart"/>
            <w:r>
              <w:rPr>
                <w:sz w:val="22"/>
                <w:szCs w:val="22"/>
                <w:lang w:val="hu-HU"/>
              </w:rPr>
              <w:t>vasculitis</w:t>
            </w:r>
            <w:proofErr w:type="spellEnd"/>
            <w:r>
              <w:rPr>
                <w:sz w:val="22"/>
                <w:szCs w:val="22"/>
                <w:lang w:val="hu-HU"/>
              </w:rPr>
              <w:t>**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</w:tr>
      <w:tr w:rsidR="00601E88" w:rsidTr="009A4DF2">
        <w:trPr>
          <w:cantSplit/>
          <w:trHeight w:val="26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</w:tr>
      <w:tr w:rsidR="00601E88" w:rsidTr="009A4DF2">
        <w:trPr>
          <w:cantSplit/>
          <w:trHeight w:val="260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depresszió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iCs/>
                <w:sz w:val="22"/>
                <w:szCs w:val="22"/>
                <w:lang w:val="hu-HU"/>
              </w:rPr>
              <w:t>Idegrendszeri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bCs/>
                <w:iCs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aluszékonyság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lastRenderedPageBreak/>
              <w:t>alvási rendellenességek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paraesthesia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iCs/>
                <w:sz w:val="22"/>
                <w:szCs w:val="22"/>
                <w:lang w:val="hu-HU"/>
              </w:rPr>
              <w:t>migrén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ízérzékelési zavarok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A fül és az egyensúly</w:t>
            </w:r>
            <w:r>
              <w:rPr>
                <w:b/>
                <w:iCs/>
                <w:sz w:val="22"/>
                <w:szCs w:val="22"/>
                <w:lang w:val="hu-HU"/>
              </w:rPr>
              <w:noBreakHyphen/>
              <w:t>érzékelő szerv betegségei és tünetei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tinnitus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iCs/>
                <w:sz w:val="22"/>
                <w:szCs w:val="22"/>
                <w:lang w:val="hu-HU"/>
              </w:rPr>
              <w:t>Szívbetegségek és a szívvel kapcsolatos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palpitációk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 xml:space="preserve">angina </w:t>
            </w: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pectoris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syncope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pitvarfibrilláció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cerebrovascularis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történés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iCs/>
                <w:sz w:val="22"/>
                <w:szCs w:val="22"/>
                <w:lang w:val="hu-HU"/>
              </w:rPr>
              <w:t>Érbetegségek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(</w:t>
            </w: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orthostaticus</w:t>
            </w:r>
            <w:proofErr w:type="spellEnd"/>
            <w:r>
              <w:rPr>
                <w:color w:val="auto"/>
                <w:sz w:val="22"/>
                <w:szCs w:val="22"/>
                <w:lang w:val="hu-HU"/>
              </w:rPr>
              <w:t xml:space="preserve">) </w:t>
            </w: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hypotonia</w:t>
            </w:r>
            <w:proofErr w:type="spellEnd"/>
            <w:r>
              <w:rPr>
                <w:color w:val="auto"/>
                <w:sz w:val="22"/>
                <w:szCs w:val="22"/>
                <w:lang w:val="hu-HU"/>
              </w:rPr>
              <w:t xml:space="preserve"> (beleértve a </w:t>
            </w:r>
            <w:r>
              <w:rPr>
                <w:sz w:val="22"/>
                <w:szCs w:val="22"/>
                <w:lang w:val="hu-HU"/>
              </w:rPr>
              <w:t xml:space="preserve">dózisfüggő </w:t>
            </w:r>
            <w:proofErr w:type="spellStart"/>
            <w:r>
              <w:rPr>
                <w:sz w:val="22"/>
                <w:szCs w:val="22"/>
                <w:lang w:val="hu-HU"/>
              </w:rPr>
              <w:t>orthostaticus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hatásokat)</w:t>
            </w:r>
            <w:r>
              <w:rPr>
                <w:sz w:val="22"/>
                <w:szCs w:val="22"/>
                <w:vertAlign w:val="superscript"/>
                <w:lang w:val="hu-HU"/>
              </w:rPr>
              <w:t xml:space="preserve"> ║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 xml:space="preserve">Légzőrendszeri, mellkasi és </w:t>
            </w:r>
            <w:proofErr w:type="spellStart"/>
            <w:r>
              <w:rPr>
                <w:b/>
                <w:iCs/>
                <w:sz w:val="22"/>
                <w:szCs w:val="22"/>
                <w:lang w:val="hu-HU"/>
              </w:rPr>
              <w:t>mediastinalis</w:t>
            </w:r>
            <w:proofErr w:type="spellEnd"/>
            <w:r>
              <w:rPr>
                <w:b/>
                <w:iCs/>
                <w:sz w:val="22"/>
                <w:szCs w:val="22"/>
                <w:lang w:val="hu-HU"/>
              </w:rPr>
              <w:t xml:space="preserve">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dyspnoe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Emésztőrendszeri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hasi fájdalom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székrekedés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hasmenés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hányinger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intestinalis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hu-HU"/>
              </w:rPr>
              <w:t>angiooedema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Máj</w:t>
            </w:r>
            <w:r>
              <w:rPr>
                <w:b/>
                <w:iCs/>
                <w:sz w:val="22"/>
                <w:szCs w:val="22"/>
                <w:lang w:val="hu-HU"/>
              </w:rPr>
              <w:noBreakHyphen/>
              <w:t xml:space="preserve"> és epebetegségek, illetve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 w:eastAsia="fi-FI"/>
              </w:rPr>
              <w:t>pancreatitis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hepatitis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iCs/>
                <w:sz w:val="22"/>
                <w:szCs w:val="22"/>
                <w:lang w:val="hu-HU"/>
              </w:rPr>
              <w:t>májfunkciós rendellenességek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urticaria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pruritus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bőrkiütések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fotoszenzitivitás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myalgia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arthralgia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rhabdomyolysis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Vese- és húgyúti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MGGTextLeft"/>
              <w:rPr>
                <w:iCs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vesekárosodás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iCs/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veseelégtelenség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iCs/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erectilis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hu-HU"/>
              </w:rPr>
              <w:t>dysfunctio</w:t>
            </w:r>
            <w:proofErr w:type="spellEnd"/>
            <w:r>
              <w:rPr>
                <w:sz w:val="22"/>
                <w:szCs w:val="22"/>
                <w:lang w:val="hu-HU"/>
              </w:rPr>
              <w:t>/impotencia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lastRenderedPageBreak/>
              <w:t>Általános tünetek, az alkalmazás helyén fellépő reakciók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gyengeség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fáradtság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oedema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rossz közérzet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Laboratóriumi és egyéb vizsgálatok eredményei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hyperkalaemia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  <w:proofErr w:type="gramStart"/>
            <w:r>
              <w:rPr>
                <w:sz w:val="22"/>
                <w:szCs w:val="22"/>
                <w:vertAlign w:val="superscript"/>
                <w:lang w:val="hu-HU"/>
              </w:rPr>
              <w:t>†</w:t>
            </w:r>
            <w:proofErr w:type="gramEnd"/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  <w:proofErr w:type="gramStart"/>
            <w:r>
              <w:rPr>
                <w:sz w:val="22"/>
                <w:szCs w:val="22"/>
                <w:vertAlign w:val="superscript"/>
                <w:lang w:val="hu-HU"/>
              </w:rPr>
              <w:t>‡</w:t>
            </w:r>
            <w:proofErr w:type="gramEnd"/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emelkedett </w:t>
            </w:r>
            <w:proofErr w:type="spellStart"/>
            <w:r>
              <w:rPr>
                <w:sz w:val="22"/>
                <w:szCs w:val="22"/>
                <w:lang w:val="hu-HU"/>
              </w:rPr>
              <w:t>glutamát</w:t>
            </w:r>
            <w:proofErr w:type="spellEnd"/>
            <w:r>
              <w:rPr>
                <w:sz w:val="22"/>
                <w:szCs w:val="22"/>
                <w:lang w:val="hu-HU"/>
              </w:rPr>
              <w:t>-</w:t>
            </w:r>
            <w:proofErr w:type="spellStart"/>
            <w:r>
              <w:rPr>
                <w:sz w:val="22"/>
                <w:szCs w:val="22"/>
                <w:lang w:val="hu-HU"/>
              </w:rPr>
              <w:t>piruvát</w:t>
            </w:r>
            <w:proofErr w:type="spellEnd"/>
            <w:r>
              <w:rPr>
                <w:sz w:val="22"/>
                <w:szCs w:val="22"/>
                <w:lang w:val="hu-HU"/>
              </w:rPr>
              <w:t>-</w:t>
            </w:r>
            <w:proofErr w:type="spellStart"/>
            <w:r>
              <w:rPr>
                <w:sz w:val="22"/>
                <w:szCs w:val="22"/>
                <w:lang w:val="hu-HU"/>
              </w:rPr>
              <w:t>transzamináz</w:t>
            </w:r>
            <w:proofErr w:type="spellEnd"/>
            <w:r>
              <w:rPr>
                <w:sz w:val="22"/>
                <w:szCs w:val="22"/>
                <w:lang w:val="hu-HU"/>
              </w:rPr>
              <w:t>-szint (GPT, ALAT)</w:t>
            </w:r>
            <w:r>
              <w:rPr>
                <w:sz w:val="22"/>
                <w:szCs w:val="22"/>
                <w:vertAlign w:val="superscript"/>
                <w:lang w:val="hu-HU"/>
              </w:rPr>
              <w:t xml:space="preserve"> §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emelkedett vér karbamid-, szérum kreatinin- és szérumkáliumszint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hyponatraemia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MGGTextLef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hypoglycemia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</w:tbl>
    <w:p w:rsidR="00601E88" w:rsidRDefault="00CD7A0A" w:rsidP="00CD7A0A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*</w:t>
      </w:r>
      <w:r>
        <w:rPr>
          <w:sz w:val="22"/>
          <w:szCs w:val="22"/>
        </w:rPr>
        <w:tab/>
        <w:t xml:space="preserve">beleértve a gége, a </w:t>
      </w:r>
      <w:proofErr w:type="spellStart"/>
      <w:r>
        <w:rPr>
          <w:sz w:val="22"/>
          <w:szCs w:val="22"/>
        </w:rPr>
        <w:t>glottis</w:t>
      </w:r>
      <w:proofErr w:type="spellEnd"/>
      <w:r>
        <w:rPr>
          <w:sz w:val="22"/>
          <w:szCs w:val="22"/>
        </w:rPr>
        <w:t xml:space="preserve">, az arc, ajkak, garat és/vagy nyelv duzzanatát, amely légúti elzáródást okoz; e betegek közül néhányan korábban </w:t>
      </w:r>
      <w:proofErr w:type="spellStart"/>
      <w:r>
        <w:rPr>
          <w:sz w:val="22"/>
          <w:szCs w:val="22"/>
        </w:rPr>
        <w:t>angiooedemát</w:t>
      </w:r>
      <w:proofErr w:type="spellEnd"/>
      <w:r>
        <w:rPr>
          <w:sz w:val="22"/>
          <w:szCs w:val="22"/>
        </w:rPr>
        <w:t xml:space="preserve"> tapasztaltak egyéb gyógyszerek, többek között </w:t>
      </w:r>
      <w:smartTag w:uri="urn:schemas-microsoft-com:office:smarttags" w:element="stockticker">
        <w:r>
          <w:rPr>
            <w:sz w:val="22"/>
            <w:szCs w:val="22"/>
          </w:rPr>
          <w:t>ACE</w:t>
        </w:r>
      </w:smartTag>
      <w:r>
        <w:rPr>
          <w:sz w:val="22"/>
          <w:szCs w:val="22"/>
        </w:rPr>
        <w:noBreakHyphen/>
        <w:t>gátlók szedésekor</w:t>
      </w:r>
    </w:p>
    <w:p w:rsidR="00601E88" w:rsidRDefault="00CD7A0A" w:rsidP="00CD7A0A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>
        <w:rPr>
          <w:sz w:val="22"/>
          <w:szCs w:val="22"/>
          <w:lang w:eastAsia="en-US"/>
        </w:rPr>
        <w:t>**</w:t>
      </w:r>
      <w:r>
        <w:rPr>
          <w:sz w:val="22"/>
          <w:szCs w:val="22"/>
        </w:rPr>
        <w:tab/>
        <w:t xml:space="preserve">beleértve a </w:t>
      </w:r>
      <w:proofErr w:type="spellStart"/>
      <w:r>
        <w:rPr>
          <w:sz w:val="22"/>
          <w:szCs w:val="22"/>
        </w:rPr>
        <w:t>Henoch</w:t>
      </w:r>
      <w:proofErr w:type="spellEnd"/>
      <w:r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Schönlein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purpurát</w:t>
      </w:r>
      <w:proofErr w:type="spellEnd"/>
    </w:p>
    <w:p w:rsidR="00601E88" w:rsidRDefault="00CD7A0A" w:rsidP="00CD7A0A">
      <w:pPr>
        <w:tabs>
          <w:tab w:val="left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  <w:vertAlign w:val="superscript"/>
        </w:rPr>
        <w:t>║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főként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intravascularis</w:t>
      </w:r>
      <w:proofErr w:type="spellEnd"/>
      <w:r>
        <w:rPr>
          <w:color w:val="000000"/>
          <w:sz w:val="22"/>
          <w:szCs w:val="22"/>
        </w:rPr>
        <w:t xml:space="preserve"> volumen</w:t>
      </w:r>
      <w:r>
        <w:rPr>
          <w:color w:val="000000"/>
          <w:sz w:val="22"/>
          <w:szCs w:val="22"/>
        </w:rPr>
        <w:noBreakHyphen/>
        <w:t xml:space="preserve">hiányban, pl.: súlyos szívelégtelenségben szenvedő vagy nagy dózisú </w:t>
      </w:r>
      <w:proofErr w:type="spellStart"/>
      <w:r>
        <w:rPr>
          <w:color w:val="000000"/>
          <w:sz w:val="22"/>
          <w:szCs w:val="22"/>
        </w:rPr>
        <w:t>diuretikummal</w:t>
      </w:r>
      <w:proofErr w:type="spellEnd"/>
      <w:r>
        <w:rPr>
          <w:color w:val="000000"/>
          <w:sz w:val="22"/>
          <w:szCs w:val="22"/>
        </w:rPr>
        <w:t xml:space="preserve"> kezelt betegeknél</w:t>
      </w:r>
      <w:r>
        <w:rPr>
          <w:sz w:val="22"/>
          <w:szCs w:val="22"/>
        </w:rPr>
        <w:t>.</w:t>
      </w:r>
    </w:p>
    <w:p w:rsidR="00601E88" w:rsidRDefault="00CD7A0A" w:rsidP="00CD7A0A">
      <w:pPr>
        <w:tabs>
          <w:tab w:val="left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  <w:vertAlign w:val="superscript"/>
        </w:rPr>
        <w:t>†</w:t>
      </w:r>
      <w:r>
        <w:rPr>
          <w:sz w:val="22"/>
          <w:szCs w:val="22"/>
        </w:rPr>
        <w:tab/>
      </w:r>
      <w:r>
        <w:rPr>
          <w:color w:val="000000"/>
          <w:sz w:val="22"/>
          <w:szCs w:val="22"/>
        </w:rPr>
        <w:t xml:space="preserve">az 50 mg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helyett 150 mg </w:t>
      </w:r>
      <w:proofErr w:type="spellStart"/>
      <w:r>
        <w:rPr>
          <w:color w:val="000000"/>
          <w:sz w:val="22"/>
          <w:szCs w:val="22"/>
        </w:rPr>
        <w:t>lozartánt</w:t>
      </w:r>
      <w:proofErr w:type="spellEnd"/>
      <w:r>
        <w:rPr>
          <w:color w:val="000000"/>
          <w:sz w:val="22"/>
          <w:szCs w:val="22"/>
        </w:rPr>
        <w:t xml:space="preserve"> szedő betegek között gyakori</w:t>
      </w:r>
    </w:p>
    <w:p w:rsidR="00601E88" w:rsidRDefault="00CD7A0A" w:rsidP="00CD7A0A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>
        <w:rPr>
          <w:sz w:val="22"/>
          <w:szCs w:val="22"/>
          <w:vertAlign w:val="superscript"/>
        </w:rPr>
        <w:t>‡</w:t>
      </w:r>
      <w:r>
        <w:rPr>
          <w:sz w:val="22"/>
          <w:szCs w:val="22"/>
          <w:vertAlign w:val="superscript"/>
        </w:rPr>
        <w:tab/>
      </w:r>
      <w:r>
        <w:rPr>
          <w:bCs/>
          <w:iCs/>
          <w:color w:val="000000"/>
          <w:sz w:val="22"/>
          <w:szCs w:val="22"/>
        </w:rPr>
        <w:t xml:space="preserve">a </w:t>
      </w:r>
      <w:proofErr w:type="spellStart"/>
      <w:r>
        <w:rPr>
          <w:bCs/>
          <w:iCs/>
          <w:color w:val="000000"/>
          <w:sz w:val="22"/>
          <w:szCs w:val="22"/>
        </w:rPr>
        <w:t>nephropathiával</w:t>
      </w:r>
      <w:proofErr w:type="spellEnd"/>
      <w:r>
        <w:rPr>
          <w:bCs/>
          <w:iCs/>
          <w:color w:val="000000"/>
          <w:sz w:val="22"/>
          <w:szCs w:val="22"/>
        </w:rPr>
        <w:t xml:space="preserve"> járó 2</w:t>
      </w:r>
      <w:r>
        <w:rPr>
          <w:bCs/>
          <w:iCs/>
          <w:color w:val="000000"/>
          <w:sz w:val="22"/>
          <w:szCs w:val="22"/>
        </w:rPr>
        <w:noBreakHyphen/>
        <w:t xml:space="preserve">es típusú diabetesben szenvedő betegekkel végzett klinikai vizsgálatban </w:t>
      </w:r>
      <w:proofErr w:type="spellStart"/>
      <w:r>
        <w:rPr>
          <w:bCs/>
          <w:iCs/>
          <w:color w:val="000000"/>
          <w:sz w:val="22"/>
          <w:szCs w:val="22"/>
        </w:rPr>
        <w:t>hyperkalaemia</w:t>
      </w:r>
      <w:proofErr w:type="spellEnd"/>
      <w:r>
        <w:rPr>
          <w:bCs/>
          <w:iCs/>
          <w:color w:val="000000"/>
          <w:sz w:val="22"/>
          <w:szCs w:val="22"/>
        </w:rPr>
        <w:t xml:space="preserve"> (&gt;</w:t>
      </w:r>
      <w:r w:rsidR="00F23C75">
        <w:rPr>
          <w:bCs/>
          <w:iCs/>
          <w:color w:val="000000"/>
          <w:sz w:val="22"/>
          <w:szCs w:val="22"/>
        </w:rPr>
        <w:t> </w:t>
      </w:r>
      <w:r>
        <w:rPr>
          <w:bCs/>
          <w:iCs/>
          <w:color w:val="000000"/>
          <w:sz w:val="22"/>
          <w:szCs w:val="22"/>
        </w:rPr>
        <w:t>5,5 </w:t>
      </w:r>
      <w:proofErr w:type="spellStart"/>
      <w:r>
        <w:rPr>
          <w:bCs/>
          <w:iCs/>
          <w:color w:val="000000"/>
          <w:sz w:val="22"/>
          <w:szCs w:val="22"/>
        </w:rPr>
        <w:t>mmol</w:t>
      </w:r>
      <w:proofErr w:type="spellEnd"/>
      <w:r>
        <w:rPr>
          <w:bCs/>
          <w:iCs/>
          <w:color w:val="000000"/>
          <w:sz w:val="22"/>
          <w:szCs w:val="22"/>
        </w:rPr>
        <w:t xml:space="preserve">/l) alakult ki a </w:t>
      </w:r>
      <w:proofErr w:type="spellStart"/>
      <w:r>
        <w:rPr>
          <w:bCs/>
          <w:iCs/>
          <w:color w:val="000000"/>
          <w:sz w:val="22"/>
          <w:szCs w:val="22"/>
        </w:rPr>
        <w:t>lozartán</w:t>
      </w:r>
      <w:proofErr w:type="spellEnd"/>
      <w:r>
        <w:rPr>
          <w:bCs/>
          <w:iCs/>
          <w:color w:val="000000"/>
          <w:sz w:val="22"/>
          <w:szCs w:val="22"/>
        </w:rPr>
        <w:t xml:space="preserve"> tablettákkal kezelt betegek 9,9%</w:t>
      </w:r>
      <w:r>
        <w:rPr>
          <w:bCs/>
          <w:iCs/>
          <w:color w:val="000000"/>
          <w:sz w:val="22"/>
          <w:szCs w:val="22"/>
        </w:rPr>
        <w:noBreakHyphen/>
      </w:r>
      <w:proofErr w:type="spellStart"/>
      <w:r>
        <w:rPr>
          <w:bCs/>
          <w:iCs/>
          <w:color w:val="000000"/>
          <w:sz w:val="22"/>
          <w:szCs w:val="22"/>
        </w:rPr>
        <w:t>ánál</w:t>
      </w:r>
      <w:proofErr w:type="spellEnd"/>
      <w:r>
        <w:rPr>
          <w:bCs/>
          <w:iCs/>
          <w:color w:val="000000"/>
          <w:sz w:val="22"/>
          <w:szCs w:val="22"/>
        </w:rPr>
        <w:t xml:space="preserve"> és a </w:t>
      </w:r>
      <w:proofErr w:type="spellStart"/>
      <w:r>
        <w:rPr>
          <w:bCs/>
          <w:iCs/>
          <w:color w:val="000000"/>
          <w:sz w:val="22"/>
          <w:szCs w:val="22"/>
        </w:rPr>
        <w:t>placebóval</w:t>
      </w:r>
      <w:proofErr w:type="spellEnd"/>
      <w:r>
        <w:rPr>
          <w:bCs/>
          <w:iCs/>
          <w:color w:val="000000"/>
          <w:sz w:val="22"/>
          <w:szCs w:val="22"/>
        </w:rPr>
        <w:t xml:space="preserve"> kezelt betegek 3,4%</w:t>
      </w:r>
      <w:r>
        <w:rPr>
          <w:bCs/>
          <w:iCs/>
          <w:color w:val="000000"/>
          <w:sz w:val="22"/>
          <w:szCs w:val="22"/>
        </w:rPr>
        <w:noBreakHyphen/>
      </w:r>
      <w:proofErr w:type="spellStart"/>
      <w:r>
        <w:rPr>
          <w:bCs/>
          <w:iCs/>
          <w:color w:val="000000"/>
          <w:sz w:val="22"/>
          <w:szCs w:val="22"/>
        </w:rPr>
        <w:t>ánál</w:t>
      </w:r>
      <w:proofErr w:type="spellEnd"/>
    </w:p>
    <w:p w:rsidR="00601E88" w:rsidRDefault="00CD7A0A" w:rsidP="00CD7A0A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>
        <w:rPr>
          <w:sz w:val="22"/>
          <w:szCs w:val="22"/>
          <w:vertAlign w:val="superscript"/>
        </w:rPr>
        <w:t>§</w:t>
      </w:r>
      <w:r>
        <w:rPr>
          <w:sz w:val="22"/>
          <w:szCs w:val="22"/>
        </w:rPr>
        <w:tab/>
      </w:r>
      <w:r>
        <w:rPr>
          <w:color w:val="000000"/>
          <w:sz w:val="22"/>
          <w:szCs w:val="22"/>
        </w:rPr>
        <w:t>a kezelés abbahagyása után általában helyreállt</w:t>
      </w:r>
    </w:p>
    <w:p w:rsidR="00601E88" w:rsidRDefault="00601E88">
      <w:pPr>
        <w:rPr>
          <w:color w:val="000000"/>
          <w:sz w:val="22"/>
          <w:szCs w:val="22"/>
        </w:rPr>
      </w:pPr>
    </w:p>
    <w:p w:rsidR="00601E88" w:rsidRDefault="00CD7A0A">
      <w:pPr>
        <w:pStyle w:val="MGGTextLeft"/>
        <w:rPr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 xml:space="preserve">Az alábbi mellékhatások a </w:t>
      </w:r>
      <w:proofErr w:type="spellStart"/>
      <w:r>
        <w:rPr>
          <w:color w:val="000000"/>
          <w:sz w:val="22"/>
          <w:szCs w:val="22"/>
          <w:lang w:val="hu-HU"/>
        </w:rPr>
        <w:t>lozartánt</w:t>
      </w:r>
      <w:proofErr w:type="spellEnd"/>
      <w:r>
        <w:rPr>
          <w:color w:val="000000"/>
          <w:sz w:val="22"/>
          <w:szCs w:val="22"/>
          <w:lang w:val="hu-HU"/>
        </w:rPr>
        <w:t xml:space="preserve"> szedő betegek körében gyakrabban fordultak elő, mint a </w:t>
      </w:r>
      <w:proofErr w:type="spellStart"/>
      <w:r>
        <w:rPr>
          <w:color w:val="000000"/>
          <w:sz w:val="22"/>
          <w:szCs w:val="22"/>
          <w:lang w:val="hu-HU"/>
        </w:rPr>
        <w:t>placebót</w:t>
      </w:r>
      <w:proofErr w:type="spellEnd"/>
      <w:r>
        <w:rPr>
          <w:color w:val="000000"/>
          <w:sz w:val="22"/>
          <w:szCs w:val="22"/>
          <w:lang w:val="hu-HU"/>
        </w:rPr>
        <w:t xml:space="preserve"> szedők körében (gyakorisága nem ismert): </w:t>
      </w:r>
      <w:r>
        <w:rPr>
          <w:sz w:val="22"/>
          <w:szCs w:val="22"/>
          <w:lang w:val="hu-HU"/>
        </w:rPr>
        <w:t>hátfájás, húgyúti infekciók, influenzaszerű tünetek.</w:t>
      </w:r>
    </w:p>
    <w:p w:rsidR="00601E88" w:rsidRDefault="00601E88">
      <w:pPr>
        <w:pStyle w:val="MGGTextLeft"/>
        <w:rPr>
          <w:color w:val="000000"/>
          <w:sz w:val="22"/>
          <w:szCs w:val="22"/>
          <w:lang w:val="hu-HU"/>
        </w:rPr>
      </w:pPr>
    </w:p>
    <w:p w:rsidR="00601E88" w:rsidRDefault="00CD7A0A">
      <w:pPr>
        <w:pStyle w:val="MGGTextLeft"/>
        <w:keepNext/>
        <w:rPr>
          <w:color w:val="000000"/>
          <w:sz w:val="22"/>
          <w:szCs w:val="22"/>
          <w:lang w:val="hu-HU"/>
        </w:rPr>
      </w:pPr>
      <w:r>
        <w:rPr>
          <w:i/>
          <w:color w:val="000000"/>
          <w:sz w:val="22"/>
          <w:szCs w:val="22"/>
          <w:lang w:val="hu-HU"/>
        </w:rPr>
        <w:t>Vese- és húgyúti betegségek és tünetek</w:t>
      </w:r>
      <w:r>
        <w:rPr>
          <w:color w:val="000000"/>
          <w:sz w:val="22"/>
          <w:szCs w:val="22"/>
          <w:lang w:val="hu-HU"/>
        </w:rPr>
        <w:t>:</w:t>
      </w:r>
    </w:p>
    <w:p w:rsidR="00601E88" w:rsidRDefault="00CD7A0A">
      <w:pPr>
        <w:pStyle w:val="MGGTextLeft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 xml:space="preserve">A </w:t>
      </w:r>
      <w:proofErr w:type="spellStart"/>
      <w:r>
        <w:rPr>
          <w:color w:val="000000"/>
          <w:sz w:val="22"/>
          <w:szCs w:val="22"/>
          <w:lang w:val="hu-HU"/>
        </w:rPr>
        <w:t>renin</w:t>
      </w:r>
      <w:r>
        <w:rPr>
          <w:color w:val="000000"/>
          <w:sz w:val="22"/>
          <w:szCs w:val="22"/>
          <w:lang w:val="hu-HU"/>
        </w:rPr>
        <w:noBreakHyphen/>
        <w:t>angiotenzin</w:t>
      </w:r>
      <w:r>
        <w:rPr>
          <w:color w:val="000000"/>
          <w:sz w:val="22"/>
          <w:szCs w:val="22"/>
          <w:lang w:val="hu-HU"/>
        </w:rPr>
        <w:noBreakHyphen/>
        <w:t>aldoszteron</w:t>
      </w:r>
      <w:proofErr w:type="spellEnd"/>
      <w:r>
        <w:rPr>
          <w:color w:val="000000"/>
          <w:sz w:val="22"/>
          <w:szCs w:val="22"/>
          <w:lang w:val="hu-HU"/>
        </w:rPr>
        <w:t xml:space="preserve"> rendszer gátlása következtében kialakult vesefunkciós változásokról – a veseelégtelenséget is beleértve – számoltak be kockázatnak kitett betegek esetében. Ezek a vesefunkciós változások a kezelés abbahagyásával reverzibilisek lehetnek (lásd 4.4 pont).</w:t>
      </w:r>
    </w:p>
    <w:p w:rsidR="00601E88" w:rsidRDefault="00601E88">
      <w:pPr>
        <w:pStyle w:val="MGGTextLeft"/>
        <w:rPr>
          <w:color w:val="000000"/>
          <w:sz w:val="22"/>
          <w:szCs w:val="22"/>
          <w:lang w:val="hu-HU"/>
        </w:rPr>
      </w:pPr>
    </w:p>
    <w:p w:rsidR="00601E88" w:rsidRDefault="00CD7A0A">
      <w:pPr>
        <w:pStyle w:val="MGGTextLeft"/>
        <w:rPr>
          <w:color w:val="000000"/>
          <w:sz w:val="22"/>
          <w:szCs w:val="22"/>
          <w:u w:val="single"/>
          <w:lang w:val="hu-HU"/>
        </w:rPr>
      </w:pPr>
      <w:r>
        <w:rPr>
          <w:color w:val="000000"/>
          <w:sz w:val="22"/>
          <w:szCs w:val="22"/>
          <w:u w:val="single"/>
          <w:lang w:val="hu-HU"/>
        </w:rPr>
        <w:t>Gyermekek és serdülők:</w:t>
      </w:r>
    </w:p>
    <w:p w:rsidR="00601E88" w:rsidRDefault="00CD7A0A">
      <w:pPr>
        <w:pStyle w:val="MGGTextLeft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Gyermekek és serdülők esetén a mellékhatás-profil feltételezhetően hasonló a felnőtt betegek körében megfigyelthez. Gyermekeknél és serdülőknél korlátozottan állnak rendelkezésre adatok.</w:t>
      </w:r>
    </w:p>
    <w:p w:rsidR="00601E88" w:rsidRDefault="00601E88">
      <w:pPr>
        <w:rPr>
          <w:sz w:val="22"/>
          <w:szCs w:val="22"/>
          <w:lang w:eastAsia="en-US"/>
        </w:rPr>
      </w:pPr>
    </w:p>
    <w:p w:rsidR="00601E88" w:rsidRDefault="00CD7A0A">
      <w:pPr>
        <w:rPr>
          <w:sz w:val="22"/>
          <w:u w:val="single"/>
        </w:rPr>
      </w:pPr>
      <w:r>
        <w:rPr>
          <w:sz w:val="22"/>
          <w:u w:val="single"/>
        </w:rPr>
        <w:t>Feltételezett mellékhatások bejelentése</w:t>
      </w:r>
    </w:p>
    <w:p w:rsidR="00601E88" w:rsidRDefault="00CD7A0A">
      <w:pPr>
        <w:rPr>
          <w:sz w:val="22"/>
        </w:rPr>
      </w:pPr>
      <w:r>
        <w:rPr>
          <w:sz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:rsidR="00601E88" w:rsidRDefault="00CD7A0A">
      <w:pPr>
        <w:rPr>
          <w:sz w:val="22"/>
        </w:rPr>
      </w:pPr>
      <w:r>
        <w:rPr>
          <w:sz w:val="22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sz w:val="22"/>
            <w:highlight w:val="lightGray"/>
          </w:rPr>
          <w:t>V. függelékben</w:t>
        </w:r>
      </w:hyperlink>
      <w:r>
        <w:rPr>
          <w:sz w:val="22"/>
          <w:highlight w:val="lightGray"/>
        </w:rPr>
        <w:t xml:space="preserve"> található elérhetőségek valamelyikén keresztül</w:t>
      </w:r>
      <w:r>
        <w:rPr>
          <w:sz w:val="22"/>
        </w:rPr>
        <w:t>.</w:t>
      </w:r>
    </w:p>
    <w:p w:rsidR="00601E88" w:rsidRDefault="00601E88">
      <w:pPr>
        <w:rPr>
          <w:sz w:val="22"/>
          <w:szCs w:val="22"/>
          <w:lang w:eastAsia="en-US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b/>
          <w:sz w:val="22"/>
          <w:szCs w:val="22"/>
        </w:rPr>
        <w:t>4.9</w:t>
      </w:r>
      <w:r>
        <w:rPr>
          <w:b/>
          <w:sz w:val="22"/>
          <w:szCs w:val="22"/>
        </w:rPr>
        <w:tab/>
        <w:t>Túladagolás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i/>
          <w:color w:val="000000"/>
          <w:sz w:val="22"/>
          <w:szCs w:val="22"/>
        </w:rPr>
        <w:t>Az intoxikáció tünetei</w:t>
      </w:r>
    </w:p>
    <w:p w:rsidR="00601E88" w:rsidRDefault="00CD7A0A">
      <w:pPr>
        <w:autoSpaceDE w:val="0"/>
        <w:autoSpaceDN w:val="0"/>
        <w:adjustRightInd w:val="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Korlátozott adat áll rendelkezésre az embernél történő túladagolással kapcsolatban. A túladagolás legvalószínűbb következményei a következők lehetnek: hypotonia és tachycardia. Bradycardia előfordulhat a paraszimpatikus (vagus) ingerlés következtében.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 w:rsidP="009A4DF2">
      <w:pPr>
        <w:keepNext/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lastRenderedPageBreak/>
        <w:t>Az intoxikáció kezelése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color w:val="000000"/>
          <w:sz w:val="22"/>
          <w:szCs w:val="22"/>
        </w:rPr>
        <w:t xml:space="preserve">Amennyiben tüneti </w:t>
      </w:r>
      <w:proofErr w:type="spellStart"/>
      <w:r>
        <w:rPr>
          <w:color w:val="000000"/>
          <w:sz w:val="22"/>
          <w:szCs w:val="22"/>
        </w:rPr>
        <w:t>hypotonia</w:t>
      </w:r>
      <w:proofErr w:type="spellEnd"/>
      <w:r>
        <w:rPr>
          <w:color w:val="000000"/>
          <w:sz w:val="22"/>
          <w:szCs w:val="22"/>
        </w:rPr>
        <w:t xml:space="preserve"> lépne fel, </w:t>
      </w:r>
      <w:r>
        <w:t>szupportív</w:t>
      </w:r>
      <w:r>
        <w:rPr>
          <w:color w:val="000000"/>
          <w:sz w:val="22"/>
          <w:szCs w:val="22"/>
        </w:rPr>
        <w:t xml:space="preserve"> kezelést kell elkezdeni. </w:t>
      </w:r>
      <w:r>
        <w:rPr>
          <w:sz w:val="22"/>
          <w:szCs w:val="22"/>
          <w:lang w:eastAsia="en-US"/>
        </w:rPr>
        <w:t xml:space="preserve">A beavatkozás a gyógyszer bevételének idejétől és a tünetek jellegétől, valamint súlyossági fokától függ. A keringési rendszer stabilizálására kell helyezni a fő hangsúlyt. Szájon át történő bevételt követően megfelelő dózisú aktív orvosi szén alkalmazása indokolt. Ezt követően az életjeleket szorosan </w:t>
      </w:r>
      <w:proofErr w:type="spellStart"/>
      <w:r>
        <w:rPr>
          <w:sz w:val="22"/>
          <w:szCs w:val="22"/>
          <w:lang w:eastAsia="en-US"/>
        </w:rPr>
        <w:t>monitorozni</w:t>
      </w:r>
      <w:proofErr w:type="spellEnd"/>
      <w:r>
        <w:rPr>
          <w:sz w:val="22"/>
          <w:szCs w:val="22"/>
          <w:lang w:eastAsia="en-US"/>
        </w:rPr>
        <w:t xml:space="preserve"> kell. Szükség esetén ezeket korrigálni kell.</w:t>
      </w: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Sem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sem annak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nem távolítható el </w:t>
      </w:r>
      <w:proofErr w:type="spellStart"/>
      <w:r>
        <w:rPr>
          <w:sz w:val="22"/>
          <w:szCs w:val="22"/>
          <w:lang w:eastAsia="en-US"/>
        </w:rPr>
        <w:t>hemodialízissel</w:t>
      </w:r>
      <w:proofErr w:type="spellEnd"/>
      <w:r>
        <w:rPr>
          <w:sz w:val="22"/>
          <w:szCs w:val="22"/>
          <w:lang w:eastAsia="en-US"/>
        </w:rPr>
        <w:t>.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5.</w:t>
      </w:r>
      <w:r>
        <w:rPr>
          <w:b/>
          <w:sz w:val="22"/>
          <w:szCs w:val="22"/>
        </w:rPr>
        <w:tab/>
        <w:t>FARMAKOLÓGIAI TULAJDONSÁGOK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5.1</w:t>
      </w:r>
      <w:r>
        <w:rPr>
          <w:b/>
          <w:sz w:val="22"/>
          <w:szCs w:val="22"/>
        </w:rPr>
        <w:tab/>
      </w:r>
      <w:proofErr w:type="spellStart"/>
      <w:r>
        <w:rPr>
          <w:b/>
          <w:sz w:val="22"/>
          <w:szCs w:val="22"/>
        </w:rPr>
        <w:t>Farmakodinámiás</w:t>
      </w:r>
      <w:proofErr w:type="spellEnd"/>
      <w:r>
        <w:rPr>
          <w:b/>
          <w:sz w:val="22"/>
          <w:szCs w:val="22"/>
        </w:rPr>
        <w:t xml:space="preserve"> tulajdonságok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Farmakoterápiás</w:t>
      </w:r>
      <w:proofErr w:type="spellEnd"/>
      <w:r>
        <w:rPr>
          <w:sz w:val="22"/>
          <w:szCs w:val="22"/>
        </w:rPr>
        <w:t xml:space="preserve"> csoport: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>-receptor-</w:t>
      </w:r>
      <w:proofErr w:type="spellStart"/>
      <w:r>
        <w:rPr>
          <w:sz w:val="22"/>
          <w:szCs w:val="22"/>
        </w:rPr>
        <w:t>antagonisták</w:t>
      </w:r>
      <w:proofErr w:type="spellEnd"/>
      <w:r>
        <w:rPr>
          <w:sz w:val="22"/>
          <w:szCs w:val="22"/>
        </w:rPr>
        <w:t>, önmagukban; ATC-kód: C09CA01</w:t>
      </w:r>
    </w:p>
    <w:p w:rsidR="00601E88" w:rsidRDefault="00601E88">
      <w:pPr>
        <w:rPr>
          <w:i/>
          <w:noProof/>
          <w:color w:val="008000"/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egy szintetikus,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alkalmazható,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-receptor- (AT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t xml:space="preserve">-típusú) </w:t>
      </w:r>
      <w:proofErr w:type="spellStart"/>
      <w:r>
        <w:rPr>
          <w:sz w:val="22"/>
          <w:szCs w:val="22"/>
          <w:lang w:eastAsia="en-US"/>
        </w:rPr>
        <w:t>antagonista</w:t>
      </w:r>
      <w:proofErr w:type="spellEnd"/>
      <w:r>
        <w:rPr>
          <w:sz w:val="22"/>
          <w:szCs w:val="22"/>
          <w:lang w:eastAsia="en-US"/>
        </w:rPr>
        <w:t xml:space="preserve">.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egy potens </w:t>
      </w:r>
      <w:proofErr w:type="spellStart"/>
      <w:r>
        <w:rPr>
          <w:sz w:val="22"/>
          <w:szCs w:val="22"/>
          <w:lang w:eastAsia="en-US"/>
        </w:rPr>
        <w:t>vazokonstriktor</w:t>
      </w:r>
      <w:proofErr w:type="spellEnd"/>
      <w:r>
        <w:rPr>
          <w:sz w:val="22"/>
          <w:szCs w:val="22"/>
          <w:lang w:eastAsia="en-US"/>
        </w:rPr>
        <w:t xml:space="preserve">, az elsődleges aktív hormon a </w:t>
      </w:r>
      <w:proofErr w:type="spellStart"/>
      <w:r>
        <w:rPr>
          <w:sz w:val="22"/>
          <w:szCs w:val="22"/>
          <w:lang w:eastAsia="en-US"/>
        </w:rPr>
        <w:t>renin-angiotenzin</w:t>
      </w:r>
      <w:proofErr w:type="spellEnd"/>
      <w:r>
        <w:rPr>
          <w:sz w:val="22"/>
          <w:szCs w:val="22"/>
          <w:lang w:eastAsia="en-US"/>
        </w:rPr>
        <w:t xml:space="preserve"> rendszerben és fontos meghatározója a </w:t>
      </w:r>
      <w:proofErr w:type="spellStart"/>
      <w:r>
        <w:rPr>
          <w:sz w:val="22"/>
          <w:szCs w:val="22"/>
          <w:lang w:eastAsia="en-US"/>
        </w:rPr>
        <w:t>hypertonia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patofiziológiájának</w:t>
      </w:r>
      <w:proofErr w:type="spellEnd"/>
      <w:r>
        <w:rPr>
          <w:sz w:val="22"/>
          <w:szCs w:val="22"/>
          <w:lang w:eastAsia="en-US"/>
        </w:rPr>
        <w:t xml:space="preserve">.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az 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noBreakHyphen/>
        <w:t xml:space="preserve">receptorhoz kötődik, ami számos szövetben megtalálható (pl. az ér simaizomzatában, a mellékvesékben, a vesékben és a szívben), és számos fontos biológiai hatást vált ki, így érszűkületet és </w:t>
      </w:r>
      <w:proofErr w:type="spellStart"/>
      <w:r>
        <w:rPr>
          <w:sz w:val="22"/>
          <w:szCs w:val="22"/>
          <w:lang w:eastAsia="en-US"/>
        </w:rPr>
        <w:t>aldoszteron</w:t>
      </w:r>
      <w:proofErr w:type="spellEnd"/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 xml:space="preserve">felszabadulást.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a simaizmok </w:t>
      </w:r>
      <w:proofErr w:type="spellStart"/>
      <w:r>
        <w:rPr>
          <w:sz w:val="22"/>
          <w:szCs w:val="22"/>
          <w:lang w:eastAsia="en-US"/>
        </w:rPr>
        <w:t>proliferációját</w:t>
      </w:r>
      <w:proofErr w:type="spellEnd"/>
      <w:r>
        <w:rPr>
          <w:sz w:val="22"/>
          <w:szCs w:val="22"/>
          <w:lang w:eastAsia="en-US"/>
        </w:rPr>
        <w:t xml:space="preserve"> is stimulálja.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szelektíven gátolja az 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t xml:space="preserve">-receptort. </w:t>
      </w:r>
      <w:r>
        <w:rPr>
          <w:i/>
          <w:iCs/>
          <w:sz w:val="22"/>
          <w:szCs w:val="22"/>
          <w:lang w:eastAsia="en-US"/>
        </w:rPr>
        <w:t xml:space="preserve">In vitro </w:t>
      </w:r>
      <w:r>
        <w:rPr>
          <w:sz w:val="22"/>
          <w:szCs w:val="22"/>
          <w:lang w:eastAsia="en-US"/>
        </w:rPr>
        <w:t xml:space="preserve">és </w:t>
      </w:r>
      <w:r>
        <w:rPr>
          <w:i/>
          <w:iCs/>
          <w:sz w:val="22"/>
          <w:szCs w:val="22"/>
          <w:lang w:eastAsia="en-US"/>
        </w:rPr>
        <w:t xml:space="preserve">in vivo </w:t>
      </w:r>
      <w:r>
        <w:rPr>
          <w:sz w:val="22"/>
          <w:szCs w:val="22"/>
          <w:lang w:eastAsia="en-US"/>
        </w:rPr>
        <w:t xml:space="preserve">mind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mind </w:t>
      </w:r>
      <w:proofErr w:type="spellStart"/>
      <w:r>
        <w:rPr>
          <w:sz w:val="22"/>
          <w:szCs w:val="22"/>
          <w:lang w:eastAsia="en-US"/>
        </w:rPr>
        <w:t>farmakológiailag</w:t>
      </w:r>
      <w:proofErr w:type="spellEnd"/>
      <w:r>
        <w:rPr>
          <w:sz w:val="22"/>
          <w:szCs w:val="22"/>
          <w:lang w:eastAsia="en-US"/>
        </w:rPr>
        <w:t xml:space="preserve"> aktív </w:t>
      </w:r>
      <w:proofErr w:type="spellStart"/>
      <w:r>
        <w:rPr>
          <w:sz w:val="22"/>
          <w:szCs w:val="22"/>
          <w:lang w:eastAsia="en-US"/>
        </w:rPr>
        <w:t>karboxilsav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(E-3174) gátolja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összes </w:t>
      </w:r>
      <w:proofErr w:type="spellStart"/>
      <w:r>
        <w:rPr>
          <w:sz w:val="22"/>
          <w:szCs w:val="22"/>
          <w:lang w:eastAsia="en-US"/>
        </w:rPr>
        <w:t>élettanilag</w:t>
      </w:r>
      <w:proofErr w:type="spellEnd"/>
      <w:r>
        <w:rPr>
          <w:sz w:val="22"/>
          <w:szCs w:val="22"/>
          <w:lang w:eastAsia="en-US"/>
        </w:rPr>
        <w:t xml:space="preserve"> releváns működését, a forrásától vagy a szintézisének útjától függetlenül.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</w:t>
      </w:r>
      <w:proofErr w:type="spellStart"/>
      <w:r>
        <w:rPr>
          <w:sz w:val="22"/>
          <w:szCs w:val="22"/>
          <w:lang w:eastAsia="en-US"/>
        </w:rPr>
        <w:t>agonistája</w:t>
      </w:r>
      <w:proofErr w:type="spellEnd"/>
      <w:r>
        <w:rPr>
          <w:sz w:val="22"/>
          <w:szCs w:val="22"/>
          <w:lang w:eastAsia="en-US"/>
        </w:rPr>
        <w:t xml:space="preserve"> vagy gátlója más olyan hormonreceptoroknak, illetve ioncsatornáknak, amelyek a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szabályozás szempontjából fontosak. Ezen kívül,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gátolja az ACE-t (</w:t>
      </w:r>
      <w:proofErr w:type="spellStart"/>
      <w:r>
        <w:rPr>
          <w:sz w:val="22"/>
          <w:szCs w:val="22"/>
          <w:lang w:eastAsia="en-US"/>
        </w:rPr>
        <w:t>kinináz</w:t>
      </w:r>
      <w:proofErr w:type="spellEnd"/>
      <w:r>
        <w:rPr>
          <w:sz w:val="22"/>
          <w:szCs w:val="22"/>
          <w:lang w:eastAsia="en-US"/>
        </w:rPr>
        <w:t xml:space="preserve">-II), a </w:t>
      </w:r>
      <w:proofErr w:type="spellStart"/>
      <w:r>
        <w:rPr>
          <w:sz w:val="22"/>
          <w:szCs w:val="22"/>
          <w:lang w:eastAsia="en-US"/>
        </w:rPr>
        <w:t>bradikinint</w:t>
      </w:r>
      <w:proofErr w:type="spellEnd"/>
      <w:r>
        <w:rPr>
          <w:sz w:val="22"/>
          <w:szCs w:val="22"/>
          <w:lang w:eastAsia="en-US"/>
        </w:rPr>
        <w:t xml:space="preserve"> lebontó enzimet. Ennek következtében a </w:t>
      </w:r>
      <w:proofErr w:type="spellStart"/>
      <w:r>
        <w:rPr>
          <w:sz w:val="22"/>
          <w:szCs w:val="22"/>
          <w:lang w:eastAsia="en-US"/>
        </w:rPr>
        <w:t>bradikinin</w:t>
      </w:r>
      <w:proofErr w:type="spellEnd"/>
      <w:r>
        <w:rPr>
          <w:sz w:val="22"/>
          <w:szCs w:val="22"/>
          <w:lang w:eastAsia="en-US"/>
        </w:rPr>
        <w:t xml:space="preserve"> által </w:t>
      </w:r>
      <w:proofErr w:type="spellStart"/>
      <w:r>
        <w:rPr>
          <w:sz w:val="22"/>
          <w:szCs w:val="22"/>
          <w:lang w:eastAsia="en-US"/>
        </w:rPr>
        <w:t>mediált</w:t>
      </w:r>
      <w:proofErr w:type="spellEnd"/>
      <w:r>
        <w:rPr>
          <w:sz w:val="22"/>
          <w:szCs w:val="22"/>
          <w:lang w:eastAsia="en-US"/>
        </w:rPr>
        <w:t xml:space="preserve"> nemkívánatos hatások </w:t>
      </w:r>
      <w:proofErr w:type="spellStart"/>
      <w:r>
        <w:rPr>
          <w:sz w:val="22"/>
          <w:szCs w:val="22"/>
          <w:lang w:eastAsia="en-US"/>
        </w:rPr>
        <w:t>potencírozása</w:t>
      </w:r>
      <w:proofErr w:type="spellEnd"/>
      <w:r>
        <w:rPr>
          <w:sz w:val="22"/>
          <w:szCs w:val="22"/>
          <w:lang w:eastAsia="en-US"/>
        </w:rPr>
        <w:t xml:space="preserve"> nem következik be.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adagolása során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reninszekrécióra</w:t>
      </w:r>
      <w:proofErr w:type="spellEnd"/>
      <w:r>
        <w:rPr>
          <w:sz w:val="22"/>
          <w:szCs w:val="22"/>
          <w:lang w:eastAsia="en-US"/>
        </w:rPr>
        <w:t xml:space="preserve"> gyakorolt negatív visszacsatolásának hiánya megnövekedett </w:t>
      </w:r>
      <w:proofErr w:type="spellStart"/>
      <w:r>
        <w:rPr>
          <w:sz w:val="22"/>
          <w:szCs w:val="22"/>
          <w:lang w:eastAsia="en-US"/>
        </w:rPr>
        <w:t>plazmarenin</w:t>
      </w:r>
      <w:proofErr w:type="spellEnd"/>
      <w:r>
        <w:rPr>
          <w:sz w:val="22"/>
          <w:szCs w:val="22"/>
          <w:lang w:eastAsia="en-US"/>
        </w:rPr>
        <w:t xml:space="preserve">-aktivitáshoz (PRA) vezet. A PRA növekedése a plazma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emelkedését váltja ki. Az említett emelkedések ellenére a vérnyomáscsökkentő hatás és a plazma </w:t>
      </w:r>
      <w:proofErr w:type="spellStart"/>
      <w:r>
        <w:rPr>
          <w:sz w:val="22"/>
          <w:szCs w:val="22"/>
          <w:lang w:eastAsia="en-US"/>
        </w:rPr>
        <w:t>aldoszteronkoncentrációjának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szuppressziója</w:t>
      </w:r>
      <w:proofErr w:type="spellEnd"/>
      <w:r>
        <w:rPr>
          <w:sz w:val="22"/>
          <w:szCs w:val="22"/>
          <w:lang w:eastAsia="en-US"/>
        </w:rPr>
        <w:t xml:space="preserve"> megmarad, jelezve ezzel a hatásos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-receptor-blokádot.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-terápia befejezése után a PRA és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értékek 3 napon belül az alapértékre estek vissza.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rPr>
          <w:sz w:val="22"/>
          <w:szCs w:val="22"/>
          <w:u w:val="single"/>
        </w:rPr>
      </w:pPr>
      <w:r>
        <w:rPr>
          <w:sz w:val="22"/>
          <w:szCs w:val="22"/>
          <w:lang w:eastAsia="en-US"/>
        </w:rPr>
        <w:t xml:space="preserve">Mind a </w:t>
      </w:r>
      <w:proofErr w:type="spellStart"/>
      <w:r>
        <w:rPr>
          <w:sz w:val="22"/>
          <w:szCs w:val="22"/>
          <w:lang w:eastAsia="en-US"/>
        </w:rPr>
        <w:t>lozartánnak</w:t>
      </w:r>
      <w:proofErr w:type="spellEnd"/>
      <w:r>
        <w:rPr>
          <w:sz w:val="22"/>
          <w:szCs w:val="22"/>
          <w:lang w:eastAsia="en-US"/>
        </w:rPr>
        <w:t xml:space="preserve">, mind pedig fő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sokkal nagyobb affinitása van az 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noBreakHyphen/>
        <w:t>receptorhoz, mint az AT</w:t>
      </w:r>
      <w:r>
        <w:rPr>
          <w:sz w:val="22"/>
          <w:szCs w:val="22"/>
          <w:vertAlign w:val="subscript"/>
          <w:lang w:eastAsia="en-US"/>
        </w:rPr>
        <w:t>2</w:t>
      </w:r>
      <w:r>
        <w:rPr>
          <w:sz w:val="22"/>
          <w:szCs w:val="22"/>
          <w:lang w:eastAsia="en-US"/>
        </w:rPr>
        <w:t xml:space="preserve">-receptorhoz. Az aktív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tömegarányosan 10-40-szer aktívabb a </w:t>
      </w:r>
      <w:proofErr w:type="spellStart"/>
      <w:r>
        <w:rPr>
          <w:sz w:val="22"/>
          <w:szCs w:val="22"/>
          <w:lang w:eastAsia="en-US"/>
        </w:rPr>
        <w:t>lozartánnál</w:t>
      </w:r>
      <w:proofErr w:type="spellEnd"/>
      <w:r>
        <w:rPr>
          <w:sz w:val="22"/>
          <w:szCs w:val="22"/>
          <w:lang w:eastAsia="en-US"/>
        </w:rPr>
        <w:t>.</w:t>
      </w:r>
    </w:p>
    <w:p w:rsidR="00561BFA" w:rsidRDefault="00561BFA" w:rsidP="00561BFA">
      <w:pPr>
        <w:rPr>
          <w:sz w:val="22"/>
          <w:szCs w:val="22"/>
          <w:lang w:eastAsia="en-US"/>
        </w:rPr>
      </w:pPr>
    </w:p>
    <w:p w:rsidR="00561BFA" w:rsidRDefault="00561BFA" w:rsidP="00561BFA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Egy olyan vizsgálatban, amelynek célja kifejezetten a köhögés incidenciájának felmérése volt a lozartánnal kezelt betegeknél az ACE-gátlóval kezelt betegekhez képest, a lozartánt vagy hidroklorotiazidot kapó betegek által jelentett köhögés incidenciája hasonló volt, és ugyanakkor szignifikánsan kisebb volt, mint az ACE-gátlóval kezelt betegeknél. Ezenkívül, 16 kettős vak klinikai vizsgálat 4131 beteggel végzett átfogó elemzése során, a spontán jelentett köhögés incidenciája a lozartánnal kezelt betegeknél hasonló volt (3,1%), mint a placebóval (2,6%) vagy hidroklorotiaziddal (4,1%) kezelt betegeknél, míg az ACE-gátlókkal kezelt betegeknél 8,8% volt.</w:t>
      </w:r>
    </w:p>
    <w:p w:rsidR="00561BFA" w:rsidRDefault="00561BFA" w:rsidP="00561BFA">
      <w:pPr>
        <w:rPr>
          <w:noProof/>
          <w:sz w:val="22"/>
          <w:szCs w:val="22"/>
        </w:rPr>
      </w:pPr>
    </w:p>
    <w:p w:rsidR="00561BFA" w:rsidRDefault="00561BFA" w:rsidP="00561BFA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Proteinuriás, nem diabéteszes, hipertóniás betegeknél, a lozartán-kálium adása jelentősen csökkenti a proteinuriát, az albumin és az IgG frakcionált kiválasztását. A lozartán fenntartja a glomerulusfiltrációs rátát és csökkenti a filtrációs frakciót. Általánosan, a lozartán a szérum húgysavszint csökkenését okozza (általában &lt;0,4 mg/dl), amely tartós kezelésben fennmaradt.</w:t>
      </w:r>
    </w:p>
    <w:p w:rsidR="00561BFA" w:rsidRDefault="00561BFA" w:rsidP="00561BFA">
      <w:pPr>
        <w:rPr>
          <w:noProof/>
          <w:sz w:val="22"/>
          <w:szCs w:val="22"/>
        </w:rPr>
      </w:pPr>
    </w:p>
    <w:p w:rsidR="00561BFA" w:rsidRDefault="00561BFA" w:rsidP="00561BFA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 lozartánnak nincs hatása a vegetatív reflexekre, és nincs tartós hatása a plazma noradrenalinszintjére.</w:t>
      </w:r>
    </w:p>
    <w:p w:rsidR="00561BFA" w:rsidRDefault="00561BFA" w:rsidP="00561BFA">
      <w:pPr>
        <w:rPr>
          <w:noProof/>
          <w:sz w:val="22"/>
          <w:szCs w:val="22"/>
        </w:rPr>
      </w:pPr>
    </w:p>
    <w:p w:rsidR="00561BFA" w:rsidRDefault="00561BFA" w:rsidP="00561BFA">
      <w:pPr>
        <w:rPr>
          <w:sz w:val="22"/>
          <w:szCs w:val="22"/>
          <w:u w:val="single"/>
        </w:rPr>
      </w:pPr>
      <w:r w:rsidRPr="00C360D1">
        <w:rPr>
          <w:noProof/>
          <w:sz w:val="22"/>
          <w:szCs w:val="22"/>
        </w:rPr>
        <w:t>Bal kamrai elégtelens</w:t>
      </w:r>
      <w:r w:rsidR="00C360D1">
        <w:rPr>
          <w:noProof/>
          <w:sz w:val="22"/>
          <w:szCs w:val="22"/>
        </w:rPr>
        <w:t>égben szenvedő betegeknél, a 25 </w:t>
      </w:r>
      <w:r w:rsidRPr="00C360D1">
        <w:rPr>
          <w:noProof/>
          <w:sz w:val="22"/>
          <w:szCs w:val="22"/>
        </w:rPr>
        <w:t>mg és 50</w:t>
      </w:r>
      <w:r w:rsidR="00C360D1">
        <w:rPr>
          <w:noProof/>
          <w:sz w:val="22"/>
          <w:szCs w:val="22"/>
        </w:rPr>
        <w:t> </w:t>
      </w:r>
      <w:r w:rsidRPr="00C360D1">
        <w:rPr>
          <w:noProof/>
          <w:sz w:val="22"/>
          <w:szCs w:val="22"/>
        </w:rPr>
        <w:t xml:space="preserve">mg-os lozartán </w:t>
      </w:r>
      <w:r w:rsidR="00C360D1">
        <w:rPr>
          <w:noProof/>
          <w:sz w:val="22"/>
          <w:szCs w:val="22"/>
        </w:rPr>
        <w:t>dózisok</w:t>
      </w:r>
      <w:r w:rsidRPr="00C360D1">
        <w:rPr>
          <w:noProof/>
          <w:sz w:val="22"/>
          <w:szCs w:val="22"/>
        </w:rPr>
        <w:t xml:space="preserve"> pozitív</w:t>
      </w:r>
      <w:r>
        <w:rPr>
          <w:noProof/>
          <w:sz w:val="22"/>
          <w:szCs w:val="22"/>
        </w:rPr>
        <w:t xml:space="preserve"> haemodinamikai és neurohormonális hatásokat eredményeztek, amelyeket a szívindex emelkedése, a pulmonális kapilláris éknyomás, a szisztémás érellenállás, az átlagos szisztémás artériás nyomás és a </w:t>
      </w:r>
      <w:r w:rsidR="00C360D1">
        <w:rPr>
          <w:noProof/>
          <w:sz w:val="22"/>
          <w:szCs w:val="22"/>
        </w:rPr>
        <w:t>szívfrekvencia</w:t>
      </w:r>
      <w:r>
        <w:rPr>
          <w:noProof/>
          <w:sz w:val="22"/>
          <w:szCs w:val="22"/>
        </w:rPr>
        <w:t xml:space="preserve"> csökkenése, valamint a keringő aldoszteron- és noradrenalinszint csökkenése jellemzett. A hypoten</w:t>
      </w:r>
      <w:r w:rsidR="00C360D1">
        <w:rPr>
          <w:noProof/>
          <w:sz w:val="22"/>
          <w:szCs w:val="22"/>
        </w:rPr>
        <w:t>s</w:t>
      </w:r>
      <w:r>
        <w:rPr>
          <w:noProof/>
          <w:sz w:val="22"/>
          <w:szCs w:val="22"/>
        </w:rPr>
        <w:t>i</w:t>
      </w:r>
      <w:r w:rsidR="00C360D1">
        <w:rPr>
          <w:noProof/>
          <w:sz w:val="22"/>
          <w:szCs w:val="22"/>
        </w:rPr>
        <w:t>o</w:t>
      </w:r>
      <w:r>
        <w:rPr>
          <w:noProof/>
          <w:sz w:val="22"/>
          <w:szCs w:val="22"/>
        </w:rPr>
        <w:t xml:space="preserve"> előfordulása dózisfüggő volt ezeknél a szívelégtelenségben szenvedő betegeknél.</w:t>
      </w:r>
    </w:p>
    <w:p w:rsidR="00561BFA" w:rsidRDefault="00561BF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Hypertonia</w:t>
      </w:r>
      <w:proofErr w:type="spellEnd"/>
      <w:r>
        <w:rPr>
          <w:sz w:val="22"/>
          <w:szCs w:val="22"/>
          <w:u w:val="single"/>
          <w:lang w:eastAsia="en-US"/>
        </w:rPr>
        <w:t xml:space="preserve"> vizsgálatok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Kontrollos klinikai vizsgálatokban a napi egyszeri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-adagolás az enyhe, vagy mérsékelt fokú esszenciális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betegeknél statisztikailag szignifikánsan csökkentette a s</w:t>
      </w:r>
      <w:r w:rsidR="00F23C75">
        <w:rPr>
          <w:sz w:val="22"/>
          <w:szCs w:val="22"/>
          <w:lang w:eastAsia="en-US"/>
        </w:rPr>
        <w:t>zi</w:t>
      </w:r>
      <w:r>
        <w:rPr>
          <w:sz w:val="22"/>
          <w:szCs w:val="22"/>
          <w:lang w:eastAsia="en-US"/>
        </w:rPr>
        <w:t>s</w:t>
      </w:r>
      <w:r w:rsidR="00F23C75">
        <w:rPr>
          <w:sz w:val="22"/>
          <w:szCs w:val="22"/>
          <w:lang w:eastAsia="en-US"/>
        </w:rPr>
        <w:t>z</w:t>
      </w:r>
      <w:r>
        <w:rPr>
          <w:sz w:val="22"/>
          <w:szCs w:val="22"/>
          <w:lang w:eastAsia="en-US"/>
        </w:rPr>
        <w:t>tolés és d</w:t>
      </w:r>
      <w:r w:rsidR="00F23C75">
        <w:rPr>
          <w:sz w:val="22"/>
          <w:szCs w:val="22"/>
          <w:lang w:eastAsia="en-US"/>
        </w:rPr>
        <w:t>i</w:t>
      </w:r>
      <w:r>
        <w:rPr>
          <w:sz w:val="22"/>
          <w:szCs w:val="22"/>
          <w:lang w:eastAsia="en-US"/>
        </w:rPr>
        <w:t>as</w:t>
      </w:r>
      <w:r w:rsidR="00F23C75">
        <w:rPr>
          <w:sz w:val="22"/>
          <w:szCs w:val="22"/>
          <w:lang w:eastAsia="en-US"/>
        </w:rPr>
        <w:t>z</w:t>
      </w:r>
      <w:r>
        <w:rPr>
          <w:sz w:val="22"/>
          <w:szCs w:val="22"/>
          <w:lang w:eastAsia="en-US"/>
        </w:rPr>
        <w:t>tolés vérnyomást. 24 órával az adagolást követően elvégzett vérnyomásmérés az 5</w:t>
      </w:r>
      <w:r>
        <w:rPr>
          <w:sz w:val="22"/>
          <w:szCs w:val="22"/>
          <w:lang w:eastAsia="en-US"/>
        </w:rPr>
        <w:noBreakHyphen/>
        <w:t xml:space="preserve">6 órával az adagolást követően elvégzett vérnyomásméréssel összevetve 24 órán át fennálló vérnyomáscsökkenést mutatott ki. A természetes </w:t>
      </w:r>
      <w:proofErr w:type="spellStart"/>
      <w:r>
        <w:rPr>
          <w:sz w:val="22"/>
          <w:szCs w:val="22"/>
          <w:lang w:eastAsia="en-US"/>
        </w:rPr>
        <w:t>diurnális</w:t>
      </w:r>
      <w:proofErr w:type="spellEnd"/>
      <w:r>
        <w:rPr>
          <w:sz w:val="22"/>
          <w:szCs w:val="22"/>
          <w:lang w:eastAsia="en-US"/>
        </w:rPr>
        <w:t xml:space="preserve"> ritmus megmaradt. Az adagolási intervallum végén mért vérnyomáscsökkenés az adagolást követő 5</w:t>
      </w:r>
      <w:r>
        <w:rPr>
          <w:sz w:val="22"/>
          <w:szCs w:val="22"/>
          <w:lang w:eastAsia="en-US"/>
        </w:rPr>
        <w:noBreakHyphen/>
        <w:t>6. órában mért hatás 70</w:t>
      </w:r>
      <w:r>
        <w:rPr>
          <w:sz w:val="22"/>
          <w:szCs w:val="22"/>
          <w:lang w:eastAsia="en-US"/>
        </w:rPr>
        <w:noBreakHyphen/>
        <w:t>80%-a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adásának felfüggesztése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betegeknél nem eredményezte a vérnyomás hirtelen megemelkedését (</w:t>
      </w:r>
      <w:proofErr w:type="spellStart"/>
      <w:r>
        <w:rPr>
          <w:sz w:val="22"/>
          <w:szCs w:val="22"/>
          <w:lang w:eastAsia="en-US"/>
        </w:rPr>
        <w:t>rebound</w:t>
      </w:r>
      <w:proofErr w:type="spellEnd"/>
      <w:r>
        <w:rPr>
          <w:sz w:val="22"/>
          <w:szCs w:val="22"/>
          <w:lang w:eastAsia="en-US"/>
        </w:rPr>
        <w:t xml:space="preserve">). A vérnyomás jelentős csökkenése ellenére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gyakorolt </w:t>
      </w:r>
      <w:proofErr w:type="spellStart"/>
      <w:r>
        <w:rPr>
          <w:sz w:val="22"/>
          <w:szCs w:val="22"/>
          <w:lang w:eastAsia="en-US"/>
        </w:rPr>
        <w:t>klinikailag</w:t>
      </w:r>
      <w:proofErr w:type="spellEnd"/>
      <w:r>
        <w:rPr>
          <w:sz w:val="22"/>
          <w:szCs w:val="22"/>
          <w:lang w:eastAsia="en-US"/>
        </w:rPr>
        <w:t xml:space="preserve"> szignifikáns hatást a szívfrekvenciára.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egyformán hatásos férfiak és nők, valamint (65 évesnél) fiatalabb és idősebb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 esetében.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LIFE vizsgálat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LIFE (</w:t>
      </w:r>
      <w:r w:rsidRPr="009A4DF2">
        <w:rPr>
          <w:i/>
          <w:sz w:val="22"/>
          <w:szCs w:val="22"/>
          <w:lang w:eastAsia="en-US"/>
        </w:rPr>
        <w:t xml:space="preserve">Losartan </w:t>
      </w:r>
      <w:proofErr w:type="spellStart"/>
      <w:r w:rsidRPr="009A4DF2">
        <w:rPr>
          <w:i/>
          <w:sz w:val="22"/>
          <w:szCs w:val="22"/>
          <w:lang w:eastAsia="en-US"/>
        </w:rPr>
        <w:t>Intervention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For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Endpoint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Reduction</w:t>
      </w:r>
      <w:proofErr w:type="spellEnd"/>
      <w:r w:rsidRPr="009A4DF2">
        <w:rPr>
          <w:i/>
          <w:sz w:val="22"/>
          <w:szCs w:val="22"/>
          <w:lang w:eastAsia="en-US"/>
        </w:rPr>
        <w:t xml:space="preserve"> in </w:t>
      </w:r>
      <w:proofErr w:type="spellStart"/>
      <w:r w:rsidRPr="009A4DF2">
        <w:rPr>
          <w:i/>
          <w:sz w:val="22"/>
          <w:szCs w:val="22"/>
          <w:lang w:eastAsia="en-US"/>
        </w:rPr>
        <w:t>Hypertension</w:t>
      </w:r>
      <w:proofErr w:type="spellEnd"/>
      <w:r>
        <w:rPr>
          <w:sz w:val="22"/>
          <w:szCs w:val="22"/>
          <w:lang w:eastAsia="en-US"/>
        </w:rPr>
        <w:t xml:space="preserve">;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elért végponti </w:t>
      </w:r>
      <w:proofErr w:type="spellStart"/>
      <w:r>
        <w:rPr>
          <w:sz w:val="22"/>
          <w:szCs w:val="22"/>
          <w:lang w:eastAsia="en-US"/>
        </w:rPr>
        <w:t>hypertonia</w:t>
      </w:r>
      <w:proofErr w:type="spellEnd"/>
      <w:r>
        <w:rPr>
          <w:sz w:val="22"/>
          <w:szCs w:val="22"/>
          <w:lang w:eastAsia="en-US"/>
        </w:rPr>
        <w:t xml:space="preserve">-csökkentés) vizsgálat egy </w:t>
      </w:r>
      <w:proofErr w:type="spellStart"/>
      <w:r>
        <w:rPr>
          <w:sz w:val="22"/>
          <w:szCs w:val="22"/>
          <w:lang w:eastAsia="en-US"/>
        </w:rPr>
        <w:t>randomizált</w:t>
      </w:r>
      <w:proofErr w:type="spellEnd"/>
      <w:r>
        <w:rPr>
          <w:sz w:val="22"/>
          <w:szCs w:val="22"/>
          <w:lang w:eastAsia="en-US"/>
        </w:rPr>
        <w:t>, hármas vak, aktív kontrollos vizsgálat volt, melyet 9193, 55 és 80 év közötti, EKG-val igazolt balkamra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hypertrophiás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hypertoniában</w:t>
      </w:r>
      <w:proofErr w:type="spellEnd"/>
      <w:r>
        <w:rPr>
          <w:sz w:val="22"/>
          <w:szCs w:val="22"/>
          <w:lang w:eastAsia="en-US"/>
        </w:rPr>
        <w:t xml:space="preserve"> szenvedő beteg bevonásával végeztek el. A betegek a </w:t>
      </w:r>
      <w:proofErr w:type="spellStart"/>
      <w:r>
        <w:rPr>
          <w:sz w:val="22"/>
          <w:szCs w:val="22"/>
          <w:lang w:eastAsia="en-US"/>
        </w:rPr>
        <w:t>randomizációt</w:t>
      </w:r>
      <w:proofErr w:type="spellEnd"/>
      <w:r>
        <w:rPr>
          <w:sz w:val="22"/>
          <w:szCs w:val="22"/>
          <w:lang w:eastAsia="en-US"/>
        </w:rPr>
        <w:t xml:space="preserve"> követően naponta egyszer 50 mg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vagy naponta egyszer 50 mg </w:t>
      </w:r>
      <w:proofErr w:type="spellStart"/>
      <w:r>
        <w:rPr>
          <w:sz w:val="22"/>
          <w:szCs w:val="22"/>
          <w:lang w:eastAsia="en-US"/>
        </w:rPr>
        <w:t>atenololt</w:t>
      </w:r>
      <w:proofErr w:type="spellEnd"/>
      <w:r>
        <w:rPr>
          <w:sz w:val="22"/>
          <w:szCs w:val="22"/>
          <w:lang w:eastAsia="en-US"/>
        </w:rPr>
        <w:t xml:space="preserve"> kaptak. Amennyiben a vérnyomás célértékét (&lt;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140/90 Hgmm) nem sikerült elérni, elsődlegesen </w:t>
      </w:r>
      <w:proofErr w:type="spellStart"/>
      <w:r>
        <w:rPr>
          <w:sz w:val="22"/>
          <w:szCs w:val="22"/>
          <w:lang w:eastAsia="en-US"/>
        </w:rPr>
        <w:t>hidroklorotiazidot</w:t>
      </w:r>
      <w:proofErr w:type="spellEnd"/>
      <w:r>
        <w:rPr>
          <w:sz w:val="22"/>
          <w:szCs w:val="22"/>
          <w:lang w:eastAsia="en-US"/>
        </w:rPr>
        <w:t xml:space="preserve"> (12,5 mg) adtak a kezeléshez, majd szükség esetén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ill. az </w:t>
      </w:r>
      <w:proofErr w:type="spellStart"/>
      <w:r>
        <w:rPr>
          <w:sz w:val="22"/>
          <w:szCs w:val="22"/>
          <w:lang w:eastAsia="en-US"/>
        </w:rPr>
        <w:t>atenolol</w:t>
      </w:r>
      <w:proofErr w:type="spellEnd"/>
      <w:r>
        <w:rPr>
          <w:sz w:val="22"/>
          <w:szCs w:val="22"/>
          <w:lang w:eastAsia="en-US"/>
        </w:rPr>
        <w:t xml:space="preserve"> dózisát naponta egyszer 100 mg-ra emelték. Szükség esetén a vérnyomás célértékének elérése érdekében – ACE-gátlók,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-receptor-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és béta-blokkolók kivételével – egyéb vérnyomáscsökkentő gyógyszereket is alkalmaztak.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követés átlagos időtartama 4,8 év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vizsgálat elsődleges végpontja az összetett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morbiditás és mortalitás volt, melyet a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halálozás, stroke és </w:t>
      </w:r>
      <w:proofErr w:type="spellStart"/>
      <w:r>
        <w:rPr>
          <w:sz w:val="22"/>
          <w:szCs w:val="22"/>
          <w:lang w:eastAsia="en-US"/>
        </w:rPr>
        <w:t>myocardialis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infarctus</w:t>
      </w:r>
      <w:proofErr w:type="spellEnd"/>
      <w:r>
        <w:rPr>
          <w:sz w:val="22"/>
          <w:szCs w:val="22"/>
          <w:lang w:eastAsia="en-US"/>
        </w:rPr>
        <w:t xml:space="preserve"> összesített előfordulási gyakoriságának csökkenése alapján mérték. A vérnyomás szignifikánsan lecsökkent, a két csoportban hasonló szintre. Az elsődleges összetett végpontot elérő betegeknél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 az </w:t>
      </w:r>
      <w:proofErr w:type="spellStart"/>
      <w:r>
        <w:rPr>
          <w:sz w:val="22"/>
          <w:szCs w:val="22"/>
          <w:lang w:eastAsia="en-US"/>
        </w:rPr>
        <w:t>atenololhoz</w:t>
      </w:r>
      <w:proofErr w:type="spellEnd"/>
      <w:r>
        <w:rPr>
          <w:sz w:val="22"/>
          <w:szCs w:val="22"/>
          <w:lang w:eastAsia="en-US"/>
        </w:rPr>
        <w:t xml:space="preserve"> képest 13,0%-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0,021, 95%-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CI [konfidenciaintervallum]: 0,77</w:t>
      </w:r>
      <w:r>
        <w:rPr>
          <w:sz w:val="22"/>
          <w:szCs w:val="22"/>
          <w:lang w:eastAsia="en-US"/>
        </w:rPr>
        <w:noBreakHyphen/>
        <w:t xml:space="preserve">0,98) kockázatcsökkenést jelentett. Ez főként a stroke előfordulási arányában bekövetkezett csökkenésnek tulajdonítható.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 stroke kialakulásának kockázatát az </w:t>
      </w:r>
      <w:proofErr w:type="spellStart"/>
      <w:r>
        <w:rPr>
          <w:sz w:val="22"/>
          <w:szCs w:val="22"/>
          <w:lang w:eastAsia="en-US"/>
        </w:rPr>
        <w:t>atenololhoz</w:t>
      </w:r>
      <w:proofErr w:type="spellEnd"/>
      <w:r>
        <w:rPr>
          <w:sz w:val="22"/>
          <w:szCs w:val="22"/>
          <w:lang w:eastAsia="en-US"/>
        </w:rPr>
        <w:t xml:space="preserve"> képest 25%-</w:t>
      </w:r>
      <w:proofErr w:type="spellStart"/>
      <w:r>
        <w:rPr>
          <w:sz w:val="22"/>
          <w:szCs w:val="22"/>
          <w:lang w:eastAsia="en-US"/>
        </w:rPr>
        <w:t>kal</w:t>
      </w:r>
      <w:proofErr w:type="spellEnd"/>
      <w:r>
        <w:rPr>
          <w:sz w:val="22"/>
          <w:szCs w:val="22"/>
          <w:lang w:eastAsia="en-US"/>
        </w:rPr>
        <w:t xml:space="preserve"> csökkentette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0,001, 95%-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CI: 0,63</w:t>
      </w:r>
      <w:r>
        <w:rPr>
          <w:sz w:val="22"/>
          <w:szCs w:val="22"/>
          <w:lang w:eastAsia="en-US"/>
        </w:rPr>
        <w:noBreakHyphen/>
        <w:t xml:space="preserve">0,89). A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halálesetek és a </w:t>
      </w:r>
      <w:proofErr w:type="spellStart"/>
      <w:r>
        <w:rPr>
          <w:sz w:val="22"/>
          <w:szCs w:val="22"/>
          <w:lang w:eastAsia="en-US"/>
        </w:rPr>
        <w:t>myocardialis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infarctus</w:t>
      </w:r>
      <w:proofErr w:type="spellEnd"/>
      <w:r>
        <w:rPr>
          <w:sz w:val="22"/>
          <w:szCs w:val="22"/>
          <w:lang w:eastAsia="en-US"/>
        </w:rPr>
        <w:t xml:space="preserve"> kialakulásának aránya nem különbözött szignifikáns mértékben a kezelési csoportokban.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i/>
          <w:iCs/>
          <w:sz w:val="22"/>
          <w:szCs w:val="22"/>
          <w:u w:val="single"/>
          <w:lang w:eastAsia="en-US"/>
        </w:rPr>
      </w:pPr>
      <w:r>
        <w:rPr>
          <w:i/>
          <w:iCs/>
          <w:sz w:val="22"/>
          <w:szCs w:val="22"/>
          <w:u w:val="single"/>
          <w:lang w:eastAsia="en-US"/>
        </w:rPr>
        <w:t>Rassz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LIFE vizsgálatban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kezelt feketebőrű betegeknél az elsődleges összetett végpont, azaz egy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esemény (pl. </w:t>
      </w:r>
      <w:proofErr w:type="spellStart"/>
      <w:r>
        <w:rPr>
          <w:sz w:val="22"/>
          <w:szCs w:val="22"/>
          <w:lang w:eastAsia="en-US"/>
        </w:rPr>
        <w:t>szívinfarctus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halál) és főként a stroke elérésének kockázata nagyobb volt, mint az </w:t>
      </w:r>
      <w:proofErr w:type="spellStart"/>
      <w:r>
        <w:rPr>
          <w:sz w:val="22"/>
          <w:szCs w:val="22"/>
          <w:lang w:eastAsia="en-US"/>
        </w:rPr>
        <w:t>atenolollal</w:t>
      </w:r>
      <w:proofErr w:type="spellEnd"/>
      <w:r>
        <w:rPr>
          <w:sz w:val="22"/>
          <w:szCs w:val="22"/>
          <w:lang w:eastAsia="en-US"/>
        </w:rPr>
        <w:t xml:space="preserve"> kezelt feketebőrű betegeknél. Ennek értelmében a LIFE vizsgálat során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mellett megfigyelt, és az </w:t>
      </w:r>
      <w:proofErr w:type="spellStart"/>
      <w:r>
        <w:rPr>
          <w:sz w:val="22"/>
          <w:szCs w:val="22"/>
          <w:lang w:eastAsia="en-US"/>
        </w:rPr>
        <w:t>atenolollal</w:t>
      </w:r>
      <w:proofErr w:type="spellEnd"/>
      <w:r>
        <w:rPr>
          <w:sz w:val="22"/>
          <w:szCs w:val="22"/>
          <w:lang w:eastAsia="en-US"/>
        </w:rPr>
        <w:t xml:space="preserve"> összehasonlítva vizsgált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morbiditásra/mortalitásra vonatkozó eredmények nem </w:t>
      </w:r>
      <w:proofErr w:type="spellStart"/>
      <w:r>
        <w:rPr>
          <w:sz w:val="22"/>
          <w:szCs w:val="22"/>
          <w:lang w:eastAsia="en-US"/>
        </w:rPr>
        <w:t>vonatkoztathatóak</w:t>
      </w:r>
      <w:proofErr w:type="spellEnd"/>
      <w:r>
        <w:rPr>
          <w:sz w:val="22"/>
          <w:szCs w:val="22"/>
          <w:lang w:eastAsia="en-US"/>
        </w:rPr>
        <w:t xml:space="preserve"> a balkamra</w:t>
      </w:r>
      <w:r w:rsidR="00F23C75">
        <w:rPr>
          <w:sz w:val="22"/>
          <w:szCs w:val="22"/>
          <w:lang w:eastAsia="en-US"/>
        </w:rPr>
        <w:noBreakHyphen/>
      </w:r>
      <w:proofErr w:type="spellStart"/>
      <w:r>
        <w:rPr>
          <w:sz w:val="22"/>
          <w:szCs w:val="22"/>
          <w:lang w:eastAsia="en-US"/>
        </w:rPr>
        <w:t>hypertrophiás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hypertoniában</w:t>
      </w:r>
      <w:proofErr w:type="spellEnd"/>
      <w:r>
        <w:rPr>
          <w:sz w:val="22"/>
          <w:szCs w:val="22"/>
          <w:lang w:eastAsia="en-US"/>
        </w:rPr>
        <w:t xml:space="preserve"> szenvedő feketebőrű betegekre.</w:t>
      </w:r>
    </w:p>
    <w:p w:rsidR="00601E88" w:rsidRDefault="00601E88">
      <w:pPr>
        <w:autoSpaceDE w:val="0"/>
        <w:autoSpaceDN w:val="0"/>
        <w:adjustRightInd w:val="0"/>
        <w:rPr>
          <w:i/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RENAAL vizsgálat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A RENAAL (</w:t>
      </w:r>
      <w:proofErr w:type="spellStart"/>
      <w:r w:rsidRPr="009A4DF2">
        <w:rPr>
          <w:i/>
          <w:sz w:val="22"/>
          <w:szCs w:val="22"/>
          <w:lang w:eastAsia="en-US"/>
        </w:rPr>
        <w:t>Reduction</w:t>
      </w:r>
      <w:proofErr w:type="spellEnd"/>
      <w:r w:rsidRPr="009A4DF2">
        <w:rPr>
          <w:i/>
          <w:sz w:val="22"/>
          <w:szCs w:val="22"/>
          <w:lang w:eastAsia="en-US"/>
        </w:rPr>
        <w:t xml:space="preserve"> of </w:t>
      </w:r>
      <w:proofErr w:type="spellStart"/>
      <w:r w:rsidRPr="009A4DF2">
        <w:rPr>
          <w:i/>
          <w:sz w:val="22"/>
          <w:szCs w:val="22"/>
          <w:lang w:eastAsia="en-US"/>
        </w:rPr>
        <w:t>Endpoints</w:t>
      </w:r>
      <w:proofErr w:type="spellEnd"/>
      <w:r w:rsidRPr="009A4DF2">
        <w:rPr>
          <w:i/>
          <w:sz w:val="22"/>
          <w:szCs w:val="22"/>
          <w:lang w:eastAsia="en-US"/>
        </w:rPr>
        <w:t xml:space="preserve"> in NIDDM </w:t>
      </w:r>
      <w:proofErr w:type="spellStart"/>
      <w:r w:rsidRPr="009A4DF2">
        <w:rPr>
          <w:i/>
          <w:sz w:val="22"/>
          <w:szCs w:val="22"/>
          <w:lang w:eastAsia="en-US"/>
        </w:rPr>
        <w:t>with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the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Angiotensin</w:t>
      </w:r>
      <w:proofErr w:type="spellEnd"/>
      <w:r w:rsidRPr="009A4DF2">
        <w:rPr>
          <w:i/>
          <w:sz w:val="22"/>
          <w:szCs w:val="22"/>
          <w:lang w:eastAsia="en-US"/>
        </w:rPr>
        <w:t xml:space="preserve"> II Receptor </w:t>
      </w:r>
      <w:proofErr w:type="spellStart"/>
      <w:r w:rsidRPr="009A4DF2">
        <w:rPr>
          <w:i/>
          <w:sz w:val="22"/>
          <w:szCs w:val="22"/>
          <w:lang w:eastAsia="en-US"/>
        </w:rPr>
        <w:t>Antagonist</w:t>
      </w:r>
      <w:proofErr w:type="spellEnd"/>
      <w:r w:rsidRPr="009A4DF2">
        <w:rPr>
          <w:i/>
          <w:sz w:val="22"/>
          <w:szCs w:val="22"/>
          <w:lang w:eastAsia="en-US"/>
        </w:rPr>
        <w:t xml:space="preserve"> Losartan</w:t>
      </w:r>
      <w:r>
        <w:rPr>
          <w:sz w:val="22"/>
          <w:szCs w:val="22"/>
          <w:lang w:eastAsia="en-US"/>
        </w:rPr>
        <w:t xml:space="preserve">;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-receptor-</w:t>
      </w:r>
      <w:proofErr w:type="spellStart"/>
      <w:r>
        <w:rPr>
          <w:sz w:val="22"/>
          <w:szCs w:val="22"/>
          <w:lang w:eastAsia="en-US"/>
        </w:rPr>
        <w:t>antagonista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végpontcsökkentése nem </w:t>
      </w:r>
      <w:proofErr w:type="spellStart"/>
      <w:r>
        <w:rPr>
          <w:sz w:val="22"/>
          <w:szCs w:val="22"/>
          <w:lang w:eastAsia="en-US"/>
        </w:rPr>
        <w:t>inzulindependens</w:t>
      </w:r>
      <w:proofErr w:type="spellEnd"/>
      <w:r>
        <w:rPr>
          <w:sz w:val="22"/>
          <w:szCs w:val="22"/>
          <w:lang w:eastAsia="en-US"/>
        </w:rPr>
        <w:t xml:space="preserve"> diabetes mellitusban) vizsgálat egy kontrollos klinikai vizsgálat volt, amit 1513 </w:t>
      </w:r>
      <w:proofErr w:type="spellStart"/>
      <w:r>
        <w:rPr>
          <w:sz w:val="22"/>
          <w:szCs w:val="22"/>
          <w:lang w:eastAsia="en-US"/>
        </w:rPr>
        <w:t>proteinuriás</w:t>
      </w:r>
      <w:proofErr w:type="spellEnd"/>
      <w:r>
        <w:rPr>
          <w:sz w:val="22"/>
          <w:szCs w:val="22"/>
          <w:lang w:eastAsia="en-US"/>
        </w:rPr>
        <w:t>, 2-es típusú diabeteses (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vagy nem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) beteg bevonásával végeztek (közülük 751 beteget kezeltek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). A vizsgálat célja a vérnyomás csökkentésének előnyein túl és ezek mellett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-kálium </w:t>
      </w:r>
      <w:proofErr w:type="spellStart"/>
      <w:r>
        <w:rPr>
          <w:sz w:val="22"/>
          <w:szCs w:val="22"/>
          <w:lang w:eastAsia="en-US"/>
        </w:rPr>
        <w:t>renoprotektív</w:t>
      </w:r>
      <w:proofErr w:type="spellEnd"/>
      <w:r>
        <w:rPr>
          <w:sz w:val="22"/>
          <w:szCs w:val="22"/>
          <w:lang w:eastAsia="en-US"/>
        </w:rPr>
        <w:t xml:space="preserve"> hatásának bizonyítása volt.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proteinuriás</w:t>
      </w:r>
      <w:proofErr w:type="spellEnd"/>
      <w:r>
        <w:rPr>
          <w:sz w:val="22"/>
          <w:szCs w:val="22"/>
          <w:lang w:eastAsia="en-US"/>
        </w:rPr>
        <w:t xml:space="preserve"> és 1,3</w:t>
      </w:r>
      <w:r>
        <w:rPr>
          <w:sz w:val="22"/>
          <w:szCs w:val="22"/>
          <w:lang w:eastAsia="en-US"/>
        </w:rPr>
        <w:noBreakHyphen/>
        <w:t xml:space="preserve">3,0 mg/dl szérum </w:t>
      </w:r>
      <w:proofErr w:type="spellStart"/>
      <w:r>
        <w:rPr>
          <w:sz w:val="22"/>
          <w:szCs w:val="22"/>
          <w:lang w:eastAsia="en-US"/>
        </w:rPr>
        <w:t>kreatininszinttel</w:t>
      </w:r>
      <w:proofErr w:type="spellEnd"/>
      <w:r>
        <w:rPr>
          <w:sz w:val="22"/>
          <w:szCs w:val="22"/>
          <w:lang w:eastAsia="en-US"/>
        </w:rPr>
        <w:t xml:space="preserve"> rendelkező betegek a </w:t>
      </w:r>
      <w:proofErr w:type="spellStart"/>
      <w:r>
        <w:rPr>
          <w:sz w:val="22"/>
          <w:szCs w:val="22"/>
          <w:lang w:eastAsia="en-US"/>
        </w:rPr>
        <w:t>randomizációt</w:t>
      </w:r>
      <w:proofErr w:type="spellEnd"/>
      <w:r>
        <w:rPr>
          <w:sz w:val="22"/>
          <w:szCs w:val="22"/>
          <w:lang w:eastAsia="en-US"/>
        </w:rPr>
        <w:t xml:space="preserve"> követően a hagyományos vérnyomáscsökkentő terápia (ACE-gátlók, illetve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II</w:t>
      </w:r>
      <w:r>
        <w:rPr>
          <w:sz w:val="22"/>
          <w:szCs w:val="22"/>
          <w:lang w:eastAsia="en-US"/>
        </w:rPr>
        <w:noBreakHyphen/>
        <w:t>receptor</w:t>
      </w:r>
      <w:r>
        <w:rPr>
          <w:sz w:val="22"/>
          <w:szCs w:val="22"/>
          <w:lang w:eastAsia="en-US"/>
        </w:rPr>
        <w:noBreakHyphen/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kivételével) mellett vagy naponta egyszer 50 mg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(szükség esetén a kiváltott vérnyomásválasznak megfelelően titrálva), vagy </w:t>
      </w:r>
      <w:proofErr w:type="spellStart"/>
      <w:r>
        <w:rPr>
          <w:sz w:val="22"/>
          <w:szCs w:val="22"/>
          <w:lang w:eastAsia="en-US"/>
        </w:rPr>
        <w:t>placebót</w:t>
      </w:r>
      <w:proofErr w:type="spellEnd"/>
      <w:r>
        <w:rPr>
          <w:sz w:val="22"/>
          <w:szCs w:val="22"/>
          <w:lang w:eastAsia="en-US"/>
        </w:rPr>
        <w:t xml:space="preserve"> kaptak.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vizsgálóknak előírták, hogy amennyiben az megfelelő, titrálják a vizsgálati gyógyszert napi egyszeri 100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dózisig; a betegek 72%-</w:t>
      </w:r>
      <w:proofErr w:type="gramStart"/>
      <w:r>
        <w:rPr>
          <w:sz w:val="22"/>
          <w:szCs w:val="22"/>
          <w:lang w:eastAsia="en-US"/>
        </w:rPr>
        <w:t>a</w:t>
      </w:r>
      <w:proofErr w:type="gramEnd"/>
      <w:r>
        <w:rPr>
          <w:sz w:val="22"/>
          <w:szCs w:val="22"/>
          <w:lang w:eastAsia="en-US"/>
        </w:rPr>
        <w:t xml:space="preserve"> az idő túlnyomó részében a 100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napi dózist kapta. Egyéb vérnyomáscsökkentő készítmények (</w:t>
      </w:r>
      <w:proofErr w:type="spellStart"/>
      <w:r>
        <w:rPr>
          <w:sz w:val="22"/>
          <w:szCs w:val="22"/>
          <w:lang w:eastAsia="en-US"/>
        </w:rPr>
        <w:t>diuretikumok</w:t>
      </w:r>
      <w:proofErr w:type="spellEnd"/>
      <w:r>
        <w:rPr>
          <w:sz w:val="22"/>
          <w:szCs w:val="22"/>
          <w:lang w:eastAsia="en-US"/>
        </w:rPr>
        <w:t>, kalciumcsatorna-blokkolók, alfa- vagy béta</w:t>
      </w:r>
      <w:r w:rsidR="004D5B14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receptor blokkolók, és centrálisan ható vérnyomáscsökkentő szerek) szükség esetén kiegészítő kezelésként mindkét csoportban adhatók voltak. A betegek követése maximum 4,6 évig (átlagosan 3,4 évig) tartott.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összetett elsődleges végpont: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megduplázódása</w:t>
      </w:r>
      <w:proofErr w:type="spellEnd"/>
      <w:r>
        <w:rPr>
          <w:sz w:val="22"/>
          <w:szCs w:val="22"/>
          <w:lang w:eastAsia="en-US"/>
        </w:rPr>
        <w:t>, végstádiumú veseelégtelenség (dialízis vagy transzplantáció szükségessége), vagy halál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eredmények azt mutatták, hogy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 (327 eset) a </w:t>
      </w:r>
      <w:proofErr w:type="spellStart"/>
      <w:r>
        <w:rPr>
          <w:sz w:val="22"/>
          <w:szCs w:val="22"/>
          <w:lang w:eastAsia="en-US"/>
        </w:rPr>
        <w:t>placebóhoz</w:t>
      </w:r>
      <w:proofErr w:type="spellEnd"/>
      <w:r>
        <w:rPr>
          <w:sz w:val="22"/>
          <w:szCs w:val="22"/>
          <w:lang w:eastAsia="en-US"/>
        </w:rPr>
        <w:t xml:space="preserve"> (359 eset) képest 16,1%-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0,022) kockázatcsökkenést eredményezett az összetett elsődleges végpontot elérő betegek között. </w:t>
      </w:r>
      <w:proofErr w:type="gramStart"/>
      <w:r>
        <w:rPr>
          <w:sz w:val="22"/>
          <w:szCs w:val="22"/>
          <w:lang w:eastAsia="en-US"/>
        </w:rPr>
        <w:t xml:space="preserve">A végpont következő elemeinek egyenként, illetve kombináltan történő értékelése is jelentős kockázatcsökkenést mutatott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kezelt betegcsoportban: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megduplázódásának</w:t>
      </w:r>
      <w:proofErr w:type="spellEnd"/>
      <w:r>
        <w:rPr>
          <w:sz w:val="22"/>
          <w:szCs w:val="22"/>
          <w:lang w:eastAsia="en-US"/>
        </w:rPr>
        <w:t xml:space="preserve"> 25,3%-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0,006) kockázatcsökkenése; a végstádiumú veseelégtelenség 28,6%-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0,002) kockázatcsökkenése; a végstádiumú veseelégtelenség vagy halál bekövetkeztének 19,9%-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0,009) kockázatcsökkenése;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megduplázódásának</w:t>
      </w:r>
      <w:proofErr w:type="spellEnd"/>
      <w:r>
        <w:rPr>
          <w:sz w:val="22"/>
          <w:szCs w:val="22"/>
          <w:lang w:eastAsia="en-US"/>
        </w:rPr>
        <w:t xml:space="preserve"> és a végstádiumú veseelégtelenség 21%-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 = 0,01) kockázatcsökkenése.</w:t>
      </w:r>
      <w:proofErr w:type="gram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bármilyen okból bekövetkező halálesetek arányában nem volt szignifikáns különbség a két betegcsoport között.</w:t>
      </w: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Ebben a vizsgálatban 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a betegek általánosságban jól tolerálták, amit az is mutat, hogy a terápiát a mellékhatások miatt abbahagyó betegek aránya hasonló volt a placebocsoportban.</w:t>
      </w:r>
    </w:p>
    <w:p w:rsidR="004D5B14" w:rsidRDefault="004D5B14">
      <w:pPr>
        <w:rPr>
          <w:sz w:val="22"/>
          <w:szCs w:val="22"/>
          <w:lang w:eastAsia="en-US"/>
        </w:rPr>
      </w:pPr>
    </w:p>
    <w:p w:rsidR="00601E88" w:rsidRDefault="00CD7A0A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HEAAL vizsgálat</w:t>
      </w:r>
    </w:p>
    <w:p w:rsidR="00601E88" w:rsidRDefault="00CD7A0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r w:rsidR="00F23C75">
        <w:rPr>
          <w:color w:val="000000"/>
          <w:sz w:val="22"/>
          <w:szCs w:val="22"/>
        </w:rPr>
        <w:t xml:space="preserve">HEAAL </w:t>
      </w:r>
      <w:r>
        <w:rPr>
          <w:color w:val="000000"/>
          <w:sz w:val="22"/>
          <w:szCs w:val="22"/>
        </w:rPr>
        <w:t>(</w:t>
      </w:r>
      <w:proofErr w:type="spellStart"/>
      <w:r w:rsidRPr="009A4DF2">
        <w:rPr>
          <w:i/>
          <w:color w:val="000000"/>
          <w:sz w:val="22"/>
          <w:szCs w:val="22"/>
        </w:rPr>
        <w:t>Heart</w:t>
      </w:r>
      <w:proofErr w:type="spellEnd"/>
      <w:r w:rsidRPr="009A4DF2">
        <w:rPr>
          <w:i/>
          <w:color w:val="000000"/>
          <w:sz w:val="22"/>
          <w:szCs w:val="22"/>
        </w:rPr>
        <w:t xml:space="preserve"> </w:t>
      </w:r>
      <w:proofErr w:type="spellStart"/>
      <w:r w:rsidRPr="009A4DF2">
        <w:rPr>
          <w:i/>
          <w:color w:val="000000"/>
          <w:sz w:val="22"/>
          <w:szCs w:val="22"/>
        </w:rPr>
        <w:t>Failure</w:t>
      </w:r>
      <w:proofErr w:type="spellEnd"/>
      <w:r w:rsidRPr="009A4DF2">
        <w:rPr>
          <w:i/>
          <w:color w:val="000000"/>
          <w:sz w:val="22"/>
          <w:szCs w:val="22"/>
        </w:rPr>
        <w:t xml:space="preserve"> </w:t>
      </w:r>
      <w:proofErr w:type="spellStart"/>
      <w:r w:rsidRPr="009A4DF2">
        <w:rPr>
          <w:i/>
          <w:color w:val="000000"/>
          <w:sz w:val="22"/>
          <w:szCs w:val="22"/>
        </w:rPr>
        <w:t>Endpoint</w:t>
      </w:r>
      <w:proofErr w:type="spellEnd"/>
      <w:r w:rsidRPr="009A4DF2">
        <w:rPr>
          <w:i/>
          <w:color w:val="000000"/>
          <w:sz w:val="22"/>
          <w:szCs w:val="22"/>
        </w:rPr>
        <w:t xml:space="preserve"> </w:t>
      </w:r>
      <w:proofErr w:type="spellStart"/>
      <w:r w:rsidRPr="009A4DF2">
        <w:rPr>
          <w:i/>
          <w:color w:val="000000"/>
          <w:sz w:val="22"/>
          <w:szCs w:val="22"/>
        </w:rPr>
        <w:t>Evaluation</w:t>
      </w:r>
      <w:proofErr w:type="spellEnd"/>
      <w:r w:rsidRPr="009A4DF2">
        <w:rPr>
          <w:i/>
          <w:color w:val="000000"/>
          <w:sz w:val="22"/>
          <w:szCs w:val="22"/>
        </w:rPr>
        <w:t xml:space="preserve"> of </w:t>
      </w:r>
      <w:proofErr w:type="spellStart"/>
      <w:r w:rsidRPr="009A4DF2">
        <w:rPr>
          <w:i/>
          <w:color w:val="000000"/>
          <w:sz w:val="22"/>
          <w:szCs w:val="22"/>
        </w:rPr>
        <w:t>Angiotensin</w:t>
      </w:r>
      <w:proofErr w:type="spellEnd"/>
      <w:r w:rsidRPr="009A4DF2">
        <w:rPr>
          <w:i/>
          <w:color w:val="000000"/>
          <w:sz w:val="22"/>
          <w:szCs w:val="22"/>
        </w:rPr>
        <w:t xml:space="preserve"> II </w:t>
      </w:r>
      <w:proofErr w:type="spellStart"/>
      <w:r w:rsidRPr="009A4DF2">
        <w:rPr>
          <w:i/>
          <w:color w:val="000000"/>
          <w:sz w:val="22"/>
          <w:szCs w:val="22"/>
        </w:rPr>
        <w:t>Antagonist</w:t>
      </w:r>
      <w:proofErr w:type="spellEnd"/>
      <w:r w:rsidRPr="009A4DF2">
        <w:rPr>
          <w:i/>
          <w:color w:val="000000"/>
          <w:sz w:val="22"/>
          <w:szCs w:val="22"/>
        </w:rPr>
        <w:t xml:space="preserve"> Losartan</w:t>
      </w:r>
      <w:r>
        <w:rPr>
          <w:color w:val="000000"/>
          <w:sz w:val="22"/>
          <w:szCs w:val="22"/>
        </w:rPr>
        <w:t xml:space="preserve">, az </w:t>
      </w:r>
      <w:proofErr w:type="spellStart"/>
      <w:r>
        <w:rPr>
          <w:color w:val="000000"/>
          <w:sz w:val="22"/>
          <w:szCs w:val="22"/>
        </w:rPr>
        <w:t>angiotenzin</w:t>
      </w:r>
      <w:proofErr w:type="spellEnd"/>
      <w:r w:rsidR="00F23C75">
        <w:rPr>
          <w:color w:val="000000"/>
          <w:sz w:val="22"/>
          <w:szCs w:val="22"/>
        </w:rPr>
        <w:noBreakHyphen/>
      </w:r>
      <w:r>
        <w:rPr>
          <w:color w:val="000000"/>
          <w:sz w:val="22"/>
          <w:szCs w:val="22"/>
        </w:rPr>
        <w:t>II</w:t>
      </w:r>
      <w:r w:rsidR="004D5B14"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antagonista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alkalmazása során a szívelégtelenséggel kapcsolatos végpontokat értékelő) vizsgálat egy kontrollos klinikai vizsgálat volt, melyet világszerte 3834, 18</w:t>
      </w:r>
      <w:r>
        <w:rPr>
          <w:color w:val="000000"/>
          <w:sz w:val="22"/>
          <w:szCs w:val="22"/>
        </w:rPr>
        <w:noBreakHyphen/>
        <w:t>98 év közötti, (NYHA II</w:t>
      </w:r>
      <w:r>
        <w:rPr>
          <w:color w:val="000000"/>
          <w:sz w:val="22"/>
          <w:szCs w:val="22"/>
        </w:rPr>
        <w:noBreakHyphen/>
        <w:t>IV. osztályú) szívelégtelenségben szenvedő beteg részvételével folytattak, akik nem tolerálták az ACE</w:t>
      </w:r>
      <w:r>
        <w:rPr>
          <w:color w:val="000000"/>
          <w:sz w:val="22"/>
          <w:szCs w:val="22"/>
        </w:rPr>
        <w:noBreakHyphen/>
        <w:t xml:space="preserve">gátlóval történő kezelést. A betegeket úgy </w:t>
      </w:r>
      <w:proofErr w:type="spellStart"/>
      <w:r>
        <w:rPr>
          <w:color w:val="000000"/>
          <w:sz w:val="22"/>
          <w:szCs w:val="22"/>
        </w:rPr>
        <w:t>randomizálták</w:t>
      </w:r>
      <w:proofErr w:type="spellEnd"/>
      <w:r>
        <w:rPr>
          <w:color w:val="000000"/>
          <w:sz w:val="22"/>
          <w:szCs w:val="22"/>
        </w:rPr>
        <w:t xml:space="preserve">, hogy napi 50 mg vagy 150 mg </w:t>
      </w:r>
      <w:proofErr w:type="spellStart"/>
      <w:r>
        <w:rPr>
          <w:color w:val="000000"/>
          <w:sz w:val="22"/>
          <w:szCs w:val="22"/>
        </w:rPr>
        <w:t>lozartánt</w:t>
      </w:r>
      <w:proofErr w:type="spellEnd"/>
      <w:r>
        <w:rPr>
          <w:color w:val="000000"/>
          <w:sz w:val="22"/>
          <w:szCs w:val="22"/>
        </w:rPr>
        <w:t xml:space="preserve"> kapjanak alapkezelésük mellett, amely nem tartalmazhatott ACE</w:t>
      </w:r>
      <w:r>
        <w:rPr>
          <w:color w:val="000000"/>
          <w:sz w:val="22"/>
          <w:szCs w:val="22"/>
        </w:rPr>
        <w:noBreakHyphen/>
        <w:t>gátlókat.</w:t>
      </w:r>
    </w:p>
    <w:p w:rsidR="00601E88" w:rsidRDefault="00601E88">
      <w:pPr>
        <w:rPr>
          <w:color w:val="000000"/>
          <w:sz w:val="22"/>
          <w:szCs w:val="22"/>
        </w:rPr>
      </w:pPr>
    </w:p>
    <w:p w:rsidR="00601E88" w:rsidRDefault="00CD7A0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betegeket 4 évig (4,7 év középérték) követték. A vizsgálat elsődleges végpontja a bármilyen okból bekövetkező halálozást vagy szívelégtelenség miatt bekövetkezett kórházi kezelést magában foglaló összetett végpont volt.</w:t>
      </w:r>
    </w:p>
    <w:p w:rsidR="00601E88" w:rsidRDefault="00601E88">
      <w:pPr>
        <w:rPr>
          <w:color w:val="000000"/>
          <w:sz w:val="22"/>
          <w:szCs w:val="22"/>
        </w:rPr>
      </w:pPr>
    </w:p>
    <w:p w:rsidR="00601E88" w:rsidRDefault="00CD7A0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eredmények azt mutatták, hogy a 150 mg </w:t>
      </w:r>
      <w:proofErr w:type="spellStart"/>
      <w:r>
        <w:rPr>
          <w:color w:val="000000"/>
          <w:sz w:val="22"/>
          <w:szCs w:val="22"/>
        </w:rPr>
        <w:t>lozartánnal</w:t>
      </w:r>
      <w:proofErr w:type="spellEnd"/>
      <w:r>
        <w:rPr>
          <w:color w:val="000000"/>
          <w:sz w:val="22"/>
          <w:szCs w:val="22"/>
        </w:rPr>
        <w:t xml:space="preserve"> történő kezelés (828 eset) az 50 mg </w:t>
      </w:r>
      <w:proofErr w:type="spellStart"/>
      <w:r>
        <w:rPr>
          <w:color w:val="000000"/>
          <w:sz w:val="22"/>
          <w:szCs w:val="22"/>
        </w:rPr>
        <w:t>lozartánnal</w:t>
      </w:r>
      <w:proofErr w:type="spellEnd"/>
      <w:r>
        <w:rPr>
          <w:color w:val="000000"/>
          <w:sz w:val="22"/>
          <w:szCs w:val="22"/>
        </w:rPr>
        <w:t xml:space="preserve"> (889 eset) összehasonlítva 10,1%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kockázatcsökkenést (p</w:t>
      </w:r>
      <w:r w:rsidR="004D5B1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=</w:t>
      </w:r>
      <w:r w:rsidR="004D5B1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0,027 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konfidenciaintervallum 0,82–0,99) eredményezett az elsődleges összetett végpontot elérő betegek számát illetően. Ez főként a szívelégtelenség miatt bekövetkező kórházi kezelés előfordulási gyakorisága terén mutatkozó csökkenésnek volt tulajdonítható. A 150 mg </w:t>
      </w:r>
      <w:proofErr w:type="spellStart"/>
      <w:r>
        <w:rPr>
          <w:color w:val="000000"/>
          <w:sz w:val="22"/>
          <w:szCs w:val="22"/>
        </w:rPr>
        <w:t>lozartánnal</w:t>
      </w:r>
      <w:proofErr w:type="spellEnd"/>
      <w:r>
        <w:rPr>
          <w:color w:val="000000"/>
          <w:sz w:val="22"/>
          <w:szCs w:val="22"/>
        </w:rPr>
        <w:t xml:space="preserve"> történő kezelés az 50 mg </w:t>
      </w:r>
      <w:proofErr w:type="spellStart"/>
      <w:r>
        <w:rPr>
          <w:color w:val="000000"/>
          <w:sz w:val="22"/>
          <w:szCs w:val="22"/>
        </w:rPr>
        <w:t>lozartánnal</w:t>
      </w:r>
      <w:proofErr w:type="spellEnd"/>
      <w:r>
        <w:rPr>
          <w:color w:val="000000"/>
          <w:sz w:val="22"/>
          <w:szCs w:val="22"/>
        </w:rPr>
        <w:t xml:space="preserve"> összehasonlítva 13,5%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csökkentette a szívelégtelenség miatt bekövetkező kórházi kezelés kockázatát (p</w:t>
      </w:r>
      <w:r w:rsidR="004D5B1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=</w:t>
      </w:r>
      <w:r w:rsidR="004D5B1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0,025 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konfidenciaintervallum 0,76–0,98). A bármilyen oknál fogva bekövetkező elhalálozás aránya a két csoportban nem volt szignifikánsan különböző. A vesekárosodás, </w:t>
      </w:r>
      <w:proofErr w:type="spellStart"/>
      <w:r>
        <w:rPr>
          <w:color w:val="000000"/>
          <w:sz w:val="22"/>
          <w:szCs w:val="22"/>
        </w:rPr>
        <w:t>hypotonia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hyperkalaemia</w:t>
      </w:r>
      <w:proofErr w:type="spellEnd"/>
      <w:r>
        <w:rPr>
          <w:color w:val="000000"/>
          <w:sz w:val="22"/>
          <w:szCs w:val="22"/>
        </w:rPr>
        <w:t xml:space="preserve"> az 50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 xml:space="preserve"> szedő csoporttal összehasonlítva gyakrabban fordult elő a 150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 xml:space="preserve"> szedő csoportban, de ezek a mellékhatások a 150 mg-</w:t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 xml:space="preserve"> szedő csoportban nem vezettek szignifikánsan több esetben a kezelés abbahagyásához.</w:t>
      </w:r>
    </w:p>
    <w:p w:rsidR="00601E88" w:rsidRDefault="00601E88">
      <w:pPr>
        <w:rPr>
          <w:sz w:val="22"/>
          <w:szCs w:val="22"/>
          <w:u w:val="single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ELITE I és ELITE II vizsgálat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 xml:space="preserve">A 48 hetes ELITE vizsgálatban, amit 722 (NYHA II-IV. </w:t>
      </w:r>
      <w:proofErr w:type="gramStart"/>
      <w:r>
        <w:rPr>
          <w:sz w:val="22"/>
          <w:szCs w:val="22"/>
          <w:lang w:eastAsia="en-US"/>
        </w:rPr>
        <w:t>osztályú</w:t>
      </w:r>
      <w:proofErr w:type="gramEnd"/>
      <w:r>
        <w:rPr>
          <w:sz w:val="22"/>
          <w:szCs w:val="22"/>
          <w:lang w:eastAsia="en-US"/>
        </w:rPr>
        <w:t xml:space="preserve">) szívelégtelenségben szenvedő betegen végeztek, az elsődleges végpontban (tartós változás a vesefunkcióban) nem volt különbség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, illetve a </w:t>
      </w:r>
      <w:proofErr w:type="spellStart"/>
      <w:r>
        <w:rPr>
          <w:sz w:val="22"/>
          <w:szCs w:val="22"/>
          <w:lang w:eastAsia="en-US"/>
        </w:rPr>
        <w:t>kaptoprillal</w:t>
      </w:r>
      <w:proofErr w:type="spellEnd"/>
      <w:r>
        <w:rPr>
          <w:sz w:val="22"/>
          <w:szCs w:val="22"/>
          <w:lang w:eastAsia="en-US"/>
        </w:rPr>
        <w:t xml:space="preserve"> kezelt betegek között. Az ELITE I vizsgálatban megfigyelték, hogy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kaptoprillal</w:t>
      </w:r>
      <w:proofErr w:type="spellEnd"/>
      <w:r>
        <w:rPr>
          <w:sz w:val="22"/>
          <w:szCs w:val="22"/>
          <w:lang w:eastAsia="en-US"/>
        </w:rPr>
        <w:t xml:space="preserve"> összehasonlítva, csökkentette a mortalitás kockázatát, de ezt a megfigyelést az azt követő, alább ismertetett ELITE II vizsgálat nem erősítette meg.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ELITE II vizsgálatban a napi egyszer 50 mg dózisú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>-kezelést (kezdő dózis naponta egyszer 12,5 mg, 25 mg-ra, majd 50 mg-ra titrálva) hasonlították össze a napi háromszor 50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dózissal végzett </w:t>
      </w:r>
      <w:proofErr w:type="spellStart"/>
      <w:r>
        <w:rPr>
          <w:sz w:val="22"/>
          <w:szCs w:val="22"/>
          <w:lang w:eastAsia="en-US"/>
        </w:rPr>
        <w:t>kaptopril</w:t>
      </w:r>
      <w:proofErr w:type="spellEnd"/>
      <w:r>
        <w:rPr>
          <w:sz w:val="22"/>
          <w:szCs w:val="22"/>
          <w:lang w:eastAsia="en-US"/>
        </w:rPr>
        <w:t xml:space="preserve">-kezeléssel (kezdő dózis naponta háromszor 12,5 mg, 25 mg-ra, majd 50 mg-ra titrálva). Ennek a </w:t>
      </w:r>
      <w:proofErr w:type="spellStart"/>
      <w:r>
        <w:rPr>
          <w:sz w:val="22"/>
          <w:szCs w:val="22"/>
          <w:lang w:eastAsia="en-US"/>
        </w:rPr>
        <w:t>prospektív</w:t>
      </w:r>
      <w:proofErr w:type="spellEnd"/>
      <w:r>
        <w:rPr>
          <w:sz w:val="22"/>
          <w:szCs w:val="22"/>
          <w:lang w:eastAsia="en-US"/>
        </w:rPr>
        <w:t xml:space="preserve"> vizsgálatnak az elsődleges végpontja a bármely okból bekövetkező mortalitás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Ebben a vizsgálatban 3152 szívelégtelenségben szenvedő beteget (NYHA II.-IV. </w:t>
      </w:r>
      <w:proofErr w:type="gramStart"/>
      <w:r>
        <w:rPr>
          <w:sz w:val="22"/>
          <w:szCs w:val="22"/>
          <w:lang w:eastAsia="en-US"/>
        </w:rPr>
        <w:t>osztály</w:t>
      </w:r>
      <w:proofErr w:type="gramEnd"/>
      <w:r>
        <w:rPr>
          <w:sz w:val="22"/>
          <w:szCs w:val="22"/>
          <w:lang w:eastAsia="en-US"/>
        </w:rPr>
        <w:t xml:space="preserve">) követtek majdnem két évig (medián: 1,5 év) annak érdekében, hogy meghatározzák, hogy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felülmúlja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 xml:space="preserve">e a </w:t>
      </w:r>
      <w:proofErr w:type="spellStart"/>
      <w:r>
        <w:rPr>
          <w:sz w:val="22"/>
          <w:szCs w:val="22"/>
          <w:lang w:eastAsia="en-US"/>
        </w:rPr>
        <w:t>kaptoprilt</w:t>
      </w:r>
      <w:proofErr w:type="spellEnd"/>
      <w:r>
        <w:rPr>
          <w:sz w:val="22"/>
          <w:szCs w:val="22"/>
          <w:lang w:eastAsia="en-US"/>
        </w:rPr>
        <w:t xml:space="preserve"> a bármely okból bekövetkező mortalitás csökkentése szempontjából. Az elsődleges végpont nem jelzett statisztikailag szignifikáns különbséget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 </w:t>
      </w:r>
      <w:proofErr w:type="spellStart"/>
      <w:r>
        <w:rPr>
          <w:sz w:val="22"/>
          <w:szCs w:val="22"/>
          <w:lang w:eastAsia="en-US"/>
        </w:rPr>
        <w:t>kaptopril</w:t>
      </w:r>
      <w:proofErr w:type="spellEnd"/>
      <w:r>
        <w:rPr>
          <w:sz w:val="22"/>
          <w:szCs w:val="22"/>
          <w:lang w:eastAsia="en-US"/>
        </w:rPr>
        <w:t xml:space="preserve"> között a bármely okból bekövetkező mortalitás csökkentése szempontjából.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szívelégtelenségben szenvedő betegeken végzett mindkét komparátor-kontrollos (nem placebokontrollos) klinikai vizsgálatban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tolerálhatósága</w:t>
      </w:r>
      <w:proofErr w:type="spellEnd"/>
      <w:r>
        <w:rPr>
          <w:sz w:val="22"/>
          <w:szCs w:val="22"/>
          <w:lang w:eastAsia="en-US"/>
        </w:rPr>
        <w:t xml:space="preserve"> felülmúlta a </w:t>
      </w:r>
      <w:proofErr w:type="spellStart"/>
      <w:r>
        <w:rPr>
          <w:sz w:val="22"/>
          <w:szCs w:val="22"/>
          <w:lang w:eastAsia="en-US"/>
        </w:rPr>
        <w:t>kaptoprilét</w:t>
      </w:r>
      <w:proofErr w:type="spellEnd"/>
      <w:r>
        <w:rPr>
          <w:sz w:val="22"/>
          <w:szCs w:val="22"/>
          <w:lang w:eastAsia="en-US"/>
        </w:rPr>
        <w:t xml:space="preserve"> az alapján, hogy mellékhatások miatt szignifikánsan kisebb arányban hagyták abba a kezelést, és szignifikánsan kisebb volt a köhögés gyakorisága.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ELITE II vizsgálatban növekedett mortalitást figyeltek meg egy kis alcsoportban (az összes szívelégtelenségben szenvedő beteg 22%-a), akik a vizsgálat kezdetén béta-blokkolókat szedtek.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A </w:t>
      </w:r>
      <w:proofErr w:type="spellStart"/>
      <w:r>
        <w:rPr>
          <w:sz w:val="22"/>
          <w:szCs w:val="22"/>
          <w:u w:val="single"/>
          <w:lang w:eastAsia="en-US"/>
        </w:rPr>
        <w:t>renin-angiotenzin-aldoszteron</w:t>
      </w:r>
      <w:proofErr w:type="spellEnd"/>
      <w:r>
        <w:rPr>
          <w:sz w:val="22"/>
          <w:szCs w:val="22"/>
          <w:u w:val="single"/>
          <w:lang w:eastAsia="en-US"/>
        </w:rPr>
        <w:t xml:space="preserve"> rendszer (RAAS) kettős blokádja 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Két nagy, </w:t>
      </w:r>
      <w:proofErr w:type="spellStart"/>
      <w:r>
        <w:rPr>
          <w:sz w:val="22"/>
          <w:szCs w:val="22"/>
        </w:rPr>
        <w:t>randomizált</w:t>
      </w:r>
      <w:proofErr w:type="spellEnd"/>
      <w:r>
        <w:rPr>
          <w:sz w:val="22"/>
          <w:szCs w:val="22"/>
        </w:rPr>
        <w:t xml:space="preserve">, kontrollos vizsgálatban </w:t>
      </w:r>
      <w:r w:rsidR="004D5B14">
        <w:rPr>
          <w:sz w:val="22"/>
          <w:szCs w:val="22"/>
        </w:rPr>
        <w:t>[</w:t>
      </w:r>
      <w:r>
        <w:rPr>
          <w:sz w:val="22"/>
          <w:szCs w:val="22"/>
        </w:rPr>
        <w:t>ONTARGET (</w:t>
      </w:r>
      <w:proofErr w:type="spellStart"/>
      <w:r w:rsidRPr="009A4DF2">
        <w:rPr>
          <w:i/>
          <w:sz w:val="22"/>
          <w:szCs w:val="22"/>
        </w:rPr>
        <w:t>ONgoing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Telmisartan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Alone</w:t>
      </w:r>
      <w:proofErr w:type="spellEnd"/>
      <w:r w:rsidRPr="009A4DF2">
        <w:rPr>
          <w:i/>
          <w:sz w:val="22"/>
          <w:szCs w:val="22"/>
        </w:rPr>
        <w:t xml:space="preserve"> and in </w:t>
      </w:r>
      <w:proofErr w:type="spellStart"/>
      <w:r w:rsidRPr="009A4DF2">
        <w:rPr>
          <w:i/>
          <w:sz w:val="22"/>
          <w:szCs w:val="22"/>
        </w:rPr>
        <w:t>combination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with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Ramipril</w:t>
      </w:r>
      <w:proofErr w:type="spellEnd"/>
      <w:r w:rsidRPr="009A4DF2">
        <w:rPr>
          <w:i/>
          <w:sz w:val="22"/>
          <w:szCs w:val="22"/>
        </w:rPr>
        <w:t xml:space="preserve"> Global </w:t>
      </w:r>
      <w:proofErr w:type="spellStart"/>
      <w:r w:rsidRPr="009A4DF2">
        <w:rPr>
          <w:i/>
          <w:sz w:val="22"/>
          <w:szCs w:val="22"/>
        </w:rPr>
        <w:t>Endpoint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Trial</w:t>
      </w:r>
      <w:proofErr w:type="spellEnd"/>
      <w:r>
        <w:rPr>
          <w:bCs/>
          <w:sz w:val="22"/>
          <w:szCs w:val="22"/>
        </w:rPr>
        <w:t>) és</w:t>
      </w:r>
      <w:r>
        <w:rPr>
          <w:sz w:val="22"/>
          <w:szCs w:val="22"/>
        </w:rPr>
        <w:t xml:space="preserve"> VA NEPHRON-D (</w:t>
      </w:r>
      <w:r w:rsidRPr="009A4DF2">
        <w:rPr>
          <w:i/>
          <w:sz w:val="22"/>
          <w:szCs w:val="22"/>
        </w:rPr>
        <w:t xml:space="preserve">The </w:t>
      </w:r>
      <w:proofErr w:type="spellStart"/>
      <w:r w:rsidRPr="009A4DF2">
        <w:rPr>
          <w:i/>
          <w:sz w:val="22"/>
          <w:szCs w:val="22"/>
        </w:rPr>
        <w:t>Veterans</w:t>
      </w:r>
      <w:proofErr w:type="spellEnd"/>
      <w:r w:rsidRPr="009A4DF2">
        <w:rPr>
          <w:i/>
          <w:sz w:val="22"/>
          <w:szCs w:val="22"/>
        </w:rPr>
        <w:t xml:space="preserve"> Affairs </w:t>
      </w:r>
      <w:proofErr w:type="spellStart"/>
      <w:r w:rsidRPr="009A4DF2">
        <w:rPr>
          <w:i/>
          <w:sz w:val="22"/>
          <w:szCs w:val="22"/>
        </w:rPr>
        <w:t>Nephropathy</w:t>
      </w:r>
      <w:proofErr w:type="spellEnd"/>
      <w:r w:rsidRPr="009A4DF2">
        <w:rPr>
          <w:i/>
          <w:sz w:val="22"/>
          <w:szCs w:val="22"/>
        </w:rPr>
        <w:t xml:space="preserve"> in Diabetes</w:t>
      </w:r>
      <w:r>
        <w:rPr>
          <w:bCs/>
          <w:sz w:val="22"/>
          <w:szCs w:val="22"/>
        </w:rPr>
        <w:t>)</w:t>
      </w:r>
      <w:r w:rsidR="004D5B14">
        <w:rPr>
          <w:bCs/>
          <w:sz w:val="22"/>
          <w:szCs w:val="22"/>
        </w:rPr>
        <w:t>]</w:t>
      </w:r>
      <w:r>
        <w:rPr>
          <w:sz w:val="22"/>
          <w:szCs w:val="22"/>
        </w:rPr>
        <w:t xml:space="preserve"> vizsgálták az ACE-gátló és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>-receptor-blokkoló kombinált alkalmazását.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Az ONTARGET vizsgálatot olyan betegeken végezték, akiknek a kórtörténetében kardiovaszkuláris vagy </w:t>
      </w:r>
      <w:proofErr w:type="spellStart"/>
      <w:r>
        <w:rPr>
          <w:sz w:val="22"/>
          <w:szCs w:val="22"/>
        </w:rPr>
        <w:t>cerebrovaszkuláris</w:t>
      </w:r>
      <w:proofErr w:type="spellEnd"/>
      <w:r>
        <w:rPr>
          <w:sz w:val="22"/>
          <w:szCs w:val="22"/>
        </w:rPr>
        <w:t xml:space="preserve"> betegség, vagy szervkárosodással járó 2-es típusú diabetes mellitus szerepelt. A VA NEPHRON</w:t>
      </w:r>
      <w:r>
        <w:rPr>
          <w:sz w:val="22"/>
          <w:szCs w:val="22"/>
        </w:rPr>
        <w:noBreakHyphen/>
        <w:t xml:space="preserve">D vizsgálatot 2-es típusú diabetesben és diabeteses </w:t>
      </w:r>
      <w:proofErr w:type="spellStart"/>
      <w:r>
        <w:rPr>
          <w:sz w:val="22"/>
          <w:szCs w:val="22"/>
        </w:rPr>
        <w:t>nephropathiában</w:t>
      </w:r>
      <w:proofErr w:type="spellEnd"/>
      <w:r>
        <w:rPr>
          <w:sz w:val="22"/>
          <w:szCs w:val="22"/>
        </w:rPr>
        <w:t xml:space="preserve"> szenvedő betegeken végezték.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Ezek a vizsgálatok nem mutattak ki szignifikánsan előnyös hatásokat a </w:t>
      </w:r>
      <w:proofErr w:type="spellStart"/>
      <w:r>
        <w:rPr>
          <w:sz w:val="22"/>
          <w:szCs w:val="22"/>
        </w:rPr>
        <w:t>renális</w:t>
      </w:r>
      <w:proofErr w:type="spellEnd"/>
      <w:r>
        <w:rPr>
          <w:sz w:val="22"/>
          <w:szCs w:val="22"/>
        </w:rPr>
        <w:t xml:space="preserve"> és/vagy kardiovaszkuláris kimenetel és a mortalitás vonatkozásában, miközben a </w:t>
      </w:r>
      <w:proofErr w:type="spellStart"/>
      <w:r>
        <w:rPr>
          <w:sz w:val="22"/>
          <w:szCs w:val="22"/>
        </w:rPr>
        <w:t>monoterápia</w:t>
      </w:r>
      <w:proofErr w:type="spellEnd"/>
      <w:r>
        <w:rPr>
          <w:sz w:val="22"/>
          <w:szCs w:val="22"/>
        </w:rPr>
        <w:t xml:space="preserve"> esetén megfigyelthez képest nőtt a </w:t>
      </w:r>
      <w:proofErr w:type="spellStart"/>
      <w:r>
        <w:rPr>
          <w:sz w:val="22"/>
          <w:szCs w:val="22"/>
        </w:rPr>
        <w:t>hyperkalaemia</w:t>
      </w:r>
      <w:proofErr w:type="spellEnd"/>
      <w:r>
        <w:rPr>
          <w:sz w:val="22"/>
          <w:szCs w:val="22"/>
        </w:rPr>
        <w:t xml:space="preserve">, akut vesekárosodás és/vagy </w:t>
      </w:r>
      <w:proofErr w:type="spellStart"/>
      <w:r>
        <w:rPr>
          <w:sz w:val="22"/>
          <w:szCs w:val="22"/>
        </w:rPr>
        <w:t>hypotonia</w:t>
      </w:r>
      <w:proofErr w:type="spellEnd"/>
      <w:r>
        <w:rPr>
          <w:sz w:val="22"/>
          <w:szCs w:val="22"/>
        </w:rPr>
        <w:t xml:space="preserve"> kockázata.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 hasonló </w:t>
      </w:r>
      <w:proofErr w:type="spellStart"/>
      <w:r>
        <w:rPr>
          <w:sz w:val="22"/>
          <w:szCs w:val="22"/>
        </w:rPr>
        <w:t>farmakodinámiás</w:t>
      </w:r>
      <w:proofErr w:type="spellEnd"/>
      <w:r>
        <w:rPr>
          <w:sz w:val="22"/>
          <w:szCs w:val="22"/>
        </w:rPr>
        <w:t xml:space="preserve"> tulajdonságok alapján ezek az eredmények más ACE-gátlók és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>-receptor-blokkolók esetében is relevánsak.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Ezért az ACE-gátlók és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nem adhatók együtt diabeteses </w:t>
      </w:r>
      <w:proofErr w:type="spellStart"/>
      <w:r>
        <w:rPr>
          <w:sz w:val="22"/>
          <w:szCs w:val="22"/>
        </w:rPr>
        <w:t>nephropathiában</w:t>
      </w:r>
      <w:proofErr w:type="spellEnd"/>
      <w:r>
        <w:rPr>
          <w:sz w:val="22"/>
          <w:szCs w:val="22"/>
        </w:rPr>
        <w:t xml:space="preserve"> szenvedő betegeknek.</w:t>
      </w:r>
    </w:p>
    <w:p w:rsidR="00601E88" w:rsidRDefault="00CD7A0A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Az ALTITUDE (</w:t>
      </w:r>
      <w:proofErr w:type="spellStart"/>
      <w:r w:rsidRPr="009A4DF2">
        <w:rPr>
          <w:bCs/>
          <w:i/>
          <w:sz w:val="22"/>
          <w:szCs w:val="22"/>
        </w:rPr>
        <w:t>Aliskiren</w:t>
      </w:r>
      <w:proofErr w:type="spellEnd"/>
      <w:r w:rsidRPr="009A4DF2">
        <w:rPr>
          <w:bCs/>
          <w:i/>
          <w:sz w:val="22"/>
          <w:szCs w:val="22"/>
        </w:rPr>
        <w:t xml:space="preserve"> </w:t>
      </w:r>
      <w:proofErr w:type="spellStart"/>
      <w:r w:rsidRPr="009A4DF2">
        <w:rPr>
          <w:bCs/>
          <w:i/>
          <w:sz w:val="22"/>
          <w:szCs w:val="22"/>
        </w:rPr>
        <w:t>Trial</w:t>
      </w:r>
      <w:proofErr w:type="spellEnd"/>
      <w:r w:rsidRPr="009A4DF2">
        <w:rPr>
          <w:bCs/>
          <w:i/>
          <w:sz w:val="22"/>
          <w:szCs w:val="22"/>
        </w:rPr>
        <w:t xml:space="preserve"> in </w:t>
      </w:r>
      <w:proofErr w:type="spellStart"/>
      <w:r w:rsidRPr="009A4DF2">
        <w:rPr>
          <w:bCs/>
          <w:i/>
          <w:sz w:val="22"/>
          <w:szCs w:val="22"/>
        </w:rPr>
        <w:t>Type</w:t>
      </w:r>
      <w:proofErr w:type="spellEnd"/>
      <w:r w:rsidRPr="009A4DF2">
        <w:rPr>
          <w:bCs/>
          <w:i/>
          <w:sz w:val="22"/>
          <w:szCs w:val="22"/>
        </w:rPr>
        <w:t xml:space="preserve"> 2 Diabetes </w:t>
      </w:r>
      <w:proofErr w:type="spellStart"/>
      <w:r w:rsidRPr="009A4DF2">
        <w:rPr>
          <w:bCs/>
          <w:i/>
          <w:sz w:val="22"/>
          <w:szCs w:val="22"/>
        </w:rPr>
        <w:t>Using</w:t>
      </w:r>
      <w:proofErr w:type="spellEnd"/>
      <w:r w:rsidRPr="009A4DF2">
        <w:rPr>
          <w:bCs/>
          <w:i/>
          <w:sz w:val="22"/>
          <w:szCs w:val="22"/>
        </w:rPr>
        <w:t xml:space="preserve"> </w:t>
      </w:r>
      <w:proofErr w:type="spellStart"/>
      <w:r w:rsidRPr="009A4DF2">
        <w:rPr>
          <w:bCs/>
          <w:i/>
          <w:sz w:val="22"/>
          <w:szCs w:val="22"/>
        </w:rPr>
        <w:t>Cardiovascular</w:t>
      </w:r>
      <w:proofErr w:type="spellEnd"/>
      <w:r w:rsidRPr="009A4DF2">
        <w:rPr>
          <w:bCs/>
          <w:i/>
          <w:sz w:val="22"/>
          <w:szCs w:val="22"/>
        </w:rPr>
        <w:t xml:space="preserve"> and </w:t>
      </w:r>
      <w:proofErr w:type="spellStart"/>
      <w:r w:rsidRPr="009A4DF2">
        <w:rPr>
          <w:bCs/>
          <w:i/>
          <w:sz w:val="22"/>
          <w:szCs w:val="22"/>
        </w:rPr>
        <w:t>Renal</w:t>
      </w:r>
      <w:proofErr w:type="spellEnd"/>
      <w:r w:rsidRPr="009A4DF2">
        <w:rPr>
          <w:bCs/>
          <w:i/>
          <w:sz w:val="22"/>
          <w:szCs w:val="22"/>
        </w:rPr>
        <w:t xml:space="preserve"> </w:t>
      </w:r>
      <w:proofErr w:type="spellStart"/>
      <w:r w:rsidRPr="009A4DF2">
        <w:rPr>
          <w:bCs/>
          <w:i/>
          <w:sz w:val="22"/>
          <w:szCs w:val="22"/>
        </w:rPr>
        <w:t>Disease</w:t>
      </w:r>
      <w:proofErr w:type="spellEnd"/>
      <w:r w:rsidRPr="009A4DF2">
        <w:rPr>
          <w:bCs/>
          <w:i/>
          <w:sz w:val="22"/>
          <w:szCs w:val="22"/>
        </w:rPr>
        <w:t xml:space="preserve"> </w:t>
      </w:r>
      <w:proofErr w:type="spellStart"/>
      <w:r w:rsidRPr="009A4DF2">
        <w:rPr>
          <w:bCs/>
          <w:i/>
          <w:sz w:val="22"/>
          <w:szCs w:val="22"/>
        </w:rPr>
        <w:t>Endpoints</w:t>
      </w:r>
      <w:proofErr w:type="spellEnd"/>
      <w:r>
        <w:rPr>
          <w:bCs/>
          <w:sz w:val="22"/>
          <w:szCs w:val="22"/>
        </w:rPr>
        <w:t xml:space="preserve">) vizsgálat célja az volt, hogy megállapítsák, előnyös-e a standard ACE-gátló vagy </w:t>
      </w:r>
      <w:proofErr w:type="spellStart"/>
      <w:r>
        <w:rPr>
          <w:bCs/>
          <w:sz w:val="22"/>
          <w:szCs w:val="22"/>
        </w:rPr>
        <w:t>angioten</w:t>
      </w:r>
      <w:r w:rsidR="00F23C75">
        <w:rPr>
          <w:bCs/>
          <w:sz w:val="22"/>
          <w:szCs w:val="22"/>
        </w:rPr>
        <w:t>zin</w:t>
      </w:r>
      <w:proofErr w:type="spellEnd"/>
      <w:r w:rsidR="00F23C75">
        <w:rPr>
          <w:bCs/>
          <w:sz w:val="22"/>
          <w:szCs w:val="22"/>
        </w:rPr>
        <w:t> II</w:t>
      </w:r>
      <w:r>
        <w:rPr>
          <w:bCs/>
          <w:sz w:val="22"/>
          <w:szCs w:val="22"/>
        </w:rPr>
        <w:t xml:space="preserve">-receptor-blokkoló-kezelés kiegészítése </w:t>
      </w:r>
      <w:proofErr w:type="spellStart"/>
      <w:r>
        <w:rPr>
          <w:bCs/>
          <w:sz w:val="22"/>
          <w:szCs w:val="22"/>
        </w:rPr>
        <w:t>aliszkirénnel</w:t>
      </w:r>
      <w:proofErr w:type="spellEnd"/>
      <w:r>
        <w:rPr>
          <w:bCs/>
          <w:sz w:val="22"/>
          <w:szCs w:val="22"/>
        </w:rPr>
        <w:t xml:space="preserve"> 2-es típusú diabetesben és krónikus vesebetegségben, illetve kardiovaszkuláris betegségben vagy mindkettőben szenvedő betegeknél. A vizsgálatot idő előtt leállították, mert nőtt a mellékhatások kockázata. A kardiovaszkuláris eredetű halál és a stroke szám szerint gyakoribb volt az </w:t>
      </w:r>
      <w:proofErr w:type="spellStart"/>
      <w:r>
        <w:rPr>
          <w:bCs/>
          <w:sz w:val="22"/>
          <w:szCs w:val="22"/>
        </w:rPr>
        <w:t>aliszkirén</w:t>
      </w:r>
      <w:proofErr w:type="spellEnd"/>
      <w:r>
        <w:rPr>
          <w:bCs/>
          <w:sz w:val="22"/>
          <w:szCs w:val="22"/>
        </w:rPr>
        <w:t>-csoportban, mint a placebocsoportban. A jelentős mellékhatások, illetve súlyos mellékhatások (</w:t>
      </w:r>
      <w:proofErr w:type="spellStart"/>
      <w:r>
        <w:rPr>
          <w:bCs/>
          <w:sz w:val="22"/>
          <w:szCs w:val="22"/>
        </w:rPr>
        <w:t>hyperkalaemia</w:t>
      </w:r>
      <w:proofErr w:type="spellEnd"/>
      <w:r>
        <w:rPr>
          <w:bCs/>
          <w:sz w:val="22"/>
          <w:szCs w:val="22"/>
        </w:rPr>
        <w:t xml:space="preserve">, </w:t>
      </w:r>
      <w:proofErr w:type="spellStart"/>
      <w:r>
        <w:rPr>
          <w:bCs/>
          <w:sz w:val="22"/>
          <w:szCs w:val="22"/>
        </w:rPr>
        <w:t>hypotonia</w:t>
      </w:r>
      <w:proofErr w:type="spellEnd"/>
      <w:r>
        <w:rPr>
          <w:bCs/>
          <w:sz w:val="22"/>
          <w:szCs w:val="22"/>
        </w:rPr>
        <w:t xml:space="preserve"> és veseműködési zavar) is gyakoribbak voltak az </w:t>
      </w:r>
      <w:proofErr w:type="spellStart"/>
      <w:r>
        <w:rPr>
          <w:bCs/>
          <w:sz w:val="22"/>
          <w:szCs w:val="22"/>
        </w:rPr>
        <w:t>aliszkirén</w:t>
      </w:r>
      <w:proofErr w:type="spellEnd"/>
      <w:r>
        <w:rPr>
          <w:bCs/>
          <w:sz w:val="22"/>
          <w:szCs w:val="22"/>
        </w:rPr>
        <w:t>-csoportban, mint a placebocsoportban.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Gyermekek és serdülők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Gyermekkori </w:t>
      </w:r>
      <w:proofErr w:type="spellStart"/>
      <w:r>
        <w:rPr>
          <w:sz w:val="22"/>
          <w:szCs w:val="22"/>
          <w:u w:val="single"/>
          <w:lang w:eastAsia="en-US"/>
        </w:rPr>
        <w:t>hypertonia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antihypertoniás</w:t>
      </w:r>
      <w:proofErr w:type="spellEnd"/>
      <w:r>
        <w:rPr>
          <w:sz w:val="22"/>
          <w:szCs w:val="22"/>
          <w:lang w:eastAsia="en-US"/>
        </w:rPr>
        <w:t xml:space="preserve"> hatását egy olyan klinikai vizsgálat során állapították meg, amelyben 177, 6 és 16 év közötti, </w:t>
      </w:r>
      <w:proofErr w:type="spellStart"/>
      <w:r>
        <w:rPr>
          <w:sz w:val="22"/>
          <w:szCs w:val="22"/>
          <w:lang w:eastAsia="en-US"/>
        </w:rPr>
        <w:t>hypertoniában</w:t>
      </w:r>
      <w:proofErr w:type="spellEnd"/>
      <w:r>
        <w:rPr>
          <w:sz w:val="22"/>
          <w:szCs w:val="22"/>
          <w:lang w:eastAsia="en-US"/>
        </w:rPr>
        <w:t xml:space="preserve"> szenvedő gyermek és serdülő vett részt, akiknek </w:t>
      </w:r>
      <w:proofErr w:type="gramStart"/>
      <w:r>
        <w:rPr>
          <w:sz w:val="22"/>
          <w:szCs w:val="22"/>
          <w:lang w:eastAsia="en-US"/>
        </w:rPr>
        <w:t>testtömege &gt;</w:t>
      </w:r>
      <w:proofErr w:type="gramEnd"/>
      <w:r w:rsidR="00E54BC4">
        <w:rPr>
          <w:sz w:val="22"/>
          <w:szCs w:val="22"/>
          <w:lang w:eastAsia="en-US"/>
        </w:rPr>
        <w:t> </w:t>
      </w:r>
      <w:smartTag w:uri="urn:schemas-microsoft-com:office:smarttags" w:element="metricconverter">
        <w:smartTagPr>
          <w:attr w:name="ProductID" w:val="20ﾠkg"/>
        </w:smartTagPr>
        <w:r>
          <w:rPr>
            <w:sz w:val="22"/>
            <w:szCs w:val="22"/>
            <w:lang w:eastAsia="en-US"/>
          </w:rPr>
          <w:t>20 kg</w:t>
        </w:r>
      </w:smartTag>
      <w:r>
        <w:rPr>
          <w:sz w:val="22"/>
          <w:szCs w:val="22"/>
          <w:lang w:eastAsia="en-US"/>
        </w:rPr>
        <w:t xml:space="preserve"> és </w:t>
      </w:r>
      <w:proofErr w:type="spellStart"/>
      <w:r>
        <w:rPr>
          <w:sz w:val="22"/>
          <w:szCs w:val="22"/>
          <w:lang w:eastAsia="en-US"/>
        </w:rPr>
        <w:t>glomerul</w:t>
      </w:r>
      <w:r w:rsidR="004D5B14">
        <w:rPr>
          <w:sz w:val="22"/>
          <w:szCs w:val="22"/>
          <w:lang w:eastAsia="en-US"/>
        </w:rPr>
        <w:t>u</w:t>
      </w:r>
      <w:r>
        <w:rPr>
          <w:sz w:val="22"/>
          <w:szCs w:val="22"/>
          <w:lang w:eastAsia="en-US"/>
        </w:rPr>
        <w:t>s</w:t>
      </w:r>
      <w:proofErr w:type="spellEnd"/>
      <w:r>
        <w:rPr>
          <w:sz w:val="22"/>
          <w:szCs w:val="22"/>
          <w:lang w:eastAsia="en-US"/>
        </w:rPr>
        <w:t xml:space="preserve"> filtrációs rátája &gt;</w:t>
      </w:r>
      <w:r w:rsidR="00E54BC4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30 ml/perc/1,73 m</w:t>
      </w:r>
      <w:r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 xml:space="preserve"> volt. A </w:t>
      </w:r>
      <w:smartTag w:uri="urn:schemas-microsoft-com:office:smarttags" w:element="metricconverter">
        <w:smartTagPr>
          <w:attr w:name="ProductID" w:val="20ﾠkg"/>
        </w:smartTagPr>
        <w:r>
          <w:rPr>
            <w:sz w:val="22"/>
            <w:szCs w:val="22"/>
            <w:lang w:eastAsia="en-US"/>
          </w:rPr>
          <w:t>20 kg</w:t>
        </w:r>
      </w:smartTag>
      <w:r>
        <w:rPr>
          <w:sz w:val="22"/>
          <w:szCs w:val="22"/>
          <w:lang w:eastAsia="en-US"/>
        </w:rPr>
        <w:t xml:space="preserve"> és </w:t>
      </w:r>
      <w:smartTag w:uri="urn:schemas-microsoft-com:office:smarttags" w:element="metricconverter">
        <w:smartTagPr>
          <w:attr w:name="ProductID" w:val="50ﾠkg"/>
        </w:smartTagPr>
        <w:r>
          <w:rPr>
            <w:sz w:val="22"/>
            <w:szCs w:val="22"/>
            <w:lang w:eastAsia="en-US"/>
          </w:rPr>
          <w:t>50 kg</w:t>
        </w:r>
      </w:smartTag>
      <w:r>
        <w:rPr>
          <w:sz w:val="22"/>
          <w:szCs w:val="22"/>
          <w:lang w:eastAsia="en-US"/>
        </w:rPr>
        <w:t xml:space="preserve"> közötti testtömegű betegek </w:t>
      </w:r>
      <w:r>
        <w:rPr>
          <w:sz w:val="22"/>
          <w:szCs w:val="22"/>
          <w:lang w:eastAsia="en-US"/>
        </w:rPr>
        <w:lastRenderedPageBreak/>
        <w:t xml:space="preserve">napi 2,5 mg, 25 mg vagy 50 mg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kaptak, az </w:t>
      </w:r>
      <w:smartTag w:uri="urn:schemas-microsoft-com:office:smarttags" w:element="metricconverter">
        <w:smartTagPr>
          <w:attr w:name="ProductID" w:val="50ﾠkg"/>
        </w:smartTagPr>
        <w:r>
          <w:rPr>
            <w:sz w:val="22"/>
            <w:szCs w:val="22"/>
            <w:lang w:eastAsia="en-US"/>
          </w:rPr>
          <w:t>50 kg</w:t>
        </w:r>
      </w:smartTag>
      <w:r>
        <w:rPr>
          <w:sz w:val="22"/>
          <w:szCs w:val="22"/>
          <w:lang w:eastAsia="en-US"/>
        </w:rPr>
        <w:t xml:space="preserve"> feletti testtömegű betegek pedig napi 5 mg, 50 mg vagy 100 mg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kaptak. A harmadik hét végére a naponta egyszer adagolt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dózisfüggő módon csökkentette a vérnyomást a maradékhatás időpontjában.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Összességében véve, megfigyelhető volt a dózis-válasz. A dózis-hatás összefüggés az alacsony és közepes dózist szedő csoportok összehasonlításakor igen egyértelmű volt (I. periódus: –6,2 Hgmm vs. –11,65 Hgmm), de a közepes és nagy dózist szedő csoport összehasonlításakor a dózis-hatás összefüggés gyengébbnek bizonyult (I. periódus: –11,65 vs. –12,21 Hgmm). A legkisebb vizsgált dózisok, a 2,5 mg és az 5 mg, amelyek 0,07 mg/</w:t>
      </w:r>
      <w:proofErr w:type="spellStart"/>
      <w:r>
        <w:rPr>
          <w:sz w:val="22"/>
          <w:szCs w:val="22"/>
          <w:lang w:eastAsia="en-US"/>
        </w:rPr>
        <w:t>ttkg</w:t>
      </w:r>
      <w:proofErr w:type="spellEnd"/>
      <w:r>
        <w:rPr>
          <w:sz w:val="22"/>
          <w:szCs w:val="22"/>
          <w:lang w:eastAsia="en-US"/>
        </w:rPr>
        <w:t xml:space="preserve"> átlagos napi dózisnak felelnek meg, nem biztosítottak következetes vérnyomáscsökkentő </w:t>
      </w:r>
      <w:proofErr w:type="spellStart"/>
      <w:r>
        <w:rPr>
          <w:sz w:val="22"/>
          <w:szCs w:val="22"/>
          <w:lang w:eastAsia="en-US"/>
        </w:rPr>
        <w:t>hatásosságot</w:t>
      </w:r>
      <w:proofErr w:type="spellEnd"/>
      <w:r>
        <w:rPr>
          <w:sz w:val="22"/>
          <w:szCs w:val="22"/>
          <w:lang w:eastAsia="en-US"/>
        </w:rPr>
        <w:t>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Ezeket az eredményeket megerősítette a vizsgálat II. periódusa, ahol három hét után a betegek </w:t>
      </w:r>
      <w:proofErr w:type="spellStart"/>
      <w:r>
        <w:rPr>
          <w:sz w:val="22"/>
          <w:szCs w:val="22"/>
          <w:lang w:eastAsia="en-US"/>
        </w:rPr>
        <w:t>randomizációt</w:t>
      </w:r>
      <w:proofErr w:type="spellEnd"/>
      <w:r>
        <w:rPr>
          <w:sz w:val="22"/>
          <w:szCs w:val="22"/>
          <w:lang w:eastAsia="en-US"/>
        </w:rPr>
        <w:t xml:space="preserve"> követően folytatták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-kezelést, vagy </w:t>
      </w:r>
      <w:proofErr w:type="spellStart"/>
      <w:r>
        <w:rPr>
          <w:sz w:val="22"/>
          <w:szCs w:val="22"/>
          <w:lang w:eastAsia="en-US"/>
        </w:rPr>
        <w:t>placebót</w:t>
      </w:r>
      <w:proofErr w:type="spellEnd"/>
      <w:r>
        <w:rPr>
          <w:sz w:val="22"/>
          <w:szCs w:val="22"/>
          <w:lang w:eastAsia="en-US"/>
        </w:rPr>
        <w:t xml:space="preserve"> kaptak. A vérnyomás</w:t>
      </w:r>
      <w:r w:rsidR="00E54BC4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 xml:space="preserve">emelkedésben jelentkező különbség a </w:t>
      </w:r>
      <w:proofErr w:type="spellStart"/>
      <w:r>
        <w:rPr>
          <w:sz w:val="22"/>
          <w:szCs w:val="22"/>
          <w:lang w:eastAsia="en-US"/>
        </w:rPr>
        <w:t>placebóhoz</w:t>
      </w:r>
      <w:proofErr w:type="spellEnd"/>
      <w:r>
        <w:rPr>
          <w:sz w:val="22"/>
          <w:szCs w:val="22"/>
          <w:lang w:eastAsia="en-US"/>
        </w:rPr>
        <w:t xml:space="preserve"> képest a közepes dóziscsoportban volt a legnagyobb (6,70 Hgmm közepes dózis esetén vs. 5,38 Hgmm nagy dózis esetén). A maradékhatás időpontjában mért diasztolés vérnyomás emelkedése a </w:t>
      </w:r>
      <w:proofErr w:type="spellStart"/>
      <w:r>
        <w:rPr>
          <w:sz w:val="22"/>
          <w:szCs w:val="22"/>
          <w:lang w:eastAsia="en-US"/>
        </w:rPr>
        <w:t>placebót</w:t>
      </w:r>
      <w:proofErr w:type="spellEnd"/>
      <w:r>
        <w:rPr>
          <w:sz w:val="22"/>
          <w:szCs w:val="22"/>
          <w:lang w:eastAsia="en-US"/>
        </w:rPr>
        <w:t xml:space="preserve"> kapó és a legkisebb dózisú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 w:rsidR="00E54BC4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kezelést folytató betegek minden csoportjában azonos volt, mely ismét azt jelzi, hogy az egyes csoportokban a legkisebb dózisnak nem volt szignifikáns vérnyomáscsökkentő hatása.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hosszú távú hatásait a növekedésre, a pubertáskorra és az általános fejlődésre nem vizsgálták.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végzett vérnyomáscsökkentő kezelés hosszú távú gyermekkori hatásosságát a kardiovaszkuláris morbiditás és mortalitás csökkentésére szintén nem állapították meg.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</w:t>
      </w:r>
      <w:proofErr w:type="spellStart"/>
      <w:r>
        <w:rPr>
          <w:color w:val="000000"/>
          <w:sz w:val="22"/>
          <w:szCs w:val="22"/>
          <w:lang w:eastAsia="de-DE"/>
        </w:rPr>
        <w:t>proteinuriára</w:t>
      </w:r>
      <w:proofErr w:type="spellEnd"/>
      <w:r>
        <w:rPr>
          <w:color w:val="000000"/>
          <w:sz w:val="22"/>
          <w:szCs w:val="22"/>
          <w:lang w:eastAsia="de-DE"/>
        </w:rPr>
        <w:t xml:space="preserve"> kifejtett hatását egy</w:t>
      </w:r>
      <w:r>
        <w:t xml:space="preserve"> </w:t>
      </w:r>
      <w:proofErr w:type="spellStart"/>
      <w:r>
        <w:rPr>
          <w:color w:val="000000"/>
          <w:sz w:val="22"/>
          <w:szCs w:val="22"/>
          <w:lang w:eastAsia="de-DE"/>
        </w:rPr>
        <w:t>proteinuriában</w:t>
      </w:r>
      <w:proofErr w:type="spellEnd"/>
      <w:r>
        <w:rPr>
          <w:color w:val="000000"/>
          <w:sz w:val="22"/>
          <w:szCs w:val="22"/>
          <w:lang w:eastAsia="de-DE"/>
        </w:rPr>
        <w:t xml:space="preserve"> szenvedő,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60), illetve </w:t>
      </w:r>
      <w:proofErr w:type="spellStart"/>
      <w:r>
        <w:rPr>
          <w:color w:val="000000"/>
          <w:sz w:val="22"/>
          <w:szCs w:val="22"/>
          <w:lang w:eastAsia="de-DE"/>
        </w:rPr>
        <w:t>normotoniás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246) gyermekeken és serdülőkön végzett 12 hetes, placebo</w:t>
      </w:r>
      <w:r>
        <w:rPr>
          <w:color w:val="000000"/>
          <w:sz w:val="22"/>
          <w:szCs w:val="22"/>
          <w:lang w:eastAsia="de-DE"/>
        </w:rPr>
        <w:noBreakHyphen/>
        <w:t xml:space="preserve"> és aktív (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t xml:space="preserve">) kontrollos klinikai vizsgálatban értékelték. A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meghatározása a ≥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0,3 vizelet protein/kreatinin arány volt. A (6</w:t>
      </w:r>
      <w:r>
        <w:rPr>
          <w:color w:val="000000"/>
          <w:sz w:val="22"/>
          <w:szCs w:val="22"/>
          <w:lang w:eastAsia="de-DE"/>
        </w:rPr>
        <w:noBreakHyphen/>
        <w:t xml:space="preserve">18 éves)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 a </w:t>
      </w:r>
      <w:proofErr w:type="spellStart"/>
      <w:r>
        <w:rPr>
          <w:color w:val="000000"/>
          <w:sz w:val="22"/>
          <w:szCs w:val="22"/>
          <w:lang w:eastAsia="de-DE"/>
        </w:rPr>
        <w:t>randomizációt</w:t>
      </w:r>
      <w:proofErr w:type="spellEnd"/>
      <w:r>
        <w:rPr>
          <w:color w:val="000000"/>
          <w:sz w:val="22"/>
          <w:szCs w:val="22"/>
          <w:lang w:eastAsia="de-DE"/>
        </w:rPr>
        <w:t xml:space="preserve"> követően vagy </w:t>
      </w:r>
      <w:proofErr w:type="spellStart"/>
      <w:r>
        <w:rPr>
          <w:color w:val="000000"/>
          <w:sz w:val="22"/>
          <w:szCs w:val="22"/>
          <w:lang w:eastAsia="de-DE"/>
        </w:rPr>
        <w:t>lozartánt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E54BC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E54BC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30) vagy </w:t>
      </w:r>
      <w:proofErr w:type="spellStart"/>
      <w:r>
        <w:rPr>
          <w:color w:val="000000"/>
          <w:sz w:val="22"/>
          <w:szCs w:val="22"/>
          <w:lang w:eastAsia="de-DE"/>
        </w:rPr>
        <w:t>amlodipint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30) kaptak. A (1</w:t>
      </w:r>
      <w:r>
        <w:rPr>
          <w:color w:val="000000"/>
          <w:sz w:val="22"/>
          <w:szCs w:val="22"/>
          <w:lang w:eastAsia="de-DE"/>
        </w:rPr>
        <w:noBreakHyphen/>
        <w:t xml:space="preserve">18 éves) </w:t>
      </w:r>
      <w:proofErr w:type="spellStart"/>
      <w:r>
        <w:rPr>
          <w:color w:val="000000"/>
          <w:sz w:val="22"/>
          <w:szCs w:val="22"/>
          <w:lang w:eastAsia="de-DE"/>
        </w:rPr>
        <w:t>normotoniás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 a </w:t>
      </w:r>
      <w:proofErr w:type="spellStart"/>
      <w:r>
        <w:rPr>
          <w:color w:val="000000"/>
          <w:sz w:val="22"/>
          <w:szCs w:val="22"/>
          <w:lang w:eastAsia="de-DE"/>
        </w:rPr>
        <w:t>randomizációt</w:t>
      </w:r>
      <w:proofErr w:type="spellEnd"/>
      <w:r>
        <w:rPr>
          <w:color w:val="000000"/>
          <w:sz w:val="22"/>
          <w:szCs w:val="22"/>
          <w:lang w:eastAsia="de-DE"/>
        </w:rPr>
        <w:t xml:space="preserve"> követően vagy </w:t>
      </w:r>
      <w:proofErr w:type="spellStart"/>
      <w:r>
        <w:rPr>
          <w:color w:val="000000"/>
          <w:sz w:val="22"/>
          <w:szCs w:val="22"/>
          <w:lang w:eastAsia="de-DE"/>
        </w:rPr>
        <w:t>lozartánt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122) vagy </w:t>
      </w:r>
      <w:proofErr w:type="spellStart"/>
      <w:r>
        <w:rPr>
          <w:color w:val="000000"/>
          <w:sz w:val="22"/>
          <w:szCs w:val="22"/>
          <w:lang w:eastAsia="de-DE"/>
        </w:rPr>
        <w:t>placebót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124) kaptak.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alkalmazott dózisa 0,7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r>
        <w:rPr>
          <w:color w:val="000000"/>
          <w:sz w:val="22"/>
          <w:szCs w:val="22"/>
          <w:lang w:eastAsia="de-DE"/>
        </w:rPr>
        <w:noBreakHyphen/>
        <w:t>tól</w:t>
      </w:r>
      <w:proofErr w:type="spellEnd"/>
      <w:r>
        <w:rPr>
          <w:color w:val="000000"/>
          <w:sz w:val="22"/>
          <w:szCs w:val="22"/>
          <w:lang w:eastAsia="de-DE"/>
        </w:rPr>
        <w:t xml:space="preserve"> 1,4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r>
        <w:rPr>
          <w:color w:val="000000"/>
          <w:sz w:val="22"/>
          <w:szCs w:val="22"/>
          <w:lang w:eastAsia="de-DE"/>
        </w:rPr>
        <w:noBreakHyphen/>
        <w:t>ig</w:t>
      </w:r>
      <w:proofErr w:type="spellEnd"/>
      <w:r>
        <w:rPr>
          <w:color w:val="000000"/>
          <w:sz w:val="22"/>
          <w:szCs w:val="22"/>
          <w:lang w:eastAsia="de-DE"/>
        </w:rPr>
        <w:t xml:space="preserve"> (legfeljebb napi maximum 100 mg) terjedt. Az 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t xml:space="preserve"> alkalmazott dózisa 0,05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r>
        <w:rPr>
          <w:color w:val="000000"/>
          <w:sz w:val="22"/>
          <w:szCs w:val="22"/>
          <w:lang w:eastAsia="de-DE"/>
        </w:rPr>
        <w:noBreakHyphen/>
        <w:t>tól</w:t>
      </w:r>
      <w:proofErr w:type="spellEnd"/>
      <w:r>
        <w:rPr>
          <w:color w:val="000000"/>
          <w:sz w:val="22"/>
          <w:szCs w:val="22"/>
          <w:lang w:eastAsia="de-DE"/>
        </w:rPr>
        <w:t xml:space="preserve"> 0,2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r>
        <w:rPr>
          <w:color w:val="000000"/>
          <w:sz w:val="22"/>
          <w:szCs w:val="22"/>
          <w:lang w:eastAsia="de-DE"/>
        </w:rPr>
        <w:noBreakHyphen/>
        <w:t>ig</w:t>
      </w:r>
      <w:proofErr w:type="spellEnd"/>
      <w:r>
        <w:rPr>
          <w:color w:val="000000"/>
          <w:sz w:val="22"/>
          <w:szCs w:val="22"/>
          <w:lang w:eastAsia="de-DE"/>
        </w:rPr>
        <w:t xml:space="preserve"> (legfeljebb napi maximum 5 mg) terjedt.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Összességében véve a 12 hetes kezelést követően a </w:t>
      </w:r>
      <w:proofErr w:type="spellStart"/>
      <w:r>
        <w:rPr>
          <w:color w:val="000000"/>
          <w:sz w:val="22"/>
          <w:szCs w:val="22"/>
          <w:lang w:eastAsia="de-DE"/>
        </w:rPr>
        <w:t>lozartánt</w:t>
      </w:r>
      <w:proofErr w:type="spellEnd"/>
      <w:r>
        <w:rPr>
          <w:color w:val="000000"/>
          <w:sz w:val="22"/>
          <w:szCs w:val="22"/>
          <w:lang w:eastAsia="de-DE"/>
        </w:rPr>
        <w:t xml:space="preserve"> szedő betegek körében a vizsgálat elején fennálló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mértékét tekintve statisztikailag szignifikáns, 36%</w:t>
      </w:r>
      <w:r>
        <w:rPr>
          <w:color w:val="000000"/>
          <w:sz w:val="22"/>
          <w:szCs w:val="22"/>
          <w:lang w:eastAsia="de-DE"/>
        </w:rPr>
        <w:noBreakHyphen/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csökkenés mutatkozott a placebo/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t>-csoportban mért 1%</w:t>
      </w:r>
      <w:r>
        <w:rPr>
          <w:color w:val="000000"/>
          <w:sz w:val="22"/>
          <w:szCs w:val="22"/>
          <w:lang w:eastAsia="de-DE"/>
        </w:rPr>
        <w:noBreakHyphen/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növekedéssel szemben. A </w:t>
      </w:r>
      <w:proofErr w:type="spellStart"/>
      <w:r>
        <w:rPr>
          <w:color w:val="000000"/>
          <w:sz w:val="22"/>
          <w:szCs w:val="22"/>
          <w:lang w:eastAsia="de-DE"/>
        </w:rPr>
        <w:t>lozartánt</w:t>
      </w:r>
      <w:proofErr w:type="spellEnd"/>
      <w:r>
        <w:rPr>
          <w:color w:val="000000"/>
          <w:sz w:val="22"/>
          <w:szCs w:val="22"/>
          <w:lang w:eastAsia="de-DE"/>
        </w:rPr>
        <w:t xml:space="preserve"> szedő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betegeknél a vizsgálat elején fennálló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mértéke 41,5%</w:t>
      </w:r>
      <w:r>
        <w:rPr>
          <w:color w:val="000000"/>
          <w:sz w:val="22"/>
          <w:szCs w:val="22"/>
          <w:lang w:eastAsia="de-DE"/>
        </w:rPr>
        <w:noBreakHyphen/>
      </w:r>
      <w:proofErr w:type="spellStart"/>
      <w:r>
        <w:rPr>
          <w:color w:val="000000"/>
          <w:sz w:val="22"/>
          <w:szCs w:val="22"/>
          <w:lang w:eastAsia="de-DE"/>
        </w:rPr>
        <w:t>kal</w:t>
      </w:r>
      <w:proofErr w:type="spellEnd"/>
      <w:r>
        <w:rPr>
          <w:color w:val="000000"/>
          <w:sz w:val="22"/>
          <w:szCs w:val="22"/>
          <w:lang w:eastAsia="de-DE"/>
        </w:rPr>
        <w:t xml:space="preserve"> csökkent </w:t>
      </w:r>
      <w:r>
        <w:rPr>
          <w:sz w:val="22"/>
          <w:szCs w:val="22"/>
        </w:rPr>
        <w:t>(95%-</w:t>
      </w:r>
      <w:proofErr w:type="spellStart"/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CI</w:t>
      </w:r>
      <w:r w:rsidR="00E54BC4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E54BC4">
        <w:rPr>
          <w:sz w:val="22"/>
          <w:szCs w:val="22"/>
        </w:rPr>
        <w:noBreakHyphen/>
      </w:r>
      <w:r>
        <w:rPr>
          <w:sz w:val="22"/>
          <w:szCs w:val="22"/>
        </w:rPr>
        <w:t>29,9;</w:t>
      </w:r>
      <w:r w:rsidR="00E54BC4">
        <w:rPr>
          <w:sz w:val="22"/>
          <w:szCs w:val="22"/>
        </w:rPr>
        <w:noBreakHyphen/>
      </w:r>
      <w:r>
        <w:rPr>
          <w:sz w:val="22"/>
          <w:szCs w:val="22"/>
        </w:rPr>
        <w:t xml:space="preserve">51,1), </w:t>
      </w:r>
      <w:r>
        <w:rPr>
          <w:color w:val="000000"/>
          <w:sz w:val="22"/>
          <w:szCs w:val="22"/>
          <w:lang w:eastAsia="de-DE"/>
        </w:rPr>
        <w:t xml:space="preserve">míg az 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noBreakHyphen/>
        <w:t>csoportban mért 2,4%</w:t>
      </w:r>
      <w:r>
        <w:rPr>
          <w:color w:val="000000"/>
          <w:sz w:val="22"/>
          <w:szCs w:val="22"/>
          <w:lang w:eastAsia="de-DE"/>
        </w:rPr>
        <w:noBreakHyphen/>
      </w:r>
      <w:proofErr w:type="spellStart"/>
      <w:r>
        <w:rPr>
          <w:color w:val="000000"/>
          <w:sz w:val="22"/>
          <w:szCs w:val="22"/>
          <w:lang w:eastAsia="de-DE"/>
        </w:rPr>
        <w:t>kal</w:t>
      </w:r>
      <w:proofErr w:type="spellEnd"/>
      <w:r>
        <w:rPr>
          <w:color w:val="000000"/>
          <w:sz w:val="22"/>
          <w:szCs w:val="22"/>
          <w:lang w:eastAsia="de-DE"/>
        </w:rPr>
        <w:t xml:space="preserve"> nőtt </w:t>
      </w:r>
      <w:r>
        <w:rPr>
          <w:sz w:val="22"/>
          <w:szCs w:val="22"/>
        </w:rPr>
        <w:t>(95%-</w:t>
      </w:r>
      <w:proofErr w:type="spellStart"/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CI</w:t>
      </w:r>
      <w:r w:rsidR="00E54BC4">
        <w:rPr>
          <w:sz w:val="22"/>
          <w:szCs w:val="22"/>
        </w:rPr>
        <w:t>:</w:t>
      </w:r>
      <w:r>
        <w:rPr>
          <w:sz w:val="22"/>
          <w:szCs w:val="22"/>
        </w:rPr>
        <w:t xml:space="preserve"> –22,2</w:t>
      </w:r>
      <w:proofErr w:type="gramStart"/>
      <w:r>
        <w:rPr>
          <w:sz w:val="22"/>
          <w:szCs w:val="22"/>
        </w:rPr>
        <w:t>;14</w:t>
      </w:r>
      <w:proofErr w:type="gramEnd"/>
      <w:r>
        <w:rPr>
          <w:sz w:val="22"/>
          <w:szCs w:val="22"/>
        </w:rPr>
        <w:t>,1)</w:t>
      </w:r>
      <w:r>
        <w:rPr>
          <w:color w:val="000000"/>
          <w:sz w:val="22"/>
          <w:szCs w:val="22"/>
          <w:lang w:eastAsia="de-DE"/>
        </w:rPr>
        <w:t>.</w:t>
      </w: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Mind a szisztolés, mind a diasztolés vérnyomás csökkenése nagyobb mértékű volt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noBreakHyphen/>
        <w:t xml:space="preserve">csoportban </w:t>
      </w:r>
      <w:r>
        <w:rPr>
          <w:sz w:val="22"/>
          <w:szCs w:val="22"/>
        </w:rPr>
        <w:t>(–5,5/–3,8 Hgmm)</w:t>
      </w:r>
      <w:r>
        <w:rPr>
          <w:color w:val="000000"/>
          <w:sz w:val="22"/>
          <w:szCs w:val="22"/>
          <w:lang w:eastAsia="de-DE"/>
        </w:rPr>
        <w:t xml:space="preserve">, mint az 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noBreakHyphen/>
        <w:t xml:space="preserve">csoportban </w:t>
      </w:r>
      <w:r>
        <w:rPr>
          <w:sz w:val="22"/>
          <w:szCs w:val="22"/>
        </w:rPr>
        <w:t>(–0,1/+0,8 Hgmm)</w:t>
      </w:r>
      <w:r>
        <w:rPr>
          <w:color w:val="000000"/>
          <w:sz w:val="22"/>
          <w:szCs w:val="22"/>
          <w:lang w:eastAsia="de-DE"/>
        </w:rPr>
        <w:t>.</w:t>
      </w:r>
    </w:p>
    <w:p w:rsidR="00601E88" w:rsidRDefault="00CD7A0A">
      <w:pPr>
        <w:rPr>
          <w:color w:val="000000"/>
          <w:sz w:val="22"/>
          <w:szCs w:val="22"/>
          <w:lang w:eastAsia="de-DE"/>
        </w:rPr>
      </w:pPr>
      <w:proofErr w:type="spellStart"/>
      <w:r>
        <w:rPr>
          <w:color w:val="000000"/>
          <w:sz w:val="22"/>
          <w:szCs w:val="22"/>
          <w:lang w:eastAsia="de-DE"/>
        </w:rPr>
        <w:t>Normotoniás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gyermekeknél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noBreakHyphen/>
        <w:t xml:space="preserve">csoportban a </w:t>
      </w:r>
      <w:proofErr w:type="spellStart"/>
      <w:r>
        <w:rPr>
          <w:color w:val="000000"/>
          <w:sz w:val="22"/>
          <w:szCs w:val="22"/>
          <w:lang w:eastAsia="de-DE"/>
        </w:rPr>
        <w:t>placebóval</w:t>
      </w:r>
      <w:proofErr w:type="spellEnd"/>
      <w:r>
        <w:rPr>
          <w:color w:val="000000"/>
          <w:sz w:val="22"/>
          <w:szCs w:val="22"/>
          <w:lang w:eastAsia="de-DE"/>
        </w:rPr>
        <w:t xml:space="preserve"> összehasonlítva kismértékű vérnyomáscsökkenés </w:t>
      </w:r>
      <w:r>
        <w:rPr>
          <w:sz w:val="22"/>
          <w:szCs w:val="22"/>
        </w:rPr>
        <w:t xml:space="preserve">(–3,7/–3,4 Hgmm) </w:t>
      </w:r>
      <w:r>
        <w:rPr>
          <w:color w:val="000000"/>
          <w:sz w:val="22"/>
          <w:szCs w:val="22"/>
          <w:lang w:eastAsia="de-DE"/>
        </w:rPr>
        <w:t xml:space="preserve">volt megfigyelhető. A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és a vérnyomás csökkenése között nem mutatkozott szignifikáns korreláció, azonban lehetséges, hogy a </w:t>
      </w:r>
      <w:proofErr w:type="spellStart"/>
      <w:r>
        <w:rPr>
          <w:color w:val="000000"/>
          <w:sz w:val="22"/>
          <w:szCs w:val="22"/>
          <w:lang w:eastAsia="de-DE"/>
        </w:rPr>
        <w:t>lozartánnal</w:t>
      </w:r>
      <w:proofErr w:type="spellEnd"/>
      <w:r>
        <w:rPr>
          <w:color w:val="000000"/>
          <w:sz w:val="22"/>
          <w:szCs w:val="22"/>
          <w:lang w:eastAsia="de-DE"/>
        </w:rPr>
        <w:t xml:space="preserve"> kezelt csoportban megfigyelt vérnyomáscsökkenés részben hozzájárult a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csökkenéséhez.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hosszútávú hatásait </w:t>
      </w:r>
      <w:proofErr w:type="spellStart"/>
      <w:r>
        <w:rPr>
          <w:color w:val="000000"/>
          <w:sz w:val="22"/>
          <w:szCs w:val="22"/>
          <w:lang w:eastAsia="de-DE"/>
        </w:rPr>
        <w:t>proteinuriában</w:t>
      </w:r>
      <w:proofErr w:type="spellEnd"/>
      <w:r>
        <w:rPr>
          <w:color w:val="000000"/>
          <w:sz w:val="22"/>
          <w:szCs w:val="22"/>
          <w:lang w:eastAsia="de-DE"/>
        </w:rPr>
        <w:t xml:space="preserve"> szenvedő gyermekeknél és serdülőknél legfeljebb 3 évig vizsgálták ugyanezen vizsgálat nyílt elrendezésű, biztonságossági, kiterjesztett szakaszában, melybe a 12 hetes alapvizsgálatot befejező összes beteget bevonták. Összesen 268 beteget vontak be a nyílt elrendezésű vizsgálat kiterjesztett szakaszába, ahol a betegeket ismét </w:t>
      </w:r>
      <w:proofErr w:type="spellStart"/>
      <w:r>
        <w:rPr>
          <w:color w:val="000000"/>
          <w:sz w:val="22"/>
          <w:szCs w:val="22"/>
          <w:lang w:eastAsia="de-DE"/>
        </w:rPr>
        <w:t>randomizálták</w:t>
      </w:r>
      <w:proofErr w:type="spellEnd"/>
      <w:r>
        <w:rPr>
          <w:color w:val="000000"/>
          <w:sz w:val="22"/>
          <w:szCs w:val="22"/>
          <w:lang w:eastAsia="de-DE"/>
        </w:rPr>
        <w:t xml:space="preserve">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>-csoportba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134) vagy </w:t>
      </w:r>
      <w:proofErr w:type="spellStart"/>
      <w:r>
        <w:rPr>
          <w:color w:val="000000"/>
          <w:sz w:val="22"/>
          <w:szCs w:val="22"/>
          <w:lang w:eastAsia="de-DE"/>
        </w:rPr>
        <w:t>enalapril</w:t>
      </w:r>
      <w:proofErr w:type="spellEnd"/>
      <w:r>
        <w:rPr>
          <w:color w:val="000000"/>
          <w:sz w:val="22"/>
          <w:szCs w:val="22"/>
          <w:lang w:eastAsia="de-DE"/>
        </w:rPr>
        <w:t>-csoportba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134), 109 beteget pedig 3 évig vagy ennél hosszabb ideig követtek (a kiterjesztett szakasz 3 éves követési idejét teljesített, több mint 100 beteg vizsgálatból történő kilépésének időpontja előre meghatározott volt). A vizsgáló orvos megítélése szerint adagolt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dózistartománya napi 0,30</w:t>
      </w:r>
      <w:r>
        <w:rPr>
          <w:color w:val="000000"/>
          <w:sz w:val="22"/>
          <w:szCs w:val="22"/>
          <w:lang w:eastAsia="de-DE"/>
        </w:rPr>
        <w:noBreakHyphen/>
        <w:t>4,42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 xml:space="preserve">, az </w:t>
      </w:r>
      <w:proofErr w:type="spellStart"/>
      <w:r>
        <w:rPr>
          <w:color w:val="000000"/>
          <w:sz w:val="22"/>
          <w:szCs w:val="22"/>
          <w:lang w:eastAsia="de-DE"/>
        </w:rPr>
        <w:t>enalaprilé</w:t>
      </w:r>
      <w:proofErr w:type="spellEnd"/>
      <w:r>
        <w:rPr>
          <w:color w:val="000000"/>
          <w:sz w:val="22"/>
          <w:szCs w:val="22"/>
          <w:lang w:eastAsia="de-DE"/>
        </w:rPr>
        <w:t xml:space="preserve"> pedig napi 0,02</w:t>
      </w:r>
      <w:r>
        <w:rPr>
          <w:color w:val="000000"/>
          <w:sz w:val="22"/>
          <w:szCs w:val="22"/>
          <w:lang w:eastAsia="de-DE"/>
        </w:rPr>
        <w:noBreakHyphen/>
        <w:t>1,13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 xml:space="preserve"> voltak. Az 50 kg-nál kisebb testtömegre számolt maximális napi 50 mg-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dózist és az 50 kg-nál nagyobb testtömegre számolt maximális napi 100 mg-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dózist a legtöbb beteg nem lépte túl a vizsgálat kiterjesztett szakaszában.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Összességében véve a kiterjesztett biztonságossági szakasz eredményei azt mutatják, hogy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jól tolerálható volt és 3 éven át a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tartós csökkenéséhez vezetett, a </w:t>
      </w:r>
      <w:proofErr w:type="spellStart"/>
      <w:r>
        <w:rPr>
          <w:color w:val="000000"/>
          <w:sz w:val="22"/>
          <w:szCs w:val="22"/>
          <w:lang w:eastAsia="de-DE"/>
        </w:rPr>
        <w:t>glomerul</w:t>
      </w:r>
      <w:r w:rsidR="004D5B14">
        <w:rPr>
          <w:color w:val="000000"/>
          <w:sz w:val="22"/>
          <w:szCs w:val="22"/>
          <w:lang w:eastAsia="de-DE"/>
        </w:rPr>
        <w:t>u</w:t>
      </w:r>
      <w:r>
        <w:rPr>
          <w:color w:val="000000"/>
          <w:sz w:val="22"/>
          <w:szCs w:val="22"/>
          <w:lang w:eastAsia="de-DE"/>
        </w:rPr>
        <w:t>s</w:t>
      </w:r>
      <w:proofErr w:type="spellEnd"/>
      <w:r>
        <w:rPr>
          <w:color w:val="000000"/>
          <w:sz w:val="22"/>
          <w:szCs w:val="22"/>
          <w:lang w:eastAsia="de-DE"/>
        </w:rPr>
        <w:t xml:space="preserve"> filtrációs ráta </w:t>
      </w:r>
      <w:r>
        <w:rPr>
          <w:color w:val="000000"/>
          <w:sz w:val="22"/>
          <w:szCs w:val="22"/>
          <w:lang w:eastAsia="de-DE"/>
        </w:rPr>
        <w:lastRenderedPageBreak/>
        <w:t xml:space="preserve">(GFR) számottevő változása nélkül. </w:t>
      </w:r>
      <w:proofErr w:type="gramStart"/>
      <w:r>
        <w:rPr>
          <w:color w:val="000000"/>
          <w:sz w:val="22"/>
          <w:szCs w:val="22"/>
          <w:lang w:eastAsia="de-DE"/>
        </w:rPr>
        <w:t xml:space="preserve">A </w:t>
      </w:r>
      <w:proofErr w:type="spellStart"/>
      <w:r>
        <w:rPr>
          <w:color w:val="000000"/>
          <w:sz w:val="22"/>
          <w:szCs w:val="22"/>
          <w:lang w:eastAsia="de-DE"/>
        </w:rPr>
        <w:t>normotensiv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betegeknél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205) az </w:t>
      </w:r>
      <w:proofErr w:type="spellStart"/>
      <w:r>
        <w:rPr>
          <w:color w:val="000000"/>
          <w:sz w:val="22"/>
          <w:szCs w:val="22"/>
          <w:lang w:eastAsia="de-DE"/>
        </w:rPr>
        <w:t>enalaprilnak</w:t>
      </w:r>
      <w:proofErr w:type="spellEnd"/>
      <w:r>
        <w:rPr>
          <w:color w:val="000000"/>
          <w:sz w:val="22"/>
          <w:szCs w:val="22"/>
          <w:lang w:eastAsia="de-DE"/>
        </w:rPr>
        <w:t xml:space="preserve"> a </w:t>
      </w:r>
      <w:proofErr w:type="spellStart"/>
      <w:r>
        <w:rPr>
          <w:color w:val="000000"/>
          <w:sz w:val="22"/>
          <w:szCs w:val="22"/>
          <w:lang w:eastAsia="de-DE"/>
        </w:rPr>
        <w:t>lozartánnal</w:t>
      </w:r>
      <w:proofErr w:type="spellEnd"/>
      <w:r>
        <w:rPr>
          <w:color w:val="000000"/>
          <w:sz w:val="22"/>
          <w:szCs w:val="22"/>
          <w:lang w:eastAsia="de-DE"/>
        </w:rPr>
        <w:t xml:space="preserve"> összehasonlítva számszerűen nagyobb hatása volt a </w:t>
      </w:r>
      <w:proofErr w:type="spellStart"/>
      <w:r>
        <w:rPr>
          <w:color w:val="000000"/>
          <w:sz w:val="22"/>
          <w:szCs w:val="22"/>
          <w:lang w:eastAsia="de-DE"/>
        </w:rPr>
        <w:t>proteinuriára</w:t>
      </w:r>
      <w:proofErr w:type="spellEnd"/>
      <w:r>
        <w:rPr>
          <w:color w:val="000000"/>
          <w:sz w:val="22"/>
          <w:szCs w:val="22"/>
          <w:lang w:eastAsia="de-DE"/>
        </w:rPr>
        <w:t xml:space="preserve"> (–33,0%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-47,2; –15,0) szemben a –16,6%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–34,9; 6,8) értékkel) és a GFR-re (9,4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0,4; 18,4) szemben a –4,0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–13,1; 5,0) ml/perc/1,73 m</w:t>
      </w:r>
      <w:r>
        <w:rPr>
          <w:color w:val="000000"/>
          <w:sz w:val="22"/>
          <w:szCs w:val="22"/>
          <w:vertAlign w:val="superscript"/>
          <w:lang w:eastAsia="de-DE"/>
        </w:rPr>
        <w:t>2</w:t>
      </w:r>
      <w:r>
        <w:rPr>
          <w:color w:val="000000"/>
          <w:sz w:val="22"/>
          <w:szCs w:val="22"/>
          <w:lang w:eastAsia="de-DE"/>
        </w:rPr>
        <w:t xml:space="preserve"> értékkel).</w:t>
      </w:r>
      <w:proofErr w:type="gramEnd"/>
      <w:r>
        <w:rPr>
          <w:color w:val="000000"/>
          <w:sz w:val="22"/>
          <w:szCs w:val="22"/>
          <w:lang w:eastAsia="de-DE"/>
        </w:rPr>
        <w:t xml:space="preserve"> </w:t>
      </w:r>
      <w:proofErr w:type="gramStart"/>
      <w:r>
        <w:rPr>
          <w:color w:val="000000"/>
          <w:sz w:val="22"/>
          <w:szCs w:val="22"/>
          <w:lang w:eastAsia="de-DE"/>
        </w:rPr>
        <w:t xml:space="preserve">A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betegeknél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49) a </w:t>
      </w:r>
      <w:proofErr w:type="spellStart"/>
      <w:r>
        <w:rPr>
          <w:color w:val="000000"/>
          <w:sz w:val="22"/>
          <w:szCs w:val="22"/>
          <w:lang w:eastAsia="de-DE"/>
        </w:rPr>
        <w:t>lozartánnak</w:t>
      </w:r>
      <w:proofErr w:type="spellEnd"/>
      <w:r>
        <w:rPr>
          <w:color w:val="000000"/>
          <w:sz w:val="22"/>
          <w:szCs w:val="22"/>
          <w:lang w:eastAsia="de-DE"/>
        </w:rPr>
        <w:t xml:space="preserve"> volt számszerűen nagyobb hatása a </w:t>
      </w:r>
      <w:proofErr w:type="spellStart"/>
      <w:r>
        <w:rPr>
          <w:color w:val="000000"/>
          <w:sz w:val="22"/>
          <w:szCs w:val="22"/>
          <w:lang w:eastAsia="de-DE"/>
        </w:rPr>
        <w:t>proteinuriára</w:t>
      </w:r>
      <w:proofErr w:type="spellEnd"/>
      <w:r>
        <w:rPr>
          <w:color w:val="000000"/>
          <w:sz w:val="22"/>
          <w:szCs w:val="22"/>
          <w:lang w:eastAsia="de-DE"/>
        </w:rPr>
        <w:t xml:space="preserve"> (–44,5%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–64,8; –12,4) szemben a –39,5%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–62,5; –2,2) értékkel) és a GFR-re (18,9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5,2; 32,5) szemben a –13,4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–27,3; 0,6) ml/perc/1,73 m</w:t>
      </w:r>
      <w:r>
        <w:rPr>
          <w:color w:val="000000"/>
          <w:sz w:val="22"/>
          <w:szCs w:val="22"/>
          <w:vertAlign w:val="superscript"/>
          <w:lang w:eastAsia="de-DE"/>
        </w:rPr>
        <w:t>2</w:t>
      </w:r>
      <w:r>
        <w:rPr>
          <w:color w:val="000000"/>
          <w:sz w:val="22"/>
          <w:szCs w:val="22"/>
          <w:lang w:eastAsia="de-DE"/>
        </w:rPr>
        <w:t xml:space="preserve"> értékkel).</w:t>
      </w:r>
      <w:proofErr w:type="gramEnd"/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Egy nyílt elrendezésű, dóziskereső klinikai vizsgálatot végeztek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biztonságosságának és hatásosságának tanulmányozására 6 hónap és 6 év közötti életkorú,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csecsemők és gyermekek esetében. </w:t>
      </w:r>
      <w:proofErr w:type="gramStart"/>
      <w:r>
        <w:rPr>
          <w:color w:val="000000"/>
          <w:sz w:val="22"/>
          <w:szCs w:val="22"/>
          <w:lang w:eastAsia="de-DE"/>
        </w:rPr>
        <w:t xml:space="preserve">Összesen 101 beteget </w:t>
      </w:r>
      <w:proofErr w:type="spellStart"/>
      <w:r>
        <w:rPr>
          <w:color w:val="000000"/>
          <w:sz w:val="22"/>
          <w:szCs w:val="22"/>
          <w:lang w:eastAsia="de-DE"/>
        </w:rPr>
        <w:t>randomizáltak</w:t>
      </w:r>
      <w:proofErr w:type="spellEnd"/>
      <w:r>
        <w:rPr>
          <w:color w:val="000000"/>
          <w:sz w:val="22"/>
          <w:szCs w:val="22"/>
          <w:lang w:eastAsia="de-DE"/>
        </w:rPr>
        <w:t xml:space="preserve"> a nyílt elrendezésű vizsgálatban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háromféle kezdő dózisának egyikére: kis dózisra (0,1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/nap, 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33), közepes dózisra (0,3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/nap, 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34) vagy nagy dózisra (0,7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/nap, 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34). Közülük 27-en 6–23 hónapos csecsemők és gyermekek voltak.</w:t>
      </w:r>
      <w:proofErr w:type="gramEnd"/>
      <w:r>
        <w:rPr>
          <w:color w:val="000000"/>
          <w:sz w:val="22"/>
          <w:szCs w:val="22"/>
          <w:lang w:eastAsia="de-DE"/>
        </w:rPr>
        <w:t xml:space="preserve"> Azoknál a betegeknél, akik vérnyomása nem érte el a célértéket és még nem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maximális dózisát kapták (1,4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/nap, maximum 100 mg/nap), a 3</w:t>
      </w:r>
      <w:proofErr w:type="gramStart"/>
      <w:r>
        <w:rPr>
          <w:color w:val="000000"/>
          <w:sz w:val="22"/>
          <w:szCs w:val="22"/>
          <w:lang w:eastAsia="de-DE"/>
        </w:rPr>
        <w:t>.,</w:t>
      </w:r>
      <w:proofErr w:type="gramEnd"/>
      <w:r>
        <w:rPr>
          <w:color w:val="000000"/>
          <w:sz w:val="22"/>
          <w:szCs w:val="22"/>
          <w:lang w:eastAsia="de-DE"/>
        </w:rPr>
        <w:t xml:space="preserve"> 6. és 9. héten a vizsgálati szert a következő, magasabb dózisszintre titrálták.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>A 99 vizsgálati gyógyszerrel kezelt beteg közül 90 beteg (90,9%) folytatta a kiterjesztett vizsgálatot háromhavonta kontrollvizsgálattal. A kezelés átlagos időtartama 264 nap volt.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proofErr w:type="gramStart"/>
      <w:r>
        <w:rPr>
          <w:color w:val="000000"/>
          <w:sz w:val="22"/>
          <w:szCs w:val="22"/>
          <w:lang w:eastAsia="de-DE"/>
        </w:rPr>
        <w:t>Összességében véve a vérnyomáscsökkenés átlagértéke a kiindulási értékhez képest hasonló volt az összes kezelési csoportban (a 3. héten a s</w:t>
      </w:r>
      <w:r w:rsidR="004D5B14">
        <w:rPr>
          <w:color w:val="000000"/>
          <w:sz w:val="22"/>
          <w:szCs w:val="22"/>
          <w:lang w:eastAsia="de-DE"/>
        </w:rPr>
        <w:t>zi</w:t>
      </w:r>
      <w:r>
        <w:rPr>
          <w:color w:val="000000"/>
          <w:sz w:val="22"/>
          <w:szCs w:val="22"/>
          <w:lang w:eastAsia="de-DE"/>
        </w:rPr>
        <w:t>s</w:t>
      </w:r>
      <w:r w:rsidR="004D5B14">
        <w:rPr>
          <w:color w:val="000000"/>
          <w:sz w:val="22"/>
          <w:szCs w:val="22"/>
          <w:lang w:eastAsia="de-DE"/>
        </w:rPr>
        <w:t>z</w:t>
      </w:r>
      <w:r>
        <w:rPr>
          <w:color w:val="000000"/>
          <w:sz w:val="22"/>
          <w:szCs w:val="22"/>
          <w:lang w:eastAsia="de-DE"/>
        </w:rPr>
        <w:t>tolés vérnyomás változása a kiindulási értékhez képest a kis dózisú csoportban, –7,3 Hgmm; a közepes dózisú csoportban –7,6 Hgmm és a nagy dózisú csoportban –6,7 Hgmm volt; a 3. héten a d</w:t>
      </w:r>
      <w:r w:rsidR="004D5B14">
        <w:rPr>
          <w:color w:val="000000"/>
          <w:sz w:val="22"/>
          <w:szCs w:val="22"/>
          <w:lang w:eastAsia="de-DE"/>
        </w:rPr>
        <w:t>i</w:t>
      </w:r>
      <w:r>
        <w:rPr>
          <w:color w:val="000000"/>
          <w:sz w:val="22"/>
          <w:szCs w:val="22"/>
          <w:lang w:eastAsia="de-DE"/>
        </w:rPr>
        <w:t>as</w:t>
      </w:r>
      <w:r w:rsidR="004D5B14">
        <w:rPr>
          <w:color w:val="000000"/>
          <w:sz w:val="22"/>
          <w:szCs w:val="22"/>
          <w:lang w:eastAsia="de-DE"/>
        </w:rPr>
        <w:t>z</w:t>
      </w:r>
      <w:r>
        <w:rPr>
          <w:color w:val="000000"/>
          <w:sz w:val="22"/>
          <w:szCs w:val="22"/>
          <w:lang w:eastAsia="de-DE"/>
        </w:rPr>
        <w:t>tolés vérnyomás változása a kiindulási értékhez képest a kis dózisú csoportban –8,2 Hgmm, a közepes dózisú csoportban –5,1 Hgmm és a nagy dózisú csoportban –6,7 Hgmm volt); azonban nem volt statisztikailag szignifikáns dózisfüggő válasz a s</w:t>
      </w:r>
      <w:r w:rsidR="004D5B14">
        <w:rPr>
          <w:color w:val="000000"/>
          <w:sz w:val="22"/>
          <w:szCs w:val="22"/>
          <w:lang w:eastAsia="de-DE"/>
        </w:rPr>
        <w:t>zi</w:t>
      </w:r>
      <w:r>
        <w:rPr>
          <w:color w:val="000000"/>
          <w:sz w:val="22"/>
          <w:szCs w:val="22"/>
          <w:lang w:eastAsia="de-DE"/>
        </w:rPr>
        <w:t>s</w:t>
      </w:r>
      <w:r w:rsidR="004D5B14">
        <w:rPr>
          <w:color w:val="000000"/>
          <w:sz w:val="22"/>
          <w:szCs w:val="22"/>
          <w:lang w:eastAsia="de-DE"/>
        </w:rPr>
        <w:t>z</w:t>
      </w:r>
      <w:r>
        <w:rPr>
          <w:color w:val="000000"/>
          <w:sz w:val="22"/>
          <w:szCs w:val="22"/>
          <w:lang w:eastAsia="de-DE"/>
        </w:rPr>
        <w:t>tolés és d</w:t>
      </w:r>
      <w:r w:rsidR="004D5B14">
        <w:rPr>
          <w:color w:val="000000"/>
          <w:sz w:val="22"/>
          <w:szCs w:val="22"/>
          <w:lang w:eastAsia="de-DE"/>
        </w:rPr>
        <w:t>i</w:t>
      </w:r>
      <w:r>
        <w:rPr>
          <w:color w:val="000000"/>
          <w:sz w:val="22"/>
          <w:szCs w:val="22"/>
          <w:lang w:eastAsia="de-DE"/>
        </w:rPr>
        <w:t>as</w:t>
      </w:r>
      <w:r w:rsidR="004D5B14">
        <w:rPr>
          <w:color w:val="000000"/>
          <w:sz w:val="22"/>
          <w:szCs w:val="22"/>
          <w:lang w:eastAsia="de-DE"/>
        </w:rPr>
        <w:t>z</w:t>
      </w:r>
      <w:r>
        <w:rPr>
          <w:color w:val="000000"/>
          <w:sz w:val="22"/>
          <w:szCs w:val="22"/>
          <w:lang w:eastAsia="de-DE"/>
        </w:rPr>
        <w:t>tolés vérnyomás</w:t>
      </w:r>
      <w:proofErr w:type="gramEnd"/>
      <w:r>
        <w:rPr>
          <w:color w:val="000000"/>
          <w:sz w:val="22"/>
          <w:szCs w:val="22"/>
          <w:lang w:eastAsia="de-DE"/>
        </w:rPr>
        <w:t xml:space="preserve"> </w:t>
      </w:r>
      <w:proofErr w:type="gramStart"/>
      <w:r>
        <w:rPr>
          <w:color w:val="000000"/>
          <w:sz w:val="22"/>
          <w:szCs w:val="22"/>
          <w:lang w:eastAsia="de-DE"/>
        </w:rPr>
        <w:t>esetében</w:t>
      </w:r>
      <w:proofErr w:type="gramEnd"/>
      <w:r>
        <w:rPr>
          <w:color w:val="000000"/>
          <w:sz w:val="22"/>
          <w:szCs w:val="22"/>
          <w:lang w:eastAsia="de-DE"/>
        </w:rPr>
        <w:t>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A kezelés 12 hetét követően a 6 hónap és 6 év közötti korú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csecsemők és gyermekek általában jól tolerálták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akár olyan nagy dózisát is, mint 1,4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. Az általános biztonságossági profil hasonló volt az egyes kezelési csoportokban.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5.2</w:t>
      </w:r>
      <w:r>
        <w:rPr>
          <w:b/>
          <w:sz w:val="22"/>
          <w:szCs w:val="22"/>
        </w:rPr>
        <w:tab/>
      </w:r>
      <w:proofErr w:type="spellStart"/>
      <w:r>
        <w:rPr>
          <w:b/>
          <w:sz w:val="22"/>
          <w:szCs w:val="22"/>
        </w:rPr>
        <w:t>Farmakokinetikai</w:t>
      </w:r>
      <w:proofErr w:type="spellEnd"/>
      <w:r>
        <w:rPr>
          <w:b/>
          <w:sz w:val="22"/>
          <w:szCs w:val="22"/>
        </w:rPr>
        <w:t xml:space="preserve"> tulajdonságok</w:t>
      </w:r>
    </w:p>
    <w:p w:rsidR="00601E88" w:rsidRDefault="00601E88">
      <w:pPr>
        <w:rPr>
          <w:sz w:val="22"/>
          <w:szCs w:val="22"/>
          <w:u w:val="single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Felszívódás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adagolást követően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jól felszívódik, és </w:t>
      </w:r>
      <w:proofErr w:type="spellStart"/>
      <w:r>
        <w:rPr>
          <w:sz w:val="22"/>
          <w:szCs w:val="22"/>
          <w:lang w:eastAsia="en-US"/>
        </w:rPr>
        <w:t>first-pass</w:t>
      </w:r>
      <w:proofErr w:type="spellEnd"/>
      <w:r>
        <w:rPr>
          <w:sz w:val="22"/>
          <w:szCs w:val="22"/>
          <w:lang w:eastAsia="en-US"/>
        </w:rPr>
        <w:t xml:space="preserve"> metabolizmuson megy keresztül egy aktív </w:t>
      </w:r>
      <w:proofErr w:type="spellStart"/>
      <w:r>
        <w:rPr>
          <w:sz w:val="22"/>
          <w:szCs w:val="22"/>
          <w:lang w:eastAsia="en-US"/>
        </w:rPr>
        <w:t>karboxilsav-metabolitot</w:t>
      </w:r>
      <w:proofErr w:type="spellEnd"/>
      <w:r>
        <w:rPr>
          <w:sz w:val="22"/>
          <w:szCs w:val="22"/>
          <w:lang w:eastAsia="en-US"/>
        </w:rPr>
        <w:t xml:space="preserve"> és más inaktív </w:t>
      </w:r>
      <w:proofErr w:type="spellStart"/>
      <w:r>
        <w:rPr>
          <w:sz w:val="22"/>
          <w:szCs w:val="22"/>
          <w:lang w:eastAsia="en-US"/>
        </w:rPr>
        <w:t>metabolitokat</w:t>
      </w:r>
      <w:proofErr w:type="spellEnd"/>
      <w:r>
        <w:rPr>
          <w:sz w:val="22"/>
          <w:szCs w:val="22"/>
          <w:lang w:eastAsia="en-US"/>
        </w:rPr>
        <w:t xml:space="preserve"> képezve.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tabletták szisztémás </w:t>
      </w:r>
      <w:proofErr w:type="spellStart"/>
      <w:r>
        <w:rPr>
          <w:sz w:val="22"/>
          <w:szCs w:val="22"/>
          <w:lang w:eastAsia="en-US"/>
        </w:rPr>
        <w:t>biohasznosulása</w:t>
      </w:r>
      <w:proofErr w:type="spellEnd"/>
      <w:r>
        <w:rPr>
          <w:sz w:val="22"/>
          <w:szCs w:val="22"/>
          <w:lang w:eastAsia="en-US"/>
        </w:rPr>
        <w:t xml:space="preserve"> körülbelül 33%-</w:t>
      </w:r>
      <w:proofErr w:type="spellStart"/>
      <w:r>
        <w:rPr>
          <w:sz w:val="22"/>
          <w:szCs w:val="22"/>
          <w:lang w:eastAsia="en-US"/>
        </w:rPr>
        <w:t>nak</w:t>
      </w:r>
      <w:proofErr w:type="spellEnd"/>
      <w:r>
        <w:rPr>
          <w:sz w:val="22"/>
          <w:szCs w:val="22"/>
          <w:lang w:eastAsia="en-US"/>
        </w:rPr>
        <w:t xml:space="preserve"> felel meg.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átlagos csúcskoncentrációjukat egy órán, illetve 3</w:t>
      </w:r>
      <w:r>
        <w:rPr>
          <w:sz w:val="22"/>
          <w:szCs w:val="22"/>
          <w:lang w:eastAsia="en-US"/>
        </w:rPr>
        <w:noBreakHyphen/>
        <w:t>4 órán belül érik el.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Eloszlás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Mind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mind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≥ 99%-</w:t>
      </w:r>
      <w:proofErr w:type="spellStart"/>
      <w:r>
        <w:rPr>
          <w:sz w:val="22"/>
          <w:szCs w:val="22"/>
          <w:lang w:eastAsia="en-US"/>
        </w:rPr>
        <w:t>ban</w:t>
      </w:r>
      <w:proofErr w:type="spellEnd"/>
      <w:r>
        <w:rPr>
          <w:sz w:val="22"/>
          <w:szCs w:val="22"/>
          <w:lang w:eastAsia="en-US"/>
        </w:rPr>
        <w:t xml:space="preserve"> kötődik a plazmafehérjékhez, elsősorban az albuminhoz.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megoszlási térfogata </w:t>
      </w:r>
      <w:smartTag w:uri="urn:schemas-microsoft-com:office:smarttags" w:element="metricconverter">
        <w:smartTagPr>
          <w:attr w:name="ProductID" w:val="34ﾠliter"/>
        </w:smartTagPr>
        <w:r>
          <w:rPr>
            <w:sz w:val="22"/>
            <w:szCs w:val="22"/>
            <w:lang w:eastAsia="en-US"/>
          </w:rPr>
          <w:t>34 liter</w:t>
        </w:r>
      </w:smartTag>
      <w:r>
        <w:rPr>
          <w:sz w:val="22"/>
          <w:szCs w:val="22"/>
          <w:lang w:eastAsia="en-US"/>
        </w:rPr>
        <w:t>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Biotranszformáció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intravénásan vagy szájon át adott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kb. 14%-</w:t>
      </w:r>
      <w:proofErr w:type="gramStart"/>
      <w:r>
        <w:rPr>
          <w:sz w:val="22"/>
          <w:szCs w:val="22"/>
          <w:lang w:eastAsia="en-US"/>
        </w:rPr>
        <w:t>a</w:t>
      </w:r>
      <w:proofErr w:type="gramEnd"/>
      <w:r>
        <w:rPr>
          <w:sz w:val="22"/>
          <w:szCs w:val="22"/>
          <w:lang w:eastAsia="en-US"/>
        </w:rPr>
        <w:t xml:space="preserve"> alakul át aktív </w:t>
      </w:r>
      <w:proofErr w:type="spellStart"/>
      <w:r>
        <w:rPr>
          <w:sz w:val="22"/>
          <w:szCs w:val="22"/>
          <w:lang w:eastAsia="en-US"/>
        </w:rPr>
        <w:t>metabolittá</w:t>
      </w:r>
      <w:proofErr w:type="spellEnd"/>
      <w:r>
        <w:rPr>
          <w:sz w:val="22"/>
          <w:szCs w:val="22"/>
          <w:lang w:eastAsia="en-US"/>
        </w:rPr>
        <w:t xml:space="preserve">. A </w:t>
      </w:r>
      <w:r>
        <w:rPr>
          <w:sz w:val="22"/>
          <w:szCs w:val="22"/>
          <w:vertAlign w:val="superscript"/>
          <w:lang w:eastAsia="en-US"/>
        </w:rPr>
        <w:t>14</w:t>
      </w:r>
      <w:r>
        <w:rPr>
          <w:sz w:val="22"/>
          <w:szCs w:val="22"/>
          <w:lang w:eastAsia="en-US"/>
        </w:rPr>
        <w:t xml:space="preserve">C-jelzett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-kálium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és intravénás adása után a keringő plazma radioaktivitása elsődlegesen a </w:t>
      </w:r>
      <w:proofErr w:type="spellStart"/>
      <w:r>
        <w:rPr>
          <w:sz w:val="22"/>
          <w:szCs w:val="22"/>
          <w:lang w:eastAsia="en-US"/>
        </w:rPr>
        <w:t>lozartánnak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tudható be.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aktív </w:t>
      </w:r>
      <w:proofErr w:type="spellStart"/>
      <w:r>
        <w:rPr>
          <w:sz w:val="22"/>
          <w:szCs w:val="22"/>
          <w:lang w:eastAsia="en-US"/>
        </w:rPr>
        <w:t>metabolittá</w:t>
      </w:r>
      <w:proofErr w:type="spellEnd"/>
      <w:r>
        <w:rPr>
          <w:sz w:val="22"/>
          <w:szCs w:val="22"/>
          <w:lang w:eastAsia="en-US"/>
        </w:rPr>
        <w:t xml:space="preserve"> való minimális átalakulását a vizsgált személyek mintegy egy százalékánál észlelték.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aktív </w:t>
      </w:r>
      <w:proofErr w:type="spellStart"/>
      <w:r>
        <w:rPr>
          <w:sz w:val="22"/>
          <w:szCs w:val="22"/>
          <w:lang w:eastAsia="en-US"/>
        </w:rPr>
        <w:t>metaboliton</w:t>
      </w:r>
      <w:proofErr w:type="spellEnd"/>
      <w:r>
        <w:rPr>
          <w:sz w:val="22"/>
          <w:szCs w:val="22"/>
          <w:lang w:eastAsia="en-US"/>
        </w:rPr>
        <w:t xml:space="preserve"> kívül inaktív </w:t>
      </w:r>
      <w:proofErr w:type="spellStart"/>
      <w:r>
        <w:rPr>
          <w:sz w:val="22"/>
          <w:szCs w:val="22"/>
          <w:lang w:eastAsia="en-US"/>
        </w:rPr>
        <w:t>metabolitok</w:t>
      </w:r>
      <w:proofErr w:type="spellEnd"/>
      <w:r>
        <w:rPr>
          <w:sz w:val="22"/>
          <w:szCs w:val="22"/>
          <w:lang w:eastAsia="en-US"/>
        </w:rPr>
        <w:t xml:space="preserve"> is képződnek.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Elimináció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plazma-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 xml:space="preserve">-e hozzávetőleg 600 ml/perc, aktív </w:t>
      </w:r>
      <w:proofErr w:type="spellStart"/>
      <w:r>
        <w:rPr>
          <w:sz w:val="22"/>
          <w:szCs w:val="22"/>
          <w:lang w:eastAsia="en-US"/>
        </w:rPr>
        <w:t>metabolitjáé</w:t>
      </w:r>
      <w:proofErr w:type="spellEnd"/>
      <w:r>
        <w:rPr>
          <w:sz w:val="22"/>
          <w:szCs w:val="22"/>
          <w:lang w:eastAsia="en-US"/>
        </w:rPr>
        <w:t xml:space="preserve"> pedig hozzávetőleg 50 ml/perc.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renalis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 xml:space="preserve">-e hozzávetőleg 74 ml/perc, míg aktív </w:t>
      </w:r>
      <w:proofErr w:type="spellStart"/>
      <w:r>
        <w:rPr>
          <w:sz w:val="22"/>
          <w:szCs w:val="22"/>
          <w:lang w:eastAsia="en-US"/>
        </w:rPr>
        <w:t>metabolitjáé</w:t>
      </w:r>
      <w:proofErr w:type="spellEnd"/>
      <w:r>
        <w:rPr>
          <w:sz w:val="22"/>
          <w:szCs w:val="22"/>
          <w:lang w:eastAsia="en-US"/>
        </w:rPr>
        <w:t xml:space="preserve"> 26 ml/perc. Ha 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alkalmazzák, a dózis mintegy 4%-</w:t>
      </w:r>
      <w:proofErr w:type="gramStart"/>
      <w:r>
        <w:rPr>
          <w:sz w:val="22"/>
          <w:szCs w:val="22"/>
          <w:lang w:eastAsia="en-US"/>
        </w:rPr>
        <w:t>a</w:t>
      </w:r>
      <w:proofErr w:type="gramEnd"/>
      <w:r>
        <w:rPr>
          <w:sz w:val="22"/>
          <w:szCs w:val="22"/>
          <w:lang w:eastAsia="en-US"/>
        </w:rPr>
        <w:t xml:space="preserve"> ürül változatlan formában a vizelettel, és </w:t>
      </w:r>
      <w:r>
        <w:rPr>
          <w:sz w:val="22"/>
          <w:szCs w:val="22"/>
          <w:lang w:eastAsia="en-US"/>
        </w:rPr>
        <w:lastRenderedPageBreak/>
        <w:t xml:space="preserve">mintegy 6%-a ürül a vizelettel aktív </w:t>
      </w:r>
      <w:proofErr w:type="spellStart"/>
      <w:r>
        <w:rPr>
          <w:sz w:val="22"/>
          <w:szCs w:val="22"/>
          <w:lang w:eastAsia="en-US"/>
        </w:rPr>
        <w:t>metabolitként</w:t>
      </w:r>
      <w:proofErr w:type="spellEnd"/>
      <w:r>
        <w:rPr>
          <w:sz w:val="22"/>
          <w:szCs w:val="22"/>
          <w:lang w:eastAsia="en-US"/>
        </w:rPr>
        <w:t>. Legfeljebb 200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-kálium dózisig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farmakokinetikája</w:t>
      </w:r>
      <w:proofErr w:type="spellEnd"/>
      <w:r>
        <w:rPr>
          <w:sz w:val="22"/>
          <w:szCs w:val="22"/>
          <w:lang w:eastAsia="en-US"/>
        </w:rPr>
        <w:t xml:space="preserve"> lineáris.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adagolást követően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plazmakoncentrációja </w:t>
      </w:r>
      <w:proofErr w:type="spellStart"/>
      <w:r>
        <w:rPr>
          <w:sz w:val="22"/>
          <w:szCs w:val="22"/>
          <w:lang w:eastAsia="en-US"/>
        </w:rPr>
        <w:t>poliexponenciálisan</w:t>
      </w:r>
      <w:proofErr w:type="spellEnd"/>
      <w:r>
        <w:rPr>
          <w:sz w:val="22"/>
          <w:szCs w:val="22"/>
          <w:lang w:eastAsia="en-US"/>
        </w:rPr>
        <w:t xml:space="preserve"> csökken,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terminális felezési ideje kb. 2 óra, míg aktív </w:t>
      </w:r>
      <w:proofErr w:type="spellStart"/>
      <w:r>
        <w:rPr>
          <w:sz w:val="22"/>
          <w:szCs w:val="22"/>
          <w:lang w:eastAsia="en-US"/>
        </w:rPr>
        <w:t>metabolitjáé</w:t>
      </w:r>
      <w:proofErr w:type="spellEnd"/>
      <w:r>
        <w:rPr>
          <w:sz w:val="22"/>
          <w:szCs w:val="22"/>
          <w:lang w:eastAsia="en-US"/>
        </w:rPr>
        <w:t xml:space="preserve"> kb. 6</w:t>
      </w:r>
      <w:r>
        <w:rPr>
          <w:sz w:val="22"/>
          <w:szCs w:val="22"/>
          <w:lang w:eastAsia="en-US"/>
        </w:rPr>
        <w:noBreakHyphen/>
        <w:t>9 óra. Napi egyszer 100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dózis esetén sem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sem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nem mutat szignifikáns akkumulációt a plazmában.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Mind az epe-, mind a húgyúti kiválasztódás hozzájárul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</w:t>
      </w:r>
      <w:proofErr w:type="spellStart"/>
      <w:r>
        <w:rPr>
          <w:sz w:val="22"/>
          <w:szCs w:val="22"/>
          <w:lang w:eastAsia="en-US"/>
        </w:rPr>
        <w:t>metabolitjainak</w:t>
      </w:r>
      <w:proofErr w:type="spellEnd"/>
      <w:r>
        <w:rPr>
          <w:sz w:val="22"/>
          <w:szCs w:val="22"/>
          <w:lang w:eastAsia="en-US"/>
        </w:rPr>
        <w:t xml:space="preserve"> kiürüléséhez. Embereknél egy </w:t>
      </w:r>
      <w:r>
        <w:rPr>
          <w:sz w:val="22"/>
          <w:szCs w:val="22"/>
          <w:vertAlign w:val="superscript"/>
          <w:lang w:eastAsia="en-US"/>
        </w:rPr>
        <w:t>14</w:t>
      </w:r>
      <w:r>
        <w:rPr>
          <w:sz w:val="22"/>
          <w:szCs w:val="22"/>
          <w:lang w:eastAsia="en-US"/>
        </w:rPr>
        <w:t xml:space="preserve">C-jelzett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dózisának beadását</w:t>
      </w:r>
      <w:r>
        <w:rPr>
          <w:i/>
          <w:iCs/>
          <w:sz w:val="22"/>
          <w:szCs w:val="22"/>
          <w:lang w:eastAsia="en-US"/>
        </w:rPr>
        <w:t>/</w:t>
      </w:r>
      <w:r>
        <w:rPr>
          <w:sz w:val="22"/>
          <w:szCs w:val="22"/>
          <w:lang w:eastAsia="en-US"/>
        </w:rPr>
        <w:t>intravénás alkalmazását követően a radioaktivitás kb. 35%/43%-a nyerhető vissza a vizeletből és 58%/50%-</w:t>
      </w:r>
      <w:proofErr w:type="gramStart"/>
      <w:r>
        <w:rPr>
          <w:sz w:val="22"/>
          <w:szCs w:val="22"/>
          <w:lang w:eastAsia="en-US"/>
        </w:rPr>
        <w:t>a</w:t>
      </w:r>
      <w:proofErr w:type="gram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</w:t>
      </w:r>
      <w:proofErr w:type="spellEnd"/>
      <w:r>
        <w:rPr>
          <w:sz w:val="22"/>
          <w:szCs w:val="22"/>
          <w:lang w:eastAsia="en-US"/>
        </w:rPr>
        <w:t xml:space="preserve"> székletből.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</w:rPr>
        <w:t>Különleges</w:t>
      </w:r>
      <w:r>
        <w:rPr>
          <w:sz w:val="22"/>
          <w:szCs w:val="22"/>
          <w:u w:val="single"/>
          <w:lang w:eastAsia="en-US"/>
        </w:rPr>
        <w:t xml:space="preserve"> betegcsoportok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időskorú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betegeknél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plazmakoncentrációi alapvetően nem térnek el a fiatal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betegeknél tapasztaltaktól.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nőknél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plazmaszintjei legfeljebb kétszer olyan magasak voltak, mint a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férfiaknál, míg az aktív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plazmaszintjei nem tértek el férfiak és nők esetén.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Enyhe és középsúlyos alkohol-indukált májcirrózisban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adagolást követően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plazmakoncentrációja a fiatal önként jelentkező férfiak plazmakoncentráció-értékeinek 5-szöröse,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plazmakoncentrációja pedig 1,7-szerese volt (lásd 4.2 és 4.4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plazmakoncentrációi nem különböznek azoknál a betegeknél, akiknek kreatinin-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 xml:space="preserve"> értéke 10 ml/perc felett van. Összehasonlítva a normál vesefunkcióval rendelkező betegekkel,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AUC-értéke kb. kétszer magasabb </w:t>
      </w:r>
      <w:proofErr w:type="spellStart"/>
      <w:r>
        <w:rPr>
          <w:sz w:val="22"/>
          <w:szCs w:val="22"/>
          <w:lang w:eastAsia="en-US"/>
        </w:rPr>
        <w:t>hemodializált</w:t>
      </w:r>
      <w:proofErr w:type="spellEnd"/>
      <w:r>
        <w:rPr>
          <w:sz w:val="22"/>
          <w:szCs w:val="22"/>
          <w:lang w:eastAsia="en-US"/>
        </w:rPr>
        <w:t xml:space="preserve"> betegek esetén.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aktív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plazmakoncentrációja nem változik vesekárosodásban szenvedő vagy </w:t>
      </w:r>
      <w:proofErr w:type="spellStart"/>
      <w:r>
        <w:rPr>
          <w:sz w:val="22"/>
          <w:szCs w:val="22"/>
          <w:lang w:eastAsia="en-US"/>
        </w:rPr>
        <w:t>hemodializált</w:t>
      </w:r>
      <w:proofErr w:type="spellEnd"/>
      <w:r>
        <w:rPr>
          <w:sz w:val="22"/>
          <w:szCs w:val="22"/>
          <w:lang w:eastAsia="en-US"/>
        </w:rPr>
        <w:t xml:space="preserve"> betegek esetén.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Hemodialízissel</w:t>
      </w:r>
      <w:proofErr w:type="spellEnd"/>
      <w:r>
        <w:rPr>
          <w:sz w:val="22"/>
          <w:szCs w:val="22"/>
          <w:lang w:eastAsia="en-US"/>
        </w:rPr>
        <w:t xml:space="preserve"> sem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sem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nem távolítható el.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Farmakokinetika</w:t>
      </w:r>
      <w:proofErr w:type="spellEnd"/>
      <w:r>
        <w:rPr>
          <w:sz w:val="22"/>
          <w:szCs w:val="22"/>
          <w:u w:val="single"/>
          <w:lang w:eastAsia="en-US"/>
        </w:rPr>
        <w:t xml:space="preserve"> gyermekeknél és serdülőknél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farmakokinetikáját</w:t>
      </w:r>
      <w:proofErr w:type="spellEnd"/>
      <w:r>
        <w:rPr>
          <w:sz w:val="22"/>
          <w:szCs w:val="22"/>
          <w:lang w:eastAsia="en-US"/>
        </w:rPr>
        <w:t xml:space="preserve"> 50, egy hónaposnál idősebb, de 16 évesnél fiatalabb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csecsemőknél, gyermekeknél és serdülőknél vizsgálták, hozzávetőleg 0,54</w:t>
      </w:r>
      <w:r>
        <w:rPr>
          <w:sz w:val="22"/>
          <w:szCs w:val="22"/>
          <w:lang w:eastAsia="en-US"/>
        </w:rPr>
        <w:noBreakHyphen/>
        <w:t>0,77 mg/</w:t>
      </w:r>
      <w:proofErr w:type="spellStart"/>
      <w:r>
        <w:rPr>
          <w:sz w:val="22"/>
          <w:szCs w:val="22"/>
          <w:lang w:eastAsia="en-US"/>
        </w:rPr>
        <w:t>ttkg</w:t>
      </w:r>
      <w:proofErr w:type="spellEnd"/>
      <w:r>
        <w:rPr>
          <w:sz w:val="22"/>
          <w:szCs w:val="22"/>
          <w:lang w:eastAsia="en-US"/>
        </w:rPr>
        <w:t xml:space="preserve"> (átlagos dózis)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naponta egyszer történő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alkalmazását követően.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eredmények azt mutatták, hogy a </w:t>
      </w:r>
      <w:proofErr w:type="spellStart"/>
      <w:r>
        <w:rPr>
          <w:sz w:val="22"/>
          <w:szCs w:val="22"/>
          <w:lang w:eastAsia="en-US"/>
        </w:rPr>
        <w:t>lozartánból</w:t>
      </w:r>
      <w:proofErr w:type="spellEnd"/>
      <w:r>
        <w:rPr>
          <w:sz w:val="22"/>
          <w:szCs w:val="22"/>
          <w:lang w:eastAsia="en-US"/>
        </w:rPr>
        <w:t xml:space="preserve"> minden korcsoportban aktív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képződik. Az eredmények szerint a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alkalmazást követően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farmakokinetikai</w:t>
      </w:r>
      <w:proofErr w:type="spellEnd"/>
      <w:r>
        <w:rPr>
          <w:sz w:val="22"/>
          <w:szCs w:val="22"/>
          <w:lang w:eastAsia="en-US"/>
        </w:rPr>
        <w:t xml:space="preserve"> paraméterei nagyjából hasonlóak voltak a csecsemők és kisgyermekek, óvodáskorú és iskoláskorú gyermekek és serdülők között. A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farmakokinetikai</w:t>
      </w:r>
      <w:proofErr w:type="spellEnd"/>
      <w:r>
        <w:rPr>
          <w:sz w:val="22"/>
          <w:szCs w:val="22"/>
          <w:lang w:eastAsia="en-US"/>
        </w:rPr>
        <w:t xml:space="preserve"> paraméterei nagyobb különbséget mutattak a korcsoportok között. Ezek a különbségek az óvodáskorú gyermekeket serdülőkkel összehasonlítva statisztikailag szignifikánsak voltak. Összehasonlításképpen, az expozíció magas volt csecsemőknél/kisgyermekeknél.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5.3</w:t>
      </w:r>
      <w:r>
        <w:rPr>
          <w:b/>
          <w:sz w:val="22"/>
          <w:szCs w:val="22"/>
        </w:rPr>
        <w:tab/>
        <w:t xml:space="preserve">A </w:t>
      </w:r>
      <w:proofErr w:type="spellStart"/>
      <w:r>
        <w:rPr>
          <w:b/>
          <w:sz w:val="22"/>
          <w:szCs w:val="22"/>
        </w:rPr>
        <w:t>preklinikai</w:t>
      </w:r>
      <w:proofErr w:type="spellEnd"/>
      <w:r>
        <w:rPr>
          <w:b/>
          <w:sz w:val="22"/>
          <w:szCs w:val="22"/>
        </w:rPr>
        <w:t xml:space="preserve"> biztonságossági vizsgálatok eredményei</w:t>
      </w:r>
    </w:p>
    <w:p w:rsidR="00601E88" w:rsidRDefault="00601E88">
      <w:pPr>
        <w:rPr>
          <w:bCs/>
          <w:sz w:val="22"/>
          <w:szCs w:val="22"/>
        </w:rPr>
      </w:pP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hagyományos – farmakológiai biztonságossági, </w:t>
      </w:r>
      <w:proofErr w:type="spellStart"/>
      <w:r>
        <w:rPr>
          <w:sz w:val="22"/>
          <w:szCs w:val="22"/>
          <w:lang w:eastAsia="en-US"/>
        </w:rPr>
        <w:t>genotoxicitási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karcinogenitási</w:t>
      </w:r>
      <w:proofErr w:type="spellEnd"/>
      <w:r>
        <w:rPr>
          <w:sz w:val="22"/>
          <w:szCs w:val="22"/>
          <w:lang w:eastAsia="en-US"/>
        </w:rPr>
        <w:t xml:space="preserve"> – vizsgálatokból származó nem klinikai jellegű adatok azt igazolták, hogy a készítmény alkalmazásakor humán vonatkozásban különleges kockázat nem várható. Az ismételt dózistoxicitási vizsgálatokban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a vörösvérsejtek paramétereinek (</w:t>
      </w:r>
      <w:proofErr w:type="spellStart"/>
      <w:r>
        <w:rPr>
          <w:sz w:val="22"/>
          <w:szCs w:val="22"/>
          <w:lang w:eastAsia="en-US"/>
        </w:rPr>
        <w:t>erythrocyták</w:t>
      </w:r>
      <w:proofErr w:type="spellEnd"/>
      <w:r>
        <w:rPr>
          <w:sz w:val="22"/>
          <w:szCs w:val="22"/>
          <w:lang w:eastAsia="en-US"/>
        </w:rPr>
        <w:t xml:space="preserve">, hemoglobin, </w:t>
      </w:r>
      <w:proofErr w:type="spellStart"/>
      <w:r>
        <w:rPr>
          <w:sz w:val="22"/>
          <w:szCs w:val="22"/>
          <w:lang w:eastAsia="en-US"/>
        </w:rPr>
        <w:t>hemato</w:t>
      </w:r>
      <w:r w:rsidR="004D5B14">
        <w:rPr>
          <w:sz w:val="22"/>
          <w:szCs w:val="22"/>
          <w:lang w:eastAsia="en-US"/>
        </w:rPr>
        <w:t>k</w:t>
      </w:r>
      <w:r>
        <w:rPr>
          <w:sz w:val="22"/>
          <w:szCs w:val="22"/>
          <w:lang w:eastAsia="en-US"/>
        </w:rPr>
        <w:t>rit</w:t>
      </w:r>
      <w:proofErr w:type="spellEnd"/>
      <w:r>
        <w:rPr>
          <w:sz w:val="22"/>
          <w:szCs w:val="22"/>
          <w:lang w:eastAsia="en-US"/>
        </w:rPr>
        <w:t xml:space="preserve">) csökkenését, a szérum karbamid-N szintjének növekedését,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alkalmankénti</w:t>
      </w:r>
      <w:proofErr w:type="spellEnd"/>
      <w:r>
        <w:rPr>
          <w:sz w:val="22"/>
          <w:szCs w:val="22"/>
          <w:lang w:eastAsia="en-US"/>
        </w:rPr>
        <w:t xml:space="preserve"> megemelkedését, a szív tömegének csökkenését (hisztológiai korreláció nélkül) és </w:t>
      </w:r>
      <w:proofErr w:type="spellStart"/>
      <w:r>
        <w:rPr>
          <w:sz w:val="22"/>
          <w:szCs w:val="22"/>
          <w:lang w:eastAsia="en-US"/>
        </w:rPr>
        <w:t>gasztrointesztinális</w:t>
      </w:r>
      <w:proofErr w:type="spellEnd"/>
      <w:r>
        <w:rPr>
          <w:sz w:val="22"/>
          <w:szCs w:val="22"/>
          <w:lang w:eastAsia="en-US"/>
        </w:rPr>
        <w:t xml:space="preserve"> változásokat (</w:t>
      </w:r>
      <w:proofErr w:type="spellStart"/>
      <w:r>
        <w:rPr>
          <w:sz w:val="22"/>
          <w:szCs w:val="22"/>
          <w:lang w:eastAsia="en-US"/>
        </w:rPr>
        <w:t>mucosus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membránlaesiók</w:t>
      </w:r>
      <w:proofErr w:type="spellEnd"/>
      <w:r>
        <w:rPr>
          <w:sz w:val="22"/>
          <w:szCs w:val="22"/>
          <w:lang w:eastAsia="en-US"/>
        </w:rPr>
        <w:t xml:space="preserve">, fekélyek, eróziók, </w:t>
      </w:r>
      <w:proofErr w:type="spellStart"/>
      <w:r>
        <w:rPr>
          <w:sz w:val="22"/>
          <w:szCs w:val="22"/>
          <w:lang w:eastAsia="en-US"/>
        </w:rPr>
        <w:t>haemorrhagia</w:t>
      </w:r>
      <w:proofErr w:type="spellEnd"/>
      <w:r>
        <w:rPr>
          <w:sz w:val="22"/>
          <w:szCs w:val="22"/>
          <w:lang w:eastAsia="en-US"/>
        </w:rPr>
        <w:t xml:space="preserve">) okozott. Más, a </w:t>
      </w:r>
      <w:proofErr w:type="spellStart"/>
      <w:r>
        <w:rPr>
          <w:sz w:val="22"/>
          <w:szCs w:val="22"/>
          <w:lang w:eastAsia="en-US"/>
        </w:rPr>
        <w:t>renin</w:t>
      </w:r>
      <w:proofErr w:type="spellEnd"/>
      <w:r w:rsidR="004D5B14">
        <w:rPr>
          <w:sz w:val="22"/>
          <w:szCs w:val="22"/>
          <w:lang w:eastAsia="en-US"/>
        </w:rPr>
        <w:noBreakHyphen/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 xml:space="preserve">-rendszerre közvetlenül ható szerekhez hasonlóan a </w:t>
      </w:r>
      <w:proofErr w:type="spellStart"/>
      <w:r>
        <w:rPr>
          <w:sz w:val="22"/>
          <w:szCs w:val="22"/>
          <w:lang w:eastAsia="en-US"/>
        </w:rPr>
        <w:t>lozartánról</w:t>
      </w:r>
      <w:proofErr w:type="spellEnd"/>
      <w:r>
        <w:rPr>
          <w:sz w:val="22"/>
          <w:szCs w:val="22"/>
          <w:lang w:eastAsia="en-US"/>
        </w:rPr>
        <w:t xml:space="preserve"> is kimutatták, hogy nemkívánatos hatásai vannak a késői magzati fejlődésre, magzati halált és </w:t>
      </w:r>
      <w:proofErr w:type="spellStart"/>
      <w:r>
        <w:rPr>
          <w:sz w:val="22"/>
          <w:szCs w:val="22"/>
          <w:lang w:eastAsia="en-US"/>
        </w:rPr>
        <w:t>malformációkat</w:t>
      </w:r>
      <w:proofErr w:type="spellEnd"/>
      <w:r>
        <w:rPr>
          <w:sz w:val="22"/>
          <w:szCs w:val="22"/>
          <w:lang w:eastAsia="en-US"/>
        </w:rPr>
        <w:t xml:space="preserve"> okozva.</w:t>
      </w:r>
    </w:p>
    <w:p w:rsidR="00601E88" w:rsidRDefault="00601E88">
      <w:pPr>
        <w:rPr>
          <w:bCs/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</w:t>
      </w:r>
      <w:r>
        <w:rPr>
          <w:b/>
          <w:sz w:val="22"/>
          <w:szCs w:val="22"/>
        </w:rPr>
        <w:tab/>
        <w:t>GYÓGYSZERÉSZETI JELLEMZŐK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6.1</w:t>
      </w:r>
      <w:r>
        <w:rPr>
          <w:b/>
          <w:sz w:val="22"/>
          <w:szCs w:val="22"/>
        </w:rPr>
        <w:tab/>
        <w:t>Segédanyagok felsorolása</w:t>
      </w:r>
    </w:p>
    <w:p w:rsidR="00601E88" w:rsidRDefault="00601E88">
      <w:pPr>
        <w:tabs>
          <w:tab w:val="left" w:pos="0"/>
        </w:tabs>
        <w:rPr>
          <w:i/>
          <w:sz w:val="22"/>
          <w:szCs w:val="22"/>
          <w:u w:val="single"/>
        </w:rPr>
      </w:pPr>
    </w:p>
    <w:p w:rsidR="00601E88" w:rsidRDefault="00CD7A0A">
      <w:pPr>
        <w:tabs>
          <w:tab w:val="left" w:pos="0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</w:p>
    <w:p w:rsidR="00601E88" w:rsidRDefault="00CD7A0A">
      <w:pPr>
        <w:tabs>
          <w:tab w:val="left" w:pos="0"/>
        </w:tabs>
        <w:rPr>
          <w:sz w:val="22"/>
          <w:szCs w:val="22"/>
        </w:rPr>
      </w:pPr>
      <w:r>
        <w:rPr>
          <w:i/>
          <w:sz w:val="22"/>
          <w:szCs w:val="22"/>
        </w:rPr>
        <w:t xml:space="preserve">Tablettamag: </w:t>
      </w:r>
      <w:proofErr w:type="spellStart"/>
      <w:r>
        <w:rPr>
          <w:sz w:val="22"/>
          <w:szCs w:val="22"/>
        </w:rPr>
        <w:t>cellaktóz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laktóz-monohidrát</w:t>
      </w:r>
      <w:proofErr w:type="spellEnd"/>
      <w:r>
        <w:rPr>
          <w:sz w:val="22"/>
          <w:szCs w:val="22"/>
        </w:rPr>
        <w:t xml:space="preserve"> és cellulóz por), hidegen duzzadó kukoricakeményítő, kukoricakeményítő, mikrokristályos cellulóz, vízmentes kolloid szilícium-dioxid, magnézium-</w:t>
      </w:r>
      <w:proofErr w:type="spellStart"/>
      <w:r>
        <w:rPr>
          <w:sz w:val="22"/>
          <w:szCs w:val="22"/>
        </w:rPr>
        <w:t>sztearát</w:t>
      </w:r>
      <w:proofErr w:type="spellEnd"/>
      <w:r>
        <w:rPr>
          <w:sz w:val="22"/>
          <w:szCs w:val="22"/>
        </w:rPr>
        <w:t>.</w:t>
      </w:r>
    </w:p>
    <w:p w:rsidR="00601E88" w:rsidRDefault="00CD7A0A">
      <w:pPr>
        <w:tabs>
          <w:tab w:val="left" w:pos="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Filmbevonat: </w:t>
      </w:r>
      <w:proofErr w:type="spellStart"/>
      <w:r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 xml:space="preserve">, talkum, </w:t>
      </w:r>
      <w:proofErr w:type="spellStart"/>
      <w:r>
        <w:rPr>
          <w:sz w:val="22"/>
          <w:szCs w:val="22"/>
        </w:rPr>
        <w:t>propilénglikol</w:t>
      </w:r>
      <w:proofErr w:type="spellEnd"/>
      <w:r>
        <w:rPr>
          <w:sz w:val="22"/>
          <w:szCs w:val="22"/>
        </w:rPr>
        <w:t xml:space="preserve">, titán-dioxid (E 171) és </w:t>
      </w:r>
      <w:proofErr w:type="spellStart"/>
      <w:r>
        <w:rPr>
          <w:sz w:val="22"/>
          <w:szCs w:val="22"/>
        </w:rPr>
        <w:t>kinolinsárga</w:t>
      </w:r>
      <w:proofErr w:type="spellEnd"/>
      <w:r>
        <w:rPr>
          <w:sz w:val="22"/>
          <w:szCs w:val="22"/>
        </w:rPr>
        <w:t xml:space="preserve"> (E 104).</w:t>
      </w:r>
    </w:p>
    <w:p w:rsidR="00601E88" w:rsidRDefault="00601E88">
      <w:pPr>
        <w:tabs>
          <w:tab w:val="left" w:pos="600"/>
        </w:tabs>
        <w:rPr>
          <w:sz w:val="22"/>
          <w:szCs w:val="22"/>
          <w:u w:val="single"/>
        </w:rPr>
      </w:pPr>
    </w:p>
    <w:p w:rsidR="00601E88" w:rsidRDefault="00CD7A0A">
      <w:pPr>
        <w:tabs>
          <w:tab w:val="left" w:pos="600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</w:p>
    <w:p w:rsidR="00601E88" w:rsidRDefault="00CD7A0A">
      <w:pPr>
        <w:tabs>
          <w:tab w:val="left" w:pos="600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</w:p>
    <w:p w:rsidR="00601E88" w:rsidRDefault="00CD7A0A">
      <w:pPr>
        <w:tabs>
          <w:tab w:val="left" w:pos="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Tablettamag: </w:t>
      </w:r>
      <w:proofErr w:type="spellStart"/>
      <w:r>
        <w:rPr>
          <w:sz w:val="22"/>
          <w:szCs w:val="22"/>
        </w:rPr>
        <w:t>cellaktóz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laktóz-monohidrát</w:t>
      </w:r>
      <w:proofErr w:type="spellEnd"/>
      <w:r>
        <w:rPr>
          <w:sz w:val="22"/>
          <w:szCs w:val="22"/>
        </w:rPr>
        <w:t xml:space="preserve"> és cellulóz por), hidegen duzzadó kukoricakeményítő, kukoricakeményítő, mikrokristályos cellulóz, vízmentes kolloid szilícium-dioxid, magnézium-</w:t>
      </w:r>
      <w:proofErr w:type="spellStart"/>
      <w:r>
        <w:rPr>
          <w:sz w:val="22"/>
          <w:szCs w:val="22"/>
        </w:rPr>
        <w:t>sztearát</w:t>
      </w:r>
      <w:proofErr w:type="spellEnd"/>
      <w:r>
        <w:rPr>
          <w:i/>
          <w:sz w:val="22"/>
          <w:szCs w:val="22"/>
        </w:rPr>
        <w:t>.</w:t>
      </w:r>
    </w:p>
    <w:p w:rsidR="00601E88" w:rsidRDefault="00CD7A0A">
      <w:pPr>
        <w:tabs>
          <w:tab w:val="left" w:pos="0"/>
        </w:tabs>
        <w:rPr>
          <w:sz w:val="22"/>
          <w:szCs w:val="22"/>
        </w:rPr>
      </w:pPr>
      <w:r>
        <w:rPr>
          <w:i/>
          <w:sz w:val="22"/>
          <w:szCs w:val="22"/>
        </w:rPr>
        <w:t xml:space="preserve">Filmbevonat: </w:t>
      </w:r>
      <w:proofErr w:type="spellStart"/>
      <w:r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 xml:space="preserve">, talkum, </w:t>
      </w:r>
      <w:proofErr w:type="spellStart"/>
      <w:r>
        <w:rPr>
          <w:sz w:val="22"/>
          <w:szCs w:val="22"/>
        </w:rPr>
        <w:t>propilénglikol</w:t>
      </w:r>
      <w:proofErr w:type="spellEnd"/>
      <w:r>
        <w:rPr>
          <w:sz w:val="22"/>
          <w:szCs w:val="22"/>
        </w:rPr>
        <w:t>, titán-dioxid (E 171).</w:t>
      </w:r>
    </w:p>
    <w:p w:rsidR="00601E88" w:rsidRDefault="00601E88">
      <w:pPr>
        <w:tabs>
          <w:tab w:val="left" w:pos="0"/>
        </w:tabs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6.2</w:t>
      </w:r>
      <w:r>
        <w:rPr>
          <w:b/>
          <w:sz w:val="22"/>
          <w:szCs w:val="22"/>
        </w:rPr>
        <w:tab/>
        <w:t>Inkompatibilitások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Nem értelmezhető.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6.3</w:t>
      </w:r>
      <w:r>
        <w:rPr>
          <w:b/>
          <w:sz w:val="22"/>
          <w:szCs w:val="22"/>
        </w:rPr>
        <w:tab/>
        <w:t>Felhasználhatósági időtartam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600"/>
        </w:tabs>
        <w:rPr>
          <w:sz w:val="22"/>
          <w:szCs w:val="22"/>
        </w:rPr>
      </w:pPr>
      <w:r>
        <w:rPr>
          <w:sz w:val="22"/>
          <w:szCs w:val="22"/>
        </w:rPr>
        <w:t>5 év</w:t>
      </w:r>
    </w:p>
    <w:p w:rsidR="00601E88" w:rsidRDefault="00601E88">
      <w:pPr>
        <w:rPr>
          <w:sz w:val="22"/>
          <w:szCs w:val="22"/>
        </w:rPr>
      </w:pPr>
    </w:p>
    <w:p w:rsidR="00601E88" w:rsidRDefault="00CD7A0A" w:rsidP="009A4DF2">
      <w:pPr>
        <w:keepNext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Polietilén (HDPE) tartályban, </w:t>
      </w:r>
      <w:proofErr w:type="spellStart"/>
      <w:r>
        <w:rPr>
          <w:i/>
          <w:sz w:val="22"/>
          <w:szCs w:val="22"/>
        </w:rPr>
        <w:t>garanciazáras</w:t>
      </w:r>
      <w:proofErr w:type="spellEnd"/>
      <w:r>
        <w:rPr>
          <w:i/>
          <w:sz w:val="22"/>
          <w:szCs w:val="22"/>
        </w:rPr>
        <w:t xml:space="preserve"> polipropilén (PP) kupakkal lezárva: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A tartály első kinyitása után a készítményt 100 napon belül fel kell használni.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6.4</w:t>
      </w:r>
      <w:r>
        <w:rPr>
          <w:b/>
          <w:sz w:val="22"/>
          <w:szCs w:val="22"/>
        </w:rPr>
        <w:tab/>
        <w:t>Különleges tárolási előírások</w:t>
      </w:r>
    </w:p>
    <w:p w:rsidR="00601E88" w:rsidRDefault="00601E88">
      <w:pPr>
        <w:tabs>
          <w:tab w:val="left" w:pos="600"/>
        </w:tabs>
        <w:rPr>
          <w:i/>
          <w:sz w:val="22"/>
          <w:szCs w:val="22"/>
        </w:rPr>
      </w:pPr>
    </w:p>
    <w:p w:rsidR="00601E88" w:rsidRDefault="00CD7A0A">
      <w:pPr>
        <w:tabs>
          <w:tab w:val="left" w:pos="600"/>
        </w:tabs>
        <w:rPr>
          <w:sz w:val="22"/>
          <w:szCs w:val="22"/>
        </w:rPr>
      </w:pPr>
      <w:r>
        <w:rPr>
          <w:noProof/>
          <w:sz w:val="22"/>
          <w:szCs w:val="22"/>
        </w:rPr>
        <w:t>Ez a gyógyszer nem igényel különleges tárolást.</w:t>
      </w:r>
    </w:p>
    <w:p w:rsidR="00601E88" w:rsidRDefault="00601E88">
      <w:pPr>
        <w:rPr>
          <w:i/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6.5</w:t>
      </w:r>
      <w:r>
        <w:rPr>
          <w:b/>
          <w:sz w:val="22"/>
          <w:szCs w:val="22"/>
        </w:rPr>
        <w:tab/>
        <w:t>Csomagolás típusa és kiszerelése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Buborékcsomagolás (PVC/PVDC//Alu)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  <w:r>
        <w:rPr>
          <w:sz w:val="22"/>
          <w:szCs w:val="22"/>
        </w:rPr>
        <w:t>: 10, 14, 15, 20, 28, 30, 50, 56, 60, 84, 90, 98, 100 vagy 112 db filmtabletta, dobozban.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>: 10, 14, 15, 20, 28, 30, 50, 56, 60, 84, 90, 98, 100 vagy 112 db filmtabletta, dobozban.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 xml:space="preserve">: 7, 10, 14, 15, 20, 28, 30, 50, 56, 60, 84, 90, 98, 100 vagy 112 db filmtabletta, dobozban. </w:t>
      </w:r>
    </w:p>
    <w:p w:rsidR="00601E88" w:rsidRDefault="00601E88">
      <w:pPr>
        <w:tabs>
          <w:tab w:val="left" w:pos="567"/>
        </w:tabs>
        <w:rPr>
          <w:sz w:val="22"/>
          <w:szCs w:val="22"/>
        </w:rPr>
      </w:pPr>
    </w:p>
    <w:p w:rsidR="00601E88" w:rsidRDefault="00CD7A0A">
      <w:pPr>
        <w:tabs>
          <w:tab w:val="left" w:pos="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HDPE tartály, mely PP kupakkal záródik, mely </w:t>
      </w:r>
      <w:proofErr w:type="spellStart"/>
      <w:r>
        <w:rPr>
          <w:b/>
          <w:sz w:val="22"/>
          <w:szCs w:val="22"/>
        </w:rPr>
        <w:t>szilikagéllel</w:t>
      </w:r>
      <w:proofErr w:type="spellEnd"/>
      <w:r>
        <w:rPr>
          <w:b/>
          <w:sz w:val="22"/>
          <w:szCs w:val="22"/>
        </w:rPr>
        <w:t xml:space="preserve"> töltött PE nedvességmegkötő betétet tartalmaz 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>: 250 filmtabletta, dobozban,</w:t>
      </w:r>
    </w:p>
    <w:p w:rsidR="00601E88" w:rsidRDefault="00601E88">
      <w:pPr>
        <w:tabs>
          <w:tab w:val="left" w:pos="567"/>
        </w:tabs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Polietilén (HDPE) tartály, </w:t>
      </w:r>
      <w:proofErr w:type="spellStart"/>
      <w:r>
        <w:rPr>
          <w:b/>
          <w:sz w:val="22"/>
          <w:szCs w:val="22"/>
        </w:rPr>
        <w:t>garanciazáras</w:t>
      </w:r>
      <w:proofErr w:type="spellEnd"/>
      <w:r>
        <w:rPr>
          <w:b/>
          <w:sz w:val="22"/>
          <w:szCs w:val="22"/>
        </w:rPr>
        <w:t xml:space="preserve"> polipropilén (PP) kupakkal lezárva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100 filmtabletta, dobozban.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ind w:left="567" w:hanging="567"/>
        <w:rPr>
          <w:b/>
          <w:noProof/>
          <w:sz w:val="22"/>
          <w:szCs w:val="22"/>
        </w:rPr>
      </w:pPr>
      <w:r>
        <w:rPr>
          <w:b/>
          <w:sz w:val="22"/>
          <w:szCs w:val="22"/>
        </w:rPr>
        <w:t>6.6</w:t>
      </w:r>
      <w:r>
        <w:rPr>
          <w:b/>
          <w:sz w:val="22"/>
          <w:szCs w:val="22"/>
        </w:rPr>
        <w:tab/>
      </w:r>
      <w:r>
        <w:rPr>
          <w:b/>
          <w:noProof/>
          <w:sz w:val="22"/>
          <w:szCs w:val="22"/>
        </w:rPr>
        <w:t>A megsemmisítésre vonatkozó különleges óvintézkedések, és egyéb, a készítmény kezelésével kapcsolatos információk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:rsidR="00601E88" w:rsidRDefault="00601E88">
      <w:pPr>
        <w:pStyle w:val="02"/>
        <w:autoSpaceDE w:val="0"/>
        <w:spacing w:before="0" w:after="0"/>
        <w:ind w:firstLine="0"/>
        <w:rPr>
          <w:b w:val="0"/>
          <w:bCs w:val="0"/>
          <w:lang w:val="hu-HU"/>
        </w:rPr>
      </w:pPr>
    </w:p>
    <w:p w:rsidR="00601E88" w:rsidRDefault="00CD7A0A">
      <w:pPr>
        <w:rPr>
          <w:sz w:val="22"/>
        </w:rPr>
      </w:pPr>
      <w:r>
        <w:rPr>
          <w:b/>
          <w:sz w:val="22"/>
          <w:szCs w:val="22"/>
        </w:rPr>
        <w:t>Megjegyzés: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sym w:font="Wingdings" w:char="F058"/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(egy keresztes)</w:t>
      </w:r>
    </w:p>
    <w:p w:rsidR="00601E88" w:rsidRDefault="00CD7A0A">
      <w:pPr>
        <w:pStyle w:val="02"/>
        <w:autoSpaceDE w:val="0"/>
        <w:spacing w:before="0" w:after="0"/>
        <w:ind w:firstLine="0"/>
        <w:rPr>
          <w:b w:val="0"/>
          <w:lang w:val="hu-HU"/>
        </w:rPr>
      </w:pPr>
      <w:r>
        <w:rPr>
          <w:b w:val="0"/>
          <w:bCs w:val="0"/>
          <w:lang w:val="hu-HU"/>
        </w:rPr>
        <w:t xml:space="preserve">Osztályozás: </w:t>
      </w:r>
      <w:r>
        <w:rPr>
          <w:lang w:val="hu-HU"/>
        </w:rPr>
        <w:t>II. csoport</w:t>
      </w:r>
    </w:p>
    <w:p w:rsidR="00601E88" w:rsidRDefault="00CD7A0A">
      <w:pPr>
        <w:pStyle w:val="02"/>
        <w:autoSpaceDE w:val="0"/>
        <w:spacing w:before="0" w:after="0"/>
        <w:ind w:firstLine="0"/>
        <w:rPr>
          <w:b w:val="0"/>
          <w:bCs w:val="0"/>
          <w:lang w:val="hu-HU"/>
        </w:rPr>
      </w:pPr>
      <w:r>
        <w:rPr>
          <w:b w:val="0"/>
          <w:bCs w:val="0"/>
          <w:lang w:val="hu-HU"/>
        </w:rPr>
        <w:lastRenderedPageBreak/>
        <w:t>Kizárólag orvosi rendelvényhez kötött gyógyszer (V).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7.</w:t>
      </w:r>
      <w:r>
        <w:rPr>
          <w:b/>
          <w:sz w:val="22"/>
          <w:szCs w:val="22"/>
        </w:rPr>
        <w:tab/>
        <w:t>A FORGALOMBA HOZATALI ENGEDÉLY JOGOSULTJA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KRKA, </w:t>
      </w:r>
      <w:proofErr w:type="spellStart"/>
      <w:r>
        <w:rPr>
          <w:sz w:val="22"/>
          <w:szCs w:val="22"/>
        </w:rPr>
        <w:t>d.d</w:t>
      </w:r>
      <w:proofErr w:type="spellEnd"/>
      <w:proofErr w:type="gramStart"/>
      <w:r>
        <w:rPr>
          <w:sz w:val="22"/>
          <w:szCs w:val="22"/>
        </w:rPr>
        <w:t>.,</w:t>
      </w:r>
      <w:proofErr w:type="gramEnd"/>
      <w:r>
        <w:rPr>
          <w:sz w:val="22"/>
          <w:szCs w:val="22"/>
        </w:rPr>
        <w:t xml:space="preserve"> Novo </w:t>
      </w:r>
      <w:proofErr w:type="spellStart"/>
      <w:r>
        <w:rPr>
          <w:sz w:val="22"/>
          <w:szCs w:val="22"/>
        </w:rPr>
        <w:t>mesto</w:t>
      </w:r>
      <w:proofErr w:type="spellEnd"/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Šmarješka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cesta</w:t>
      </w:r>
      <w:proofErr w:type="spellEnd"/>
      <w:r>
        <w:rPr>
          <w:sz w:val="22"/>
          <w:szCs w:val="22"/>
        </w:rPr>
        <w:t xml:space="preserve"> 6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Novo </w:t>
      </w:r>
      <w:proofErr w:type="spellStart"/>
      <w:r>
        <w:rPr>
          <w:sz w:val="22"/>
          <w:szCs w:val="22"/>
        </w:rPr>
        <w:t>mesto</w:t>
      </w:r>
      <w:proofErr w:type="spellEnd"/>
      <w:r>
        <w:rPr>
          <w:sz w:val="22"/>
          <w:szCs w:val="22"/>
        </w:rPr>
        <w:t xml:space="preserve">, 8501 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Szlovénia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ab/>
        <w:t xml:space="preserve">A FORGALOMBA HOZATALI ENGEDÉLY </w:t>
      </w:r>
      <w:proofErr w:type="gramStart"/>
      <w:r>
        <w:rPr>
          <w:b/>
          <w:sz w:val="22"/>
          <w:szCs w:val="22"/>
        </w:rPr>
        <w:t>SZÁMA(</w:t>
      </w:r>
      <w:proofErr w:type="gramEnd"/>
      <w:r>
        <w:rPr>
          <w:b/>
          <w:sz w:val="22"/>
          <w:szCs w:val="22"/>
        </w:rPr>
        <w:t>I)</w:t>
      </w:r>
    </w:p>
    <w:p w:rsidR="00601E88" w:rsidRDefault="00601E88">
      <w:pPr>
        <w:rPr>
          <w:i/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 mg filmtabletta 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OGYI-T-10304/08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OGYI-T-10304/09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60×</w:t>
      </w:r>
    </w:p>
    <w:p w:rsidR="00601E88" w:rsidRDefault="00601E88">
      <w:pPr>
        <w:tabs>
          <w:tab w:val="left" w:pos="567"/>
        </w:tabs>
        <w:rPr>
          <w:sz w:val="22"/>
          <w:szCs w:val="22"/>
          <w:u w:val="single"/>
        </w:rPr>
      </w:pPr>
    </w:p>
    <w:p w:rsidR="00601E88" w:rsidRDefault="00CD7A0A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 mg filmtabletta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56×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84×</w:t>
      </w:r>
    </w:p>
    <w:p w:rsidR="00601E88" w:rsidRDefault="00601E88">
      <w:pPr>
        <w:tabs>
          <w:tab w:val="left" w:pos="567"/>
        </w:tabs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OGYI-T-10304/10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OGYI-T-10304/11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OGYI-T-10304/12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60×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9.</w:t>
      </w:r>
      <w:r>
        <w:rPr>
          <w:b/>
          <w:sz w:val="22"/>
          <w:szCs w:val="22"/>
        </w:rPr>
        <w:tab/>
        <w:t>A FORGALOMBA HOZATALI ENGEDÉLY ELSŐ KIADÁSÁNAK/ MEGÚJÍTÁSÁNAK DÁTUMA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</w:p>
    <w:p w:rsidR="00601E88" w:rsidRDefault="00CD7A0A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</w:p>
    <w:p w:rsidR="00601E88" w:rsidRDefault="00CD7A0A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</w:rPr>
        <w:t>A forgalomba hozatali engedély első kiadásának dátuma: 2007. június 1.</w:t>
      </w:r>
    </w:p>
    <w:p w:rsidR="00601E88" w:rsidRDefault="00CD7A0A">
      <w:pPr>
        <w:tabs>
          <w:tab w:val="left" w:pos="567"/>
        </w:tabs>
        <w:rPr>
          <w:noProof/>
          <w:sz w:val="22"/>
          <w:szCs w:val="22"/>
          <w:lang w:eastAsia="en-US"/>
        </w:rPr>
      </w:pPr>
      <w:r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  <w:r>
        <w:rPr>
          <w:sz w:val="22"/>
          <w:szCs w:val="22"/>
        </w:rPr>
        <w:t>2012. április 19.</w:t>
      </w:r>
    </w:p>
    <w:p w:rsidR="00601E88" w:rsidRDefault="00601E88">
      <w:pPr>
        <w:tabs>
          <w:tab w:val="left" w:pos="567"/>
        </w:tabs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</w:t>
      </w:r>
    </w:p>
    <w:p w:rsidR="00601E88" w:rsidRDefault="00CD7A0A">
      <w:pPr>
        <w:rPr>
          <w:sz w:val="22"/>
          <w:szCs w:val="22"/>
        </w:rPr>
      </w:pPr>
      <w:r>
        <w:rPr>
          <w:noProof/>
          <w:sz w:val="22"/>
          <w:szCs w:val="22"/>
          <w:lang w:eastAsia="en-US"/>
        </w:rPr>
        <w:t xml:space="preserve">A forgalomba hozatali engedély első kiadásának </w:t>
      </w:r>
      <w:proofErr w:type="gramStart"/>
      <w:r>
        <w:rPr>
          <w:noProof/>
          <w:sz w:val="22"/>
          <w:szCs w:val="22"/>
          <w:lang w:eastAsia="en-US"/>
        </w:rPr>
        <w:t>dátuma</w:t>
      </w:r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2005. június 30.</w:t>
      </w:r>
    </w:p>
    <w:p w:rsidR="00601E88" w:rsidRDefault="00CD7A0A">
      <w:pPr>
        <w:rPr>
          <w:b/>
          <w:sz w:val="22"/>
          <w:szCs w:val="22"/>
        </w:rPr>
      </w:pPr>
      <w:r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  <w:r>
        <w:rPr>
          <w:bCs/>
          <w:sz w:val="22"/>
          <w:szCs w:val="22"/>
        </w:rPr>
        <w:t>2012. április 19.</w:t>
      </w:r>
    </w:p>
    <w:p w:rsidR="00601E88" w:rsidRDefault="00601E88">
      <w:pPr>
        <w:rPr>
          <w:i/>
          <w:sz w:val="22"/>
          <w:szCs w:val="22"/>
        </w:rPr>
      </w:pPr>
    </w:p>
    <w:p w:rsidR="00601E88" w:rsidRDefault="00CD7A0A">
      <w:pPr>
        <w:numPr>
          <w:ilvl w:val="0"/>
          <w:numId w:val="28"/>
        </w:numPr>
        <w:tabs>
          <w:tab w:val="clear" w:pos="930"/>
          <w:tab w:val="left" w:pos="567"/>
        </w:tabs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>A SZÖVEG ELLENŐRZÉSÉNEK DÁTUMA</w:t>
      </w:r>
    </w:p>
    <w:p w:rsidR="00601E88" w:rsidRDefault="00601E88">
      <w:pPr>
        <w:rPr>
          <w:noProof/>
          <w:sz w:val="22"/>
          <w:szCs w:val="22"/>
        </w:rPr>
      </w:pPr>
    </w:p>
    <w:p w:rsidR="00601E88" w:rsidRDefault="004D5B14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202</w:t>
      </w:r>
      <w:r w:rsidR="009A4DF2">
        <w:rPr>
          <w:noProof/>
          <w:sz w:val="22"/>
          <w:szCs w:val="22"/>
        </w:rPr>
        <w:t>6</w:t>
      </w:r>
      <w:r>
        <w:rPr>
          <w:noProof/>
          <w:sz w:val="22"/>
          <w:szCs w:val="22"/>
        </w:rPr>
        <w:t xml:space="preserve">. </w:t>
      </w:r>
      <w:r w:rsidR="00C360D1">
        <w:rPr>
          <w:noProof/>
          <w:sz w:val="22"/>
          <w:szCs w:val="22"/>
        </w:rPr>
        <w:t>április 25</w:t>
      </w:r>
      <w:r>
        <w:rPr>
          <w:noProof/>
          <w:sz w:val="22"/>
          <w:szCs w:val="22"/>
        </w:rPr>
        <w:t>.</w:t>
      </w:r>
    </w:p>
    <w:sectPr w:rsidR="00601E88">
      <w:headerReference w:type="even" r:id="rId9"/>
      <w:headerReference w:type="default" r:id="rId10"/>
      <w:footerReference w:type="default" r:id="rId11"/>
      <w:footerReference w:type="first" r:id="rId12"/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BFA" w:rsidRDefault="00561BFA">
      <w:r>
        <w:separator/>
      </w:r>
    </w:p>
  </w:endnote>
  <w:endnote w:type="continuationSeparator" w:id="0">
    <w:p w:rsidR="00561BFA" w:rsidRDefault="00561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BFA" w:rsidRDefault="00561BFA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0D1" w:rsidRDefault="00C360D1" w:rsidP="009A4DF2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C360D1">
      <w:rPr>
        <w:rFonts w:ascii="Times New Roman" w:hAnsi="Times New Roman"/>
        <w:sz w:val="18"/>
        <w:szCs w:val="18"/>
      </w:rPr>
      <w:t>NNGYK/ETGY/8623/2026</w:t>
    </w:r>
  </w:p>
  <w:p w:rsidR="00C360D1" w:rsidRDefault="00C360D1" w:rsidP="009A4DF2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C360D1">
      <w:rPr>
        <w:rFonts w:ascii="Times New Roman" w:hAnsi="Times New Roman"/>
        <w:sz w:val="18"/>
        <w:szCs w:val="18"/>
      </w:rPr>
      <w:t>NNGYK/ETGY/862</w:t>
    </w:r>
    <w:r>
      <w:rPr>
        <w:rFonts w:ascii="Times New Roman" w:hAnsi="Times New Roman"/>
        <w:sz w:val="18"/>
        <w:szCs w:val="18"/>
      </w:rPr>
      <w:t>9</w:t>
    </w:r>
    <w:r w:rsidRPr="00C360D1">
      <w:rPr>
        <w:rFonts w:ascii="Times New Roman" w:hAnsi="Times New Roman"/>
        <w:sz w:val="18"/>
        <w:szCs w:val="18"/>
      </w:rPr>
      <w:t>/2026</w:t>
    </w:r>
  </w:p>
  <w:p w:rsidR="00561BFA" w:rsidRDefault="00C360D1" w:rsidP="009A4DF2">
    <w:pPr>
      <w:pStyle w:val="llb"/>
      <w:spacing w:line="240" w:lineRule="auto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NNGYK/ETGY/86</w:t>
    </w:r>
    <w:r w:rsidRPr="00C360D1">
      <w:rPr>
        <w:rFonts w:ascii="Times New Roman" w:hAnsi="Times New Roman"/>
        <w:sz w:val="18"/>
        <w:szCs w:val="18"/>
      </w:rPr>
      <w:t>3</w:t>
    </w:r>
    <w:r>
      <w:rPr>
        <w:rFonts w:ascii="Times New Roman" w:hAnsi="Times New Roman"/>
        <w:sz w:val="18"/>
        <w:szCs w:val="18"/>
      </w:rPr>
      <w:t>6</w:t>
    </w:r>
    <w:r w:rsidR="002C57F4">
      <w:rPr>
        <w:rFonts w:ascii="Times New Roman" w:hAnsi="Times New Roman"/>
        <w:sz w:val="18"/>
        <w:szCs w:val="18"/>
      </w:rPr>
      <w:t>/</w:t>
    </w:r>
    <w:r w:rsidRPr="00C360D1">
      <w:rPr>
        <w:rFonts w:ascii="Times New Roman" w:hAnsi="Times New Roman"/>
        <w:sz w:val="18"/>
        <w:szCs w:val="18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BFA" w:rsidRDefault="00561BFA">
      <w:r>
        <w:separator/>
      </w:r>
    </w:p>
  </w:footnote>
  <w:footnote w:type="continuationSeparator" w:id="0">
    <w:p w:rsidR="00561BFA" w:rsidRDefault="00561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BFA" w:rsidRDefault="00561BF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561BFA" w:rsidRDefault="00561BF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542269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561BFA" w:rsidRPr="002C57F4" w:rsidRDefault="00C360D1" w:rsidP="002C57F4">
        <w:pPr>
          <w:pStyle w:val="lfej"/>
          <w:jc w:val="center"/>
          <w:rPr>
            <w:sz w:val="18"/>
            <w:szCs w:val="18"/>
          </w:rPr>
        </w:pPr>
        <w:r w:rsidRPr="002C57F4">
          <w:rPr>
            <w:sz w:val="18"/>
            <w:szCs w:val="18"/>
          </w:rPr>
          <w:fldChar w:fldCharType="begin"/>
        </w:r>
        <w:r w:rsidRPr="002C57F4">
          <w:rPr>
            <w:sz w:val="18"/>
            <w:szCs w:val="18"/>
          </w:rPr>
          <w:instrText>PAGE   \* MERGEFORMAT</w:instrText>
        </w:r>
        <w:r w:rsidRPr="002C57F4">
          <w:rPr>
            <w:sz w:val="18"/>
            <w:szCs w:val="18"/>
          </w:rPr>
          <w:fldChar w:fldCharType="separate"/>
        </w:r>
        <w:r w:rsidR="002C57F4">
          <w:rPr>
            <w:noProof/>
            <w:sz w:val="18"/>
            <w:szCs w:val="18"/>
          </w:rPr>
          <w:t>16</w:t>
        </w:r>
        <w:r w:rsidRPr="002C57F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8939A52"/>
    <w:multiLevelType w:val="hybridMultilevel"/>
    <w:tmpl w:val="446A458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1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2" w15:restartNumberingAfterBreak="0">
    <w:nsid w:val="03103477"/>
    <w:multiLevelType w:val="hybridMultilevel"/>
    <w:tmpl w:val="B2CCA8CC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06071BD"/>
    <w:multiLevelType w:val="hybridMultilevel"/>
    <w:tmpl w:val="539E3622"/>
    <w:lvl w:ilvl="0" w:tplc="77463972">
      <w:start w:val="4"/>
      <w:numFmt w:val="bullet"/>
      <w:lvlText w:val="-"/>
      <w:lvlJc w:val="left"/>
      <w:pPr>
        <w:tabs>
          <w:tab w:val="num" w:pos="363"/>
        </w:tabs>
        <w:ind w:left="0" w:firstLine="3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723"/>
        </w:tabs>
        <w:ind w:left="72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3"/>
        </w:tabs>
        <w:ind w:left="144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3"/>
        </w:tabs>
        <w:ind w:left="216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3"/>
        </w:tabs>
        <w:ind w:left="288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3"/>
        </w:tabs>
        <w:ind w:left="360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3"/>
        </w:tabs>
        <w:ind w:left="432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3"/>
        </w:tabs>
        <w:ind w:left="504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3"/>
        </w:tabs>
        <w:ind w:left="5763" w:hanging="180"/>
      </w:pPr>
    </w:lvl>
  </w:abstractNum>
  <w:abstractNum w:abstractNumId="15" w15:restartNumberingAfterBreak="0">
    <w:nsid w:val="108911F1"/>
    <w:multiLevelType w:val="multilevel"/>
    <w:tmpl w:val="B7AE1A60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1CEA67BB"/>
    <w:multiLevelType w:val="hybridMultilevel"/>
    <w:tmpl w:val="6AA6E9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1B0794"/>
    <w:multiLevelType w:val="hybridMultilevel"/>
    <w:tmpl w:val="B7AE1A60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ACE569E"/>
    <w:multiLevelType w:val="multilevel"/>
    <w:tmpl w:val="EA9CECC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B285DF9"/>
    <w:multiLevelType w:val="hybridMultilevel"/>
    <w:tmpl w:val="EA9CECCC"/>
    <w:lvl w:ilvl="0" w:tplc="B20C0038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B940CAD"/>
    <w:multiLevelType w:val="hybridMultilevel"/>
    <w:tmpl w:val="0AEAFB3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1B4A4D"/>
    <w:multiLevelType w:val="hybridMultilevel"/>
    <w:tmpl w:val="48FE8DF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BD426C"/>
    <w:multiLevelType w:val="hybridMultilevel"/>
    <w:tmpl w:val="E232491C"/>
    <w:lvl w:ilvl="0" w:tplc="2CDC7CDE">
      <w:start w:val="4"/>
      <w:numFmt w:val="bullet"/>
      <w:lvlText w:val="-"/>
      <w:lvlJc w:val="left"/>
      <w:pPr>
        <w:ind w:left="5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3" w15:restartNumberingAfterBreak="0">
    <w:nsid w:val="30D16F5D"/>
    <w:multiLevelType w:val="hybridMultilevel"/>
    <w:tmpl w:val="49245D34"/>
    <w:lvl w:ilvl="0" w:tplc="77463972">
      <w:start w:val="4"/>
      <w:numFmt w:val="bullet"/>
      <w:lvlText w:val="-"/>
      <w:lvlJc w:val="left"/>
      <w:pPr>
        <w:tabs>
          <w:tab w:val="num" w:pos="1200"/>
        </w:tabs>
        <w:ind w:left="837" w:firstLine="3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4" w15:restartNumberingAfterBreak="0">
    <w:nsid w:val="386B1F73"/>
    <w:multiLevelType w:val="hybridMultilevel"/>
    <w:tmpl w:val="17EE45D6"/>
    <w:lvl w:ilvl="0" w:tplc="A4722B7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140EB"/>
    <w:multiLevelType w:val="hybridMultilevel"/>
    <w:tmpl w:val="A5CAC232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FA09D7"/>
    <w:multiLevelType w:val="multilevel"/>
    <w:tmpl w:val="28686E0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8CB5D10"/>
    <w:multiLevelType w:val="multilevel"/>
    <w:tmpl w:val="E4567C1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405813"/>
    <w:multiLevelType w:val="hybridMultilevel"/>
    <w:tmpl w:val="28686E04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90D085D"/>
    <w:multiLevelType w:val="hybridMultilevel"/>
    <w:tmpl w:val="F40CFF90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3E7325"/>
    <w:multiLevelType w:val="hybridMultilevel"/>
    <w:tmpl w:val="4BAEABDE"/>
    <w:lvl w:ilvl="0" w:tplc="DE5AD7D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D547C3"/>
    <w:multiLevelType w:val="hybridMultilevel"/>
    <w:tmpl w:val="7012F3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FD175F"/>
    <w:multiLevelType w:val="hybridMultilevel"/>
    <w:tmpl w:val="352C6B6E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53438D"/>
    <w:multiLevelType w:val="hybridMultilevel"/>
    <w:tmpl w:val="37D0AB2A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28"/>
  </w:num>
  <w:num w:numId="12">
    <w:abstractNumId w:val="13"/>
  </w:num>
  <w:num w:numId="13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32"/>
  </w:num>
  <w:num w:numId="15">
    <w:abstractNumId w:val="34"/>
  </w:num>
  <w:num w:numId="16">
    <w:abstractNumId w:val="29"/>
  </w:num>
  <w:num w:numId="17">
    <w:abstractNumId w:val="12"/>
  </w:num>
  <w:num w:numId="18">
    <w:abstractNumId w:val="30"/>
  </w:num>
  <w:num w:numId="19">
    <w:abstractNumId w:val="26"/>
  </w:num>
  <w:num w:numId="20">
    <w:abstractNumId w:val="19"/>
  </w:num>
  <w:num w:numId="21">
    <w:abstractNumId w:val="18"/>
  </w:num>
  <w:num w:numId="22">
    <w:abstractNumId w:val="17"/>
  </w:num>
  <w:num w:numId="23">
    <w:abstractNumId w:val="15"/>
  </w:num>
  <w:num w:numId="24">
    <w:abstractNumId w:val="14"/>
  </w:num>
  <w:num w:numId="25">
    <w:abstractNumId w:val="23"/>
  </w:num>
  <w:num w:numId="26">
    <w:abstractNumId w:val="25"/>
  </w:num>
  <w:num w:numId="27">
    <w:abstractNumId w:val="35"/>
  </w:num>
  <w:num w:numId="28">
    <w:abstractNumId w:val="24"/>
  </w:num>
  <w:num w:numId="29">
    <w:abstractNumId w:val="33"/>
  </w:num>
  <w:num w:numId="30">
    <w:abstractNumId w:val="16"/>
  </w:num>
  <w:num w:numId="31">
    <w:abstractNumId w:val="31"/>
  </w:num>
  <w:num w:numId="32">
    <w:abstractNumId w:val="21"/>
  </w:num>
  <w:num w:numId="33">
    <w:abstractNumId w:val="20"/>
  </w:num>
  <w:num w:numId="34">
    <w:abstractNumId w:val="22"/>
  </w:num>
  <w:num w:numId="35">
    <w:abstractNumId w:val="0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E88"/>
    <w:rsid w:val="002B7B78"/>
    <w:rsid w:val="002C57F4"/>
    <w:rsid w:val="002E32A8"/>
    <w:rsid w:val="004D5B14"/>
    <w:rsid w:val="00561BFA"/>
    <w:rsid w:val="00601E88"/>
    <w:rsid w:val="0067247C"/>
    <w:rsid w:val="009A4DF2"/>
    <w:rsid w:val="00BB78BA"/>
    <w:rsid w:val="00C360D1"/>
    <w:rsid w:val="00C42EB8"/>
    <w:rsid w:val="00CD7A0A"/>
    <w:rsid w:val="00E54BC4"/>
    <w:rsid w:val="00F2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stockticker"/>
  <w:shapeDefaults>
    <o:shapedefaults v:ext="edit" spidmax="26625"/>
    <o:shapelayout v:ext="edit">
      <o:idmap v:ext="edit" data="1"/>
    </o:shapelayout>
  </w:shapeDefaults>
  <w:decimalSymbol w:val=","/>
  <w:listSeparator w:val=";"/>
  <w14:docId w14:val="7572F998"/>
  <w15:docId w15:val="{3B1CF32F-83D1-413C-9AD2-9D136C93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pPr>
      <w:spacing w:before="100" w:beforeAutospacing="1" w:after="100" w:afterAutospacing="1"/>
    </w:pPr>
    <w:rPr>
      <w:lang w:val="en-US" w:eastAsia="en-US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Szvegtrzs">
    <w:name w:val="Body Text"/>
    <w:basedOn w:val="Norml"/>
    <w:rPr>
      <w:sz w:val="22"/>
      <w:szCs w:val="20"/>
      <w:lang w:val="en-GB" w:eastAsia="en-US"/>
    </w:rPr>
  </w:style>
  <w:style w:type="character" w:styleId="Oldalszm">
    <w:name w:val="page number"/>
    <w:basedOn w:val="Bekezdsalapbettpusa"/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suppressAutoHyphens/>
      <w:spacing w:line="260" w:lineRule="atLeast"/>
    </w:pPr>
    <w:rPr>
      <w:rFonts w:ascii="Helvetica" w:hAnsi="Helvetica"/>
      <w:sz w:val="16"/>
      <w:szCs w:val="20"/>
    </w:rPr>
  </w:style>
  <w:style w:type="paragraph" w:styleId="Jegyzetszveg">
    <w:name w:val="annotation text"/>
    <w:basedOn w:val="Norml"/>
    <w:semiHidden/>
    <w:pPr>
      <w:suppressAutoHyphens/>
      <w:spacing w:line="260" w:lineRule="exact"/>
    </w:pPr>
    <w:rPr>
      <w:sz w:val="20"/>
      <w:szCs w:val="20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pPr>
      <w:suppressAutoHyphens w:val="0"/>
      <w:spacing w:line="240" w:lineRule="auto"/>
    </w:pPr>
    <w:rPr>
      <w:b/>
      <w:bCs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customStyle="1" w:styleId="02">
    <w:name w:val="02"/>
    <w:basedOn w:val="Norml"/>
    <w:pPr>
      <w:widowControl w:val="0"/>
      <w:suppressAutoHyphens/>
      <w:spacing w:before="120" w:after="120"/>
      <w:ind w:hanging="426"/>
    </w:pPr>
    <w:rPr>
      <w:rFonts w:eastAsia="HG Mincho Light J"/>
      <w:b/>
      <w:bCs/>
      <w:color w:val="000000"/>
      <w:sz w:val="22"/>
      <w:szCs w:val="22"/>
      <w:lang w:val="en-GB"/>
    </w:rPr>
  </w:style>
  <w:style w:type="paragraph" w:customStyle="1" w:styleId="MGGTextLeft">
    <w:name w:val="MGG Text Left"/>
    <w:basedOn w:val="Szvegtrzs"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Pr>
      <w:sz w:val="24"/>
      <w:szCs w:val="24"/>
      <w:lang w:val="hu-HU" w:eastAsia="hu-HU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llbChar">
    <w:name w:val="Élőláb Char"/>
    <w:link w:val="llb"/>
    <w:rPr>
      <w:rFonts w:ascii="Helvetica" w:hAnsi="Helvetica"/>
      <w:sz w:val="16"/>
    </w:rPr>
  </w:style>
  <w:style w:type="character" w:customStyle="1" w:styleId="lfejChar">
    <w:name w:val="Élőfej Char"/>
    <w:basedOn w:val="Bekezdsalapbettpusa"/>
    <w:link w:val="lfej"/>
    <w:uiPriority w:val="99"/>
    <w:rsid w:val="00C360D1"/>
    <w:rPr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6D5BD-2C4B-4DCA-BCE8-01CF040D3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18</Pages>
  <Words>6976</Words>
  <Characters>50760</Characters>
  <Application>Microsoft Office Word</Application>
  <DocSecurity>0</DocSecurity>
  <Lines>423</Lines>
  <Paragraphs>115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Lorista</vt:lpstr>
      <vt:lpstr>Lorista</vt:lpstr>
      <vt:lpstr>Lorista</vt:lpstr>
    </vt:vector>
  </TitlesOfParts>
  <Company>Pannon Program Kft</Company>
  <LinksUpToDate>false</LinksUpToDate>
  <CharactersWithSpaces>57621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Lorista</dc:title>
  <dc:creator>Windows XP</dc:creator>
  <cp:lastModifiedBy>HU OGYI 49.1</cp:lastModifiedBy>
  <cp:revision>5</cp:revision>
  <cp:lastPrinted>2012-09-05T11:24:00Z</cp:lastPrinted>
  <dcterms:created xsi:type="dcterms:W3CDTF">2026-06-16T14:38:00Z</dcterms:created>
  <dcterms:modified xsi:type="dcterms:W3CDTF">2026-06-19T11:24:00Z</dcterms:modified>
</cp:coreProperties>
</file>