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E3FBBB" w14:textId="012D83A3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bookmarkStart w:id="0" w:name="_GoBack"/>
      <w:bookmarkEnd w:id="0"/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1</w:t>
      </w:r>
      <w:r w:rsidR="0093662C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F42EAE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A</w:t>
      </w:r>
      <w:r w:rsidR="00B52E19"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GYÓGYSZER 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NEVE</w:t>
      </w:r>
    </w:p>
    <w:p w14:paraId="683D428C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112EDA64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U</w:t>
      </w:r>
      <w:r w:rsidR="004425FA" w:rsidRPr="00BD0E65">
        <w:rPr>
          <w:rFonts w:ascii="Times New Roman" w:hAnsi="Times New Roman"/>
          <w:sz w:val="22"/>
          <w:szCs w:val="22"/>
          <w:lang w:val="hu-HU"/>
        </w:rPr>
        <w:t>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20 mikrogramm/ml vérfrakció módosítására szolgáló oldat</w:t>
      </w:r>
      <w:r w:rsidR="00C620F1" w:rsidRPr="00BD0E65">
        <w:rPr>
          <w:rFonts w:ascii="Times New Roman" w:hAnsi="Times New Roman"/>
          <w:sz w:val="22"/>
          <w:szCs w:val="22"/>
          <w:lang w:val="hu-HU"/>
        </w:rPr>
        <w:t>.</w:t>
      </w:r>
    </w:p>
    <w:p w14:paraId="4D7CE686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4BA4855C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019CFCBB" w14:textId="4F88242E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2</w:t>
      </w:r>
      <w:r w:rsidR="0093662C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F42EAE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MINŐSÉGI ÉS MENNYISÉGI ÖSSZETÉTEL</w:t>
      </w:r>
    </w:p>
    <w:p w14:paraId="7E985165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4778A20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Egy ml oldat 20 mikrogramm metoxalént tartalmaz.</w:t>
      </w:r>
    </w:p>
    <w:p w14:paraId="68FACB5C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Egy 10 ml-es ampulla 200 mikrogramm metoxalént tartalmaz.</w:t>
      </w:r>
    </w:p>
    <w:p w14:paraId="7314869E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57D638A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Ismert hatású </w:t>
      </w:r>
      <w:r w:rsidR="00D0741D" w:rsidRPr="00BD0E65">
        <w:rPr>
          <w:rFonts w:ascii="Times New Roman" w:hAnsi="Times New Roman"/>
          <w:sz w:val="22"/>
          <w:szCs w:val="22"/>
          <w:u w:val="single"/>
          <w:lang w:val="hu-HU"/>
        </w:rPr>
        <w:t>segédanyagok</w:t>
      </w:r>
    </w:p>
    <w:p w14:paraId="6660A6FB" w14:textId="552E9F61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 xml:space="preserve">készítmény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5% </w:t>
      </w:r>
      <w:r w:rsidR="00EE33E8" w:rsidRPr="00BD0E65">
        <w:rPr>
          <w:rFonts w:ascii="Times New Roman" w:hAnsi="Times New Roman"/>
          <w:sz w:val="22"/>
          <w:szCs w:val="22"/>
          <w:lang w:val="hu-HU"/>
        </w:rPr>
        <w:t>(V/V</w:t>
      </w:r>
      <w:r w:rsidR="002A16E0" w:rsidRPr="00BD0E65">
        <w:rPr>
          <w:rFonts w:ascii="Times New Roman" w:hAnsi="Times New Roman"/>
          <w:sz w:val="22"/>
          <w:szCs w:val="22"/>
          <w:lang w:val="hu-HU"/>
        </w:rPr>
        <w:t>%</w:t>
      </w:r>
      <w:r w:rsidR="00EE33E8" w:rsidRPr="00BD0E65">
        <w:rPr>
          <w:rFonts w:ascii="Times New Roman" w:hAnsi="Times New Roman"/>
          <w:sz w:val="22"/>
          <w:szCs w:val="22"/>
          <w:lang w:val="hu-HU"/>
        </w:rPr>
        <w:t xml:space="preserve">)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etanolt, továbbá minden dózis legfeljebb </w:t>
      </w:r>
      <w:r w:rsidR="00EE33E8" w:rsidRPr="00BD0E65">
        <w:rPr>
          <w:rFonts w:ascii="Times New Roman" w:hAnsi="Times New Roman"/>
          <w:sz w:val="22"/>
          <w:szCs w:val="22"/>
          <w:lang w:val="hu-HU"/>
        </w:rPr>
        <w:t>2</w:t>
      </w:r>
      <w:r w:rsidR="002712EE" w:rsidRPr="00BD0E65">
        <w:rPr>
          <w:rFonts w:ascii="Times New Roman" w:hAnsi="Times New Roman"/>
          <w:sz w:val="22"/>
          <w:szCs w:val="22"/>
          <w:lang w:val="hu-HU"/>
        </w:rPr>
        <w:t>17 m</w:t>
      </w:r>
      <w:r w:rsidRPr="00BD0E65">
        <w:rPr>
          <w:rFonts w:ascii="Times New Roman" w:hAnsi="Times New Roman"/>
          <w:sz w:val="22"/>
          <w:szCs w:val="22"/>
          <w:lang w:val="hu-HU"/>
        </w:rPr>
        <w:t>g alkoholt tartalmaz.</w:t>
      </w:r>
      <w:r w:rsidR="00100972" w:rsidRPr="00BD0E65">
        <w:rPr>
          <w:rFonts w:ascii="Times New Roman" w:hAnsi="Times New Roman"/>
          <w:sz w:val="22"/>
          <w:szCs w:val="22"/>
          <w:lang w:val="hu-HU"/>
        </w:rPr>
        <w:t xml:space="preserve"> Beadott dózisonként (maximum </w:t>
      </w:r>
      <w:r w:rsidR="00EE33E8" w:rsidRPr="00BD0E65">
        <w:rPr>
          <w:rFonts w:ascii="Times New Roman" w:hAnsi="Times New Roman"/>
          <w:sz w:val="22"/>
          <w:szCs w:val="22"/>
          <w:lang w:val="hu-HU"/>
        </w:rPr>
        <w:t>5,6</w:t>
      </w:r>
      <w:r w:rsidR="00100972" w:rsidRPr="00BD0E65">
        <w:rPr>
          <w:rFonts w:ascii="Times New Roman" w:hAnsi="Times New Roman"/>
          <w:sz w:val="22"/>
          <w:szCs w:val="22"/>
          <w:lang w:val="hu-HU"/>
        </w:rPr>
        <w:t xml:space="preserve"> ml) kevesebb, mint 1 mmol nátriumot (23 mg) is tartalmaz.</w:t>
      </w:r>
    </w:p>
    <w:p w14:paraId="24F2E325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500D4DE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D0741D" w:rsidRPr="00BD0E65">
        <w:rPr>
          <w:rFonts w:ascii="Times New Roman" w:hAnsi="Times New Roman"/>
          <w:sz w:val="22"/>
          <w:szCs w:val="22"/>
          <w:lang w:val="hu-HU"/>
        </w:rPr>
        <w:t>segédanyagok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teljes </w:t>
      </w:r>
      <w:r w:rsidR="00D0741D" w:rsidRPr="00BD0E65">
        <w:rPr>
          <w:rFonts w:ascii="Times New Roman" w:hAnsi="Times New Roman"/>
          <w:sz w:val="22"/>
          <w:szCs w:val="22"/>
          <w:lang w:val="hu-HU"/>
        </w:rPr>
        <w:t>listáját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lásd a 6.1 </w:t>
      </w:r>
      <w:r w:rsidR="00D0741D" w:rsidRPr="00BD0E65">
        <w:rPr>
          <w:rFonts w:ascii="Times New Roman" w:hAnsi="Times New Roman"/>
          <w:sz w:val="22"/>
          <w:szCs w:val="22"/>
          <w:lang w:val="hu-HU"/>
        </w:rPr>
        <w:t>pontban</w:t>
      </w:r>
      <w:r w:rsidRPr="00BD0E65">
        <w:rPr>
          <w:rFonts w:ascii="Times New Roman" w:hAnsi="Times New Roman"/>
          <w:sz w:val="22"/>
          <w:szCs w:val="22"/>
          <w:lang w:val="hu-HU"/>
        </w:rPr>
        <w:t>.</w:t>
      </w:r>
    </w:p>
    <w:p w14:paraId="5BF2F4A1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129FB63C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141EC4EF" w14:textId="7C71D17F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3</w:t>
      </w:r>
      <w:r w:rsidR="0093662C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F42EAE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GYÓGYSZERFORMA</w:t>
      </w:r>
    </w:p>
    <w:p w14:paraId="7B75D3F2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250E3EC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Vérfrakció módosítására szolgáló oldat.</w:t>
      </w:r>
    </w:p>
    <w:p w14:paraId="2444BC10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BEF77DE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Tiszta, színtelen – halványsárga oldat.</w:t>
      </w:r>
    </w:p>
    <w:p w14:paraId="2CD6797C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AFF4B03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6EED7812" w14:textId="43E4C361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4</w:t>
      </w:r>
      <w:r w:rsidR="0093662C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F42EAE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KLINIKAI JELLEMZŐK</w:t>
      </w:r>
    </w:p>
    <w:p w14:paraId="27243D68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45483CB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4.1 </w:t>
      </w:r>
      <w:r w:rsidR="00F42EAE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Terápiás javallatok</w:t>
      </w:r>
    </w:p>
    <w:p w14:paraId="2950C163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1A17C71D" w14:textId="40CC26EC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 xml:space="preserve">a THERAKOS CELLEX </w:t>
      </w:r>
      <w:r w:rsidR="005B1446" w:rsidRPr="00BD0E65">
        <w:rPr>
          <w:rFonts w:ascii="Times New Roman" w:hAnsi="Times New Roman"/>
          <w:sz w:val="22"/>
          <w:szCs w:val="22"/>
          <w:lang w:val="hu-HU"/>
        </w:rPr>
        <w:t>f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otoferézis rendszerrel együtt használatos, 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 xml:space="preserve">kizárólag </w:t>
      </w:r>
      <w:r w:rsidRPr="00BD0E65">
        <w:rPr>
          <w:rFonts w:ascii="Times New Roman" w:hAnsi="Times New Roman"/>
          <w:sz w:val="22"/>
          <w:szCs w:val="22"/>
          <w:lang w:val="hu-HU"/>
        </w:rPr>
        <w:t>az egyéb kezelésre (pl. PUVA kezelés, szisztémás</w:t>
      </w:r>
      <w:r w:rsidR="00F42EAE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kort</w:t>
      </w:r>
      <w:r w:rsidR="002F464A">
        <w:rPr>
          <w:rFonts w:ascii="Times New Roman" w:hAnsi="Times New Roman"/>
          <w:sz w:val="22"/>
          <w:szCs w:val="22"/>
          <w:lang w:val="hu-HU"/>
        </w:rPr>
        <w:t>i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koszteroid, 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>k</w:t>
      </w:r>
      <w:r w:rsidRPr="00BD0E65">
        <w:rPr>
          <w:rFonts w:ascii="Times New Roman" w:hAnsi="Times New Roman"/>
          <w:sz w:val="22"/>
          <w:szCs w:val="22"/>
          <w:lang w:val="hu-HU"/>
        </w:rPr>
        <w:t>ar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>i</w:t>
      </w:r>
      <w:r w:rsidRPr="00BD0E65">
        <w:rPr>
          <w:rFonts w:ascii="Times New Roman" w:hAnsi="Times New Roman"/>
          <w:sz w:val="22"/>
          <w:szCs w:val="22"/>
          <w:lang w:val="hu-HU"/>
        </w:rPr>
        <w:t>ol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>iz</w:t>
      </w:r>
      <w:r w:rsidRPr="00BD0E65">
        <w:rPr>
          <w:rFonts w:ascii="Times New Roman" w:hAnsi="Times New Roman"/>
          <w:sz w:val="22"/>
          <w:szCs w:val="22"/>
          <w:lang w:val="hu-HU"/>
        </w:rPr>
        <w:t>in, interferon</w:t>
      </w:r>
      <w:r w:rsidR="002F464A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alfa) nem reagáló betegek</w:t>
      </w:r>
      <w:r w:rsidR="005B1446" w:rsidRPr="00BD0E65">
        <w:rPr>
          <w:rFonts w:ascii="Times New Roman" w:hAnsi="Times New Roman"/>
          <w:sz w:val="22"/>
          <w:szCs w:val="22"/>
          <w:lang w:val="hu-HU"/>
        </w:rPr>
        <w:t>nél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előrehaladott állapotú (T2 – T4) kután T</w:t>
      </w:r>
      <w:r w:rsidR="00F42EAE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sejtes limfóma (CTCL)</w:t>
      </w:r>
      <w:r w:rsidR="00F42EAE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bőr manifesztációján</w:t>
      </w:r>
      <w:r w:rsidR="002F464A">
        <w:rPr>
          <w:rFonts w:ascii="Times New Roman" w:hAnsi="Times New Roman"/>
          <w:sz w:val="22"/>
          <w:szCs w:val="22"/>
          <w:lang w:val="hu-HU"/>
        </w:rPr>
        <w:t>ak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(apróbb foltok, kiterjedt foltok, erythroderma) palliatív kezelésére szolgál.</w:t>
      </w:r>
    </w:p>
    <w:p w14:paraId="1D3E5657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B8300EC" w14:textId="16B2A3DF" w:rsidR="000A065B" w:rsidRPr="00BD0E65" w:rsidRDefault="000A065B" w:rsidP="00BD0E65">
      <w:pPr>
        <w:numPr>
          <w:ilvl w:val="1"/>
          <w:numId w:val="1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Adagolás és alkalmazás</w:t>
      </w:r>
    </w:p>
    <w:p w14:paraId="6BC75C36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A2974D5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Adagolás</w:t>
      </w:r>
    </w:p>
    <w:p w14:paraId="0373FAE8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36D3C7F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sz w:val="22"/>
          <w:szCs w:val="22"/>
          <w:lang w:val="hu-HU"/>
        </w:rPr>
      </w:pPr>
      <w:r w:rsidRPr="00BD0E65">
        <w:rPr>
          <w:rFonts w:ascii="Times New Roman" w:hAnsi="Times New Roman"/>
          <w:i/>
          <w:sz w:val="22"/>
          <w:szCs w:val="22"/>
          <w:lang w:val="hu-HU"/>
        </w:rPr>
        <w:t>Felnőttek</w:t>
      </w:r>
    </w:p>
    <w:p w14:paraId="60B6A00A" w14:textId="77777777" w:rsidR="00FE4671" w:rsidRPr="00BD0E65" w:rsidRDefault="00FE467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Az UVADEX-szel végzett minden egyes fotoferézis-kezelés során az UVADEX dózisát (</w:t>
      </w:r>
      <w:r w:rsidRPr="00BD0E65">
        <w:rPr>
          <w:rFonts w:ascii="Times New Roman" w:hAnsi="Times New Roman"/>
          <w:color w:val="000000"/>
          <w:sz w:val="22"/>
          <w:szCs w:val="22"/>
          <w:lang w:val="hu-HU"/>
        </w:rPr>
        <w:t>a készülék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kijelző paneljén látható) kezelési mennyiség alapján, a következő képletet felhasználva lehet kiszámítani:</w:t>
      </w:r>
    </w:p>
    <w:p w14:paraId="5926798C" w14:textId="5E454F31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sz w:val="22"/>
          <w:szCs w:val="22"/>
          <w:lang w:val="hu-HU"/>
        </w:rPr>
        <w:tab/>
        <w:t xml:space="preserve">Kezelési </w:t>
      </w:r>
      <w:r w:rsidR="00FE4671" w:rsidRPr="00BD0E65">
        <w:rPr>
          <w:rFonts w:ascii="Times New Roman" w:hAnsi="Times New Roman"/>
          <w:sz w:val="22"/>
          <w:szCs w:val="22"/>
          <w:lang w:val="hu-HU"/>
        </w:rPr>
        <w:t>mennyiség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F464A">
        <w:rPr>
          <w:rFonts w:ascii="Times New Roman" w:hAnsi="Times New Roman"/>
          <w:sz w:val="22"/>
          <w:szCs w:val="22"/>
          <w:lang w:val="hu-HU"/>
        </w:rPr>
        <w:t>×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0,017 ml UVADEX minden </w:t>
      </w:r>
      <w:r w:rsidR="00FE4671" w:rsidRPr="00BD0E65">
        <w:rPr>
          <w:rFonts w:ascii="Times New Roman" w:hAnsi="Times New Roman"/>
          <w:sz w:val="22"/>
          <w:szCs w:val="22"/>
          <w:lang w:val="hu-HU"/>
        </w:rPr>
        <w:t xml:space="preserve">egyes </w:t>
      </w:r>
      <w:r w:rsidRPr="00BD0E65">
        <w:rPr>
          <w:rFonts w:ascii="Times New Roman" w:hAnsi="Times New Roman"/>
          <w:sz w:val="22"/>
          <w:szCs w:val="22"/>
          <w:lang w:val="hu-HU"/>
        </w:rPr>
        <w:t>kezeléshez</w:t>
      </w:r>
    </w:p>
    <w:p w14:paraId="3411C880" w14:textId="148A3635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Például:</w:t>
      </w:r>
      <w:r w:rsidRPr="00BD0E65">
        <w:rPr>
          <w:rFonts w:ascii="Times New Roman" w:hAnsi="Times New Roman"/>
          <w:sz w:val="22"/>
          <w:szCs w:val="22"/>
          <w:lang w:val="hu-HU"/>
        </w:rPr>
        <w:tab/>
        <w:t xml:space="preserve">Kezelési </w:t>
      </w:r>
      <w:r w:rsidR="00FE4671" w:rsidRPr="00BD0E65">
        <w:rPr>
          <w:rFonts w:ascii="Times New Roman" w:hAnsi="Times New Roman"/>
          <w:sz w:val="22"/>
          <w:szCs w:val="22"/>
          <w:lang w:val="hu-HU"/>
        </w:rPr>
        <w:t>mennyiség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= 240</w:t>
      </w:r>
      <w:r w:rsidR="002F464A">
        <w:rPr>
          <w:rFonts w:ascii="Times New Roman" w:hAnsi="Times New Roman"/>
          <w:sz w:val="22"/>
          <w:szCs w:val="22"/>
          <w:lang w:val="hu-HU"/>
        </w:rPr>
        <w:t> 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ml </w:t>
      </w:r>
      <w:r w:rsidR="002F464A">
        <w:rPr>
          <w:rFonts w:ascii="Times New Roman" w:hAnsi="Times New Roman"/>
          <w:sz w:val="22"/>
          <w:szCs w:val="22"/>
          <w:lang w:val="hu-HU"/>
        </w:rPr>
        <w:t>×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0,017 = 4,1 ml UVADEX</w:t>
      </w:r>
    </w:p>
    <w:p w14:paraId="2945ABC5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0DB732A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sz w:val="22"/>
          <w:szCs w:val="22"/>
          <w:lang w:val="hu-HU"/>
        </w:rPr>
      </w:pPr>
      <w:r w:rsidRPr="00BD0E65">
        <w:rPr>
          <w:rFonts w:ascii="Times New Roman" w:hAnsi="Times New Roman"/>
          <w:i/>
          <w:sz w:val="22"/>
          <w:szCs w:val="22"/>
          <w:lang w:val="hu-HU"/>
        </w:rPr>
        <w:t>Gyermekek</w:t>
      </w:r>
      <w:r w:rsidR="005B1446" w:rsidRPr="00BD0E65">
        <w:rPr>
          <w:rFonts w:ascii="Times New Roman" w:hAnsi="Times New Roman"/>
          <w:i/>
          <w:sz w:val="22"/>
          <w:szCs w:val="22"/>
          <w:lang w:val="hu-HU"/>
        </w:rPr>
        <w:t xml:space="preserve"> és serdülők</w:t>
      </w:r>
    </w:p>
    <w:p w14:paraId="2DDE00DA" w14:textId="154E3E03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Az UVADEX biztonság</w:t>
      </w:r>
      <w:r w:rsidR="007A54D9" w:rsidRPr="00BD0E65">
        <w:rPr>
          <w:rFonts w:ascii="Times New Roman" w:hAnsi="Times New Roman"/>
          <w:sz w:val="22"/>
          <w:szCs w:val="22"/>
          <w:lang w:val="hu-HU"/>
        </w:rPr>
        <w:t>osság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át és hatásosságát </w:t>
      </w:r>
      <w:r w:rsidR="007A54D9" w:rsidRPr="00BD0E65">
        <w:rPr>
          <w:rFonts w:ascii="Times New Roman" w:hAnsi="Times New Roman"/>
          <w:sz w:val="22"/>
          <w:szCs w:val="22"/>
          <w:lang w:val="hu-HU"/>
        </w:rPr>
        <w:t xml:space="preserve">gyermekek esetében </w:t>
      </w:r>
      <w:r w:rsidR="00342988" w:rsidRPr="00BD0E65">
        <w:rPr>
          <w:rFonts w:ascii="Times New Roman" w:hAnsi="Times New Roman"/>
          <w:sz w:val="22"/>
          <w:szCs w:val="22"/>
          <w:lang w:val="hu-HU"/>
        </w:rPr>
        <w:t>klinikai vizsgálatokkal</w:t>
      </w:r>
      <w:r w:rsidR="00670236" w:rsidRPr="00BD0E65">
        <w:rPr>
          <w:rFonts w:ascii="Times New Roman" w:hAnsi="Times New Roman"/>
          <w:sz w:val="22"/>
          <w:szCs w:val="22"/>
          <w:lang w:val="hu-HU"/>
        </w:rPr>
        <w:t xml:space="preserve"> nem</w:t>
      </w:r>
      <w:r w:rsidR="00342988" w:rsidRPr="00BD0E65">
        <w:rPr>
          <w:rFonts w:ascii="Times New Roman" w:hAnsi="Times New Roman"/>
          <w:sz w:val="22"/>
          <w:szCs w:val="22"/>
          <w:lang w:val="hu-HU"/>
        </w:rPr>
        <w:t xml:space="preserve"> igazolták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ezen </w:t>
      </w:r>
      <w:r w:rsidR="00867463" w:rsidRPr="00BD0E65">
        <w:rPr>
          <w:rFonts w:ascii="Times New Roman" w:hAnsi="Times New Roman"/>
          <w:sz w:val="22"/>
          <w:szCs w:val="22"/>
          <w:lang w:val="hu-HU"/>
        </w:rPr>
        <w:t>indikáció</w:t>
      </w:r>
      <w:r w:rsidR="00342988" w:rsidRPr="00BD0E65">
        <w:rPr>
          <w:rFonts w:ascii="Times New Roman" w:hAnsi="Times New Roman"/>
          <w:sz w:val="22"/>
          <w:szCs w:val="22"/>
          <w:lang w:val="hu-HU"/>
        </w:rPr>
        <w:t>ban</w:t>
      </w:r>
      <w:r w:rsidR="00867463" w:rsidRPr="00BD0E65">
        <w:rPr>
          <w:rFonts w:ascii="Times New Roman" w:hAnsi="Times New Roman"/>
          <w:sz w:val="22"/>
          <w:szCs w:val="22"/>
          <w:lang w:val="hu-HU"/>
        </w:rPr>
        <w:t>.</w:t>
      </w:r>
    </w:p>
    <w:p w14:paraId="72242841" w14:textId="77777777" w:rsidR="00DF1579" w:rsidRPr="00BD0E65" w:rsidRDefault="00DF157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highlight w:val="green"/>
          <w:lang w:val="hu-HU"/>
        </w:rPr>
      </w:pPr>
    </w:p>
    <w:p w14:paraId="70292751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/>
        </w:rPr>
      </w:pPr>
      <w:r w:rsidRPr="00BD0E65">
        <w:rPr>
          <w:rFonts w:ascii="Times New Roman" w:hAnsi="Times New Roman"/>
          <w:i/>
          <w:iCs/>
          <w:sz w:val="22"/>
          <w:szCs w:val="22"/>
          <w:lang w:val="hu-HU"/>
        </w:rPr>
        <w:t>Máj- vagy vese</w:t>
      </w:r>
      <w:r w:rsidR="00B52E19" w:rsidRPr="00BD0E65">
        <w:rPr>
          <w:rFonts w:ascii="Times New Roman" w:hAnsi="Times New Roman"/>
          <w:i/>
          <w:iCs/>
          <w:sz w:val="22"/>
          <w:szCs w:val="22"/>
          <w:lang w:val="hu-HU"/>
        </w:rPr>
        <w:t>károsodás</w:t>
      </w:r>
    </w:p>
    <w:p w14:paraId="34C710C6" w14:textId="24BBF197" w:rsidR="006264BE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Az UVADEX-et máj- vagy vese</w:t>
      </w:r>
      <w:r w:rsidR="00B52E19" w:rsidRPr="00BD0E65">
        <w:rPr>
          <w:rFonts w:ascii="Times New Roman" w:hAnsi="Times New Roman"/>
          <w:sz w:val="22"/>
          <w:szCs w:val="22"/>
          <w:lang w:val="hu-HU"/>
        </w:rPr>
        <w:t>károsodás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eset</w:t>
      </w:r>
      <w:r w:rsidR="00B52E19" w:rsidRPr="00BD0E65">
        <w:rPr>
          <w:rFonts w:ascii="Times New Roman" w:hAnsi="Times New Roman"/>
          <w:sz w:val="22"/>
          <w:szCs w:val="22"/>
          <w:lang w:val="hu-HU"/>
        </w:rPr>
        <w:t>én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még nem vizsgálták klinikai </w:t>
      </w:r>
      <w:r w:rsidR="00555FC2" w:rsidRPr="00BD0E65">
        <w:rPr>
          <w:rFonts w:ascii="Times New Roman" w:hAnsi="Times New Roman"/>
          <w:sz w:val="22"/>
          <w:szCs w:val="22"/>
          <w:lang w:val="hu-HU"/>
        </w:rPr>
        <w:t>vizsgálatokban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(lásd a 4.4</w:t>
      </w:r>
      <w:r w:rsidR="00555FC2" w:rsidRPr="00BD0E65">
        <w:rPr>
          <w:rFonts w:ascii="Times New Roman" w:hAnsi="Times New Roman"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sz w:val="22"/>
          <w:szCs w:val="22"/>
          <w:lang w:val="hu-HU"/>
        </w:rPr>
        <w:t>)</w:t>
      </w:r>
      <w:r w:rsidR="002F464A">
        <w:rPr>
          <w:rFonts w:ascii="Times New Roman" w:hAnsi="Times New Roman"/>
          <w:sz w:val="22"/>
          <w:szCs w:val="22"/>
          <w:u w:val="single"/>
          <w:lang w:val="hu-HU"/>
        </w:rPr>
        <w:t>.</w:t>
      </w:r>
    </w:p>
    <w:p w14:paraId="11BFF286" w14:textId="77777777" w:rsidR="006264BE" w:rsidRDefault="006264B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5E793E1A" w14:textId="4C4BC48B" w:rsidR="004425FA" w:rsidRPr="00BD0E65" w:rsidRDefault="004425FA" w:rsidP="00BD0E65">
      <w:pPr>
        <w:keepNext/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lastRenderedPageBreak/>
        <w:t xml:space="preserve">Az alkalmazás módja </w:t>
      </w:r>
    </w:p>
    <w:p w14:paraId="6C5047E8" w14:textId="77777777" w:rsidR="004425FA" w:rsidRPr="00BD0E65" w:rsidRDefault="004425FA" w:rsidP="00BD0E65">
      <w:pPr>
        <w:keepNext/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EE36EAA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Extrakorporális alkalmazás</w:t>
      </w:r>
    </w:p>
    <w:p w14:paraId="56195270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247C74FF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Tilos közvetlenül a betegbe injektálni.</w:t>
      </w:r>
    </w:p>
    <w:p w14:paraId="55A11A1A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D593925" w14:textId="714D6CCC" w:rsidR="003261BF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fotoferézis során a beteg egy katéteren keresztül kapcsolódik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 xml:space="preserve">a THERAKOS CELLEX </w:t>
      </w:r>
      <w:r w:rsidRPr="00BD0E65">
        <w:rPr>
          <w:rFonts w:ascii="Times New Roman" w:hAnsi="Times New Roman"/>
          <w:sz w:val="22"/>
          <w:szCs w:val="22"/>
          <w:lang w:val="hu-HU"/>
        </w:rPr>
        <w:t>rendszerhez. A centrifuga tartályában a</w:t>
      </w:r>
      <w:r w:rsidR="00F42EAE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vörösvértestek elválnak a fehérvérsejtektől és a plazmától. A vörösvértesteket és a plazmatöbbletet visszajuttatják a beteg</w:t>
      </w:r>
      <w:r w:rsidR="00B52E19" w:rsidRPr="00BD0E65">
        <w:rPr>
          <w:rFonts w:ascii="Times New Roman" w:hAnsi="Times New Roman"/>
          <w:sz w:val="22"/>
          <w:szCs w:val="22"/>
          <w:lang w:val="hu-HU"/>
        </w:rPr>
        <w:t xml:space="preserve"> szervezetébe</w:t>
      </w:r>
      <w:r w:rsidRPr="00BD0E65">
        <w:rPr>
          <w:rFonts w:ascii="Times New Roman" w:hAnsi="Times New Roman"/>
          <w:sz w:val="22"/>
          <w:szCs w:val="22"/>
          <w:lang w:val="hu-HU"/>
        </w:rPr>
        <w:t>,</w:t>
      </w:r>
      <w:r w:rsidR="00F42EAE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míg a vörösvértestek feletti fehérvérsejt-frakció [</w:t>
      </w:r>
      <w:r w:rsidRPr="00BD0E65">
        <w:rPr>
          <w:rFonts w:ascii="Times New Roman" w:hAnsi="Times New Roman"/>
          <w:i/>
          <w:sz w:val="22"/>
          <w:szCs w:val="22"/>
          <w:lang w:val="hu-HU"/>
        </w:rPr>
        <w:t>buffy coat</w:t>
      </w:r>
      <w:r w:rsidRPr="00BD0E65">
        <w:rPr>
          <w:rFonts w:ascii="Times New Roman" w:hAnsi="Times New Roman"/>
          <w:sz w:val="22"/>
          <w:szCs w:val="22"/>
          <w:lang w:val="hu-HU"/>
        </w:rPr>
        <w:t>] (leukocitában gazdag plazma) és egy kevés plazma a fotoaktivációs</w:t>
      </w:r>
      <w:r w:rsidR="00F42EAE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zsákba kerül, </w:t>
      </w:r>
      <w:r w:rsidR="00B52E19" w:rsidRPr="00BD0E65">
        <w:rPr>
          <w:rFonts w:ascii="Times New Roman" w:hAnsi="Times New Roman"/>
          <w:sz w:val="22"/>
          <w:szCs w:val="22"/>
          <w:lang w:val="hu-HU"/>
        </w:rPr>
        <w:t>a</w:t>
      </w:r>
      <w:r w:rsidRPr="00BD0E65">
        <w:rPr>
          <w:rFonts w:ascii="Times New Roman" w:hAnsi="Times New Roman"/>
          <w:sz w:val="22"/>
          <w:szCs w:val="22"/>
          <w:lang w:val="hu-HU"/>
        </w:rPr>
        <w:t>mely készülék oldalán található. A fehérvérsejt</w:t>
      </w:r>
      <w:r w:rsidR="00F42EAE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frakció [</w:t>
      </w:r>
      <w:r w:rsidRPr="00BD0E65">
        <w:rPr>
          <w:rFonts w:ascii="Times New Roman" w:hAnsi="Times New Roman"/>
          <w:i/>
          <w:sz w:val="22"/>
          <w:szCs w:val="22"/>
          <w:lang w:val="hu-HU"/>
        </w:rPr>
        <w:t>buffy coat</w:t>
      </w:r>
      <w:r w:rsidRPr="00BD0E65">
        <w:rPr>
          <w:rFonts w:ascii="Times New Roman" w:hAnsi="Times New Roman"/>
          <w:sz w:val="22"/>
          <w:szCs w:val="22"/>
          <w:lang w:val="hu-HU"/>
        </w:rPr>
        <w:t>] gyűjtési ciklust három–hat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alkalommal kell megismételni, </w:t>
      </w:r>
      <w:r w:rsidR="002F464A">
        <w:rPr>
          <w:rFonts w:ascii="Times New Roman" w:hAnsi="Times New Roman"/>
          <w:sz w:val="22"/>
          <w:szCs w:val="22"/>
          <w:lang w:val="hu-HU"/>
        </w:rPr>
        <w:t xml:space="preserve">a </w:t>
      </w:r>
      <w:r w:rsidRPr="00BD0E65">
        <w:rPr>
          <w:rFonts w:ascii="Times New Roman" w:hAnsi="Times New Roman"/>
          <w:sz w:val="22"/>
          <w:szCs w:val="22"/>
          <w:lang w:val="hu-HU"/>
        </w:rPr>
        <w:t>készülék centrifugás tartályának méretétől függően.</w:t>
      </w:r>
    </w:p>
    <w:p w14:paraId="62F24A9B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4251A6B" w14:textId="4253D32F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előírt mennyiségét még a fotoaktivációs fázis előtt kell befecskendezni a recirkulációs zsákba. A fotoaktiváció során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 leukocitában gazdag vér maximum 90 percig folyamatosan átáramlik a fotoaktivációs kamrán (fotoreceptor), miközben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>egy sor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UV-A lámpából UV-A fény éri (1–2 J/cm</w:t>
      </w:r>
      <w:r w:rsidRPr="00BD0E65">
        <w:rPr>
          <w:rFonts w:ascii="Times New Roman" w:hAnsi="Times New Roman"/>
          <w:sz w:val="22"/>
          <w:szCs w:val="22"/>
          <w:vertAlign w:val="superscript"/>
          <w:lang w:val="hu-HU"/>
        </w:rPr>
        <w:t>2</w:t>
      </w:r>
      <w:r w:rsidRPr="00BD0E65">
        <w:rPr>
          <w:rFonts w:ascii="Times New Roman" w:hAnsi="Times New Roman"/>
          <w:sz w:val="22"/>
          <w:szCs w:val="22"/>
          <w:lang w:val="hu-HU"/>
        </w:rPr>
        <w:t>).</w:t>
      </w:r>
    </w:p>
    <w:p w14:paraId="1E7322E3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20E11CA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 fotoaktivációs ciklus végén, a fotoaktivált sejteket gravitációs módszerrel visszainfundálják a betegbe. A javasolt infúziós idő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15–20 perc. A teljes fotoferézis beavatkozás 3 órás időtartamú.</w:t>
      </w:r>
    </w:p>
    <w:p w14:paraId="30CD5C7C" w14:textId="77777777" w:rsidR="00C620F1" w:rsidRPr="00BD0E65" w:rsidRDefault="00C620F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161BC50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 kezelést két egymás utáni napon kell megismételni, havonta egyszer, hat hónapon át. Amennyiben a betegnél a nyolcadik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kezelés után sem észlelhető adekvát válasz a kezelésre, érdemes növelni a kezelések számát és a következő három hónapban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kéthetente, két egymás utáni napon kell azt elvégezni.</w:t>
      </w:r>
    </w:p>
    <w:p w14:paraId="2D823CE7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8673CB6" w14:textId="46837C94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Az „adekvát válasz”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nak a bőr pontértékének</w:t>
      </w:r>
      <w:r w:rsidR="00C620F1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(lásd később) 25%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os javulása tekinthető, mely legalább 4</w:t>
      </w:r>
      <w:r w:rsidR="002F464A">
        <w:rPr>
          <w:rFonts w:ascii="Times New Roman" w:hAnsi="Times New Roman"/>
          <w:sz w:val="22"/>
          <w:szCs w:val="22"/>
          <w:lang w:val="hu-HU"/>
        </w:rPr>
        <w:t> </w:t>
      </w:r>
      <w:r w:rsidRPr="00BD0E65">
        <w:rPr>
          <w:rFonts w:ascii="Times New Roman" w:hAnsi="Times New Roman"/>
          <w:sz w:val="22"/>
          <w:szCs w:val="22"/>
          <w:lang w:val="hu-HU"/>
        </w:rPr>
        <w:t>héten keresztül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fennáll.</w:t>
      </w:r>
    </w:p>
    <w:p w14:paraId="2B91074E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5D21878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 bőr pontértékek meghatározása:</w:t>
      </w:r>
    </w:p>
    <w:p w14:paraId="1801AB55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 bőr lézióinak súlyosságát a testfelszín 29 területén (az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égési sérüléseknél használatos </w:t>
      </w:r>
      <w:r w:rsidRPr="00BD0E65">
        <w:rPr>
          <w:rFonts w:ascii="Times New Roman" w:hAnsi="Times New Roman"/>
          <w:sz w:val="22"/>
          <w:szCs w:val="22"/>
          <w:lang w:val="hu-HU"/>
        </w:rPr>
        <w:t>becslésekhez hasonlatosan) kell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meghatározni 0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tól 4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ig, a következő skála alapján:</w:t>
      </w:r>
    </w:p>
    <w:p w14:paraId="1316998C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50D5624" w14:textId="77777777" w:rsidR="000A065B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0 = normál bőr</w:t>
      </w:r>
    </w:p>
    <w:p w14:paraId="4BAE8B74" w14:textId="77777777" w:rsidR="000A065B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0,5 = normál alap, elszórt erythemás </w:t>
      </w:r>
      <w:r w:rsidR="0073304E" w:rsidRPr="00BD0E65">
        <w:rPr>
          <w:rFonts w:ascii="Times New Roman" w:hAnsi="Times New Roman"/>
          <w:sz w:val="22"/>
          <w:szCs w:val="22"/>
          <w:lang w:val="hu-HU"/>
        </w:rPr>
        <w:t>bőr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kiütésekkel</w:t>
      </w:r>
    </w:p>
    <w:p w14:paraId="0228BBF5" w14:textId="77777777" w:rsidR="000A065B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1 = minimális erythema és </w:t>
      </w:r>
      <w:r w:rsidR="0073304E" w:rsidRPr="00BD0E65">
        <w:rPr>
          <w:rFonts w:ascii="Times New Roman" w:hAnsi="Times New Roman"/>
          <w:sz w:val="22"/>
          <w:szCs w:val="22"/>
          <w:lang w:val="hu-HU"/>
        </w:rPr>
        <w:t>oedema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; nincs hámlás vagy repedés</w:t>
      </w:r>
    </w:p>
    <w:p w14:paraId="6FBF5F2C" w14:textId="77777777" w:rsidR="000A065B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2 = szubsztanciális erythema és </w:t>
      </w:r>
      <w:r w:rsidR="0073304E" w:rsidRPr="00BD0E65">
        <w:rPr>
          <w:rFonts w:ascii="Times New Roman" w:hAnsi="Times New Roman"/>
          <w:sz w:val="22"/>
          <w:szCs w:val="22"/>
          <w:lang w:val="hu-HU"/>
        </w:rPr>
        <w:t>o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edema; nincs hámlás vagy repedés</w:t>
      </w:r>
    </w:p>
    <w:p w14:paraId="1BB30B88" w14:textId="77777777" w:rsidR="000A065B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3 = szubmaximális erythema, hámlás, </w:t>
      </w:r>
      <w:r w:rsidR="0073304E" w:rsidRPr="00BD0E65">
        <w:rPr>
          <w:rFonts w:ascii="Times New Roman" w:hAnsi="Times New Roman"/>
          <w:sz w:val="22"/>
          <w:szCs w:val="22"/>
          <w:lang w:val="hu-HU"/>
        </w:rPr>
        <w:t>oedema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; nincs repedés vagy kifordultság</w:t>
      </w:r>
    </w:p>
    <w:p w14:paraId="3ECE2437" w14:textId="3D4F2058" w:rsidR="000A065B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ind w:left="709" w:hanging="709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4 = a legsúlyosabb; univerzális folyamat maximális erythemával, </w:t>
      </w:r>
      <w:r w:rsidR="0073304E" w:rsidRPr="00BD0E65">
        <w:rPr>
          <w:rFonts w:ascii="Times New Roman" w:hAnsi="Times New Roman"/>
          <w:sz w:val="22"/>
          <w:szCs w:val="22"/>
          <w:lang w:val="hu-HU"/>
        </w:rPr>
        <w:t>oedema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és hámlás; repedés vagy kifordultság</w:t>
      </w:r>
    </w:p>
    <w:p w14:paraId="05503A96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1E42F7B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 regionális pontérték meghatározásához a súlyossági pontértékeket meg kell szorozni az adott régió testfelszínének százalékos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értékével. A regionális pontértékeket összeadva kapjuk meg a bőr teljes léziós pontértékét.</w:t>
      </w:r>
    </w:p>
    <w:p w14:paraId="59FE7B37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5750E93" w14:textId="3CCBB1FC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 25%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os javulás klinikailag szignifikáns változásnak minősül, mely jellemzően arányos a betegség súlyosságával (a 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v</w:t>
      </w:r>
      <w:r w:rsidR="002E0FDB" w:rsidRPr="00BD0E65">
        <w:rPr>
          <w:rFonts w:ascii="Times New Roman" w:hAnsi="Times New Roman"/>
          <w:sz w:val="22"/>
          <w:szCs w:val="22"/>
          <w:lang w:val="hu-HU"/>
        </w:rPr>
        <w:t>é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rben </w:t>
      </w:r>
      <w:r w:rsidRPr="00BD0E65">
        <w:rPr>
          <w:rFonts w:ascii="Times New Roman" w:hAnsi="Times New Roman"/>
          <w:sz w:val="22"/>
          <w:szCs w:val="22"/>
          <w:lang w:val="hu-HU"/>
        </w:rPr>
        <w:t>és a nyirokcsomókban fellelhető malignus T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limfociták mértékével), a bőrtünetek javulása együtt jár a szisztémás betegség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javulásának mértékével. Annak érdekében, hogy ne tévesszük össze a rövid ideig tartó, mérsékelt, hol javuló, hol romló</w:t>
      </w:r>
      <w:r w:rsidR="002F464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bőrelváltozásokat a tényleges javulással, a bőrléziók változása akkor tekinthető klinikai szempontból jelentősnek és pozitívnak,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ha legalább négy hétig fennmarad.</w:t>
      </w:r>
    </w:p>
    <w:p w14:paraId="56BD0EC5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25B5438" w14:textId="2E75B1F9" w:rsidR="003261BF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 fotoferézis-kezelések száma hat hónap alatt nem lehet 20-nál több.</w:t>
      </w:r>
    </w:p>
    <w:p w14:paraId="64BADF7A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01C442D" w14:textId="77777777" w:rsidR="00027BA9" w:rsidRPr="00BD0E65" w:rsidRDefault="00027BA9" w:rsidP="00BD0E65">
      <w:pPr>
        <w:keepNext/>
        <w:numPr>
          <w:ilvl w:val="1"/>
          <w:numId w:val="1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lastRenderedPageBreak/>
        <w:t>Ellenjavallatok</w:t>
      </w:r>
    </w:p>
    <w:p w14:paraId="72500CC7" w14:textId="77777777" w:rsidR="00D2373F" w:rsidRPr="00D2373F" w:rsidRDefault="00D2373F" w:rsidP="00BD0E65">
      <w:pPr>
        <w:keepNext/>
        <w:tabs>
          <w:tab w:val="left" w:pos="567"/>
        </w:tabs>
        <w:rPr>
          <w:rFonts w:ascii="Times New Roman" w:hAnsi="Times New Roman"/>
          <w:sz w:val="22"/>
          <w:szCs w:val="22"/>
          <w:lang w:val="hu-HU"/>
        </w:rPr>
      </w:pPr>
    </w:p>
    <w:p w14:paraId="7FD33DCC" w14:textId="77777777" w:rsidR="000A065B" w:rsidRPr="00BD0E65" w:rsidRDefault="00966D55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464B13" w:rsidRPr="00BD0E65">
        <w:rPr>
          <w:rFonts w:ascii="Times New Roman" w:hAnsi="Times New Roman"/>
          <w:sz w:val="22"/>
          <w:szCs w:val="22"/>
          <w:lang w:val="hu-HU"/>
        </w:rPr>
        <w:t>készítmény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hatóanyag</w:t>
      </w:r>
      <w:r w:rsidR="00464B13" w:rsidRPr="00BD0E65">
        <w:rPr>
          <w:rFonts w:ascii="Times New Roman" w:hAnsi="Times New Roman"/>
          <w:sz w:val="22"/>
          <w:szCs w:val="22"/>
          <w:lang w:val="hu-HU"/>
        </w:rPr>
        <w:t>ával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vagy a 6.1 </w:t>
      </w:r>
      <w:r w:rsidR="00464B13" w:rsidRPr="00BD0E65">
        <w:rPr>
          <w:rFonts w:ascii="Times New Roman" w:hAnsi="Times New Roman"/>
          <w:sz w:val="22"/>
          <w:szCs w:val="22"/>
          <w:lang w:val="hu-HU"/>
        </w:rPr>
        <w:t>pontban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felsorolt bármely </w:t>
      </w:r>
      <w:r w:rsidR="00464B13" w:rsidRPr="00BD0E65">
        <w:rPr>
          <w:rFonts w:ascii="Times New Roman" w:hAnsi="Times New Roman"/>
          <w:sz w:val="22"/>
          <w:szCs w:val="22"/>
          <w:lang w:val="hu-HU"/>
        </w:rPr>
        <w:t xml:space="preserve">segédanyagával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szembeni túlérzékenység. </w:t>
      </w:r>
      <w:r w:rsidR="00AB5A64" w:rsidRPr="00BD0E65">
        <w:rPr>
          <w:rFonts w:ascii="Times New Roman" w:hAnsi="Times New Roman"/>
          <w:sz w:val="22"/>
          <w:szCs w:val="22"/>
          <w:lang w:val="hu-HU"/>
        </w:rPr>
        <w:t>M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etoxalénnel, pszoralén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vegyületekkel, vagy bármely összetevőivel szembeni idioszinkráziás vagy túlérzékenységi reakció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a beteg anamnézisében.</w:t>
      </w:r>
    </w:p>
    <w:p w14:paraId="12F86AF9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F2C8CF9" w14:textId="77777777" w:rsidR="000A065B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Szexuálisan aktív férfiak, vagy fogamzóképes nők esetében, kivéve, ha megfelelő fogamzásgátlást alkalmaznak a kezelés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során (lásd </w:t>
      </w:r>
      <w:r w:rsidR="00966D55"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r w:rsidRPr="00BD0E65">
        <w:rPr>
          <w:rFonts w:ascii="Times New Roman" w:hAnsi="Times New Roman"/>
          <w:sz w:val="22"/>
          <w:szCs w:val="22"/>
          <w:lang w:val="hu-HU"/>
        </w:rPr>
        <w:t>4.6</w:t>
      </w:r>
      <w:r w:rsidR="00966D55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464B13" w:rsidRPr="00BD0E65">
        <w:rPr>
          <w:rFonts w:ascii="Times New Roman" w:hAnsi="Times New Roman"/>
          <w:sz w:val="22"/>
          <w:szCs w:val="22"/>
          <w:lang w:val="hu-HU"/>
        </w:rPr>
        <w:t>pontot</w:t>
      </w:r>
      <w:r w:rsidRPr="00BD0E65">
        <w:rPr>
          <w:rFonts w:ascii="Times New Roman" w:hAnsi="Times New Roman"/>
          <w:sz w:val="22"/>
          <w:szCs w:val="22"/>
          <w:lang w:val="hu-HU"/>
        </w:rPr>
        <w:t>)</w:t>
      </w:r>
    </w:p>
    <w:p w14:paraId="4B292757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4D70A41" w14:textId="77777777" w:rsidR="000A065B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Terhesség és szoptatás</w:t>
      </w:r>
      <w:r w:rsidR="00966D55" w:rsidRPr="00BD0E65">
        <w:rPr>
          <w:rFonts w:ascii="Times New Roman" w:hAnsi="Times New Roman"/>
          <w:sz w:val="22"/>
          <w:szCs w:val="22"/>
          <w:lang w:val="hu-HU"/>
        </w:rPr>
        <w:t xml:space="preserve"> alatt</w:t>
      </w:r>
    </w:p>
    <w:p w14:paraId="48B10454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9FFE481" w14:textId="77777777" w:rsidR="000A065B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Afákia</w:t>
      </w:r>
    </w:p>
    <w:p w14:paraId="78EE0878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EC7DB1A" w14:textId="77777777" w:rsidR="000A065B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 fotoferézis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kezelés ellenjavallatai:</w:t>
      </w:r>
    </w:p>
    <w:p w14:paraId="342D69DC" w14:textId="77777777" w:rsidR="00C620F1" w:rsidRPr="00BD0E65" w:rsidRDefault="00C620F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D42E899" w14:textId="77777777" w:rsidR="000A065B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Fotoszenzitív betegségek (pl. porfíria, szisztémás lupusz eritematózus, vagy albinizmus)</w:t>
      </w:r>
    </w:p>
    <w:p w14:paraId="1AE220F5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01715A4" w14:textId="77777777" w:rsidR="000A065B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Az extrakorporális volumenvesztés rosszul tolerálása (pl. súlyos szívbetegség, súlyos anémia stb.)</w:t>
      </w:r>
    </w:p>
    <w:p w14:paraId="40A62F16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269383B" w14:textId="2FA8DCF1" w:rsidR="000A065B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Fehérvérsejtszám 25000</w:t>
      </w:r>
      <w:r w:rsidR="00966D55" w:rsidRPr="00BD0E65">
        <w:rPr>
          <w:rFonts w:ascii="Times New Roman" w:hAnsi="Times New Roman"/>
          <w:sz w:val="22"/>
          <w:szCs w:val="22"/>
          <w:lang w:val="hu-HU"/>
        </w:rPr>
        <w:t>/</w:t>
      </w:r>
      <w:r w:rsidRPr="00BD0E65">
        <w:rPr>
          <w:rFonts w:ascii="Times New Roman" w:hAnsi="Times New Roman"/>
          <w:sz w:val="22"/>
          <w:szCs w:val="22"/>
          <w:lang w:val="hu-HU"/>
        </w:rPr>
        <w:t>mm</w:t>
      </w:r>
      <w:r w:rsidRPr="00BD0E65">
        <w:rPr>
          <w:rFonts w:ascii="Times New Roman" w:hAnsi="Times New Roman"/>
          <w:sz w:val="22"/>
          <w:szCs w:val="22"/>
          <w:vertAlign w:val="superscript"/>
          <w:lang w:val="hu-HU"/>
        </w:rPr>
        <w:t>3</w:t>
      </w:r>
      <w:r w:rsidRPr="00BD0E65">
        <w:rPr>
          <w:rFonts w:ascii="Times New Roman" w:hAnsi="Times New Roman"/>
          <w:sz w:val="22"/>
          <w:szCs w:val="22"/>
          <w:lang w:val="hu-HU"/>
        </w:rPr>
        <w:t>-nél több.</w:t>
      </w:r>
    </w:p>
    <w:p w14:paraId="599F1616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71F1DFD" w14:textId="77777777" w:rsidR="000A065B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Korábbi lépeltávolítás</w:t>
      </w:r>
    </w:p>
    <w:p w14:paraId="0FCE3E24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115E6F3" w14:textId="7C30CABC" w:rsidR="003261BF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Véralvadási zavarok.</w:t>
      </w:r>
    </w:p>
    <w:p w14:paraId="1049A3F7" w14:textId="77777777" w:rsidR="0019515F" w:rsidRPr="00BD0E65" w:rsidRDefault="0019515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423EA3B" w14:textId="77777777" w:rsidR="000A065B" w:rsidRPr="00BD0E65" w:rsidRDefault="000A065B" w:rsidP="00BD0E65">
      <w:pPr>
        <w:numPr>
          <w:ilvl w:val="1"/>
          <w:numId w:val="1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Különleges figyelmeztetés és az alkalmazással kapcsolatos óvintézkedések</w:t>
      </w:r>
    </w:p>
    <w:p w14:paraId="20DDDFC8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ADEC95B" w14:textId="76DE8F8C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-et 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 xml:space="preserve">kizárólag </w:t>
      </w:r>
      <w:r w:rsidRPr="00BD0E65">
        <w:rPr>
          <w:rFonts w:ascii="Times New Roman" w:hAnsi="Times New Roman"/>
          <w:sz w:val="22"/>
          <w:szCs w:val="22"/>
          <w:lang w:val="hu-HU"/>
        </w:rPr>
        <w:t>a T-sejtes kután limfóma diagn</w:t>
      </w:r>
      <w:r w:rsidR="00D43902">
        <w:rPr>
          <w:rFonts w:ascii="Times New Roman" w:hAnsi="Times New Roman"/>
          <w:sz w:val="22"/>
          <w:szCs w:val="22"/>
          <w:lang w:val="hu-HU"/>
        </w:rPr>
        <w:t>ó</w:t>
      </w:r>
      <w:r w:rsidR="00224974" w:rsidRPr="00BD0E65">
        <w:rPr>
          <w:rFonts w:ascii="Times New Roman" w:hAnsi="Times New Roman"/>
          <w:sz w:val="22"/>
          <w:szCs w:val="22"/>
          <w:lang w:val="hu-HU"/>
        </w:rPr>
        <w:t>zisában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és kezelésében, valamint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 xml:space="preserve">a THERAKOS CELLEX </w:t>
      </w:r>
      <w:r w:rsidR="00572846" w:rsidRPr="00BD0E65">
        <w:rPr>
          <w:rFonts w:ascii="Times New Roman" w:hAnsi="Times New Roman"/>
          <w:color w:val="000000"/>
          <w:sz w:val="22"/>
          <w:szCs w:val="22"/>
          <w:lang w:val="hu-HU"/>
        </w:rPr>
        <w:t>f</w:t>
      </w:r>
      <w:r w:rsidRPr="00BD0E65">
        <w:rPr>
          <w:rFonts w:ascii="Times New Roman" w:hAnsi="Times New Roman"/>
          <w:sz w:val="22"/>
          <w:szCs w:val="22"/>
          <w:lang w:val="hu-HU"/>
        </w:rPr>
        <w:t>otoferézis rendszer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használatában járt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>a</w:t>
      </w:r>
      <w:r w:rsidRPr="00BD0E65">
        <w:rPr>
          <w:rFonts w:ascii="Times New Roman" w:hAnsi="Times New Roman"/>
          <w:sz w:val="22"/>
          <w:szCs w:val="22"/>
          <w:lang w:val="hu-HU"/>
        </w:rPr>
        <w:t>s, tapasztalt szakorvos használhatja. A pszoralén és ultraibolya sugárkezelés során állandó szakorvosi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felügyelet szükséges. A </w:t>
      </w:r>
      <w:r w:rsidRPr="00BD0E65">
        <w:rPr>
          <w:rFonts w:ascii="Times New Roman" w:hAnsi="Times New Roman"/>
          <w:sz w:val="22"/>
          <w:szCs w:val="22"/>
          <w:lang w:val="hu-HU"/>
        </w:rPr>
        <w:t>szemkárosodás lehetőségére való tekintettel, az orvos köteles részletesen ismertetni a beteggel a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kezelés következményes kockázati tényezőit.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 xml:space="preserve">kizárólag </w:t>
      </w:r>
      <w:r w:rsidRPr="00BD0E65">
        <w:rPr>
          <w:rFonts w:ascii="Times New Roman" w:hAnsi="Times New Roman"/>
          <w:i/>
          <w:sz w:val="22"/>
          <w:szCs w:val="22"/>
          <w:lang w:val="hu-HU"/>
        </w:rPr>
        <w:t>ex vivo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alkalmazható, közvetlenül a fotoaktivációs zsákba kell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beadni. Ha a kezelés során bármilyen váratlan károsodás jelentkezik a vérben (pl. &gt;</w:t>
      </w:r>
      <w:r w:rsidR="00D2373F">
        <w:rPr>
          <w:rFonts w:ascii="Times New Roman" w:hAnsi="Times New Roman"/>
          <w:sz w:val="22"/>
          <w:szCs w:val="22"/>
          <w:lang w:val="hu-HU"/>
        </w:rPr>
        <w:t> 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43ºC fölötti riasztó jelzés), a vért 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 xml:space="preserve">kizárólag </w:t>
      </w:r>
      <w:r w:rsidRPr="00BD0E65">
        <w:rPr>
          <w:rFonts w:ascii="Times New Roman" w:hAnsi="Times New Roman"/>
          <w:sz w:val="22"/>
          <w:szCs w:val="22"/>
          <w:lang w:val="hu-HU"/>
        </w:rPr>
        <w:t>akkor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szabad reinfundálni a betegbe, ha nem hemolizált.</w:t>
      </w:r>
    </w:p>
    <w:p w14:paraId="4FDF8FC2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E9AEE4D" w14:textId="77777777" w:rsidR="00966D55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Fogamzásgátlással kapcsolatos óvintézkedések: </w:t>
      </w:r>
    </w:p>
    <w:p w14:paraId="28B4DE3C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szel kezelt férfiaknak és nőknek egyaránt megfelelő fogamzásgátlást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kell alkalmazniuk, mind a fotoferézis-kezelés alatt, mind utána.</w:t>
      </w:r>
    </w:p>
    <w:p w14:paraId="3DBE6A9B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/>
        </w:rPr>
      </w:pPr>
    </w:p>
    <w:p w14:paraId="4D0C88BC" w14:textId="77777777" w:rsidR="00966D55" w:rsidRPr="00BD0E65" w:rsidRDefault="00464B1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Kataraktogenicitás</w:t>
      </w:r>
      <w:r w:rsidR="000A065B"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: </w:t>
      </w:r>
    </w:p>
    <w:p w14:paraId="74E6789F" w14:textId="18742826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Állatkísérletekben a nagy dózisú UV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A sugárzás kataraktát okozott, ezt a hatást a szájon át adott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metoxalén tovább fokozta. Mivel az emberi szemben a metoxalén koncentrációja a szérum</w:t>
      </w:r>
      <w:r w:rsidR="00D2373F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szintével arányos, az </w:t>
      </w:r>
      <w:r w:rsidRPr="00BD0E65">
        <w:rPr>
          <w:rFonts w:ascii="Times New Roman" w:hAnsi="Times New Roman"/>
          <w:i/>
          <w:sz w:val="22"/>
          <w:szCs w:val="22"/>
          <w:lang w:val="hu-HU"/>
        </w:rPr>
        <w:t>ex vivo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alkalmazott metoxalén (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) kezelés esetén lényegesen alacsonyabb koncentráció várható, mint 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890FE3" w:rsidRPr="00BD0E65">
        <w:rPr>
          <w:rFonts w:ascii="Times New Roman" w:hAnsi="Times New Roman"/>
          <w:i/>
          <w:sz w:val="22"/>
          <w:szCs w:val="22"/>
          <w:lang w:val="hu-HU"/>
        </w:rPr>
        <w:t>per os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alkalmazáskor.</w:t>
      </w:r>
      <w:r w:rsidR="00C620F1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Ugyanakkor azonban, ha UV-A sugárzásnak tesszük ki a szemlencsét, amikor metoxalén található benne, a fotokémiai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reakció irreverzibilis kötödést eredményezhet a lencsében a metoxalén és a fehérje, valamint a metoxalén és a DNS</w:t>
      </w:r>
      <w:r w:rsidR="00C620F1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alkotóelemek</w:t>
      </w:r>
      <w:r w:rsidR="00C620F1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között. Éppen ezért a kezelési ciklus során, illetve az azt követő 24 órában a beteg viseljen UV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A védővel ellátott,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szorosan záró napszemüveget.</w:t>
      </w:r>
    </w:p>
    <w:p w14:paraId="48AE7448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7AFC632" w14:textId="17CFB0B4" w:rsidR="00966D55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A bőrön jelentkező mellékhatások:</w:t>
      </w:r>
    </w:p>
    <w:p w14:paraId="269D5345" w14:textId="5C36CDB2" w:rsidR="00B72A8F" w:rsidRDefault="00E34F54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>A p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szoralén</w:t>
      </w:r>
      <w:r>
        <w:rPr>
          <w:rFonts w:ascii="Times New Roman" w:hAnsi="Times New Roman"/>
          <w:sz w:val="22"/>
          <w:szCs w:val="22"/>
          <w:lang w:val="hu-HU"/>
        </w:rPr>
        <w:t>vegyületek (pl.</w:t>
      </w:r>
      <w:r w:rsidR="00DB19AA">
        <w:rPr>
          <w:rFonts w:ascii="Times New Roman" w:hAnsi="Times New Roman"/>
          <w:sz w:val="22"/>
          <w:szCs w:val="22"/>
          <w:lang w:val="hu-HU"/>
        </w:rPr>
        <w:t xml:space="preserve"> metoxalén)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669CA">
        <w:rPr>
          <w:rFonts w:ascii="Times New Roman" w:hAnsi="Times New Roman"/>
          <w:sz w:val="22"/>
          <w:szCs w:val="22"/>
          <w:lang w:val="hu-HU"/>
        </w:rPr>
        <w:t xml:space="preserve">UVA-besugárzással követett </w:t>
      </w:r>
      <w:r w:rsidR="0043527B">
        <w:rPr>
          <w:rFonts w:ascii="Times New Roman" w:hAnsi="Times New Roman"/>
          <w:sz w:val="22"/>
          <w:szCs w:val="22"/>
          <w:lang w:val="hu-HU"/>
        </w:rPr>
        <w:t>orális adagjai</w:t>
      </w:r>
      <w:r w:rsidR="00A70FF2">
        <w:rPr>
          <w:rFonts w:ascii="Times New Roman" w:hAnsi="Times New Roman"/>
          <w:sz w:val="22"/>
          <w:szCs w:val="22"/>
          <w:lang w:val="hu-HU"/>
        </w:rPr>
        <w:t xml:space="preserve">t a PUVA-terápiában használják. </w:t>
      </w:r>
      <w:r w:rsidR="00AF1FD9">
        <w:rPr>
          <w:rFonts w:ascii="Times New Roman" w:hAnsi="Times New Roman"/>
          <w:sz w:val="22"/>
          <w:szCs w:val="22"/>
          <w:lang w:val="hu-HU"/>
        </w:rPr>
        <w:t>A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AF1FD9">
        <w:rPr>
          <w:rFonts w:ascii="Times New Roman" w:hAnsi="Times New Roman"/>
          <w:sz w:val="22"/>
          <w:szCs w:val="22"/>
          <w:lang w:val="hu-HU"/>
        </w:rPr>
        <w:t xml:space="preserve">pszoralén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szérumkoncentráció</w:t>
      </w:r>
      <w:r w:rsidR="00AF1FD9">
        <w:rPr>
          <w:rFonts w:ascii="Times New Roman" w:hAnsi="Times New Roman"/>
          <w:sz w:val="22"/>
          <w:szCs w:val="22"/>
          <w:lang w:val="hu-HU"/>
        </w:rPr>
        <w:t>ja a PUVA-terápi</w:t>
      </w:r>
      <w:r w:rsidR="0037654B">
        <w:rPr>
          <w:rFonts w:ascii="Times New Roman" w:hAnsi="Times New Roman"/>
          <w:sz w:val="22"/>
          <w:szCs w:val="22"/>
          <w:lang w:val="hu-HU"/>
        </w:rPr>
        <w:t xml:space="preserve">a során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meghaladhatja a 200</w:t>
      </w:r>
      <w:r w:rsidR="00572846" w:rsidRPr="00BD0E65">
        <w:rPr>
          <w:snapToGrid w:val="0"/>
          <w:color w:val="4D5156"/>
          <w:sz w:val="22"/>
          <w:szCs w:val="22"/>
          <w:shd w:val="clear" w:color="auto" w:fill="FFFFFF"/>
          <w:lang w:val="hu-HU"/>
        </w:rPr>
        <w:t> 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ng/ml-t, </w:t>
      </w:r>
      <w:r w:rsidR="00321E3B">
        <w:rPr>
          <w:rFonts w:ascii="Times New Roman" w:hAnsi="Times New Roman"/>
          <w:sz w:val="22"/>
          <w:szCs w:val="22"/>
          <w:lang w:val="hu-HU"/>
        </w:rPr>
        <w:t xml:space="preserve">és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ha a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lastRenderedPageBreak/>
        <w:t xml:space="preserve">beteg napra megy, vagy ultraibolya sugárzás éri (még </w:t>
      </w:r>
      <w:r w:rsidR="00C536D5" w:rsidRPr="00BD0E65">
        <w:rPr>
          <w:rFonts w:ascii="Times New Roman" w:hAnsi="Times New Roman"/>
          <w:sz w:val="22"/>
          <w:szCs w:val="22"/>
          <w:lang w:val="hu-HU"/>
        </w:rPr>
        <w:t>ablak</w:t>
      </w:r>
      <w:r w:rsidR="00C536D5">
        <w:rPr>
          <w:rFonts w:ascii="Times New Roman" w:hAnsi="Times New Roman"/>
          <w:sz w:val="22"/>
          <w:szCs w:val="22"/>
          <w:lang w:val="hu-HU"/>
        </w:rPr>
        <w:t xml:space="preserve">táblán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keresztül is)</w:t>
      </w:r>
      <w:r w:rsidR="00E91CA3">
        <w:rPr>
          <w:rFonts w:ascii="Times New Roman" w:hAnsi="Times New Roman"/>
          <w:sz w:val="22"/>
          <w:szCs w:val="22"/>
          <w:lang w:val="hu-HU"/>
        </w:rPr>
        <w:t>, az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súlyos égési sérülés</w:t>
      </w:r>
      <w:r w:rsidR="00D2373F">
        <w:rPr>
          <w:rFonts w:ascii="Times New Roman" w:hAnsi="Times New Roman"/>
          <w:sz w:val="22"/>
          <w:szCs w:val="22"/>
          <w:lang w:val="hu-HU"/>
        </w:rPr>
        <w:t>h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e</w:t>
      </w:r>
      <w:r w:rsidR="00D2373F">
        <w:rPr>
          <w:rFonts w:ascii="Times New Roman" w:hAnsi="Times New Roman"/>
          <w:sz w:val="22"/>
          <w:szCs w:val="22"/>
          <w:lang w:val="hu-HU"/>
        </w:rPr>
        <w:t>z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vezethet, illetve hosszabb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távon a bőr „korai öregedését” eredményezi. </w:t>
      </w:r>
    </w:p>
    <w:p w14:paraId="515F92DF" w14:textId="77777777" w:rsidR="00B72A8F" w:rsidRDefault="00B72A8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D535669" w14:textId="6D5AAB6F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extrakorporális alkalmazása mellett </w:t>
      </w:r>
      <w:r w:rsidR="002B724A">
        <w:rPr>
          <w:rFonts w:ascii="Times New Roman" w:hAnsi="Times New Roman"/>
          <w:sz w:val="22"/>
          <w:szCs w:val="22"/>
          <w:lang w:val="hu-HU"/>
        </w:rPr>
        <w:t xml:space="preserve">lényegesen </w:t>
      </w:r>
      <w:r w:rsidRPr="00BD0E65">
        <w:rPr>
          <w:rFonts w:ascii="Times New Roman" w:hAnsi="Times New Roman"/>
          <w:sz w:val="22"/>
          <w:szCs w:val="22"/>
          <w:lang w:val="hu-HU"/>
        </w:rPr>
        <w:t>kisebb mértékben jelentkeznek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 metoxalén szisztémás tünetei. </w:t>
      </w:r>
      <w:r w:rsidR="00546718">
        <w:rPr>
          <w:rFonts w:ascii="Times New Roman" w:hAnsi="Times New Roman"/>
          <w:sz w:val="22"/>
          <w:szCs w:val="22"/>
          <w:lang w:val="hu-HU"/>
        </w:rPr>
        <w:t>A</w:t>
      </w:r>
      <w:r w:rsidR="00515CF8">
        <w:rPr>
          <w:rFonts w:ascii="Times New Roman" w:hAnsi="Times New Roman"/>
          <w:sz w:val="22"/>
          <w:szCs w:val="22"/>
          <w:lang w:val="hu-HU"/>
        </w:rPr>
        <w:t xml:space="preserve"> metoxalén</w:t>
      </w:r>
      <w:r w:rsidR="00546718">
        <w:rPr>
          <w:rFonts w:ascii="Times New Roman" w:hAnsi="Times New Roman"/>
          <w:sz w:val="22"/>
          <w:szCs w:val="22"/>
          <w:lang w:val="hu-HU"/>
        </w:rPr>
        <w:t xml:space="preserve"> alacsony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szint</w:t>
      </w:r>
      <w:r w:rsidR="00515CF8">
        <w:rPr>
          <w:rFonts w:ascii="Times New Roman" w:hAnsi="Times New Roman"/>
          <w:sz w:val="22"/>
          <w:szCs w:val="22"/>
          <w:lang w:val="hu-HU"/>
        </w:rPr>
        <w:t>jein</w:t>
      </w:r>
      <w:r w:rsidRPr="00BD0E65">
        <w:rPr>
          <w:rFonts w:ascii="Times New Roman" w:hAnsi="Times New Roman"/>
          <w:sz w:val="22"/>
          <w:szCs w:val="22"/>
          <w:lang w:val="hu-HU"/>
        </w:rPr>
        <w:t>ek fototoxicitását azonban nem vizsgálták meg alaposabban. Következésképpen óvatosságból a beteg a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kezelést követően 24 óráig ne menjen a napra.</w:t>
      </w:r>
    </w:p>
    <w:p w14:paraId="6126E9B6" w14:textId="77777777" w:rsidR="003261BF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44EF58C" w14:textId="24AF93C0" w:rsidR="00EF028F" w:rsidRPr="00BD0E65" w:rsidRDefault="00EF028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PUVA-terápia összefüggésbe hozható </w:t>
      </w:r>
      <w:r w:rsidR="00AE074B" w:rsidRPr="00BD0E65">
        <w:rPr>
          <w:rFonts w:ascii="Times New Roman" w:hAnsi="Times New Roman"/>
          <w:sz w:val="22"/>
          <w:szCs w:val="22"/>
          <w:lang w:val="hu-HU"/>
        </w:rPr>
        <w:t>laphám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sejtes karcinóma, bazálsejtes karcinóma és esetleg rosszindulatú melanoma </w:t>
      </w:r>
      <w:r w:rsidR="00354E0B" w:rsidRPr="00BD0E65">
        <w:rPr>
          <w:rFonts w:ascii="Times New Roman" w:hAnsi="Times New Roman"/>
          <w:sz w:val="22"/>
          <w:szCs w:val="22"/>
          <w:lang w:val="hu-HU"/>
        </w:rPr>
        <w:t xml:space="preserve">dózisfüggő </w:t>
      </w:r>
      <w:r w:rsidRPr="00BD0E65">
        <w:rPr>
          <w:rFonts w:ascii="Times New Roman" w:hAnsi="Times New Roman"/>
          <w:sz w:val="22"/>
          <w:szCs w:val="22"/>
          <w:lang w:val="hu-HU"/>
        </w:rPr>
        <w:t>kialakulásával. Nincs bizonyíték arra, hogy az UVADEX extrakorporális alkalmazása növeli ezeknek a bőrrákoknak a kockázatát, azonban a</w:t>
      </w:r>
      <w:r w:rsidR="00B75F80" w:rsidRPr="00BD0E65">
        <w:rPr>
          <w:rFonts w:ascii="Times New Roman" w:hAnsi="Times New Roman"/>
          <w:sz w:val="22"/>
          <w:szCs w:val="22"/>
          <w:lang w:val="hu-HU"/>
        </w:rPr>
        <w:t>z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75F80" w:rsidRPr="00BD0E65">
        <w:rPr>
          <w:rFonts w:ascii="Times New Roman" w:hAnsi="Times New Roman"/>
          <w:sz w:val="22"/>
          <w:szCs w:val="22"/>
          <w:lang w:val="hu-HU"/>
        </w:rPr>
        <w:t>egyidejű</w:t>
      </w:r>
      <w:r w:rsidR="00AA60B8" w:rsidRPr="00BD0E65">
        <w:rPr>
          <w:rFonts w:ascii="Times New Roman" w:hAnsi="Times New Roman"/>
          <w:sz w:val="22"/>
          <w:szCs w:val="22"/>
          <w:lang w:val="hu-HU"/>
        </w:rPr>
        <w:t>leg fennálló</w:t>
      </w:r>
      <w:r w:rsidR="00B75F80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bazálsejtes karcinómá</w:t>
      </w:r>
      <w:r w:rsidR="00B75F80" w:rsidRPr="00BD0E65">
        <w:rPr>
          <w:rFonts w:ascii="Times New Roman" w:hAnsi="Times New Roman"/>
          <w:sz w:val="22"/>
          <w:szCs w:val="22"/>
          <w:lang w:val="hu-HU"/>
        </w:rPr>
        <w:t>ban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062BBB" w:rsidRPr="00BD0E65">
        <w:rPr>
          <w:rFonts w:ascii="Times New Roman" w:hAnsi="Times New Roman"/>
          <w:sz w:val="22"/>
          <w:szCs w:val="22"/>
          <w:lang w:val="hu-HU"/>
        </w:rPr>
        <w:t>laphám</w:t>
      </w:r>
      <w:r w:rsidRPr="00BD0E65">
        <w:rPr>
          <w:rFonts w:ascii="Times New Roman" w:hAnsi="Times New Roman"/>
          <w:sz w:val="22"/>
          <w:szCs w:val="22"/>
          <w:lang w:val="hu-HU"/>
        </w:rPr>
        <w:t>sejtes karcinómá</w:t>
      </w:r>
      <w:r w:rsidR="00B75F80" w:rsidRPr="00BD0E65">
        <w:rPr>
          <w:rFonts w:ascii="Times New Roman" w:hAnsi="Times New Roman"/>
          <w:sz w:val="22"/>
          <w:szCs w:val="22"/>
          <w:lang w:val="hu-HU"/>
        </w:rPr>
        <w:t>ban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vagy rosszindulatú melanomá</w:t>
      </w:r>
      <w:r w:rsidR="00B75F80" w:rsidRPr="00BD0E65">
        <w:rPr>
          <w:rFonts w:ascii="Times New Roman" w:hAnsi="Times New Roman"/>
          <w:sz w:val="22"/>
          <w:szCs w:val="22"/>
          <w:lang w:val="hu-HU"/>
        </w:rPr>
        <w:t>ban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szenvedő betegeket </w:t>
      </w:r>
      <w:r w:rsidR="00AA60B8" w:rsidRPr="00BD0E65">
        <w:rPr>
          <w:rFonts w:ascii="Times New Roman" w:hAnsi="Times New Roman"/>
          <w:sz w:val="22"/>
          <w:szCs w:val="22"/>
          <w:lang w:val="hu-HU"/>
        </w:rPr>
        <w:t xml:space="preserve">monitorozni </w:t>
      </w:r>
      <w:r w:rsidRPr="00BD0E65">
        <w:rPr>
          <w:rFonts w:ascii="Times New Roman" w:hAnsi="Times New Roman"/>
          <w:sz w:val="22"/>
          <w:szCs w:val="22"/>
          <w:lang w:val="hu-HU"/>
        </w:rPr>
        <w:t>kell a bőrrák bármilyen változása tekintetében.</w:t>
      </w:r>
    </w:p>
    <w:p w14:paraId="4899FE06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6B31A53" w14:textId="77777777" w:rsidR="00966D55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Vesekárosodás: </w:t>
      </w:r>
    </w:p>
    <w:p w14:paraId="3005BC71" w14:textId="3F93E69B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Bár számos, </w:t>
      </w:r>
      <w:r w:rsidR="005B5C63" w:rsidRPr="00BD0E65">
        <w:rPr>
          <w:rFonts w:ascii="Times New Roman" w:hAnsi="Times New Roman"/>
          <w:sz w:val="22"/>
          <w:szCs w:val="22"/>
          <w:lang w:val="hu-HU"/>
        </w:rPr>
        <w:t xml:space="preserve">kóros </w:t>
      </w:r>
      <w:r w:rsidRPr="00BD0E65">
        <w:rPr>
          <w:rFonts w:ascii="Times New Roman" w:hAnsi="Times New Roman"/>
          <w:sz w:val="22"/>
          <w:szCs w:val="22"/>
          <w:lang w:val="hu-HU"/>
        </w:rPr>
        <w:t>vese</w:t>
      </w:r>
      <w:r w:rsidR="00464B13" w:rsidRPr="00BD0E65">
        <w:rPr>
          <w:rFonts w:ascii="Times New Roman" w:hAnsi="Times New Roman"/>
          <w:sz w:val="22"/>
          <w:szCs w:val="22"/>
          <w:lang w:val="hu-HU"/>
        </w:rPr>
        <w:t>funkciójú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vesetranszplantált beteget kezeltek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es fotoferézissel, nincs kellő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mennyiségű további információnk a veseelégtelenségben szenvedő betegek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es kezeléséről. Semmilyen további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óvintézkedést, például dóziscsökkentés, vagy az UV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fénytől való védelem meghosszabbítása, nem alkalmaztak annál a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néhány vesetranszplantált betegnél, akiknél fotoferézis</w:t>
      </w:r>
      <w:r w:rsidR="00C10F61">
        <w:rPr>
          <w:rFonts w:ascii="Times New Roman" w:hAnsi="Times New Roman"/>
          <w:sz w:val="22"/>
          <w:szCs w:val="22"/>
          <w:lang w:val="hu-HU"/>
        </w:rPr>
        <w:noBreakHyphen/>
      </w:r>
      <w:r w:rsidRPr="00BD0E65">
        <w:rPr>
          <w:rFonts w:ascii="Times New Roman" w:hAnsi="Times New Roman"/>
          <w:sz w:val="22"/>
          <w:szCs w:val="22"/>
          <w:lang w:val="hu-HU"/>
        </w:rPr>
        <w:t>kezelést végeztek. A betegek a kezelést jól tolerálták, és az hatásosnak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bizonyult.</w:t>
      </w:r>
    </w:p>
    <w:p w14:paraId="671B102B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44828A7" w14:textId="77777777" w:rsidR="00966D55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Máj</w:t>
      </w:r>
      <w:r w:rsidR="007757B3" w:rsidRPr="00BD0E65">
        <w:rPr>
          <w:rFonts w:ascii="Times New Roman" w:hAnsi="Times New Roman"/>
          <w:sz w:val="22"/>
          <w:szCs w:val="22"/>
          <w:u w:val="single"/>
          <w:lang w:val="hu-HU"/>
        </w:rPr>
        <w:t>károsodás</w:t>
      </w: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: </w:t>
      </w:r>
    </w:p>
    <w:p w14:paraId="2F4C38C7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Nincs hozzáférhető adat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es fotoferézis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kezelés alkalmazásáról</w:t>
      </w:r>
      <w:r w:rsidR="002E0FD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máj</w:t>
      </w:r>
      <w:r w:rsidR="0073304E" w:rsidRPr="00BD0E65">
        <w:rPr>
          <w:rFonts w:ascii="Times New Roman" w:hAnsi="Times New Roman"/>
          <w:sz w:val="22"/>
          <w:szCs w:val="22"/>
          <w:lang w:val="hu-HU"/>
        </w:rPr>
        <w:t>károsodásban szenvedő</w:t>
      </w:r>
      <w:r w:rsidR="002E0FD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betegek</w:t>
      </w:r>
      <w:r w:rsidR="005B7B68" w:rsidRPr="00BD0E65">
        <w:rPr>
          <w:rFonts w:ascii="Times New Roman" w:hAnsi="Times New Roman"/>
          <w:sz w:val="22"/>
          <w:szCs w:val="22"/>
          <w:lang w:val="hu-HU"/>
        </w:rPr>
        <w:t xml:space="preserve"> esetében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. Miután a vizelettel történő kiválasztáshoz hepatikus biotranszformáció szükséges, elképzelhető, hogy </w:t>
      </w:r>
      <w:r w:rsidR="005B5C63" w:rsidRPr="00BD0E65">
        <w:rPr>
          <w:rFonts w:ascii="Times New Roman" w:hAnsi="Times New Roman"/>
          <w:sz w:val="22"/>
          <w:szCs w:val="22"/>
          <w:lang w:val="hu-HU"/>
        </w:rPr>
        <w:t xml:space="preserve">károsodott </w:t>
      </w:r>
      <w:r w:rsidRPr="00BD0E65">
        <w:rPr>
          <w:rFonts w:ascii="Times New Roman" w:hAnsi="Times New Roman"/>
          <w:sz w:val="22"/>
          <w:szCs w:val="22"/>
          <w:lang w:val="hu-HU"/>
        </w:rPr>
        <w:t>májműködés esetén meghosszabbodik a metoxalén félélet ideje. Ez megnyúlt fotoszenzibilitást eredményezhet és ezért a</w:t>
      </w:r>
      <w:r w:rsidR="00C620F1" w:rsidRPr="00BD0E65">
        <w:rPr>
          <w:rFonts w:ascii="Times New Roman" w:hAnsi="Times New Roman"/>
          <w:sz w:val="22"/>
          <w:szCs w:val="22"/>
          <w:lang w:val="hu-HU"/>
        </w:rPr>
        <w:t xml:space="preserve"> f</w:t>
      </w:r>
      <w:r w:rsidRPr="00BD0E65">
        <w:rPr>
          <w:rFonts w:ascii="Times New Roman" w:hAnsi="Times New Roman"/>
          <w:sz w:val="22"/>
          <w:szCs w:val="22"/>
          <w:lang w:val="hu-HU"/>
        </w:rPr>
        <w:t>otoferézis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kezelés utáni 24 órán túl is szükséges a folytatólagos védekezés a napfény ellen. Az eljárás megkezdése előtt össze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kell mérni a fotoferézis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kezelés potenciális előnyeit lehetséges kockázatokkal.</w:t>
      </w:r>
    </w:p>
    <w:p w14:paraId="1A2B0748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FC31897" w14:textId="77777777" w:rsidR="00966D55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Gyermek</w:t>
      </w:r>
      <w:r w:rsidR="005B7B68" w:rsidRPr="00BD0E65">
        <w:rPr>
          <w:rFonts w:ascii="Times New Roman" w:hAnsi="Times New Roman"/>
          <w:sz w:val="22"/>
          <w:szCs w:val="22"/>
          <w:u w:val="single"/>
          <w:lang w:val="hu-HU"/>
        </w:rPr>
        <w:t>ek és serdülők</w:t>
      </w: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: </w:t>
      </w:r>
    </w:p>
    <w:p w14:paraId="7A9344F9" w14:textId="4DA79E61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klinikai vizsgálata gyermekek</w:t>
      </w:r>
      <w:r w:rsidR="005B7B68" w:rsidRPr="00BD0E65">
        <w:rPr>
          <w:rFonts w:ascii="Times New Roman" w:hAnsi="Times New Roman"/>
          <w:sz w:val="22"/>
          <w:szCs w:val="22"/>
          <w:lang w:val="hu-HU"/>
        </w:rPr>
        <w:t xml:space="preserve"> és </w:t>
      </w:r>
      <w:r w:rsidR="00240B0C" w:rsidRPr="00BD0E65">
        <w:rPr>
          <w:rFonts w:ascii="Times New Roman" w:hAnsi="Times New Roman"/>
          <w:sz w:val="22"/>
          <w:szCs w:val="22"/>
          <w:lang w:val="hu-HU"/>
        </w:rPr>
        <w:t xml:space="preserve">serdülők </w:t>
      </w:r>
      <w:r w:rsidRPr="00BD0E65">
        <w:rPr>
          <w:rFonts w:ascii="Times New Roman" w:hAnsi="Times New Roman"/>
          <w:sz w:val="22"/>
          <w:szCs w:val="22"/>
          <w:lang w:val="hu-HU"/>
        </w:rPr>
        <w:t>esetében</w:t>
      </w:r>
      <w:r w:rsidR="00E82D7E" w:rsidRPr="00BD0E65">
        <w:rPr>
          <w:rFonts w:ascii="Times New Roman" w:hAnsi="Times New Roman"/>
          <w:sz w:val="22"/>
          <w:szCs w:val="22"/>
          <w:lang w:val="hu-HU"/>
        </w:rPr>
        <w:t xml:space="preserve"> nem történt meg</w:t>
      </w:r>
      <w:r w:rsidRPr="00BD0E65">
        <w:rPr>
          <w:rFonts w:ascii="Times New Roman" w:hAnsi="Times New Roman"/>
          <w:sz w:val="22"/>
          <w:szCs w:val="22"/>
          <w:lang w:val="hu-HU"/>
        </w:rPr>
        <w:t>.</w:t>
      </w:r>
    </w:p>
    <w:p w14:paraId="7ECA08DA" w14:textId="77777777" w:rsidR="00B8635A" w:rsidRPr="00BD0E65" w:rsidRDefault="00B8635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/>
        </w:rPr>
      </w:pPr>
    </w:p>
    <w:p w14:paraId="27C291E7" w14:textId="77777777" w:rsidR="00966D55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Alkoholtartalom: </w:t>
      </w:r>
    </w:p>
    <w:p w14:paraId="6E640463" w14:textId="25C86FAA" w:rsidR="008E5A62" w:rsidRPr="00BD0E65" w:rsidRDefault="002712E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Ez a </w:t>
      </w:r>
      <w:r w:rsidR="008E5A62" w:rsidRPr="00BD0E65">
        <w:rPr>
          <w:rFonts w:ascii="Times New Roman" w:hAnsi="Times New Roman"/>
          <w:sz w:val="22"/>
          <w:szCs w:val="22"/>
          <w:lang w:val="hu-HU"/>
        </w:rPr>
        <w:t>gyógyszer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kis mennyiségű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5% </w:t>
      </w:r>
      <w:r w:rsidR="001144A5" w:rsidRPr="00BD0E65">
        <w:rPr>
          <w:rFonts w:ascii="Times New Roman" w:hAnsi="Times New Roman"/>
          <w:sz w:val="22"/>
          <w:szCs w:val="22"/>
          <w:lang w:val="hu-HU"/>
        </w:rPr>
        <w:t>(V/V</w:t>
      </w:r>
      <w:r w:rsidR="002A16E0" w:rsidRPr="00BD0E65">
        <w:rPr>
          <w:rFonts w:ascii="Times New Roman" w:hAnsi="Times New Roman"/>
          <w:sz w:val="22"/>
          <w:szCs w:val="22"/>
          <w:lang w:val="hu-HU"/>
        </w:rPr>
        <w:t>%</w:t>
      </w:r>
      <w:r w:rsidR="001144A5" w:rsidRPr="00BD0E65">
        <w:rPr>
          <w:rFonts w:ascii="Times New Roman" w:hAnsi="Times New Roman"/>
          <w:sz w:val="22"/>
          <w:szCs w:val="22"/>
          <w:lang w:val="hu-HU"/>
        </w:rPr>
        <w:t xml:space="preserve">)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etanolt, továbbá minden dózis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(maximális mennyiség 5,6 ml)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legfeljebb </w:t>
      </w:r>
      <w:r w:rsidR="001144A5" w:rsidRPr="00BD0E65">
        <w:rPr>
          <w:rFonts w:ascii="Times New Roman" w:hAnsi="Times New Roman"/>
          <w:sz w:val="22"/>
          <w:szCs w:val="22"/>
          <w:lang w:val="hu-HU"/>
        </w:rPr>
        <w:t>2</w:t>
      </w:r>
      <w:r w:rsidRPr="00BD0E65">
        <w:rPr>
          <w:rFonts w:ascii="Times New Roman" w:hAnsi="Times New Roman"/>
          <w:sz w:val="22"/>
          <w:szCs w:val="22"/>
          <w:lang w:val="hu-HU"/>
        </w:rPr>
        <w:t>17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m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g alkoholt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(etanolt),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tartalmaz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, ami megfelel 3,1 mg/kg-nak 5,6 ml-es dózisonként. A </w:t>
      </w:r>
      <w:r w:rsidR="00240B0C" w:rsidRPr="00BD0E65">
        <w:rPr>
          <w:rFonts w:ascii="Times New Roman" w:hAnsi="Times New Roman"/>
          <w:sz w:val="22"/>
          <w:szCs w:val="22"/>
          <w:lang w:val="hu-HU"/>
        </w:rPr>
        <w:t>gyógyszer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5,6 ml-es dózisában lévő mennyiség kevesebb, mint </w:t>
      </w:r>
      <w:r w:rsidR="008E5A62" w:rsidRPr="00BD0E65">
        <w:rPr>
          <w:rFonts w:ascii="Times New Roman" w:hAnsi="Times New Roman"/>
          <w:sz w:val="22"/>
          <w:szCs w:val="22"/>
          <w:lang w:val="hu-HU"/>
        </w:rPr>
        <w:t xml:space="preserve">ami </w:t>
      </w:r>
      <w:r w:rsidRPr="00BD0E65">
        <w:rPr>
          <w:rFonts w:ascii="Times New Roman" w:hAnsi="Times New Roman"/>
          <w:sz w:val="22"/>
          <w:szCs w:val="22"/>
          <w:lang w:val="hu-HU"/>
        </w:rPr>
        <w:t>6 ml sörben vagy 3 ml borban</w:t>
      </w:r>
      <w:r w:rsidR="008E5A62" w:rsidRPr="00BD0E65">
        <w:rPr>
          <w:rFonts w:ascii="Times New Roman" w:hAnsi="Times New Roman"/>
          <w:sz w:val="22"/>
          <w:szCs w:val="22"/>
          <w:lang w:val="hu-HU"/>
        </w:rPr>
        <w:t xml:space="preserve"> van</w:t>
      </w:r>
      <w:r w:rsidRPr="00BD0E65">
        <w:rPr>
          <w:rFonts w:ascii="Times New Roman" w:hAnsi="Times New Roman"/>
          <w:sz w:val="22"/>
          <w:szCs w:val="22"/>
          <w:lang w:val="hu-HU"/>
        </w:rPr>
        <w:t>.</w:t>
      </w:r>
    </w:p>
    <w:p w14:paraId="0E093005" w14:textId="53F2180B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Az extrakorporális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alkalmazása utáni szisztémás kitettség </w:t>
      </w:r>
      <w:r w:rsidR="008E5A62" w:rsidRPr="00BD0E65">
        <w:rPr>
          <w:rFonts w:ascii="Times New Roman" w:hAnsi="Times New Roman"/>
          <w:sz w:val="22"/>
          <w:szCs w:val="22"/>
          <w:lang w:val="hu-HU"/>
        </w:rPr>
        <w:t>várhatóan alacsony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, illetve klinikai hatás nem </w:t>
      </w:r>
      <w:r w:rsidR="008E5A62" w:rsidRPr="00BD0E65">
        <w:rPr>
          <w:rFonts w:ascii="Times New Roman" w:hAnsi="Times New Roman"/>
          <w:sz w:val="22"/>
          <w:szCs w:val="22"/>
          <w:lang w:val="hu-HU"/>
        </w:rPr>
        <w:t xml:space="preserve">volt </w:t>
      </w:r>
      <w:r w:rsidRPr="00BD0E65">
        <w:rPr>
          <w:rFonts w:ascii="Times New Roman" w:hAnsi="Times New Roman"/>
          <w:sz w:val="22"/>
          <w:szCs w:val="22"/>
          <w:lang w:val="hu-HU"/>
        </w:rPr>
        <w:t>nyilvánvaló; a gyógyszerkészítményt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elrendelő orvosnak ugyanakkor figyelem</w:t>
      </w:r>
      <w:r w:rsidR="00C10F61">
        <w:rPr>
          <w:rFonts w:ascii="Times New Roman" w:hAnsi="Times New Roman"/>
          <w:sz w:val="22"/>
          <w:szCs w:val="22"/>
          <w:lang w:val="hu-HU"/>
        </w:rPr>
        <w:t>be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kell </w:t>
      </w:r>
      <w:r w:rsidR="00C10F61">
        <w:rPr>
          <w:rFonts w:ascii="Times New Roman" w:hAnsi="Times New Roman"/>
          <w:sz w:val="22"/>
          <w:szCs w:val="22"/>
          <w:lang w:val="hu-HU"/>
        </w:rPr>
        <w:t>v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ennie </w:t>
      </w:r>
      <w:r w:rsidR="00101695" w:rsidRPr="00BD0E65">
        <w:rPr>
          <w:rFonts w:ascii="Times New Roman" w:hAnsi="Times New Roman"/>
          <w:sz w:val="22"/>
          <w:szCs w:val="22"/>
          <w:lang w:val="hu-HU"/>
        </w:rPr>
        <w:t xml:space="preserve">egyéb </w:t>
      </w:r>
      <w:r w:rsidRPr="00BD0E65">
        <w:rPr>
          <w:rFonts w:ascii="Times New Roman" w:hAnsi="Times New Roman"/>
          <w:sz w:val="22"/>
          <w:szCs w:val="22"/>
          <w:lang w:val="hu-HU"/>
        </w:rPr>
        <w:t>gyógyszerek potenciális hatás</w:t>
      </w:r>
      <w:r w:rsidR="008E5A62" w:rsidRPr="00BD0E65">
        <w:rPr>
          <w:rFonts w:ascii="Times New Roman" w:hAnsi="Times New Roman"/>
          <w:sz w:val="22"/>
          <w:szCs w:val="22"/>
          <w:lang w:val="hu-HU"/>
        </w:rPr>
        <w:t>ai</w:t>
      </w:r>
      <w:r w:rsidR="00C10F61">
        <w:rPr>
          <w:rFonts w:ascii="Times New Roman" w:hAnsi="Times New Roman"/>
          <w:sz w:val="22"/>
          <w:szCs w:val="22"/>
          <w:lang w:val="hu-HU"/>
        </w:rPr>
        <w:t>t</w:t>
      </w:r>
      <w:r w:rsidRPr="00BD0E65">
        <w:rPr>
          <w:rFonts w:ascii="Times New Roman" w:hAnsi="Times New Roman"/>
          <w:sz w:val="22"/>
          <w:szCs w:val="22"/>
          <w:lang w:val="hu-HU"/>
        </w:rPr>
        <w:t>, továbbá figyelemmel kell eljárni</w:t>
      </w:r>
      <w:r w:rsidR="00966D55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májbetegség, alkoholizmus, epilepszia, agysérülés vagy betegség esetén.</w:t>
      </w:r>
    </w:p>
    <w:p w14:paraId="1183F295" w14:textId="77777777" w:rsidR="00966D55" w:rsidRPr="00BD0E65" w:rsidRDefault="00966D5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DFDEB8A" w14:textId="77777777" w:rsidR="00966D55" w:rsidRPr="00BD0E65" w:rsidRDefault="00966D5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Nátriumtartalom:</w:t>
      </w:r>
    </w:p>
    <w:p w14:paraId="6141C374" w14:textId="61BBB901" w:rsidR="00966D55" w:rsidRPr="00BD0E65" w:rsidRDefault="00966D5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UVADEX dózisonként 1 mmol-nál (23 mg) kevesebb nátriumot tartalmaz (maximális </w:t>
      </w:r>
      <w:r w:rsidR="004E0246" w:rsidRPr="00BD0E65">
        <w:rPr>
          <w:rFonts w:ascii="Times New Roman" w:hAnsi="Times New Roman"/>
          <w:sz w:val="22"/>
          <w:szCs w:val="22"/>
          <w:lang w:val="hu-HU"/>
        </w:rPr>
        <w:t xml:space="preserve">mennyiség </w:t>
      </w:r>
      <w:r w:rsidR="001144A5" w:rsidRPr="00BD0E65">
        <w:rPr>
          <w:rFonts w:ascii="Times New Roman" w:hAnsi="Times New Roman"/>
          <w:sz w:val="22"/>
          <w:szCs w:val="22"/>
          <w:lang w:val="hu-HU"/>
        </w:rPr>
        <w:t>5,6 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ml). </w:t>
      </w:r>
    </w:p>
    <w:p w14:paraId="32F42D6E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C7FAB34" w14:textId="77777777" w:rsidR="000A065B" w:rsidRPr="00BD0E65" w:rsidRDefault="000A065B" w:rsidP="00BD0E65">
      <w:pPr>
        <w:numPr>
          <w:ilvl w:val="1"/>
          <w:numId w:val="1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Gyógyszerkölcsönhatások és egyéb interakciók</w:t>
      </w:r>
    </w:p>
    <w:p w14:paraId="28D7C65B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8E14A13" w14:textId="09914CAB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Bár a metoxalénről kimutatták, hogy egyaránt képes a májenzimek indukálására és gátlására, emberben inkább, mint a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máj mikroszomális oxidatív metabolikus folyamatainak potens inhibitora – beleértve, de nem kizárólag CYP1A2, 2A6 és 2B1– szerepel. Ezért várható, hogy interakció lépjen fel a metoxalén és </w:t>
      </w:r>
      <w:r w:rsidR="00101695" w:rsidRPr="00BD0E65">
        <w:rPr>
          <w:rFonts w:ascii="Times New Roman" w:hAnsi="Times New Roman"/>
          <w:sz w:val="22"/>
          <w:szCs w:val="22"/>
          <w:lang w:val="hu-HU"/>
        </w:rPr>
        <w:t>egyéb</w:t>
      </w:r>
      <w:r w:rsidRPr="00BD0E65">
        <w:rPr>
          <w:rFonts w:ascii="Times New Roman" w:hAnsi="Times New Roman"/>
          <w:sz w:val="22"/>
          <w:szCs w:val="22"/>
          <w:lang w:val="hu-HU"/>
        </w:rPr>
        <w:t>, a máj citokróm P450 rendszerén metabolizálódó</w:t>
      </w:r>
      <w:r w:rsidR="00C620F1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gyógyszer között. A koffein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és lázcsillapító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clearance jelentős mértékben csökkent metoxalén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kezelés után. Ezért </w:t>
      </w:r>
      <w:r w:rsidR="002E0FDB" w:rsidRPr="00BD0E65">
        <w:rPr>
          <w:rFonts w:ascii="Times New Roman" w:hAnsi="Times New Roman"/>
          <w:sz w:val="22"/>
          <w:szCs w:val="22"/>
          <w:lang w:val="hu-HU"/>
        </w:rPr>
        <w:t xml:space="preserve">egyéb </w:t>
      </w:r>
      <w:r w:rsidRPr="00BD0E65">
        <w:rPr>
          <w:rFonts w:ascii="Times New Roman" w:hAnsi="Times New Roman"/>
          <w:sz w:val="22"/>
          <w:szCs w:val="22"/>
          <w:lang w:val="hu-HU"/>
        </w:rPr>
        <w:t>P450 kivonatok alkalmazása a metoxalén meghosszabbított felezési idejét okozhatja, ennek megfelelően meghosszabbított</w:t>
      </w:r>
      <w:r w:rsidR="00C620F1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lastRenderedPageBreak/>
        <w:t>fotoszenzitivitáshoz vezethet; ennek megfelelően a fotoferézis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kezelést követő 24 óráig folyamatosan kerülni kell a napfénynek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való kitettséget.</w:t>
      </w:r>
    </w:p>
    <w:p w14:paraId="75E3C3DE" w14:textId="77777777" w:rsidR="00C620F1" w:rsidRPr="00BD0E65" w:rsidRDefault="00C620F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DDE1D5A" w14:textId="2636FA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Állatkísérletek és </w:t>
      </w:r>
      <w:r w:rsidR="005B7B68" w:rsidRPr="00BD0E65">
        <w:rPr>
          <w:rFonts w:ascii="Times New Roman" w:hAnsi="Times New Roman"/>
          <w:sz w:val="22"/>
          <w:szCs w:val="22"/>
          <w:lang w:val="hu-HU"/>
        </w:rPr>
        <w:t xml:space="preserve">a humán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vizsgálatok </w:t>
      </w:r>
      <w:r w:rsidR="00E82D7E" w:rsidRPr="00BD0E65">
        <w:rPr>
          <w:rFonts w:ascii="Times New Roman" w:hAnsi="Times New Roman"/>
          <w:sz w:val="22"/>
          <w:szCs w:val="22"/>
          <w:lang w:val="hu-HU"/>
        </w:rPr>
        <w:t xml:space="preserve">is </w:t>
      </w:r>
      <w:r w:rsidRPr="00BD0E65">
        <w:rPr>
          <w:rFonts w:ascii="Times New Roman" w:hAnsi="Times New Roman"/>
          <w:sz w:val="22"/>
          <w:szCs w:val="22"/>
          <w:lang w:val="hu-HU"/>
        </w:rPr>
        <w:t>kimutatták, hogy a metoxalén a paracetamol metabolikus aktivitását is csökkenti,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feltehetőleg a paracetamol metoxalénhez kötődő máj citokróm P450 oxidatív transzformációjának gátlása következtében.</w:t>
      </w:r>
    </w:p>
    <w:p w14:paraId="0D18C95C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AF182BA" w14:textId="1BE39B2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Beszámoltak egy esetről, ahol a pszoriázisos és epilepsziás beteg fenitoin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kezelése fokozta a metoxalén metabolizmusát és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ez a metoxalén alacsony szintjén keresztül a PUVA-kezelés eredménytelenségét okozta. A fenitoin lecserélése valproátra a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metoxalénszint 3–4-szeres növekedését eredményezte, ami már megfelelt a kezelési szintnek.</w:t>
      </w:r>
    </w:p>
    <w:p w14:paraId="6E30C4CD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739E753" w14:textId="464E761D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Általában a vérben a metoxalén az albuminhoz kötődik, de számos gyógyszer, mint például a dikumarol, a prometazin és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a tolbutamid kiszoríthatja onnan. Mint kumarin</w:t>
      </w:r>
      <w:r w:rsidR="00C10F61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származék, elképzelhető, hogy a metoxalén az albumin warfarin helyéhez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kötődik, aminek klinikai jelentősége lehet, ha a két szert egyszerre alkalmazzák. A vizsgált gyógyszereken kívül azonban</w:t>
      </w:r>
      <w:r w:rsidR="00C10F61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klinikailag jelentős mértékben csak a terápiás koncentrációjú tolbutamid szorítja ki a metoxalént a kötődési helyéről. Így az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egyszerre alkalmazott metoxalén és tolbutamid fokozott fotoszenzitivitásra vezethet.</w:t>
      </w:r>
    </w:p>
    <w:p w14:paraId="436C2688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270EFEE8" w14:textId="271A9496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Különös körültekintést igénylenek azok a betegek, akiknél a metoxalénnel egyidőben ismert fotoszenzitivitást okozó anyaggal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(akár külsőleg, akár szisztémásan) is folyik kezelés. Ilyen anyagnak számít a fluorokinolon, furoszemid, nalidixic sav, fenotiazin,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retinoid, szulfonamid, szulfonilurea, tetraciklin és tiazid</w:t>
      </w:r>
      <w:r w:rsidR="00C93101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származékok.</w:t>
      </w:r>
    </w:p>
    <w:p w14:paraId="0555D969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9823D6D" w14:textId="77777777" w:rsidR="000A065B" w:rsidRPr="00BD0E65" w:rsidRDefault="000A065B" w:rsidP="00BD0E65">
      <w:pPr>
        <w:numPr>
          <w:ilvl w:val="1"/>
          <w:numId w:val="1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T</w:t>
      </w:r>
      <w:r w:rsidR="00715920" w:rsidRPr="00BD0E65">
        <w:rPr>
          <w:rFonts w:ascii="Times New Roman" w:hAnsi="Times New Roman"/>
          <w:b/>
          <w:bCs/>
          <w:sz w:val="22"/>
          <w:szCs w:val="22"/>
          <w:lang w:val="hu-HU"/>
        </w:rPr>
        <w:t>ermékenység, t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erhesség és szoptatás</w:t>
      </w:r>
    </w:p>
    <w:p w14:paraId="247B65DA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2CFF1B36" w14:textId="77777777" w:rsidR="00966D55" w:rsidRPr="00BD0E65" w:rsidRDefault="00966D5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Fogamzásgátlással kapcsolatos óvintézkedések: </w:t>
      </w:r>
    </w:p>
    <w:p w14:paraId="51C3B73D" w14:textId="77777777" w:rsidR="00966D55" w:rsidRPr="00BD0E65" w:rsidRDefault="00966D5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sz w:val="22"/>
          <w:szCs w:val="22"/>
          <w:lang w:val="hu-HU"/>
        </w:rPr>
        <w:t>‑</w:t>
      </w:r>
      <w:r w:rsidRPr="00BD0E65">
        <w:rPr>
          <w:rFonts w:ascii="Times New Roman" w:hAnsi="Times New Roman"/>
          <w:sz w:val="22"/>
          <w:szCs w:val="22"/>
          <w:lang w:val="hu-HU"/>
        </w:rPr>
        <w:t>szel kezelt férfiaknak és nőknek egyaránt megfelelő fogamzásgátlást kell alkalmazniuk, mind a fotoferézis-kezelés alatt, mind utána.</w:t>
      </w:r>
    </w:p>
    <w:p w14:paraId="5C598A15" w14:textId="77777777" w:rsidR="00966D55" w:rsidRPr="00BD0E65" w:rsidRDefault="00966D5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213292F" w14:textId="77777777" w:rsidR="00966D55" w:rsidRPr="00BD0E65" w:rsidRDefault="00966D5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Terhesség</w:t>
      </w:r>
    </w:p>
    <w:p w14:paraId="641FDCF1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Bár nincs tapasztalat humán terhesség során alkalmazott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sz w:val="22"/>
          <w:szCs w:val="22"/>
          <w:lang w:val="hu-HU"/>
        </w:rPr>
        <w:t>‑</w:t>
      </w:r>
      <w:r w:rsidRPr="00BD0E65">
        <w:rPr>
          <w:rFonts w:ascii="Times New Roman" w:hAnsi="Times New Roman"/>
          <w:sz w:val="22"/>
          <w:szCs w:val="22"/>
          <w:lang w:val="hu-HU"/>
        </w:rPr>
        <w:t>kezeléssel, az állatkísérletek arra utalnak, hogy a metoxalén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károsíthatja a terhes nő magzatát. Ezért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ellenjavallt terhes, illetve fogamzóképes nőknél (lásd 4.3).</w:t>
      </w:r>
    </w:p>
    <w:p w14:paraId="356C06E8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C51C7B4" w14:textId="77777777" w:rsidR="00966D55" w:rsidRPr="00BD0E65" w:rsidRDefault="00966D5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Szoptatás</w:t>
      </w:r>
    </w:p>
    <w:p w14:paraId="3866FA91" w14:textId="77777777" w:rsidR="00EC78C3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Nem ismert, hogy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kiválasztódik-e </w:t>
      </w:r>
      <w:r w:rsidR="005B5C63" w:rsidRPr="00BD0E65">
        <w:rPr>
          <w:rFonts w:ascii="Times New Roman" w:hAnsi="Times New Roman"/>
          <w:sz w:val="22"/>
          <w:szCs w:val="22"/>
          <w:lang w:val="hu-HU"/>
        </w:rPr>
        <w:t>az anyatejbe.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Ezért, valamint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farmakodinámiás tulajdonságaira való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tekintettel, szoptatás során alkalmazása ellenjavallt.</w:t>
      </w:r>
    </w:p>
    <w:p w14:paraId="61A74CAA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A34F43D" w14:textId="77777777" w:rsidR="00966D55" w:rsidRPr="00BD0E65" w:rsidRDefault="00572846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Termékenység</w:t>
      </w:r>
    </w:p>
    <w:p w14:paraId="0C8ACA3D" w14:textId="77777777" w:rsidR="00100972" w:rsidRPr="00BD0E65" w:rsidRDefault="007C571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reproduktív toxicitását értékelő fertilitási vizsgálatokat nem végeztek.</w:t>
      </w:r>
    </w:p>
    <w:p w14:paraId="437D4639" w14:textId="77777777" w:rsidR="00100972" w:rsidRPr="00BD0E65" w:rsidRDefault="00100972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7FBDE29" w14:textId="77777777" w:rsidR="000A065B" w:rsidRPr="00BD0E65" w:rsidRDefault="000A065B" w:rsidP="00BD0E65">
      <w:pPr>
        <w:numPr>
          <w:ilvl w:val="1"/>
          <w:numId w:val="1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A készítmény hatásai a gépjárművezetéshez és</w:t>
      </w:r>
      <w:r w:rsidR="0073339A"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a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gépek </w:t>
      </w:r>
      <w:r w:rsidR="005B5C63"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kezeléséhez 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szükséges képességekre</w:t>
      </w:r>
    </w:p>
    <w:p w14:paraId="5486A27C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4C1455D9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Tekintettel arra, hogy átmeneti kardiovaszkuláris instabilitás jelentkezhet, valamint arra az előírásra, hogy a fotoferézis után a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betegnek napszemüveget kell viselnie, és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>-es fotoferézis-kezelés enyhe, közepes</w:t>
      </w:r>
      <w:r w:rsidR="006A2DC0" w:rsidRPr="00BD0E65">
        <w:rPr>
          <w:rFonts w:ascii="Times New Roman" w:hAnsi="Times New Roman"/>
          <w:sz w:val="22"/>
          <w:szCs w:val="22"/>
          <w:lang w:val="hu-HU"/>
        </w:rPr>
        <w:t>en erős fokú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A2DC0" w:rsidRPr="00BD0E65">
        <w:rPr>
          <w:rFonts w:ascii="Times New Roman" w:hAnsi="Times New Roman"/>
          <w:sz w:val="22"/>
          <w:szCs w:val="22"/>
          <w:lang w:val="hu-HU"/>
        </w:rPr>
        <w:t>mellékhatásokat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is okozhat,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közvetlenül a fotoferézis után tilos gépjárművet vezetni, vagy más gépet </w:t>
      </w:r>
      <w:r w:rsidR="005B5C63" w:rsidRPr="00BD0E65">
        <w:rPr>
          <w:rFonts w:ascii="Times New Roman" w:hAnsi="Times New Roman"/>
          <w:sz w:val="22"/>
          <w:szCs w:val="22"/>
          <w:lang w:val="hu-HU"/>
        </w:rPr>
        <w:t>kezelni</w:t>
      </w:r>
      <w:r w:rsidRPr="00BD0E65">
        <w:rPr>
          <w:rFonts w:ascii="Times New Roman" w:hAnsi="Times New Roman"/>
          <w:sz w:val="22"/>
          <w:szCs w:val="22"/>
          <w:lang w:val="hu-HU"/>
        </w:rPr>
        <w:t>.</w:t>
      </w:r>
    </w:p>
    <w:p w14:paraId="432E47C3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183ED30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4.8 </w:t>
      </w:r>
      <w:r w:rsidR="00EC78C3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Nemkívánatos hatások, mellékhatások</w:t>
      </w:r>
    </w:p>
    <w:p w14:paraId="1D2F331D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6C8AFDC" w14:textId="708FB454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 fotoferézis/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(CTCL 3) klinikai vizsgálata során jelentkező mellékhatások általában enyhék és átmenetiek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voltak, és az esetek többségében a meglévő kórfolyamattal voltak összefüggésben.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lastRenderedPageBreak/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alkalmazása mellett hányingerről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és hányásról (ezek inkább a </w:t>
      </w:r>
      <w:r w:rsidR="002E0FDB" w:rsidRPr="00BD0E65">
        <w:rPr>
          <w:rFonts w:ascii="Times New Roman" w:hAnsi="Times New Roman"/>
          <w:i/>
          <w:sz w:val="22"/>
          <w:szCs w:val="22"/>
          <w:lang w:val="hu-HU"/>
        </w:rPr>
        <w:t>per os</w:t>
      </w:r>
      <w:r w:rsidR="002E0FD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alkalmazott metoxalénra jellemzők) ritkán számoltak be, a kezelési dózisok 3,9%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ában,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csak egyszer jelentették két beteg esetében.</w:t>
      </w:r>
    </w:p>
    <w:p w14:paraId="4C0F59F9" w14:textId="77777777" w:rsidR="00902E6F" w:rsidRPr="00BD0E65" w:rsidRDefault="00902E6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3FB7123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 CTCL kezelése során alkalmazott fotoferézis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kezeléssel kapcsolatos nemkívánatos mellékhatások a következők:</w:t>
      </w:r>
    </w:p>
    <w:p w14:paraId="603010B9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1417"/>
        <w:gridCol w:w="1418"/>
        <w:gridCol w:w="1417"/>
        <w:gridCol w:w="1418"/>
      </w:tblGrid>
      <w:tr w:rsidR="00EC78C3" w:rsidRPr="008D01FB" w14:paraId="220CEBD7" w14:textId="77777777">
        <w:trPr>
          <w:cantSplit/>
          <w:jc w:val="center"/>
        </w:trPr>
        <w:tc>
          <w:tcPr>
            <w:tcW w:w="2410" w:type="dxa"/>
            <w:tcBorders>
              <w:bottom w:val="nil"/>
            </w:tcBorders>
          </w:tcPr>
          <w:p w14:paraId="2EFE6E36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Esemény</w:t>
            </w:r>
          </w:p>
          <w:p w14:paraId="71D6E1C2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5B9FCF01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CTCL 3</w:t>
            </w:r>
          </w:p>
          <w:p w14:paraId="1CD53933" w14:textId="77777777" w:rsidR="00EC78C3" w:rsidRPr="00BD0E65" w:rsidRDefault="0040127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UVADEX</w:t>
            </w: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B001938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CTCL 1 &amp; 2</w:t>
            </w:r>
          </w:p>
          <w:p w14:paraId="0DD43BF5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Orális metoxalén</w:t>
            </w:r>
          </w:p>
        </w:tc>
      </w:tr>
      <w:tr w:rsidR="00EC78C3" w:rsidRPr="00D43902" w14:paraId="7C6DB152" w14:textId="77777777">
        <w:trPr>
          <w:jc w:val="center"/>
        </w:trPr>
        <w:tc>
          <w:tcPr>
            <w:tcW w:w="2410" w:type="dxa"/>
            <w:tcBorders>
              <w:top w:val="nil"/>
              <w:bottom w:val="nil"/>
            </w:tcBorders>
          </w:tcPr>
          <w:p w14:paraId="64C055AB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14:paraId="41A374A9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Betegszám</w:t>
            </w:r>
            <w:r w:rsidR="00902E6F"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 xml:space="preserve"> 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(%)</w:t>
            </w:r>
          </w:p>
          <w:p w14:paraId="36BF54AE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</w:p>
          <w:p w14:paraId="65207685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</w:p>
          <w:p w14:paraId="296FA7F5" w14:textId="77777777" w:rsidR="00902E6F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</w:p>
          <w:p w14:paraId="3B8B1B1A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N=51</w:t>
            </w:r>
          </w:p>
        </w:tc>
        <w:tc>
          <w:tcPr>
            <w:tcW w:w="1418" w:type="dxa"/>
            <w:tcBorders>
              <w:bottom w:val="nil"/>
            </w:tcBorders>
          </w:tcPr>
          <w:p w14:paraId="629B77A7" w14:textId="5405FB51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Kezelésenkénti</w:t>
            </w:r>
          </w:p>
          <w:p w14:paraId="014A3F40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összes szám</w:t>
            </w:r>
          </w:p>
          <w:p w14:paraId="18693E36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</w:pPr>
          </w:p>
          <w:p w14:paraId="18846DCB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Kezelések száma</w:t>
            </w:r>
            <w:r w:rsidR="00902E6F"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 xml:space="preserve"> 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= 1032</w:t>
            </w:r>
          </w:p>
        </w:tc>
        <w:tc>
          <w:tcPr>
            <w:tcW w:w="1417" w:type="dxa"/>
            <w:tcBorders>
              <w:bottom w:val="nil"/>
            </w:tcBorders>
          </w:tcPr>
          <w:p w14:paraId="2B74D15D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Betegszám</w:t>
            </w:r>
          </w:p>
          <w:p w14:paraId="3B9098FE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(%)</w:t>
            </w:r>
          </w:p>
          <w:p w14:paraId="354A0CF2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</w:p>
          <w:p w14:paraId="74DF78C7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</w:p>
          <w:p w14:paraId="3C295478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N=96</w:t>
            </w:r>
          </w:p>
        </w:tc>
        <w:tc>
          <w:tcPr>
            <w:tcW w:w="1418" w:type="dxa"/>
            <w:tcBorders>
              <w:bottom w:val="nil"/>
            </w:tcBorders>
          </w:tcPr>
          <w:p w14:paraId="189A41E8" w14:textId="0487358F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Kezelésenkénti</w:t>
            </w:r>
          </w:p>
          <w:p w14:paraId="70DF319A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összes szám</w:t>
            </w:r>
          </w:p>
          <w:p w14:paraId="3D7ED65C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</w:pPr>
          </w:p>
          <w:p w14:paraId="45F2532D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Kezelések száma</w:t>
            </w:r>
            <w:r w:rsidR="00902E6F"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 xml:space="preserve"> 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= 4319</w:t>
            </w:r>
          </w:p>
        </w:tc>
      </w:tr>
      <w:tr w:rsidR="00EC78C3" w:rsidRPr="008D01FB" w14:paraId="26768EAD" w14:textId="77777777">
        <w:trPr>
          <w:jc w:val="center"/>
        </w:trPr>
        <w:tc>
          <w:tcPr>
            <w:tcW w:w="2410" w:type="dxa"/>
            <w:tcBorders>
              <w:top w:val="double" w:sz="4" w:space="0" w:color="auto"/>
              <w:bottom w:val="single" w:sz="4" w:space="0" w:color="auto"/>
            </w:tcBorders>
          </w:tcPr>
          <w:p w14:paraId="17389E0A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Hipot</w:t>
            </w:r>
            <w:r w:rsidR="0097677D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enzió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21393DC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41C61E5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FE47B82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7 (7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3)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B632B06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7 (&lt; 0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2)</w:t>
            </w:r>
          </w:p>
        </w:tc>
      </w:tr>
      <w:tr w:rsidR="00EC78C3" w:rsidRPr="008D01FB" w14:paraId="6286BCCD" w14:textId="77777777">
        <w:trPr>
          <w:jc w:val="center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2D4C4250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Átmeneti láz</w:t>
            </w:r>
          </w:p>
          <w:p w14:paraId="6198CB21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a fotoaktivált sejtek</w:t>
            </w:r>
          </w:p>
          <w:p w14:paraId="3DB5A98C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reinfúziója után 6–8 órával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643A9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EA880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304F4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 (8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1BEEF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17 (&lt; 0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4)</w:t>
            </w:r>
          </w:p>
        </w:tc>
      </w:tr>
      <w:tr w:rsidR="00EC78C3" w:rsidRPr="008D01FB" w14:paraId="0E6C8EE6" w14:textId="77777777">
        <w:trPr>
          <w:jc w:val="center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6605E67A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Érrendszer-hozzáférési</w:t>
            </w:r>
          </w:p>
          <w:p w14:paraId="0B67C6A4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komplikációk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C3FC5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9 (17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6)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73944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10 (&lt; 0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CB13C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801DE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</w:p>
        </w:tc>
      </w:tr>
      <w:tr w:rsidR="00EC78C3" w:rsidRPr="008D01FB" w14:paraId="02B00F76" w14:textId="77777777">
        <w:trPr>
          <w:jc w:val="center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75B2BA95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Fertőzés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CECB3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 (2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1718F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 (&lt; 0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E4F52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 (5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2)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5C47F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 (&lt; 0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2)</w:t>
            </w:r>
          </w:p>
        </w:tc>
      </w:tr>
    </w:tbl>
    <w:p w14:paraId="374DD4BF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FE763AE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fotoferézis-kezeléssel kapcsolatos mellékhatások az egyéb,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>-szel történt klinikai vizsgálatok és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tapasztalatok alapján a következők:</w:t>
      </w:r>
    </w:p>
    <w:p w14:paraId="2AE7CED9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2693"/>
        <w:gridCol w:w="2693"/>
      </w:tblGrid>
      <w:tr w:rsidR="00EC78C3" w:rsidRPr="00D43902" w14:paraId="44392E79" w14:textId="77777777">
        <w:trPr>
          <w:cantSplit/>
          <w:jc w:val="center"/>
        </w:trPr>
        <w:tc>
          <w:tcPr>
            <w:tcW w:w="2694" w:type="dxa"/>
            <w:tcBorders>
              <w:bottom w:val="nil"/>
            </w:tcBorders>
          </w:tcPr>
          <w:p w14:paraId="19F71CFF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Esemény</w:t>
            </w:r>
          </w:p>
        </w:tc>
        <w:tc>
          <w:tcPr>
            <w:tcW w:w="5386" w:type="dxa"/>
            <w:gridSpan w:val="2"/>
            <w:tcBorders>
              <w:bottom w:val="nil"/>
            </w:tcBorders>
          </w:tcPr>
          <w:p w14:paraId="38202506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 xml:space="preserve">Egyéb klinikai vizsgálatok és tapasztalatok </w:t>
            </w:r>
            <w:r w:rsidR="00401273"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UVADEX</w:t>
            </w: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-szel</w:t>
            </w:r>
          </w:p>
        </w:tc>
      </w:tr>
      <w:tr w:rsidR="00EC78C3" w:rsidRPr="008D01FB" w14:paraId="0F81BC3D" w14:textId="77777777">
        <w:trPr>
          <w:jc w:val="center"/>
        </w:trPr>
        <w:tc>
          <w:tcPr>
            <w:tcW w:w="2694" w:type="dxa"/>
            <w:tcBorders>
              <w:top w:val="nil"/>
              <w:bottom w:val="nil"/>
            </w:tcBorders>
          </w:tcPr>
          <w:p w14:paraId="60B8A2E2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2693" w:type="dxa"/>
            <w:tcBorders>
              <w:bottom w:val="nil"/>
            </w:tcBorders>
          </w:tcPr>
          <w:p w14:paraId="264DAA85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Betegszámban</w:t>
            </w:r>
          </w:p>
        </w:tc>
        <w:tc>
          <w:tcPr>
            <w:tcW w:w="2693" w:type="dxa"/>
            <w:tcBorders>
              <w:bottom w:val="nil"/>
            </w:tcBorders>
          </w:tcPr>
          <w:p w14:paraId="0C9371CF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Kezelések számában</w:t>
            </w:r>
          </w:p>
        </w:tc>
      </w:tr>
      <w:tr w:rsidR="00EC78C3" w:rsidRPr="008D01FB" w14:paraId="00C82B51" w14:textId="77777777">
        <w:trPr>
          <w:jc w:val="center"/>
        </w:trPr>
        <w:tc>
          <w:tcPr>
            <w:tcW w:w="2694" w:type="dxa"/>
            <w:tcBorders>
              <w:top w:val="double" w:sz="4" w:space="0" w:color="auto"/>
              <w:bottom w:val="single" w:sz="4" w:space="0" w:color="auto"/>
            </w:tcBorders>
          </w:tcPr>
          <w:p w14:paraId="7F1F1FD0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Hipot</w:t>
            </w:r>
            <w:r w:rsidR="0097677D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enzi</w:t>
            </w:r>
            <w:r w:rsidR="006A2DC0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ó</w:t>
            </w:r>
          </w:p>
        </w:tc>
        <w:tc>
          <w:tcPr>
            <w:tcW w:w="269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8145C7B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&lt; 2/100</w:t>
            </w:r>
          </w:p>
        </w:tc>
        <w:tc>
          <w:tcPr>
            <w:tcW w:w="269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02CC681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&lt;8/10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.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000</w:t>
            </w:r>
          </w:p>
        </w:tc>
      </w:tr>
      <w:tr w:rsidR="00EC78C3" w:rsidRPr="008D01FB" w14:paraId="3C1110E2" w14:textId="77777777">
        <w:trPr>
          <w:jc w:val="center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14:paraId="1A327DFF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Átmeneti láz</w:t>
            </w:r>
          </w:p>
          <w:p w14:paraId="1E1862A0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a fotoaktivált sejtek reinfúziója</w:t>
            </w:r>
          </w:p>
          <w:p w14:paraId="288C61F1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után 6–8 órával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61329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&lt; 1/100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9DB5C" w14:textId="77777777" w:rsidR="00EC78C3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&lt;2 /10.</w:t>
            </w:r>
            <w:r w:rsidR="00EC78C3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000</w:t>
            </w:r>
          </w:p>
        </w:tc>
      </w:tr>
      <w:tr w:rsidR="00EC78C3" w:rsidRPr="008D01FB" w14:paraId="75B3B674" w14:textId="77777777">
        <w:trPr>
          <w:jc w:val="center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14:paraId="75C16FA0" w14:textId="77777777" w:rsidR="00EC78C3" w:rsidRPr="00BD0E65" w:rsidRDefault="00670236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Ér</w:t>
            </w:r>
            <w:r w:rsidR="00EC78C3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rendszer-hozzáférési komplikációk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4343B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&lt; 5/100*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46C84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&lt;4/1000**</w:t>
            </w:r>
          </w:p>
        </w:tc>
      </w:tr>
      <w:tr w:rsidR="00EC78C3" w:rsidRPr="008D01FB" w14:paraId="40507843" w14:textId="77777777">
        <w:trPr>
          <w:jc w:val="center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14:paraId="0A6B6A51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Fertőzés/katéteres</w:t>
            </w:r>
          </w:p>
          <w:p w14:paraId="55DA67BC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fertőzés/szepszis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A8DFC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&lt; 4/100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5CB99" w14:textId="77777777" w:rsidR="00EC78C3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&lt;2/1000</w:t>
            </w:r>
          </w:p>
        </w:tc>
      </w:tr>
    </w:tbl>
    <w:p w14:paraId="6A226759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4E3A656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iCs/>
          <w:sz w:val="18"/>
          <w:szCs w:val="18"/>
          <w:lang w:val="hu-HU"/>
        </w:rPr>
      </w:pPr>
      <w:r w:rsidRPr="00BD0E65">
        <w:rPr>
          <w:rFonts w:ascii="Times New Roman" w:hAnsi="Times New Roman"/>
          <w:i/>
          <w:iCs/>
          <w:sz w:val="18"/>
          <w:szCs w:val="18"/>
          <w:lang w:val="hu-HU"/>
        </w:rPr>
        <w:t>* a betegek kétharmadának progresszív szisztémás szklerózisa volt.</w:t>
      </w:r>
    </w:p>
    <w:p w14:paraId="6C710562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iCs/>
          <w:sz w:val="18"/>
          <w:szCs w:val="18"/>
          <w:lang w:val="hu-HU"/>
        </w:rPr>
      </w:pPr>
      <w:r w:rsidRPr="00BD0E65">
        <w:rPr>
          <w:rFonts w:ascii="Times New Roman" w:hAnsi="Times New Roman"/>
          <w:i/>
          <w:iCs/>
          <w:sz w:val="18"/>
          <w:szCs w:val="18"/>
          <w:lang w:val="hu-HU"/>
        </w:rPr>
        <w:t>** az események kétharmada a progresszív szisztémás szklerózisos betegeknél fordult elő.</w:t>
      </w:r>
    </w:p>
    <w:p w14:paraId="46E88021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/>
        </w:rPr>
      </w:pPr>
    </w:p>
    <w:p w14:paraId="68B7CB57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szel történt CTCL kezelés során kevés, de statisztikailag szignifikáns változás jelentkezett számos biokémiai és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hematológiai paraméterben. Ezeknek nincs klinikai jelentősége, összegzésük az alábbiakban látható.</w:t>
      </w:r>
    </w:p>
    <w:p w14:paraId="6E00B194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2BA966F7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Statisztikailag szignifikáns változások a laboratóriumi értékekben</w:t>
      </w:r>
    </w:p>
    <w:p w14:paraId="1CDFD04C" w14:textId="77777777" w:rsidR="00EC78C3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Átlag ± SD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41"/>
        <w:gridCol w:w="1849"/>
        <w:gridCol w:w="1849"/>
        <w:gridCol w:w="1849"/>
        <w:gridCol w:w="1712"/>
      </w:tblGrid>
      <w:tr w:rsidR="00443929" w:rsidRPr="008D01FB" w14:paraId="26707148" w14:textId="77777777">
        <w:tc>
          <w:tcPr>
            <w:tcW w:w="1741" w:type="dxa"/>
            <w:tcBorders>
              <w:bottom w:val="double" w:sz="4" w:space="0" w:color="auto"/>
            </w:tcBorders>
          </w:tcPr>
          <w:p w14:paraId="5146C0C9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Paraméter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225EBC4F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N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276ADBA6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Kiindulási érték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49792494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Végső érték</w:t>
            </w:r>
          </w:p>
        </w:tc>
        <w:tc>
          <w:tcPr>
            <w:tcW w:w="1712" w:type="dxa"/>
            <w:tcBorders>
              <w:bottom w:val="double" w:sz="4" w:space="0" w:color="auto"/>
            </w:tcBorders>
          </w:tcPr>
          <w:p w14:paraId="477D2139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Delta</w:t>
            </w:r>
          </w:p>
        </w:tc>
      </w:tr>
      <w:tr w:rsidR="00443929" w:rsidRPr="008D01FB" w14:paraId="4D5CC322" w14:textId="77777777">
        <w:tc>
          <w:tcPr>
            <w:tcW w:w="1741" w:type="dxa"/>
            <w:tcBorders>
              <w:top w:val="nil"/>
            </w:tcBorders>
          </w:tcPr>
          <w:p w14:paraId="42B6AE5F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Albumin (g/l)</w:t>
            </w:r>
          </w:p>
        </w:tc>
        <w:tc>
          <w:tcPr>
            <w:tcW w:w="1849" w:type="dxa"/>
            <w:tcBorders>
              <w:top w:val="nil"/>
            </w:tcBorders>
            <w:vAlign w:val="center"/>
          </w:tcPr>
          <w:p w14:paraId="754C5CD5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51</w:t>
            </w:r>
          </w:p>
        </w:tc>
        <w:tc>
          <w:tcPr>
            <w:tcW w:w="1849" w:type="dxa"/>
            <w:tcBorders>
              <w:top w:val="nil"/>
            </w:tcBorders>
            <w:vAlign w:val="center"/>
          </w:tcPr>
          <w:p w14:paraId="0D924DEB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13,8 ± 16,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</w:t>
            </w:r>
          </w:p>
        </w:tc>
        <w:tc>
          <w:tcPr>
            <w:tcW w:w="1849" w:type="dxa"/>
            <w:tcBorders>
              <w:top w:val="nil"/>
            </w:tcBorders>
            <w:vAlign w:val="center"/>
          </w:tcPr>
          <w:p w14:paraId="40C3F1A2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12,8 ± 15,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6</w:t>
            </w:r>
          </w:p>
        </w:tc>
        <w:tc>
          <w:tcPr>
            <w:tcW w:w="1712" w:type="dxa"/>
            <w:tcBorders>
              <w:top w:val="nil"/>
            </w:tcBorders>
            <w:vAlign w:val="center"/>
          </w:tcPr>
          <w:p w14:paraId="3819B5B5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-1,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</w:p>
        </w:tc>
      </w:tr>
      <w:tr w:rsidR="00443929" w:rsidRPr="008D01FB" w14:paraId="74FEA2E6" w14:textId="77777777">
        <w:tc>
          <w:tcPr>
            <w:tcW w:w="1741" w:type="dxa"/>
          </w:tcPr>
          <w:p w14:paraId="7AB6DC25" w14:textId="77777777" w:rsidR="00443929" w:rsidRPr="00BD0E65" w:rsidRDefault="005B5C6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Ká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lcium (mg/dl)</w:t>
            </w:r>
          </w:p>
        </w:tc>
        <w:tc>
          <w:tcPr>
            <w:tcW w:w="1849" w:type="dxa"/>
            <w:vAlign w:val="center"/>
          </w:tcPr>
          <w:p w14:paraId="54286DC1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51</w:t>
            </w:r>
          </w:p>
        </w:tc>
        <w:tc>
          <w:tcPr>
            <w:tcW w:w="1849" w:type="dxa"/>
            <w:vAlign w:val="center"/>
          </w:tcPr>
          <w:p w14:paraId="2E0757C3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7,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 ± 3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2</w:t>
            </w:r>
          </w:p>
        </w:tc>
        <w:tc>
          <w:tcPr>
            <w:tcW w:w="1849" w:type="dxa"/>
            <w:vAlign w:val="center"/>
          </w:tcPr>
          <w:p w14:paraId="6ABE94BA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7,5 ± 3,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</w:t>
            </w:r>
          </w:p>
        </w:tc>
        <w:tc>
          <w:tcPr>
            <w:tcW w:w="1712" w:type="dxa"/>
            <w:vAlign w:val="center"/>
          </w:tcPr>
          <w:p w14:paraId="2C5C88F3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-0,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</w:t>
            </w:r>
          </w:p>
        </w:tc>
      </w:tr>
      <w:tr w:rsidR="00443929" w:rsidRPr="008D01FB" w14:paraId="3BC8BB8C" w14:textId="77777777">
        <w:tc>
          <w:tcPr>
            <w:tcW w:w="1741" w:type="dxa"/>
          </w:tcPr>
          <w:p w14:paraId="67BC3C7A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Hematokrit (%)</w:t>
            </w:r>
          </w:p>
        </w:tc>
        <w:tc>
          <w:tcPr>
            <w:tcW w:w="1849" w:type="dxa"/>
            <w:vAlign w:val="center"/>
          </w:tcPr>
          <w:p w14:paraId="3B68F5F4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51</w:t>
            </w:r>
          </w:p>
        </w:tc>
        <w:tc>
          <w:tcPr>
            <w:tcW w:w="1849" w:type="dxa"/>
            <w:vAlign w:val="center"/>
          </w:tcPr>
          <w:p w14:paraId="44B05F1E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41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,1 ± 4,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</w:t>
            </w:r>
          </w:p>
        </w:tc>
        <w:tc>
          <w:tcPr>
            <w:tcW w:w="1849" w:type="dxa"/>
            <w:vAlign w:val="center"/>
          </w:tcPr>
          <w:p w14:paraId="3D3DD4B2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38,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 ± 4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7</w:t>
            </w:r>
          </w:p>
        </w:tc>
        <w:tc>
          <w:tcPr>
            <w:tcW w:w="1712" w:type="dxa"/>
            <w:vAlign w:val="center"/>
          </w:tcPr>
          <w:p w14:paraId="08157F7E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-3,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</w:t>
            </w:r>
          </w:p>
        </w:tc>
      </w:tr>
      <w:tr w:rsidR="00443929" w:rsidRPr="008D01FB" w14:paraId="78F20D70" w14:textId="77777777">
        <w:tc>
          <w:tcPr>
            <w:tcW w:w="1741" w:type="dxa"/>
          </w:tcPr>
          <w:p w14:paraId="1ECFBB3C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Hemoglobin (g/dl)</w:t>
            </w:r>
          </w:p>
        </w:tc>
        <w:tc>
          <w:tcPr>
            <w:tcW w:w="1849" w:type="dxa"/>
            <w:vAlign w:val="center"/>
          </w:tcPr>
          <w:p w14:paraId="224EAA51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51</w:t>
            </w:r>
          </w:p>
        </w:tc>
        <w:tc>
          <w:tcPr>
            <w:tcW w:w="1849" w:type="dxa"/>
            <w:vAlign w:val="center"/>
          </w:tcPr>
          <w:p w14:paraId="3EE89DC6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13,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 ± 1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</w:t>
            </w:r>
          </w:p>
        </w:tc>
        <w:tc>
          <w:tcPr>
            <w:tcW w:w="1849" w:type="dxa"/>
            <w:vAlign w:val="center"/>
          </w:tcPr>
          <w:p w14:paraId="7CF97F2E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12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,7 ± 1,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6</w:t>
            </w:r>
          </w:p>
        </w:tc>
        <w:tc>
          <w:tcPr>
            <w:tcW w:w="1712" w:type="dxa"/>
            <w:vAlign w:val="center"/>
          </w:tcPr>
          <w:p w14:paraId="0A910824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-1,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</w:t>
            </w:r>
          </w:p>
        </w:tc>
      </w:tr>
      <w:tr w:rsidR="00443929" w:rsidRPr="008D01FB" w14:paraId="502D8F9F" w14:textId="77777777">
        <w:tc>
          <w:tcPr>
            <w:tcW w:w="1741" w:type="dxa"/>
          </w:tcPr>
          <w:p w14:paraId="78FA8303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Kálium (mEq/l)</w:t>
            </w:r>
          </w:p>
        </w:tc>
        <w:tc>
          <w:tcPr>
            <w:tcW w:w="1849" w:type="dxa"/>
            <w:vAlign w:val="center"/>
          </w:tcPr>
          <w:p w14:paraId="3D80F7B6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48</w:t>
            </w:r>
          </w:p>
        </w:tc>
        <w:tc>
          <w:tcPr>
            <w:tcW w:w="1849" w:type="dxa"/>
            <w:vAlign w:val="center"/>
          </w:tcPr>
          <w:p w14:paraId="17ABD112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 ± 0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</w:t>
            </w:r>
          </w:p>
        </w:tc>
        <w:tc>
          <w:tcPr>
            <w:tcW w:w="1849" w:type="dxa"/>
            <w:vAlign w:val="center"/>
          </w:tcPr>
          <w:p w14:paraId="35804BBF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4,1 ± 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</w:t>
            </w:r>
          </w:p>
        </w:tc>
        <w:tc>
          <w:tcPr>
            <w:tcW w:w="1712" w:type="dxa"/>
            <w:vAlign w:val="center"/>
          </w:tcPr>
          <w:p w14:paraId="15E6BEAC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-0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</w:t>
            </w:r>
          </w:p>
        </w:tc>
      </w:tr>
      <w:tr w:rsidR="00443929" w:rsidRPr="008D01FB" w14:paraId="7D93E7F4" w14:textId="77777777">
        <w:tc>
          <w:tcPr>
            <w:tcW w:w="1741" w:type="dxa"/>
          </w:tcPr>
          <w:p w14:paraId="7EEB9702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Vvt (x10</w:t>
            </w:r>
            <w:r w:rsidRPr="00BD0E65">
              <w:rPr>
                <w:rFonts w:ascii="Times New Roman" w:hAnsi="Times New Roman"/>
                <w:sz w:val="18"/>
                <w:szCs w:val="18"/>
                <w:vertAlign w:val="superscript"/>
                <w:lang w:val="hu-HU"/>
              </w:rPr>
              <w:t>12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/l)</w:t>
            </w:r>
          </w:p>
        </w:tc>
        <w:tc>
          <w:tcPr>
            <w:tcW w:w="1849" w:type="dxa"/>
            <w:vAlign w:val="center"/>
          </w:tcPr>
          <w:p w14:paraId="2F0D162C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51</w:t>
            </w:r>
          </w:p>
        </w:tc>
        <w:tc>
          <w:tcPr>
            <w:tcW w:w="1849" w:type="dxa"/>
            <w:vAlign w:val="center"/>
          </w:tcPr>
          <w:p w14:paraId="241865EF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4,6 ± 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</w:t>
            </w:r>
          </w:p>
        </w:tc>
        <w:tc>
          <w:tcPr>
            <w:tcW w:w="1849" w:type="dxa"/>
            <w:vAlign w:val="center"/>
          </w:tcPr>
          <w:p w14:paraId="570B5465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4,4 ± 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6</w:t>
            </w:r>
          </w:p>
        </w:tc>
        <w:tc>
          <w:tcPr>
            <w:tcW w:w="1712" w:type="dxa"/>
            <w:vAlign w:val="center"/>
          </w:tcPr>
          <w:p w14:paraId="68B186F9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-0,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2</w:t>
            </w:r>
          </w:p>
        </w:tc>
      </w:tr>
    </w:tbl>
    <w:p w14:paraId="2E367241" w14:textId="77777777" w:rsidR="0097677D" w:rsidRPr="00BD0E65" w:rsidRDefault="0097677D" w:rsidP="00BD0E65">
      <w:pPr>
        <w:tabs>
          <w:tab w:val="left" w:pos="567"/>
        </w:tabs>
        <w:rPr>
          <w:rFonts w:ascii="Times New Roman" w:hAnsi="Times New Roman"/>
          <w:sz w:val="22"/>
          <w:szCs w:val="22"/>
          <w:lang w:val="hu-HU"/>
        </w:rPr>
      </w:pPr>
    </w:p>
    <w:p w14:paraId="79C9EFC4" w14:textId="77777777" w:rsidR="0097677D" w:rsidRPr="00BD0E65" w:rsidRDefault="0097677D" w:rsidP="00BD0E65">
      <w:pPr>
        <w:tabs>
          <w:tab w:val="left" w:pos="567"/>
        </w:tabs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 mellékhatások táblázatos felsorolása</w:t>
      </w:r>
    </w:p>
    <w:p w14:paraId="53002F55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924B6E8" w14:textId="747BCCB4" w:rsidR="00F168D7" w:rsidRPr="00BD0E65" w:rsidRDefault="000A065B" w:rsidP="00BD0E65">
      <w:pPr>
        <w:tabs>
          <w:tab w:val="left" w:pos="567"/>
        </w:tabs>
        <w:rPr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alább felsorolt </w:t>
      </w:r>
      <w:r w:rsidR="006A2DC0" w:rsidRPr="00BD0E65">
        <w:rPr>
          <w:rFonts w:ascii="Times New Roman" w:hAnsi="Times New Roman"/>
          <w:sz w:val="22"/>
          <w:szCs w:val="22"/>
          <w:lang w:val="hu-HU"/>
        </w:rPr>
        <w:t>mellék</w:t>
      </w:r>
      <w:r w:rsidRPr="00BD0E65">
        <w:rPr>
          <w:rFonts w:ascii="Times New Roman" w:hAnsi="Times New Roman"/>
          <w:sz w:val="22"/>
          <w:szCs w:val="22"/>
          <w:lang w:val="hu-HU"/>
        </w:rPr>
        <w:t>hatások gyakorisága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 xml:space="preserve"> klinikai vizsgálatok és posztmarketing tapasztalatok során szerzett adatokon alapul és a táblázatban a szerv</w:t>
      </w:r>
      <w:r w:rsidR="00EC63A0" w:rsidRPr="00BD0E65">
        <w:rPr>
          <w:rFonts w:ascii="Times New Roman" w:hAnsi="Times New Roman"/>
          <w:sz w:val="22"/>
          <w:szCs w:val="22"/>
          <w:lang w:val="hu-HU"/>
        </w:rPr>
        <w:t>rendszer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>eknek és a gyakoriságoknak megfelelően vannak megadva</w:t>
      </w:r>
      <w:r w:rsidR="0097677D" w:rsidRPr="00BD0E65">
        <w:rPr>
          <w:rFonts w:ascii="Times New Roman" w:hAnsi="Times New Roman"/>
          <w:sz w:val="22"/>
          <w:szCs w:val="22"/>
          <w:lang w:val="hu-HU"/>
        </w:rPr>
        <w:t>: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>nagyon gyakori ( 1/10); gyakori ( 1/100 – &lt; 1/10); nem gyakori (1/1</w:t>
      </w:r>
      <w:r w:rsidR="0097677D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>000 – &lt; 1/100); ritka (1/10</w:t>
      </w:r>
      <w:r w:rsidR="00C93101">
        <w:rPr>
          <w:rFonts w:ascii="Times New Roman" w:hAnsi="Times New Roman"/>
          <w:sz w:val="22"/>
          <w:szCs w:val="22"/>
          <w:lang w:val="hu-HU"/>
        </w:rPr>
        <w:t> 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 xml:space="preserve">000 –  &lt; 1/1000); és </w:t>
      </w:r>
      <w:r w:rsidR="0097677D" w:rsidRPr="00BD0E65">
        <w:rPr>
          <w:rFonts w:ascii="Times New Roman" w:hAnsi="Times New Roman"/>
          <w:sz w:val="22"/>
          <w:szCs w:val="22"/>
          <w:lang w:val="hu-HU"/>
        </w:rPr>
        <w:t xml:space="preserve">nem 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 xml:space="preserve">ismert (a </w:t>
      </w:r>
      <w:r w:rsidR="006A2DC0" w:rsidRPr="00BD0E65">
        <w:rPr>
          <w:rFonts w:ascii="Times New Roman" w:hAnsi="Times New Roman"/>
          <w:sz w:val="22"/>
          <w:szCs w:val="22"/>
          <w:lang w:val="hu-HU"/>
        </w:rPr>
        <w:t xml:space="preserve">gyakoriság a 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>rendelkezésre álló adatok</w:t>
      </w:r>
      <w:r w:rsidR="00FE4560" w:rsidRPr="00BD0E65">
        <w:rPr>
          <w:rFonts w:ascii="Times New Roman" w:hAnsi="Times New Roman"/>
          <w:sz w:val="22"/>
          <w:szCs w:val="22"/>
          <w:lang w:val="hu-HU"/>
        </w:rPr>
        <w:t>ból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 xml:space="preserve"> nem</w:t>
      </w:r>
      <w:r w:rsidR="0097677D" w:rsidRPr="00BD0E65">
        <w:rPr>
          <w:rFonts w:ascii="Times New Roman" w:hAnsi="Times New Roman"/>
          <w:sz w:val="22"/>
          <w:szCs w:val="22"/>
          <w:lang w:val="hu-HU"/>
        </w:rPr>
        <w:t xml:space="preserve"> állapítható meg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>).</w:t>
      </w:r>
    </w:p>
    <w:p w14:paraId="2089B2C2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5"/>
        <w:gridCol w:w="2835"/>
        <w:gridCol w:w="1672"/>
      </w:tblGrid>
      <w:tr w:rsidR="00F168D7" w:rsidRPr="008D01FB" w14:paraId="5A4E33E1" w14:textId="77777777" w:rsidTr="00BD0E65">
        <w:tc>
          <w:tcPr>
            <w:tcW w:w="4565" w:type="dxa"/>
          </w:tcPr>
          <w:p w14:paraId="5D9B7319" w14:textId="77777777" w:rsidR="00F168D7" w:rsidRPr="00BD0E65" w:rsidRDefault="00EC63A0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  <w:t>S</w:t>
            </w:r>
            <w:r w:rsidR="00F168D7" w:rsidRPr="00BD0E65"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  <w:t>zer</w:t>
            </w:r>
            <w:r w:rsidRPr="00BD0E65"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  <w:t>vrendszer</w:t>
            </w:r>
            <w:r w:rsidR="00F168D7" w:rsidRPr="00BD0E65"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  <w:t xml:space="preserve"> osztály</w:t>
            </w:r>
          </w:p>
        </w:tc>
        <w:tc>
          <w:tcPr>
            <w:tcW w:w="2835" w:type="dxa"/>
          </w:tcPr>
          <w:p w14:paraId="2F9B6FE2" w14:textId="77777777" w:rsidR="00F168D7" w:rsidRPr="00BD0E65" w:rsidRDefault="00EC63A0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  <w:t>Mellék</w:t>
            </w:r>
            <w:r w:rsidR="00F168D7" w:rsidRPr="00BD0E65"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  <w:t>hatás(ok)</w:t>
            </w:r>
          </w:p>
        </w:tc>
        <w:tc>
          <w:tcPr>
            <w:tcW w:w="1672" w:type="dxa"/>
          </w:tcPr>
          <w:p w14:paraId="791FF6DB" w14:textId="77777777" w:rsidR="00F168D7" w:rsidRPr="00BD0E65" w:rsidRDefault="00F168D7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  <w:t>Gyakoriság</w:t>
            </w:r>
          </w:p>
        </w:tc>
      </w:tr>
      <w:tr w:rsidR="00F168D7" w:rsidRPr="008D01FB" w14:paraId="6467A798" w14:textId="77777777" w:rsidTr="00BD0E65">
        <w:tc>
          <w:tcPr>
            <w:tcW w:w="4565" w:type="dxa"/>
          </w:tcPr>
          <w:p w14:paraId="0529368D" w14:textId="77777777" w:rsidR="00F168D7" w:rsidRPr="00BD0E65" w:rsidRDefault="003247B4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Fert</w:t>
            </w:r>
            <w:r w:rsidRPr="008D01FB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őz</w:t>
            </w:r>
            <w:r w:rsidR="0097677D" w:rsidRPr="008D01FB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ő betegségek</w:t>
            </w:r>
            <w:r w:rsidRPr="008D01FB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és bőrfertőzések</w:t>
            </w:r>
          </w:p>
        </w:tc>
        <w:tc>
          <w:tcPr>
            <w:tcW w:w="2835" w:type="dxa"/>
          </w:tcPr>
          <w:p w14:paraId="191E83B6" w14:textId="77777777" w:rsidR="00F168D7" w:rsidRPr="00BD0E65" w:rsidRDefault="000A5F8A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Fertőzések</w:t>
            </w:r>
          </w:p>
        </w:tc>
        <w:tc>
          <w:tcPr>
            <w:tcW w:w="1672" w:type="dxa"/>
          </w:tcPr>
          <w:p w14:paraId="42AF9158" w14:textId="77777777" w:rsidR="00F168D7" w:rsidRPr="00BD0E65" w:rsidRDefault="00F168D7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Gyakori</w:t>
            </w:r>
          </w:p>
        </w:tc>
      </w:tr>
      <w:tr w:rsidR="00F168D7" w:rsidRPr="008D01FB" w14:paraId="3B68CE88" w14:textId="77777777" w:rsidTr="00BD0E65">
        <w:tc>
          <w:tcPr>
            <w:tcW w:w="4565" w:type="dxa"/>
          </w:tcPr>
          <w:p w14:paraId="77956F1F" w14:textId="77777777" w:rsidR="00F168D7" w:rsidRPr="00BD0E65" w:rsidRDefault="00F168D7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Immun</w:t>
            </w:r>
            <w:r w:rsidR="003247B4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r</w:t>
            </w: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e</w:t>
            </w:r>
            <w:r w:rsidR="003247B4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ndszeri </w:t>
            </w:r>
            <w:r w:rsidR="00EC63A0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betegségek és tünetek </w:t>
            </w: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</w:t>
            </w:r>
          </w:p>
        </w:tc>
        <w:tc>
          <w:tcPr>
            <w:tcW w:w="2835" w:type="dxa"/>
          </w:tcPr>
          <w:p w14:paraId="3AD4F099" w14:textId="77777777" w:rsidR="00F168D7" w:rsidRPr="00BD0E65" w:rsidRDefault="000A5F8A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Allergikus reakciók</w:t>
            </w:r>
          </w:p>
        </w:tc>
        <w:tc>
          <w:tcPr>
            <w:tcW w:w="1672" w:type="dxa"/>
          </w:tcPr>
          <w:p w14:paraId="161EECA2" w14:textId="77777777" w:rsidR="00F168D7" w:rsidRPr="00BD0E65" w:rsidRDefault="0097677D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Nem i</w:t>
            </w:r>
            <w:r w:rsidR="000A5F8A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smert</w:t>
            </w:r>
          </w:p>
        </w:tc>
      </w:tr>
      <w:tr w:rsidR="00F168D7" w:rsidRPr="008D01FB" w14:paraId="739CB175" w14:textId="77777777" w:rsidTr="00BD0E65">
        <w:tc>
          <w:tcPr>
            <w:tcW w:w="4565" w:type="dxa"/>
          </w:tcPr>
          <w:p w14:paraId="3EC7FC6A" w14:textId="77777777" w:rsidR="00F168D7" w:rsidRPr="00BD0E65" w:rsidRDefault="003247B4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Idegrendszeri </w:t>
            </w:r>
            <w:r w:rsidR="00EC63A0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betegségek és tünetek </w:t>
            </w:r>
            <w:r w:rsidR="00F168D7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</w:t>
            </w:r>
          </w:p>
        </w:tc>
        <w:tc>
          <w:tcPr>
            <w:tcW w:w="2835" w:type="dxa"/>
          </w:tcPr>
          <w:p w14:paraId="192B5384" w14:textId="77777777" w:rsidR="00F168D7" w:rsidRPr="00BD0E65" w:rsidRDefault="00F168D7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Dysgeusia</w:t>
            </w:r>
          </w:p>
        </w:tc>
        <w:tc>
          <w:tcPr>
            <w:tcW w:w="1672" w:type="dxa"/>
          </w:tcPr>
          <w:p w14:paraId="2E2F9CBC" w14:textId="77777777" w:rsidR="00F168D7" w:rsidRPr="00BD0E65" w:rsidRDefault="00F168D7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Gyakori</w:t>
            </w:r>
          </w:p>
        </w:tc>
      </w:tr>
      <w:tr w:rsidR="00F168D7" w:rsidRPr="008D01FB" w14:paraId="5F6CA9D8" w14:textId="77777777" w:rsidTr="00BD0E65">
        <w:tc>
          <w:tcPr>
            <w:tcW w:w="4565" w:type="dxa"/>
          </w:tcPr>
          <w:p w14:paraId="5D50DB8D" w14:textId="77777777" w:rsidR="00F168D7" w:rsidRPr="00BD0E65" w:rsidRDefault="003247B4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Szívbetegségek</w:t>
            </w:r>
            <w:r w:rsidR="00F168D7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</w:t>
            </w:r>
          </w:p>
        </w:tc>
        <w:tc>
          <w:tcPr>
            <w:tcW w:w="2835" w:type="dxa"/>
          </w:tcPr>
          <w:p w14:paraId="0203886B" w14:textId="77777777" w:rsidR="00F168D7" w:rsidRPr="00BD0E65" w:rsidRDefault="00F168D7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H</w:t>
            </w:r>
            <w:r w:rsidR="000A5F8A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i</w:t>
            </w: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pot</w:t>
            </w:r>
            <w:r w:rsidR="00EC63A0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enzió</w:t>
            </w:r>
          </w:p>
        </w:tc>
        <w:tc>
          <w:tcPr>
            <w:tcW w:w="1672" w:type="dxa"/>
          </w:tcPr>
          <w:p w14:paraId="5C951C54" w14:textId="77777777" w:rsidR="00F168D7" w:rsidRPr="00BD0E65" w:rsidRDefault="000A5F8A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Gyakori</w:t>
            </w:r>
          </w:p>
        </w:tc>
      </w:tr>
      <w:tr w:rsidR="00F168D7" w:rsidRPr="008D01FB" w14:paraId="19642EBD" w14:textId="77777777" w:rsidTr="00BD0E65">
        <w:tc>
          <w:tcPr>
            <w:tcW w:w="4565" w:type="dxa"/>
          </w:tcPr>
          <w:p w14:paraId="66BCA074" w14:textId="77777777" w:rsidR="00F168D7" w:rsidRPr="00BD0E65" w:rsidRDefault="003247B4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Emésztőrendszeri </w:t>
            </w:r>
            <w:r w:rsidR="00EC63A0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betegségek és tünetek </w:t>
            </w:r>
            <w:r w:rsidR="00F168D7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</w:t>
            </w:r>
          </w:p>
        </w:tc>
        <w:tc>
          <w:tcPr>
            <w:tcW w:w="2835" w:type="dxa"/>
          </w:tcPr>
          <w:p w14:paraId="6D646BF0" w14:textId="77777777" w:rsidR="00F168D7" w:rsidRPr="00BD0E65" w:rsidRDefault="00FE4560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Hányinger</w:t>
            </w:r>
            <w:r w:rsidR="000A5F8A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és hányás</w:t>
            </w:r>
          </w:p>
        </w:tc>
        <w:tc>
          <w:tcPr>
            <w:tcW w:w="1672" w:type="dxa"/>
          </w:tcPr>
          <w:p w14:paraId="408DC24F" w14:textId="77777777" w:rsidR="00F168D7" w:rsidRPr="00BD0E65" w:rsidRDefault="000A5F8A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Gyakori</w:t>
            </w:r>
          </w:p>
        </w:tc>
      </w:tr>
      <w:tr w:rsidR="00F168D7" w:rsidRPr="008D01FB" w14:paraId="21A7AC07" w14:textId="77777777" w:rsidTr="00BD0E65">
        <w:tc>
          <w:tcPr>
            <w:tcW w:w="4565" w:type="dxa"/>
          </w:tcPr>
          <w:p w14:paraId="3361BA90" w14:textId="77777777" w:rsidR="00F168D7" w:rsidRPr="00BD0E65" w:rsidRDefault="003247B4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A bőr és a bőr alatti szövet betegségei</w:t>
            </w:r>
            <w:r w:rsidR="00EC63A0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és tünetei</w:t>
            </w:r>
          </w:p>
        </w:tc>
        <w:tc>
          <w:tcPr>
            <w:tcW w:w="2835" w:type="dxa"/>
          </w:tcPr>
          <w:p w14:paraId="473EFF1A" w14:textId="77777777" w:rsidR="00F168D7" w:rsidRPr="00BD0E65" w:rsidRDefault="000A5F8A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Fényérzékenységi reakció</w:t>
            </w:r>
          </w:p>
        </w:tc>
        <w:tc>
          <w:tcPr>
            <w:tcW w:w="1672" w:type="dxa"/>
          </w:tcPr>
          <w:p w14:paraId="56CD6BA6" w14:textId="77777777" w:rsidR="00F168D7" w:rsidRPr="00BD0E65" w:rsidRDefault="000A5F8A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Nem gyakori</w:t>
            </w:r>
          </w:p>
        </w:tc>
      </w:tr>
      <w:tr w:rsidR="00F168D7" w:rsidRPr="008D01FB" w14:paraId="3E3A39E4" w14:textId="77777777" w:rsidTr="00BD0E65">
        <w:tc>
          <w:tcPr>
            <w:tcW w:w="4565" w:type="dxa"/>
          </w:tcPr>
          <w:p w14:paraId="387F5186" w14:textId="77777777" w:rsidR="00F168D7" w:rsidRPr="00BD0E65" w:rsidRDefault="003247B4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Sérülés, mérgezés és </w:t>
            </w:r>
            <w:r w:rsidR="00EC63A0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a beavatkozással kapcsolatos</w:t>
            </w: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szövődmények</w:t>
            </w:r>
          </w:p>
        </w:tc>
        <w:tc>
          <w:tcPr>
            <w:tcW w:w="2835" w:type="dxa"/>
          </w:tcPr>
          <w:p w14:paraId="07675860" w14:textId="77777777" w:rsidR="00F168D7" w:rsidRPr="00BD0E65" w:rsidRDefault="000A5F8A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Átmeneti láz</w:t>
            </w:r>
            <w:r w:rsidR="00F168D7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</w:t>
            </w:r>
            <w:r w:rsidR="00EC63A0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és</w:t>
            </w:r>
            <w:r w:rsidR="00F168D7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</w:t>
            </w: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vaszkuláris hozzáférési szövődmények</w:t>
            </w:r>
          </w:p>
        </w:tc>
        <w:tc>
          <w:tcPr>
            <w:tcW w:w="1672" w:type="dxa"/>
          </w:tcPr>
          <w:p w14:paraId="22B6146C" w14:textId="77777777" w:rsidR="00F168D7" w:rsidRPr="00BD0E65" w:rsidRDefault="000A5F8A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Gyakori</w:t>
            </w:r>
          </w:p>
        </w:tc>
      </w:tr>
    </w:tbl>
    <w:p w14:paraId="5ACBC4AE" w14:textId="77777777" w:rsidR="00F168D7" w:rsidRPr="008D01FB" w:rsidRDefault="00F168D7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i/>
          <w:sz w:val="22"/>
          <w:szCs w:val="22"/>
          <w:lang w:val="hu-HU"/>
        </w:rPr>
      </w:pPr>
    </w:p>
    <w:p w14:paraId="37E06110" w14:textId="77777777" w:rsidR="005B7B68" w:rsidRPr="008D01FB" w:rsidRDefault="005B7B68" w:rsidP="00BD0E65">
      <w:pPr>
        <w:pStyle w:val="Szvegtrzs"/>
        <w:keepNext/>
        <w:widowControl/>
        <w:tabs>
          <w:tab w:val="left" w:pos="567"/>
        </w:tabs>
        <w:ind w:left="0"/>
        <w:rPr>
          <w:lang w:val="hu-HU"/>
        </w:rPr>
      </w:pPr>
      <w:r w:rsidRPr="008D01FB">
        <w:rPr>
          <w:u w:val="single" w:color="000000"/>
          <w:lang w:val="hu-HU"/>
        </w:rPr>
        <w:t>Feltételezett mellékhatások bejelentése</w:t>
      </w:r>
    </w:p>
    <w:p w14:paraId="35F881BF" w14:textId="77777777" w:rsidR="005B7B68" w:rsidRPr="008D01FB" w:rsidRDefault="005B7B68" w:rsidP="00BD0E65">
      <w:pPr>
        <w:pStyle w:val="Szvegtrzs"/>
        <w:keepNext/>
        <w:widowControl/>
        <w:tabs>
          <w:tab w:val="left" w:pos="567"/>
        </w:tabs>
        <w:ind w:left="0"/>
        <w:rPr>
          <w:lang w:val="hu-HU"/>
        </w:rPr>
      </w:pPr>
      <w:r w:rsidRPr="008D01FB">
        <w:rPr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0">
        <w:r w:rsidRPr="008D01FB">
          <w:rPr>
            <w:color w:val="0000FF"/>
            <w:shd w:val="clear" w:color="auto" w:fill="BFBFBF"/>
            <w:lang w:val="hu-HU"/>
          </w:rPr>
          <w:t>V. függelékben</w:t>
        </w:r>
      </w:hyperlink>
      <w:r w:rsidRPr="008D01FB">
        <w:rPr>
          <w:color w:val="0000FF"/>
          <w:shd w:val="clear" w:color="auto" w:fill="BFBFBF"/>
          <w:lang w:val="hu-HU"/>
        </w:rPr>
        <w:t xml:space="preserve"> </w:t>
      </w:r>
      <w:r w:rsidRPr="008D01FB">
        <w:rPr>
          <w:shd w:val="clear" w:color="auto" w:fill="BFBFBF"/>
          <w:lang w:val="hu-HU"/>
        </w:rPr>
        <w:t>található elérhetőségek valamelyikén keresztül.</w:t>
      </w:r>
    </w:p>
    <w:p w14:paraId="3842D790" w14:textId="77777777" w:rsidR="000A5F8A" w:rsidRPr="008D01FB" w:rsidRDefault="000A5F8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75470A6" w14:textId="77777777" w:rsidR="000A065B" w:rsidRPr="00BD0E65" w:rsidRDefault="00443929" w:rsidP="00BD0E65">
      <w:pPr>
        <w:numPr>
          <w:ilvl w:val="1"/>
          <w:numId w:val="2"/>
        </w:numPr>
        <w:tabs>
          <w:tab w:val="clear" w:pos="36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8D01FB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b/>
          <w:bCs/>
          <w:sz w:val="22"/>
          <w:szCs w:val="22"/>
          <w:lang w:val="hu-HU"/>
        </w:rPr>
        <w:t>Túladagolás</w:t>
      </w:r>
    </w:p>
    <w:p w14:paraId="7D727920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2B9DC553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Az állatkísérletek széles biztonsági sávot mutatnak, és veszélyes túladagolás rendkívül ritkán fordul elő.</w:t>
      </w:r>
    </w:p>
    <w:p w14:paraId="5EA7CF00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6BD28A3" w14:textId="4C691212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Bár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szel kapcsolatban nincs túladagolással kapcsolatos humán tapasztalat, az orvosi irodalomban egy esetben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számoltak be </w:t>
      </w:r>
      <w:r w:rsidR="00101695" w:rsidRPr="00BD0E65">
        <w:rPr>
          <w:rFonts w:ascii="Times New Roman" w:hAnsi="Times New Roman"/>
          <w:sz w:val="22"/>
          <w:szCs w:val="22"/>
          <w:lang w:val="hu-HU"/>
        </w:rPr>
        <w:t xml:space="preserve">per os </w:t>
      </w:r>
      <w:r w:rsidRPr="00BD0E65">
        <w:rPr>
          <w:rFonts w:ascii="Times New Roman" w:hAnsi="Times New Roman"/>
          <w:sz w:val="22"/>
          <w:szCs w:val="22"/>
          <w:lang w:val="hu-HU"/>
        </w:rPr>
        <w:t>metoxalén túladagolásról. Egy 25 éves nő 85</w:t>
      </w:r>
      <w:r w:rsidR="00C93101">
        <w:rPr>
          <w:rFonts w:ascii="Times New Roman" w:hAnsi="Times New Roman"/>
          <w:sz w:val="22"/>
          <w:szCs w:val="22"/>
          <w:lang w:val="hu-HU"/>
        </w:rPr>
        <w:t> </w:t>
      </w:r>
      <w:r w:rsidRPr="00BD0E65">
        <w:rPr>
          <w:rFonts w:ascii="Times New Roman" w:hAnsi="Times New Roman"/>
          <w:sz w:val="22"/>
          <w:szCs w:val="22"/>
          <w:lang w:val="hu-HU"/>
        </w:rPr>
        <w:t>mg/ttkg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nak megfelelő mennyiségű metoxalént vett be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(ez a metoxalén </w:t>
      </w:r>
      <w:r w:rsidR="005B5C63" w:rsidRPr="00BD0E65">
        <w:rPr>
          <w:rFonts w:ascii="Times New Roman" w:hAnsi="Times New Roman"/>
          <w:i/>
          <w:sz w:val="22"/>
          <w:szCs w:val="22"/>
          <w:lang w:val="hu-HU"/>
        </w:rPr>
        <w:t>per os</w:t>
      </w:r>
      <w:r w:rsidR="005B5C6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terápiás dózis 140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szeresének felel meg). A mérgezés fő tünetei a hányinger, a hányás és a szédülés</w:t>
      </w:r>
      <w:r w:rsidR="005B7B68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voltak. A beteget elsötétített szobában tartották, kardiovaszkuláris funkcióit monitorozták. Minden utólagos következmény nélkül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gyógyult, és felvétele után 36 órával elhagyhatta a kórházat.</w:t>
      </w:r>
    </w:p>
    <w:p w14:paraId="01CCD5CD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2A32D21F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Metoxalén túladagolás esetén a beteget legalább 24 órán keresztül besötétített szobában kell tartani.</w:t>
      </w:r>
    </w:p>
    <w:p w14:paraId="7AB3AF06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A4E8020" w14:textId="77777777" w:rsidR="00443929" w:rsidRPr="00BD0E65" w:rsidRDefault="00631537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color w:val="000000"/>
          <w:sz w:val="22"/>
          <w:szCs w:val="22"/>
          <w:lang w:val="hu-HU"/>
        </w:rPr>
        <w:t xml:space="preserve">A THERAKOS CELLEX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készüléket úgy tervezték, hogy optimális szintű UV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A sugárzást bocsásson ki a leukocitában gazdag vérfrakcióba,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a vérgyűjtés végén másfél órára beállított UV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A sugárzási idő mellett. Ha a leukocitában gazdag vérfrakció UV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A sugárzását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több mint 30 perccel túllépik, a fotoaktivált sejteket nem szabad visszajuttatni a betegbe.</w:t>
      </w:r>
    </w:p>
    <w:p w14:paraId="10962AB6" w14:textId="77777777" w:rsidR="005B7B68" w:rsidRPr="00BD0E65" w:rsidRDefault="005B7B68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BF14ED9" w14:textId="77777777" w:rsidR="005B7B68" w:rsidRPr="00BD0E65" w:rsidRDefault="005B7B68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236AC6A8" w14:textId="5FBF50F9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5</w:t>
      </w:r>
      <w:r w:rsidR="0093662C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443929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FARMAKOLÓGIAI TULAJDONSÁGOK</w:t>
      </w:r>
    </w:p>
    <w:p w14:paraId="5253DD31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659898C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5.1 </w:t>
      </w:r>
      <w:r w:rsidR="00443929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Farmakodinámiás tulajdonságok</w:t>
      </w:r>
    </w:p>
    <w:p w14:paraId="63FEBD83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EB93BF5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Farmakoterápiás csoport: antineoplasztikus és immunomoduláló szerek</w:t>
      </w:r>
      <w:r w:rsidR="000A5F8A" w:rsidRPr="00BD0E65">
        <w:rPr>
          <w:rFonts w:ascii="Times New Roman" w:hAnsi="Times New Roman"/>
          <w:sz w:val="22"/>
          <w:szCs w:val="22"/>
          <w:lang w:val="hu-HU"/>
        </w:rPr>
        <w:t>. ATC-kód: LO3AX</w:t>
      </w:r>
    </w:p>
    <w:p w14:paraId="633DF906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B873EE8" w14:textId="77777777" w:rsidR="000A5F8A" w:rsidRPr="00BD0E65" w:rsidRDefault="000A5F8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Hatásmechanizmus</w:t>
      </w:r>
    </w:p>
    <w:p w14:paraId="6E85416A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 metoxalén fotoszenzitizáló szer, mely főleg az epidermális sejtekben akkumulálódik.</w:t>
      </w:r>
    </w:p>
    <w:p w14:paraId="092B785F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3B58789" w14:textId="75E71FF7" w:rsidR="000A5F8A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Bár a fotokemoterápiát már évek óta alkalmazzák, még nem pontosan ismert, hogy a kezelés milyen mechanizmus útján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hat. Bár még nem határozták meg pontosan a hatásmechanizmusát, általánosan elfogadott, hogy az a molekuláris folyamat,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ami az apoptotikus sejtek elhalását eredményezi, magába foglalja a metoxalén beépülését a sejtmagban lévő DNS kettős</w:t>
      </w:r>
      <w:r w:rsidR="00D31581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spiráljába. A beépülési folyamat során keletkező nukleinsav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furokumarin komplexben gyenge kötések vannak, mint például a van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der Waals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kötés, a 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h</w:t>
      </w:r>
      <w:r w:rsidR="005B5C63" w:rsidRPr="00BD0E65">
        <w:rPr>
          <w:rFonts w:ascii="Times New Roman" w:hAnsi="Times New Roman"/>
          <w:sz w:val="22"/>
          <w:szCs w:val="22"/>
          <w:lang w:val="hu-HU"/>
        </w:rPr>
        <w:t>i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drog</w:t>
      </w:r>
      <w:r w:rsidR="005B5C63" w:rsidRPr="00BD0E65">
        <w:rPr>
          <w:rFonts w:ascii="Times New Roman" w:hAnsi="Times New Roman"/>
          <w:sz w:val="22"/>
          <w:szCs w:val="22"/>
          <w:lang w:val="hu-HU"/>
        </w:rPr>
        <w:t>é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n-</w:t>
      </w:r>
      <w:r w:rsidRPr="00BD0E65">
        <w:rPr>
          <w:rFonts w:ascii="Times New Roman" w:hAnsi="Times New Roman"/>
          <w:sz w:val="22"/>
          <w:szCs w:val="22"/>
          <w:lang w:val="hu-HU"/>
        </w:rPr>
        <w:t>kötés és hidrofil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kötések. Kialakulásuk könnyen megfordítható, és fotóaktiváció hiányában nincs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farmakológiai következményük. Ugyanakkor azonban UV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A fénnyel történő aktiválás során a metoxalén kötődik a pirimidin</w:t>
      </w:r>
      <w:r w:rsidR="00C93101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alapú nukleinsavhoz (timin, citozin és uracil), és kovalens </w:t>
      </w:r>
      <w:r w:rsidRPr="00BD0E65">
        <w:rPr>
          <w:rFonts w:ascii="Times New Roman" w:hAnsi="Times New Roman"/>
          <w:sz w:val="22"/>
          <w:szCs w:val="22"/>
          <w:lang w:val="hu-HU"/>
        </w:rPr>
        <w:lastRenderedPageBreak/>
        <w:t>keresztkötéseket alkot a DNS két spirálja között. A reakció néhány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mikroszekundum alatt lezajlik, és a sugárzás kikapcsolásakor az aktív hatóanyag azonnal nyugvó állapotba tér vissza. </w:t>
      </w:r>
    </w:p>
    <w:p w14:paraId="461D875C" w14:textId="77777777" w:rsidR="000A5F8A" w:rsidRPr="00BD0E65" w:rsidRDefault="000A5F8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5DEA02C" w14:textId="3E5EAE30" w:rsidR="000A5F8A" w:rsidRPr="00BD0E65" w:rsidRDefault="000A5F8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Farmakodin</w:t>
      </w:r>
      <w:r w:rsidR="001C55D9" w:rsidRPr="00BD0E65">
        <w:rPr>
          <w:rFonts w:ascii="Times New Roman" w:hAnsi="Times New Roman"/>
          <w:sz w:val="22"/>
          <w:szCs w:val="22"/>
          <w:u w:val="single"/>
          <w:lang w:val="hu-HU"/>
        </w:rPr>
        <w:t>á</w:t>
      </w: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mi</w:t>
      </w:r>
      <w:r w:rsidR="001C55D9" w:rsidRPr="00BD0E65">
        <w:rPr>
          <w:rFonts w:ascii="Times New Roman" w:hAnsi="Times New Roman"/>
          <w:sz w:val="22"/>
          <w:szCs w:val="22"/>
          <w:u w:val="single"/>
          <w:lang w:val="hu-HU"/>
        </w:rPr>
        <w:t>á</w:t>
      </w: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s hatások</w:t>
      </w:r>
    </w:p>
    <w:p w14:paraId="78B3AA52" w14:textId="77777777" w:rsidR="000A065B" w:rsidRPr="00BD0E65" w:rsidRDefault="000A5F8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fényérzékenyített anyagoknak (fotoadduktumok) a kialakulása a limfociták proliferációjának leállását, és körülbelül 72 órán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belül pusztulásukat eredményezik. Ez a T-sejtekre kifejtett azonnali hatás alkalmasint elhanyagolható a terápiás hatásossághoz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képest. Egyre nagyobb mennyiségű bizonyíték van arra, hogy a fotoferézis immunmodulátorként szerepel, és ezzel fokozza a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szisztémás daganatellenes választ.</w:t>
      </w:r>
    </w:p>
    <w:p w14:paraId="1F9A1330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4DED49A" w14:textId="77777777" w:rsidR="000A5F8A" w:rsidRPr="00BD0E65" w:rsidRDefault="000A5F8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Klinikai hat</w:t>
      </w:r>
      <w:r w:rsidR="00EC63A0" w:rsidRPr="00BD0E65">
        <w:rPr>
          <w:rFonts w:ascii="Times New Roman" w:hAnsi="Times New Roman"/>
          <w:sz w:val="22"/>
          <w:szCs w:val="22"/>
          <w:u w:val="single"/>
          <w:lang w:val="hu-HU"/>
        </w:rPr>
        <w:t>ásosság</w:t>
      </w: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 és biztonságosság</w:t>
      </w:r>
    </w:p>
    <w:p w14:paraId="238F12AE" w14:textId="514D4D30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hatásosságát egyetlen egykaros, kontrollálatlan, nyílt, multicentrikus, 51 betegen elvégzett vizsgálat bizonyítja.</w:t>
      </w:r>
      <w:r w:rsidR="00D31581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Kizárták a vizsgálatból azokat a betegeket, akiknek 5</w:t>
      </w:r>
      <w:r w:rsidR="00C93101">
        <w:rPr>
          <w:rFonts w:ascii="Times New Roman" w:hAnsi="Times New Roman"/>
          <w:sz w:val="22"/>
          <w:szCs w:val="22"/>
          <w:lang w:val="hu-HU"/>
        </w:rPr>
        <w:t> </w:t>
      </w:r>
      <w:r w:rsidRPr="00BD0E65">
        <w:rPr>
          <w:rFonts w:ascii="Times New Roman" w:hAnsi="Times New Roman"/>
          <w:sz w:val="22"/>
          <w:szCs w:val="22"/>
          <w:lang w:val="hu-HU"/>
        </w:rPr>
        <w:t>mm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es, vagy ennél nagyobb átmérőjű daganata volt, illetve akiknek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klinikailag igazolt májat, lépet, csontvelőt vagy egyéb belső szervet érintő CTCL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e volt. A bevezető hat hónapos kezelés során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az 51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ből 17 betegnél (33%) volt adekvát klinikai válasz. Az adekvát klinikai válasz definíciója a 4.2 fejezetben található.</w:t>
      </w:r>
    </w:p>
    <w:p w14:paraId="42CC6511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64E1E6F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5.2 </w:t>
      </w:r>
      <w:r w:rsidR="00443929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Farmakokinetikai tulajdonságok</w:t>
      </w:r>
    </w:p>
    <w:p w14:paraId="6DF25952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05598632" w14:textId="77777777" w:rsidR="005B7B68" w:rsidRPr="008D01FB" w:rsidRDefault="005B7B68" w:rsidP="00BD0E65">
      <w:pPr>
        <w:pStyle w:val="Szvegtrzs"/>
        <w:tabs>
          <w:tab w:val="left" w:pos="567"/>
        </w:tabs>
        <w:ind w:left="0"/>
        <w:rPr>
          <w:u w:val="single" w:color="000000"/>
          <w:lang w:val="hu-HU"/>
        </w:rPr>
      </w:pPr>
      <w:r w:rsidRPr="008D01FB">
        <w:rPr>
          <w:u w:val="single" w:color="000000"/>
          <w:lang w:val="hu-HU"/>
        </w:rPr>
        <w:t>Felszívódás</w:t>
      </w:r>
    </w:p>
    <w:p w14:paraId="340AFE7F" w14:textId="1D971DE8" w:rsidR="000A065B" w:rsidRPr="008D01FB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8D01FB">
        <w:rPr>
          <w:rFonts w:ascii="Times New Roman" w:hAnsi="Times New Roman"/>
          <w:sz w:val="22"/>
          <w:szCs w:val="22"/>
          <w:lang w:val="hu-HU"/>
        </w:rPr>
        <w:t>Az intravénásan alkalmazott metoxalén farmakokinetikáját egészséges önkéntesek három csoportjánál vizsgálták, akik</w:t>
      </w:r>
      <w:r w:rsidR="00443929" w:rsidRPr="008D01FB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8D01FB">
        <w:rPr>
          <w:rFonts w:ascii="Times New Roman" w:hAnsi="Times New Roman"/>
          <w:sz w:val="22"/>
          <w:szCs w:val="22"/>
          <w:lang w:val="hu-HU"/>
        </w:rPr>
        <w:t>60 perces infúzióban 5, 10, illetve 15 mg metoxalént kaptak. A metoxalén farmakokinetikáját legjobban egy háromrekeszes</w:t>
      </w:r>
      <w:r w:rsidR="00443929" w:rsidRPr="008D01FB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8D01FB">
        <w:rPr>
          <w:rFonts w:ascii="Times New Roman" w:hAnsi="Times New Roman"/>
          <w:sz w:val="22"/>
          <w:szCs w:val="22"/>
          <w:lang w:val="hu-HU"/>
        </w:rPr>
        <w:t>emlős modell írja le, melyben a mennyiségek és a clearance</w:t>
      </w:r>
      <w:r w:rsidR="00443929" w:rsidRPr="008D01FB">
        <w:rPr>
          <w:rFonts w:ascii="Times New Roman" w:hAnsi="Times New Roman"/>
          <w:sz w:val="22"/>
          <w:szCs w:val="22"/>
          <w:lang w:val="hu-HU"/>
        </w:rPr>
        <w:t>-</w:t>
      </w:r>
      <w:r w:rsidRPr="008D01FB">
        <w:rPr>
          <w:rFonts w:ascii="Times New Roman" w:hAnsi="Times New Roman"/>
          <w:sz w:val="22"/>
          <w:szCs w:val="22"/>
          <w:lang w:val="hu-HU"/>
        </w:rPr>
        <w:t>ek arányosak voltak a testsúllyal. Az átlagos farmakokinetikai</w:t>
      </w:r>
      <w:r w:rsidR="00647B06" w:rsidRPr="008D01FB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8D01FB">
        <w:rPr>
          <w:rFonts w:ascii="Times New Roman" w:hAnsi="Times New Roman"/>
          <w:sz w:val="22"/>
          <w:szCs w:val="22"/>
          <w:lang w:val="hu-HU"/>
        </w:rPr>
        <w:t>paramétereket az alábbi ábra szemlélteti.</w:t>
      </w:r>
    </w:p>
    <w:p w14:paraId="622A8781" w14:textId="77777777" w:rsidR="0093662C" w:rsidRPr="008D01FB" w:rsidRDefault="0093662C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2A40D6EE" w14:textId="4962FD3C" w:rsidR="00EB5BBB" w:rsidRPr="008D01FB" w:rsidRDefault="00EB5BB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8D01FB">
        <w:rPr>
          <w:rFonts w:ascii="Times New Roman" w:hAnsi="Times New Roman"/>
          <w:b/>
          <w:bCs/>
          <w:sz w:val="22"/>
          <w:szCs w:val="22"/>
          <w:lang w:val="hu-HU"/>
        </w:rPr>
        <w:t>Intravénásan alkalmazott metoxalén farmakokinetikai tulajdonságainak összefoglaló táblázata</w:t>
      </w:r>
    </w:p>
    <w:tbl>
      <w:tblPr>
        <w:tblW w:w="900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296"/>
        <w:gridCol w:w="1476"/>
        <w:gridCol w:w="1476"/>
        <w:gridCol w:w="1476"/>
        <w:gridCol w:w="1476"/>
      </w:tblGrid>
      <w:tr w:rsidR="00443929" w:rsidRPr="008D01FB" w14:paraId="479952FE" w14:textId="77777777">
        <w:trPr>
          <w:jc w:val="center"/>
        </w:trPr>
        <w:tc>
          <w:tcPr>
            <w:tcW w:w="1800" w:type="dxa"/>
            <w:tcBorders>
              <w:bottom w:val="double" w:sz="4" w:space="0" w:color="auto"/>
            </w:tcBorders>
          </w:tcPr>
          <w:p w14:paraId="14822C20" w14:textId="77777777" w:rsidR="00443929" w:rsidRPr="008D01FB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</w:p>
        </w:tc>
        <w:tc>
          <w:tcPr>
            <w:tcW w:w="1296" w:type="dxa"/>
            <w:tcBorders>
              <w:bottom w:val="double" w:sz="4" w:space="0" w:color="auto"/>
            </w:tcBorders>
          </w:tcPr>
          <w:p w14:paraId="60E37BEC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vertAlign w:val="subscript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C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vertAlign w:val="subscript"/>
                <w:lang w:val="hu-HU"/>
              </w:rPr>
              <w:t>max</w:t>
            </w:r>
          </w:p>
          <w:p w14:paraId="121604B3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(ng ml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hu-HU"/>
              </w:rPr>
              <w:t>-1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)</w:t>
            </w:r>
          </w:p>
        </w:tc>
        <w:tc>
          <w:tcPr>
            <w:tcW w:w="1476" w:type="dxa"/>
            <w:tcBorders>
              <w:bottom w:val="double" w:sz="4" w:space="0" w:color="auto"/>
            </w:tcBorders>
          </w:tcPr>
          <w:p w14:paraId="71BEF315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AUC</w:t>
            </w:r>
          </w:p>
          <w:p w14:paraId="45806557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(ng ml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hu-HU"/>
              </w:rPr>
              <w:t>-1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 xml:space="preserve"> min)</w:t>
            </w:r>
          </w:p>
        </w:tc>
        <w:tc>
          <w:tcPr>
            <w:tcW w:w="1476" w:type="dxa"/>
            <w:tcBorders>
              <w:bottom w:val="double" w:sz="4" w:space="0" w:color="auto"/>
            </w:tcBorders>
          </w:tcPr>
          <w:p w14:paraId="69BC860E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Klaring</w:t>
            </w:r>
          </w:p>
          <w:p w14:paraId="006FC3EC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(l kg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hu-HU"/>
              </w:rPr>
              <w:t>-1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 xml:space="preserve"> min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hu-HU"/>
              </w:rPr>
              <w:t>-1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)</w:t>
            </w:r>
          </w:p>
        </w:tc>
        <w:tc>
          <w:tcPr>
            <w:tcW w:w="1476" w:type="dxa"/>
            <w:tcBorders>
              <w:bottom w:val="double" w:sz="4" w:space="0" w:color="auto"/>
            </w:tcBorders>
          </w:tcPr>
          <w:p w14:paraId="5ABBD95F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MRT</w:t>
            </w:r>
          </w:p>
          <w:p w14:paraId="738F0AE5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(min)</w:t>
            </w:r>
          </w:p>
        </w:tc>
        <w:tc>
          <w:tcPr>
            <w:tcW w:w="1476" w:type="dxa"/>
            <w:tcBorders>
              <w:bottom w:val="double" w:sz="4" w:space="0" w:color="auto"/>
            </w:tcBorders>
          </w:tcPr>
          <w:p w14:paraId="51A1E262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V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vertAlign w:val="subscript"/>
                <w:lang w:val="hu-HU"/>
              </w:rPr>
              <w:t>ss</w:t>
            </w:r>
          </w:p>
          <w:p w14:paraId="4A76B8B8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(l kg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hu-HU"/>
              </w:rPr>
              <w:t>-1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)</w:t>
            </w:r>
          </w:p>
        </w:tc>
      </w:tr>
      <w:tr w:rsidR="00443929" w:rsidRPr="008D01FB" w14:paraId="64E6D512" w14:textId="77777777">
        <w:trPr>
          <w:jc w:val="center"/>
        </w:trPr>
        <w:tc>
          <w:tcPr>
            <w:tcW w:w="1800" w:type="dxa"/>
            <w:tcBorders>
              <w:top w:val="nil"/>
              <w:bottom w:val="nil"/>
            </w:tcBorders>
          </w:tcPr>
          <w:p w14:paraId="6011C68B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5 mg-os adag (n=6)</w:t>
            </w:r>
          </w:p>
        </w:tc>
        <w:tc>
          <w:tcPr>
            <w:tcW w:w="1296" w:type="dxa"/>
            <w:tcBorders>
              <w:top w:val="nil"/>
              <w:bottom w:val="nil"/>
            </w:tcBorders>
          </w:tcPr>
          <w:p w14:paraId="24FAAE65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400121BF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06787A0D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56EEFA25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28FF4AD7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</w:tr>
      <w:tr w:rsidR="00443929" w:rsidRPr="008D01FB" w14:paraId="53EF91F0" w14:textId="77777777">
        <w:trPr>
          <w:jc w:val="center"/>
        </w:trPr>
        <w:tc>
          <w:tcPr>
            <w:tcW w:w="1800" w:type="dxa"/>
            <w:tcBorders>
              <w:top w:val="nil"/>
              <w:bottom w:val="nil"/>
            </w:tcBorders>
          </w:tcPr>
          <w:p w14:paraId="068911DF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átlag</w:t>
            </w:r>
          </w:p>
        </w:tc>
        <w:tc>
          <w:tcPr>
            <w:tcW w:w="1296" w:type="dxa"/>
            <w:tcBorders>
              <w:top w:val="nil"/>
              <w:bottom w:val="nil"/>
            </w:tcBorders>
          </w:tcPr>
          <w:p w14:paraId="537F54ED" w14:textId="77777777" w:rsidR="00443929" w:rsidRPr="00BD0E65" w:rsidRDefault="00D31581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60,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2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56E9FBC9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4756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696D393D" w14:textId="77777777" w:rsidR="00443929" w:rsidRPr="00BD0E65" w:rsidRDefault="00D31581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012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1E39D698" w14:textId="77777777" w:rsidR="00443929" w:rsidRPr="00BD0E65" w:rsidRDefault="00D31581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2BEA3B3E" w14:textId="77777777" w:rsidR="00443929" w:rsidRPr="00BD0E65" w:rsidRDefault="00D31581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52</w:t>
            </w:r>
          </w:p>
        </w:tc>
      </w:tr>
      <w:tr w:rsidR="00443929" w:rsidRPr="008D01FB" w14:paraId="2C67217F" w14:textId="77777777">
        <w:trPr>
          <w:jc w:val="center"/>
        </w:trPr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14:paraId="28BE8AEA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s.d.</w:t>
            </w:r>
          </w:p>
        </w:tc>
        <w:tc>
          <w:tcPr>
            <w:tcW w:w="1296" w:type="dxa"/>
            <w:tcBorders>
              <w:top w:val="nil"/>
              <w:bottom w:val="single" w:sz="4" w:space="0" w:color="auto"/>
            </w:tcBorders>
          </w:tcPr>
          <w:p w14:paraId="30E40DF9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10</w:t>
            </w:r>
            <w:r w:rsidR="00D31581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37F8D091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978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5F660C9C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0035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68FEB6E1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35,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0EBAB965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  <w:r w:rsidR="00D31581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022</w:t>
            </w:r>
          </w:p>
        </w:tc>
      </w:tr>
      <w:tr w:rsidR="00443929" w:rsidRPr="008D01FB" w14:paraId="2395A818" w14:textId="77777777">
        <w:trPr>
          <w:jc w:val="center"/>
        </w:trPr>
        <w:tc>
          <w:tcPr>
            <w:tcW w:w="1800" w:type="dxa"/>
            <w:tcBorders>
              <w:top w:val="single" w:sz="4" w:space="0" w:color="auto"/>
              <w:bottom w:val="nil"/>
            </w:tcBorders>
          </w:tcPr>
          <w:p w14:paraId="0B7CDBC2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10 mg-os adag (n=6)</w:t>
            </w:r>
          </w:p>
        </w:tc>
        <w:tc>
          <w:tcPr>
            <w:tcW w:w="1296" w:type="dxa"/>
            <w:tcBorders>
              <w:top w:val="single" w:sz="4" w:space="0" w:color="auto"/>
              <w:bottom w:val="nil"/>
            </w:tcBorders>
          </w:tcPr>
          <w:p w14:paraId="5007540D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single" w:sz="4" w:space="0" w:color="auto"/>
              <w:bottom w:val="nil"/>
            </w:tcBorders>
          </w:tcPr>
          <w:p w14:paraId="443067DD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single" w:sz="4" w:space="0" w:color="auto"/>
              <w:bottom w:val="nil"/>
            </w:tcBorders>
          </w:tcPr>
          <w:p w14:paraId="100D6DC4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single" w:sz="4" w:space="0" w:color="auto"/>
              <w:bottom w:val="nil"/>
            </w:tcBorders>
          </w:tcPr>
          <w:p w14:paraId="6E38C1EE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single" w:sz="4" w:space="0" w:color="auto"/>
              <w:bottom w:val="nil"/>
            </w:tcBorders>
          </w:tcPr>
          <w:p w14:paraId="1274BD7A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</w:tr>
      <w:tr w:rsidR="00443929" w:rsidRPr="008D01FB" w14:paraId="6BC35ED4" w14:textId="77777777">
        <w:trPr>
          <w:jc w:val="center"/>
        </w:trPr>
        <w:tc>
          <w:tcPr>
            <w:tcW w:w="1800" w:type="dxa"/>
            <w:tcBorders>
              <w:top w:val="nil"/>
              <w:bottom w:val="nil"/>
            </w:tcBorders>
          </w:tcPr>
          <w:p w14:paraId="3F5E7217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átlag</w:t>
            </w:r>
          </w:p>
        </w:tc>
        <w:tc>
          <w:tcPr>
            <w:tcW w:w="1296" w:type="dxa"/>
            <w:tcBorders>
              <w:top w:val="nil"/>
              <w:bottom w:val="nil"/>
            </w:tcBorders>
          </w:tcPr>
          <w:p w14:paraId="254BC03D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138,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7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661A9C81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11626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25F2F17B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011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7426D5BF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56,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10E2E6F7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61</w:t>
            </w:r>
          </w:p>
        </w:tc>
      </w:tr>
      <w:tr w:rsidR="00443929" w:rsidRPr="008D01FB" w14:paraId="4007A359" w14:textId="77777777">
        <w:trPr>
          <w:jc w:val="center"/>
        </w:trPr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14:paraId="4119E7B2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s.d.</w:t>
            </w:r>
          </w:p>
        </w:tc>
        <w:tc>
          <w:tcPr>
            <w:tcW w:w="1296" w:type="dxa"/>
            <w:tcBorders>
              <w:top w:val="nil"/>
              <w:bottom w:val="single" w:sz="4" w:space="0" w:color="auto"/>
            </w:tcBorders>
          </w:tcPr>
          <w:p w14:paraId="19DA7B19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33</w:t>
            </w:r>
            <w:r w:rsidR="00D31581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6DB122FB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3366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3F97DA2A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0018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3F995526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16</w:t>
            </w:r>
            <w:r w:rsidR="00D31581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78646F1D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  <w:r w:rsidR="00D31581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09</w:t>
            </w:r>
          </w:p>
        </w:tc>
      </w:tr>
      <w:tr w:rsidR="00443929" w:rsidRPr="008D01FB" w14:paraId="7517885C" w14:textId="77777777">
        <w:trPr>
          <w:jc w:val="center"/>
        </w:trPr>
        <w:tc>
          <w:tcPr>
            <w:tcW w:w="1800" w:type="dxa"/>
            <w:tcBorders>
              <w:top w:val="single" w:sz="4" w:space="0" w:color="auto"/>
              <w:bottom w:val="nil"/>
            </w:tcBorders>
          </w:tcPr>
          <w:p w14:paraId="001251E5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15 mg-os adag (n=6)</w:t>
            </w:r>
          </w:p>
        </w:tc>
        <w:tc>
          <w:tcPr>
            <w:tcW w:w="1296" w:type="dxa"/>
            <w:tcBorders>
              <w:top w:val="single" w:sz="4" w:space="0" w:color="auto"/>
              <w:bottom w:val="nil"/>
            </w:tcBorders>
          </w:tcPr>
          <w:p w14:paraId="59DC7962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single" w:sz="4" w:space="0" w:color="auto"/>
              <w:bottom w:val="nil"/>
            </w:tcBorders>
          </w:tcPr>
          <w:p w14:paraId="7A299178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single" w:sz="4" w:space="0" w:color="auto"/>
              <w:bottom w:val="nil"/>
            </w:tcBorders>
          </w:tcPr>
          <w:p w14:paraId="27BEB383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single" w:sz="4" w:space="0" w:color="auto"/>
              <w:bottom w:val="nil"/>
            </w:tcBorders>
          </w:tcPr>
          <w:p w14:paraId="59F97970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single" w:sz="4" w:space="0" w:color="auto"/>
              <w:bottom w:val="nil"/>
            </w:tcBorders>
          </w:tcPr>
          <w:p w14:paraId="52B49727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</w:tr>
      <w:tr w:rsidR="00443929" w:rsidRPr="008D01FB" w14:paraId="5E967B56" w14:textId="77777777">
        <w:trPr>
          <w:jc w:val="center"/>
        </w:trPr>
        <w:tc>
          <w:tcPr>
            <w:tcW w:w="1800" w:type="dxa"/>
            <w:tcBorders>
              <w:top w:val="nil"/>
              <w:bottom w:val="nil"/>
            </w:tcBorders>
          </w:tcPr>
          <w:p w14:paraId="22D71F6B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átlag</w:t>
            </w:r>
          </w:p>
        </w:tc>
        <w:tc>
          <w:tcPr>
            <w:tcW w:w="1296" w:type="dxa"/>
            <w:tcBorders>
              <w:top w:val="nil"/>
              <w:bottom w:val="nil"/>
            </w:tcBorders>
          </w:tcPr>
          <w:p w14:paraId="31DD1839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195,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09F72012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16340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68961273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014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604EC3A8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58,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48B4E3DD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81</w:t>
            </w:r>
          </w:p>
        </w:tc>
      </w:tr>
      <w:tr w:rsidR="00443929" w:rsidRPr="008D01FB" w14:paraId="038D4580" w14:textId="77777777">
        <w:trPr>
          <w:jc w:val="center"/>
        </w:trPr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14:paraId="4E067B37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s.d.</w:t>
            </w:r>
          </w:p>
        </w:tc>
        <w:tc>
          <w:tcPr>
            <w:tcW w:w="1296" w:type="dxa"/>
            <w:tcBorders>
              <w:top w:val="nil"/>
              <w:bottom w:val="single" w:sz="4" w:space="0" w:color="auto"/>
            </w:tcBorders>
          </w:tcPr>
          <w:p w14:paraId="69B1D92D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89</w:t>
            </w:r>
            <w:r w:rsidR="00D31581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2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66E57846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8474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0C4408F9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0034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2918EF62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23,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9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3CA43B8C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34</w:t>
            </w:r>
          </w:p>
        </w:tc>
      </w:tr>
    </w:tbl>
    <w:p w14:paraId="5DAFF898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2E0C8CB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szel végzett klinikai vizsgálatban a metoxalén plazmakoncentrációja 30 perccel a fotoaktivált sejtek reinfúziója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után a 754 mért minta 82%-ában 10 ng/ml alatt volt. A plazma átlagos metoxalén szintje körülbelül 25 ng/ml volt.</w:t>
      </w:r>
    </w:p>
    <w:p w14:paraId="4483EAF6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3D9C9B2" w14:textId="77777777" w:rsidR="00A05F54" w:rsidRPr="00BD0E65" w:rsidRDefault="005B7B68" w:rsidP="00BD0E65">
      <w:pPr>
        <w:pStyle w:val="Szvegtrzs"/>
        <w:tabs>
          <w:tab w:val="left" w:pos="567"/>
        </w:tabs>
        <w:ind w:left="0"/>
        <w:rPr>
          <w:u w:val="single"/>
          <w:lang w:val="hu-HU"/>
        </w:rPr>
      </w:pPr>
      <w:r w:rsidRPr="008D01FB">
        <w:rPr>
          <w:u w:val="single" w:color="000000"/>
          <w:lang w:val="hu-HU"/>
        </w:rPr>
        <w:t>Eloszlás</w:t>
      </w:r>
      <w:r w:rsidR="000A065B" w:rsidRPr="00BD0E65">
        <w:rPr>
          <w:u w:val="single"/>
          <w:lang w:val="hu-HU"/>
        </w:rPr>
        <w:t xml:space="preserve">: </w:t>
      </w:r>
    </w:p>
    <w:p w14:paraId="2591186F" w14:textId="7599CA39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Az autoradiográfiás vizsgálatok eredményei azt mutatják, hogy patkányokban a pszoralén bejut a szervek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többségébe, de a kötődés rövid idejűnek és reverzibilisnek tűnik. További patkánykísérletekben az aktív hatóanyag legnagyobb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koncentrációban a májban, a vesékben és a zsírban/izomban mutatható ki 3:1 arányban. A humán albuminhoz való kötődése</w:t>
      </w:r>
      <w:r w:rsidR="00C93101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magas (80–90%).</w:t>
      </w:r>
    </w:p>
    <w:p w14:paraId="2F27926B" w14:textId="77777777" w:rsidR="00C12FD7" w:rsidRPr="00BD0E65" w:rsidRDefault="00C12FD7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9F1EB25" w14:textId="5BDBB2BC" w:rsidR="00A05F54" w:rsidRPr="00BD0E65" w:rsidRDefault="00A05F54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Biotranszformáció</w:t>
      </w:r>
      <w:r w:rsidR="000A065B"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: </w:t>
      </w:r>
    </w:p>
    <w:p w14:paraId="30D6D67D" w14:textId="77777777" w:rsidR="00443929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Emberben a metoxalén csaknem teljes biotranszformáción megy át. A vizeletben és a székletben egyáltalán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nem, vagy csak kevés aktív hatóanyag található meg változatlan formában. Mind konjugált, mind konjugálatlan metabolitokat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találtak. Az aktív metabolitokkal kapcsolatos kevés adat alapján feltételezhető, hogy nincs a kiindulási vegyülethez hasonló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farmakológiai aktivitásuk.</w:t>
      </w:r>
    </w:p>
    <w:p w14:paraId="3CEF5067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3EC54D6" w14:textId="77777777" w:rsidR="00A05F54" w:rsidRPr="00BD0E65" w:rsidRDefault="0075131B" w:rsidP="00BD0E65">
      <w:pPr>
        <w:pStyle w:val="Szvegtrzs"/>
        <w:keepNext/>
        <w:tabs>
          <w:tab w:val="left" w:pos="567"/>
        </w:tabs>
        <w:ind w:left="0"/>
        <w:rPr>
          <w:u w:val="single"/>
          <w:lang w:val="hu-HU"/>
        </w:rPr>
      </w:pPr>
      <w:r w:rsidRPr="008D01FB">
        <w:rPr>
          <w:u w:val="single" w:color="000000"/>
          <w:lang w:val="hu-HU"/>
        </w:rPr>
        <w:lastRenderedPageBreak/>
        <w:t>Elimináció</w:t>
      </w:r>
      <w:r w:rsidR="000A065B" w:rsidRPr="00BD0E65">
        <w:rPr>
          <w:u w:val="single"/>
          <w:lang w:val="hu-HU"/>
        </w:rPr>
        <w:t xml:space="preserve">: </w:t>
      </w:r>
    </w:p>
    <w:p w14:paraId="5C7F7247" w14:textId="77777777" w:rsidR="000A065B" w:rsidRPr="00BD0E65" w:rsidRDefault="005B5C6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i/>
          <w:sz w:val="22"/>
          <w:szCs w:val="22"/>
          <w:lang w:val="hu-HU"/>
        </w:rPr>
        <w:t>Per os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adagolás után gyakorlatilag nem található változatlan formájú metoxalén az emberi vizeletben, vagy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székletben. Izotóppal jelzett vizsgálatokban, az adagolás után 48 órával a vizeletben a radioaktív anyag átlag 74%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a volt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megfigyelhető. A metoxalénnek és metabolitjainak az epében történő kiválasztódása a székletminták alapján 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relative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alacsony, 14%.</w:t>
      </w:r>
    </w:p>
    <w:p w14:paraId="204FF426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6560DED" w14:textId="4FF0E2EB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5.3 </w:t>
      </w:r>
      <w:r w:rsidR="00443929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A preklinikai biztonság</w:t>
      </w:r>
      <w:r w:rsidR="001C55D9" w:rsidRPr="00BD0E65">
        <w:rPr>
          <w:rFonts w:ascii="Times New Roman" w:hAnsi="Times New Roman"/>
          <w:b/>
          <w:bCs/>
          <w:sz w:val="22"/>
          <w:szCs w:val="22"/>
          <w:lang w:val="hu-HU"/>
        </w:rPr>
        <w:t>osság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i vizsgálatok eredményei</w:t>
      </w:r>
    </w:p>
    <w:p w14:paraId="1E6118D0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0E01A3A1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Preklinikai hatásokat csak a maximális humán dózist jelentősen meghaladó mértéknek kitett betegeknél észleltek, ami arra utal,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hogy ennek nincs klinikai jelentősége, kivéve a korábbi fejezetekben leírtaknak (lásd 4.4)</w:t>
      </w:r>
      <w:r w:rsidR="00D31581" w:rsidRPr="00BD0E65">
        <w:rPr>
          <w:rFonts w:ascii="Times New Roman" w:hAnsi="Times New Roman"/>
          <w:sz w:val="22"/>
          <w:szCs w:val="22"/>
          <w:lang w:val="hu-HU"/>
        </w:rPr>
        <w:t>.</w:t>
      </w:r>
    </w:p>
    <w:p w14:paraId="6FEF1693" w14:textId="77777777" w:rsidR="00EB5BBB" w:rsidRPr="00BD0E65" w:rsidRDefault="00EB5BB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242035B" w14:textId="3A971602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Egy négyhetes, összesen nyolc alkalommal, kutyákon végzett 1-2</w:t>
      </w:r>
      <w:r w:rsidR="00C93101">
        <w:rPr>
          <w:rFonts w:ascii="Times New Roman" w:hAnsi="Times New Roman"/>
          <w:sz w:val="22"/>
          <w:szCs w:val="22"/>
          <w:lang w:val="hu-HU"/>
        </w:rPr>
        <w:t> </w:t>
      </w:r>
      <w:r w:rsidRPr="00BD0E65">
        <w:rPr>
          <w:rFonts w:ascii="Times New Roman" w:hAnsi="Times New Roman"/>
          <w:sz w:val="22"/>
          <w:szCs w:val="22"/>
          <w:lang w:val="hu-HU"/>
        </w:rPr>
        <w:t>J/cm² extrakorporális fotoferézises toxicitás szimulációs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vizsgálat során semmilyen lehetséges toxicitási manifesztációt nem észleltek, amikor 100 és 500</w:t>
      </w:r>
      <w:r w:rsidR="00C93101">
        <w:rPr>
          <w:rFonts w:ascii="Times New Roman" w:hAnsi="Times New Roman"/>
          <w:sz w:val="22"/>
          <w:szCs w:val="22"/>
          <w:lang w:val="hu-HU"/>
        </w:rPr>
        <w:t> </w:t>
      </w:r>
      <w:r w:rsidRPr="00BD0E65">
        <w:rPr>
          <w:rFonts w:ascii="Times New Roman" w:hAnsi="Times New Roman"/>
          <w:sz w:val="22"/>
          <w:szCs w:val="22"/>
          <w:lang w:val="hu-HU"/>
        </w:rPr>
        <w:t>ng/ml koncentrációban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>-et adtak a fehérvérsejt-frakcióhoz [</w:t>
      </w:r>
      <w:r w:rsidRPr="00BD0E65">
        <w:rPr>
          <w:rFonts w:ascii="Times New Roman" w:hAnsi="Times New Roman"/>
          <w:i/>
          <w:sz w:val="22"/>
          <w:szCs w:val="22"/>
          <w:lang w:val="hu-HU"/>
        </w:rPr>
        <w:t>buffy coat</w:t>
      </w:r>
      <w:r w:rsidRPr="00BD0E65">
        <w:rPr>
          <w:rFonts w:ascii="Times New Roman" w:hAnsi="Times New Roman"/>
          <w:sz w:val="22"/>
          <w:szCs w:val="22"/>
          <w:lang w:val="hu-HU"/>
        </w:rPr>
        <w:t>].</w:t>
      </w:r>
    </w:p>
    <w:p w14:paraId="7987A0EF" w14:textId="77777777" w:rsidR="00EB5BBB" w:rsidRPr="00BD0E65" w:rsidRDefault="00EB5BB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335D9B9" w14:textId="77777777" w:rsidR="00EB5BB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Patkányon végzett reproduktív toxicitási vizsgálatok azt mutatták, hogy a metoxalén azoknál az adagoknál gátolja a foetus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növekedését, életképességét és morfológiai fejlődését, amelyek szignifikáns anyai toxicitást okoznak.</w:t>
      </w:r>
    </w:p>
    <w:p w14:paraId="23EE7370" w14:textId="77777777" w:rsidR="00EB5BBB" w:rsidRPr="00BD0E65" w:rsidRDefault="00EB5BB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DCF5261" w14:textId="77777777" w:rsidR="00EB5BB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Az UVADEX reproduktív toxicitásának felmérésére nem végeztek vizsgálatokat.</w:t>
      </w:r>
    </w:p>
    <w:p w14:paraId="6597F9AD" w14:textId="77777777" w:rsidR="00EB5BBB" w:rsidRPr="00BD0E65" w:rsidRDefault="00EB5BB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25242A8" w14:textId="5134307A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Állatmodellekben kiterjedten vizsgálták a lehetséges fototoxicitást. Fototoxikus manifesztációk a bőrben és a szemben voltak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megfigyelhetők </w:t>
      </w:r>
      <w:r w:rsidR="005B5C63" w:rsidRPr="00BD0E65">
        <w:rPr>
          <w:rFonts w:ascii="Times New Roman" w:hAnsi="Times New Roman"/>
          <w:sz w:val="22"/>
          <w:szCs w:val="22"/>
          <w:lang w:val="hu-HU"/>
        </w:rPr>
        <w:t xml:space="preserve">per os </w:t>
      </w:r>
      <w:r w:rsidRPr="00BD0E65">
        <w:rPr>
          <w:rFonts w:ascii="Times New Roman" w:hAnsi="Times New Roman"/>
          <w:sz w:val="22"/>
          <w:szCs w:val="22"/>
          <w:lang w:val="hu-HU"/>
        </w:rPr>
        <w:t>adagolás után és a májban intraperitoneális adagolást követően. Humán vizsgálatok alapján fototoxikus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válaszok ritkán fordulnak elő, kivéve, ha legalább 30</w:t>
      </w:r>
      <w:r w:rsidR="00C93101">
        <w:rPr>
          <w:rFonts w:ascii="Times New Roman" w:hAnsi="Times New Roman"/>
          <w:sz w:val="22"/>
          <w:szCs w:val="22"/>
          <w:lang w:val="hu-HU"/>
        </w:rPr>
        <w:t> </w:t>
      </w:r>
      <w:r w:rsidRPr="00BD0E65">
        <w:rPr>
          <w:rFonts w:ascii="Times New Roman" w:hAnsi="Times New Roman"/>
          <w:sz w:val="22"/>
          <w:szCs w:val="22"/>
          <w:lang w:val="hu-HU"/>
        </w:rPr>
        <w:t>ng/ml szisztémás besugárzásnak voltak kitéve. Mivel az extrakorporális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fotoferézis után reinfundált, leukocitában gazdag plazma metoxalén koncentrációja mindig a mérhető szint (10 ng/ml) alatt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marad, az állatkísérletek eredményei korlátozott jelentőséggel bírnak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alkalmazásának vonatkozásában.</w:t>
      </w:r>
    </w:p>
    <w:p w14:paraId="78D3F494" w14:textId="77777777" w:rsidR="00EB5BBB" w:rsidRPr="00BD0E65" w:rsidRDefault="00EB5BB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65AD1E4" w14:textId="772243BE" w:rsidR="000A065B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Néhány klinikai kipróbálás azt mutatja, hogy a metoxalén az UV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sugárzás eredményeképpen fokozhatja a bőr karcinogenezis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hajlamát. A nem fot</w:t>
      </w:r>
      <w:r w:rsidR="00C93101">
        <w:rPr>
          <w:rFonts w:ascii="Times New Roman" w:hAnsi="Times New Roman"/>
          <w:sz w:val="22"/>
          <w:szCs w:val="22"/>
          <w:lang w:val="hu-HU"/>
        </w:rPr>
        <w:t>o</w:t>
      </w:r>
      <w:r w:rsidRPr="00BD0E65">
        <w:rPr>
          <w:rFonts w:ascii="Times New Roman" w:hAnsi="Times New Roman"/>
          <w:sz w:val="22"/>
          <w:szCs w:val="22"/>
          <w:lang w:val="hu-HU"/>
        </w:rPr>
        <w:t>aktivált metoxalénről kimutatták, hogy indukálja a baktériumok génmutációját, emlős sejtkultúrában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kromoszómaaberrációt és testvér kromatidpár</w:t>
      </w:r>
      <w:r w:rsidR="00C93101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kicserélődést okoz, valamint hím patkányoknál két éven keresztül (hetente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ötször) 37,5 és 75</w:t>
      </w:r>
      <w:r w:rsidR="00C93101">
        <w:rPr>
          <w:rFonts w:ascii="Times New Roman" w:hAnsi="Times New Roman"/>
          <w:sz w:val="22"/>
          <w:szCs w:val="22"/>
          <w:lang w:val="hu-HU"/>
        </w:rPr>
        <w:t> </w:t>
      </w:r>
      <w:r w:rsidRPr="00BD0E65">
        <w:rPr>
          <w:rFonts w:ascii="Times New Roman" w:hAnsi="Times New Roman"/>
          <w:sz w:val="22"/>
          <w:szCs w:val="22"/>
          <w:lang w:val="hu-HU"/>
        </w:rPr>
        <w:t>mg/</w:t>
      </w:r>
      <w:r w:rsidR="005B5C63" w:rsidRPr="00BD0E65">
        <w:rPr>
          <w:rFonts w:ascii="Times New Roman" w:hAnsi="Times New Roman"/>
          <w:sz w:val="22"/>
          <w:szCs w:val="22"/>
          <w:lang w:val="hu-HU"/>
        </w:rPr>
        <w:t>tt</w:t>
      </w:r>
      <w:r w:rsidRPr="00BD0E65">
        <w:rPr>
          <w:rFonts w:ascii="Times New Roman" w:hAnsi="Times New Roman"/>
          <w:sz w:val="22"/>
          <w:szCs w:val="22"/>
          <w:lang w:val="hu-HU"/>
        </w:rPr>
        <w:t>kg/nap adagban szájon át adva vese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, szubkután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és tüdődaganatok kialakulására vezetett.</w:t>
      </w:r>
    </w:p>
    <w:p w14:paraId="5E96A3CC" w14:textId="77777777" w:rsidR="00C93101" w:rsidRPr="00BD0E65" w:rsidRDefault="00C9310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755CD3F" w14:textId="77777777" w:rsidR="00C12FD7" w:rsidRPr="00BD0E65" w:rsidRDefault="00C12FD7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22A878E5" w14:textId="45A37AB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6</w:t>
      </w:r>
      <w:r w:rsidR="00A05F54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491672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GYÓGYSZERÉSZETI JELLEMZŐK</w:t>
      </w:r>
    </w:p>
    <w:p w14:paraId="3432B518" w14:textId="77777777" w:rsidR="00491672" w:rsidRPr="00BD0E65" w:rsidRDefault="00491672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185A33A3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6.1 </w:t>
      </w:r>
      <w:r w:rsidR="00491672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Segédanyagok felsorolása</w:t>
      </w:r>
    </w:p>
    <w:p w14:paraId="577BA67E" w14:textId="77777777" w:rsidR="00D31581" w:rsidRPr="00BD0E65" w:rsidRDefault="00D3158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DAF050B" w14:textId="77777777" w:rsidR="00912E21" w:rsidRPr="00BD0E65" w:rsidRDefault="00912E2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BD0E65">
        <w:rPr>
          <w:rFonts w:ascii="Times New Roman" w:hAnsi="Times New Roman"/>
          <w:sz w:val="22"/>
          <w:szCs w:val="22"/>
          <w:lang w:val="hu-HU" w:eastAsia="hu-HU"/>
        </w:rPr>
        <w:t>95%-os etanol</w:t>
      </w:r>
    </w:p>
    <w:p w14:paraId="7E614598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Propilén glikol</w:t>
      </w:r>
    </w:p>
    <w:p w14:paraId="74B7C6CF" w14:textId="77777777" w:rsidR="00912E21" w:rsidRPr="00BD0E65" w:rsidRDefault="00912E2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BD0E65">
        <w:rPr>
          <w:rFonts w:ascii="Times New Roman" w:hAnsi="Times New Roman"/>
          <w:sz w:val="22"/>
          <w:szCs w:val="22"/>
          <w:lang w:val="hu-HU" w:eastAsia="hu-HU"/>
        </w:rPr>
        <w:t>Tömény ecetsav</w:t>
      </w:r>
    </w:p>
    <w:p w14:paraId="4952F74C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Nátrium-acetát</w:t>
      </w:r>
      <w:r w:rsidR="00912E21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trihidrát</w:t>
      </w:r>
    </w:p>
    <w:p w14:paraId="0EE60171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Nátrium-klorid</w:t>
      </w:r>
    </w:p>
    <w:p w14:paraId="28D215EF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Nátrium-hidroxid</w:t>
      </w:r>
    </w:p>
    <w:p w14:paraId="1EA0290C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Injekció</w:t>
      </w:r>
      <w:r w:rsidR="00912E21" w:rsidRPr="00BD0E65">
        <w:rPr>
          <w:rFonts w:ascii="Times New Roman" w:hAnsi="Times New Roman"/>
          <w:sz w:val="22"/>
          <w:szCs w:val="22"/>
          <w:lang w:val="hu-HU"/>
        </w:rPr>
        <w:t>hoz való víz</w:t>
      </w:r>
    </w:p>
    <w:p w14:paraId="0153862F" w14:textId="77777777" w:rsidR="00C67530" w:rsidRPr="00BD0E65" w:rsidRDefault="00C67530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C4F5DDC" w14:textId="77777777" w:rsidR="000A065B" w:rsidRPr="00BD0E65" w:rsidRDefault="000A065B" w:rsidP="00BD0E65">
      <w:pPr>
        <w:numPr>
          <w:ilvl w:val="1"/>
          <w:numId w:val="3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Inkompatibilitások</w:t>
      </w:r>
    </w:p>
    <w:p w14:paraId="0BD0C83F" w14:textId="77777777" w:rsidR="00491672" w:rsidRPr="00BD0E65" w:rsidRDefault="00491672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639ED98C" w14:textId="74D8C309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abszorbeálódhat PVC</w:t>
      </w:r>
      <w:r w:rsidR="00F6114E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be és egyéb műanyagokba. Csak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 xml:space="preserve">a THERAKOS CELLEX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készülékhez adott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>megfelelő</w:t>
      </w:r>
      <w:r w:rsidR="00631537" w:rsidRPr="00BD0E65" w:rsidDel="00631537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r w:rsidR="00491672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készlet használható a szer beviteléhez.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>A készülékekben a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fotoferézises fotoaktivációs kör műanyagjaiban a szokásos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C93101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abszorpció mértéke a </w:t>
      </w:r>
      <w:r w:rsidRPr="00BD0E65">
        <w:rPr>
          <w:rFonts w:ascii="Times New Roman" w:hAnsi="Times New Roman"/>
          <w:sz w:val="22"/>
          <w:szCs w:val="22"/>
          <w:lang w:val="hu-HU"/>
        </w:rPr>
        <w:lastRenderedPageBreak/>
        <w:t>fotoferézis</w:t>
      </w:r>
      <w:r w:rsidR="00C93101">
        <w:rPr>
          <w:rFonts w:ascii="Times New Roman" w:hAnsi="Times New Roman"/>
          <w:sz w:val="22"/>
          <w:szCs w:val="22"/>
          <w:lang w:val="hu-HU"/>
        </w:rPr>
        <w:noBreakHyphen/>
      </w:r>
      <w:r w:rsidRPr="00BD0E65">
        <w:rPr>
          <w:rFonts w:ascii="Times New Roman" w:hAnsi="Times New Roman"/>
          <w:sz w:val="22"/>
          <w:szCs w:val="22"/>
          <w:lang w:val="hu-HU"/>
        </w:rPr>
        <w:t>kezelés során körülbelül 30%</w:t>
      </w:r>
      <w:r w:rsidR="00F6114E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os.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F6114E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et a fecskendőbe való felszívása után azonnal</w:t>
      </w:r>
      <w:r w:rsidR="00F6114E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be kell fecskendezni a fotoaktivációs zsákba</w:t>
      </w:r>
    </w:p>
    <w:p w14:paraId="600CC6B2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52F77A6" w14:textId="77777777" w:rsidR="000A065B" w:rsidRPr="00BD0E65" w:rsidRDefault="000A065B" w:rsidP="00BD0E65">
      <w:pPr>
        <w:numPr>
          <w:ilvl w:val="1"/>
          <w:numId w:val="3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Felhasználhatósági időtartam</w:t>
      </w:r>
    </w:p>
    <w:p w14:paraId="690E051A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9E6A291" w14:textId="77777777" w:rsidR="00F6114E" w:rsidRPr="00BD0E65" w:rsidRDefault="00912E2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3 év</w:t>
      </w:r>
    </w:p>
    <w:p w14:paraId="7FF772A2" w14:textId="77777777" w:rsidR="00EA36BC" w:rsidRPr="00BD0E65" w:rsidRDefault="00EA36BC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2F5A883" w14:textId="77777777" w:rsidR="000A065B" w:rsidRPr="00BD0E65" w:rsidRDefault="000A065B" w:rsidP="00BD0E65">
      <w:pPr>
        <w:numPr>
          <w:ilvl w:val="1"/>
          <w:numId w:val="3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Különleges tárolási előírások</w:t>
      </w:r>
    </w:p>
    <w:p w14:paraId="354E8694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208D9F34" w14:textId="780CA64B" w:rsidR="000A065B" w:rsidRPr="00BD0E65" w:rsidRDefault="00912E2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Legfeljebb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25</w:t>
      </w:r>
      <w:r w:rsidR="00C93101">
        <w:rPr>
          <w:rFonts w:ascii="Times New Roman" w:hAnsi="Times New Roman"/>
          <w:sz w:val="22"/>
          <w:szCs w:val="22"/>
          <w:lang w:val="hu-HU"/>
        </w:rPr>
        <w:t> 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°C</w:t>
      </w:r>
      <w:r w:rsidRPr="00BD0E65">
        <w:rPr>
          <w:rFonts w:ascii="Times New Roman" w:hAnsi="Times New Roman"/>
          <w:sz w:val="22"/>
          <w:szCs w:val="22"/>
          <w:lang w:val="hu-HU"/>
        </w:rPr>
        <w:t>-on tárolandó.</w:t>
      </w:r>
    </w:p>
    <w:p w14:paraId="742153A5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D92E544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6.5 </w:t>
      </w:r>
      <w:r w:rsidR="00F6114E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Csomagolás típusa és kiszerelése</w:t>
      </w:r>
    </w:p>
    <w:p w14:paraId="47723326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032123A8" w14:textId="77777777" w:rsidR="00912E21" w:rsidRPr="00BD0E65" w:rsidRDefault="00912E2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10 ml oldat laminált dugóval (fluor-karbon polimer filmmel bevont butil gumidugó) és lepattintható aluminium kupakkal lezárt barna színű üvegampullában (1. típusú)</w:t>
      </w:r>
    </w:p>
    <w:p w14:paraId="29619842" w14:textId="3ABF3305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Csomagolás: 12</w:t>
      </w:r>
      <w:r w:rsidR="00C93101">
        <w:rPr>
          <w:rFonts w:ascii="Times New Roman" w:hAnsi="Times New Roman"/>
          <w:sz w:val="22"/>
          <w:szCs w:val="22"/>
          <w:lang w:val="hu-HU"/>
        </w:rPr>
        <w:t>×</w:t>
      </w:r>
      <w:r w:rsidRPr="00BD0E65">
        <w:rPr>
          <w:rFonts w:ascii="Times New Roman" w:hAnsi="Times New Roman"/>
          <w:sz w:val="22"/>
          <w:szCs w:val="22"/>
          <w:lang w:val="hu-HU"/>
        </w:rPr>
        <w:t>10 ml.</w:t>
      </w:r>
    </w:p>
    <w:p w14:paraId="201AE69C" w14:textId="77777777" w:rsidR="00912E21" w:rsidRPr="00BD0E65" w:rsidRDefault="00912E2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430DB5DB" w14:textId="77777777" w:rsidR="00F6114E" w:rsidRPr="00BD0E65" w:rsidRDefault="00912E21" w:rsidP="00BD0E65">
      <w:pPr>
        <w:tabs>
          <w:tab w:val="left" w:pos="567"/>
        </w:tabs>
        <w:autoSpaceDE w:val="0"/>
        <w:autoSpaceDN w:val="0"/>
        <w:adjustRightInd w:val="0"/>
        <w:ind w:left="567" w:hanging="567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sz w:val="22"/>
          <w:szCs w:val="22"/>
          <w:lang w:val="hu-HU"/>
        </w:rPr>
        <w:t>6.6</w:t>
      </w:r>
      <w:r w:rsidRPr="00BD0E65">
        <w:rPr>
          <w:rFonts w:ascii="Times New Roman" w:hAnsi="Times New Roman"/>
          <w:b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noProof/>
          <w:sz w:val="22"/>
          <w:szCs w:val="22"/>
          <w:lang w:val="hu-HU"/>
        </w:rPr>
        <w:t>A megsemmisítésre vonatkozó különleges óvintézkedések</w:t>
      </w:r>
      <w:r w:rsidRPr="00BD0E65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</w:p>
    <w:p w14:paraId="5EE920BB" w14:textId="77777777" w:rsidR="001C55D9" w:rsidRPr="00BD0E65" w:rsidRDefault="001C55D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0065B78" w14:textId="36365F0C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F6114E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et tilos hígítani. Az ampulla tartalmát a fecskendőbe való felszívás után azonnal be kell fecskendezni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 xml:space="preserve">a THERAKOS CELLEX </w:t>
      </w:r>
      <w:r w:rsidR="00D248D6" w:rsidRPr="00BD0E65">
        <w:rPr>
          <w:rFonts w:ascii="Times New Roman" w:hAnsi="Times New Roman"/>
          <w:color w:val="000000"/>
          <w:sz w:val="22"/>
          <w:szCs w:val="22"/>
          <w:lang w:val="hu-HU"/>
        </w:rPr>
        <w:t>f</w:t>
      </w:r>
      <w:r w:rsidRPr="00BD0E65">
        <w:rPr>
          <w:rFonts w:ascii="Times New Roman" w:hAnsi="Times New Roman"/>
          <w:sz w:val="22"/>
          <w:szCs w:val="22"/>
          <w:lang w:val="hu-HU"/>
        </w:rPr>
        <w:t>otoferézis rendszerbe. Tilos közvetlenül a betegbe injektálni.</w:t>
      </w:r>
    </w:p>
    <w:p w14:paraId="0EEFB3F5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CD77BAC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gyógyszerkészítmény alkalmazása előtt olvassa el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 xml:space="preserve">a THERAKOS CELLEX </w:t>
      </w:r>
      <w:r w:rsidRPr="00BD0E65">
        <w:rPr>
          <w:rFonts w:ascii="Times New Roman" w:hAnsi="Times New Roman"/>
          <w:sz w:val="22"/>
          <w:szCs w:val="22"/>
          <w:lang w:val="hu-HU"/>
        </w:rPr>
        <w:t>rendszer használati utasítását.</w:t>
      </w:r>
    </w:p>
    <w:p w14:paraId="11B0496D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2FD96FE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Ha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egy óránál hosszabb ideig áll műanyag</w:t>
      </w:r>
      <w:r w:rsidR="00F6114E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fecskendőben, meg kell semmisíteni.</w:t>
      </w:r>
    </w:p>
    <w:p w14:paraId="4596512F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2B559C8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2422219" w14:textId="03F409CA" w:rsidR="000A065B" w:rsidRPr="00BD0E65" w:rsidRDefault="0093662C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7.</w:t>
      </w:r>
      <w:r w:rsidRPr="008D01FB">
        <w:rPr>
          <w:b/>
          <w:bCs/>
          <w:lang w:val="hu-HU"/>
        </w:rPr>
        <w:t xml:space="preserve"> </w:t>
      </w:r>
      <w:r w:rsidRPr="008D01FB">
        <w:rPr>
          <w:b/>
          <w:bCs/>
          <w:lang w:val="hu-HU"/>
        </w:rPr>
        <w:tab/>
      </w:r>
      <w:r w:rsidR="000A065B" w:rsidRPr="00BD0E65">
        <w:rPr>
          <w:rFonts w:ascii="Times New Roman" w:hAnsi="Times New Roman"/>
          <w:b/>
          <w:bCs/>
          <w:sz w:val="22"/>
          <w:szCs w:val="22"/>
          <w:lang w:val="hu-HU"/>
        </w:rPr>
        <w:t>A FORGALOMBA HOZATALI ENGEDÉLY JOGOSULTJA</w:t>
      </w:r>
    </w:p>
    <w:p w14:paraId="6E230E1E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1E18A9C" w14:textId="77777777" w:rsidR="00DC6B09" w:rsidRPr="00BD0E65" w:rsidRDefault="00DC6B0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Therakos Europe Ltd,</w:t>
      </w:r>
    </w:p>
    <w:p w14:paraId="56E5BE6A" w14:textId="77777777" w:rsidR="00AC0A3C" w:rsidRDefault="00AC0A3C" w:rsidP="00BD0E65">
      <w:pPr>
        <w:tabs>
          <w:tab w:val="left" w:pos="567"/>
        </w:tabs>
        <w:outlineLvl w:val="0"/>
        <w:rPr>
          <w:rFonts w:ascii="Times New Roman" w:hAnsi="Times New Roman"/>
          <w:sz w:val="22"/>
          <w:szCs w:val="22"/>
          <w:lang w:val="en-US"/>
        </w:rPr>
      </w:pPr>
      <w:r w:rsidRPr="00BF32E5">
        <w:rPr>
          <w:rFonts w:ascii="Times New Roman" w:hAnsi="Times New Roman"/>
          <w:sz w:val="22"/>
          <w:szCs w:val="22"/>
          <w:lang w:val="en-US"/>
        </w:rPr>
        <w:t>Suite 1, Plaza 211, B</w:t>
      </w:r>
      <w:r>
        <w:rPr>
          <w:rFonts w:ascii="Times New Roman" w:hAnsi="Times New Roman"/>
          <w:sz w:val="22"/>
          <w:szCs w:val="22"/>
          <w:lang w:val="en-US"/>
        </w:rPr>
        <w:t>lanchardstown Corporate Park 2,</w:t>
      </w:r>
    </w:p>
    <w:p w14:paraId="265A033C" w14:textId="77777777" w:rsidR="00AC0A3C" w:rsidRDefault="00AC0A3C" w:rsidP="00BD0E65">
      <w:pPr>
        <w:tabs>
          <w:tab w:val="left" w:pos="567"/>
        </w:tabs>
        <w:outlineLvl w:val="0"/>
        <w:rPr>
          <w:rFonts w:ascii="Times New Roman" w:hAnsi="Times New Roman"/>
          <w:sz w:val="22"/>
          <w:szCs w:val="22"/>
          <w:lang w:val="hu-HU"/>
        </w:rPr>
      </w:pPr>
      <w:r w:rsidRPr="00BF32E5">
        <w:rPr>
          <w:rFonts w:ascii="Times New Roman" w:hAnsi="Times New Roman"/>
          <w:sz w:val="22"/>
          <w:szCs w:val="22"/>
          <w:lang w:val="en-US"/>
        </w:rPr>
        <w:t>Dublin 15, D15 AP2D,</w:t>
      </w:r>
    </w:p>
    <w:p w14:paraId="40130778" w14:textId="187A4948" w:rsidR="004E76B3" w:rsidRPr="00BD0E65" w:rsidRDefault="000457B9" w:rsidP="00BD0E65">
      <w:pPr>
        <w:tabs>
          <w:tab w:val="left" w:pos="567"/>
        </w:tabs>
        <w:outlineLvl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Írország</w:t>
      </w:r>
    </w:p>
    <w:p w14:paraId="3512568B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B8EE512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3F69D75" w14:textId="2B10A58F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8</w:t>
      </w:r>
      <w:r w:rsidR="0093662C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F6114E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A FORGALOMBA HOZATALI ENGEDÉLY SZÁMA</w:t>
      </w:r>
    </w:p>
    <w:p w14:paraId="37037B01" w14:textId="77777777" w:rsidR="00201099" w:rsidRPr="00BD0E65" w:rsidRDefault="0020109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1B92A59D" w14:textId="77777777" w:rsidR="00201099" w:rsidRPr="00BD0E65" w:rsidRDefault="0020109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OGYI-T-20433/01</w:t>
      </w:r>
    </w:p>
    <w:p w14:paraId="63E8401D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FF08EB2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2A9F2DAA" w14:textId="495EE108" w:rsidR="00F6114E" w:rsidRPr="00BD0E65" w:rsidRDefault="00F6114E" w:rsidP="00AC0A3C">
      <w:pPr>
        <w:tabs>
          <w:tab w:val="left" w:pos="567"/>
        </w:tabs>
        <w:autoSpaceDE w:val="0"/>
        <w:autoSpaceDN w:val="0"/>
        <w:adjustRightInd w:val="0"/>
        <w:ind w:left="567" w:hanging="567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9</w:t>
      </w:r>
      <w:r w:rsidR="0093662C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b/>
          <w:bCs/>
          <w:sz w:val="22"/>
          <w:szCs w:val="22"/>
          <w:lang w:val="hu-HU"/>
        </w:rPr>
        <w:t>A FORGALOMBA HOZATALI ENGEDÉLY ELSŐ KIADÁSÁNAK</w:t>
      </w:r>
      <w:r w:rsidR="00C93101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/ 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b/>
          <w:bCs/>
          <w:sz w:val="22"/>
          <w:szCs w:val="22"/>
          <w:lang w:val="hu-HU"/>
        </w:rPr>
        <w:t>MEGÚJÍTÁSÁNAK DÁTUMA</w:t>
      </w:r>
    </w:p>
    <w:p w14:paraId="37A794EC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308E41F" w14:textId="36AFA793" w:rsidR="000A065B" w:rsidRPr="00BD0E65" w:rsidRDefault="00EC63A0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forgalomba hozatali engedély első kiadásának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dátuma:</w:t>
      </w:r>
      <w:r w:rsidR="00C93101">
        <w:rPr>
          <w:rFonts w:ascii="Times New Roman" w:hAnsi="Times New Roman"/>
          <w:sz w:val="22"/>
          <w:szCs w:val="22"/>
          <w:lang w:val="hu-HU"/>
        </w:rPr>
        <w:t xml:space="preserve"> 2007. szeptember 1.</w:t>
      </w:r>
    </w:p>
    <w:p w14:paraId="2EE30A8E" w14:textId="77777777" w:rsidR="0093662C" w:rsidRPr="00BD0E65" w:rsidRDefault="0093662C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724508D" w14:textId="57EBC6BF" w:rsidR="000A065B" w:rsidRPr="00BD0E65" w:rsidRDefault="00EC63A0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forgalomba hozatali engedély legutóbbi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megújítás</w:t>
      </w:r>
      <w:r w:rsidRPr="00BD0E65">
        <w:rPr>
          <w:rFonts w:ascii="Times New Roman" w:hAnsi="Times New Roman"/>
          <w:sz w:val="22"/>
          <w:szCs w:val="22"/>
          <w:lang w:val="hu-HU"/>
        </w:rPr>
        <w:t>ának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dátuma:</w:t>
      </w:r>
      <w:r w:rsidR="006F7E01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394BBA" w:rsidRPr="00BD0E65">
        <w:rPr>
          <w:rFonts w:ascii="Times New Roman" w:hAnsi="Times New Roman"/>
          <w:sz w:val="22"/>
          <w:szCs w:val="22"/>
          <w:lang w:val="hu-HU"/>
        </w:rPr>
        <w:t>2012.</w:t>
      </w:r>
      <w:r w:rsidR="00C93101">
        <w:rPr>
          <w:rFonts w:ascii="Times New Roman" w:hAnsi="Times New Roman"/>
          <w:sz w:val="22"/>
          <w:szCs w:val="22"/>
          <w:lang w:val="hu-HU"/>
        </w:rPr>
        <w:t xml:space="preserve"> december </w:t>
      </w:r>
      <w:r w:rsidR="00394BBA" w:rsidRPr="00BD0E65">
        <w:rPr>
          <w:rFonts w:ascii="Times New Roman" w:hAnsi="Times New Roman"/>
          <w:sz w:val="22"/>
          <w:szCs w:val="22"/>
          <w:lang w:val="hu-HU"/>
        </w:rPr>
        <w:t>9.</w:t>
      </w:r>
    </w:p>
    <w:p w14:paraId="47332284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FBFEE02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11A8437" w14:textId="03ABC05B" w:rsidR="001144A5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10</w:t>
      </w:r>
      <w:r w:rsidR="0093662C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F6114E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A SZÖVEG ELLENŐRZÉSÉNEK DÁTUMA</w:t>
      </w:r>
      <w:r w:rsidR="00616521" w:rsidRPr="00BD0E65">
        <w:rPr>
          <w:rFonts w:ascii="Times New Roman" w:hAnsi="Times New Roman"/>
          <w:b/>
          <w:bCs/>
          <w:sz w:val="22"/>
          <w:szCs w:val="22"/>
          <w:lang w:val="hu-HU"/>
        </w:rPr>
        <w:t>:</w:t>
      </w:r>
    </w:p>
    <w:p w14:paraId="014F0262" w14:textId="77777777" w:rsidR="001144A5" w:rsidRPr="00BD0E65" w:rsidRDefault="001144A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Cs/>
          <w:sz w:val="22"/>
          <w:szCs w:val="22"/>
          <w:lang w:val="hu-HU"/>
        </w:rPr>
      </w:pPr>
    </w:p>
    <w:p w14:paraId="147B189F" w14:textId="39A58AA6" w:rsidR="0036473E" w:rsidRPr="00BD0E65" w:rsidRDefault="001C4114" w:rsidP="00BD0E65">
      <w:pPr>
        <w:tabs>
          <w:tab w:val="left" w:pos="567"/>
        </w:tabs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bCs/>
          <w:sz w:val="22"/>
          <w:szCs w:val="22"/>
          <w:lang w:val="hu-HU"/>
        </w:rPr>
        <w:t>2026. május 21.</w:t>
      </w:r>
    </w:p>
    <w:sectPr w:rsidR="0036473E" w:rsidRPr="00BD0E65" w:rsidSect="00C37AF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134" w:right="1418" w:bottom="1134" w:left="1418" w:header="737" w:footer="73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3F4EED" w14:textId="77777777" w:rsidR="00380299" w:rsidRDefault="00380299">
      <w:r>
        <w:separator/>
      </w:r>
    </w:p>
  </w:endnote>
  <w:endnote w:type="continuationSeparator" w:id="0">
    <w:p w14:paraId="76DD01B0" w14:textId="77777777" w:rsidR="00380299" w:rsidRDefault="00380299">
      <w:r>
        <w:continuationSeparator/>
      </w:r>
    </w:p>
  </w:endnote>
  <w:endnote w:type="continuationNotice" w:id="1">
    <w:p w14:paraId="0ACF17D4" w14:textId="77777777" w:rsidR="00380299" w:rsidRDefault="003802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65ADC6" w14:textId="77777777" w:rsidR="00F85499" w:rsidRDefault="00F85499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6CFCB" w14:textId="77777777" w:rsidR="002F464A" w:rsidRPr="00CE5F33" w:rsidRDefault="002F464A" w:rsidP="00D2373F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A23C4D" w14:textId="4DCD5C69" w:rsidR="002F464A" w:rsidRPr="006C5342" w:rsidRDefault="00F85499" w:rsidP="00B52E19">
    <w:pPr>
      <w:pStyle w:val="llb"/>
      <w:rPr>
        <w:rFonts w:ascii="Times New Roman" w:hAnsi="Times New Roman"/>
        <w:sz w:val="18"/>
        <w:szCs w:val="18"/>
        <w:lang w:val="hu-HU"/>
      </w:rPr>
    </w:pPr>
    <w:r w:rsidRPr="00F85499">
      <w:rPr>
        <w:rFonts w:ascii="Times New Roman" w:hAnsi="Times New Roman"/>
        <w:sz w:val="18"/>
        <w:szCs w:val="18"/>
        <w:lang w:val="hu-HU"/>
      </w:rPr>
      <w:t>NNGYK/ETGY/8293/2026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8C56AD" w14:textId="77777777" w:rsidR="00380299" w:rsidRDefault="00380299">
      <w:r>
        <w:separator/>
      </w:r>
    </w:p>
  </w:footnote>
  <w:footnote w:type="continuationSeparator" w:id="0">
    <w:p w14:paraId="747A062E" w14:textId="77777777" w:rsidR="00380299" w:rsidRDefault="00380299">
      <w:r>
        <w:continuationSeparator/>
      </w:r>
    </w:p>
  </w:footnote>
  <w:footnote w:type="continuationNotice" w:id="1">
    <w:p w14:paraId="67C6A09D" w14:textId="77777777" w:rsidR="00380299" w:rsidRDefault="00380299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C9321C" w14:textId="77777777" w:rsidR="00F85499" w:rsidRDefault="00F85499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287579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55CBD2B7" w14:textId="53F43B50" w:rsidR="00D2373F" w:rsidRPr="00BD0E65" w:rsidRDefault="00D2373F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BD0E65">
          <w:rPr>
            <w:rFonts w:ascii="Times New Roman" w:hAnsi="Times New Roman"/>
            <w:sz w:val="18"/>
            <w:szCs w:val="18"/>
          </w:rPr>
          <w:fldChar w:fldCharType="begin"/>
        </w:r>
        <w:r w:rsidRPr="00BD0E6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BD0E65">
          <w:rPr>
            <w:rFonts w:ascii="Times New Roman" w:hAnsi="Times New Roman"/>
            <w:sz w:val="18"/>
            <w:szCs w:val="18"/>
          </w:rPr>
          <w:fldChar w:fldCharType="separate"/>
        </w:r>
        <w:r w:rsidR="00A11D64" w:rsidRPr="00A11D64">
          <w:rPr>
            <w:rFonts w:ascii="Times New Roman" w:hAnsi="Times New Roman"/>
            <w:noProof/>
            <w:sz w:val="18"/>
            <w:szCs w:val="18"/>
            <w:lang w:val="hu-HU"/>
          </w:rPr>
          <w:t>10</w:t>
        </w:r>
        <w:r w:rsidRPr="00BD0E6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24C738A4" w14:textId="77777777" w:rsidR="00D2373F" w:rsidRPr="00BD0E65" w:rsidRDefault="00D2373F">
    <w:pPr>
      <w:pStyle w:val="lfej"/>
      <w:rPr>
        <w:rFonts w:ascii="Times New Roman" w:hAnsi="Times New Roman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2378189"/>
      <w:docPartObj>
        <w:docPartGallery w:val="Page Numbers (Top of Page)"/>
        <w:docPartUnique/>
      </w:docPartObj>
    </w:sdtPr>
    <w:sdtEndPr/>
    <w:sdtContent>
      <w:p w14:paraId="3C0B6D1E" w14:textId="64781BD3" w:rsidR="002F464A" w:rsidRDefault="00A11D64">
        <w:pPr>
          <w:pStyle w:val="lfej"/>
          <w:jc w:val="center"/>
        </w:pPr>
      </w:p>
    </w:sdtContent>
  </w:sdt>
  <w:p w14:paraId="3C996F16" w14:textId="77777777" w:rsidR="002F464A" w:rsidRDefault="002F464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62C5A"/>
    <w:multiLevelType w:val="hybridMultilevel"/>
    <w:tmpl w:val="8D4C4654"/>
    <w:lvl w:ilvl="0" w:tplc="040E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0C1B155B"/>
    <w:multiLevelType w:val="hybridMultilevel"/>
    <w:tmpl w:val="085886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43B66"/>
    <w:multiLevelType w:val="multilevel"/>
    <w:tmpl w:val="0BD8BF2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240F107C"/>
    <w:multiLevelType w:val="multilevel"/>
    <w:tmpl w:val="38244ED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323007DA"/>
    <w:multiLevelType w:val="hybridMultilevel"/>
    <w:tmpl w:val="50309E78"/>
    <w:lvl w:ilvl="0" w:tplc="432089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DB4180"/>
    <w:multiLevelType w:val="multilevel"/>
    <w:tmpl w:val="01661592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7D515C50"/>
    <w:multiLevelType w:val="hybridMultilevel"/>
    <w:tmpl w:val="592698C0"/>
    <w:lvl w:ilvl="0" w:tplc="311441A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67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65B"/>
    <w:rsid w:val="0000268B"/>
    <w:rsid w:val="00004061"/>
    <w:rsid w:val="000044C7"/>
    <w:rsid w:val="00007059"/>
    <w:rsid w:val="0001072A"/>
    <w:rsid w:val="0001086C"/>
    <w:rsid w:val="00011350"/>
    <w:rsid w:val="000114AB"/>
    <w:rsid w:val="00011E18"/>
    <w:rsid w:val="000131AA"/>
    <w:rsid w:val="000134D7"/>
    <w:rsid w:val="000144C4"/>
    <w:rsid w:val="00014530"/>
    <w:rsid w:val="00017B4A"/>
    <w:rsid w:val="00020302"/>
    <w:rsid w:val="00020306"/>
    <w:rsid w:val="0002050B"/>
    <w:rsid w:val="00020B67"/>
    <w:rsid w:val="000229ED"/>
    <w:rsid w:val="00023618"/>
    <w:rsid w:val="000237FC"/>
    <w:rsid w:val="000240B4"/>
    <w:rsid w:val="0002448B"/>
    <w:rsid w:val="00025D8B"/>
    <w:rsid w:val="00027BA9"/>
    <w:rsid w:val="00027EF1"/>
    <w:rsid w:val="00030108"/>
    <w:rsid w:val="00030AB8"/>
    <w:rsid w:val="00030CEC"/>
    <w:rsid w:val="0003403C"/>
    <w:rsid w:val="000364DF"/>
    <w:rsid w:val="000374CF"/>
    <w:rsid w:val="00037B03"/>
    <w:rsid w:val="000405F8"/>
    <w:rsid w:val="000408C0"/>
    <w:rsid w:val="00041CAF"/>
    <w:rsid w:val="00042FD5"/>
    <w:rsid w:val="000444AA"/>
    <w:rsid w:val="000445BD"/>
    <w:rsid w:val="00044C9F"/>
    <w:rsid w:val="000457B9"/>
    <w:rsid w:val="00046583"/>
    <w:rsid w:val="00047261"/>
    <w:rsid w:val="000502FF"/>
    <w:rsid w:val="00050BEA"/>
    <w:rsid w:val="00050EEF"/>
    <w:rsid w:val="0005315F"/>
    <w:rsid w:val="0005366A"/>
    <w:rsid w:val="00054D15"/>
    <w:rsid w:val="0005501F"/>
    <w:rsid w:val="00055D0E"/>
    <w:rsid w:val="0005604B"/>
    <w:rsid w:val="0005604C"/>
    <w:rsid w:val="00056B76"/>
    <w:rsid w:val="00060E76"/>
    <w:rsid w:val="00061360"/>
    <w:rsid w:val="000621B3"/>
    <w:rsid w:val="00062217"/>
    <w:rsid w:val="00062BBB"/>
    <w:rsid w:val="000630C5"/>
    <w:rsid w:val="00064A6C"/>
    <w:rsid w:val="00064BB8"/>
    <w:rsid w:val="00064EB9"/>
    <w:rsid w:val="00065344"/>
    <w:rsid w:val="00065388"/>
    <w:rsid w:val="00065DA7"/>
    <w:rsid w:val="000660F5"/>
    <w:rsid w:val="0007036A"/>
    <w:rsid w:val="000716D4"/>
    <w:rsid w:val="00071E1E"/>
    <w:rsid w:val="000726EE"/>
    <w:rsid w:val="000730D8"/>
    <w:rsid w:val="00073AD7"/>
    <w:rsid w:val="00073C89"/>
    <w:rsid w:val="00073CE7"/>
    <w:rsid w:val="00074B07"/>
    <w:rsid w:val="000758C3"/>
    <w:rsid w:val="000759EB"/>
    <w:rsid w:val="00075D34"/>
    <w:rsid w:val="000763E4"/>
    <w:rsid w:val="00076E67"/>
    <w:rsid w:val="00076F00"/>
    <w:rsid w:val="0007707F"/>
    <w:rsid w:val="00077133"/>
    <w:rsid w:val="00077DA7"/>
    <w:rsid w:val="000811AC"/>
    <w:rsid w:val="00082A54"/>
    <w:rsid w:val="00082C46"/>
    <w:rsid w:val="0008690B"/>
    <w:rsid w:val="0008796D"/>
    <w:rsid w:val="000901FC"/>
    <w:rsid w:val="00091367"/>
    <w:rsid w:val="0009169F"/>
    <w:rsid w:val="00092F5B"/>
    <w:rsid w:val="00094D5A"/>
    <w:rsid w:val="00094D92"/>
    <w:rsid w:val="00094DE5"/>
    <w:rsid w:val="000967B1"/>
    <w:rsid w:val="00096B8A"/>
    <w:rsid w:val="00096CBD"/>
    <w:rsid w:val="000A065B"/>
    <w:rsid w:val="000A220E"/>
    <w:rsid w:val="000A23AB"/>
    <w:rsid w:val="000A37BB"/>
    <w:rsid w:val="000A38AB"/>
    <w:rsid w:val="000A4663"/>
    <w:rsid w:val="000A5F8A"/>
    <w:rsid w:val="000A6A03"/>
    <w:rsid w:val="000B03FA"/>
    <w:rsid w:val="000B1B64"/>
    <w:rsid w:val="000B1CBA"/>
    <w:rsid w:val="000B2442"/>
    <w:rsid w:val="000B286A"/>
    <w:rsid w:val="000B38F2"/>
    <w:rsid w:val="000B3F3C"/>
    <w:rsid w:val="000B4C38"/>
    <w:rsid w:val="000B5858"/>
    <w:rsid w:val="000B6462"/>
    <w:rsid w:val="000C0B3B"/>
    <w:rsid w:val="000C25BA"/>
    <w:rsid w:val="000C44A4"/>
    <w:rsid w:val="000C4CF3"/>
    <w:rsid w:val="000C4E3F"/>
    <w:rsid w:val="000C5CEE"/>
    <w:rsid w:val="000C6B46"/>
    <w:rsid w:val="000C7BF4"/>
    <w:rsid w:val="000D0558"/>
    <w:rsid w:val="000D1261"/>
    <w:rsid w:val="000D18C8"/>
    <w:rsid w:val="000D1C00"/>
    <w:rsid w:val="000D2C8E"/>
    <w:rsid w:val="000D313D"/>
    <w:rsid w:val="000D454E"/>
    <w:rsid w:val="000D550C"/>
    <w:rsid w:val="000D74D5"/>
    <w:rsid w:val="000D7C29"/>
    <w:rsid w:val="000E093E"/>
    <w:rsid w:val="000E0DB8"/>
    <w:rsid w:val="000E1051"/>
    <w:rsid w:val="000E2D3C"/>
    <w:rsid w:val="000E3355"/>
    <w:rsid w:val="000E39CE"/>
    <w:rsid w:val="000E426F"/>
    <w:rsid w:val="000E5076"/>
    <w:rsid w:val="000E7E71"/>
    <w:rsid w:val="000F15BF"/>
    <w:rsid w:val="000F2D79"/>
    <w:rsid w:val="000F2EC7"/>
    <w:rsid w:val="000F339A"/>
    <w:rsid w:val="000F34AE"/>
    <w:rsid w:val="000F375C"/>
    <w:rsid w:val="000F3D76"/>
    <w:rsid w:val="000F4A0D"/>
    <w:rsid w:val="000F5183"/>
    <w:rsid w:val="000F53A5"/>
    <w:rsid w:val="000F549F"/>
    <w:rsid w:val="000F58A1"/>
    <w:rsid w:val="000F5ADE"/>
    <w:rsid w:val="000F6C3A"/>
    <w:rsid w:val="000F6F49"/>
    <w:rsid w:val="000F74C3"/>
    <w:rsid w:val="000F7D4D"/>
    <w:rsid w:val="00100318"/>
    <w:rsid w:val="00100972"/>
    <w:rsid w:val="001011F5"/>
    <w:rsid w:val="00101695"/>
    <w:rsid w:val="0010176C"/>
    <w:rsid w:val="00101C7A"/>
    <w:rsid w:val="00101D4C"/>
    <w:rsid w:val="001051BD"/>
    <w:rsid w:val="0010573F"/>
    <w:rsid w:val="00105DC4"/>
    <w:rsid w:val="00105DF6"/>
    <w:rsid w:val="0010602C"/>
    <w:rsid w:val="00110667"/>
    <w:rsid w:val="001108E1"/>
    <w:rsid w:val="001120BA"/>
    <w:rsid w:val="00113114"/>
    <w:rsid w:val="0011334A"/>
    <w:rsid w:val="001135AF"/>
    <w:rsid w:val="001144A5"/>
    <w:rsid w:val="0011451D"/>
    <w:rsid w:val="0011540C"/>
    <w:rsid w:val="00117492"/>
    <w:rsid w:val="00117497"/>
    <w:rsid w:val="00120552"/>
    <w:rsid w:val="001208EB"/>
    <w:rsid w:val="001214BE"/>
    <w:rsid w:val="00121C26"/>
    <w:rsid w:val="00122253"/>
    <w:rsid w:val="0012298F"/>
    <w:rsid w:val="00122CC4"/>
    <w:rsid w:val="00122DA3"/>
    <w:rsid w:val="00125095"/>
    <w:rsid w:val="00125CF9"/>
    <w:rsid w:val="00126384"/>
    <w:rsid w:val="00130A78"/>
    <w:rsid w:val="0013125A"/>
    <w:rsid w:val="00132348"/>
    <w:rsid w:val="0013277B"/>
    <w:rsid w:val="0013323C"/>
    <w:rsid w:val="00133ED8"/>
    <w:rsid w:val="00134C3D"/>
    <w:rsid w:val="00135216"/>
    <w:rsid w:val="00135ED4"/>
    <w:rsid w:val="00140276"/>
    <w:rsid w:val="00140347"/>
    <w:rsid w:val="001432F5"/>
    <w:rsid w:val="001463A2"/>
    <w:rsid w:val="00146E4D"/>
    <w:rsid w:val="0014762F"/>
    <w:rsid w:val="0015105F"/>
    <w:rsid w:val="0015107B"/>
    <w:rsid w:val="0015271B"/>
    <w:rsid w:val="00152771"/>
    <w:rsid w:val="00154A66"/>
    <w:rsid w:val="00157574"/>
    <w:rsid w:val="00157848"/>
    <w:rsid w:val="001578E6"/>
    <w:rsid w:val="00157A99"/>
    <w:rsid w:val="0016005C"/>
    <w:rsid w:val="00162D69"/>
    <w:rsid w:val="00162F73"/>
    <w:rsid w:val="001630FD"/>
    <w:rsid w:val="001701BA"/>
    <w:rsid w:val="00171AC0"/>
    <w:rsid w:val="001721CE"/>
    <w:rsid w:val="0017238A"/>
    <w:rsid w:val="00172679"/>
    <w:rsid w:val="00173545"/>
    <w:rsid w:val="00173798"/>
    <w:rsid w:val="00173B71"/>
    <w:rsid w:val="001748D9"/>
    <w:rsid w:val="0017501C"/>
    <w:rsid w:val="00175EAB"/>
    <w:rsid w:val="00175ED3"/>
    <w:rsid w:val="001764AD"/>
    <w:rsid w:val="00177B7F"/>
    <w:rsid w:val="00180FCD"/>
    <w:rsid w:val="00181619"/>
    <w:rsid w:val="00183427"/>
    <w:rsid w:val="00183A7F"/>
    <w:rsid w:val="001840A5"/>
    <w:rsid w:val="001867D8"/>
    <w:rsid w:val="001918C6"/>
    <w:rsid w:val="00192F24"/>
    <w:rsid w:val="00193265"/>
    <w:rsid w:val="00193B37"/>
    <w:rsid w:val="0019460E"/>
    <w:rsid w:val="001950D2"/>
    <w:rsid w:val="0019515F"/>
    <w:rsid w:val="00197C73"/>
    <w:rsid w:val="001A006F"/>
    <w:rsid w:val="001A1147"/>
    <w:rsid w:val="001A168C"/>
    <w:rsid w:val="001A18AE"/>
    <w:rsid w:val="001A1D72"/>
    <w:rsid w:val="001A24B1"/>
    <w:rsid w:val="001A24D1"/>
    <w:rsid w:val="001A253E"/>
    <w:rsid w:val="001A280F"/>
    <w:rsid w:val="001A3B78"/>
    <w:rsid w:val="001A3BD0"/>
    <w:rsid w:val="001A47C9"/>
    <w:rsid w:val="001A5755"/>
    <w:rsid w:val="001A5902"/>
    <w:rsid w:val="001A5D98"/>
    <w:rsid w:val="001A5F1A"/>
    <w:rsid w:val="001A7613"/>
    <w:rsid w:val="001A79A1"/>
    <w:rsid w:val="001A7B86"/>
    <w:rsid w:val="001A7FBC"/>
    <w:rsid w:val="001B0476"/>
    <w:rsid w:val="001B1022"/>
    <w:rsid w:val="001B27EB"/>
    <w:rsid w:val="001B4DC6"/>
    <w:rsid w:val="001B6FEF"/>
    <w:rsid w:val="001B7478"/>
    <w:rsid w:val="001B7C44"/>
    <w:rsid w:val="001C00DB"/>
    <w:rsid w:val="001C0482"/>
    <w:rsid w:val="001C0C12"/>
    <w:rsid w:val="001C279B"/>
    <w:rsid w:val="001C2C46"/>
    <w:rsid w:val="001C4114"/>
    <w:rsid w:val="001C52DF"/>
    <w:rsid w:val="001C5404"/>
    <w:rsid w:val="001C55D9"/>
    <w:rsid w:val="001C5740"/>
    <w:rsid w:val="001C666F"/>
    <w:rsid w:val="001C7E7D"/>
    <w:rsid w:val="001D12E5"/>
    <w:rsid w:val="001D1648"/>
    <w:rsid w:val="001D1B6B"/>
    <w:rsid w:val="001D28EF"/>
    <w:rsid w:val="001D2A2F"/>
    <w:rsid w:val="001D35EA"/>
    <w:rsid w:val="001D3ABE"/>
    <w:rsid w:val="001D41A4"/>
    <w:rsid w:val="001D420E"/>
    <w:rsid w:val="001D45AF"/>
    <w:rsid w:val="001D5192"/>
    <w:rsid w:val="001D6EC4"/>
    <w:rsid w:val="001D71F2"/>
    <w:rsid w:val="001E020E"/>
    <w:rsid w:val="001E11FD"/>
    <w:rsid w:val="001E3A48"/>
    <w:rsid w:val="001E3C1D"/>
    <w:rsid w:val="001E3D7D"/>
    <w:rsid w:val="001E6905"/>
    <w:rsid w:val="001E778A"/>
    <w:rsid w:val="001F0BE1"/>
    <w:rsid w:val="001F0DBB"/>
    <w:rsid w:val="001F28A2"/>
    <w:rsid w:val="001F2A11"/>
    <w:rsid w:val="001F2A72"/>
    <w:rsid w:val="001F33B5"/>
    <w:rsid w:val="001F3E3C"/>
    <w:rsid w:val="001F46C0"/>
    <w:rsid w:val="001F6030"/>
    <w:rsid w:val="001F7011"/>
    <w:rsid w:val="001F7403"/>
    <w:rsid w:val="00201099"/>
    <w:rsid w:val="0020170C"/>
    <w:rsid w:val="00202C4B"/>
    <w:rsid w:val="00204DEA"/>
    <w:rsid w:val="002054B2"/>
    <w:rsid w:val="002063BB"/>
    <w:rsid w:val="002072AE"/>
    <w:rsid w:val="002073D3"/>
    <w:rsid w:val="00207688"/>
    <w:rsid w:val="002076BB"/>
    <w:rsid w:val="00210029"/>
    <w:rsid w:val="0021210D"/>
    <w:rsid w:val="0021234E"/>
    <w:rsid w:val="00212406"/>
    <w:rsid w:val="00213C6A"/>
    <w:rsid w:val="002140D5"/>
    <w:rsid w:val="00214B2B"/>
    <w:rsid w:val="00214BB9"/>
    <w:rsid w:val="00214F5E"/>
    <w:rsid w:val="002152BC"/>
    <w:rsid w:val="00216D31"/>
    <w:rsid w:val="00217CAB"/>
    <w:rsid w:val="00221C79"/>
    <w:rsid w:val="00222811"/>
    <w:rsid w:val="00223504"/>
    <w:rsid w:val="002236A1"/>
    <w:rsid w:val="00223C01"/>
    <w:rsid w:val="0022481D"/>
    <w:rsid w:val="00224974"/>
    <w:rsid w:val="00225F2A"/>
    <w:rsid w:val="0022664C"/>
    <w:rsid w:val="00226769"/>
    <w:rsid w:val="00230AA4"/>
    <w:rsid w:val="002318C8"/>
    <w:rsid w:val="00232AA2"/>
    <w:rsid w:val="00234BD5"/>
    <w:rsid w:val="00234FD5"/>
    <w:rsid w:val="00234FDE"/>
    <w:rsid w:val="00235F0E"/>
    <w:rsid w:val="00236807"/>
    <w:rsid w:val="00240B0C"/>
    <w:rsid w:val="00241368"/>
    <w:rsid w:val="002438DF"/>
    <w:rsid w:val="00243DEA"/>
    <w:rsid w:val="0024487A"/>
    <w:rsid w:val="00245075"/>
    <w:rsid w:val="00245749"/>
    <w:rsid w:val="002467C0"/>
    <w:rsid w:val="0025083F"/>
    <w:rsid w:val="00251B03"/>
    <w:rsid w:val="00251D1C"/>
    <w:rsid w:val="0025213E"/>
    <w:rsid w:val="00252C8A"/>
    <w:rsid w:val="00252D38"/>
    <w:rsid w:val="002535EE"/>
    <w:rsid w:val="00254077"/>
    <w:rsid w:val="00254BCD"/>
    <w:rsid w:val="00255F5B"/>
    <w:rsid w:val="00257975"/>
    <w:rsid w:val="002608AC"/>
    <w:rsid w:val="00261669"/>
    <w:rsid w:val="00261768"/>
    <w:rsid w:val="00261890"/>
    <w:rsid w:val="002635BB"/>
    <w:rsid w:val="00263646"/>
    <w:rsid w:val="002658C9"/>
    <w:rsid w:val="0027073C"/>
    <w:rsid w:val="002712EE"/>
    <w:rsid w:val="00271BA9"/>
    <w:rsid w:val="002729C5"/>
    <w:rsid w:val="00272BA1"/>
    <w:rsid w:val="00273299"/>
    <w:rsid w:val="0027395C"/>
    <w:rsid w:val="0027464F"/>
    <w:rsid w:val="002750E5"/>
    <w:rsid w:val="00275721"/>
    <w:rsid w:val="00280262"/>
    <w:rsid w:val="002850F3"/>
    <w:rsid w:val="0028593F"/>
    <w:rsid w:val="00285AAD"/>
    <w:rsid w:val="00286E37"/>
    <w:rsid w:val="0028749F"/>
    <w:rsid w:val="00287B67"/>
    <w:rsid w:val="00287BAA"/>
    <w:rsid w:val="002900C3"/>
    <w:rsid w:val="002900D7"/>
    <w:rsid w:val="002911B7"/>
    <w:rsid w:val="0029171D"/>
    <w:rsid w:val="0029238E"/>
    <w:rsid w:val="002935E2"/>
    <w:rsid w:val="00295817"/>
    <w:rsid w:val="0029662F"/>
    <w:rsid w:val="00296AD0"/>
    <w:rsid w:val="00297950"/>
    <w:rsid w:val="002A09FC"/>
    <w:rsid w:val="002A0C8F"/>
    <w:rsid w:val="002A0CA3"/>
    <w:rsid w:val="002A10E0"/>
    <w:rsid w:val="002A16E0"/>
    <w:rsid w:val="002A3164"/>
    <w:rsid w:val="002A6810"/>
    <w:rsid w:val="002A68EA"/>
    <w:rsid w:val="002B15A6"/>
    <w:rsid w:val="002B3F6C"/>
    <w:rsid w:val="002B4324"/>
    <w:rsid w:val="002B5B3D"/>
    <w:rsid w:val="002B705D"/>
    <w:rsid w:val="002B724A"/>
    <w:rsid w:val="002B74CD"/>
    <w:rsid w:val="002C0553"/>
    <w:rsid w:val="002C1B0B"/>
    <w:rsid w:val="002C2C0D"/>
    <w:rsid w:val="002C449F"/>
    <w:rsid w:val="002C472B"/>
    <w:rsid w:val="002C5156"/>
    <w:rsid w:val="002C537A"/>
    <w:rsid w:val="002C5510"/>
    <w:rsid w:val="002C58B1"/>
    <w:rsid w:val="002D0030"/>
    <w:rsid w:val="002D18FC"/>
    <w:rsid w:val="002D2B64"/>
    <w:rsid w:val="002D3ED6"/>
    <w:rsid w:val="002D3F8A"/>
    <w:rsid w:val="002D5763"/>
    <w:rsid w:val="002E0991"/>
    <w:rsid w:val="002E0FDB"/>
    <w:rsid w:val="002E15B7"/>
    <w:rsid w:val="002E1704"/>
    <w:rsid w:val="002E1DDB"/>
    <w:rsid w:val="002E2446"/>
    <w:rsid w:val="002E2B06"/>
    <w:rsid w:val="002E2E0D"/>
    <w:rsid w:val="002E3542"/>
    <w:rsid w:val="002E3B99"/>
    <w:rsid w:val="002E742F"/>
    <w:rsid w:val="002E76D5"/>
    <w:rsid w:val="002F045B"/>
    <w:rsid w:val="002F0AB0"/>
    <w:rsid w:val="002F1940"/>
    <w:rsid w:val="002F1F49"/>
    <w:rsid w:val="002F2213"/>
    <w:rsid w:val="002F2F4A"/>
    <w:rsid w:val="002F464A"/>
    <w:rsid w:val="002F464F"/>
    <w:rsid w:val="002F77F0"/>
    <w:rsid w:val="002F791E"/>
    <w:rsid w:val="00300655"/>
    <w:rsid w:val="003008AF"/>
    <w:rsid w:val="003021FE"/>
    <w:rsid w:val="00303153"/>
    <w:rsid w:val="003033DA"/>
    <w:rsid w:val="00307685"/>
    <w:rsid w:val="00311D69"/>
    <w:rsid w:val="00312A0E"/>
    <w:rsid w:val="0031397E"/>
    <w:rsid w:val="00315244"/>
    <w:rsid w:val="003156BE"/>
    <w:rsid w:val="003162ED"/>
    <w:rsid w:val="0031669F"/>
    <w:rsid w:val="003170D6"/>
    <w:rsid w:val="00321184"/>
    <w:rsid w:val="00321196"/>
    <w:rsid w:val="0032169F"/>
    <w:rsid w:val="00321AC9"/>
    <w:rsid w:val="00321E3B"/>
    <w:rsid w:val="0032243E"/>
    <w:rsid w:val="003229EC"/>
    <w:rsid w:val="0032362D"/>
    <w:rsid w:val="003247B4"/>
    <w:rsid w:val="00324CB2"/>
    <w:rsid w:val="003253F8"/>
    <w:rsid w:val="003261BF"/>
    <w:rsid w:val="00326AD8"/>
    <w:rsid w:val="003308B0"/>
    <w:rsid w:val="003313DE"/>
    <w:rsid w:val="003326C9"/>
    <w:rsid w:val="00332F48"/>
    <w:rsid w:val="003354D5"/>
    <w:rsid w:val="00336042"/>
    <w:rsid w:val="00336149"/>
    <w:rsid w:val="00336565"/>
    <w:rsid w:val="003372B9"/>
    <w:rsid w:val="00340E7A"/>
    <w:rsid w:val="00342988"/>
    <w:rsid w:val="00343386"/>
    <w:rsid w:val="00343CCA"/>
    <w:rsid w:val="00345B12"/>
    <w:rsid w:val="0034623D"/>
    <w:rsid w:val="0034739A"/>
    <w:rsid w:val="00347911"/>
    <w:rsid w:val="00347BB6"/>
    <w:rsid w:val="003503D8"/>
    <w:rsid w:val="003514BD"/>
    <w:rsid w:val="00351D62"/>
    <w:rsid w:val="00352026"/>
    <w:rsid w:val="00352BAD"/>
    <w:rsid w:val="00352CC6"/>
    <w:rsid w:val="00354E0B"/>
    <w:rsid w:val="0035504E"/>
    <w:rsid w:val="0035583D"/>
    <w:rsid w:val="003560A6"/>
    <w:rsid w:val="003561AB"/>
    <w:rsid w:val="00357D07"/>
    <w:rsid w:val="003613E3"/>
    <w:rsid w:val="0036473E"/>
    <w:rsid w:val="00365870"/>
    <w:rsid w:val="0036672B"/>
    <w:rsid w:val="003668DD"/>
    <w:rsid w:val="00367A1F"/>
    <w:rsid w:val="00367E3C"/>
    <w:rsid w:val="00367E70"/>
    <w:rsid w:val="00371805"/>
    <w:rsid w:val="00371FA7"/>
    <w:rsid w:val="00372628"/>
    <w:rsid w:val="003731F8"/>
    <w:rsid w:val="00374630"/>
    <w:rsid w:val="003748CA"/>
    <w:rsid w:val="003755A4"/>
    <w:rsid w:val="0037654B"/>
    <w:rsid w:val="00376AA3"/>
    <w:rsid w:val="00380299"/>
    <w:rsid w:val="00380A03"/>
    <w:rsid w:val="00380AEF"/>
    <w:rsid w:val="00380DC2"/>
    <w:rsid w:val="00380F89"/>
    <w:rsid w:val="00384BB2"/>
    <w:rsid w:val="00386E9D"/>
    <w:rsid w:val="00387243"/>
    <w:rsid w:val="003907A8"/>
    <w:rsid w:val="0039445F"/>
    <w:rsid w:val="00394BBA"/>
    <w:rsid w:val="00395907"/>
    <w:rsid w:val="0039682D"/>
    <w:rsid w:val="00396D05"/>
    <w:rsid w:val="00396E45"/>
    <w:rsid w:val="00397365"/>
    <w:rsid w:val="0039750A"/>
    <w:rsid w:val="00397E43"/>
    <w:rsid w:val="00397F06"/>
    <w:rsid w:val="003A0117"/>
    <w:rsid w:val="003A1054"/>
    <w:rsid w:val="003A36FB"/>
    <w:rsid w:val="003A3F08"/>
    <w:rsid w:val="003A4773"/>
    <w:rsid w:val="003A4D54"/>
    <w:rsid w:val="003A55EE"/>
    <w:rsid w:val="003A56B8"/>
    <w:rsid w:val="003A6372"/>
    <w:rsid w:val="003A7612"/>
    <w:rsid w:val="003B0352"/>
    <w:rsid w:val="003B0C61"/>
    <w:rsid w:val="003B1B9E"/>
    <w:rsid w:val="003B2114"/>
    <w:rsid w:val="003B288E"/>
    <w:rsid w:val="003B40AC"/>
    <w:rsid w:val="003B468B"/>
    <w:rsid w:val="003B49A8"/>
    <w:rsid w:val="003B53FE"/>
    <w:rsid w:val="003B65F5"/>
    <w:rsid w:val="003C2943"/>
    <w:rsid w:val="003C6B5B"/>
    <w:rsid w:val="003D1501"/>
    <w:rsid w:val="003D1E91"/>
    <w:rsid w:val="003D25ED"/>
    <w:rsid w:val="003D3ECB"/>
    <w:rsid w:val="003D4FBF"/>
    <w:rsid w:val="003D653A"/>
    <w:rsid w:val="003D6B6E"/>
    <w:rsid w:val="003E0223"/>
    <w:rsid w:val="003E028A"/>
    <w:rsid w:val="003E0C91"/>
    <w:rsid w:val="003E17ED"/>
    <w:rsid w:val="003E2CAA"/>
    <w:rsid w:val="003E2F35"/>
    <w:rsid w:val="003E4C9E"/>
    <w:rsid w:val="003E6F75"/>
    <w:rsid w:val="003E750A"/>
    <w:rsid w:val="003F01D4"/>
    <w:rsid w:val="003F1109"/>
    <w:rsid w:val="003F175B"/>
    <w:rsid w:val="003F1CF6"/>
    <w:rsid w:val="003F2DD7"/>
    <w:rsid w:val="003F370F"/>
    <w:rsid w:val="003F3B08"/>
    <w:rsid w:val="003F3D9F"/>
    <w:rsid w:val="003F4F58"/>
    <w:rsid w:val="003F62B1"/>
    <w:rsid w:val="003F6D00"/>
    <w:rsid w:val="003F6E79"/>
    <w:rsid w:val="003F7D6E"/>
    <w:rsid w:val="003F7F24"/>
    <w:rsid w:val="00400701"/>
    <w:rsid w:val="00400B34"/>
    <w:rsid w:val="00401141"/>
    <w:rsid w:val="00401273"/>
    <w:rsid w:val="00406019"/>
    <w:rsid w:val="004079A8"/>
    <w:rsid w:val="00410D55"/>
    <w:rsid w:val="00411514"/>
    <w:rsid w:val="00412E3C"/>
    <w:rsid w:val="00412E86"/>
    <w:rsid w:val="00414C42"/>
    <w:rsid w:val="00414EF0"/>
    <w:rsid w:val="00416956"/>
    <w:rsid w:val="0041715D"/>
    <w:rsid w:val="0042012C"/>
    <w:rsid w:val="00420D36"/>
    <w:rsid w:val="004227D0"/>
    <w:rsid w:val="00424081"/>
    <w:rsid w:val="004240F3"/>
    <w:rsid w:val="00425969"/>
    <w:rsid w:val="00426AA2"/>
    <w:rsid w:val="004302F4"/>
    <w:rsid w:val="00432D4B"/>
    <w:rsid w:val="00433210"/>
    <w:rsid w:val="0043527B"/>
    <w:rsid w:val="00435B90"/>
    <w:rsid w:val="004366CF"/>
    <w:rsid w:val="004402B4"/>
    <w:rsid w:val="004418D7"/>
    <w:rsid w:val="004425A5"/>
    <w:rsid w:val="004425FA"/>
    <w:rsid w:val="00442C49"/>
    <w:rsid w:val="004435CA"/>
    <w:rsid w:val="00443929"/>
    <w:rsid w:val="00445880"/>
    <w:rsid w:val="00447397"/>
    <w:rsid w:val="00447AFE"/>
    <w:rsid w:val="00451653"/>
    <w:rsid w:val="004516DF"/>
    <w:rsid w:val="00452785"/>
    <w:rsid w:val="004533B0"/>
    <w:rsid w:val="00453722"/>
    <w:rsid w:val="00454811"/>
    <w:rsid w:val="00456037"/>
    <w:rsid w:val="004566D7"/>
    <w:rsid w:val="004579A7"/>
    <w:rsid w:val="00460FDF"/>
    <w:rsid w:val="00461F76"/>
    <w:rsid w:val="00462152"/>
    <w:rsid w:val="004639C7"/>
    <w:rsid w:val="00464B13"/>
    <w:rsid w:val="0046767A"/>
    <w:rsid w:val="00467C40"/>
    <w:rsid w:val="0047092B"/>
    <w:rsid w:val="00470C16"/>
    <w:rsid w:val="00470C35"/>
    <w:rsid w:val="00471C50"/>
    <w:rsid w:val="004727B5"/>
    <w:rsid w:val="00473652"/>
    <w:rsid w:val="0047446D"/>
    <w:rsid w:val="004756F4"/>
    <w:rsid w:val="0047744D"/>
    <w:rsid w:val="00477461"/>
    <w:rsid w:val="00477CAC"/>
    <w:rsid w:val="0048000C"/>
    <w:rsid w:val="00481270"/>
    <w:rsid w:val="00481813"/>
    <w:rsid w:val="00481843"/>
    <w:rsid w:val="00482388"/>
    <w:rsid w:val="0048456E"/>
    <w:rsid w:val="00484E60"/>
    <w:rsid w:val="00484F67"/>
    <w:rsid w:val="00485835"/>
    <w:rsid w:val="0048745A"/>
    <w:rsid w:val="0049007F"/>
    <w:rsid w:val="00490145"/>
    <w:rsid w:val="00490A6E"/>
    <w:rsid w:val="00491672"/>
    <w:rsid w:val="004926BF"/>
    <w:rsid w:val="00493622"/>
    <w:rsid w:val="00494262"/>
    <w:rsid w:val="00495BEF"/>
    <w:rsid w:val="004A0B76"/>
    <w:rsid w:val="004A284F"/>
    <w:rsid w:val="004A5EBE"/>
    <w:rsid w:val="004A7570"/>
    <w:rsid w:val="004A7717"/>
    <w:rsid w:val="004B0E08"/>
    <w:rsid w:val="004B2A69"/>
    <w:rsid w:val="004B4F01"/>
    <w:rsid w:val="004B5827"/>
    <w:rsid w:val="004B5CAF"/>
    <w:rsid w:val="004B6FCA"/>
    <w:rsid w:val="004C08CE"/>
    <w:rsid w:val="004C3273"/>
    <w:rsid w:val="004C43A1"/>
    <w:rsid w:val="004C4793"/>
    <w:rsid w:val="004C6AC5"/>
    <w:rsid w:val="004C6B0F"/>
    <w:rsid w:val="004C6C65"/>
    <w:rsid w:val="004C7876"/>
    <w:rsid w:val="004D00B6"/>
    <w:rsid w:val="004D1B5C"/>
    <w:rsid w:val="004D206E"/>
    <w:rsid w:val="004D219B"/>
    <w:rsid w:val="004D2273"/>
    <w:rsid w:val="004D2DA9"/>
    <w:rsid w:val="004D375F"/>
    <w:rsid w:val="004D511A"/>
    <w:rsid w:val="004D5240"/>
    <w:rsid w:val="004D550E"/>
    <w:rsid w:val="004D560B"/>
    <w:rsid w:val="004D6788"/>
    <w:rsid w:val="004E0246"/>
    <w:rsid w:val="004E0875"/>
    <w:rsid w:val="004E0B11"/>
    <w:rsid w:val="004E0E19"/>
    <w:rsid w:val="004E1EA5"/>
    <w:rsid w:val="004E2F57"/>
    <w:rsid w:val="004E335C"/>
    <w:rsid w:val="004E3E52"/>
    <w:rsid w:val="004E42CF"/>
    <w:rsid w:val="004E5A7A"/>
    <w:rsid w:val="004E60C6"/>
    <w:rsid w:val="004E7006"/>
    <w:rsid w:val="004E76B3"/>
    <w:rsid w:val="004E77C8"/>
    <w:rsid w:val="004F09CE"/>
    <w:rsid w:val="004F0A1F"/>
    <w:rsid w:val="004F2F7A"/>
    <w:rsid w:val="004F3A0F"/>
    <w:rsid w:val="004F5EB1"/>
    <w:rsid w:val="00500232"/>
    <w:rsid w:val="00500F48"/>
    <w:rsid w:val="00501259"/>
    <w:rsid w:val="005017F4"/>
    <w:rsid w:val="0050286E"/>
    <w:rsid w:val="00504A98"/>
    <w:rsid w:val="00505032"/>
    <w:rsid w:val="00505410"/>
    <w:rsid w:val="0051062C"/>
    <w:rsid w:val="005117A5"/>
    <w:rsid w:val="005117DF"/>
    <w:rsid w:val="005129D1"/>
    <w:rsid w:val="00514287"/>
    <w:rsid w:val="005148EE"/>
    <w:rsid w:val="00514A1D"/>
    <w:rsid w:val="00515CF8"/>
    <w:rsid w:val="00517E82"/>
    <w:rsid w:val="00520954"/>
    <w:rsid w:val="0052166C"/>
    <w:rsid w:val="005217EC"/>
    <w:rsid w:val="00524D6F"/>
    <w:rsid w:val="00525257"/>
    <w:rsid w:val="005254C7"/>
    <w:rsid w:val="005259C9"/>
    <w:rsid w:val="005274BF"/>
    <w:rsid w:val="00530AED"/>
    <w:rsid w:val="00535BF7"/>
    <w:rsid w:val="00536FB6"/>
    <w:rsid w:val="005406A9"/>
    <w:rsid w:val="00540957"/>
    <w:rsid w:val="00541A22"/>
    <w:rsid w:val="00543355"/>
    <w:rsid w:val="005438F5"/>
    <w:rsid w:val="005449BC"/>
    <w:rsid w:val="00545499"/>
    <w:rsid w:val="00545B17"/>
    <w:rsid w:val="00546718"/>
    <w:rsid w:val="005468CB"/>
    <w:rsid w:val="00550701"/>
    <w:rsid w:val="0055161D"/>
    <w:rsid w:val="00552037"/>
    <w:rsid w:val="00552695"/>
    <w:rsid w:val="00552AF5"/>
    <w:rsid w:val="00553CA9"/>
    <w:rsid w:val="00555FC2"/>
    <w:rsid w:val="00556474"/>
    <w:rsid w:val="00556D26"/>
    <w:rsid w:val="00556DD7"/>
    <w:rsid w:val="0055745A"/>
    <w:rsid w:val="00560037"/>
    <w:rsid w:val="00560273"/>
    <w:rsid w:val="00561A80"/>
    <w:rsid w:val="00562115"/>
    <w:rsid w:val="00562B2A"/>
    <w:rsid w:val="00563DC4"/>
    <w:rsid w:val="00563DF0"/>
    <w:rsid w:val="00564DC4"/>
    <w:rsid w:val="005654C2"/>
    <w:rsid w:val="00565DD2"/>
    <w:rsid w:val="00565F98"/>
    <w:rsid w:val="00566372"/>
    <w:rsid w:val="005666FC"/>
    <w:rsid w:val="00566BFB"/>
    <w:rsid w:val="00567351"/>
    <w:rsid w:val="005700FE"/>
    <w:rsid w:val="0057082D"/>
    <w:rsid w:val="0057155D"/>
    <w:rsid w:val="0057221F"/>
    <w:rsid w:val="00572846"/>
    <w:rsid w:val="005731D7"/>
    <w:rsid w:val="005753E1"/>
    <w:rsid w:val="005765A6"/>
    <w:rsid w:val="00580B6D"/>
    <w:rsid w:val="00580F01"/>
    <w:rsid w:val="00581756"/>
    <w:rsid w:val="005823F7"/>
    <w:rsid w:val="00582B6D"/>
    <w:rsid w:val="005839F9"/>
    <w:rsid w:val="00584F07"/>
    <w:rsid w:val="00587944"/>
    <w:rsid w:val="00590072"/>
    <w:rsid w:val="0059063A"/>
    <w:rsid w:val="0059129D"/>
    <w:rsid w:val="0059207A"/>
    <w:rsid w:val="00595A52"/>
    <w:rsid w:val="00596302"/>
    <w:rsid w:val="005963EC"/>
    <w:rsid w:val="0059788A"/>
    <w:rsid w:val="00597F6A"/>
    <w:rsid w:val="005A2627"/>
    <w:rsid w:val="005A4236"/>
    <w:rsid w:val="005A5FBF"/>
    <w:rsid w:val="005A6BE7"/>
    <w:rsid w:val="005A71FA"/>
    <w:rsid w:val="005A730B"/>
    <w:rsid w:val="005B1446"/>
    <w:rsid w:val="005B2C1B"/>
    <w:rsid w:val="005B2F8A"/>
    <w:rsid w:val="005B5C63"/>
    <w:rsid w:val="005B6244"/>
    <w:rsid w:val="005B682A"/>
    <w:rsid w:val="005B7B68"/>
    <w:rsid w:val="005C01D8"/>
    <w:rsid w:val="005C062F"/>
    <w:rsid w:val="005C117F"/>
    <w:rsid w:val="005C1FE1"/>
    <w:rsid w:val="005C3C93"/>
    <w:rsid w:val="005C4D0F"/>
    <w:rsid w:val="005C51CC"/>
    <w:rsid w:val="005C5859"/>
    <w:rsid w:val="005C5C52"/>
    <w:rsid w:val="005C7880"/>
    <w:rsid w:val="005D0661"/>
    <w:rsid w:val="005D0744"/>
    <w:rsid w:val="005D11B1"/>
    <w:rsid w:val="005D1624"/>
    <w:rsid w:val="005D2A43"/>
    <w:rsid w:val="005D3E46"/>
    <w:rsid w:val="005D4A34"/>
    <w:rsid w:val="005E1218"/>
    <w:rsid w:val="005E1408"/>
    <w:rsid w:val="005E22E8"/>
    <w:rsid w:val="005E3631"/>
    <w:rsid w:val="005E459D"/>
    <w:rsid w:val="005E4AAE"/>
    <w:rsid w:val="005E556F"/>
    <w:rsid w:val="005E60C5"/>
    <w:rsid w:val="005E746E"/>
    <w:rsid w:val="005F0BB0"/>
    <w:rsid w:val="005F1470"/>
    <w:rsid w:val="005F1AFE"/>
    <w:rsid w:val="005F4320"/>
    <w:rsid w:val="005F498C"/>
    <w:rsid w:val="005F4A1A"/>
    <w:rsid w:val="005F579F"/>
    <w:rsid w:val="005F58BC"/>
    <w:rsid w:val="005F62AB"/>
    <w:rsid w:val="005F6D26"/>
    <w:rsid w:val="005F707D"/>
    <w:rsid w:val="005F70E6"/>
    <w:rsid w:val="005F7E51"/>
    <w:rsid w:val="005F7F59"/>
    <w:rsid w:val="0060067E"/>
    <w:rsid w:val="006015F4"/>
    <w:rsid w:val="00602AA8"/>
    <w:rsid w:val="00603CF0"/>
    <w:rsid w:val="006040EF"/>
    <w:rsid w:val="00604B01"/>
    <w:rsid w:val="00605F58"/>
    <w:rsid w:val="0060629A"/>
    <w:rsid w:val="00606B40"/>
    <w:rsid w:val="00606B61"/>
    <w:rsid w:val="00606DBD"/>
    <w:rsid w:val="00606DD8"/>
    <w:rsid w:val="006070A8"/>
    <w:rsid w:val="00607995"/>
    <w:rsid w:val="00610B29"/>
    <w:rsid w:val="00613CD9"/>
    <w:rsid w:val="006151E3"/>
    <w:rsid w:val="00616521"/>
    <w:rsid w:val="00617286"/>
    <w:rsid w:val="0061768D"/>
    <w:rsid w:val="00620582"/>
    <w:rsid w:val="0062060E"/>
    <w:rsid w:val="00621571"/>
    <w:rsid w:val="00623D3F"/>
    <w:rsid w:val="0062483F"/>
    <w:rsid w:val="0062548A"/>
    <w:rsid w:val="006264BE"/>
    <w:rsid w:val="00631537"/>
    <w:rsid w:val="00632976"/>
    <w:rsid w:val="00632D36"/>
    <w:rsid w:val="00633F27"/>
    <w:rsid w:val="00634C0B"/>
    <w:rsid w:val="00635FA4"/>
    <w:rsid w:val="006368ED"/>
    <w:rsid w:val="006412B1"/>
    <w:rsid w:val="006418A6"/>
    <w:rsid w:val="00642C82"/>
    <w:rsid w:val="00647B06"/>
    <w:rsid w:val="00650FFF"/>
    <w:rsid w:val="00651212"/>
    <w:rsid w:val="00651235"/>
    <w:rsid w:val="0065123F"/>
    <w:rsid w:val="006520E1"/>
    <w:rsid w:val="00652A6F"/>
    <w:rsid w:val="006538C1"/>
    <w:rsid w:val="00653A77"/>
    <w:rsid w:val="00655889"/>
    <w:rsid w:val="0065669C"/>
    <w:rsid w:val="0065785B"/>
    <w:rsid w:val="0066021C"/>
    <w:rsid w:val="00660C6B"/>
    <w:rsid w:val="00661244"/>
    <w:rsid w:val="00661334"/>
    <w:rsid w:val="00661378"/>
    <w:rsid w:val="006616EA"/>
    <w:rsid w:val="0066358C"/>
    <w:rsid w:val="00663E0A"/>
    <w:rsid w:val="006644DC"/>
    <w:rsid w:val="00664ACC"/>
    <w:rsid w:val="00667E55"/>
    <w:rsid w:val="00670236"/>
    <w:rsid w:val="00670271"/>
    <w:rsid w:val="00670D06"/>
    <w:rsid w:val="006723EA"/>
    <w:rsid w:val="00675F88"/>
    <w:rsid w:val="006771A0"/>
    <w:rsid w:val="00677932"/>
    <w:rsid w:val="006819E7"/>
    <w:rsid w:val="00684404"/>
    <w:rsid w:val="00685738"/>
    <w:rsid w:val="006862D5"/>
    <w:rsid w:val="00686614"/>
    <w:rsid w:val="00686802"/>
    <w:rsid w:val="00686F9A"/>
    <w:rsid w:val="0068718C"/>
    <w:rsid w:val="00687594"/>
    <w:rsid w:val="00687C8B"/>
    <w:rsid w:val="00687E01"/>
    <w:rsid w:val="00692C1D"/>
    <w:rsid w:val="0069380F"/>
    <w:rsid w:val="00693843"/>
    <w:rsid w:val="00694449"/>
    <w:rsid w:val="006976EF"/>
    <w:rsid w:val="00697F44"/>
    <w:rsid w:val="00697F90"/>
    <w:rsid w:val="006A0928"/>
    <w:rsid w:val="006A0E88"/>
    <w:rsid w:val="006A2C2F"/>
    <w:rsid w:val="006A2DC0"/>
    <w:rsid w:val="006A33DF"/>
    <w:rsid w:val="006A4E65"/>
    <w:rsid w:val="006B34B1"/>
    <w:rsid w:val="006B4003"/>
    <w:rsid w:val="006B57F6"/>
    <w:rsid w:val="006B6521"/>
    <w:rsid w:val="006B757D"/>
    <w:rsid w:val="006B75CD"/>
    <w:rsid w:val="006C0827"/>
    <w:rsid w:val="006C2310"/>
    <w:rsid w:val="006C233A"/>
    <w:rsid w:val="006C2C9F"/>
    <w:rsid w:val="006C36C3"/>
    <w:rsid w:val="006C4A57"/>
    <w:rsid w:val="006C5342"/>
    <w:rsid w:val="006C5DA4"/>
    <w:rsid w:val="006C6700"/>
    <w:rsid w:val="006C68C6"/>
    <w:rsid w:val="006C69CA"/>
    <w:rsid w:val="006C7C7B"/>
    <w:rsid w:val="006D0257"/>
    <w:rsid w:val="006D03C1"/>
    <w:rsid w:val="006D2E17"/>
    <w:rsid w:val="006D3842"/>
    <w:rsid w:val="006D69C2"/>
    <w:rsid w:val="006E031F"/>
    <w:rsid w:val="006E0667"/>
    <w:rsid w:val="006E0C8F"/>
    <w:rsid w:val="006E1F69"/>
    <w:rsid w:val="006E34AF"/>
    <w:rsid w:val="006E35D3"/>
    <w:rsid w:val="006E4035"/>
    <w:rsid w:val="006E48FA"/>
    <w:rsid w:val="006E4C94"/>
    <w:rsid w:val="006E52F5"/>
    <w:rsid w:val="006E608B"/>
    <w:rsid w:val="006E6C45"/>
    <w:rsid w:val="006F52BF"/>
    <w:rsid w:val="006F6DE8"/>
    <w:rsid w:val="006F72E1"/>
    <w:rsid w:val="006F7C8A"/>
    <w:rsid w:val="006F7E01"/>
    <w:rsid w:val="00700D55"/>
    <w:rsid w:val="007010D0"/>
    <w:rsid w:val="0070179A"/>
    <w:rsid w:val="0070194C"/>
    <w:rsid w:val="007034A1"/>
    <w:rsid w:val="00703663"/>
    <w:rsid w:val="00703F83"/>
    <w:rsid w:val="007045BF"/>
    <w:rsid w:val="007046F2"/>
    <w:rsid w:val="007058A1"/>
    <w:rsid w:val="00706092"/>
    <w:rsid w:val="007064C9"/>
    <w:rsid w:val="0070668F"/>
    <w:rsid w:val="0070705F"/>
    <w:rsid w:val="007074A7"/>
    <w:rsid w:val="007079DC"/>
    <w:rsid w:val="0071004B"/>
    <w:rsid w:val="0071063B"/>
    <w:rsid w:val="00711A2B"/>
    <w:rsid w:val="00712B16"/>
    <w:rsid w:val="007136B4"/>
    <w:rsid w:val="00713EFF"/>
    <w:rsid w:val="007157F5"/>
    <w:rsid w:val="00715920"/>
    <w:rsid w:val="00716E56"/>
    <w:rsid w:val="007205F9"/>
    <w:rsid w:val="007214E0"/>
    <w:rsid w:val="00723D05"/>
    <w:rsid w:val="00723F40"/>
    <w:rsid w:val="0072408F"/>
    <w:rsid w:val="0072470D"/>
    <w:rsid w:val="007247C1"/>
    <w:rsid w:val="00724BEC"/>
    <w:rsid w:val="007251D5"/>
    <w:rsid w:val="00725A5B"/>
    <w:rsid w:val="00727522"/>
    <w:rsid w:val="0072787F"/>
    <w:rsid w:val="00727DE7"/>
    <w:rsid w:val="0073264A"/>
    <w:rsid w:val="0073304E"/>
    <w:rsid w:val="0073339A"/>
    <w:rsid w:val="007337FF"/>
    <w:rsid w:val="007346F2"/>
    <w:rsid w:val="007347BB"/>
    <w:rsid w:val="00734B24"/>
    <w:rsid w:val="0073577C"/>
    <w:rsid w:val="00735E67"/>
    <w:rsid w:val="00736D52"/>
    <w:rsid w:val="00737D59"/>
    <w:rsid w:val="00740154"/>
    <w:rsid w:val="00740937"/>
    <w:rsid w:val="007413D7"/>
    <w:rsid w:val="00741887"/>
    <w:rsid w:val="007418E7"/>
    <w:rsid w:val="00743C0F"/>
    <w:rsid w:val="0074407D"/>
    <w:rsid w:val="00744D4F"/>
    <w:rsid w:val="00745E50"/>
    <w:rsid w:val="00747101"/>
    <w:rsid w:val="007473D1"/>
    <w:rsid w:val="007504DD"/>
    <w:rsid w:val="0075074E"/>
    <w:rsid w:val="007507DD"/>
    <w:rsid w:val="0075131B"/>
    <w:rsid w:val="007518E8"/>
    <w:rsid w:val="0075407E"/>
    <w:rsid w:val="007549D8"/>
    <w:rsid w:val="00755057"/>
    <w:rsid w:val="00755245"/>
    <w:rsid w:val="00755259"/>
    <w:rsid w:val="00755708"/>
    <w:rsid w:val="00756C4C"/>
    <w:rsid w:val="00760162"/>
    <w:rsid w:val="00760C84"/>
    <w:rsid w:val="00761B4A"/>
    <w:rsid w:val="00761FEC"/>
    <w:rsid w:val="007634F5"/>
    <w:rsid w:val="00765FFB"/>
    <w:rsid w:val="0076642F"/>
    <w:rsid w:val="00767B79"/>
    <w:rsid w:val="00767CA7"/>
    <w:rsid w:val="007709CD"/>
    <w:rsid w:val="007727FD"/>
    <w:rsid w:val="0077314E"/>
    <w:rsid w:val="00774447"/>
    <w:rsid w:val="007757B3"/>
    <w:rsid w:val="00776067"/>
    <w:rsid w:val="0077649D"/>
    <w:rsid w:val="00776639"/>
    <w:rsid w:val="00777436"/>
    <w:rsid w:val="0077760A"/>
    <w:rsid w:val="00780716"/>
    <w:rsid w:val="0078135F"/>
    <w:rsid w:val="0078363F"/>
    <w:rsid w:val="007852BD"/>
    <w:rsid w:val="00785547"/>
    <w:rsid w:val="00785A0D"/>
    <w:rsid w:val="00786497"/>
    <w:rsid w:val="00786562"/>
    <w:rsid w:val="0078729E"/>
    <w:rsid w:val="00787F0A"/>
    <w:rsid w:val="00791088"/>
    <w:rsid w:val="00791937"/>
    <w:rsid w:val="00791F3A"/>
    <w:rsid w:val="00792EB2"/>
    <w:rsid w:val="00793336"/>
    <w:rsid w:val="007950BB"/>
    <w:rsid w:val="00795199"/>
    <w:rsid w:val="00796C70"/>
    <w:rsid w:val="007975B7"/>
    <w:rsid w:val="007A286C"/>
    <w:rsid w:val="007A3327"/>
    <w:rsid w:val="007A3FC9"/>
    <w:rsid w:val="007A467F"/>
    <w:rsid w:val="007A46C3"/>
    <w:rsid w:val="007A54D9"/>
    <w:rsid w:val="007A6D17"/>
    <w:rsid w:val="007A7491"/>
    <w:rsid w:val="007B0C9F"/>
    <w:rsid w:val="007B3ECF"/>
    <w:rsid w:val="007B5778"/>
    <w:rsid w:val="007B6ACB"/>
    <w:rsid w:val="007B6CB9"/>
    <w:rsid w:val="007B7CCC"/>
    <w:rsid w:val="007C00FC"/>
    <w:rsid w:val="007C097E"/>
    <w:rsid w:val="007C0E7B"/>
    <w:rsid w:val="007C21BF"/>
    <w:rsid w:val="007C256D"/>
    <w:rsid w:val="007C2729"/>
    <w:rsid w:val="007C2BFF"/>
    <w:rsid w:val="007C3CB5"/>
    <w:rsid w:val="007C4312"/>
    <w:rsid w:val="007C4963"/>
    <w:rsid w:val="007C5188"/>
    <w:rsid w:val="007C5715"/>
    <w:rsid w:val="007C66F0"/>
    <w:rsid w:val="007C6DC9"/>
    <w:rsid w:val="007C7CCB"/>
    <w:rsid w:val="007D0A3C"/>
    <w:rsid w:val="007D36EA"/>
    <w:rsid w:val="007D4021"/>
    <w:rsid w:val="007D4B7F"/>
    <w:rsid w:val="007D6089"/>
    <w:rsid w:val="007D6953"/>
    <w:rsid w:val="007E0952"/>
    <w:rsid w:val="007E4CD5"/>
    <w:rsid w:val="007E6197"/>
    <w:rsid w:val="007E658D"/>
    <w:rsid w:val="007F04AE"/>
    <w:rsid w:val="007F1706"/>
    <w:rsid w:val="007F341D"/>
    <w:rsid w:val="007F3670"/>
    <w:rsid w:val="007F3673"/>
    <w:rsid w:val="007F3FD4"/>
    <w:rsid w:val="007F4BA0"/>
    <w:rsid w:val="007F58AE"/>
    <w:rsid w:val="007F6809"/>
    <w:rsid w:val="007F7A37"/>
    <w:rsid w:val="008001B3"/>
    <w:rsid w:val="008007D1"/>
    <w:rsid w:val="00800AC8"/>
    <w:rsid w:val="00802BBB"/>
    <w:rsid w:val="00802D96"/>
    <w:rsid w:val="008031FC"/>
    <w:rsid w:val="008032CB"/>
    <w:rsid w:val="008033CC"/>
    <w:rsid w:val="00804566"/>
    <w:rsid w:val="008045EB"/>
    <w:rsid w:val="00806951"/>
    <w:rsid w:val="0080762D"/>
    <w:rsid w:val="008106C6"/>
    <w:rsid w:val="00810B25"/>
    <w:rsid w:val="0081126F"/>
    <w:rsid w:val="00811A3A"/>
    <w:rsid w:val="00811AA6"/>
    <w:rsid w:val="00812624"/>
    <w:rsid w:val="008143C9"/>
    <w:rsid w:val="0081501C"/>
    <w:rsid w:val="00815A49"/>
    <w:rsid w:val="00815BF6"/>
    <w:rsid w:val="008246CC"/>
    <w:rsid w:val="00827E7E"/>
    <w:rsid w:val="008310A7"/>
    <w:rsid w:val="0083245E"/>
    <w:rsid w:val="008327D3"/>
    <w:rsid w:val="00832AB1"/>
    <w:rsid w:val="0083333D"/>
    <w:rsid w:val="00834751"/>
    <w:rsid w:val="008356A0"/>
    <w:rsid w:val="00835C97"/>
    <w:rsid w:val="00837824"/>
    <w:rsid w:val="00840E7D"/>
    <w:rsid w:val="00842B48"/>
    <w:rsid w:val="0084307E"/>
    <w:rsid w:val="00843554"/>
    <w:rsid w:val="00844C8B"/>
    <w:rsid w:val="0084747C"/>
    <w:rsid w:val="008500D9"/>
    <w:rsid w:val="008514F0"/>
    <w:rsid w:val="00851659"/>
    <w:rsid w:val="00852687"/>
    <w:rsid w:val="008535A3"/>
    <w:rsid w:val="00854494"/>
    <w:rsid w:val="00857A3E"/>
    <w:rsid w:val="008604A5"/>
    <w:rsid w:val="0086184B"/>
    <w:rsid w:val="00862C53"/>
    <w:rsid w:val="0086317C"/>
    <w:rsid w:val="00863D52"/>
    <w:rsid w:val="00863E34"/>
    <w:rsid w:val="00864842"/>
    <w:rsid w:val="00865A24"/>
    <w:rsid w:val="00866A44"/>
    <w:rsid w:val="00867463"/>
    <w:rsid w:val="008678F2"/>
    <w:rsid w:val="00867AD7"/>
    <w:rsid w:val="00870352"/>
    <w:rsid w:val="00871DB8"/>
    <w:rsid w:val="0087248B"/>
    <w:rsid w:val="008739FD"/>
    <w:rsid w:val="00874139"/>
    <w:rsid w:val="00874F9A"/>
    <w:rsid w:val="00875DA9"/>
    <w:rsid w:val="008761B7"/>
    <w:rsid w:val="00876D11"/>
    <w:rsid w:val="00881367"/>
    <w:rsid w:val="00881418"/>
    <w:rsid w:val="00881873"/>
    <w:rsid w:val="00883C9D"/>
    <w:rsid w:val="00883D03"/>
    <w:rsid w:val="00885E4F"/>
    <w:rsid w:val="0088621A"/>
    <w:rsid w:val="008878D2"/>
    <w:rsid w:val="00887BE0"/>
    <w:rsid w:val="0089014E"/>
    <w:rsid w:val="00890538"/>
    <w:rsid w:val="00890D4E"/>
    <w:rsid w:val="00890FE3"/>
    <w:rsid w:val="008923C9"/>
    <w:rsid w:val="00893708"/>
    <w:rsid w:val="00894908"/>
    <w:rsid w:val="00896659"/>
    <w:rsid w:val="008970BB"/>
    <w:rsid w:val="008A0991"/>
    <w:rsid w:val="008A3391"/>
    <w:rsid w:val="008A50C0"/>
    <w:rsid w:val="008A6EAB"/>
    <w:rsid w:val="008A765E"/>
    <w:rsid w:val="008A7C27"/>
    <w:rsid w:val="008B0044"/>
    <w:rsid w:val="008B0C24"/>
    <w:rsid w:val="008B0C81"/>
    <w:rsid w:val="008B1FF0"/>
    <w:rsid w:val="008B2CD9"/>
    <w:rsid w:val="008B3C8B"/>
    <w:rsid w:val="008B48C0"/>
    <w:rsid w:val="008B497C"/>
    <w:rsid w:val="008B5835"/>
    <w:rsid w:val="008B58A2"/>
    <w:rsid w:val="008C0281"/>
    <w:rsid w:val="008C15EA"/>
    <w:rsid w:val="008C6F04"/>
    <w:rsid w:val="008C7820"/>
    <w:rsid w:val="008C7B0E"/>
    <w:rsid w:val="008C7C54"/>
    <w:rsid w:val="008C7D24"/>
    <w:rsid w:val="008D01FB"/>
    <w:rsid w:val="008D0B95"/>
    <w:rsid w:val="008D0D3B"/>
    <w:rsid w:val="008D1A7C"/>
    <w:rsid w:val="008D1C35"/>
    <w:rsid w:val="008D1DCB"/>
    <w:rsid w:val="008D2206"/>
    <w:rsid w:val="008D47F7"/>
    <w:rsid w:val="008D4D15"/>
    <w:rsid w:val="008D5986"/>
    <w:rsid w:val="008D5EDA"/>
    <w:rsid w:val="008D6795"/>
    <w:rsid w:val="008D6AD6"/>
    <w:rsid w:val="008D725D"/>
    <w:rsid w:val="008D7CC5"/>
    <w:rsid w:val="008E1775"/>
    <w:rsid w:val="008E19A6"/>
    <w:rsid w:val="008E286D"/>
    <w:rsid w:val="008E309B"/>
    <w:rsid w:val="008E31D3"/>
    <w:rsid w:val="008E3AAB"/>
    <w:rsid w:val="008E3D88"/>
    <w:rsid w:val="008E3E5F"/>
    <w:rsid w:val="008E410D"/>
    <w:rsid w:val="008E46C3"/>
    <w:rsid w:val="008E5064"/>
    <w:rsid w:val="008E5A62"/>
    <w:rsid w:val="008E665E"/>
    <w:rsid w:val="008F0BA4"/>
    <w:rsid w:val="008F177D"/>
    <w:rsid w:val="008F21BF"/>
    <w:rsid w:val="008F225A"/>
    <w:rsid w:val="008F2C5C"/>
    <w:rsid w:val="008F2C94"/>
    <w:rsid w:val="008F4475"/>
    <w:rsid w:val="008F5C02"/>
    <w:rsid w:val="008F5D6B"/>
    <w:rsid w:val="008F681A"/>
    <w:rsid w:val="008F69C1"/>
    <w:rsid w:val="008F7B54"/>
    <w:rsid w:val="0090001C"/>
    <w:rsid w:val="0090094D"/>
    <w:rsid w:val="00900D7C"/>
    <w:rsid w:val="0090298E"/>
    <w:rsid w:val="00902E6F"/>
    <w:rsid w:val="00903DCD"/>
    <w:rsid w:val="00905193"/>
    <w:rsid w:val="009053F8"/>
    <w:rsid w:val="00906AEC"/>
    <w:rsid w:val="00906F78"/>
    <w:rsid w:val="00907587"/>
    <w:rsid w:val="0091257E"/>
    <w:rsid w:val="00912E21"/>
    <w:rsid w:val="00915C52"/>
    <w:rsid w:val="00920B2C"/>
    <w:rsid w:val="00920C75"/>
    <w:rsid w:val="00920CA3"/>
    <w:rsid w:val="00921DBE"/>
    <w:rsid w:val="00921E14"/>
    <w:rsid w:val="0092291C"/>
    <w:rsid w:val="00924AB3"/>
    <w:rsid w:val="00924D1C"/>
    <w:rsid w:val="00925078"/>
    <w:rsid w:val="00926741"/>
    <w:rsid w:val="009270CC"/>
    <w:rsid w:val="0092773E"/>
    <w:rsid w:val="009302DE"/>
    <w:rsid w:val="00930BB8"/>
    <w:rsid w:val="009312B3"/>
    <w:rsid w:val="00931EB6"/>
    <w:rsid w:val="00935F71"/>
    <w:rsid w:val="0093662C"/>
    <w:rsid w:val="00937330"/>
    <w:rsid w:val="00940514"/>
    <w:rsid w:val="0094236E"/>
    <w:rsid w:val="009430B3"/>
    <w:rsid w:val="00943BBB"/>
    <w:rsid w:val="009455BA"/>
    <w:rsid w:val="0094636A"/>
    <w:rsid w:val="00946A04"/>
    <w:rsid w:val="00946D16"/>
    <w:rsid w:val="00946F32"/>
    <w:rsid w:val="009474B1"/>
    <w:rsid w:val="0095086D"/>
    <w:rsid w:val="00951A84"/>
    <w:rsid w:val="00951B3D"/>
    <w:rsid w:val="00952F53"/>
    <w:rsid w:val="009539BE"/>
    <w:rsid w:val="009548A7"/>
    <w:rsid w:val="00955646"/>
    <w:rsid w:val="00956261"/>
    <w:rsid w:val="009565BB"/>
    <w:rsid w:val="00960AF8"/>
    <w:rsid w:val="00961ADF"/>
    <w:rsid w:val="00962DE6"/>
    <w:rsid w:val="00964974"/>
    <w:rsid w:val="00965273"/>
    <w:rsid w:val="009655B0"/>
    <w:rsid w:val="00966D55"/>
    <w:rsid w:val="009677EC"/>
    <w:rsid w:val="00972D3D"/>
    <w:rsid w:val="00973124"/>
    <w:rsid w:val="0097431D"/>
    <w:rsid w:val="00974C65"/>
    <w:rsid w:val="00975E0A"/>
    <w:rsid w:val="00975E58"/>
    <w:rsid w:val="0097677D"/>
    <w:rsid w:val="00976A47"/>
    <w:rsid w:val="00977009"/>
    <w:rsid w:val="00977362"/>
    <w:rsid w:val="00977396"/>
    <w:rsid w:val="009777BE"/>
    <w:rsid w:val="009812F3"/>
    <w:rsid w:val="0098532E"/>
    <w:rsid w:val="00985F97"/>
    <w:rsid w:val="00986571"/>
    <w:rsid w:val="00986F62"/>
    <w:rsid w:val="009930FF"/>
    <w:rsid w:val="0099399F"/>
    <w:rsid w:val="00994177"/>
    <w:rsid w:val="00994E1E"/>
    <w:rsid w:val="0099609D"/>
    <w:rsid w:val="009971E6"/>
    <w:rsid w:val="009A1913"/>
    <w:rsid w:val="009A195B"/>
    <w:rsid w:val="009A1F39"/>
    <w:rsid w:val="009A4242"/>
    <w:rsid w:val="009A6338"/>
    <w:rsid w:val="009A738F"/>
    <w:rsid w:val="009B0610"/>
    <w:rsid w:val="009B108C"/>
    <w:rsid w:val="009B215C"/>
    <w:rsid w:val="009B2297"/>
    <w:rsid w:val="009B38FA"/>
    <w:rsid w:val="009B6A6A"/>
    <w:rsid w:val="009C1BA4"/>
    <w:rsid w:val="009C1F12"/>
    <w:rsid w:val="009C2507"/>
    <w:rsid w:val="009C293A"/>
    <w:rsid w:val="009C552B"/>
    <w:rsid w:val="009C55DB"/>
    <w:rsid w:val="009C5BAB"/>
    <w:rsid w:val="009C7347"/>
    <w:rsid w:val="009D027B"/>
    <w:rsid w:val="009D062E"/>
    <w:rsid w:val="009D0879"/>
    <w:rsid w:val="009D1FE9"/>
    <w:rsid w:val="009D34CC"/>
    <w:rsid w:val="009D4598"/>
    <w:rsid w:val="009D5024"/>
    <w:rsid w:val="009D5B6A"/>
    <w:rsid w:val="009D64EA"/>
    <w:rsid w:val="009D7F7F"/>
    <w:rsid w:val="009E06BC"/>
    <w:rsid w:val="009E0FEF"/>
    <w:rsid w:val="009E2B10"/>
    <w:rsid w:val="009E48E1"/>
    <w:rsid w:val="009E4EA9"/>
    <w:rsid w:val="009E59D4"/>
    <w:rsid w:val="009E62B1"/>
    <w:rsid w:val="009E6D74"/>
    <w:rsid w:val="009F398E"/>
    <w:rsid w:val="009F3E96"/>
    <w:rsid w:val="009F49A3"/>
    <w:rsid w:val="009F4A03"/>
    <w:rsid w:val="009F5C1C"/>
    <w:rsid w:val="009F5E37"/>
    <w:rsid w:val="009F5F60"/>
    <w:rsid w:val="009F72E1"/>
    <w:rsid w:val="009F7B1C"/>
    <w:rsid w:val="009F7EA6"/>
    <w:rsid w:val="00A00690"/>
    <w:rsid w:val="00A00D14"/>
    <w:rsid w:val="00A01279"/>
    <w:rsid w:val="00A01EF3"/>
    <w:rsid w:val="00A052DF"/>
    <w:rsid w:val="00A05E9D"/>
    <w:rsid w:val="00A05F54"/>
    <w:rsid w:val="00A06236"/>
    <w:rsid w:val="00A06919"/>
    <w:rsid w:val="00A06C4E"/>
    <w:rsid w:val="00A10CE2"/>
    <w:rsid w:val="00A10D97"/>
    <w:rsid w:val="00A1173C"/>
    <w:rsid w:val="00A11D64"/>
    <w:rsid w:val="00A11DD9"/>
    <w:rsid w:val="00A11F6D"/>
    <w:rsid w:val="00A12814"/>
    <w:rsid w:val="00A130BD"/>
    <w:rsid w:val="00A131A1"/>
    <w:rsid w:val="00A135B4"/>
    <w:rsid w:val="00A140E8"/>
    <w:rsid w:val="00A1520D"/>
    <w:rsid w:val="00A15E1F"/>
    <w:rsid w:val="00A162F9"/>
    <w:rsid w:val="00A163FB"/>
    <w:rsid w:val="00A16789"/>
    <w:rsid w:val="00A17061"/>
    <w:rsid w:val="00A17E5C"/>
    <w:rsid w:val="00A215E0"/>
    <w:rsid w:val="00A22554"/>
    <w:rsid w:val="00A226B3"/>
    <w:rsid w:val="00A229A9"/>
    <w:rsid w:val="00A247E0"/>
    <w:rsid w:val="00A3005A"/>
    <w:rsid w:val="00A31384"/>
    <w:rsid w:val="00A31F0B"/>
    <w:rsid w:val="00A32CD3"/>
    <w:rsid w:val="00A352E3"/>
    <w:rsid w:val="00A35326"/>
    <w:rsid w:val="00A35F11"/>
    <w:rsid w:val="00A402FA"/>
    <w:rsid w:val="00A41C2F"/>
    <w:rsid w:val="00A43C73"/>
    <w:rsid w:val="00A45537"/>
    <w:rsid w:val="00A456E5"/>
    <w:rsid w:val="00A458BC"/>
    <w:rsid w:val="00A462C4"/>
    <w:rsid w:val="00A4650C"/>
    <w:rsid w:val="00A4712F"/>
    <w:rsid w:val="00A47315"/>
    <w:rsid w:val="00A507BB"/>
    <w:rsid w:val="00A5093A"/>
    <w:rsid w:val="00A518B5"/>
    <w:rsid w:val="00A51E9D"/>
    <w:rsid w:val="00A52B54"/>
    <w:rsid w:val="00A52E8C"/>
    <w:rsid w:val="00A53E8C"/>
    <w:rsid w:val="00A571E8"/>
    <w:rsid w:val="00A601F8"/>
    <w:rsid w:val="00A61CBA"/>
    <w:rsid w:val="00A63E50"/>
    <w:rsid w:val="00A65132"/>
    <w:rsid w:val="00A66EEB"/>
    <w:rsid w:val="00A66F17"/>
    <w:rsid w:val="00A66FB6"/>
    <w:rsid w:val="00A67126"/>
    <w:rsid w:val="00A674E6"/>
    <w:rsid w:val="00A67EC1"/>
    <w:rsid w:val="00A700D1"/>
    <w:rsid w:val="00A70FF2"/>
    <w:rsid w:val="00A7137E"/>
    <w:rsid w:val="00A72278"/>
    <w:rsid w:val="00A72439"/>
    <w:rsid w:val="00A7332F"/>
    <w:rsid w:val="00A73CAE"/>
    <w:rsid w:val="00A7456A"/>
    <w:rsid w:val="00A752B2"/>
    <w:rsid w:val="00A7588B"/>
    <w:rsid w:val="00A76FD1"/>
    <w:rsid w:val="00A80F87"/>
    <w:rsid w:val="00A8205E"/>
    <w:rsid w:val="00A82C4B"/>
    <w:rsid w:val="00A83915"/>
    <w:rsid w:val="00A8531B"/>
    <w:rsid w:val="00A8677C"/>
    <w:rsid w:val="00A879AD"/>
    <w:rsid w:val="00A90EAF"/>
    <w:rsid w:val="00A930D7"/>
    <w:rsid w:val="00A93179"/>
    <w:rsid w:val="00A936A3"/>
    <w:rsid w:val="00A93800"/>
    <w:rsid w:val="00A940FF"/>
    <w:rsid w:val="00A942EC"/>
    <w:rsid w:val="00A94908"/>
    <w:rsid w:val="00A9514A"/>
    <w:rsid w:val="00A97275"/>
    <w:rsid w:val="00AA0E3C"/>
    <w:rsid w:val="00AA117A"/>
    <w:rsid w:val="00AA15C1"/>
    <w:rsid w:val="00AA196E"/>
    <w:rsid w:val="00AA325F"/>
    <w:rsid w:val="00AA4832"/>
    <w:rsid w:val="00AA4EFB"/>
    <w:rsid w:val="00AA5DCC"/>
    <w:rsid w:val="00AA60B8"/>
    <w:rsid w:val="00AA6181"/>
    <w:rsid w:val="00AA757F"/>
    <w:rsid w:val="00AA7A1F"/>
    <w:rsid w:val="00AB1386"/>
    <w:rsid w:val="00AB1E74"/>
    <w:rsid w:val="00AB1EE5"/>
    <w:rsid w:val="00AB31D7"/>
    <w:rsid w:val="00AB401B"/>
    <w:rsid w:val="00AB439D"/>
    <w:rsid w:val="00AB5347"/>
    <w:rsid w:val="00AB5A64"/>
    <w:rsid w:val="00AC0A3C"/>
    <w:rsid w:val="00AC0D7D"/>
    <w:rsid w:val="00AC2E28"/>
    <w:rsid w:val="00AC38BC"/>
    <w:rsid w:val="00AC3FF0"/>
    <w:rsid w:val="00AC4DD4"/>
    <w:rsid w:val="00AC504A"/>
    <w:rsid w:val="00AC6084"/>
    <w:rsid w:val="00AC789B"/>
    <w:rsid w:val="00AD0EC8"/>
    <w:rsid w:val="00AD31F5"/>
    <w:rsid w:val="00AD31F8"/>
    <w:rsid w:val="00AD33DB"/>
    <w:rsid w:val="00AD45F9"/>
    <w:rsid w:val="00AD4EF1"/>
    <w:rsid w:val="00AD583E"/>
    <w:rsid w:val="00AD7323"/>
    <w:rsid w:val="00AD795D"/>
    <w:rsid w:val="00AE0533"/>
    <w:rsid w:val="00AE074B"/>
    <w:rsid w:val="00AE0AB7"/>
    <w:rsid w:val="00AE1C8D"/>
    <w:rsid w:val="00AE3A56"/>
    <w:rsid w:val="00AE4E92"/>
    <w:rsid w:val="00AE517D"/>
    <w:rsid w:val="00AE6B20"/>
    <w:rsid w:val="00AE73F6"/>
    <w:rsid w:val="00AF1005"/>
    <w:rsid w:val="00AF152A"/>
    <w:rsid w:val="00AF1549"/>
    <w:rsid w:val="00AF1913"/>
    <w:rsid w:val="00AF1DFE"/>
    <w:rsid w:val="00AF1FD9"/>
    <w:rsid w:val="00AF2866"/>
    <w:rsid w:val="00AF36C7"/>
    <w:rsid w:val="00AF395C"/>
    <w:rsid w:val="00AF3DDF"/>
    <w:rsid w:val="00AF4EAC"/>
    <w:rsid w:val="00AF6114"/>
    <w:rsid w:val="00AF697D"/>
    <w:rsid w:val="00AF7247"/>
    <w:rsid w:val="00B02E30"/>
    <w:rsid w:val="00B05AA2"/>
    <w:rsid w:val="00B06166"/>
    <w:rsid w:val="00B06B9B"/>
    <w:rsid w:val="00B0702A"/>
    <w:rsid w:val="00B108F1"/>
    <w:rsid w:val="00B1099D"/>
    <w:rsid w:val="00B11755"/>
    <w:rsid w:val="00B12311"/>
    <w:rsid w:val="00B12D93"/>
    <w:rsid w:val="00B13FC8"/>
    <w:rsid w:val="00B16A9D"/>
    <w:rsid w:val="00B20A68"/>
    <w:rsid w:val="00B214E6"/>
    <w:rsid w:val="00B2169D"/>
    <w:rsid w:val="00B246F7"/>
    <w:rsid w:val="00B258CD"/>
    <w:rsid w:val="00B25BEB"/>
    <w:rsid w:val="00B25E58"/>
    <w:rsid w:val="00B260FB"/>
    <w:rsid w:val="00B26C80"/>
    <w:rsid w:val="00B278E3"/>
    <w:rsid w:val="00B30701"/>
    <w:rsid w:val="00B3082D"/>
    <w:rsid w:val="00B316B3"/>
    <w:rsid w:val="00B33B27"/>
    <w:rsid w:val="00B33C09"/>
    <w:rsid w:val="00B358E6"/>
    <w:rsid w:val="00B35A12"/>
    <w:rsid w:val="00B36376"/>
    <w:rsid w:val="00B3652A"/>
    <w:rsid w:val="00B36740"/>
    <w:rsid w:val="00B37868"/>
    <w:rsid w:val="00B40480"/>
    <w:rsid w:val="00B41118"/>
    <w:rsid w:val="00B4149B"/>
    <w:rsid w:val="00B41E2B"/>
    <w:rsid w:val="00B42769"/>
    <w:rsid w:val="00B42935"/>
    <w:rsid w:val="00B42E4C"/>
    <w:rsid w:val="00B4326B"/>
    <w:rsid w:val="00B449B7"/>
    <w:rsid w:val="00B44D10"/>
    <w:rsid w:val="00B46570"/>
    <w:rsid w:val="00B473BF"/>
    <w:rsid w:val="00B50893"/>
    <w:rsid w:val="00B5091B"/>
    <w:rsid w:val="00B51956"/>
    <w:rsid w:val="00B525D4"/>
    <w:rsid w:val="00B52614"/>
    <w:rsid w:val="00B52642"/>
    <w:rsid w:val="00B528C0"/>
    <w:rsid w:val="00B52CE8"/>
    <w:rsid w:val="00B52E19"/>
    <w:rsid w:val="00B53355"/>
    <w:rsid w:val="00B536E0"/>
    <w:rsid w:val="00B53771"/>
    <w:rsid w:val="00B53BD0"/>
    <w:rsid w:val="00B53E8E"/>
    <w:rsid w:val="00B53FB4"/>
    <w:rsid w:val="00B54834"/>
    <w:rsid w:val="00B54FF2"/>
    <w:rsid w:val="00B55A64"/>
    <w:rsid w:val="00B603B4"/>
    <w:rsid w:val="00B6047A"/>
    <w:rsid w:val="00B627AF"/>
    <w:rsid w:val="00B6287B"/>
    <w:rsid w:val="00B6293D"/>
    <w:rsid w:val="00B630BC"/>
    <w:rsid w:val="00B65A04"/>
    <w:rsid w:val="00B66867"/>
    <w:rsid w:val="00B669CA"/>
    <w:rsid w:val="00B66D2D"/>
    <w:rsid w:val="00B676C2"/>
    <w:rsid w:val="00B728C2"/>
    <w:rsid w:val="00B72A8F"/>
    <w:rsid w:val="00B7421C"/>
    <w:rsid w:val="00B752E8"/>
    <w:rsid w:val="00B75F80"/>
    <w:rsid w:val="00B762EE"/>
    <w:rsid w:val="00B76AD9"/>
    <w:rsid w:val="00B76F1D"/>
    <w:rsid w:val="00B775EA"/>
    <w:rsid w:val="00B77F9A"/>
    <w:rsid w:val="00B817FD"/>
    <w:rsid w:val="00B820A0"/>
    <w:rsid w:val="00B8366E"/>
    <w:rsid w:val="00B844D2"/>
    <w:rsid w:val="00B84E43"/>
    <w:rsid w:val="00B856BC"/>
    <w:rsid w:val="00B85A96"/>
    <w:rsid w:val="00B8635A"/>
    <w:rsid w:val="00B903CF"/>
    <w:rsid w:val="00B92884"/>
    <w:rsid w:val="00B92A08"/>
    <w:rsid w:val="00B92F4D"/>
    <w:rsid w:val="00B93067"/>
    <w:rsid w:val="00B93D2C"/>
    <w:rsid w:val="00B94282"/>
    <w:rsid w:val="00B9482A"/>
    <w:rsid w:val="00B95E31"/>
    <w:rsid w:val="00B9697D"/>
    <w:rsid w:val="00BA3CEA"/>
    <w:rsid w:val="00BA3F14"/>
    <w:rsid w:val="00BA4BEA"/>
    <w:rsid w:val="00BA5EB9"/>
    <w:rsid w:val="00BA6968"/>
    <w:rsid w:val="00BA7032"/>
    <w:rsid w:val="00BA776B"/>
    <w:rsid w:val="00BB001B"/>
    <w:rsid w:val="00BB0024"/>
    <w:rsid w:val="00BB39BF"/>
    <w:rsid w:val="00BB419D"/>
    <w:rsid w:val="00BB4BF5"/>
    <w:rsid w:val="00BB5422"/>
    <w:rsid w:val="00BB5CFD"/>
    <w:rsid w:val="00BB6A80"/>
    <w:rsid w:val="00BB6FFF"/>
    <w:rsid w:val="00BC0F0E"/>
    <w:rsid w:val="00BC198D"/>
    <w:rsid w:val="00BC2A77"/>
    <w:rsid w:val="00BC2FFC"/>
    <w:rsid w:val="00BC325C"/>
    <w:rsid w:val="00BC47FB"/>
    <w:rsid w:val="00BC4C83"/>
    <w:rsid w:val="00BC4E9D"/>
    <w:rsid w:val="00BC524A"/>
    <w:rsid w:val="00BC6537"/>
    <w:rsid w:val="00BC7469"/>
    <w:rsid w:val="00BC7FC2"/>
    <w:rsid w:val="00BD09A1"/>
    <w:rsid w:val="00BD0D68"/>
    <w:rsid w:val="00BD0E65"/>
    <w:rsid w:val="00BD0F10"/>
    <w:rsid w:val="00BD1F8E"/>
    <w:rsid w:val="00BD239D"/>
    <w:rsid w:val="00BD3264"/>
    <w:rsid w:val="00BD3638"/>
    <w:rsid w:val="00BD6AB1"/>
    <w:rsid w:val="00BD6EE0"/>
    <w:rsid w:val="00BD71DE"/>
    <w:rsid w:val="00BD7A4B"/>
    <w:rsid w:val="00BE04EA"/>
    <w:rsid w:val="00BE05E2"/>
    <w:rsid w:val="00BE12A6"/>
    <w:rsid w:val="00BE3086"/>
    <w:rsid w:val="00BE380A"/>
    <w:rsid w:val="00BE3E98"/>
    <w:rsid w:val="00BE4630"/>
    <w:rsid w:val="00BE4633"/>
    <w:rsid w:val="00BE485E"/>
    <w:rsid w:val="00BE659B"/>
    <w:rsid w:val="00BE7825"/>
    <w:rsid w:val="00BF0D04"/>
    <w:rsid w:val="00BF12DB"/>
    <w:rsid w:val="00BF1723"/>
    <w:rsid w:val="00BF3991"/>
    <w:rsid w:val="00BF400D"/>
    <w:rsid w:val="00BF44D2"/>
    <w:rsid w:val="00BF5F89"/>
    <w:rsid w:val="00C01228"/>
    <w:rsid w:val="00C0130D"/>
    <w:rsid w:val="00C01602"/>
    <w:rsid w:val="00C01AB8"/>
    <w:rsid w:val="00C02606"/>
    <w:rsid w:val="00C02ADC"/>
    <w:rsid w:val="00C02E04"/>
    <w:rsid w:val="00C0309D"/>
    <w:rsid w:val="00C03455"/>
    <w:rsid w:val="00C0357D"/>
    <w:rsid w:val="00C03977"/>
    <w:rsid w:val="00C03FC6"/>
    <w:rsid w:val="00C043F0"/>
    <w:rsid w:val="00C05DB4"/>
    <w:rsid w:val="00C06019"/>
    <w:rsid w:val="00C0769D"/>
    <w:rsid w:val="00C10C17"/>
    <w:rsid w:val="00C10F61"/>
    <w:rsid w:val="00C1180D"/>
    <w:rsid w:val="00C120AF"/>
    <w:rsid w:val="00C12ACE"/>
    <w:rsid w:val="00C12FD7"/>
    <w:rsid w:val="00C137C2"/>
    <w:rsid w:val="00C1473B"/>
    <w:rsid w:val="00C15802"/>
    <w:rsid w:val="00C15E39"/>
    <w:rsid w:val="00C16520"/>
    <w:rsid w:val="00C2045D"/>
    <w:rsid w:val="00C21923"/>
    <w:rsid w:val="00C21E1A"/>
    <w:rsid w:val="00C22B30"/>
    <w:rsid w:val="00C2326A"/>
    <w:rsid w:val="00C2332F"/>
    <w:rsid w:val="00C2569A"/>
    <w:rsid w:val="00C25965"/>
    <w:rsid w:val="00C2609F"/>
    <w:rsid w:val="00C267F9"/>
    <w:rsid w:val="00C269FA"/>
    <w:rsid w:val="00C30493"/>
    <w:rsid w:val="00C31684"/>
    <w:rsid w:val="00C32133"/>
    <w:rsid w:val="00C32237"/>
    <w:rsid w:val="00C3288E"/>
    <w:rsid w:val="00C33E75"/>
    <w:rsid w:val="00C342AF"/>
    <w:rsid w:val="00C344B4"/>
    <w:rsid w:val="00C35986"/>
    <w:rsid w:val="00C366B7"/>
    <w:rsid w:val="00C370D3"/>
    <w:rsid w:val="00C37A53"/>
    <w:rsid w:val="00C37ABF"/>
    <w:rsid w:val="00C37AF7"/>
    <w:rsid w:val="00C40C82"/>
    <w:rsid w:val="00C41465"/>
    <w:rsid w:val="00C41684"/>
    <w:rsid w:val="00C41E23"/>
    <w:rsid w:val="00C4222A"/>
    <w:rsid w:val="00C42822"/>
    <w:rsid w:val="00C42C24"/>
    <w:rsid w:val="00C42E8C"/>
    <w:rsid w:val="00C43D4C"/>
    <w:rsid w:val="00C45FDC"/>
    <w:rsid w:val="00C461CB"/>
    <w:rsid w:val="00C470A2"/>
    <w:rsid w:val="00C471D7"/>
    <w:rsid w:val="00C47B71"/>
    <w:rsid w:val="00C47C06"/>
    <w:rsid w:val="00C501E0"/>
    <w:rsid w:val="00C536D5"/>
    <w:rsid w:val="00C56519"/>
    <w:rsid w:val="00C56963"/>
    <w:rsid w:val="00C56CE7"/>
    <w:rsid w:val="00C57085"/>
    <w:rsid w:val="00C57705"/>
    <w:rsid w:val="00C57EED"/>
    <w:rsid w:val="00C60411"/>
    <w:rsid w:val="00C60578"/>
    <w:rsid w:val="00C61FFC"/>
    <w:rsid w:val="00C620F1"/>
    <w:rsid w:val="00C62333"/>
    <w:rsid w:val="00C633BD"/>
    <w:rsid w:val="00C63FBF"/>
    <w:rsid w:val="00C64D2E"/>
    <w:rsid w:val="00C66F80"/>
    <w:rsid w:val="00C67530"/>
    <w:rsid w:val="00C676CE"/>
    <w:rsid w:val="00C6794D"/>
    <w:rsid w:val="00C70AE6"/>
    <w:rsid w:val="00C711F6"/>
    <w:rsid w:val="00C7145C"/>
    <w:rsid w:val="00C722EC"/>
    <w:rsid w:val="00C72594"/>
    <w:rsid w:val="00C732E0"/>
    <w:rsid w:val="00C73967"/>
    <w:rsid w:val="00C754B1"/>
    <w:rsid w:val="00C75B50"/>
    <w:rsid w:val="00C7793B"/>
    <w:rsid w:val="00C831DE"/>
    <w:rsid w:val="00C835E3"/>
    <w:rsid w:val="00C83B0F"/>
    <w:rsid w:val="00C83B57"/>
    <w:rsid w:val="00C85478"/>
    <w:rsid w:val="00C85E1F"/>
    <w:rsid w:val="00C85FE8"/>
    <w:rsid w:val="00C93101"/>
    <w:rsid w:val="00C954BF"/>
    <w:rsid w:val="00C960AD"/>
    <w:rsid w:val="00CA01B0"/>
    <w:rsid w:val="00CA0DCA"/>
    <w:rsid w:val="00CA187E"/>
    <w:rsid w:val="00CA1992"/>
    <w:rsid w:val="00CA3766"/>
    <w:rsid w:val="00CA384B"/>
    <w:rsid w:val="00CA6182"/>
    <w:rsid w:val="00CA6454"/>
    <w:rsid w:val="00CB04E8"/>
    <w:rsid w:val="00CB120D"/>
    <w:rsid w:val="00CB1EB2"/>
    <w:rsid w:val="00CB2AAC"/>
    <w:rsid w:val="00CB2E68"/>
    <w:rsid w:val="00CB446F"/>
    <w:rsid w:val="00CB668A"/>
    <w:rsid w:val="00CB72BE"/>
    <w:rsid w:val="00CB7A03"/>
    <w:rsid w:val="00CB7E4D"/>
    <w:rsid w:val="00CC07BD"/>
    <w:rsid w:val="00CC0AF6"/>
    <w:rsid w:val="00CC0B73"/>
    <w:rsid w:val="00CC2AF0"/>
    <w:rsid w:val="00CC4A82"/>
    <w:rsid w:val="00CC4BD2"/>
    <w:rsid w:val="00CC5207"/>
    <w:rsid w:val="00CC61D0"/>
    <w:rsid w:val="00CC6403"/>
    <w:rsid w:val="00CC65A8"/>
    <w:rsid w:val="00CC6C7C"/>
    <w:rsid w:val="00CD00EF"/>
    <w:rsid w:val="00CD05A9"/>
    <w:rsid w:val="00CD063C"/>
    <w:rsid w:val="00CD0D9A"/>
    <w:rsid w:val="00CD1AC4"/>
    <w:rsid w:val="00CD2D3B"/>
    <w:rsid w:val="00CD3262"/>
    <w:rsid w:val="00CD49C8"/>
    <w:rsid w:val="00CD5ECA"/>
    <w:rsid w:val="00CD61EF"/>
    <w:rsid w:val="00CD68B5"/>
    <w:rsid w:val="00CD6904"/>
    <w:rsid w:val="00CE0AE0"/>
    <w:rsid w:val="00CE1888"/>
    <w:rsid w:val="00CE1958"/>
    <w:rsid w:val="00CE2CD0"/>
    <w:rsid w:val="00CE2D45"/>
    <w:rsid w:val="00CE378A"/>
    <w:rsid w:val="00CE3971"/>
    <w:rsid w:val="00CE3C9F"/>
    <w:rsid w:val="00CE503F"/>
    <w:rsid w:val="00CE5F33"/>
    <w:rsid w:val="00CE6897"/>
    <w:rsid w:val="00CF0A45"/>
    <w:rsid w:val="00CF1937"/>
    <w:rsid w:val="00CF2678"/>
    <w:rsid w:val="00CF3386"/>
    <w:rsid w:val="00CF4A75"/>
    <w:rsid w:val="00CF5861"/>
    <w:rsid w:val="00CF5B08"/>
    <w:rsid w:val="00D02D8A"/>
    <w:rsid w:val="00D040C5"/>
    <w:rsid w:val="00D04729"/>
    <w:rsid w:val="00D05539"/>
    <w:rsid w:val="00D06C9E"/>
    <w:rsid w:val="00D0741D"/>
    <w:rsid w:val="00D07FA0"/>
    <w:rsid w:val="00D10772"/>
    <w:rsid w:val="00D10E95"/>
    <w:rsid w:val="00D11659"/>
    <w:rsid w:val="00D1181F"/>
    <w:rsid w:val="00D11B2D"/>
    <w:rsid w:val="00D11D15"/>
    <w:rsid w:val="00D11F36"/>
    <w:rsid w:val="00D12200"/>
    <w:rsid w:val="00D124D1"/>
    <w:rsid w:val="00D1268C"/>
    <w:rsid w:val="00D133CF"/>
    <w:rsid w:val="00D149DC"/>
    <w:rsid w:val="00D14D36"/>
    <w:rsid w:val="00D14F91"/>
    <w:rsid w:val="00D15A26"/>
    <w:rsid w:val="00D2060F"/>
    <w:rsid w:val="00D213AB"/>
    <w:rsid w:val="00D21A57"/>
    <w:rsid w:val="00D23169"/>
    <w:rsid w:val="00D2373F"/>
    <w:rsid w:val="00D23FC9"/>
    <w:rsid w:val="00D245E0"/>
    <w:rsid w:val="00D24799"/>
    <w:rsid w:val="00D248D6"/>
    <w:rsid w:val="00D2665D"/>
    <w:rsid w:val="00D2731C"/>
    <w:rsid w:val="00D2757B"/>
    <w:rsid w:val="00D277E0"/>
    <w:rsid w:val="00D27FFC"/>
    <w:rsid w:val="00D31581"/>
    <w:rsid w:val="00D31828"/>
    <w:rsid w:val="00D322ED"/>
    <w:rsid w:val="00D325D4"/>
    <w:rsid w:val="00D33034"/>
    <w:rsid w:val="00D33075"/>
    <w:rsid w:val="00D33999"/>
    <w:rsid w:val="00D33AB5"/>
    <w:rsid w:val="00D35537"/>
    <w:rsid w:val="00D35717"/>
    <w:rsid w:val="00D36C08"/>
    <w:rsid w:val="00D40DF2"/>
    <w:rsid w:val="00D418DE"/>
    <w:rsid w:val="00D41BED"/>
    <w:rsid w:val="00D42DE4"/>
    <w:rsid w:val="00D42DE6"/>
    <w:rsid w:val="00D43902"/>
    <w:rsid w:val="00D43F3D"/>
    <w:rsid w:val="00D45543"/>
    <w:rsid w:val="00D45DF4"/>
    <w:rsid w:val="00D46E01"/>
    <w:rsid w:val="00D528C1"/>
    <w:rsid w:val="00D54BD4"/>
    <w:rsid w:val="00D554D8"/>
    <w:rsid w:val="00D568E8"/>
    <w:rsid w:val="00D56A65"/>
    <w:rsid w:val="00D60086"/>
    <w:rsid w:val="00D63821"/>
    <w:rsid w:val="00D63F22"/>
    <w:rsid w:val="00D64FD3"/>
    <w:rsid w:val="00D651F6"/>
    <w:rsid w:val="00D658F4"/>
    <w:rsid w:val="00D70F44"/>
    <w:rsid w:val="00D715C0"/>
    <w:rsid w:val="00D725B8"/>
    <w:rsid w:val="00D7565F"/>
    <w:rsid w:val="00D76000"/>
    <w:rsid w:val="00D76709"/>
    <w:rsid w:val="00D770D5"/>
    <w:rsid w:val="00D7737F"/>
    <w:rsid w:val="00D77711"/>
    <w:rsid w:val="00D8120D"/>
    <w:rsid w:val="00D812B1"/>
    <w:rsid w:val="00D82550"/>
    <w:rsid w:val="00D82AE3"/>
    <w:rsid w:val="00D83E77"/>
    <w:rsid w:val="00D8431C"/>
    <w:rsid w:val="00D84341"/>
    <w:rsid w:val="00D8718E"/>
    <w:rsid w:val="00D87562"/>
    <w:rsid w:val="00D90097"/>
    <w:rsid w:val="00D9322D"/>
    <w:rsid w:val="00D94C5E"/>
    <w:rsid w:val="00D95EC5"/>
    <w:rsid w:val="00D97E01"/>
    <w:rsid w:val="00DA3656"/>
    <w:rsid w:val="00DA4097"/>
    <w:rsid w:val="00DA4198"/>
    <w:rsid w:val="00DA4565"/>
    <w:rsid w:val="00DA4B44"/>
    <w:rsid w:val="00DA503C"/>
    <w:rsid w:val="00DA52B2"/>
    <w:rsid w:val="00DA5525"/>
    <w:rsid w:val="00DA65B9"/>
    <w:rsid w:val="00DA7072"/>
    <w:rsid w:val="00DA7669"/>
    <w:rsid w:val="00DA76CE"/>
    <w:rsid w:val="00DA7BC1"/>
    <w:rsid w:val="00DB19AA"/>
    <w:rsid w:val="00DB2F48"/>
    <w:rsid w:val="00DB3896"/>
    <w:rsid w:val="00DB3F0B"/>
    <w:rsid w:val="00DB5C55"/>
    <w:rsid w:val="00DB5E38"/>
    <w:rsid w:val="00DB6582"/>
    <w:rsid w:val="00DB7FEC"/>
    <w:rsid w:val="00DC0C53"/>
    <w:rsid w:val="00DC0EEA"/>
    <w:rsid w:val="00DC1A63"/>
    <w:rsid w:val="00DC2792"/>
    <w:rsid w:val="00DC5ABE"/>
    <w:rsid w:val="00DC6AD7"/>
    <w:rsid w:val="00DC6B09"/>
    <w:rsid w:val="00DD0114"/>
    <w:rsid w:val="00DD22E3"/>
    <w:rsid w:val="00DD2623"/>
    <w:rsid w:val="00DD408F"/>
    <w:rsid w:val="00DD7416"/>
    <w:rsid w:val="00DD7852"/>
    <w:rsid w:val="00DE0195"/>
    <w:rsid w:val="00DE1E16"/>
    <w:rsid w:val="00DE3068"/>
    <w:rsid w:val="00DE33CD"/>
    <w:rsid w:val="00DE3759"/>
    <w:rsid w:val="00DE52E8"/>
    <w:rsid w:val="00DE64F1"/>
    <w:rsid w:val="00DE77A4"/>
    <w:rsid w:val="00DF1579"/>
    <w:rsid w:val="00DF2B7F"/>
    <w:rsid w:val="00DF3C25"/>
    <w:rsid w:val="00DF463C"/>
    <w:rsid w:val="00DF5138"/>
    <w:rsid w:val="00DF64F8"/>
    <w:rsid w:val="00DF6A47"/>
    <w:rsid w:val="00E00DBD"/>
    <w:rsid w:val="00E022BA"/>
    <w:rsid w:val="00E023F8"/>
    <w:rsid w:val="00E02525"/>
    <w:rsid w:val="00E027F6"/>
    <w:rsid w:val="00E02B49"/>
    <w:rsid w:val="00E03F7F"/>
    <w:rsid w:val="00E05699"/>
    <w:rsid w:val="00E10170"/>
    <w:rsid w:val="00E11FBC"/>
    <w:rsid w:val="00E12924"/>
    <w:rsid w:val="00E13759"/>
    <w:rsid w:val="00E137BE"/>
    <w:rsid w:val="00E14970"/>
    <w:rsid w:val="00E15A25"/>
    <w:rsid w:val="00E1648A"/>
    <w:rsid w:val="00E16EA6"/>
    <w:rsid w:val="00E17676"/>
    <w:rsid w:val="00E225A8"/>
    <w:rsid w:val="00E23973"/>
    <w:rsid w:val="00E24086"/>
    <w:rsid w:val="00E243E2"/>
    <w:rsid w:val="00E243FF"/>
    <w:rsid w:val="00E246B1"/>
    <w:rsid w:val="00E24A2A"/>
    <w:rsid w:val="00E24CFE"/>
    <w:rsid w:val="00E24DA4"/>
    <w:rsid w:val="00E25CA2"/>
    <w:rsid w:val="00E27045"/>
    <w:rsid w:val="00E304F7"/>
    <w:rsid w:val="00E34964"/>
    <w:rsid w:val="00E34F54"/>
    <w:rsid w:val="00E34F7E"/>
    <w:rsid w:val="00E35272"/>
    <w:rsid w:val="00E36DAF"/>
    <w:rsid w:val="00E374D0"/>
    <w:rsid w:val="00E3781A"/>
    <w:rsid w:val="00E412F8"/>
    <w:rsid w:val="00E426EC"/>
    <w:rsid w:val="00E4276A"/>
    <w:rsid w:val="00E42A46"/>
    <w:rsid w:val="00E4330E"/>
    <w:rsid w:val="00E4372C"/>
    <w:rsid w:val="00E45AC7"/>
    <w:rsid w:val="00E4620E"/>
    <w:rsid w:val="00E50B2A"/>
    <w:rsid w:val="00E51710"/>
    <w:rsid w:val="00E51BD6"/>
    <w:rsid w:val="00E521F3"/>
    <w:rsid w:val="00E52573"/>
    <w:rsid w:val="00E52696"/>
    <w:rsid w:val="00E5271C"/>
    <w:rsid w:val="00E53CA0"/>
    <w:rsid w:val="00E55E62"/>
    <w:rsid w:val="00E56A4B"/>
    <w:rsid w:val="00E577A6"/>
    <w:rsid w:val="00E5794A"/>
    <w:rsid w:val="00E600AC"/>
    <w:rsid w:val="00E61231"/>
    <w:rsid w:val="00E61D19"/>
    <w:rsid w:val="00E63579"/>
    <w:rsid w:val="00E6360B"/>
    <w:rsid w:val="00E639AE"/>
    <w:rsid w:val="00E63AED"/>
    <w:rsid w:val="00E64493"/>
    <w:rsid w:val="00E6539D"/>
    <w:rsid w:val="00E6543C"/>
    <w:rsid w:val="00E66F4B"/>
    <w:rsid w:val="00E67225"/>
    <w:rsid w:val="00E71DA3"/>
    <w:rsid w:val="00E72072"/>
    <w:rsid w:val="00E72DBB"/>
    <w:rsid w:val="00E744B0"/>
    <w:rsid w:val="00E746F8"/>
    <w:rsid w:val="00E74CAC"/>
    <w:rsid w:val="00E769A8"/>
    <w:rsid w:val="00E76A27"/>
    <w:rsid w:val="00E77009"/>
    <w:rsid w:val="00E774C4"/>
    <w:rsid w:val="00E80B1F"/>
    <w:rsid w:val="00E827C0"/>
    <w:rsid w:val="00E82D7E"/>
    <w:rsid w:val="00E83F6E"/>
    <w:rsid w:val="00E84FAF"/>
    <w:rsid w:val="00E86065"/>
    <w:rsid w:val="00E8673C"/>
    <w:rsid w:val="00E86EDA"/>
    <w:rsid w:val="00E87FDE"/>
    <w:rsid w:val="00E90094"/>
    <w:rsid w:val="00E90DF8"/>
    <w:rsid w:val="00E912A4"/>
    <w:rsid w:val="00E91CA3"/>
    <w:rsid w:val="00E9241E"/>
    <w:rsid w:val="00E92B2F"/>
    <w:rsid w:val="00E932E3"/>
    <w:rsid w:val="00E941B6"/>
    <w:rsid w:val="00E96681"/>
    <w:rsid w:val="00E96858"/>
    <w:rsid w:val="00EA20C5"/>
    <w:rsid w:val="00EA2197"/>
    <w:rsid w:val="00EA2973"/>
    <w:rsid w:val="00EA36BC"/>
    <w:rsid w:val="00EA46CD"/>
    <w:rsid w:val="00EA5A25"/>
    <w:rsid w:val="00EA5C01"/>
    <w:rsid w:val="00EA6C7F"/>
    <w:rsid w:val="00EB057C"/>
    <w:rsid w:val="00EB1FE4"/>
    <w:rsid w:val="00EB323A"/>
    <w:rsid w:val="00EB557B"/>
    <w:rsid w:val="00EB5BBB"/>
    <w:rsid w:val="00EB6241"/>
    <w:rsid w:val="00EB631D"/>
    <w:rsid w:val="00EB6EB6"/>
    <w:rsid w:val="00EB779A"/>
    <w:rsid w:val="00EB7B5C"/>
    <w:rsid w:val="00EC0C8D"/>
    <w:rsid w:val="00EC0D04"/>
    <w:rsid w:val="00EC0E54"/>
    <w:rsid w:val="00EC2A52"/>
    <w:rsid w:val="00EC32BF"/>
    <w:rsid w:val="00EC4126"/>
    <w:rsid w:val="00EC62DE"/>
    <w:rsid w:val="00EC63A0"/>
    <w:rsid w:val="00EC78C3"/>
    <w:rsid w:val="00EC7ACB"/>
    <w:rsid w:val="00ED22A5"/>
    <w:rsid w:val="00ED2607"/>
    <w:rsid w:val="00ED34C5"/>
    <w:rsid w:val="00ED3CA4"/>
    <w:rsid w:val="00ED424C"/>
    <w:rsid w:val="00ED51B1"/>
    <w:rsid w:val="00ED54B7"/>
    <w:rsid w:val="00ED58C8"/>
    <w:rsid w:val="00ED5974"/>
    <w:rsid w:val="00ED69A4"/>
    <w:rsid w:val="00ED7A12"/>
    <w:rsid w:val="00ED7F29"/>
    <w:rsid w:val="00EE1ACD"/>
    <w:rsid w:val="00EE33E8"/>
    <w:rsid w:val="00EE3C2B"/>
    <w:rsid w:val="00EE4E51"/>
    <w:rsid w:val="00EE5234"/>
    <w:rsid w:val="00EE5B7D"/>
    <w:rsid w:val="00EE704A"/>
    <w:rsid w:val="00EE7149"/>
    <w:rsid w:val="00EE7698"/>
    <w:rsid w:val="00EF028F"/>
    <w:rsid w:val="00EF03AC"/>
    <w:rsid w:val="00EF160D"/>
    <w:rsid w:val="00EF1F29"/>
    <w:rsid w:val="00EF29DA"/>
    <w:rsid w:val="00EF4498"/>
    <w:rsid w:val="00EF4C64"/>
    <w:rsid w:val="00EF5582"/>
    <w:rsid w:val="00EF5649"/>
    <w:rsid w:val="00EF5984"/>
    <w:rsid w:val="00EF5CCD"/>
    <w:rsid w:val="00EF632A"/>
    <w:rsid w:val="00F00F42"/>
    <w:rsid w:val="00F033A2"/>
    <w:rsid w:val="00F03C54"/>
    <w:rsid w:val="00F04B07"/>
    <w:rsid w:val="00F05136"/>
    <w:rsid w:val="00F05B61"/>
    <w:rsid w:val="00F1134C"/>
    <w:rsid w:val="00F119D1"/>
    <w:rsid w:val="00F1399E"/>
    <w:rsid w:val="00F14644"/>
    <w:rsid w:val="00F168D7"/>
    <w:rsid w:val="00F16B1F"/>
    <w:rsid w:val="00F179B5"/>
    <w:rsid w:val="00F17A03"/>
    <w:rsid w:val="00F20807"/>
    <w:rsid w:val="00F21148"/>
    <w:rsid w:val="00F21B30"/>
    <w:rsid w:val="00F21D87"/>
    <w:rsid w:val="00F24473"/>
    <w:rsid w:val="00F25307"/>
    <w:rsid w:val="00F25798"/>
    <w:rsid w:val="00F25C3A"/>
    <w:rsid w:val="00F26017"/>
    <w:rsid w:val="00F3023A"/>
    <w:rsid w:val="00F3061D"/>
    <w:rsid w:val="00F30AC3"/>
    <w:rsid w:val="00F30E78"/>
    <w:rsid w:val="00F31BD1"/>
    <w:rsid w:val="00F32291"/>
    <w:rsid w:val="00F34178"/>
    <w:rsid w:val="00F357D0"/>
    <w:rsid w:val="00F35A1C"/>
    <w:rsid w:val="00F35B3F"/>
    <w:rsid w:val="00F35BC7"/>
    <w:rsid w:val="00F36193"/>
    <w:rsid w:val="00F3623B"/>
    <w:rsid w:val="00F36489"/>
    <w:rsid w:val="00F36599"/>
    <w:rsid w:val="00F4092D"/>
    <w:rsid w:val="00F40B48"/>
    <w:rsid w:val="00F41AC7"/>
    <w:rsid w:val="00F41B49"/>
    <w:rsid w:val="00F41B77"/>
    <w:rsid w:val="00F424EA"/>
    <w:rsid w:val="00F42EAE"/>
    <w:rsid w:val="00F501A8"/>
    <w:rsid w:val="00F5082D"/>
    <w:rsid w:val="00F51724"/>
    <w:rsid w:val="00F517C8"/>
    <w:rsid w:val="00F52577"/>
    <w:rsid w:val="00F527E8"/>
    <w:rsid w:val="00F528C0"/>
    <w:rsid w:val="00F53C32"/>
    <w:rsid w:val="00F55059"/>
    <w:rsid w:val="00F55604"/>
    <w:rsid w:val="00F563BC"/>
    <w:rsid w:val="00F57BF6"/>
    <w:rsid w:val="00F57C14"/>
    <w:rsid w:val="00F6114E"/>
    <w:rsid w:val="00F62580"/>
    <w:rsid w:val="00F62DA3"/>
    <w:rsid w:val="00F6404A"/>
    <w:rsid w:val="00F64B69"/>
    <w:rsid w:val="00F64C03"/>
    <w:rsid w:val="00F66FBD"/>
    <w:rsid w:val="00F70E62"/>
    <w:rsid w:val="00F71520"/>
    <w:rsid w:val="00F72CD0"/>
    <w:rsid w:val="00F734D7"/>
    <w:rsid w:val="00F7429A"/>
    <w:rsid w:val="00F7505F"/>
    <w:rsid w:val="00F768E4"/>
    <w:rsid w:val="00F80A8A"/>
    <w:rsid w:val="00F8190B"/>
    <w:rsid w:val="00F821B8"/>
    <w:rsid w:val="00F824B3"/>
    <w:rsid w:val="00F82868"/>
    <w:rsid w:val="00F83954"/>
    <w:rsid w:val="00F83C95"/>
    <w:rsid w:val="00F83E2A"/>
    <w:rsid w:val="00F85154"/>
    <w:rsid w:val="00F85499"/>
    <w:rsid w:val="00F85B11"/>
    <w:rsid w:val="00F8713E"/>
    <w:rsid w:val="00F87520"/>
    <w:rsid w:val="00F87815"/>
    <w:rsid w:val="00F8794E"/>
    <w:rsid w:val="00F87E14"/>
    <w:rsid w:val="00F9003D"/>
    <w:rsid w:val="00F91453"/>
    <w:rsid w:val="00F91EC9"/>
    <w:rsid w:val="00F9226F"/>
    <w:rsid w:val="00F956E1"/>
    <w:rsid w:val="00F969D8"/>
    <w:rsid w:val="00F978AB"/>
    <w:rsid w:val="00F9793B"/>
    <w:rsid w:val="00FA0DCA"/>
    <w:rsid w:val="00FA4557"/>
    <w:rsid w:val="00FA4601"/>
    <w:rsid w:val="00FA5503"/>
    <w:rsid w:val="00FA5BE2"/>
    <w:rsid w:val="00FA5DDF"/>
    <w:rsid w:val="00FA5F94"/>
    <w:rsid w:val="00FA6250"/>
    <w:rsid w:val="00FA6D32"/>
    <w:rsid w:val="00FB08C6"/>
    <w:rsid w:val="00FB3BF7"/>
    <w:rsid w:val="00FB50DD"/>
    <w:rsid w:val="00FB580B"/>
    <w:rsid w:val="00FB5E0F"/>
    <w:rsid w:val="00FB633B"/>
    <w:rsid w:val="00FB6425"/>
    <w:rsid w:val="00FB65F9"/>
    <w:rsid w:val="00FB685F"/>
    <w:rsid w:val="00FB706A"/>
    <w:rsid w:val="00FC07D7"/>
    <w:rsid w:val="00FC0B3D"/>
    <w:rsid w:val="00FC1631"/>
    <w:rsid w:val="00FC1804"/>
    <w:rsid w:val="00FC1A49"/>
    <w:rsid w:val="00FC2A0A"/>
    <w:rsid w:val="00FC53BC"/>
    <w:rsid w:val="00FC53DE"/>
    <w:rsid w:val="00FC669C"/>
    <w:rsid w:val="00FC77F9"/>
    <w:rsid w:val="00FD2C7B"/>
    <w:rsid w:val="00FD30D8"/>
    <w:rsid w:val="00FD310C"/>
    <w:rsid w:val="00FD37F7"/>
    <w:rsid w:val="00FD40E7"/>
    <w:rsid w:val="00FD5AEE"/>
    <w:rsid w:val="00FD6BBE"/>
    <w:rsid w:val="00FD715D"/>
    <w:rsid w:val="00FE1D38"/>
    <w:rsid w:val="00FE20C2"/>
    <w:rsid w:val="00FE420B"/>
    <w:rsid w:val="00FE4560"/>
    <w:rsid w:val="00FE4671"/>
    <w:rsid w:val="00FE5724"/>
    <w:rsid w:val="00FE6635"/>
    <w:rsid w:val="00FE68BC"/>
    <w:rsid w:val="00FE76FB"/>
    <w:rsid w:val="00FE79E6"/>
    <w:rsid w:val="00FF1F0F"/>
    <w:rsid w:val="00FF26E9"/>
    <w:rsid w:val="00FF3579"/>
    <w:rsid w:val="00FF37F0"/>
    <w:rsid w:val="00FF3CC2"/>
    <w:rsid w:val="00FF43C4"/>
    <w:rsid w:val="00FF4B40"/>
    <w:rsid w:val="00FF63B7"/>
    <w:rsid w:val="00FF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35824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C78C3"/>
    <w:rPr>
      <w:rFonts w:ascii="Arial" w:hAnsi="Arial"/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AB5A64"/>
    <w:pPr>
      <w:tabs>
        <w:tab w:val="center" w:pos="4320"/>
        <w:tab w:val="right" w:pos="8640"/>
      </w:tabs>
    </w:pPr>
  </w:style>
  <w:style w:type="paragraph" w:styleId="llb">
    <w:name w:val="footer"/>
    <w:basedOn w:val="Norml"/>
    <w:link w:val="llbChar"/>
    <w:uiPriority w:val="99"/>
    <w:rsid w:val="00AB5A64"/>
    <w:pPr>
      <w:tabs>
        <w:tab w:val="center" w:pos="4320"/>
        <w:tab w:val="right" w:pos="8640"/>
      </w:tabs>
    </w:pPr>
  </w:style>
  <w:style w:type="paragraph" w:styleId="Lbjegyzetszveg">
    <w:name w:val="footnote text"/>
    <w:basedOn w:val="Norml"/>
    <w:semiHidden/>
    <w:rsid w:val="00C620F1"/>
    <w:rPr>
      <w:sz w:val="20"/>
      <w:szCs w:val="20"/>
    </w:rPr>
  </w:style>
  <w:style w:type="character" w:styleId="Lbjegyzet-hivatkozs">
    <w:name w:val="footnote reference"/>
    <w:semiHidden/>
    <w:rsid w:val="00C620F1"/>
    <w:rPr>
      <w:vertAlign w:val="superscript"/>
    </w:rPr>
  </w:style>
  <w:style w:type="character" w:styleId="Oldalszm">
    <w:name w:val="page number"/>
    <w:basedOn w:val="Bekezdsalapbettpusa"/>
    <w:rsid w:val="00725A5B"/>
  </w:style>
  <w:style w:type="paragraph" w:styleId="Buborkszveg">
    <w:name w:val="Balloon Text"/>
    <w:basedOn w:val="Norml"/>
    <w:semiHidden/>
    <w:rsid w:val="00CE5F33"/>
    <w:rPr>
      <w:rFonts w:ascii="Tahoma" w:hAnsi="Tahoma" w:cs="Tahoma"/>
      <w:sz w:val="16"/>
      <w:szCs w:val="16"/>
    </w:rPr>
  </w:style>
  <w:style w:type="paragraph" w:styleId="Vltozat">
    <w:name w:val="Revision"/>
    <w:hidden/>
    <w:uiPriority w:val="99"/>
    <w:semiHidden/>
    <w:rsid w:val="00A22554"/>
    <w:rPr>
      <w:rFonts w:ascii="Arial" w:hAnsi="Arial"/>
      <w:sz w:val="24"/>
      <w:szCs w:val="24"/>
      <w:lang w:eastAsia="en-US"/>
    </w:rPr>
  </w:style>
  <w:style w:type="character" w:customStyle="1" w:styleId="shorttext">
    <w:name w:val="short_text"/>
    <w:rsid w:val="00E83F6E"/>
  </w:style>
  <w:style w:type="paragraph" w:customStyle="1" w:styleId="Text">
    <w:name w:val="Text"/>
    <w:basedOn w:val="Norml"/>
    <w:rsid w:val="004D6788"/>
    <w:pPr>
      <w:spacing w:before="120"/>
      <w:jc w:val="both"/>
    </w:pPr>
    <w:rPr>
      <w:rFonts w:ascii="Times New Roman" w:hAnsi="Times New Roman"/>
      <w:snapToGrid w:val="0"/>
    </w:rPr>
  </w:style>
  <w:style w:type="character" w:customStyle="1" w:styleId="lfejChar">
    <w:name w:val="Élőfej Char"/>
    <w:link w:val="lfej"/>
    <w:uiPriority w:val="99"/>
    <w:rsid w:val="0025083F"/>
    <w:rPr>
      <w:rFonts w:ascii="Arial" w:hAnsi="Arial"/>
      <w:sz w:val="24"/>
      <w:szCs w:val="24"/>
      <w:lang w:val="en-GB" w:eastAsia="en-US"/>
    </w:rPr>
  </w:style>
  <w:style w:type="paragraph" w:styleId="Cm">
    <w:name w:val="Title"/>
    <w:basedOn w:val="Norml"/>
    <w:link w:val="CmChar"/>
    <w:qFormat/>
    <w:rsid w:val="00F168D7"/>
    <w:pPr>
      <w:jc w:val="center"/>
    </w:pPr>
    <w:rPr>
      <w:rFonts w:ascii="Times New Roman" w:hAnsi="Times New Roman"/>
      <w:b/>
      <w:sz w:val="22"/>
      <w:szCs w:val="20"/>
    </w:rPr>
  </w:style>
  <w:style w:type="character" w:customStyle="1" w:styleId="CmChar">
    <w:name w:val="Cím Char"/>
    <w:link w:val="Cm"/>
    <w:rsid w:val="00F168D7"/>
    <w:rPr>
      <w:b/>
      <w:sz w:val="22"/>
      <w:lang w:val="en-GB" w:eastAsia="en-US"/>
    </w:rPr>
  </w:style>
  <w:style w:type="character" w:styleId="Jegyzethivatkozs">
    <w:name w:val="annotation reference"/>
    <w:rsid w:val="005753E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5753E1"/>
    <w:rPr>
      <w:sz w:val="20"/>
      <w:szCs w:val="20"/>
    </w:rPr>
  </w:style>
  <w:style w:type="character" w:customStyle="1" w:styleId="JegyzetszvegChar">
    <w:name w:val="Jegyzetszöveg Char"/>
    <w:link w:val="Jegyzetszveg"/>
    <w:rsid w:val="005753E1"/>
    <w:rPr>
      <w:rFonts w:ascii="Arial" w:hAnsi="Arial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rsid w:val="005753E1"/>
    <w:rPr>
      <w:b/>
      <w:bCs/>
    </w:rPr>
  </w:style>
  <w:style w:type="character" w:customStyle="1" w:styleId="MegjegyzstrgyaChar">
    <w:name w:val="Megjegyzés tárgya Char"/>
    <w:link w:val="Megjegyzstrgya"/>
    <w:rsid w:val="005753E1"/>
    <w:rPr>
      <w:rFonts w:ascii="Arial" w:hAnsi="Arial"/>
      <w:b/>
      <w:bCs/>
      <w:lang w:val="en-GB" w:eastAsia="en-US"/>
    </w:rPr>
  </w:style>
  <w:style w:type="character" w:styleId="Hiperhivatkozs">
    <w:name w:val="Hyperlink"/>
    <w:rsid w:val="008B497C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8B497C"/>
    <w:rPr>
      <w:color w:val="605E5C"/>
      <w:shd w:val="clear" w:color="auto" w:fill="E1DFDD"/>
    </w:rPr>
  </w:style>
  <w:style w:type="character" w:styleId="Mrltotthiperhivatkozs">
    <w:name w:val="FollowedHyperlink"/>
    <w:rsid w:val="008B497C"/>
    <w:rPr>
      <w:color w:val="954F72"/>
      <w:u w:val="single"/>
    </w:rPr>
  </w:style>
  <w:style w:type="paragraph" w:styleId="Szvegtrzs">
    <w:name w:val="Body Text"/>
    <w:basedOn w:val="Norml"/>
    <w:link w:val="SzvegtrzsChar"/>
    <w:uiPriority w:val="1"/>
    <w:qFormat/>
    <w:rsid w:val="005B7B68"/>
    <w:pPr>
      <w:widowControl w:val="0"/>
      <w:ind w:left="118"/>
    </w:pPr>
    <w:rPr>
      <w:rFonts w:ascii="Times New Roman" w:hAnsi="Times New Roman"/>
      <w:sz w:val="22"/>
      <w:szCs w:val="22"/>
      <w:lang w:val="en-US"/>
    </w:rPr>
  </w:style>
  <w:style w:type="character" w:customStyle="1" w:styleId="SzvegtrzsChar">
    <w:name w:val="Szövegtörzs Char"/>
    <w:link w:val="Szvegtrzs"/>
    <w:uiPriority w:val="1"/>
    <w:rsid w:val="005B7B68"/>
    <w:rPr>
      <w:sz w:val="22"/>
      <w:szCs w:val="22"/>
      <w:lang w:val="en-US" w:eastAsia="en-US"/>
    </w:rPr>
  </w:style>
  <w:style w:type="character" w:customStyle="1" w:styleId="llbChar">
    <w:name w:val="Élőláb Char"/>
    <w:basedOn w:val="Bekezdsalapbettpusa"/>
    <w:link w:val="llb"/>
    <w:uiPriority w:val="99"/>
    <w:rsid w:val="00D43F3D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b5a3c1-a27a-463c-a506-0488c51d960b">
      <Terms xmlns="http://schemas.microsoft.com/office/infopath/2007/PartnerControls"/>
    </lcf76f155ced4ddcb4097134ff3c332f>
    <TaxCatchAll xmlns="3d77d7db-f661-431f-85c9-f4de46924e2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A34921D908C4DB336C4E66DB824F2" ma:contentTypeVersion="15" ma:contentTypeDescription="Create a new document." ma:contentTypeScope="" ma:versionID="490fc2ede6a18774691109810af0dcf9">
  <xsd:schema xmlns:xsd="http://www.w3.org/2001/XMLSchema" xmlns:xs="http://www.w3.org/2001/XMLSchema" xmlns:p="http://schemas.microsoft.com/office/2006/metadata/properties" xmlns:ns2="3d77d7db-f661-431f-85c9-f4de46924e29" xmlns:ns3="10b5a3c1-a27a-463c-a506-0488c51d960b" targetNamespace="http://schemas.microsoft.com/office/2006/metadata/properties" ma:root="true" ma:fieldsID="66ceb84db2fe42b6b8952bbdf30e8a49" ns2:_="" ns3:_="">
    <xsd:import namespace="3d77d7db-f661-431f-85c9-f4de46924e29"/>
    <xsd:import namespace="10b5a3c1-a27a-463c-a506-0488c51d960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7d7db-f661-431f-85c9-f4de46924e2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9b8f2e0-c189-45aa-92ff-229f822e2b4b}" ma:internalName="TaxCatchAll" ma:readOnly="false" ma:showField="CatchAllData" ma:web="3d77d7db-f661-431f-85c9-f4de46924e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b5a3c1-a27a-463c-a506-0488c51d9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85ea59a-6200-4064-b0d4-81805195d7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37F98-B88A-4EC9-9A98-F612A1D34E8B}">
  <ds:schemaRefs>
    <ds:schemaRef ds:uri="http://purl.org/dc/elements/1.1/"/>
    <ds:schemaRef ds:uri="3d77d7db-f661-431f-85c9-f4de46924e29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10b5a3c1-a27a-463c-a506-0488c51d960b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DD92FE7-6406-4954-80C6-416DFBDAC9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2CEEA2-7135-48DF-BF7F-0C41D4F6D8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7d7db-f661-431f-85c9-f4de46924e29"/>
    <ds:schemaRef ds:uri="10b5a3c1-a27a-463c-a506-0488c51d96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3349</Words>
  <Characters>23525</Characters>
  <Application>Microsoft Office Word</Application>
  <DocSecurity>0</DocSecurity>
  <Lines>196</Lines>
  <Paragraphs>53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26821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2026-09-29T10:18:00Z</dcterms:created>
  <dcterms:modified xsi:type="dcterms:W3CDTF">2026-09-29T10:19:00Z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0x0101000C0A34921D908C4DB336C4E66DB824F2</vt:lpwstr>
  </property>
</Properties>
</file>