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bookmarkStart w:id="0" w:name="_GoBack"/>
      <w:bookmarkEnd w:id="0"/>
      <w:r w:rsidRPr="00096160">
        <w:rPr>
          <w:rFonts w:cs="Times New Roman"/>
          <w:b/>
          <w:bCs/>
          <w:sz w:val="22"/>
          <w:szCs w:val="22"/>
        </w:rPr>
        <w:t>1.</w:t>
      </w:r>
      <w:r w:rsidRPr="00096160">
        <w:rPr>
          <w:rFonts w:cs="Times New Roman"/>
          <w:b/>
          <w:bCs/>
          <w:sz w:val="22"/>
          <w:szCs w:val="22"/>
        </w:rPr>
        <w:tab/>
        <w:t>A GYÓGYSZER NEVE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Ka</w:t>
      </w:r>
      <w:r w:rsidR="00FD6805" w:rsidRPr="00096160">
        <w:rPr>
          <w:rFonts w:cs="Times New Roman"/>
          <w:sz w:val="22"/>
          <w:szCs w:val="22"/>
        </w:rPr>
        <w:t>loba belsőleges oldatos cseppek</w:t>
      </w:r>
    </w:p>
    <w:p w:rsidR="00296B47" w:rsidRPr="00096160" w:rsidRDefault="00296B47" w:rsidP="00096160">
      <w:pPr>
        <w:tabs>
          <w:tab w:val="center" w:pos="4536"/>
        </w:tabs>
        <w:rPr>
          <w:rFonts w:cs="Times New Roman"/>
          <w:sz w:val="22"/>
          <w:szCs w:val="22"/>
        </w:rPr>
      </w:pPr>
    </w:p>
    <w:p w:rsidR="00EB6CA1" w:rsidRPr="00096160" w:rsidRDefault="00EB6CA1" w:rsidP="00096160">
      <w:pPr>
        <w:tabs>
          <w:tab w:val="center" w:pos="4536"/>
        </w:tabs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2.</w:t>
      </w:r>
      <w:r w:rsidRPr="00096160">
        <w:rPr>
          <w:rFonts w:cs="Times New Roman"/>
          <w:b/>
          <w:bCs/>
          <w:sz w:val="22"/>
          <w:szCs w:val="22"/>
        </w:rPr>
        <w:tab/>
        <w:t>MINŐSÉGI ÉS MENNYISÉGI ÖSSZETÉTEL</w:t>
      </w:r>
    </w:p>
    <w:p w:rsidR="00296B47" w:rsidRPr="00C13DB7" w:rsidRDefault="00296B47" w:rsidP="00096160">
      <w:pPr>
        <w:rPr>
          <w:rFonts w:cs="Times New Roman"/>
          <w:i/>
          <w:iCs/>
          <w:sz w:val="22"/>
          <w:szCs w:val="22"/>
        </w:rPr>
      </w:pPr>
    </w:p>
    <w:p w:rsidR="00296B47" w:rsidRPr="00C13DB7" w:rsidRDefault="00296B47" w:rsidP="00096160">
      <w:pPr>
        <w:rPr>
          <w:rFonts w:cs="Times New Roman"/>
          <w:sz w:val="22"/>
          <w:szCs w:val="22"/>
        </w:rPr>
      </w:pPr>
      <w:r w:rsidRPr="00C13DB7">
        <w:rPr>
          <w:rFonts w:cs="Times New Roman"/>
          <w:sz w:val="22"/>
          <w:szCs w:val="22"/>
        </w:rPr>
        <w:t>Hatóanyag:</w:t>
      </w:r>
    </w:p>
    <w:p w:rsidR="005D01EA" w:rsidRPr="00C13DB7" w:rsidRDefault="005D01EA" w:rsidP="005D01EA">
      <w:pPr>
        <w:pStyle w:val="Default"/>
        <w:rPr>
          <w:sz w:val="22"/>
          <w:szCs w:val="22"/>
        </w:rPr>
      </w:pPr>
      <w:smartTag w:uri="urn:schemas-microsoft-com:office:smarttags" w:element="metricconverter">
        <w:smartTagPr>
          <w:attr w:name="ProductID" w:val="10 g"/>
        </w:smartTagPr>
        <w:r w:rsidRPr="00C13DB7">
          <w:rPr>
            <w:sz w:val="22"/>
            <w:szCs w:val="22"/>
          </w:rPr>
          <w:t>10 g</w:t>
        </w:r>
      </w:smartTag>
      <w:r w:rsidRPr="00C13DB7">
        <w:rPr>
          <w:sz w:val="22"/>
          <w:szCs w:val="22"/>
        </w:rPr>
        <w:t xml:space="preserve"> készítmény </w:t>
      </w:r>
      <w:r w:rsidR="00B57426" w:rsidRPr="00C13DB7">
        <w:rPr>
          <w:sz w:val="22"/>
          <w:szCs w:val="22"/>
        </w:rPr>
        <w:t xml:space="preserve">8 g </w:t>
      </w:r>
      <w:r w:rsidRPr="00C13DB7">
        <w:rPr>
          <w:sz w:val="22"/>
          <w:szCs w:val="22"/>
        </w:rPr>
        <w:t>muskátli gyökér (Pelargonium sidoides DC., radix) –</w:t>
      </w:r>
      <w:r w:rsidR="00C13DB7">
        <w:rPr>
          <w:sz w:val="22"/>
          <w:szCs w:val="22"/>
        </w:rPr>
        <w:t xml:space="preserve"> </w:t>
      </w:r>
      <w:r w:rsidRPr="00C13DB7">
        <w:rPr>
          <w:sz w:val="22"/>
          <w:szCs w:val="22"/>
        </w:rPr>
        <w:t xml:space="preserve">folyékony </w:t>
      </w:r>
      <w:r w:rsidR="00B57426" w:rsidRPr="00C13DB7">
        <w:rPr>
          <w:sz w:val="22"/>
          <w:szCs w:val="22"/>
        </w:rPr>
        <w:t>kivonat</w:t>
      </w:r>
      <w:r w:rsidR="00B57426">
        <w:rPr>
          <w:sz w:val="22"/>
          <w:szCs w:val="22"/>
        </w:rPr>
        <w:t>át</w:t>
      </w:r>
      <w:r w:rsidR="00B57426" w:rsidRPr="00C13DB7">
        <w:rPr>
          <w:sz w:val="22"/>
          <w:szCs w:val="22"/>
        </w:rPr>
        <w:t xml:space="preserve"> </w:t>
      </w:r>
      <w:r w:rsidRPr="00C13DB7">
        <w:rPr>
          <w:sz w:val="22"/>
          <w:szCs w:val="22"/>
        </w:rPr>
        <w:t>(1: 8-10) (EPs® 7630)</w:t>
      </w:r>
      <w:r w:rsidR="009C7F8E">
        <w:rPr>
          <w:sz w:val="22"/>
          <w:szCs w:val="22"/>
        </w:rPr>
        <w:t xml:space="preserve"> tartalmazza. </w:t>
      </w:r>
    </w:p>
    <w:p w:rsidR="005D01EA" w:rsidRDefault="00A25E4F" w:rsidP="005D01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Kivonószer: 11 % m/m etanol.</w:t>
      </w:r>
    </w:p>
    <w:p w:rsidR="009C7F8E" w:rsidRPr="00C13DB7" w:rsidRDefault="009C7F8E" w:rsidP="005D01EA">
      <w:pPr>
        <w:pStyle w:val="Default"/>
        <w:rPr>
          <w:sz w:val="22"/>
          <w:szCs w:val="22"/>
        </w:rPr>
      </w:pPr>
    </w:p>
    <w:p w:rsidR="00DF7465" w:rsidRPr="00C13DB7" w:rsidRDefault="005D01EA" w:rsidP="00DF7465">
      <w:pPr>
        <w:rPr>
          <w:rFonts w:cs="Times New Roman"/>
          <w:sz w:val="22"/>
          <w:szCs w:val="22"/>
        </w:rPr>
      </w:pPr>
      <w:r w:rsidRPr="009F11C8">
        <w:rPr>
          <w:sz w:val="22"/>
          <w:szCs w:val="22"/>
          <w:u w:val="single"/>
        </w:rPr>
        <w:t>Ismert hatású segédanyag</w:t>
      </w:r>
      <w:r w:rsidRPr="00C13DB7">
        <w:rPr>
          <w:sz w:val="22"/>
          <w:szCs w:val="22"/>
        </w:rPr>
        <w:t>: etanol</w:t>
      </w:r>
      <w:r w:rsidR="00C13DB7" w:rsidRPr="00C13DB7">
        <w:rPr>
          <w:sz w:val="22"/>
          <w:szCs w:val="22"/>
        </w:rPr>
        <w:t>.</w:t>
      </w:r>
    </w:p>
    <w:p w:rsidR="0068630C" w:rsidRPr="00C13DB7" w:rsidRDefault="0068630C" w:rsidP="00096160">
      <w:pPr>
        <w:rPr>
          <w:rFonts w:cs="Times New Roman"/>
          <w:sz w:val="22"/>
          <w:szCs w:val="22"/>
        </w:rPr>
      </w:pPr>
    </w:p>
    <w:p w:rsidR="00296B47" w:rsidRPr="00C13DB7" w:rsidRDefault="00A25E4F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segédanyagok teljes listáját lásd a 6.1 pontban.</w:t>
      </w:r>
    </w:p>
    <w:p w:rsidR="00296B47" w:rsidRPr="00C13DB7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cap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3.</w:t>
      </w:r>
      <w:r w:rsidRPr="00096160">
        <w:rPr>
          <w:rFonts w:cs="Times New Roman"/>
          <w:b/>
          <w:bCs/>
          <w:sz w:val="22"/>
          <w:szCs w:val="22"/>
        </w:rPr>
        <w:tab/>
        <w:t>GYÓGYSZERFORMA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Belsőleges oldatos cseppek: világosbarn</w:t>
      </w:r>
      <w:r w:rsidR="007E2DC8" w:rsidRPr="00096160">
        <w:rPr>
          <w:rFonts w:cs="Times New Roman"/>
          <w:sz w:val="22"/>
          <w:szCs w:val="22"/>
        </w:rPr>
        <w:t>ától</w:t>
      </w:r>
      <w:r w:rsidRPr="00096160">
        <w:rPr>
          <w:rFonts w:cs="Times New Roman"/>
          <w:sz w:val="22"/>
          <w:szCs w:val="22"/>
        </w:rPr>
        <w:t xml:space="preserve"> </w:t>
      </w:r>
      <w:r w:rsidR="007E2DC8" w:rsidRPr="00096160">
        <w:rPr>
          <w:rFonts w:cs="Times New Roman"/>
          <w:sz w:val="22"/>
          <w:szCs w:val="22"/>
        </w:rPr>
        <w:t>vörösesbarnáig terjedő</w:t>
      </w:r>
      <w:r w:rsidRPr="00096160">
        <w:rPr>
          <w:rFonts w:cs="Times New Roman"/>
          <w:sz w:val="22"/>
          <w:szCs w:val="22"/>
        </w:rPr>
        <w:t xml:space="preserve"> színű oldat.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caps/>
          <w:sz w:val="22"/>
          <w:szCs w:val="22"/>
        </w:rPr>
      </w:pPr>
      <w:r w:rsidRPr="00096160">
        <w:rPr>
          <w:rFonts w:cs="Times New Roman"/>
          <w:b/>
          <w:bCs/>
          <w:caps/>
          <w:sz w:val="22"/>
          <w:szCs w:val="22"/>
        </w:rPr>
        <w:t>4.</w:t>
      </w:r>
      <w:r w:rsidRPr="00096160">
        <w:rPr>
          <w:rFonts w:cs="Times New Roman"/>
          <w:b/>
          <w:bCs/>
          <w:caps/>
          <w:sz w:val="22"/>
          <w:szCs w:val="22"/>
        </w:rPr>
        <w:tab/>
        <w:t>Klinikai jellemzők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4.1</w:t>
      </w:r>
      <w:r w:rsidRPr="00096160">
        <w:rPr>
          <w:rFonts w:cs="Times New Roman"/>
          <w:b/>
          <w:bCs/>
          <w:sz w:val="22"/>
          <w:szCs w:val="22"/>
        </w:rPr>
        <w:tab/>
        <w:t>Terápiás javallatok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A </w:t>
      </w:r>
      <w:r w:rsidR="008403EC">
        <w:rPr>
          <w:rFonts w:cs="Times New Roman"/>
          <w:sz w:val="22"/>
          <w:szCs w:val="22"/>
        </w:rPr>
        <w:t>készítmény</w:t>
      </w:r>
      <w:r w:rsidR="008403EC" w:rsidRPr="00096160">
        <w:rPr>
          <w:rFonts w:cs="Times New Roman"/>
          <w:sz w:val="22"/>
          <w:szCs w:val="22"/>
        </w:rPr>
        <w:t xml:space="preserve"> </w:t>
      </w:r>
      <w:r w:rsidRPr="00096160">
        <w:rPr>
          <w:rFonts w:cs="Times New Roman"/>
          <w:sz w:val="22"/>
          <w:szCs w:val="22"/>
        </w:rPr>
        <w:t xml:space="preserve">hagyományos növényi gyógyszer, amelyet </w:t>
      </w:r>
      <w:r w:rsidR="00857B6D" w:rsidRPr="00096160">
        <w:rPr>
          <w:rFonts w:cs="Times New Roman"/>
          <w:sz w:val="22"/>
          <w:szCs w:val="22"/>
        </w:rPr>
        <w:t xml:space="preserve">kizárólag </w:t>
      </w:r>
      <w:r w:rsidRPr="00096160">
        <w:rPr>
          <w:rFonts w:cs="Times New Roman"/>
          <w:sz w:val="22"/>
          <w:szCs w:val="22"/>
        </w:rPr>
        <w:t xml:space="preserve">a </w:t>
      </w:r>
      <w:r w:rsidR="00857B6D" w:rsidRPr="00096160">
        <w:rPr>
          <w:rFonts w:cs="Times New Roman"/>
          <w:sz w:val="22"/>
          <w:szCs w:val="22"/>
        </w:rPr>
        <w:t xml:space="preserve">régóta fennálló használat alapján alkalmaznak </w:t>
      </w:r>
      <w:r w:rsidRPr="00096160">
        <w:rPr>
          <w:rFonts w:cs="Times New Roman"/>
          <w:sz w:val="22"/>
          <w:szCs w:val="22"/>
        </w:rPr>
        <w:t xml:space="preserve">felső légúti fertőzések, többek között a közönséges megfázás tüneteinek enyhítésére, mint </w:t>
      </w:r>
      <w:r w:rsidR="007D55AB">
        <w:rPr>
          <w:rFonts w:cs="Times New Roman"/>
          <w:sz w:val="22"/>
          <w:szCs w:val="22"/>
        </w:rPr>
        <w:t xml:space="preserve">pl. </w:t>
      </w:r>
      <w:r w:rsidRPr="00096160">
        <w:rPr>
          <w:rFonts w:cs="Times New Roman"/>
          <w:sz w:val="22"/>
          <w:szCs w:val="22"/>
        </w:rPr>
        <w:t>torokfájás, köhögés orrdugulás, orrfolyás.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4.2</w:t>
      </w:r>
      <w:r w:rsidRPr="00096160">
        <w:rPr>
          <w:rFonts w:cs="Times New Roman"/>
          <w:b/>
          <w:bCs/>
          <w:sz w:val="22"/>
          <w:szCs w:val="22"/>
        </w:rPr>
        <w:tab/>
        <w:t>Adagolás és alkalmazás</w:t>
      </w:r>
    </w:p>
    <w:p w:rsidR="00296B47" w:rsidRDefault="00296B47" w:rsidP="00096160">
      <w:pPr>
        <w:tabs>
          <w:tab w:val="left" w:pos="3420"/>
        </w:tabs>
        <w:rPr>
          <w:rFonts w:cs="Times New Roman"/>
          <w:sz w:val="22"/>
          <w:szCs w:val="22"/>
        </w:rPr>
      </w:pPr>
    </w:p>
    <w:p w:rsidR="00095681" w:rsidRPr="009F11C8" w:rsidRDefault="00095681" w:rsidP="00096160">
      <w:pPr>
        <w:tabs>
          <w:tab w:val="left" w:pos="3420"/>
        </w:tabs>
        <w:rPr>
          <w:rFonts w:cs="Times New Roman"/>
          <w:sz w:val="22"/>
          <w:szCs w:val="22"/>
          <w:u w:val="single"/>
        </w:rPr>
      </w:pPr>
      <w:r w:rsidRPr="009F11C8">
        <w:rPr>
          <w:rFonts w:cs="Times New Roman"/>
          <w:sz w:val="22"/>
          <w:szCs w:val="22"/>
          <w:u w:val="single"/>
        </w:rPr>
        <w:t>Adagolás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Felnőtteknek és 12 évnél idősebb fiataloknak naponta háromszor 30 csepp.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6 és 12 év közötti gyermekeknek napi háromszor 20 csepp.</w:t>
      </w:r>
    </w:p>
    <w:p w:rsidR="00296B47" w:rsidRDefault="00296B47" w:rsidP="00096160">
      <w:pPr>
        <w:rPr>
          <w:rFonts w:cs="Times New Roman"/>
          <w:sz w:val="22"/>
          <w:szCs w:val="22"/>
        </w:rPr>
      </w:pPr>
    </w:p>
    <w:p w:rsidR="00095681" w:rsidRPr="009F11C8" w:rsidRDefault="00095681" w:rsidP="00096160">
      <w:pPr>
        <w:rPr>
          <w:rFonts w:cs="Times New Roman"/>
          <w:i/>
          <w:sz w:val="22"/>
          <w:szCs w:val="22"/>
        </w:rPr>
      </w:pPr>
      <w:r w:rsidRPr="009F11C8">
        <w:rPr>
          <w:rFonts w:cs="Times New Roman"/>
          <w:i/>
          <w:sz w:val="22"/>
          <w:szCs w:val="22"/>
        </w:rPr>
        <w:t>Gyermekek</w:t>
      </w:r>
    </w:p>
    <w:p w:rsidR="00095681" w:rsidRDefault="00095681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Kaloba belsőleges oldatos cseppek alkalmazása nem javasolt 6 év alatti gyermekeknél, a vonatkozó adatok hiánya miatt.</w:t>
      </w:r>
    </w:p>
    <w:p w:rsidR="00095681" w:rsidRDefault="00095681" w:rsidP="00096160">
      <w:pPr>
        <w:rPr>
          <w:rFonts w:cs="Times New Roman"/>
          <w:sz w:val="22"/>
          <w:szCs w:val="22"/>
        </w:rPr>
      </w:pPr>
    </w:p>
    <w:p w:rsidR="00095681" w:rsidRDefault="00095681" w:rsidP="00096160">
      <w:pPr>
        <w:rPr>
          <w:rFonts w:cs="Times New Roman"/>
          <w:sz w:val="22"/>
          <w:szCs w:val="22"/>
          <w:u w:val="single"/>
        </w:rPr>
      </w:pPr>
      <w:r w:rsidRPr="009F11C8">
        <w:rPr>
          <w:rFonts w:cs="Times New Roman"/>
          <w:sz w:val="22"/>
          <w:szCs w:val="22"/>
          <w:u w:val="single"/>
        </w:rPr>
        <w:t>Az alkalmazás módja</w:t>
      </w:r>
    </w:p>
    <w:p w:rsidR="0063617B" w:rsidRPr="009F11C8" w:rsidRDefault="0063617B" w:rsidP="00096160">
      <w:pPr>
        <w:rPr>
          <w:rFonts w:cs="Times New Roman"/>
          <w:sz w:val="22"/>
          <w:szCs w:val="22"/>
          <w:u w:val="single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szükséges mennyiségű cseppet közvetlenül kanálból vagy tetszés szerint fél pohár víz</w:t>
      </w:r>
      <w:r w:rsidR="000B0C51" w:rsidRPr="00096160">
        <w:rPr>
          <w:rFonts w:cs="Times New Roman"/>
          <w:sz w:val="22"/>
          <w:szCs w:val="22"/>
        </w:rPr>
        <w:t>zel</w:t>
      </w:r>
      <w:r w:rsidRPr="00096160">
        <w:rPr>
          <w:rFonts w:cs="Times New Roman"/>
          <w:sz w:val="22"/>
          <w:szCs w:val="22"/>
        </w:rPr>
        <w:t xml:space="preserve"> </w:t>
      </w:r>
      <w:r w:rsidR="000B0C51" w:rsidRPr="00096160">
        <w:rPr>
          <w:rFonts w:cs="Times New Roman"/>
          <w:sz w:val="22"/>
          <w:szCs w:val="22"/>
        </w:rPr>
        <w:t>el</w:t>
      </w:r>
      <w:r w:rsidRPr="00096160">
        <w:rPr>
          <w:rFonts w:cs="Times New Roman"/>
          <w:sz w:val="22"/>
          <w:szCs w:val="22"/>
        </w:rPr>
        <w:t xml:space="preserve">keverve is be lehet venni </w:t>
      </w:r>
      <w:r w:rsidR="000B0C51" w:rsidRPr="00096160">
        <w:rPr>
          <w:rFonts w:cs="Times New Roman"/>
          <w:sz w:val="22"/>
          <w:szCs w:val="22"/>
        </w:rPr>
        <w:t>és</w:t>
      </w:r>
      <w:r w:rsidRPr="00096160">
        <w:rPr>
          <w:rFonts w:cs="Times New Roman"/>
          <w:sz w:val="22"/>
          <w:szCs w:val="22"/>
        </w:rPr>
        <w:t xml:space="preserve"> a pohár tartalmát egyszerre kell meginni.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cseppeket reggel, délben és este kell bevenni.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20 csepp körülbelül 1 ml-nek, 30 csepp pedig 1,5 ml mennyiségnek felel meg.</w:t>
      </w:r>
    </w:p>
    <w:p w:rsidR="00B505BB" w:rsidRPr="00096160" w:rsidRDefault="00B505BB" w:rsidP="00096160">
      <w:pPr>
        <w:rPr>
          <w:rFonts w:cs="Times New Roman"/>
          <w:sz w:val="22"/>
          <w:szCs w:val="22"/>
        </w:rPr>
      </w:pPr>
    </w:p>
    <w:p w:rsidR="00296B47" w:rsidRDefault="001170E0" w:rsidP="00096160">
      <w:pPr>
        <w:rPr>
          <w:rFonts w:cs="Times New Roman"/>
          <w:iCs/>
          <w:sz w:val="22"/>
          <w:szCs w:val="22"/>
          <w:u w:val="single"/>
        </w:rPr>
      </w:pPr>
      <w:r w:rsidRPr="009F11C8">
        <w:rPr>
          <w:rFonts w:cs="Times New Roman"/>
          <w:iCs/>
          <w:sz w:val="22"/>
          <w:szCs w:val="22"/>
          <w:u w:val="single"/>
        </w:rPr>
        <w:t>Az a</w:t>
      </w:r>
      <w:r w:rsidR="00296B47" w:rsidRPr="009F11C8">
        <w:rPr>
          <w:rFonts w:cs="Times New Roman"/>
          <w:iCs/>
          <w:sz w:val="22"/>
          <w:szCs w:val="22"/>
          <w:u w:val="single"/>
        </w:rPr>
        <w:t>lkalmazás időtartama</w:t>
      </w:r>
    </w:p>
    <w:p w:rsidR="0063617B" w:rsidRPr="009F11C8" w:rsidRDefault="0063617B" w:rsidP="00096160">
      <w:pPr>
        <w:rPr>
          <w:rFonts w:cs="Times New Roman"/>
          <w:iCs/>
          <w:sz w:val="22"/>
          <w:szCs w:val="22"/>
          <w:u w:val="single"/>
        </w:rPr>
      </w:pPr>
    </w:p>
    <w:p w:rsidR="00296B47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tünetek enyhülése után ajánlott az alkalmazást még néhány</w:t>
      </w:r>
      <w:r w:rsidR="00CD0E30" w:rsidRPr="00096160">
        <w:rPr>
          <w:rFonts w:cs="Times New Roman"/>
          <w:sz w:val="22"/>
          <w:szCs w:val="22"/>
        </w:rPr>
        <w:t xml:space="preserve"> (2-3)</w:t>
      </w:r>
      <w:r w:rsidRPr="00096160">
        <w:rPr>
          <w:rFonts w:cs="Times New Roman"/>
          <w:sz w:val="22"/>
          <w:szCs w:val="22"/>
        </w:rPr>
        <w:t xml:space="preserve"> napig folytatni a betegség kiújulásának elkerülése érdekében.</w:t>
      </w:r>
      <w:r w:rsidR="00FD6805" w:rsidRPr="00096160">
        <w:rPr>
          <w:rFonts w:cs="Times New Roman"/>
          <w:sz w:val="22"/>
          <w:szCs w:val="22"/>
        </w:rPr>
        <w:t xml:space="preserve"> </w:t>
      </w:r>
      <w:r w:rsidRPr="00096160">
        <w:rPr>
          <w:rFonts w:cs="Times New Roman"/>
          <w:sz w:val="22"/>
          <w:szCs w:val="22"/>
        </w:rPr>
        <w:t>A gyógyszer szedése 2 hétnél tovább ne tartson.</w:t>
      </w:r>
    </w:p>
    <w:p w:rsidR="00096160" w:rsidRPr="00096160" w:rsidRDefault="00096160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4.3</w:t>
      </w:r>
      <w:r w:rsidRPr="00096160">
        <w:rPr>
          <w:rFonts w:cs="Times New Roman"/>
          <w:b/>
          <w:bCs/>
          <w:sz w:val="22"/>
          <w:szCs w:val="22"/>
        </w:rPr>
        <w:tab/>
        <w:t>Ellenjavallatok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1A7A46">
      <w:pPr>
        <w:widowControl/>
        <w:numPr>
          <w:ilvl w:val="0"/>
          <w:numId w:val="4"/>
        </w:numPr>
        <w:tabs>
          <w:tab w:val="clear" w:pos="720"/>
          <w:tab w:val="num" w:pos="567"/>
        </w:tabs>
        <w:suppressAutoHyphens w:val="0"/>
        <w:ind w:left="567" w:hanging="567"/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a </w:t>
      </w:r>
      <w:r w:rsidR="00BC7733" w:rsidRPr="00096160">
        <w:rPr>
          <w:rFonts w:cs="Times New Roman"/>
          <w:sz w:val="22"/>
          <w:szCs w:val="22"/>
        </w:rPr>
        <w:t>készítmény hatóanyagá</w:t>
      </w:r>
      <w:r w:rsidRPr="00096160">
        <w:rPr>
          <w:rFonts w:cs="Times New Roman"/>
          <w:sz w:val="22"/>
          <w:szCs w:val="22"/>
        </w:rPr>
        <w:t xml:space="preserve">val vagy </w:t>
      </w:r>
      <w:r w:rsidR="001A7A46">
        <w:rPr>
          <w:rFonts w:cs="Times New Roman"/>
          <w:sz w:val="22"/>
          <w:szCs w:val="22"/>
        </w:rPr>
        <w:t xml:space="preserve">a 6.1 pontban felsorolt </w:t>
      </w:r>
      <w:r w:rsidRPr="00096160">
        <w:rPr>
          <w:rFonts w:cs="Times New Roman"/>
          <w:sz w:val="22"/>
          <w:szCs w:val="22"/>
        </w:rPr>
        <w:t>bármely segédanyagával szembeni túlérzékenység</w:t>
      </w:r>
      <w:r w:rsidR="00234A1A">
        <w:rPr>
          <w:rFonts w:cs="Times New Roman"/>
          <w:sz w:val="22"/>
          <w:szCs w:val="22"/>
        </w:rPr>
        <w:t>;</w:t>
      </w:r>
    </w:p>
    <w:p w:rsidR="00296B47" w:rsidRPr="00096160" w:rsidRDefault="00296B47" w:rsidP="001A7A46">
      <w:pPr>
        <w:widowControl/>
        <w:numPr>
          <w:ilvl w:val="0"/>
          <w:numId w:val="4"/>
        </w:numPr>
        <w:tabs>
          <w:tab w:val="clear" w:pos="720"/>
          <w:tab w:val="num" w:pos="567"/>
        </w:tabs>
        <w:suppressAutoHyphens w:val="0"/>
        <w:ind w:left="0" w:firstLine="0"/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fokozott vérzékenységi hajlam, és véralvadásgátló készítmények alkalmazása</w:t>
      </w:r>
      <w:r w:rsidR="00234A1A">
        <w:rPr>
          <w:rFonts w:cs="Times New Roman"/>
          <w:sz w:val="22"/>
          <w:szCs w:val="22"/>
        </w:rPr>
        <w:t>;</w:t>
      </w:r>
    </w:p>
    <w:p w:rsidR="00296B47" w:rsidRPr="00096160" w:rsidRDefault="00296B47" w:rsidP="001A7A46">
      <w:pPr>
        <w:widowControl/>
        <w:numPr>
          <w:ilvl w:val="0"/>
          <w:numId w:val="4"/>
        </w:numPr>
        <w:tabs>
          <w:tab w:val="clear" w:pos="720"/>
          <w:tab w:val="num" w:pos="567"/>
        </w:tabs>
        <w:suppressAutoHyphens w:val="0"/>
        <w:ind w:left="567" w:hanging="567"/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lastRenderedPageBreak/>
        <w:t>súlyos máj- és vesebetegségben, mivel eze</w:t>
      </w:r>
      <w:r w:rsidR="00AD0031">
        <w:rPr>
          <w:rFonts w:cs="Times New Roman"/>
          <w:sz w:val="22"/>
          <w:szCs w:val="22"/>
        </w:rPr>
        <w:t>ken</w:t>
      </w:r>
      <w:r w:rsidRPr="00096160">
        <w:rPr>
          <w:rFonts w:cs="Times New Roman"/>
          <w:sz w:val="22"/>
          <w:szCs w:val="22"/>
        </w:rPr>
        <w:t xml:space="preserve"> a területeken nem állnak rendel</w:t>
      </w:r>
      <w:r w:rsidR="00EB3492" w:rsidRPr="00096160">
        <w:rPr>
          <w:rFonts w:cs="Times New Roman"/>
          <w:sz w:val="22"/>
          <w:szCs w:val="22"/>
        </w:rPr>
        <w:t>kezésre me</w:t>
      </w:r>
      <w:r w:rsidR="00D71B75" w:rsidRPr="00096160">
        <w:rPr>
          <w:rFonts w:cs="Times New Roman"/>
          <w:sz w:val="22"/>
          <w:szCs w:val="22"/>
        </w:rPr>
        <w:t>gfelelő tapasztalatok.</w:t>
      </w:r>
    </w:p>
    <w:p w:rsidR="00D71B75" w:rsidRPr="00096160" w:rsidRDefault="00D71B75" w:rsidP="00096160">
      <w:pPr>
        <w:widowControl/>
        <w:suppressAutoHyphens w:val="0"/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4.4</w:t>
      </w:r>
      <w:r w:rsidRPr="00096160">
        <w:rPr>
          <w:rFonts w:cs="Times New Roman"/>
          <w:b/>
          <w:bCs/>
          <w:sz w:val="22"/>
          <w:szCs w:val="22"/>
        </w:rPr>
        <w:tab/>
      </w:r>
      <w:r w:rsidRPr="00096160">
        <w:rPr>
          <w:rFonts w:cs="Times New Roman"/>
          <w:b/>
          <w:sz w:val="22"/>
          <w:szCs w:val="22"/>
        </w:rPr>
        <w:t>Különleges</w:t>
      </w:r>
      <w:r w:rsidRPr="00096160">
        <w:rPr>
          <w:rFonts w:cs="Times New Roman"/>
          <w:b/>
          <w:bCs/>
          <w:sz w:val="22"/>
          <w:szCs w:val="22"/>
        </w:rPr>
        <w:t xml:space="preserve"> figyelmeztetések és az alkalmazással kapcsolatos óvintézkedések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betegnek azt kell tanácsolni, hogy azonnal keresse fel orvosát, ha állapota egy héten belül nem javul, vagy több napig tartó láza</w:t>
      </w:r>
      <w:r w:rsidR="0064530F">
        <w:rPr>
          <w:rFonts w:cs="Times New Roman"/>
          <w:sz w:val="22"/>
          <w:szCs w:val="22"/>
        </w:rPr>
        <w:t xml:space="preserve"> van</w:t>
      </w:r>
      <w:r w:rsidRPr="00096160">
        <w:rPr>
          <w:rFonts w:cs="Times New Roman"/>
          <w:sz w:val="22"/>
          <w:szCs w:val="22"/>
        </w:rPr>
        <w:t xml:space="preserve">, </w:t>
      </w:r>
      <w:r w:rsidR="0064530F">
        <w:rPr>
          <w:rFonts w:cs="Times New Roman"/>
          <w:sz w:val="22"/>
          <w:szCs w:val="22"/>
        </w:rPr>
        <w:t xml:space="preserve">különböző eredetű májfunkciós zavarok esetén, vagy ha </w:t>
      </w:r>
      <w:r w:rsidRPr="00096160">
        <w:rPr>
          <w:rFonts w:cs="Times New Roman"/>
          <w:sz w:val="22"/>
          <w:szCs w:val="22"/>
        </w:rPr>
        <w:t>légszomja</w:t>
      </w:r>
      <w:r w:rsidR="001F4814">
        <w:rPr>
          <w:rFonts w:cs="Times New Roman"/>
          <w:sz w:val="22"/>
          <w:szCs w:val="22"/>
        </w:rPr>
        <w:t>,</w:t>
      </w:r>
      <w:r w:rsidRPr="00096160">
        <w:rPr>
          <w:rFonts w:cs="Times New Roman"/>
          <w:sz w:val="22"/>
          <w:szCs w:val="22"/>
        </w:rPr>
        <w:t xml:space="preserve"> illetve véres köpete van.</w:t>
      </w:r>
    </w:p>
    <w:p w:rsidR="000B0C51" w:rsidRPr="00096160" w:rsidRDefault="000B0C51" w:rsidP="00096160">
      <w:pPr>
        <w:rPr>
          <w:rFonts w:cs="Times New Roman"/>
          <w:sz w:val="22"/>
          <w:szCs w:val="22"/>
        </w:rPr>
      </w:pPr>
    </w:p>
    <w:p w:rsidR="00BC7733" w:rsidRPr="0019241D" w:rsidRDefault="00916848" w:rsidP="00096160">
      <w:pPr>
        <w:rPr>
          <w:rFonts w:cs="Times New Roman"/>
          <w:sz w:val="22"/>
          <w:szCs w:val="22"/>
        </w:rPr>
      </w:pPr>
      <w:r w:rsidRPr="0019241D">
        <w:rPr>
          <w:rFonts w:cs="Times New Roman"/>
          <w:sz w:val="22"/>
          <w:szCs w:val="22"/>
        </w:rPr>
        <w:t>A Kaloba belsőleges oldatos cseppek 12 % (V/V) etanolt (alkohol) tartalmaz.</w:t>
      </w:r>
    </w:p>
    <w:p w:rsidR="00296B47" w:rsidRPr="00096160" w:rsidRDefault="009D74FA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Ez az alábbiaknak felel meg (</w:t>
      </w:r>
      <w:smartTag w:uri="urn:schemas-microsoft-com:office:smarttags" w:element="metricconverter">
        <w:smartTagPr>
          <w:attr w:name="ProductID" w:val="1 g"/>
        </w:smartTagPr>
        <w:r>
          <w:rPr>
            <w:rFonts w:cs="Times New Roman"/>
            <w:sz w:val="22"/>
            <w:szCs w:val="22"/>
          </w:rPr>
          <w:t>1 g</w:t>
        </w:r>
      </w:smartTag>
      <w:r w:rsidR="00FD6805" w:rsidRPr="00096160">
        <w:rPr>
          <w:rFonts w:cs="Times New Roman"/>
          <w:sz w:val="22"/>
          <w:szCs w:val="22"/>
        </w:rPr>
        <w:t xml:space="preserve"> készítmény </w:t>
      </w:r>
      <w:r w:rsidR="00FD6805" w:rsidRPr="00096160">
        <w:rPr>
          <w:rFonts w:cs="Times New Roman"/>
          <w:sz w:val="22"/>
          <w:szCs w:val="22"/>
          <w:u w:val="single"/>
        </w:rPr>
        <w:t>~</w:t>
      </w:r>
      <w:r w:rsidR="00FD6805" w:rsidRPr="00096160">
        <w:rPr>
          <w:rFonts w:cs="Times New Roman"/>
          <w:sz w:val="22"/>
          <w:szCs w:val="22"/>
        </w:rPr>
        <w:t>21 csepp)</w:t>
      </w:r>
      <w:r w:rsidR="00296B47" w:rsidRPr="00096160">
        <w:rPr>
          <w:rFonts w:cs="Times New Roman"/>
          <w:sz w:val="22"/>
          <w:szCs w:val="22"/>
        </w:rPr>
        <w:t>:</w:t>
      </w:r>
    </w:p>
    <w:p w:rsidR="000B0C51" w:rsidRPr="00096160" w:rsidRDefault="000B0C51" w:rsidP="00096160">
      <w:pPr>
        <w:widowControl/>
        <w:numPr>
          <w:ilvl w:val="0"/>
          <w:numId w:val="3"/>
        </w:numPr>
        <w:tabs>
          <w:tab w:val="clear" w:pos="1080"/>
          <w:tab w:val="num" w:pos="567"/>
        </w:tabs>
        <w:suppressAutoHyphens w:val="0"/>
        <w:ind w:left="567" w:hanging="567"/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készítmény 30 cseppje 125 mg alkoholt tartalmaz, ami 2,5 ml sörnek vagy 1,0 ml bornak felel meg.</w:t>
      </w:r>
    </w:p>
    <w:p w:rsidR="00BC7733" w:rsidRPr="00096160" w:rsidRDefault="00BC7733" w:rsidP="00096160">
      <w:pPr>
        <w:widowControl/>
        <w:numPr>
          <w:ilvl w:val="0"/>
          <w:numId w:val="3"/>
        </w:numPr>
        <w:tabs>
          <w:tab w:val="clear" w:pos="1080"/>
          <w:tab w:val="num" w:pos="567"/>
        </w:tabs>
        <w:suppressAutoHyphens w:val="0"/>
        <w:ind w:left="567" w:hanging="567"/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a készítmény 20 cseppje kevesebb, mint 100 mg </w:t>
      </w:r>
      <w:r w:rsidR="004B2183" w:rsidRPr="00096160">
        <w:rPr>
          <w:rFonts w:cs="Times New Roman"/>
          <w:sz w:val="22"/>
          <w:szCs w:val="22"/>
        </w:rPr>
        <w:t>(kb. 84</w:t>
      </w:r>
      <w:r w:rsidR="00DF2DF0" w:rsidRPr="00096160">
        <w:rPr>
          <w:rFonts w:cs="Times New Roman"/>
          <w:sz w:val="22"/>
          <w:szCs w:val="22"/>
        </w:rPr>
        <w:t xml:space="preserve"> mg) </w:t>
      </w:r>
      <w:r w:rsidRPr="00096160">
        <w:rPr>
          <w:rFonts w:cs="Times New Roman"/>
          <w:sz w:val="22"/>
          <w:szCs w:val="22"/>
        </w:rPr>
        <w:t xml:space="preserve">alkoholt tartalmaz, ami </w:t>
      </w:r>
      <w:r w:rsidR="00DF2DF0" w:rsidRPr="00096160">
        <w:rPr>
          <w:rFonts w:cs="Times New Roman"/>
          <w:sz w:val="22"/>
          <w:szCs w:val="22"/>
        </w:rPr>
        <w:t>1</w:t>
      </w:r>
      <w:r w:rsidRPr="00096160">
        <w:rPr>
          <w:rFonts w:cs="Times New Roman"/>
          <w:sz w:val="22"/>
          <w:szCs w:val="22"/>
        </w:rPr>
        <w:t>,</w:t>
      </w:r>
      <w:r w:rsidR="00DF2DF0" w:rsidRPr="00096160">
        <w:rPr>
          <w:rFonts w:cs="Times New Roman"/>
          <w:sz w:val="22"/>
          <w:szCs w:val="22"/>
        </w:rPr>
        <w:t>7</w:t>
      </w:r>
      <w:r w:rsidRPr="00096160">
        <w:rPr>
          <w:rFonts w:cs="Times New Roman"/>
          <w:sz w:val="22"/>
          <w:szCs w:val="22"/>
        </w:rPr>
        <w:t xml:space="preserve"> ml sörnek vagy 0</w:t>
      </w:r>
      <w:r w:rsidR="00DF2DF0" w:rsidRPr="00096160">
        <w:rPr>
          <w:rFonts w:cs="Times New Roman"/>
          <w:sz w:val="22"/>
          <w:szCs w:val="22"/>
        </w:rPr>
        <w:t>,7</w:t>
      </w:r>
      <w:r w:rsidRPr="00096160">
        <w:rPr>
          <w:rFonts w:cs="Times New Roman"/>
          <w:sz w:val="22"/>
          <w:szCs w:val="22"/>
        </w:rPr>
        <w:t xml:space="preserve"> ml bornak felel meg.</w:t>
      </w:r>
    </w:p>
    <w:p w:rsidR="000B0C51" w:rsidRPr="00096160" w:rsidRDefault="000B0C51" w:rsidP="00096160">
      <w:pPr>
        <w:rPr>
          <w:rFonts w:cs="Times New Roman"/>
          <w:sz w:val="22"/>
          <w:szCs w:val="22"/>
        </w:rPr>
      </w:pPr>
    </w:p>
    <w:p w:rsidR="00296B47" w:rsidRPr="00096160" w:rsidRDefault="006046A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Etanol tartalma</w:t>
      </w:r>
      <w:r w:rsidR="00296B47" w:rsidRPr="00096160">
        <w:rPr>
          <w:rFonts w:cs="Times New Roman"/>
          <w:sz w:val="22"/>
          <w:szCs w:val="22"/>
        </w:rPr>
        <w:t xml:space="preserve"> miatt a készítmény káros az alkoholbetegek számára.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Alkalmazás</w:t>
      </w:r>
      <w:r w:rsidR="00AD0031">
        <w:rPr>
          <w:rFonts w:cs="Times New Roman"/>
          <w:sz w:val="22"/>
          <w:szCs w:val="22"/>
        </w:rPr>
        <w:t>á</w:t>
      </w:r>
      <w:r w:rsidR="00844A41" w:rsidRPr="00096160">
        <w:rPr>
          <w:rFonts w:cs="Times New Roman"/>
          <w:sz w:val="22"/>
          <w:szCs w:val="22"/>
        </w:rPr>
        <w:t xml:space="preserve">t </w:t>
      </w:r>
      <w:r w:rsidRPr="00096160">
        <w:rPr>
          <w:rFonts w:cs="Times New Roman"/>
          <w:sz w:val="22"/>
          <w:szCs w:val="22"/>
        </w:rPr>
        <w:t xml:space="preserve">alaposan </w:t>
      </w:r>
      <w:r w:rsidR="00844A41" w:rsidRPr="00096160">
        <w:rPr>
          <w:rFonts w:cs="Times New Roman"/>
          <w:sz w:val="22"/>
          <w:szCs w:val="22"/>
        </w:rPr>
        <w:t>át kell gondolni</w:t>
      </w:r>
      <w:r w:rsidRPr="00096160">
        <w:rPr>
          <w:rFonts w:cs="Times New Roman"/>
          <w:sz w:val="22"/>
          <w:szCs w:val="22"/>
        </w:rPr>
        <w:t>, gyermekeknél és a magas rizikófaktorral rendelkező betegeknél (pl. májbetegségben vagy epilepsziában).</w:t>
      </w:r>
    </w:p>
    <w:p w:rsidR="000B0C51" w:rsidRPr="00096160" w:rsidRDefault="000B0C51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4.5</w:t>
      </w:r>
      <w:r w:rsidRPr="00096160">
        <w:rPr>
          <w:rFonts w:cs="Times New Roman"/>
          <w:b/>
          <w:bCs/>
          <w:sz w:val="22"/>
          <w:szCs w:val="22"/>
        </w:rPr>
        <w:tab/>
        <w:t>Gyógyszerkölcsönhatások és egyéb interakciók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Gyógyszerkölcsönhatásokról ezidáig nem számoltak be.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Egészséges önkénteseken végzett kettős</w:t>
      </w:r>
      <w:r w:rsidR="001F4814">
        <w:rPr>
          <w:rFonts w:cs="Times New Roman"/>
          <w:sz w:val="22"/>
          <w:szCs w:val="22"/>
        </w:rPr>
        <w:t xml:space="preserve"> </w:t>
      </w:r>
      <w:r w:rsidRPr="00096160">
        <w:rPr>
          <w:rFonts w:cs="Times New Roman"/>
          <w:sz w:val="22"/>
          <w:szCs w:val="22"/>
        </w:rPr>
        <w:t>vak placebokontroll</w:t>
      </w:r>
      <w:r w:rsidR="001F4814">
        <w:rPr>
          <w:rFonts w:cs="Times New Roman"/>
          <w:sz w:val="22"/>
          <w:szCs w:val="22"/>
        </w:rPr>
        <w:t>os</w:t>
      </w:r>
      <w:r w:rsidRPr="00096160">
        <w:rPr>
          <w:rFonts w:cs="Times New Roman"/>
          <w:sz w:val="22"/>
          <w:szCs w:val="22"/>
        </w:rPr>
        <w:t xml:space="preserve"> vizsgálat nem mutatott interakciót a Kaloba belsőleges oldatos cseppek és a V penicillin között.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844A41" w:rsidP="00096160">
      <w:pPr>
        <w:rPr>
          <w:rFonts w:cs="Times New Roman"/>
          <w:bCs/>
          <w:iCs/>
          <w:sz w:val="22"/>
          <w:szCs w:val="22"/>
        </w:rPr>
      </w:pPr>
      <w:r w:rsidRPr="00096160">
        <w:rPr>
          <w:rFonts w:cs="Times New Roman"/>
          <w:bCs/>
          <w:iCs/>
          <w:sz w:val="22"/>
          <w:szCs w:val="22"/>
        </w:rPr>
        <w:t>Mivel a</w:t>
      </w:r>
      <w:r w:rsidR="00296B47" w:rsidRPr="00096160">
        <w:rPr>
          <w:rFonts w:cs="Times New Roman"/>
          <w:bCs/>
          <w:iCs/>
          <w:sz w:val="22"/>
          <w:szCs w:val="22"/>
        </w:rPr>
        <w:t xml:space="preserve"> Kaloba belsőleges oldatos cseppek</w:t>
      </w:r>
      <w:r w:rsidR="00296B47" w:rsidRPr="00096160">
        <w:rPr>
          <w:rFonts w:cs="Times New Roman"/>
          <w:bCs/>
          <w:sz w:val="22"/>
          <w:szCs w:val="22"/>
        </w:rPr>
        <w:t xml:space="preserve"> </w:t>
      </w:r>
      <w:r w:rsidR="00296B47" w:rsidRPr="00096160">
        <w:rPr>
          <w:rFonts w:cs="Times New Roman"/>
          <w:bCs/>
          <w:iCs/>
          <w:sz w:val="22"/>
          <w:szCs w:val="22"/>
        </w:rPr>
        <w:t xml:space="preserve">a véralvadási </w:t>
      </w:r>
      <w:r w:rsidRPr="00096160">
        <w:rPr>
          <w:rFonts w:cs="Times New Roman"/>
          <w:bCs/>
          <w:iCs/>
          <w:sz w:val="22"/>
          <w:szCs w:val="22"/>
        </w:rPr>
        <w:t>paramétereke</w:t>
      </w:r>
      <w:r w:rsidR="00296B47" w:rsidRPr="00096160">
        <w:rPr>
          <w:rFonts w:cs="Times New Roman"/>
          <w:bCs/>
          <w:iCs/>
          <w:sz w:val="22"/>
          <w:szCs w:val="22"/>
        </w:rPr>
        <w:t>t befolyásolhatja</w:t>
      </w:r>
      <w:r w:rsidRPr="00096160">
        <w:rPr>
          <w:rFonts w:cs="Times New Roman"/>
          <w:bCs/>
          <w:iCs/>
          <w:sz w:val="22"/>
          <w:szCs w:val="22"/>
        </w:rPr>
        <w:t>, nem</w:t>
      </w:r>
      <w:r w:rsidR="00296B47" w:rsidRPr="00096160">
        <w:rPr>
          <w:rFonts w:cs="Times New Roman"/>
          <w:bCs/>
          <w:iCs/>
          <w:sz w:val="22"/>
          <w:szCs w:val="22"/>
        </w:rPr>
        <w:t xml:space="preserve"> zárható ki annak lehetősége, hogy a szájon át szedett véralvadásgátló gyógyszerek (pl. dikumarol és warfarin) hatását egyidejű szedésekor esetleg fokozhatja.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4.6</w:t>
      </w:r>
      <w:r w:rsidRPr="00096160">
        <w:rPr>
          <w:rFonts w:cs="Times New Roman"/>
          <w:b/>
          <w:bCs/>
          <w:sz w:val="22"/>
          <w:szCs w:val="22"/>
        </w:rPr>
        <w:tab/>
      </w:r>
      <w:r w:rsidR="00247AFB">
        <w:rPr>
          <w:rFonts w:cs="Times New Roman"/>
          <w:b/>
          <w:bCs/>
          <w:sz w:val="22"/>
          <w:szCs w:val="22"/>
        </w:rPr>
        <w:t>Termékenység, t</w:t>
      </w:r>
      <w:r w:rsidRPr="00096160">
        <w:rPr>
          <w:rFonts w:cs="Times New Roman"/>
          <w:b/>
          <w:bCs/>
          <w:sz w:val="22"/>
          <w:szCs w:val="22"/>
        </w:rPr>
        <w:t>erhesség és szoptatás</w:t>
      </w:r>
    </w:p>
    <w:p w:rsidR="00296B47" w:rsidRPr="00096160" w:rsidRDefault="00296B47" w:rsidP="00096160">
      <w:pPr>
        <w:numPr>
          <w:ilvl w:val="12"/>
          <w:numId w:val="0"/>
        </w:numPr>
        <w:tabs>
          <w:tab w:val="left" w:pos="6960"/>
        </w:tabs>
        <w:rPr>
          <w:rFonts w:cs="Times New Roman"/>
          <w:sz w:val="22"/>
          <w:szCs w:val="22"/>
        </w:rPr>
      </w:pPr>
    </w:p>
    <w:p w:rsidR="000B0C51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</w:t>
      </w:r>
      <w:r w:rsidR="00E31938" w:rsidRPr="00096160">
        <w:rPr>
          <w:rFonts w:cs="Times New Roman"/>
          <w:sz w:val="22"/>
          <w:szCs w:val="22"/>
        </w:rPr>
        <w:t xml:space="preserve"> készítmény</w:t>
      </w:r>
      <w:r w:rsidR="007B2E0E">
        <w:rPr>
          <w:rFonts w:cs="Times New Roman"/>
          <w:sz w:val="22"/>
          <w:szCs w:val="22"/>
        </w:rPr>
        <w:t xml:space="preserve"> alkalmazása nem javasol</w:t>
      </w:r>
      <w:r w:rsidR="00E31938" w:rsidRPr="00096160">
        <w:rPr>
          <w:rFonts w:cs="Times New Roman"/>
          <w:sz w:val="22"/>
          <w:szCs w:val="22"/>
        </w:rPr>
        <w:t xml:space="preserve">t terhesség és szoptatás alatt, mivel </w:t>
      </w:r>
      <w:r w:rsidR="00265DA2">
        <w:rPr>
          <w:rFonts w:cs="Times New Roman"/>
          <w:sz w:val="22"/>
          <w:szCs w:val="22"/>
        </w:rPr>
        <w:t>ezekben az állapotokban elegendő tapasztalat nem áll rendelkezésre</w:t>
      </w:r>
      <w:r w:rsidR="00E31938" w:rsidRPr="00096160">
        <w:rPr>
          <w:rFonts w:cs="Times New Roman"/>
          <w:sz w:val="22"/>
          <w:szCs w:val="22"/>
        </w:rPr>
        <w:t>.</w:t>
      </w:r>
    </w:p>
    <w:p w:rsidR="00E31938" w:rsidRPr="00096160" w:rsidRDefault="00E31938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4.7</w:t>
      </w:r>
      <w:r w:rsidRPr="00096160">
        <w:rPr>
          <w:rFonts w:cs="Times New Roman"/>
          <w:b/>
          <w:bCs/>
          <w:sz w:val="22"/>
          <w:szCs w:val="22"/>
        </w:rPr>
        <w:tab/>
      </w:r>
      <w:r w:rsidRPr="00096160">
        <w:rPr>
          <w:rFonts w:cs="Times New Roman"/>
          <w:b/>
          <w:sz w:val="22"/>
          <w:szCs w:val="22"/>
        </w:rPr>
        <w:t xml:space="preserve">A készítmény hatásai a gépjárművezetéshez és gépek </w:t>
      </w:r>
      <w:r w:rsidR="000963C3" w:rsidRPr="00096160">
        <w:rPr>
          <w:rFonts w:cs="Times New Roman"/>
          <w:b/>
          <w:bCs/>
          <w:noProof/>
          <w:sz w:val="22"/>
          <w:szCs w:val="22"/>
        </w:rPr>
        <w:t>kezeléséhez</w:t>
      </w:r>
      <w:r w:rsidRPr="00096160">
        <w:rPr>
          <w:rFonts w:cs="Times New Roman"/>
          <w:b/>
          <w:bCs/>
          <w:noProof/>
          <w:sz w:val="22"/>
          <w:szCs w:val="22"/>
        </w:rPr>
        <w:t xml:space="preserve"> </w:t>
      </w:r>
      <w:r w:rsidRPr="00096160">
        <w:rPr>
          <w:rFonts w:cs="Times New Roman"/>
          <w:b/>
          <w:sz w:val="22"/>
          <w:szCs w:val="22"/>
        </w:rPr>
        <w:t>szükséges képességekre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0B0C51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A </w:t>
      </w:r>
      <w:r w:rsidR="000963C3" w:rsidRPr="00096160">
        <w:rPr>
          <w:rFonts w:cs="Times New Roman"/>
          <w:sz w:val="22"/>
          <w:szCs w:val="22"/>
        </w:rPr>
        <w:t>Kaloba belsőleges oldatos cseppek nem, vagy csak elhanyagolható mértékben befolyásolja a gépjárművezetéshez és gépek kezeléséhez szükséges képességeket.</w:t>
      </w:r>
    </w:p>
    <w:p w:rsidR="00FD3C50" w:rsidRPr="00096160" w:rsidRDefault="00FD3C50" w:rsidP="00096160">
      <w:pPr>
        <w:rPr>
          <w:rFonts w:cs="Times New Roman"/>
          <w:b/>
          <w:bCs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4.8</w:t>
      </w:r>
      <w:r w:rsidRPr="00096160">
        <w:rPr>
          <w:rFonts w:cs="Times New Roman"/>
          <w:b/>
          <w:bCs/>
          <w:sz w:val="22"/>
          <w:szCs w:val="22"/>
        </w:rPr>
        <w:tab/>
        <w:t>Nemkívánatos hatások, mellékhatások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A mellékhatások értékelése az alábbi gyakorisági információkon alapszik:</w:t>
      </w:r>
    </w:p>
    <w:p w:rsidR="00296B47" w:rsidRPr="00C357DD" w:rsidRDefault="00296B47" w:rsidP="00096160">
      <w:pPr>
        <w:rPr>
          <w:rFonts w:cs="Times New Roman"/>
          <w:sz w:val="22"/>
          <w:szCs w:val="22"/>
        </w:rPr>
      </w:pP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Nagyon gyakori (</w:t>
      </w:r>
      <w:r w:rsidRPr="00C357DD">
        <w:rPr>
          <w:noProof/>
          <w:sz w:val="22"/>
          <w:szCs w:val="22"/>
        </w:rPr>
        <w:sym w:font="Symbol" w:char="F0B3"/>
      </w:r>
      <w:r w:rsidRPr="00C357DD">
        <w:rPr>
          <w:noProof/>
          <w:sz w:val="22"/>
          <w:szCs w:val="22"/>
        </w:rPr>
        <w:t>1/10)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Gyakori (</w:t>
      </w:r>
      <w:r w:rsidRPr="00C357DD">
        <w:rPr>
          <w:noProof/>
          <w:sz w:val="22"/>
          <w:szCs w:val="22"/>
        </w:rPr>
        <w:sym w:font="Symbol" w:char="F0B3"/>
      </w:r>
      <w:r w:rsidRPr="00C357DD">
        <w:rPr>
          <w:noProof/>
          <w:sz w:val="22"/>
          <w:szCs w:val="22"/>
        </w:rPr>
        <w:t>1/100 – &lt;1/10)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Nem gyakori (</w:t>
      </w:r>
      <w:r w:rsidRPr="00C357DD">
        <w:rPr>
          <w:noProof/>
          <w:sz w:val="22"/>
          <w:szCs w:val="22"/>
        </w:rPr>
        <w:sym w:font="Symbol" w:char="F0B3"/>
      </w:r>
      <w:r w:rsidRPr="00C357DD">
        <w:rPr>
          <w:noProof/>
          <w:sz w:val="22"/>
          <w:szCs w:val="22"/>
        </w:rPr>
        <w:t>1/1000 –&lt;1/100)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Ritka (</w:t>
      </w:r>
      <w:r w:rsidRPr="00C357DD">
        <w:rPr>
          <w:noProof/>
          <w:sz w:val="22"/>
          <w:szCs w:val="22"/>
        </w:rPr>
        <w:sym w:font="Symbol" w:char="F0B3"/>
      </w:r>
      <w:r w:rsidRPr="00C357DD">
        <w:rPr>
          <w:noProof/>
          <w:sz w:val="22"/>
          <w:szCs w:val="22"/>
        </w:rPr>
        <w:t>1/10 000 –&lt;1/1000)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Nagyon ritka (&lt;1/10 000)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  <w:r w:rsidRPr="00C357DD">
        <w:rPr>
          <w:noProof/>
          <w:sz w:val="22"/>
          <w:szCs w:val="22"/>
        </w:rPr>
        <w:t>nem ismert (</w:t>
      </w:r>
      <w:r w:rsidR="001F4814">
        <w:rPr>
          <w:noProof/>
          <w:sz w:val="22"/>
          <w:szCs w:val="22"/>
        </w:rPr>
        <w:t xml:space="preserve">a gyakoriság </w:t>
      </w:r>
      <w:r w:rsidRPr="00C357DD">
        <w:rPr>
          <w:noProof/>
          <w:sz w:val="22"/>
          <w:szCs w:val="22"/>
        </w:rPr>
        <w:t>a rendelkezésre álló adatokból nem állapítható meg)</w:t>
      </w:r>
    </w:p>
    <w:p w:rsidR="00F80720" w:rsidRPr="00C357DD" w:rsidRDefault="00F80720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  <w:u w:val="single"/>
        </w:rPr>
      </w:pPr>
      <w:r w:rsidRPr="00096160">
        <w:rPr>
          <w:rFonts w:cs="Times New Roman"/>
          <w:sz w:val="22"/>
          <w:szCs w:val="22"/>
          <w:u w:val="single"/>
        </w:rPr>
        <w:t>Emésztőrendszeri betegségek és tünetek</w:t>
      </w:r>
    </w:p>
    <w:p w:rsidR="00296B47" w:rsidRDefault="00E308A1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Nem gyakori: </w:t>
      </w:r>
      <w:r w:rsidR="00296B47" w:rsidRPr="00096160">
        <w:rPr>
          <w:rFonts w:cs="Times New Roman"/>
          <w:sz w:val="22"/>
          <w:szCs w:val="22"/>
        </w:rPr>
        <w:t>gastrointestinalis panaszok, mint gyomorfájdalom, gyomorégés, émelygés vagy hasmenés</w:t>
      </w:r>
      <w:r w:rsidR="00B5027D">
        <w:rPr>
          <w:rFonts w:cs="Times New Roman"/>
          <w:sz w:val="22"/>
          <w:szCs w:val="22"/>
        </w:rPr>
        <w:t>.</w:t>
      </w:r>
    </w:p>
    <w:p w:rsidR="00857EAF" w:rsidRPr="00096160" w:rsidRDefault="00857EAF" w:rsidP="0009616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Ritka: enyhe fogínyvérzés.</w:t>
      </w:r>
    </w:p>
    <w:p w:rsidR="00296B47" w:rsidRPr="007D06E3" w:rsidRDefault="00296B47" w:rsidP="00096160">
      <w:pPr>
        <w:pStyle w:val="Vgjegyzetszvege"/>
        <w:rPr>
          <w:snapToGrid w:val="0"/>
          <w:szCs w:val="22"/>
        </w:rPr>
      </w:pPr>
    </w:p>
    <w:p w:rsidR="00857EAF" w:rsidRPr="007D06E3" w:rsidRDefault="007D06E3" w:rsidP="00857EAF">
      <w:pPr>
        <w:rPr>
          <w:sz w:val="22"/>
          <w:szCs w:val="22"/>
          <w:u w:val="single"/>
          <w:lang w:bidi="ar-SA"/>
        </w:rPr>
      </w:pPr>
      <w:r w:rsidRPr="007D06E3">
        <w:rPr>
          <w:sz w:val="22"/>
          <w:szCs w:val="22"/>
          <w:u w:val="single"/>
        </w:rPr>
        <w:lastRenderedPageBreak/>
        <w:t>Légzőrendszeri, mellkasi és mediastinalis betegségek és tünetek</w:t>
      </w:r>
    </w:p>
    <w:p w:rsidR="00857EAF" w:rsidRPr="007630A0" w:rsidRDefault="00A35A0D" w:rsidP="00857EAF">
      <w:pPr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Ritka: enyhe orrvérzés.</w:t>
      </w:r>
    </w:p>
    <w:p w:rsidR="00857EAF" w:rsidRPr="00911E6A" w:rsidRDefault="00857EAF" w:rsidP="00857EAF">
      <w:pPr>
        <w:rPr>
          <w:sz w:val="22"/>
          <w:szCs w:val="22"/>
          <w:lang w:bidi="ar-SA"/>
        </w:rPr>
      </w:pPr>
    </w:p>
    <w:p w:rsidR="00296B47" w:rsidRPr="00096160" w:rsidRDefault="00911E6A" w:rsidP="00096160">
      <w:pPr>
        <w:rPr>
          <w:rFonts w:cs="Times New Roman"/>
          <w:bCs/>
          <w:sz w:val="22"/>
          <w:szCs w:val="22"/>
          <w:u w:val="single"/>
        </w:rPr>
      </w:pPr>
      <w:r w:rsidRPr="00AE44EA">
        <w:rPr>
          <w:sz w:val="22"/>
          <w:szCs w:val="22"/>
          <w:u w:val="single"/>
        </w:rPr>
        <w:t>A bőr és a bőr alatti szövet betegségei és tünetei/</w:t>
      </w:r>
      <w:r w:rsidR="00296B47" w:rsidRPr="00096160">
        <w:rPr>
          <w:rFonts w:cs="Times New Roman"/>
          <w:bCs/>
          <w:sz w:val="22"/>
          <w:szCs w:val="22"/>
          <w:u w:val="single"/>
        </w:rPr>
        <w:t>Immunrendszeri betegségek és tünetek</w:t>
      </w:r>
    </w:p>
    <w:p w:rsidR="00296B47" w:rsidRPr="00096160" w:rsidRDefault="00FD3C50" w:rsidP="00096160">
      <w:pPr>
        <w:rPr>
          <w:rFonts w:cs="Times New Roman"/>
          <w:sz w:val="22"/>
          <w:szCs w:val="22"/>
          <w:u w:val="single"/>
        </w:rPr>
      </w:pPr>
      <w:r w:rsidRPr="00096160">
        <w:rPr>
          <w:rFonts w:cs="Times New Roman"/>
          <w:sz w:val="22"/>
          <w:szCs w:val="22"/>
        </w:rPr>
        <w:t xml:space="preserve">Ritka: </w:t>
      </w:r>
      <w:r w:rsidR="00296B47" w:rsidRPr="00096160">
        <w:rPr>
          <w:rFonts w:cs="Times New Roman"/>
          <w:sz w:val="22"/>
          <w:szCs w:val="22"/>
        </w:rPr>
        <w:t>túlérzékenységi reakciók (I-es típusú reakciók, amelyeket exanthema, urticaria és bőr valamint nyálkahártya pruritus kísér; II-es típusú reakciók antitest képződéssel)</w:t>
      </w:r>
      <w:r w:rsidR="00BB7ADA">
        <w:rPr>
          <w:rFonts w:cs="Times New Roman"/>
          <w:sz w:val="22"/>
          <w:szCs w:val="22"/>
        </w:rPr>
        <w:t>.</w:t>
      </w:r>
      <w:r w:rsidR="00296B47" w:rsidRPr="00096160">
        <w:rPr>
          <w:rFonts w:cs="Times New Roman"/>
          <w:sz w:val="22"/>
          <w:szCs w:val="22"/>
        </w:rPr>
        <w:t xml:space="preserve"> Ilyen reakciók a Kaloba belsőleges oldatos cseppek első bevétele után is jelentkezhetnek.</w:t>
      </w:r>
    </w:p>
    <w:p w:rsidR="00296B47" w:rsidRPr="00096160" w:rsidRDefault="00FD3C50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Nagyon ritka: </w:t>
      </w:r>
      <w:r w:rsidR="00296B47" w:rsidRPr="00096160">
        <w:rPr>
          <w:rFonts w:cs="Times New Roman"/>
          <w:sz w:val="22"/>
          <w:szCs w:val="22"/>
        </w:rPr>
        <w:t>súlyos túlérzékenységi reakciók az arc duzzanatával, nehézlégzéssel és vérnyomáscsökkenéssel</w:t>
      </w:r>
      <w:r w:rsidR="00B5027D">
        <w:rPr>
          <w:rFonts w:cs="Times New Roman"/>
          <w:sz w:val="22"/>
          <w:szCs w:val="22"/>
        </w:rPr>
        <w:t>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  <w:u w:val="single"/>
        </w:rPr>
      </w:pPr>
      <w:r w:rsidRPr="00096160">
        <w:rPr>
          <w:rFonts w:cs="Times New Roman"/>
          <w:sz w:val="22"/>
          <w:szCs w:val="22"/>
          <w:u w:val="single"/>
        </w:rPr>
        <w:t>Máj- és epebetegségek illetve tünetek</w:t>
      </w:r>
    </w:p>
    <w:p w:rsidR="00296B47" w:rsidRPr="00096160" w:rsidRDefault="00AE44EA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Különböző eredetű májfunkciós zavarok.</w:t>
      </w:r>
      <w:r w:rsidR="00296B47" w:rsidRPr="0009616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 w:rsidR="00296B47" w:rsidRPr="00096160">
        <w:rPr>
          <w:rFonts w:cs="Times New Roman"/>
          <w:sz w:val="22"/>
          <w:szCs w:val="22"/>
        </w:rPr>
        <w:t>zen eredmény és a készítmény alkalmazása közötti ok-okozati összefüggés nem bizonyított.</w:t>
      </w:r>
      <w:r>
        <w:rPr>
          <w:rFonts w:cs="Times New Roman"/>
          <w:sz w:val="22"/>
          <w:szCs w:val="22"/>
        </w:rPr>
        <w:t xml:space="preserve"> Gyakorisága nem ismert.</w:t>
      </w:r>
    </w:p>
    <w:p w:rsidR="00296B47" w:rsidRDefault="00296B47" w:rsidP="00096160">
      <w:pPr>
        <w:rPr>
          <w:rFonts w:cs="Times New Roman"/>
          <w:sz w:val="22"/>
          <w:szCs w:val="22"/>
        </w:rPr>
      </w:pPr>
    </w:p>
    <w:p w:rsidR="00602070" w:rsidRPr="00602070" w:rsidRDefault="00602070" w:rsidP="00602070">
      <w:pPr>
        <w:widowControl/>
        <w:tabs>
          <w:tab w:val="left" w:pos="567"/>
        </w:tabs>
        <w:suppressAutoHyphens w:val="0"/>
        <w:rPr>
          <w:rFonts w:eastAsia="SimSun" w:cs="Times New Roman"/>
          <w:snapToGrid w:val="0"/>
          <w:sz w:val="22"/>
          <w:szCs w:val="20"/>
          <w:u w:val="single"/>
          <w:lang w:eastAsia="zh-CN" w:bidi="ar-SA"/>
        </w:rPr>
      </w:pPr>
      <w:r w:rsidRPr="00602070">
        <w:rPr>
          <w:rFonts w:eastAsia="SimSun" w:cs="Times New Roman"/>
          <w:snapToGrid w:val="0"/>
          <w:sz w:val="22"/>
          <w:szCs w:val="20"/>
          <w:u w:val="single"/>
          <w:lang w:eastAsia="zh-CN" w:bidi="ar-SA"/>
        </w:rPr>
        <w:t>Feltételezett mellékhatások bejelentése</w:t>
      </w:r>
    </w:p>
    <w:p w:rsidR="00602070" w:rsidRPr="00602070" w:rsidRDefault="00602070" w:rsidP="00602070">
      <w:pPr>
        <w:widowControl/>
        <w:tabs>
          <w:tab w:val="left" w:pos="567"/>
        </w:tabs>
        <w:suppressAutoHyphens w:val="0"/>
        <w:rPr>
          <w:rFonts w:eastAsia="SimSun" w:cs="Times New Roman"/>
          <w:snapToGrid w:val="0"/>
          <w:sz w:val="22"/>
          <w:szCs w:val="20"/>
          <w:lang w:eastAsia="zh-CN" w:bidi="ar-SA"/>
        </w:rPr>
      </w:pPr>
      <w:r w:rsidRPr="00602070">
        <w:rPr>
          <w:rFonts w:eastAsia="SimSun" w:cs="Times New Roman"/>
          <w:snapToGrid w:val="0"/>
          <w:sz w:val="22"/>
          <w:szCs w:val="20"/>
          <w:lang w:eastAsia="zh-CN" w:bidi="ar-SA"/>
        </w:rPr>
        <w:t>A gyógyszer engedélyezését követően lényeges a feltételezett mellékhatások bejelentése, mert ez fontos eszköze annak, hogy a gyógyszer előny/kockázat profilját folyamatosa</w:t>
      </w:r>
      <w:r>
        <w:rPr>
          <w:rFonts w:eastAsia="SimSun" w:cs="Times New Roman"/>
          <w:snapToGrid w:val="0"/>
          <w:sz w:val="22"/>
          <w:szCs w:val="20"/>
          <w:lang w:eastAsia="zh-CN" w:bidi="ar-SA"/>
        </w:rPr>
        <w:t>n figyelemmel lehessen kísérni.</w:t>
      </w:r>
    </w:p>
    <w:p w:rsidR="009F7A43" w:rsidRPr="00BB2BB3" w:rsidRDefault="009F7A43" w:rsidP="009F7A43">
      <w:pPr>
        <w:rPr>
          <w:sz w:val="22"/>
          <w:szCs w:val="22"/>
        </w:rPr>
      </w:pPr>
      <w:r w:rsidRPr="00BB2BB3">
        <w:rPr>
          <w:sz w:val="22"/>
          <w:szCs w:val="22"/>
        </w:rPr>
        <w:t xml:space="preserve">Az egészségügyi szakembereket kérjük, hogy jelentsék be a feltételezett mellékhatásokat a hatóság részére </w:t>
      </w:r>
      <w:r w:rsidR="00BB7ADA">
        <w:rPr>
          <w:sz w:val="22"/>
          <w:szCs w:val="22"/>
        </w:rPr>
        <w:t xml:space="preserve">az </w:t>
      </w:r>
      <w:hyperlink r:id="rId9" w:history="1">
        <w:r w:rsidR="00655382" w:rsidRPr="009F11C8">
          <w:rPr>
            <w:sz w:val="22"/>
            <w:szCs w:val="22"/>
          </w:rPr>
          <w:t>V. függelékben</w:t>
        </w:r>
      </w:hyperlink>
      <w:r w:rsidR="00655382" w:rsidRPr="009F11C8">
        <w:rPr>
          <w:sz w:val="22"/>
          <w:szCs w:val="22"/>
        </w:rPr>
        <w:t xml:space="preserve"> </w:t>
      </w:r>
      <w:r w:rsidR="00BB7ADA">
        <w:rPr>
          <w:sz w:val="22"/>
          <w:szCs w:val="22"/>
        </w:rPr>
        <w:t>található elérhetőségek valamelyikén keresztül.</w:t>
      </w:r>
    </w:p>
    <w:p w:rsidR="00602070" w:rsidRPr="00096160" w:rsidRDefault="00602070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4.9</w:t>
      </w:r>
      <w:r w:rsidRPr="00096160">
        <w:rPr>
          <w:rFonts w:cs="Times New Roman"/>
          <w:b/>
          <w:bCs/>
          <w:sz w:val="22"/>
          <w:szCs w:val="22"/>
        </w:rPr>
        <w:tab/>
        <w:t>Túladagolás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Túladagolásról nem számoltak be.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5.</w:t>
      </w:r>
      <w:r w:rsidRPr="00096160">
        <w:rPr>
          <w:rFonts w:cs="Times New Roman"/>
          <w:b/>
          <w:bCs/>
          <w:sz w:val="22"/>
          <w:szCs w:val="22"/>
        </w:rPr>
        <w:tab/>
        <w:t>FARMAKOLÓGIAI TULAJDONSÁGOK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widowControl/>
        <w:numPr>
          <w:ilvl w:val="1"/>
          <w:numId w:val="2"/>
        </w:numPr>
        <w:suppressAutoHyphens w:val="0"/>
        <w:ind w:left="0" w:firstLine="0"/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Farmakodinámiás tulajdonságok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Farmakoterápiás csoport</w:t>
      </w:r>
      <w:r w:rsidR="00D34E95" w:rsidRPr="00096160">
        <w:rPr>
          <w:rFonts w:cs="Times New Roman"/>
          <w:sz w:val="22"/>
          <w:szCs w:val="22"/>
        </w:rPr>
        <w:t>:</w:t>
      </w:r>
      <w:r w:rsidRPr="00096160">
        <w:rPr>
          <w:rFonts w:cs="Times New Roman"/>
          <w:sz w:val="22"/>
          <w:szCs w:val="22"/>
        </w:rPr>
        <w:t xml:space="preserve"> köhögés és </w:t>
      </w:r>
      <w:r w:rsidR="00E31938" w:rsidRPr="00096160">
        <w:rPr>
          <w:rFonts w:cs="Times New Roman"/>
          <w:sz w:val="22"/>
          <w:szCs w:val="22"/>
        </w:rPr>
        <w:t xml:space="preserve">meghűlés gyógyszerei, </w:t>
      </w:r>
      <w:r w:rsidRPr="00096160">
        <w:rPr>
          <w:rFonts w:cs="Times New Roman"/>
          <w:sz w:val="22"/>
          <w:szCs w:val="22"/>
        </w:rPr>
        <w:t>ATC kód: R 05</w:t>
      </w:r>
    </w:p>
    <w:p w:rsidR="00FD3C50" w:rsidRPr="00096160" w:rsidRDefault="00FD3C50" w:rsidP="00096160">
      <w:pPr>
        <w:rPr>
          <w:rFonts w:cs="Times New Roman"/>
          <w:sz w:val="22"/>
          <w:szCs w:val="22"/>
        </w:rPr>
      </w:pPr>
    </w:p>
    <w:p w:rsidR="00296B47" w:rsidRDefault="002C167A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készítmény hatásosságát és biztonságát a régóta fennálló használat támasztja alá.</w:t>
      </w:r>
    </w:p>
    <w:p w:rsidR="002C167A" w:rsidRPr="00096160" w:rsidRDefault="002C167A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widowControl/>
        <w:numPr>
          <w:ilvl w:val="1"/>
          <w:numId w:val="2"/>
        </w:numPr>
        <w:suppressAutoHyphens w:val="0"/>
        <w:ind w:left="0" w:firstLine="0"/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Farmakokinetikai tulajdonságok</w:t>
      </w:r>
    </w:p>
    <w:p w:rsidR="00BF7C95" w:rsidRPr="00096160" w:rsidRDefault="00BF7C95" w:rsidP="00096160">
      <w:pPr>
        <w:rPr>
          <w:rFonts w:cs="Times New Roman"/>
          <w:sz w:val="22"/>
          <w:szCs w:val="22"/>
        </w:rPr>
      </w:pPr>
    </w:p>
    <w:p w:rsidR="002C167A" w:rsidRPr="00096160" w:rsidRDefault="002C167A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készítmény hatásosságát és biztonságát a régóta fennálló használat támasztja alá.</w:t>
      </w:r>
    </w:p>
    <w:p w:rsidR="00BF7C95" w:rsidRPr="00096160" w:rsidRDefault="00BF7C95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widowControl/>
        <w:numPr>
          <w:ilvl w:val="1"/>
          <w:numId w:val="2"/>
        </w:numPr>
        <w:suppressAutoHyphens w:val="0"/>
        <w:ind w:left="0" w:firstLine="0"/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A preklinikai biztonságossági vizsgálatok eredményei</w:t>
      </w:r>
    </w:p>
    <w:p w:rsidR="00BF7C95" w:rsidRPr="00096160" w:rsidRDefault="00BF7C95" w:rsidP="00096160">
      <w:pPr>
        <w:rPr>
          <w:rFonts w:cs="Times New Roman"/>
          <w:sz w:val="22"/>
          <w:szCs w:val="22"/>
        </w:rPr>
      </w:pPr>
    </w:p>
    <w:p w:rsidR="00296B47" w:rsidRPr="00096160" w:rsidRDefault="002C167A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készítmény hatásosságát és biztonságát a régóta fennálló használat támasztja alá.</w:t>
      </w:r>
    </w:p>
    <w:p w:rsidR="00296B47" w:rsidRDefault="00296B47" w:rsidP="00096160">
      <w:pPr>
        <w:rPr>
          <w:rFonts w:cs="Times New Roman"/>
          <w:sz w:val="22"/>
          <w:szCs w:val="22"/>
        </w:rPr>
      </w:pPr>
    </w:p>
    <w:p w:rsidR="0076249C" w:rsidRPr="00096160" w:rsidRDefault="0076249C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6.</w:t>
      </w:r>
      <w:r w:rsidRPr="00096160">
        <w:rPr>
          <w:rFonts w:cs="Times New Roman"/>
          <w:b/>
          <w:bCs/>
          <w:sz w:val="22"/>
          <w:szCs w:val="22"/>
        </w:rPr>
        <w:tab/>
        <w:t>GYÓGYSZERÉSZETI JELLEMZŐK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540797" w:rsidP="00096160">
      <w:pPr>
        <w:widowControl/>
        <w:numPr>
          <w:ilvl w:val="1"/>
          <w:numId w:val="1"/>
        </w:numPr>
        <w:suppressAutoHyphens w:val="0"/>
        <w:ind w:left="0" w:firstLine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</w:t>
      </w:r>
      <w:r w:rsidR="00296B47" w:rsidRPr="00096160">
        <w:rPr>
          <w:rFonts w:cs="Times New Roman"/>
          <w:b/>
          <w:bCs/>
          <w:sz w:val="22"/>
          <w:szCs w:val="22"/>
        </w:rPr>
        <w:t>egédanyagok felsorolása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Etanol, 85%-os glicerin, tisztított víz.</w:t>
      </w:r>
    </w:p>
    <w:p w:rsidR="00296B47" w:rsidRPr="00096160" w:rsidRDefault="00296B47" w:rsidP="00096160">
      <w:pPr>
        <w:rPr>
          <w:rFonts w:cs="Times New Roman"/>
          <w:b/>
          <w:bCs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6.2</w:t>
      </w:r>
      <w:r w:rsidRPr="00096160">
        <w:rPr>
          <w:rFonts w:cs="Times New Roman"/>
          <w:b/>
          <w:bCs/>
          <w:sz w:val="22"/>
          <w:szCs w:val="22"/>
        </w:rPr>
        <w:tab/>
        <w:t>Inkompatibilitások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27581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Jelenleg nem ismertek.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6.3</w:t>
      </w:r>
      <w:r w:rsidRPr="00096160">
        <w:rPr>
          <w:rFonts w:cs="Times New Roman"/>
          <w:b/>
          <w:bCs/>
          <w:sz w:val="22"/>
          <w:szCs w:val="22"/>
        </w:rPr>
        <w:tab/>
        <w:t>Felhasználhatósági időtartam</w:t>
      </w:r>
    </w:p>
    <w:p w:rsidR="00227581" w:rsidRPr="00096160" w:rsidRDefault="00227581" w:rsidP="00096160">
      <w:pPr>
        <w:rPr>
          <w:rFonts w:cs="Times New Roman"/>
          <w:sz w:val="22"/>
          <w:szCs w:val="22"/>
        </w:rPr>
      </w:pPr>
    </w:p>
    <w:p w:rsidR="00D34E95" w:rsidRPr="00096160" w:rsidRDefault="00D34E95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2 év.</w:t>
      </w:r>
    </w:p>
    <w:p w:rsidR="00296B47" w:rsidRPr="00096160" w:rsidRDefault="00E70EDD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üveg f</w:t>
      </w:r>
      <w:r w:rsidR="00D34E95" w:rsidRPr="00096160">
        <w:rPr>
          <w:rFonts w:cs="Times New Roman"/>
          <w:sz w:val="22"/>
          <w:szCs w:val="22"/>
        </w:rPr>
        <w:t>elbontás</w:t>
      </w:r>
      <w:r>
        <w:rPr>
          <w:rFonts w:cs="Times New Roman"/>
          <w:sz w:val="22"/>
          <w:szCs w:val="22"/>
        </w:rPr>
        <w:t>át követően</w:t>
      </w:r>
      <w:r w:rsidR="00E23DD3">
        <w:rPr>
          <w:rFonts w:cs="Times New Roman"/>
          <w:sz w:val="22"/>
          <w:szCs w:val="22"/>
        </w:rPr>
        <w:t xml:space="preserve"> </w:t>
      </w:r>
      <w:r w:rsidR="006D7A9C">
        <w:rPr>
          <w:rFonts w:cs="Times New Roman"/>
          <w:sz w:val="22"/>
          <w:szCs w:val="22"/>
        </w:rPr>
        <w:t>6</w:t>
      </w:r>
      <w:r w:rsidR="00D34E95" w:rsidRPr="00096160">
        <w:rPr>
          <w:rFonts w:cs="Times New Roman"/>
          <w:sz w:val="22"/>
          <w:szCs w:val="22"/>
        </w:rPr>
        <w:t xml:space="preserve"> hónap</w:t>
      </w:r>
      <w:r w:rsidR="00227581" w:rsidRPr="00096160">
        <w:rPr>
          <w:rFonts w:cs="Times New Roman"/>
          <w:sz w:val="22"/>
          <w:szCs w:val="22"/>
        </w:rPr>
        <w:t>ig használható fel.</w:t>
      </w:r>
    </w:p>
    <w:p w:rsidR="00296B47" w:rsidRPr="00096160" w:rsidRDefault="00296B47" w:rsidP="00096160">
      <w:pPr>
        <w:tabs>
          <w:tab w:val="left" w:pos="1276"/>
        </w:tabs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6.4</w:t>
      </w:r>
      <w:r w:rsidRPr="00096160">
        <w:rPr>
          <w:rFonts w:cs="Times New Roman"/>
          <w:b/>
          <w:bCs/>
          <w:sz w:val="22"/>
          <w:szCs w:val="22"/>
        </w:rPr>
        <w:tab/>
      </w:r>
      <w:r w:rsidRPr="00096160">
        <w:rPr>
          <w:rFonts w:cs="Times New Roman"/>
          <w:b/>
          <w:sz w:val="22"/>
          <w:szCs w:val="22"/>
        </w:rPr>
        <w:t>Különleges</w:t>
      </w:r>
      <w:r w:rsidRPr="00096160">
        <w:rPr>
          <w:rFonts w:cs="Times New Roman"/>
          <w:b/>
          <w:bCs/>
          <w:sz w:val="22"/>
          <w:szCs w:val="22"/>
        </w:rPr>
        <w:t xml:space="preserve"> tárolási előírások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4B2183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Legfeljebb 30</w:t>
      </w:r>
      <w:r w:rsidR="00655382">
        <w:rPr>
          <w:rFonts w:cs="Times New Roman"/>
          <w:sz w:val="22"/>
          <w:szCs w:val="22"/>
        </w:rPr>
        <w:t xml:space="preserve"> </w:t>
      </w:r>
      <w:r w:rsidRPr="00096160">
        <w:rPr>
          <w:rFonts w:cs="Times New Roman"/>
          <w:sz w:val="22"/>
          <w:szCs w:val="22"/>
        </w:rPr>
        <w:t>°C-on tárolandó.</w:t>
      </w:r>
    </w:p>
    <w:p w:rsidR="007E2DC8" w:rsidRPr="00096160" w:rsidRDefault="007E2DC8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6.5</w:t>
      </w:r>
      <w:r w:rsidRPr="00096160">
        <w:rPr>
          <w:rFonts w:cs="Times New Roman"/>
          <w:b/>
          <w:bCs/>
          <w:sz w:val="22"/>
          <w:szCs w:val="22"/>
        </w:rPr>
        <w:tab/>
        <w:t>A csomagolás típusa és kiszerelése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0126D1" w:rsidRPr="00096160" w:rsidRDefault="000126D1" w:rsidP="000126D1">
      <w:pPr>
        <w:rPr>
          <w:sz w:val="22"/>
          <w:szCs w:val="22"/>
        </w:rPr>
      </w:pPr>
      <w:r w:rsidRPr="00096160">
        <w:rPr>
          <w:sz w:val="22"/>
          <w:szCs w:val="22"/>
        </w:rPr>
        <w:t xml:space="preserve">20 ml vagy 50 ml </w:t>
      </w:r>
      <w:r>
        <w:rPr>
          <w:sz w:val="22"/>
          <w:szCs w:val="22"/>
        </w:rPr>
        <w:t>folyadék</w:t>
      </w:r>
      <w:r w:rsidRPr="00096160">
        <w:rPr>
          <w:sz w:val="22"/>
          <w:szCs w:val="22"/>
        </w:rPr>
        <w:t xml:space="preserve"> fehér színű LDPE cseppentő betéttel </w:t>
      </w:r>
      <w:r>
        <w:rPr>
          <w:sz w:val="22"/>
          <w:szCs w:val="22"/>
        </w:rPr>
        <w:t>ellátott</w:t>
      </w:r>
      <w:r w:rsidRPr="00096160">
        <w:rPr>
          <w:sz w:val="22"/>
          <w:szCs w:val="22"/>
        </w:rPr>
        <w:t xml:space="preserve"> és fehér színű PP csavaros kupakkal </w:t>
      </w:r>
      <w:r>
        <w:rPr>
          <w:sz w:val="22"/>
          <w:szCs w:val="22"/>
        </w:rPr>
        <w:t>lezárt III.</w:t>
      </w:r>
      <w:r w:rsidR="00B5027D">
        <w:rPr>
          <w:sz w:val="22"/>
          <w:szCs w:val="22"/>
        </w:rPr>
        <w:t xml:space="preserve"> </w:t>
      </w:r>
      <w:r>
        <w:rPr>
          <w:sz w:val="22"/>
          <w:szCs w:val="22"/>
        </w:rPr>
        <w:t>típusú barna üvegben</w:t>
      </w:r>
      <w:r w:rsidRPr="00096160">
        <w:rPr>
          <w:sz w:val="22"/>
          <w:szCs w:val="22"/>
        </w:rPr>
        <w:t>. 1 üveg dobozban.</w:t>
      </w:r>
    </w:p>
    <w:p w:rsidR="00DF7465" w:rsidRDefault="00DF7465" w:rsidP="00DF7465">
      <w:pPr>
        <w:pStyle w:val="Szvegtrzs"/>
        <w:tabs>
          <w:tab w:val="decimal" w:pos="7938"/>
        </w:tabs>
        <w:jc w:val="left"/>
        <w:rPr>
          <w:sz w:val="24"/>
          <w:szCs w:val="24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>Nem feltétlenül mindegyik kiszerelés kerül kereskedelmi forgalomba.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widowControl/>
        <w:numPr>
          <w:ilvl w:val="1"/>
          <w:numId w:val="5"/>
        </w:numPr>
        <w:suppressAutoHyphens w:val="0"/>
        <w:ind w:left="0" w:firstLine="0"/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A megsemmisítésre vonatkozó különleges óvintézkedések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  <w:r w:rsidRPr="00096160">
        <w:rPr>
          <w:rFonts w:cs="Times New Roman"/>
          <w:sz w:val="22"/>
          <w:szCs w:val="22"/>
        </w:rPr>
        <w:t xml:space="preserve">Bármilyen fel nem használt készítmény, illetve hulladékanyag megsemmisítését a </w:t>
      </w:r>
      <w:r w:rsidR="000126D1">
        <w:rPr>
          <w:rFonts w:cs="Times New Roman"/>
          <w:sz w:val="22"/>
          <w:szCs w:val="22"/>
        </w:rPr>
        <w:t xml:space="preserve">gyógyszerekre vonatkozó </w:t>
      </w:r>
      <w:r w:rsidRPr="00096160">
        <w:rPr>
          <w:rFonts w:cs="Times New Roman"/>
          <w:sz w:val="22"/>
          <w:szCs w:val="22"/>
        </w:rPr>
        <w:t>előírások szerint kell végrehajtani.</w:t>
      </w:r>
    </w:p>
    <w:p w:rsidR="00296B47" w:rsidRDefault="00296B47" w:rsidP="00096160">
      <w:pPr>
        <w:rPr>
          <w:rFonts w:cs="Times New Roman"/>
          <w:sz w:val="22"/>
          <w:szCs w:val="22"/>
        </w:rPr>
      </w:pPr>
    </w:p>
    <w:p w:rsidR="00AF0178" w:rsidRPr="00EB6069" w:rsidRDefault="00AF0178" w:rsidP="00AF0178">
      <w:pPr>
        <w:autoSpaceDE w:val="0"/>
        <w:autoSpaceDN w:val="0"/>
        <w:rPr>
          <w:b/>
          <w:spacing w:val="2"/>
          <w:sz w:val="22"/>
          <w:szCs w:val="22"/>
        </w:rPr>
      </w:pPr>
      <w:r w:rsidRPr="00EB6069">
        <w:rPr>
          <w:b/>
          <w:spacing w:val="2"/>
          <w:sz w:val="22"/>
          <w:szCs w:val="22"/>
        </w:rPr>
        <w:t>Megjegyzés: (keresztjelzés nélkül)</w:t>
      </w:r>
    </w:p>
    <w:p w:rsidR="00AF0178" w:rsidRPr="00EB6069" w:rsidRDefault="00AF0178" w:rsidP="00AF0178">
      <w:pPr>
        <w:autoSpaceDE w:val="0"/>
        <w:autoSpaceDN w:val="0"/>
        <w:rPr>
          <w:b/>
          <w:spacing w:val="2"/>
          <w:sz w:val="22"/>
          <w:szCs w:val="22"/>
        </w:rPr>
      </w:pPr>
      <w:r w:rsidRPr="00EB6069">
        <w:rPr>
          <w:b/>
          <w:spacing w:val="2"/>
          <w:sz w:val="22"/>
          <w:szCs w:val="22"/>
        </w:rPr>
        <w:t>Osztályozás: I. csoport</w:t>
      </w:r>
    </w:p>
    <w:p w:rsidR="00AF0178" w:rsidRPr="00EB6069" w:rsidRDefault="00AF0178" w:rsidP="00AF0178">
      <w:pPr>
        <w:autoSpaceDE w:val="0"/>
        <w:autoSpaceDN w:val="0"/>
        <w:rPr>
          <w:b/>
          <w:spacing w:val="2"/>
          <w:sz w:val="22"/>
          <w:szCs w:val="22"/>
        </w:rPr>
      </w:pPr>
      <w:r w:rsidRPr="00EB6069">
        <w:rPr>
          <w:b/>
          <w:spacing w:val="2"/>
          <w:sz w:val="22"/>
          <w:szCs w:val="22"/>
        </w:rPr>
        <w:t xml:space="preserve">Orvosi rendelvény nélkül is kiadható gyógyszer (VN). </w:t>
      </w:r>
    </w:p>
    <w:p w:rsidR="00AF0178" w:rsidRPr="00096160" w:rsidRDefault="00AF0178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7.</w:t>
      </w:r>
      <w:r w:rsidRPr="00096160">
        <w:rPr>
          <w:rFonts w:cs="Times New Roman"/>
          <w:b/>
          <w:bCs/>
          <w:sz w:val="22"/>
          <w:szCs w:val="22"/>
        </w:rPr>
        <w:tab/>
        <w:t>A FORGALOMBA HOZATALI ENGEDÉLY JOGOSULTJA</w:t>
      </w:r>
    </w:p>
    <w:p w:rsidR="00296B47" w:rsidRPr="004F14D7" w:rsidRDefault="00296B47" w:rsidP="00096160">
      <w:pPr>
        <w:rPr>
          <w:rFonts w:cs="Times New Roman"/>
          <w:sz w:val="22"/>
          <w:szCs w:val="22"/>
        </w:rPr>
      </w:pPr>
    </w:p>
    <w:p w:rsidR="004B2183" w:rsidRPr="00096160" w:rsidRDefault="004B2183" w:rsidP="00096160">
      <w:pPr>
        <w:rPr>
          <w:rFonts w:cs="Times New Roman"/>
          <w:iCs/>
          <w:sz w:val="22"/>
          <w:szCs w:val="22"/>
        </w:rPr>
      </w:pPr>
      <w:r w:rsidRPr="00096160">
        <w:rPr>
          <w:rFonts w:cs="Times New Roman"/>
          <w:iCs/>
          <w:sz w:val="22"/>
          <w:szCs w:val="22"/>
        </w:rPr>
        <w:t>Dr. Willmar Schwabe GmbH &amp; Co. KG</w:t>
      </w:r>
    </w:p>
    <w:p w:rsidR="004B2183" w:rsidRPr="00096160" w:rsidRDefault="004B2183" w:rsidP="00096160">
      <w:pPr>
        <w:rPr>
          <w:rFonts w:cs="Times New Roman"/>
          <w:iCs/>
          <w:sz w:val="22"/>
          <w:szCs w:val="22"/>
        </w:rPr>
      </w:pPr>
      <w:r w:rsidRPr="00096160">
        <w:rPr>
          <w:rFonts w:cs="Times New Roman"/>
          <w:iCs/>
          <w:sz w:val="22"/>
          <w:szCs w:val="22"/>
        </w:rPr>
        <w:t>Willmar-Schwabe-Str. 4.</w:t>
      </w:r>
    </w:p>
    <w:p w:rsidR="004B2183" w:rsidRPr="00096160" w:rsidRDefault="004B2183" w:rsidP="00096160">
      <w:pPr>
        <w:tabs>
          <w:tab w:val="num" w:pos="360"/>
        </w:tabs>
        <w:rPr>
          <w:rFonts w:cs="Times New Roman"/>
          <w:iCs/>
          <w:sz w:val="22"/>
          <w:szCs w:val="22"/>
        </w:rPr>
      </w:pPr>
      <w:r w:rsidRPr="00096160">
        <w:rPr>
          <w:rFonts w:cs="Times New Roman"/>
          <w:iCs/>
          <w:sz w:val="22"/>
          <w:szCs w:val="22"/>
        </w:rPr>
        <w:t>D-76227 Karlsruhe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b/>
          <w:bCs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8.</w:t>
      </w:r>
      <w:r w:rsidRPr="00096160">
        <w:rPr>
          <w:rFonts w:cs="Times New Roman"/>
          <w:b/>
          <w:bCs/>
          <w:sz w:val="22"/>
          <w:szCs w:val="22"/>
        </w:rPr>
        <w:tab/>
        <w:t>A FORGALOMBA HOZATALI ENGEDÉLY SZÁMAI</w:t>
      </w:r>
    </w:p>
    <w:p w:rsidR="00296B47" w:rsidRPr="00096160" w:rsidRDefault="00296B47" w:rsidP="00096160">
      <w:pPr>
        <w:pStyle w:val="Default"/>
        <w:rPr>
          <w:color w:val="auto"/>
          <w:sz w:val="22"/>
          <w:szCs w:val="22"/>
          <w:lang w:val="hu-HU"/>
        </w:rPr>
      </w:pPr>
    </w:p>
    <w:p w:rsidR="00296B47" w:rsidRPr="00C63598" w:rsidRDefault="00296B47" w:rsidP="00096160">
      <w:pPr>
        <w:pStyle w:val="Default"/>
        <w:rPr>
          <w:sz w:val="22"/>
          <w:lang w:val="hu-HU"/>
        </w:rPr>
      </w:pPr>
      <w:r w:rsidRPr="00C63598">
        <w:rPr>
          <w:sz w:val="22"/>
          <w:lang w:val="hu-HU"/>
        </w:rPr>
        <w:t>20 ml</w:t>
      </w:r>
      <w:r w:rsidRPr="00C63598">
        <w:rPr>
          <w:sz w:val="22"/>
          <w:lang w:val="hu-HU"/>
        </w:rPr>
        <w:tab/>
      </w:r>
      <w:r w:rsidRPr="00C63598">
        <w:rPr>
          <w:sz w:val="22"/>
          <w:lang w:val="hu-HU"/>
        </w:rPr>
        <w:tab/>
        <w:t>OGYI-TN-1/01</w:t>
      </w:r>
    </w:p>
    <w:p w:rsidR="00296B47" w:rsidRPr="00C63598" w:rsidRDefault="00296B47" w:rsidP="00096160">
      <w:pPr>
        <w:pStyle w:val="Default"/>
        <w:rPr>
          <w:sz w:val="22"/>
          <w:lang w:val="hu-HU"/>
        </w:rPr>
      </w:pPr>
      <w:r w:rsidRPr="00C63598">
        <w:rPr>
          <w:sz w:val="22"/>
          <w:lang w:val="hu-HU"/>
        </w:rPr>
        <w:t>50 ml</w:t>
      </w:r>
      <w:r w:rsidRPr="00C63598">
        <w:rPr>
          <w:sz w:val="22"/>
          <w:lang w:val="hu-HU"/>
        </w:rPr>
        <w:tab/>
      </w:r>
      <w:r w:rsidRPr="00C63598">
        <w:rPr>
          <w:sz w:val="22"/>
          <w:lang w:val="hu-HU"/>
        </w:rPr>
        <w:tab/>
        <w:t>OGYI-TN-1/02</w:t>
      </w:r>
    </w:p>
    <w:p w:rsidR="00296B47" w:rsidRPr="00C63598" w:rsidRDefault="00296B47" w:rsidP="00096160">
      <w:pPr>
        <w:pStyle w:val="Default"/>
        <w:rPr>
          <w:sz w:val="22"/>
          <w:lang w:val="hu-HU"/>
        </w:rPr>
      </w:pPr>
    </w:p>
    <w:p w:rsidR="00296B47" w:rsidRPr="00096160" w:rsidRDefault="00296B47" w:rsidP="00096160">
      <w:pPr>
        <w:pStyle w:val="Default"/>
        <w:rPr>
          <w:color w:val="auto"/>
          <w:sz w:val="22"/>
          <w:szCs w:val="22"/>
          <w:lang w:val="hu-HU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9.</w:t>
      </w:r>
      <w:r w:rsidRPr="00096160">
        <w:rPr>
          <w:rFonts w:cs="Times New Roman"/>
          <w:b/>
          <w:bCs/>
          <w:sz w:val="22"/>
          <w:szCs w:val="22"/>
        </w:rPr>
        <w:tab/>
        <w:t>A FORGALOMBA HOZ</w:t>
      </w:r>
      <w:r w:rsidR="00FD3C50" w:rsidRPr="00096160">
        <w:rPr>
          <w:rFonts w:cs="Times New Roman"/>
          <w:b/>
          <w:bCs/>
          <w:sz w:val="22"/>
          <w:szCs w:val="22"/>
        </w:rPr>
        <w:t xml:space="preserve">ATALI ENGEDÉLY ELSŐ KIADÁSÁNAK </w:t>
      </w:r>
      <w:r w:rsidRPr="00096160">
        <w:rPr>
          <w:rFonts w:cs="Times New Roman"/>
          <w:b/>
          <w:bCs/>
          <w:sz w:val="22"/>
          <w:szCs w:val="22"/>
        </w:rPr>
        <w:t>DÁTUMA</w:t>
      </w:r>
      <w:r w:rsidR="00B8340D">
        <w:rPr>
          <w:rFonts w:cs="Times New Roman"/>
          <w:b/>
          <w:bCs/>
          <w:sz w:val="22"/>
          <w:szCs w:val="22"/>
        </w:rPr>
        <w:t>/ MEGÚJÍTÁSÁNAK DÁTUMA</w:t>
      </w:r>
    </w:p>
    <w:p w:rsidR="00296B47" w:rsidRPr="00096160" w:rsidRDefault="00296B47" w:rsidP="00096160">
      <w:pPr>
        <w:pStyle w:val="Default"/>
        <w:tabs>
          <w:tab w:val="left" w:pos="1134"/>
        </w:tabs>
        <w:rPr>
          <w:color w:val="auto"/>
          <w:sz w:val="22"/>
          <w:szCs w:val="22"/>
          <w:lang w:val="hu-HU"/>
        </w:rPr>
      </w:pPr>
    </w:p>
    <w:p w:rsidR="00296B47" w:rsidRDefault="00296B47" w:rsidP="00096160">
      <w:pPr>
        <w:pStyle w:val="Default"/>
        <w:tabs>
          <w:tab w:val="left" w:pos="1995"/>
        </w:tabs>
        <w:rPr>
          <w:color w:val="auto"/>
          <w:sz w:val="22"/>
          <w:szCs w:val="22"/>
          <w:lang w:val="hu-HU"/>
        </w:rPr>
      </w:pPr>
      <w:r w:rsidRPr="00096160">
        <w:rPr>
          <w:color w:val="auto"/>
          <w:sz w:val="22"/>
          <w:szCs w:val="22"/>
          <w:lang w:val="hu-HU"/>
        </w:rPr>
        <w:t xml:space="preserve">2009. </w:t>
      </w:r>
      <w:r w:rsidR="00D34E95" w:rsidRPr="00096160">
        <w:rPr>
          <w:color w:val="auto"/>
          <w:sz w:val="22"/>
          <w:szCs w:val="22"/>
          <w:lang w:val="hu-HU"/>
        </w:rPr>
        <w:t>július</w:t>
      </w:r>
      <w:r w:rsidR="0077528A" w:rsidRPr="00096160">
        <w:rPr>
          <w:color w:val="auto"/>
          <w:sz w:val="22"/>
          <w:szCs w:val="22"/>
          <w:lang w:val="hu-HU"/>
        </w:rPr>
        <w:t xml:space="preserve"> </w:t>
      </w:r>
      <w:r w:rsidR="00844A41" w:rsidRPr="00096160">
        <w:rPr>
          <w:color w:val="auto"/>
          <w:sz w:val="22"/>
          <w:szCs w:val="22"/>
          <w:lang w:val="hu-HU"/>
        </w:rPr>
        <w:t>7</w:t>
      </w:r>
      <w:r w:rsidR="0077528A" w:rsidRPr="00096160">
        <w:rPr>
          <w:color w:val="auto"/>
          <w:sz w:val="22"/>
          <w:szCs w:val="22"/>
          <w:lang w:val="hu-HU"/>
        </w:rPr>
        <w:t>.</w:t>
      </w:r>
      <w:r w:rsidR="00B8340D">
        <w:rPr>
          <w:color w:val="auto"/>
          <w:sz w:val="22"/>
          <w:szCs w:val="22"/>
          <w:lang w:val="hu-HU"/>
        </w:rPr>
        <w:t>/2014.</w:t>
      </w:r>
      <w:r w:rsidR="0034116E">
        <w:rPr>
          <w:color w:val="auto"/>
          <w:sz w:val="22"/>
          <w:szCs w:val="22"/>
          <w:lang w:val="hu-HU"/>
        </w:rPr>
        <w:t xml:space="preserve"> </w:t>
      </w:r>
      <w:r w:rsidR="00D7748B">
        <w:rPr>
          <w:color w:val="auto"/>
          <w:sz w:val="22"/>
          <w:szCs w:val="22"/>
          <w:lang w:val="hu-HU"/>
        </w:rPr>
        <w:t>március</w:t>
      </w:r>
      <w:r w:rsidR="00B8340D">
        <w:rPr>
          <w:color w:val="auto"/>
          <w:sz w:val="22"/>
          <w:szCs w:val="22"/>
          <w:lang w:val="hu-HU"/>
        </w:rPr>
        <w:t xml:space="preserve"> </w:t>
      </w:r>
      <w:r w:rsidR="0034116E" w:rsidRPr="003F4108">
        <w:rPr>
          <w:color w:val="auto"/>
          <w:sz w:val="22"/>
          <w:szCs w:val="22"/>
          <w:lang w:val="hu-HU"/>
        </w:rPr>
        <w:t>05</w:t>
      </w:r>
      <w:r w:rsidR="003F4108" w:rsidRPr="009F11C8">
        <w:rPr>
          <w:color w:val="auto"/>
          <w:sz w:val="22"/>
          <w:szCs w:val="22"/>
          <w:lang w:val="hu-HU"/>
        </w:rPr>
        <w:t>.</w:t>
      </w:r>
    </w:p>
    <w:p w:rsidR="002423A6" w:rsidRDefault="002423A6" w:rsidP="00096160">
      <w:pPr>
        <w:pStyle w:val="Default"/>
        <w:tabs>
          <w:tab w:val="left" w:pos="1995"/>
        </w:tabs>
        <w:rPr>
          <w:color w:val="auto"/>
          <w:sz w:val="22"/>
          <w:szCs w:val="22"/>
          <w:lang w:val="hu-HU"/>
        </w:rPr>
      </w:pPr>
    </w:p>
    <w:p w:rsidR="00B5027D" w:rsidRPr="00096160" w:rsidRDefault="00B5027D" w:rsidP="00096160">
      <w:pPr>
        <w:pStyle w:val="Default"/>
        <w:tabs>
          <w:tab w:val="left" w:pos="1995"/>
        </w:tabs>
        <w:rPr>
          <w:color w:val="auto"/>
          <w:sz w:val="22"/>
          <w:szCs w:val="22"/>
          <w:lang w:val="hu-HU"/>
        </w:rPr>
      </w:pPr>
    </w:p>
    <w:p w:rsidR="00296B47" w:rsidRPr="00096160" w:rsidRDefault="00296B47" w:rsidP="00096160">
      <w:pPr>
        <w:tabs>
          <w:tab w:val="left" w:pos="567"/>
        </w:tabs>
        <w:rPr>
          <w:rFonts w:cs="Times New Roman"/>
          <w:sz w:val="22"/>
          <w:szCs w:val="22"/>
        </w:rPr>
      </w:pPr>
      <w:r w:rsidRPr="00096160">
        <w:rPr>
          <w:rFonts w:cs="Times New Roman"/>
          <w:b/>
          <w:bCs/>
          <w:sz w:val="22"/>
          <w:szCs w:val="22"/>
        </w:rPr>
        <w:t>10.</w:t>
      </w:r>
      <w:r w:rsidRPr="00096160">
        <w:rPr>
          <w:rFonts w:cs="Times New Roman"/>
          <w:b/>
          <w:bCs/>
          <w:sz w:val="22"/>
          <w:szCs w:val="22"/>
        </w:rPr>
        <w:tab/>
        <w:t>A SZÖVEG ELLENŐRZÉSÉNEK DÁTUMA</w:t>
      </w:r>
    </w:p>
    <w:p w:rsidR="00296B47" w:rsidRPr="00096160" w:rsidRDefault="00296B47" w:rsidP="00096160">
      <w:pPr>
        <w:rPr>
          <w:rFonts w:cs="Times New Roman"/>
          <w:sz w:val="22"/>
          <w:szCs w:val="22"/>
        </w:rPr>
      </w:pPr>
    </w:p>
    <w:p w:rsidR="001A2997" w:rsidRPr="00096160" w:rsidRDefault="00C861AE" w:rsidP="000961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2019. november 3.</w:t>
      </w:r>
    </w:p>
    <w:sectPr w:rsidR="001A2997" w:rsidRPr="00096160" w:rsidSect="009F11C8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12" w:rsidRDefault="00721112">
      <w:r>
        <w:separator/>
      </w:r>
    </w:p>
  </w:endnote>
  <w:endnote w:type="continuationSeparator" w:id="0">
    <w:p w:rsidR="00721112" w:rsidRDefault="00721112">
      <w:r>
        <w:continuationSeparator/>
      </w:r>
    </w:p>
  </w:endnote>
  <w:endnote w:type="continuationNotice" w:id="1">
    <w:p w:rsidR="00721112" w:rsidRDefault="00721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2" w:rsidRDefault="00721112" w:rsidP="00C67E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1112" w:rsidRDefault="007211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2" w:rsidRPr="003F3D73" w:rsidRDefault="00721112" w:rsidP="00C67E66">
    <w:pPr>
      <w:pStyle w:val="llb"/>
      <w:framePr w:wrap="around" w:vAnchor="text" w:hAnchor="margin" w:xAlign="center" w:y="1"/>
      <w:rPr>
        <w:rStyle w:val="Oldalszm"/>
        <w:sz w:val="22"/>
        <w:szCs w:val="22"/>
      </w:rPr>
    </w:pPr>
  </w:p>
  <w:p w:rsidR="00721112" w:rsidRPr="009F11C8" w:rsidRDefault="00721112" w:rsidP="003E40BE">
    <w:pPr>
      <w:pStyle w:val="llb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2" w:rsidRPr="009F11C8" w:rsidRDefault="006A71DA" w:rsidP="009F11C8">
    <w:pPr>
      <w:pStyle w:val="llb"/>
      <w:rPr>
        <w:sz w:val="18"/>
        <w:szCs w:val="18"/>
      </w:rPr>
    </w:pPr>
    <w:r w:rsidRPr="009F11C8">
      <w:rPr>
        <w:sz w:val="18"/>
        <w:szCs w:val="18"/>
      </w:rPr>
      <w:t>OGYÉI/58260/2019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12" w:rsidRDefault="00721112">
      <w:r>
        <w:separator/>
      </w:r>
    </w:p>
  </w:footnote>
  <w:footnote w:type="continuationSeparator" w:id="0">
    <w:p w:rsidR="00721112" w:rsidRDefault="00721112">
      <w:r>
        <w:continuationSeparator/>
      </w:r>
    </w:p>
  </w:footnote>
  <w:footnote w:type="continuationNotice" w:id="1">
    <w:p w:rsidR="00721112" w:rsidRDefault="00721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1712784"/>
      <w:docPartObj>
        <w:docPartGallery w:val="Page Numbers (Top of Page)"/>
        <w:docPartUnique/>
      </w:docPartObj>
    </w:sdtPr>
    <w:sdtEndPr/>
    <w:sdtContent>
      <w:p w:rsidR="003E40BE" w:rsidRPr="009F11C8" w:rsidRDefault="003E40BE">
        <w:pPr>
          <w:pStyle w:val="lfej"/>
          <w:jc w:val="center"/>
          <w:rPr>
            <w:sz w:val="18"/>
            <w:szCs w:val="18"/>
          </w:rPr>
        </w:pPr>
        <w:r w:rsidRPr="009F11C8">
          <w:rPr>
            <w:sz w:val="18"/>
            <w:szCs w:val="18"/>
          </w:rPr>
          <w:fldChar w:fldCharType="begin"/>
        </w:r>
        <w:r w:rsidRPr="009F11C8">
          <w:rPr>
            <w:sz w:val="18"/>
            <w:szCs w:val="18"/>
          </w:rPr>
          <w:instrText>PAGE   \* MERGEFORMAT</w:instrText>
        </w:r>
        <w:r w:rsidRPr="009F11C8">
          <w:rPr>
            <w:sz w:val="18"/>
            <w:szCs w:val="18"/>
          </w:rPr>
          <w:fldChar w:fldCharType="separate"/>
        </w:r>
        <w:r w:rsidR="009F11C8">
          <w:rPr>
            <w:noProof/>
            <w:sz w:val="18"/>
            <w:szCs w:val="18"/>
          </w:rPr>
          <w:t>4</w:t>
        </w:r>
        <w:r w:rsidRPr="009F11C8">
          <w:rPr>
            <w:sz w:val="18"/>
            <w:szCs w:val="18"/>
          </w:rPr>
          <w:fldChar w:fldCharType="end"/>
        </w:r>
      </w:p>
    </w:sdtContent>
  </w:sdt>
  <w:p w:rsidR="003E40BE" w:rsidRDefault="003E40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27A4"/>
    <w:multiLevelType w:val="multilevel"/>
    <w:tmpl w:val="FEF2509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5546021"/>
    <w:multiLevelType w:val="hybridMultilevel"/>
    <w:tmpl w:val="BC8CD5FA"/>
    <w:lvl w:ilvl="0" w:tplc="A7864A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1DB2"/>
    <w:multiLevelType w:val="multilevel"/>
    <w:tmpl w:val="E85A85A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90506A3"/>
    <w:multiLevelType w:val="multilevel"/>
    <w:tmpl w:val="7452F12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66557D"/>
    <w:multiLevelType w:val="hybridMultilevel"/>
    <w:tmpl w:val="B43E607C"/>
    <w:lvl w:ilvl="0" w:tplc="5BECDC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52AF"/>
    <w:rsid w:val="000016B5"/>
    <w:rsid w:val="00012010"/>
    <w:rsid w:val="00012271"/>
    <w:rsid w:val="000126D1"/>
    <w:rsid w:val="00017520"/>
    <w:rsid w:val="00017576"/>
    <w:rsid w:val="0003180B"/>
    <w:rsid w:val="00057F5A"/>
    <w:rsid w:val="00071A21"/>
    <w:rsid w:val="00095681"/>
    <w:rsid w:val="00096160"/>
    <w:rsid w:val="000963C3"/>
    <w:rsid w:val="000A3E2A"/>
    <w:rsid w:val="000A7576"/>
    <w:rsid w:val="000B0C51"/>
    <w:rsid w:val="000D6ED5"/>
    <w:rsid w:val="000E41A8"/>
    <w:rsid w:val="001170E0"/>
    <w:rsid w:val="001234A2"/>
    <w:rsid w:val="001428FE"/>
    <w:rsid w:val="00151004"/>
    <w:rsid w:val="001527A3"/>
    <w:rsid w:val="00190961"/>
    <w:rsid w:val="0019216F"/>
    <w:rsid w:val="0019241D"/>
    <w:rsid w:val="001A2997"/>
    <w:rsid w:val="001A7608"/>
    <w:rsid w:val="001A7A46"/>
    <w:rsid w:val="001D7B98"/>
    <w:rsid w:val="001F4814"/>
    <w:rsid w:val="0020199E"/>
    <w:rsid w:val="00203776"/>
    <w:rsid w:val="00227581"/>
    <w:rsid w:val="00234A1A"/>
    <w:rsid w:val="00241E2B"/>
    <w:rsid w:val="00241F0A"/>
    <w:rsid w:val="002423A6"/>
    <w:rsid w:val="00243725"/>
    <w:rsid w:val="00247AFB"/>
    <w:rsid w:val="002579FB"/>
    <w:rsid w:val="00265DA2"/>
    <w:rsid w:val="002746F5"/>
    <w:rsid w:val="00296B47"/>
    <w:rsid w:val="002B0B2D"/>
    <w:rsid w:val="002B38A0"/>
    <w:rsid w:val="002C02DF"/>
    <w:rsid w:val="002C167A"/>
    <w:rsid w:val="002C2CC6"/>
    <w:rsid w:val="002C5EDB"/>
    <w:rsid w:val="002E6CA9"/>
    <w:rsid w:val="00303CF3"/>
    <w:rsid w:val="0030505E"/>
    <w:rsid w:val="0030763C"/>
    <w:rsid w:val="00317D44"/>
    <w:rsid w:val="0032381E"/>
    <w:rsid w:val="00323E65"/>
    <w:rsid w:val="00325077"/>
    <w:rsid w:val="0034116E"/>
    <w:rsid w:val="00374DF7"/>
    <w:rsid w:val="0038000F"/>
    <w:rsid w:val="00382431"/>
    <w:rsid w:val="00393884"/>
    <w:rsid w:val="003B3E2D"/>
    <w:rsid w:val="003E3CA9"/>
    <w:rsid w:val="003E40BE"/>
    <w:rsid w:val="003F3D73"/>
    <w:rsid w:val="003F4108"/>
    <w:rsid w:val="00405E47"/>
    <w:rsid w:val="0042080F"/>
    <w:rsid w:val="00427C90"/>
    <w:rsid w:val="00432568"/>
    <w:rsid w:val="0045420E"/>
    <w:rsid w:val="004632A9"/>
    <w:rsid w:val="004A1BC1"/>
    <w:rsid w:val="004B2183"/>
    <w:rsid w:val="004D5FFB"/>
    <w:rsid w:val="004E3ABA"/>
    <w:rsid w:val="004F14D7"/>
    <w:rsid w:val="00525B45"/>
    <w:rsid w:val="00531B24"/>
    <w:rsid w:val="00534C50"/>
    <w:rsid w:val="00540797"/>
    <w:rsid w:val="005452A9"/>
    <w:rsid w:val="00565E4A"/>
    <w:rsid w:val="005800B1"/>
    <w:rsid w:val="005D01EA"/>
    <w:rsid w:val="005D1861"/>
    <w:rsid w:val="005D5C83"/>
    <w:rsid w:val="00602070"/>
    <w:rsid w:val="006046A7"/>
    <w:rsid w:val="0063617B"/>
    <w:rsid w:val="0064530F"/>
    <w:rsid w:val="00655382"/>
    <w:rsid w:val="0068630C"/>
    <w:rsid w:val="0069770B"/>
    <w:rsid w:val="006A5A01"/>
    <w:rsid w:val="006A71DA"/>
    <w:rsid w:val="006B5173"/>
    <w:rsid w:val="006C557D"/>
    <w:rsid w:val="006D51A1"/>
    <w:rsid w:val="006D7A9C"/>
    <w:rsid w:val="006F5802"/>
    <w:rsid w:val="00721112"/>
    <w:rsid w:val="0073047E"/>
    <w:rsid w:val="007403C5"/>
    <w:rsid w:val="0076249C"/>
    <w:rsid w:val="007630A0"/>
    <w:rsid w:val="00770B9F"/>
    <w:rsid w:val="00773405"/>
    <w:rsid w:val="0077528A"/>
    <w:rsid w:val="00776100"/>
    <w:rsid w:val="00781DAA"/>
    <w:rsid w:val="0079193C"/>
    <w:rsid w:val="00795CFB"/>
    <w:rsid w:val="007A3D10"/>
    <w:rsid w:val="007B2E0E"/>
    <w:rsid w:val="007D06E3"/>
    <w:rsid w:val="007D55AB"/>
    <w:rsid w:val="007E2DC8"/>
    <w:rsid w:val="007F1EBC"/>
    <w:rsid w:val="00800963"/>
    <w:rsid w:val="00805B0F"/>
    <w:rsid w:val="00807BE9"/>
    <w:rsid w:val="00815991"/>
    <w:rsid w:val="00820313"/>
    <w:rsid w:val="00822613"/>
    <w:rsid w:val="008319DC"/>
    <w:rsid w:val="008403EC"/>
    <w:rsid w:val="00844A41"/>
    <w:rsid w:val="00845E26"/>
    <w:rsid w:val="00857B6D"/>
    <w:rsid w:val="00857C5E"/>
    <w:rsid w:val="00857EAF"/>
    <w:rsid w:val="00896E66"/>
    <w:rsid w:val="008A0B5B"/>
    <w:rsid w:val="008A2B78"/>
    <w:rsid w:val="00906F5B"/>
    <w:rsid w:val="00911E6A"/>
    <w:rsid w:val="00916848"/>
    <w:rsid w:val="009219EA"/>
    <w:rsid w:val="00936657"/>
    <w:rsid w:val="009500B5"/>
    <w:rsid w:val="009577AA"/>
    <w:rsid w:val="009676C9"/>
    <w:rsid w:val="00975FEE"/>
    <w:rsid w:val="0097768A"/>
    <w:rsid w:val="0098415D"/>
    <w:rsid w:val="0099455B"/>
    <w:rsid w:val="009A4342"/>
    <w:rsid w:val="009A730F"/>
    <w:rsid w:val="009C0003"/>
    <w:rsid w:val="009C7F8E"/>
    <w:rsid w:val="009D74FA"/>
    <w:rsid w:val="009F0C5D"/>
    <w:rsid w:val="009F11C8"/>
    <w:rsid w:val="009F71B8"/>
    <w:rsid w:val="009F7A43"/>
    <w:rsid w:val="00A0027B"/>
    <w:rsid w:val="00A11A4B"/>
    <w:rsid w:val="00A24769"/>
    <w:rsid w:val="00A25E4F"/>
    <w:rsid w:val="00A35A0D"/>
    <w:rsid w:val="00A57D3B"/>
    <w:rsid w:val="00A812C1"/>
    <w:rsid w:val="00A8246B"/>
    <w:rsid w:val="00AB0611"/>
    <w:rsid w:val="00AB6A6A"/>
    <w:rsid w:val="00AD0031"/>
    <w:rsid w:val="00AD2C6B"/>
    <w:rsid w:val="00AE44EA"/>
    <w:rsid w:val="00AF0178"/>
    <w:rsid w:val="00B10AD0"/>
    <w:rsid w:val="00B1208F"/>
    <w:rsid w:val="00B160F1"/>
    <w:rsid w:val="00B21329"/>
    <w:rsid w:val="00B230BA"/>
    <w:rsid w:val="00B5027D"/>
    <w:rsid w:val="00B505BB"/>
    <w:rsid w:val="00B57426"/>
    <w:rsid w:val="00B7629E"/>
    <w:rsid w:val="00B8340D"/>
    <w:rsid w:val="00B90687"/>
    <w:rsid w:val="00B95D60"/>
    <w:rsid w:val="00B95F73"/>
    <w:rsid w:val="00BB7ADA"/>
    <w:rsid w:val="00BC7733"/>
    <w:rsid w:val="00BD0D29"/>
    <w:rsid w:val="00BD69DE"/>
    <w:rsid w:val="00BE199D"/>
    <w:rsid w:val="00BE637D"/>
    <w:rsid w:val="00BF7C95"/>
    <w:rsid w:val="00C072FA"/>
    <w:rsid w:val="00C1243B"/>
    <w:rsid w:val="00C13DB7"/>
    <w:rsid w:val="00C30D2D"/>
    <w:rsid w:val="00C357DD"/>
    <w:rsid w:val="00C50429"/>
    <w:rsid w:val="00C63598"/>
    <w:rsid w:val="00C67E66"/>
    <w:rsid w:val="00C75A61"/>
    <w:rsid w:val="00C7750A"/>
    <w:rsid w:val="00C77C70"/>
    <w:rsid w:val="00C861AE"/>
    <w:rsid w:val="00CB1CFA"/>
    <w:rsid w:val="00CD080D"/>
    <w:rsid w:val="00CD0E30"/>
    <w:rsid w:val="00D15EA9"/>
    <w:rsid w:val="00D16D81"/>
    <w:rsid w:val="00D17733"/>
    <w:rsid w:val="00D26D62"/>
    <w:rsid w:val="00D34E95"/>
    <w:rsid w:val="00D53FBB"/>
    <w:rsid w:val="00D66B17"/>
    <w:rsid w:val="00D71B75"/>
    <w:rsid w:val="00D7748B"/>
    <w:rsid w:val="00D927CF"/>
    <w:rsid w:val="00DB52AF"/>
    <w:rsid w:val="00DC1F84"/>
    <w:rsid w:val="00DF2DF0"/>
    <w:rsid w:val="00DF324C"/>
    <w:rsid w:val="00DF7465"/>
    <w:rsid w:val="00E21559"/>
    <w:rsid w:val="00E23DD3"/>
    <w:rsid w:val="00E308A1"/>
    <w:rsid w:val="00E30DCA"/>
    <w:rsid w:val="00E31938"/>
    <w:rsid w:val="00E37924"/>
    <w:rsid w:val="00E646F6"/>
    <w:rsid w:val="00E70EDD"/>
    <w:rsid w:val="00EB15BD"/>
    <w:rsid w:val="00EB3492"/>
    <w:rsid w:val="00EB3801"/>
    <w:rsid w:val="00EB45A5"/>
    <w:rsid w:val="00EB6CA1"/>
    <w:rsid w:val="00ED3FFF"/>
    <w:rsid w:val="00EE018D"/>
    <w:rsid w:val="00EF7369"/>
    <w:rsid w:val="00F04E5C"/>
    <w:rsid w:val="00F11F31"/>
    <w:rsid w:val="00F32A44"/>
    <w:rsid w:val="00F35822"/>
    <w:rsid w:val="00F402E1"/>
    <w:rsid w:val="00F40D14"/>
    <w:rsid w:val="00F50184"/>
    <w:rsid w:val="00F5553F"/>
    <w:rsid w:val="00F66B75"/>
    <w:rsid w:val="00F718C4"/>
    <w:rsid w:val="00F80720"/>
    <w:rsid w:val="00FA5F01"/>
    <w:rsid w:val="00FB14C8"/>
    <w:rsid w:val="00FB5BED"/>
    <w:rsid w:val="00FD3C50"/>
    <w:rsid w:val="00FD6805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0A3CA4F2-457D-492D-B26A-2DBB29C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D62"/>
    <w:pPr>
      <w:widowControl w:val="0"/>
      <w:suppressAutoHyphens/>
    </w:pPr>
    <w:rPr>
      <w:rFonts w:eastAsia="Lucida Sans Unicode" w:cs="Tahoma"/>
      <w:sz w:val="24"/>
      <w:szCs w:val="24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7F5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57F5A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D26D62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customStyle="1" w:styleId="Default">
    <w:name w:val="Default"/>
    <w:rsid w:val="00296B47"/>
    <w:pPr>
      <w:autoSpaceDE w:val="0"/>
      <w:autoSpaceDN w:val="0"/>
      <w:adjustRightInd w:val="0"/>
    </w:pPr>
    <w:rPr>
      <w:snapToGrid w:val="0"/>
      <w:color w:val="000000"/>
      <w:sz w:val="24"/>
      <w:szCs w:val="24"/>
      <w:lang w:eastAsia="hu-HU"/>
    </w:rPr>
  </w:style>
  <w:style w:type="paragraph" w:styleId="Vgjegyzetszvege">
    <w:name w:val="endnote text"/>
    <w:basedOn w:val="Norml"/>
    <w:next w:val="Norml"/>
    <w:semiHidden/>
    <w:rsid w:val="00296B47"/>
    <w:pPr>
      <w:widowControl/>
      <w:tabs>
        <w:tab w:val="left" w:pos="567"/>
      </w:tabs>
      <w:suppressAutoHyphens w:val="0"/>
    </w:pPr>
    <w:rPr>
      <w:rFonts w:eastAsia="Times New Roman" w:cs="Times New Roman"/>
      <w:sz w:val="22"/>
      <w:szCs w:val="20"/>
      <w:lang w:bidi="ar-SA"/>
    </w:rPr>
  </w:style>
  <w:style w:type="character" w:styleId="Oldalszm">
    <w:name w:val="page number"/>
    <w:basedOn w:val="Bekezdsalapbettpusa"/>
    <w:rsid w:val="003F3D73"/>
  </w:style>
  <w:style w:type="paragraph" w:styleId="Buborkszveg">
    <w:name w:val="Balloon Text"/>
    <w:basedOn w:val="Norml"/>
    <w:link w:val="BuborkszvegChar"/>
    <w:rsid w:val="001A7A4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1A7A46"/>
    <w:rPr>
      <w:rFonts w:ascii="Tahoma" w:eastAsia="Lucida Sans Unicode" w:hAnsi="Tahoma" w:cs="Tahoma"/>
      <w:sz w:val="16"/>
      <w:szCs w:val="16"/>
      <w:lang w:bidi="hu-HU"/>
    </w:rPr>
  </w:style>
  <w:style w:type="paragraph" w:styleId="Szvegtrzs">
    <w:name w:val="Body Text"/>
    <w:basedOn w:val="Norml"/>
    <w:link w:val="SzvegtrzsChar"/>
    <w:rsid w:val="005D01E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0"/>
      <w:szCs w:val="20"/>
      <w:lang w:bidi="ar-SA"/>
    </w:rPr>
  </w:style>
  <w:style w:type="character" w:customStyle="1" w:styleId="SzvegtrzsChar">
    <w:name w:val="Szövegtörzs Char"/>
    <w:basedOn w:val="Bekezdsalapbettpusa"/>
    <w:link w:val="Szvegtrzs"/>
    <w:rsid w:val="005D01EA"/>
    <w:rPr>
      <w:lang w:val="hu-HU" w:eastAsia="hu-HU"/>
    </w:rPr>
  </w:style>
  <w:style w:type="paragraph" w:styleId="Vltozat">
    <w:name w:val="Revision"/>
    <w:hidden/>
    <w:uiPriority w:val="99"/>
    <w:semiHidden/>
    <w:rsid w:val="00F718C4"/>
    <w:rPr>
      <w:rFonts w:eastAsia="Lucida Sans Unicode" w:cs="Tahoma"/>
      <w:sz w:val="24"/>
      <w:szCs w:val="24"/>
      <w:lang w:val="hu-HU" w:eastAsia="hu-HU" w:bidi="hu-HU"/>
    </w:rPr>
  </w:style>
  <w:style w:type="character" w:styleId="Jegyzethivatkozs">
    <w:name w:val="annotation reference"/>
    <w:basedOn w:val="Bekezdsalapbettpusa"/>
    <w:rsid w:val="00F718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71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718C4"/>
    <w:rPr>
      <w:rFonts w:eastAsia="Lucida Sans Unicode" w:cs="Tahoma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rsid w:val="00F71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718C4"/>
    <w:rPr>
      <w:rFonts w:eastAsia="Lucida Sans Unicode" w:cs="Tahoma"/>
      <w:b/>
      <w:bCs/>
      <w:lang w:val="hu-HU" w:eastAsia="hu-HU" w:bidi="hu-HU"/>
    </w:rPr>
  </w:style>
  <w:style w:type="character" w:customStyle="1" w:styleId="llbChar">
    <w:name w:val="Élőláb Char"/>
    <w:basedOn w:val="Bekezdsalapbettpusa"/>
    <w:link w:val="llb"/>
    <w:uiPriority w:val="99"/>
    <w:rsid w:val="0042080F"/>
    <w:rPr>
      <w:rFonts w:eastAsia="Lucida Sans Unicode" w:cs="Tahoma"/>
      <w:sz w:val="24"/>
      <w:szCs w:val="24"/>
      <w:lang w:val="hu-HU" w:eastAsia="hu-HU" w:bidi="hu-HU"/>
    </w:rPr>
  </w:style>
  <w:style w:type="character" w:styleId="Hiperhivatkozs">
    <w:name w:val="Hyperlink"/>
    <w:semiHidden/>
    <w:unhideWhenUsed/>
    <w:rsid w:val="00655382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655382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3E40BE"/>
    <w:rPr>
      <w:rFonts w:eastAsia="Lucida Sans Unicode" w:cs="Tahoma"/>
      <w:sz w:val="24"/>
      <w:szCs w:val="24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335-2702-4005-83A0-AA65130C5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E4882-D2DD-489F-9E6A-3BAD95C1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Kaloba belsőleges oldatos cseppek alkalmazási előírása</vt:lpstr>
    </vt:vector>
  </TitlesOfParts>
  <Company>Országos Gyógyszerészeti Intézet</Company>
  <LinksUpToDate>false</LinksUpToDate>
  <CharactersWithSpaces>7237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Kaloba belsőleges oldatos cseppek alkalmazási előírása</dc:title>
  <dc:creator>User09</dc:creator>
  <cp:lastModifiedBy>OGYI_46.1</cp:lastModifiedBy>
  <cp:revision>51</cp:revision>
  <cp:lastPrinted>2009-07-10T09:04:00Z</cp:lastPrinted>
  <dcterms:created xsi:type="dcterms:W3CDTF">2014-03-19T15:03:00Z</dcterms:created>
  <dcterms:modified xsi:type="dcterms:W3CDTF">2019-11-07T09:22:00Z</dcterms:modified>
</cp:coreProperties>
</file>