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604F3" w14:textId="77777777" w:rsidR="00E627F3" w:rsidRPr="009F1165" w:rsidRDefault="00E627F3" w:rsidP="009F1165">
      <w:pPr>
        <w:pStyle w:val="WW-Szvegtrzs212"/>
        <w:spacing w:line="240" w:lineRule="auto"/>
        <w:rPr>
          <w:szCs w:val="22"/>
          <w:lang w:val="hu-HU"/>
        </w:rPr>
      </w:pPr>
      <w:bookmarkStart w:id="0" w:name="_GoBack"/>
      <w:bookmarkEnd w:id="0"/>
      <w:r w:rsidRPr="009F1165">
        <w:rPr>
          <w:szCs w:val="22"/>
          <w:lang w:val="hu-HU"/>
        </w:rPr>
        <w:t>1.</w:t>
      </w:r>
      <w:r w:rsidRPr="009F1165">
        <w:rPr>
          <w:szCs w:val="22"/>
          <w:lang w:val="hu-HU"/>
        </w:rPr>
        <w:tab/>
        <w:t xml:space="preserve">A GYÓGYSZER </w:t>
      </w:r>
      <w:r w:rsidR="002F29D2" w:rsidRPr="009F1165">
        <w:rPr>
          <w:szCs w:val="22"/>
          <w:lang w:val="hu-HU"/>
        </w:rPr>
        <w:t>NEVE</w:t>
      </w:r>
    </w:p>
    <w:p w14:paraId="6348A7B5" w14:textId="77777777" w:rsidR="00A83D7D" w:rsidRPr="009F1165" w:rsidRDefault="00A83D7D" w:rsidP="009F1165">
      <w:pPr>
        <w:pStyle w:val="Cmsor1"/>
        <w:tabs>
          <w:tab w:val="left" w:pos="567"/>
        </w:tabs>
        <w:jc w:val="left"/>
        <w:rPr>
          <w:b w:val="0"/>
          <w:sz w:val="22"/>
          <w:szCs w:val="22"/>
        </w:rPr>
      </w:pPr>
    </w:p>
    <w:p w14:paraId="7556A4E4" w14:textId="77777777" w:rsidR="00A83D7D" w:rsidRPr="009F1165" w:rsidRDefault="00DC3A34" w:rsidP="009F1165">
      <w:pPr>
        <w:pStyle w:val="Cmsor7"/>
        <w:tabs>
          <w:tab w:val="clear" w:pos="567"/>
        </w:tabs>
        <w:rPr>
          <w:b w:val="0"/>
          <w:szCs w:val="22"/>
        </w:rPr>
      </w:pPr>
      <w:proofErr w:type="spellStart"/>
      <w:r w:rsidRPr="009F1165">
        <w:rPr>
          <w:b w:val="0"/>
          <w:szCs w:val="22"/>
        </w:rPr>
        <w:t>Avelox</w:t>
      </w:r>
      <w:proofErr w:type="spellEnd"/>
      <w:r w:rsidR="00C86F8C" w:rsidRPr="009F1165">
        <w:rPr>
          <w:b w:val="0"/>
          <w:szCs w:val="22"/>
        </w:rPr>
        <w:t> </w:t>
      </w:r>
      <w:r w:rsidR="00A83D7D" w:rsidRPr="009F1165">
        <w:rPr>
          <w:b w:val="0"/>
          <w:szCs w:val="22"/>
        </w:rPr>
        <w:t>400 mg/250</w:t>
      </w:r>
      <w:r w:rsidR="00D30206" w:rsidRPr="009F1165">
        <w:rPr>
          <w:b w:val="0"/>
          <w:szCs w:val="22"/>
        </w:rPr>
        <w:t> </w:t>
      </w:r>
      <w:r w:rsidR="00A83D7D" w:rsidRPr="009F1165">
        <w:rPr>
          <w:b w:val="0"/>
          <w:szCs w:val="22"/>
        </w:rPr>
        <w:t xml:space="preserve">ml </w:t>
      </w:r>
      <w:proofErr w:type="spellStart"/>
      <w:r w:rsidR="00A83D7D" w:rsidRPr="009F1165">
        <w:rPr>
          <w:b w:val="0"/>
          <w:szCs w:val="22"/>
        </w:rPr>
        <w:t>oldatos</w:t>
      </w:r>
      <w:proofErr w:type="spellEnd"/>
      <w:r w:rsidR="00A83D7D" w:rsidRPr="009F1165">
        <w:rPr>
          <w:b w:val="0"/>
          <w:szCs w:val="22"/>
        </w:rPr>
        <w:t xml:space="preserve"> infúzió</w:t>
      </w:r>
    </w:p>
    <w:p w14:paraId="1800AC60" w14:textId="77777777" w:rsidR="00DC3A34" w:rsidRPr="009F1165" w:rsidRDefault="00DC3A34" w:rsidP="009F1165">
      <w:pPr>
        <w:rPr>
          <w:szCs w:val="22"/>
          <w:lang w:val="hu-HU" w:eastAsia="hu-HU"/>
        </w:rPr>
      </w:pPr>
    </w:p>
    <w:p w14:paraId="6CE1A7ED" w14:textId="77777777" w:rsidR="00DC3A34" w:rsidRPr="009F1165" w:rsidRDefault="00DC3A34" w:rsidP="009F1165">
      <w:pPr>
        <w:rPr>
          <w:szCs w:val="22"/>
          <w:lang w:val="hu-HU" w:eastAsia="hu-HU"/>
        </w:rPr>
      </w:pPr>
    </w:p>
    <w:p w14:paraId="27F43320" w14:textId="77777777" w:rsidR="00A83D7D" w:rsidRPr="009F1165" w:rsidRDefault="00A83D7D" w:rsidP="009F1165">
      <w:pPr>
        <w:pStyle w:val="WW-Szvegtrzs212"/>
        <w:keepNext/>
        <w:keepLines/>
        <w:numPr>
          <w:ilvl w:val="0"/>
          <w:numId w:val="2"/>
        </w:numPr>
        <w:spacing w:line="240" w:lineRule="auto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MINŐSÉGI </w:t>
      </w:r>
      <w:proofErr w:type="gramStart"/>
      <w:r w:rsidRPr="009F1165">
        <w:rPr>
          <w:szCs w:val="22"/>
          <w:lang w:val="hu-HU"/>
        </w:rPr>
        <w:t>ÉS</w:t>
      </w:r>
      <w:proofErr w:type="gramEnd"/>
      <w:r w:rsidRPr="009F1165">
        <w:rPr>
          <w:szCs w:val="22"/>
          <w:lang w:val="hu-HU"/>
        </w:rPr>
        <w:t xml:space="preserve"> MENNYISÉGI ÖSSZETÉTEL</w:t>
      </w:r>
    </w:p>
    <w:p w14:paraId="5E5A0832" w14:textId="77777777" w:rsidR="00A83D7D" w:rsidRPr="009F1165" w:rsidRDefault="00A83D7D" w:rsidP="009F1165">
      <w:pPr>
        <w:pStyle w:val="WW-Szvegtrzs212"/>
        <w:keepNext/>
        <w:keepLines/>
        <w:spacing w:line="240" w:lineRule="auto"/>
        <w:ind w:left="0" w:firstLine="0"/>
        <w:rPr>
          <w:b w:val="0"/>
          <w:szCs w:val="22"/>
          <w:lang w:val="hu-HU"/>
        </w:rPr>
      </w:pPr>
    </w:p>
    <w:p w14:paraId="3EF9617F" w14:textId="77777777" w:rsidR="00A83D7D" w:rsidRPr="009F1165" w:rsidRDefault="00A83D7D" w:rsidP="009F1165">
      <w:pPr>
        <w:keepNext/>
        <w:keepLines/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>1</w:t>
      </w:r>
      <w:r w:rsidR="00D30206" w:rsidRPr="009F1165">
        <w:rPr>
          <w:szCs w:val="22"/>
          <w:lang w:val="hu-HU"/>
        </w:rPr>
        <w:t> </w:t>
      </w:r>
      <w:r w:rsidRPr="009F1165">
        <w:rPr>
          <w:szCs w:val="22"/>
          <w:lang w:val="hu-HU"/>
        </w:rPr>
        <w:t>db 250</w:t>
      </w:r>
      <w:r w:rsidR="00D30206" w:rsidRPr="009F1165">
        <w:rPr>
          <w:szCs w:val="22"/>
          <w:lang w:val="hu-HU"/>
        </w:rPr>
        <w:t> </w:t>
      </w:r>
      <w:r w:rsidRPr="009F1165">
        <w:rPr>
          <w:szCs w:val="22"/>
          <w:lang w:val="hu-HU"/>
        </w:rPr>
        <w:t>ml</w:t>
      </w:r>
      <w:r w:rsidR="00D06D16" w:rsidRPr="009F1165">
        <w:rPr>
          <w:szCs w:val="22"/>
          <w:lang w:val="hu-HU"/>
        </w:rPr>
        <w:noBreakHyphen/>
      </w:r>
      <w:r w:rsidRPr="009F1165">
        <w:rPr>
          <w:szCs w:val="22"/>
          <w:lang w:val="hu-HU"/>
        </w:rPr>
        <w:t xml:space="preserve">es </w:t>
      </w:r>
      <w:r w:rsidR="00D30206" w:rsidRPr="009F1165">
        <w:rPr>
          <w:szCs w:val="22"/>
          <w:lang w:val="hu-HU"/>
        </w:rPr>
        <w:t xml:space="preserve">infúziós </w:t>
      </w:r>
      <w:r w:rsidRPr="009F1165">
        <w:rPr>
          <w:szCs w:val="22"/>
          <w:lang w:val="hu-HU"/>
        </w:rPr>
        <w:t xml:space="preserve">üveg vagy </w:t>
      </w:r>
      <w:r w:rsidR="00D30206" w:rsidRPr="009F1165">
        <w:rPr>
          <w:szCs w:val="22"/>
          <w:lang w:val="hu-HU"/>
        </w:rPr>
        <w:t xml:space="preserve">infúziós </w:t>
      </w:r>
      <w:r w:rsidRPr="009F1165">
        <w:rPr>
          <w:szCs w:val="22"/>
          <w:lang w:val="hu-HU"/>
        </w:rPr>
        <w:t>zsák 400</w:t>
      </w:r>
      <w:r w:rsidR="00D30206" w:rsidRPr="009F1165">
        <w:rPr>
          <w:szCs w:val="22"/>
          <w:lang w:val="hu-HU"/>
        </w:rPr>
        <w:t> </w:t>
      </w:r>
      <w:r w:rsidRPr="009F1165">
        <w:rPr>
          <w:szCs w:val="22"/>
          <w:lang w:val="hu-HU"/>
        </w:rPr>
        <w:t xml:space="preserve">mg </w:t>
      </w:r>
      <w:proofErr w:type="spellStart"/>
      <w:r w:rsidRPr="009F1165">
        <w:rPr>
          <w:szCs w:val="22"/>
          <w:lang w:val="hu-HU"/>
        </w:rPr>
        <w:t>moxifloxacint</w:t>
      </w:r>
      <w:proofErr w:type="spellEnd"/>
      <w:r w:rsidRPr="009F1165">
        <w:rPr>
          <w:szCs w:val="22"/>
          <w:lang w:val="hu-HU"/>
        </w:rPr>
        <w:t xml:space="preserve"> tartalmaz (</w:t>
      </w:r>
      <w:proofErr w:type="spellStart"/>
      <w:r w:rsidR="00C86F8C" w:rsidRPr="009F1165">
        <w:rPr>
          <w:szCs w:val="22"/>
          <w:lang w:val="hu-HU"/>
        </w:rPr>
        <w:t>moxifloxacin</w:t>
      </w:r>
      <w:r w:rsidR="00823E75" w:rsidRPr="009F1165">
        <w:rPr>
          <w:szCs w:val="22"/>
          <w:lang w:val="hu-HU"/>
        </w:rPr>
        <w:noBreakHyphen/>
      </w:r>
      <w:r w:rsidRPr="009F1165">
        <w:rPr>
          <w:szCs w:val="22"/>
          <w:lang w:val="hu-HU"/>
        </w:rPr>
        <w:t>hidroklorid</w:t>
      </w:r>
      <w:proofErr w:type="spellEnd"/>
      <w:r w:rsidRPr="009F1165">
        <w:rPr>
          <w:szCs w:val="22"/>
          <w:lang w:val="hu-HU"/>
        </w:rPr>
        <w:t xml:space="preserve"> formájában).</w:t>
      </w:r>
    </w:p>
    <w:p w14:paraId="001E1E3B" w14:textId="77777777" w:rsidR="00A83D7D" w:rsidRPr="009F1165" w:rsidRDefault="00A83D7D" w:rsidP="009F1165">
      <w:pPr>
        <w:autoSpaceDE w:val="0"/>
        <w:autoSpaceDN w:val="0"/>
        <w:adjustRightInd w:val="0"/>
        <w:rPr>
          <w:szCs w:val="22"/>
          <w:lang w:val="hu-HU"/>
        </w:rPr>
      </w:pPr>
      <w:r w:rsidRPr="009F1165">
        <w:rPr>
          <w:szCs w:val="22"/>
          <w:lang w:val="hu-HU"/>
        </w:rPr>
        <w:t>1</w:t>
      </w:r>
      <w:r w:rsidR="00D30206" w:rsidRPr="009F1165">
        <w:rPr>
          <w:szCs w:val="22"/>
          <w:lang w:val="hu-HU"/>
        </w:rPr>
        <w:t> </w:t>
      </w:r>
      <w:r w:rsidRPr="009F1165">
        <w:rPr>
          <w:szCs w:val="22"/>
          <w:lang w:val="hu-HU"/>
        </w:rPr>
        <w:t>ml oldat 1,6</w:t>
      </w:r>
      <w:r w:rsidR="00D30206" w:rsidRPr="009F1165">
        <w:rPr>
          <w:szCs w:val="22"/>
          <w:lang w:val="hu-HU"/>
        </w:rPr>
        <w:t> </w:t>
      </w:r>
      <w:r w:rsidRPr="009F1165">
        <w:rPr>
          <w:szCs w:val="22"/>
          <w:lang w:val="hu-HU"/>
        </w:rPr>
        <w:t xml:space="preserve">mg </w:t>
      </w:r>
      <w:proofErr w:type="spellStart"/>
      <w:r w:rsidRPr="009F1165">
        <w:rPr>
          <w:szCs w:val="22"/>
          <w:lang w:val="hu-HU"/>
        </w:rPr>
        <w:t>moxifloxacint</w:t>
      </w:r>
      <w:proofErr w:type="spellEnd"/>
      <w:r w:rsidRPr="009F1165">
        <w:rPr>
          <w:szCs w:val="22"/>
          <w:lang w:val="hu-HU"/>
        </w:rPr>
        <w:t xml:space="preserve"> tartalmaz (</w:t>
      </w:r>
      <w:proofErr w:type="spellStart"/>
      <w:r w:rsidR="00C86F8C" w:rsidRPr="009F1165">
        <w:rPr>
          <w:szCs w:val="22"/>
          <w:lang w:val="hu-HU"/>
        </w:rPr>
        <w:t>moxifloxacin-</w:t>
      </w:r>
      <w:r w:rsidRPr="009F1165">
        <w:rPr>
          <w:szCs w:val="22"/>
          <w:lang w:val="hu-HU"/>
        </w:rPr>
        <w:t>hidroklorid</w:t>
      </w:r>
      <w:proofErr w:type="spellEnd"/>
      <w:r w:rsidRPr="009F1165">
        <w:rPr>
          <w:szCs w:val="22"/>
          <w:lang w:val="hu-HU"/>
        </w:rPr>
        <w:t xml:space="preserve"> formájában).</w:t>
      </w:r>
    </w:p>
    <w:p w14:paraId="1E7A6FCA" w14:textId="77777777" w:rsidR="00A83D7D" w:rsidRPr="009F1165" w:rsidRDefault="00A83D7D" w:rsidP="009F1165">
      <w:pPr>
        <w:autoSpaceDE w:val="0"/>
        <w:autoSpaceDN w:val="0"/>
        <w:adjustRightInd w:val="0"/>
        <w:rPr>
          <w:szCs w:val="22"/>
          <w:lang w:val="hu-HU"/>
        </w:rPr>
      </w:pPr>
    </w:p>
    <w:p w14:paraId="5A1F4E42" w14:textId="77777777" w:rsidR="00A83D7D" w:rsidRPr="009F1165" w:rsidRDefault="009922FC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u w:val="single"/>
          <w:lang w:val="hu-HU"/>
        </w:rPr>
        <w:t>Ismert hatású s</w:t>
      </w:r>
      <w:r w:rsidR="00A83D7D" w:rsidRPr="009F1165">
        <w:rPr>
          <w:szCs w:val="22"/>
          <w:u w:val="single"/>
          <w:lang w:val="hu-HU"/>
        </w:rPr>
        <w:t>egédanyag:</w:t>
      </w:r>
      <w:r w:rsidR="00A83D7D" w:rsidRPr="009F1165">
        <w:rPr>
          <w:szCs w:val="22"/>
          <w:lang w:val="hu-HU"/>
        </w:rPr>
        <w:t xml:space="preserve"> 250</w:t>
      </w:r>
      <w:r w:rsidR="00D30206" w:rsidRPr="009F1165">
        <w:rPr>
          <w:szCs w:val="22"/>
          <w:lang w:val="hu-HU"/>
        </w:rPr>
        <w:t> </w:t>
      </w:r>
      <w:r w:rsidR="00A83D7D" w:rsidRPr="009F1165">
        <w:rPr>
          <w:szCs w:val="22"/>
          <w:lang w:val="hu-HU"/>
        </w:rPr>
        <w:t xml:space="preserve">ml </w:t>
      </w:r>
      <w:proofErr w:type="spellStart"/>
      <w:r w:rsidR="00A83D7D" w:rsidRPr="009F1165">
        <w:rPr>
          <w:szCs w:val="22"/>
          <w:lang w:val="hu-HU"/>
        </w:rPr>
        <w:t>oldatos</w:t>
      </w:r>
      <w:proofErr w:type="spellEnd"/>
      <w:r w:rsidR="00A83D7D" w:rsidRPr="009F1165">
        <w:rPr>
          <w:szCs w:val="22"/>
          <w:lang w:val="hu-HU"/>
        </w:rPr>
        <w:t xml:space="preserve"> infúzió </w:t>
      </w:r>
      <w:r w:rsidR="00141CEF" w:rsidRPr="009F1165">
        <w:rPr>
          <w:szCs w:val="22"/>
          <w:lang w:val="hu-HU"/>
        </w:rPr>
        <w:t>787 mg (</w:t>
      </w:r>
      <w:r w:rsidR="00A83D7D" w:rsidRPr="009F1165">
        <w:rPr>
          <w:szCs w:val="22"/>
          <w:lang w:val="hu-HU"/>
        </w:rPr>
        <w:t>34</w:t>
      </w:r>
      <w:r w:rsidR="00C86F8C" w:rsidRPr="009F1165">
        <w:rPr>
          <w:szCs w:val="22"/>
          <w:lang w:val="hu-HU"/>
        </w:rPr>
        <w:t> </w:t>
      </w:r>
      <w:proofErr w:type="spellStart"/>
      <w:r w:rsidR="00A83D7D" w:rsidRPr="009F1165">
        <w:rPr>
          <w:szCs w:val="22"/>
          <w:lang w:val="hu-HU"/>
        </w:rPr>
        <w:t>mmol</w:t>
      </w:r>
      <w:proofErr w:type="spellEnd"/>
      <w:r w:rsidR="00141CEF" w:rsidRPr="009F1165">
        <w:rPr>
          <w:szCs w:val="22"/>
          <w:lang w:val="hu-HU"/>
        </w:rPr>
        <w:t>)</w:t>
      </w:r>
      <w:r w:rsidR="00A83D7D" w:rsidRPr="009F1165">
        <w:rPr>
          <w:szCs w:val="22"/>
          <w:lang w:val="hu-HU"/>
        </w:rPr>
        <w:t xml:space="preserve"> nátriumot tartalmaz.</w:t>
      </w:r>
    </w:p>
    <w:p w14:paraId="7E0A12D7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6381AC47" w14:textId="77777777" w:rsidR="00A83D7D" w:rsidRPr="009F1165" w:rsidRDefault="00A83D7D" w:rsidP="009F1165">
      <w:pPr>
        <w:pStyle w:val="WW-NormlWeb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F1165">
        <w:rPr>
          <w:rFonts w:ascii="Times New Roman" w:hAnsi="Times New Roman"/>
          <w:sz w:val="22"/>
          <w:szCs w:val="22"/>
        </w:rPr>
        <w:t>A segédanyagok teljes listáját lásd a 6.</w:t>
      </w:r>
      <w:r w:rsidR="00D06D16" w:rsidRPr="009F1165">
        <w:rPr>
          <w:rFonts w:ascii="Times New Roman" w:hAnsi="Times New Roman"/>
          <w:sz w:val="22"/>
          <w:szCs w:val="22"/>
        </w:rPr>
        <w:t>1 </w:t>
      </w:r>
      <w:r w:rsidRPr="009F1165">
        <w:rPr>
          <w:rFonts w:ascii="Times New Roman" w:hAnsi="Times New Roman"/>
          <w:sz w:val="22"/>
          <w:szCs w:val="22"/>
        </w:rPr>
        <w:t>pontban.</w:t>
      </w:r>
    </w:p>
    <w:p w14:paraId="00BB0879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2240B3EB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27430D6C" w14:textId="77777777" w:rsidR="00A83D7D" w:rsidRPr="009F1165" w:rsidRDefault="00A83D7D" w:rsidP="009F1165">
      <w:pPr>
        <w:pStyle w:val="WW-Szvegtrzs212"/>
        <w:keepNext/>
        <w:keepLines/>
        <w:spacing w:line="240" w:lineRule="auto"/>
        <w:rPr>
          <w:szCs w:val="22"/>
          <w:lang w:val="hu-HU"/>
        </w:rPr>
      </w:pPr>
      <w:r w:rsidRPr="009F1165">
        <w:rPr>
          <w:szCs w:val="22"/>
          <w:lang w:val="hu-HU"/>
        </w:rPr>
        <w:t>3.</w:t>
      </w:r>
      <w:r w:rsidRPr="009F1165">
        <w:rPr>
          <w:szCs w:val="22"/>
          <w:lang w:val="hu-HU"/>
        </w:rPr>
        <w:tab/>
        <w:t>GYÓGYSZERFORMA</w:t>
      </w:r>
    </w:p>
    <w:p w14:paraId="5266BF6A" w14:textId="77777777" w:rsidR="00A83D7D" w:rsidRPr="009F1165" w:rsidRDefault="00A83D7D" w:rsidP="009F1165">
      <w:pPr>
        <w:keepNext/>
        <w:keepLines/>
        <w:tabs>
          <w:tab w:val="left" w:pos="567"/>
        </w:tabs>
        <w:rPr>
          <w:szCs w:val="22"/>
          <w:lang w:val="hu-HU"/>
        </w:rPr>
      </w:pPr>
    </w:p>
    <w:p w14:paraId="4ACA192A" w14:textId="77777777" w:rsidR="00A83D7D" w:rsidRPr="009F1165" w:rsidRDefault="00A83D7D" w:rsidP="009F1165">
      <w:pPr>
        <w:keepNext/>
        <w:keepLines/>
        <w:tabs>
          <w:tab w:val="left" w:pos="567"/>
        </w:tabs>
        <w:rPr>
          <w:szCs w:val="22"/>
          <w:lang w:val="hu-HU"/>
        </w:rPr>
      </w:pPr>
      <w:proofErr w:type="spellStart"/>
      <w:r w:rsidRPr="009F1165">
        <w:rPr>
          <w:szCs w:val="22"/>
          <w:lang w:val="hu-HU"/>
        </w:rPr>
        <w:t>Oldatos</w:t>
      </w:r>
      <w:proofErr w:type="spellEnd"/>
      <w:r w:rsidRPr="009F1165">
        <w:rPr>
          <w:szCs w:val="22"/>
          <w:lang w:val="hu-HU"/>
        </w:rPr>
        <w:t xml:space="preserve"> infúzió.</w:t>
      </w:r>
    </w:p>
    <w:p w14:paraId="463445B6" w14:textId="77777777" w:rsidR="00A83D7D" w:rsidRPr="009F1165" w:rsidRDefault="00141CEF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>Tiszta, s</w:t>
      </w:r>
      <w:r w:rsidR="00A83D7D" w:rsidRPr="009F1165">
        <w:rPr>
          <w:szCs w:val="22"/>
          <w:lang w:val="hu-HU"/>
        </w:rPr>
        <w:t xml:space="preserve">árga </w:t>
      </w:r>
      <w:r w:rsidR="00A875AF" w:rsidRPr="009F1165">
        <w:rPr>
          <w:szCs w:val="22"/>
          <w:lang w:val="hu-HU"/>
        </w:rPr>
        <w:t xml:space="preserve">színű </w:t>
      </w:r>
      <w:r w:rsidR="00A83D7D" w:rsidRPr="009F1165">
        <w:rPr>
          <w:szCs w:val="22"/>
          <w:lang w:val="hu-HU"/>
        </w:rPr>
        <w:t>oldat</w:t>
      </w:r>
      <w:r w:rsidRPr="009F1165">
        <w:rPr>
          <w:szCs w:val="22"/>
          <w:lang w:val="hu-HU"/>
        </w:rPr>
        <w:t>.</w:t>
      </w:r>
    </w:p>
    <w:p w14:paraId="5E632EB5" w14:textId="77777777" w:rsidR="00141CEF" w:rsidRPr="009F1165" w:rsidRDefault="00141CEF" w:rsidP="009F1165">
      <w:pPr>
        <w:tabs>
          <w:tab w:val="left" w:pos="567"/>
        </w:tabs>
        <w:rPr>
          <w:szCs w:val="22"/>
          <w:lang w:val="hu-HU"/>
        </w:rPr>
      </w:pPr>
    </w:p>
    <w:p w14:paraId="1E03BC8F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10657585" w14:textId="77777777" w:rsidR="00A83D7D" w:rsidRPr="009F1165" w:rsidRDefault="00A83D7D" w:rsidP="009F1165">
      <w:pPr>
        <w:keepNext/>
        <w:keepLines/>
        <w:ind w:left="567" w:hanging="567"/>
        <w:rPr>
          <w:b/>
          <w:caps/>
          <w:szCs w:val="22"/>
          <w:lang w:val="hu-HU"/>
        </w:rPr>
      </w:pPr>
      <w:r w:rsidRPr="009F1165">
        <w:rPr>
          <w:b/>
          <w:caps/>
          <w:szCs w:val="22"/>
          <w:lang w:val="hu-HU"/>
        </w:rPr>
        <w:t>4.</w:t>
      </w:r>
      <w:r w:rsidRPr="009F1165">
        <w:rPr>
          <w:b/>
          <w:caps/>
          <w:szCs w:val="22"/>
          <w:lang w:val="hu-HU"/>
        </w:rPr>
        <w:tab/>
        <w:t>KLINIKAI JELLEMZŐK</w:t>
      </w:r>
    </w:p>
    <w:p w14:paraId="1F5A324E" w14:textId="77777777" w:rsidR="00A83D7D" w:rsidRPr="009F1165" w:rsidRDefault="00A83D7D" w:rsidP="009F1165">
      <w:pPr>
        <w:pStyle w:val="Vgjegyzetszvege"/>
        <w:keepNext/>
        <w:keepLines/>
        <w:spacing w:line="240" w:lineRule="auto"/>
        <w:rPr>
          <w:szCs w:val="22"/>
          <w:lang w:val="hu-HU"/>
        </w:rPr>
      </w:pPr>
    </w:p>
    <w:p w14:paraId="62489CA5" w14:textId="77777777" w:rsidR="00A83D7D" w:rsidRPr="009F1165" w:rsidRDefault="00A83D7D" w:rsidP="009F1165">
      <w:pPr>
        <w:keepNext/>
        <w:keepLines/>
        <w:ind w:left="567" w:hanging="567"/>
        <w:rPr>
          <w:b/>
          <w:szCs w:val="22"/>
          <w:lang w:val="hu-HU"/>
        </w:rPr>
      </w:pPr>
      <w:r w:rsidRPr="009F1165">
        <w:rPr>
          <w:b/>
          <w:szCs w:val="22"/>
          <w:lang w:val="hu-HU"/>
        </w:rPr>
        <w:t>4.1</w:t>
      </w:r>
      <w:r w:rsidRPr="009F1165">
        <w:rPr>
          <w:b/>
          <w:szCs w:val="22"/>
          <w:lang w:val="hu-HU"/>
        </w:rPr>
        <w:tab/>
        <w:t>Terápiás javallatok</w:t>
      </w:r>
    </w:p>
    <w:p w14:paraId="16AE5CA1" w14:textId="77777777" w:rsidR="00A83D7D" w:rsidRPr="009F1165" w:rsidRDefault="00A83D7D" w:rsidP="009F1165">
      <w:pPr>
        <w:keepNext/>
        <w:keepLines/>
        <w:tabs>
          <w:tab w:val="left" w:pos="567"/>
        </w:tabs>
        <w:rPr>
          <w:szCs w:val="22"/>
          <w:lang w:val="hu-HU"/>
        </w:rPr>
      </w:pPr>
    </w:p>
    <w:p w14:paraId="3A245B8A" w14:textId="6C828DD8" w:rsidR="00A83D7D" w:rsidRPr="009F1165" w:rsidRDefault="00A83D7D" w:rsidP="009F1165">
      <w:pPr>
        <w:keepNext/>
        <w:keepLines/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Az </w:t>
      </w:r>
      <w:proofErr w:type="spellStart"/>
      <w:r w:rsidR="00DC3A34" w:rsidRPr="009F1165">
        <w:rPr>
          <w:szCs w:val="22"/>
          <w:lang w:val="hu-HU"/>
        </w:rPr>
        <w:t>Avelox</w:t>
      </w:r>
      <w:proofErr w:type="spellEnd"/>
      <w:r w:rsidRPr="009F1165">
        <w:rPr>
          <w:szCs w:val="22"/>
          <w:lang w:val="hu-HU"/>
        </w:rPr>
        <w:t xml:space="preserve"> </w:t>
      </w:r>
      <w:r w:rsidR="00046911" w:rsidRPr="009F1165">
        <w:rPr>
          <w:szCs w:val="22"/>
          <w:lang w:val="hu-HU"/>
        </w:rPr>
        <w:t>400 mg/250</w:t>
      </w:r>
      <w:r w:rsidR="00D30206" w:rsidRPr="009F1165">
        <w:rPr>
          <w:szCs w:val="22"/>
          <w:lang w:val="hu-HU"/>
        </w:rPr>
        <w:t> </w:t>
      </w:r>
      <w:r w:rsidR="00046911" w:rsidRPr="009F1165">
        <w:rPr>
          <w:szCs w:val="22"/>
          <w:lang w:val="hu-HU"/>
        </w:rPr>
        <w:t xml:space="preserve">ml </w:t>
      </w:r>
      <w:proofErr w:type="spellStart"/>
      <w:r w:rsidR="00046911" w:rsidRPr="009F1165">
        <w:rPr>
          <w:szCs w:val="22"/>
          <w:lang w:val="hu-HU"/>
        </w:rPr>
        <w:t>oldatos</w:t>
      </w:r>
      <w:proofErr w:type="spellEnd"/>
      <w:r w:rsidR="00046911" w:rsidRPr="009F1165">
        <w:rPr>
          <w:szCs w:val="22"/>
          <w:lang w:val="hu-HU"/>
        </w:rPr>
        <w:t xml:space="preserve"> infúzió </w:t>
      </w:r>
      <w:r w:rsidRPr="009F1165">
        <w:rPr>
          <w:szCs w:val="22"/>
          <w:lang w:val="hu-HU"/>
        </w:rPr>
        <w:t>az alábbi megbetegedések kezelésére javall</w:t>
      </w:r>
      <w:r w:rsidR="00F462F1">
        <w:rPr>
          <w:szCs w:val="22"/>
          <w:lang w:val="hu-HU"/>
        </w:rPr>
        <w:t>ot</w:t>
      </w:r>
      <w:r w:rsidRPr="009F1165">
        <w:rPr>
          <w:szCs w:val="22"/>
          <w:lang w:val="hu-HU"/>
        </w:rPr>
        <w:t>t:</w:t>
      </w:r>
    </w:p>
    <w:p w14:paraId="1FD888D0" w14:textId="77777777" w:rsidR="00A83D7D" w:rsidRPr="009F1165" w:rsidRDefault="00A83D7D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közösségben szerzett </w:t>
      </w:r>
      <w:proofErr w:type="spellStart"/>
      <w:r w:rsidRPr="009F1165">
        <w:rPr>
          <w:szCs w:val="22"/>
          <w:lang w:val="hu-HU"/>
        </w:rPr>
        <w:t>pneumonia</w:t>
      </w:r>
      <w:proofErr w:type="spellEnd"/>
      <w:r w:rsidRPr="009F1165">
        <w:rPr>
          <w:szCs w:val="22"/>
          <w:lang w:val="hu-HU"/>
        </w:rPr>
        <w:t xml:space="preserve"> </w:t>
      </w:r>
      <w:r w:rsidR="000338CC" w:rsidRPr="009F1165">
        <w:rPr>
          <w:szCs w:val="22"/>
          <w:lang w:val="hu-HU"/>
        </w:rPr>
        <w:t>(</w:t>
      </w:r>
      <w:proofErr w:type="spellStart"/>
      <w:r w:rsidRPr="009F1165">
        <w:rPr>
          <w:szCs w:val="22"/>
          <w:lang w:val="hu-HU"/>
        </w:rPr>
        <w:t>community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acquired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pneumonia</w:t>
      </w:r>
      <w:proofErr w:type="spellEnd"/>
      <w:r w:rsidR="009F1165">
        <w:rPr>
          <w:szCs w:val="22"/>
          <w:lang w:val="hu-HU"/>
        </w:rPr>
        <w:t xml:space="preserve">, </w:t>
      </w:r>
      <w:r w:rsidR="009F1165" w:rsidRPr="009F1165">
        <w:rPr>
          <w:szCs w:val="22"/>
          <w:lang w:val="hu-HU"/>
        </w:rPr>
        <w:t>CAP</w:t>
      </w:r>
      <w:r w:rsidRPr="009F1165">
        <w:rPr>
          <w:szCs w:val="22"/>
          <w:lang w:val="hu-HU"/>
        </w:rPr>
        <w:t>)</w:t>
      </w:r>
    </w:p>
    <w:p w14:paraId="51055892" w14:textId="77777777" w:rsidR="00A83D7D" w:rsidRPr="009F1165" w:rsidRDefault="00A83D7D" w:rsidP="00FC632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567" w:hanging="567"/>
        <w:rPr>
          <w:szCs w:val="22"/>
          <w:lang w:val="hu-HU"/>
        </w:rPr>
      </w:pPr>
      <w:proofErr w:type="gramStart"/>
      <w:r w:rsidRPr="009F1165">
        <w:rPr>
          <w:szCs w:val="22"/>
          <w:lang w:val="hu-HU"/>
        </w:rPr>
        <w:t>komplikált</w:t>
      </w:r>
      <w:proofErr w:type="gramEnd"/>
      <w:r w:rsidRPr="009F1165">
        <w:rPr>
          <w:szCs w:val="22"/>
          <w:lang w:val="hu-HU"/>
        </w:rPr>
        <w:t xml:space="preserve"> bőr- és lágyrész </w:t>
      </w:r>
      <w:r w:rsidR="00823E75" w:rsidRPr="009F1165">
        <w:rPr>
          <w:szCs w:val="22"/>
          <w:lang w:val="hu-HU"/>
        </w:rPr>
        <w:t xml:space="preserve">infekciók </w:t>
      </w:r>
      <w:r w:rsidRPr="009F1165">
        <w:rPr>
          <w:szCs w:val="22"/>
          <w:lang w:val="hu-HU"/>
        </w:rPr>
        <w:t>(</w:t>
      </w:r>
      <w:proofErr w:type="spellStart"/>
      <w:r w:rsidRPr="009F1165">
        <w:rPr>
          <w:szCs w:val="22"/>
          <w:lang w:val="hu-HU"/>
        </w:rPr>
        <w:t>complicated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skin</w:t>
      </w:r>
      <w:proofErr w:type="spellEnd"/>
      <w:r w:rsidRPr="009F1165">
        <w:rPr>
          <w:szCs w:val="22"/>
          <w:lang w:val="hu-HU"/>
        </w:rPr>
        <w:t xml:space="preserve"> and </w:t>
      </w:r>
      <w:proofErr w:type="spellStart"/>
      <w:r w:rsidRPr="009F1165">
        <w:rPr>
          <w:szCs w:val="22"/>
          <w:lang w:val="hu-HU"/>
        </w:rPr>
        <w:t>skin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structure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infections</w:t>
      </w:r>
      <w:proofErr w:type="spellEnd"/>
      <w:r w:rsidR="009F1165">
        <w:rPr>
          <w:szCs w:val="22"/>
          <w:lang w:val="hu-HU"/>
        </w:rPr>
        <w:t>,</w:t>
      </w:r>
      <w:r w:rsidR="009F1165" w:rsidRPr="009F1165">
        <w:rPr>
          <w:szCs w:val="22"/>
          <w:lang w:val="hu-HU"/>
        </w:rPr>
        <w:t xml:space="preserve"> </w:t>
      </w:r>
      <w:proofErr w:type="spellStart"/>
      <w:r w:rsidR="009F1165" w:rsidRPr="009F1165">
        <w:rPr>
          <w:szCs w:val="22"/>
          <w:lang w:val="hu-HU"/>
        </w:rPr>
        <w:t>cSSSI</w:t>
      </w:r>
      <w:proofErr w:type="spellEnd"/>
      <w:r w:rsidR="009F1165" w:rsidRPr="009F1165">
        <w:rPr>
          <w:szCs w:val="22"/>
          <w:lang w:val="hu-HU"/>
        </w:rPr>
        <w:t xml:space="preserve"> vagy </w:t>
      </w:r>
      <w:proofErr w:type="spellStart"/>
      <w:r w:rsidR="009F1165" w:rsidRPr="009F1165">
        <w:rPr>
          <w:szCs w:val="22"/>
          <w:lang w:val="hu-HU"/>
        </w:rPr>
        <w:t>cSSTI</w:t>
      </w:r>
      <w:proofErr w:type="spellEnd"/>
      <w:r w:rsidR="000338CC" w:rsidRPr="009F1165">
        <w:rPr>
          <w:szCs w:val="22"/>
          <w:lang w:val="hu-HU"/>
        </w:rPr>
        <w:t>)</w:t>
      </w:r>
    </w:p>
    <w:p w14:paraId="5523BE0B" w14:textId="77777777" w:rsidR="00A83D7D" w:rsidRPr="009F1165" w:rsidRDefault="00A83D7D" w:rsidP="009F1165">
      <w:pPr>
        <w:widowControl w:val="0"/>
        <w:autoSpaceDE w:val="0"/>
        <w:autoSpaceDN w:val="0"/>
        <w:adjustRightInd w:val="0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csak akkor alkalmazható, ha </w:t>
      </w:r>
      <w:r w:rsidR="009F1165">
        <w:rPr>
          <w:szCs w:val="22"/>
          <w:lang w:val="hu-HU"/>
        </w:rPr>
        <w:t>a</w:t>
      </w:r>
      <w:r w:rsidR="009F1165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>fertőzések kezdeti kezelésére általában javasolt antibakteriális szerek nem tekinthetők megfelelőnek.</w:t>
      </w:r>
    </w:p>
    <w:p w14:paraId="573E8024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13C6BE3F" w14:textId="77777777" w:rsidR="00A83D7D" w:rsidRPr="009F1165" w:rsidRDefault="009F1165" w:rsidP="009F1165">
      <w:pPr>
        <w:tabs>
          <w:tab w:val="left" w:pos="567"/>
        </w:tabs>
        <w:rPr>
          <w:szCs w:val="22"/>
          <w:lang w:val="hu-HU"/>
        </w:rPr>
      </w:pPr>
      <w:r w:rsidRPr="00975ED1">
        <w:rPr>
          <w:lang w:val="hu-HU"/>
        </w:rPr>
        <w:t>Figyelembe kell venni az antibakteriális szerek megfelelő alkalmazására vonatkozó hivatalos irányelveket</w:t>
      </w:r>
      <w:r w:rsidR="00A83D7D" w:rsidRPr="009F1165">
        <w:rPr>
          <w:szCs w:val="22"/>
          <w:lang w:val="hu-HU"/>
        </w:rPr>
        <w:t>.</w:t>
      </w:r>
    </w:p>
    <w:p w14:paraId="4A7D3035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3FAF395F" w14:textId="77777777" w:rsidR="00A83D7D" w:rsidRPr="009F1165" w:rsidRDefault="00A83D7D" w:rsidP="009F1165">
      <w:pPr>
        <w:pStyle w:val="WW-Szvegtrzs212"/>
        <w:keepNext/>
        <w:keepLines/>
        <w:spacing w:line="240" w:lineRule="auto"/>
        <w:rPr>
          <w:szCs w:val="22"/>
          <w:lang w:val="hu-HU"/>
        </w:rPr>
      </w:pPr>
      <w:r w:rsidRPr="009F1165">
        <w:rPr>
          <w:szCs w:val="22"/>
          <w:lang w:val="hu-HU"/>
        </w:rPr>
        <w:t>4.2</w:t>
      </w:r>
      <w:r w:rsidRPr="009F1165">
        <w:rPr>
          <w:szCs w:val="22"/>
          <w:lang w:val="hu-HU"/>
        </w:rPr>
        <w:tab/>
        <w:t>Adagolás és alkalmazás</w:t>
      </w:r>
    </w:p>
    <w:p w14:paraId="4038BC5E" w14:textId="77777777" w:rsidR="00A83D7D" w:rsidRPr="009F1165" w:rsidRDefault="00A83D7D" w:rsidP="009F1165">
      <w:pPr>
        <w:keepNext/>
        <w:keepLines/>
        <w:tabs>
          <w:tab w:val="left" w:pos="567"/>
        </w:tabs>
        <w:rPr>
          <w:szCs w:val="22"/>
          <w:u w:val="single"/>
          <w:lang w:val="hu-HU"/>
        </w:rPr>
      </w:pPr>
    </w:p>
    <w:p w14:paraId="5B9F273B" w14:textId="77777777" w:rsidR="000F481B" w:rsidRPr="009F1165" w:rsidRDefault="000F481B" w:rsidP="009F1165">
      <w:pPr>
        <w:keepNext/>
        <w:keepLines/>
        <w:tabs>
          <w:tab w:val="left" w:pos="567"/>
        </w:tabs>
        <w:rPr>
          <w:szCs w:val="22"/>
          <w:u w:val="single"/>
          <w:lang w:val="hu-HU"/>
        </w:rPr>
      </w:pPr>
      <w:r w:rsidRPr="009F1165">
        <w:rPr>
          <w:szCs w:val="22"/>
          <w:u w:val="single"/>
          <w:lang w:val="hu-HU"/>
        </w:rPr>
        <w:t>Adagolás</w:t>
      </w:r>
    </w:p>
    <w:p w14:paraId="03B0EE69" w14:textId="77777777" w:rsidR="00A83D7D" w:rsidRPr="009F1165" w:rsidRDefault="000F481B" w:rsidP="009F1165">
      <w:pPr>
        <w:keepNext/>
        <w:keepLines/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>Az ajánlott adag n</w:t>
      </w:r>
      <w:r w:rsidR="00A83D7D" w:rsidRPr="009F1165">
        <w:rPr>
          <w:szCs w:val="22"/>
          <w:lang w:val="hu-HU"/>
        </w:rPr>
        <w:t xml:space="preserve">aponta egyszer 400 mg </w:t>
      </w:r>
      <w:proofErr w:type="spellStart"/>
      <w:r w:rsidR="00A83D7D" w:rsidRPr="009F1165">
        <w:rPr>
          <w:szCs w:val="22"/>
          <w:lang w:val="hu-HU"/>
        </w:rPr>
        <w:t>moxifloxacin</w:t>
      </w:r>
      <w:proofErr w:type="spellEnd"/>
      <w:r w:rsidR="00A83D7D" w:rsidRPr="009F1165">
        <w:rPr>
          <w:szCs w:val="22"/>
          <w:lang w:val="hu-HU"/>
        </w:rPr>
        <w:t xml:space="preserve"> infúzióban beadva.</w:t>
      </w:r>
    </w:p>
    <w:p w14:paraId="35B6DBCE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431B4760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Az intravénásan megkezdett terápia </w:t>
      </w:r>
      <w:r w:rsidR="00D06D16" w:rsidRPr="009F1165">
        <w:rPr>
          <w:szCs w:val="22"/>
          <w:lang w:val="hu-HU"/>
        </w:rPr>
        <w:t>400 </w:t>
      </w:r>
      <w:r w:rsidRPr="009F1165">
        <w:rPr>
          <w:szCs w:val="22"/>
          <w:lang w:val="hu-HU"/>
        </w:rPr>
        <w:t xml:space="preserve">mg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tablettával is folytatható, ha </w:t>
      </w:r>
      <w:r w:rsidR="000338CC" w:rsidRPr="009F1165">
        <w:rPr>
          <w:szCs w:val="22"/>
          <w:lang w:val="hu-HU"/>
        </w:rPr>
        <w:t xml:space="preserve">ez </w:t>
      </w:r>
      <w:proofErr w:type="spellStart"/>
      <w:r w:rsidRPr="009F1165">
        <w:rPr>
          <w:szCs w:val="22"/>
          <w:lang w:val="hu-HU"/>
        </w:rPr>
        <w:t>klinikailag</w:t>
      </w:r>
      <w:proofErr w:type="spellEnd"/>
      <w:r w:rsidRPr="009F1165">
        <w:rPr>
          <w:szCs w:val="22"/>
          <w:lang w:val="hu-HU"/>
        </w:rPr>
        <w:t xml:space="preserve"> indokolt.</w:t>
      </w:r>
    </w:p>
    <w:p w14:paraId="088E0A0A" w14:textId="77777777" w:rsidR="00C86F8C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klinikai vizsgálatok során a betegek többségét </w:t>
      </w:r>
      <w:r w:rsidR="00D06D16" w:rsidRPr="009F1165">
        <w:rPr>
          <w:szCs w:val="22"/>
          <w:lang w:val="hu-HU"/>
        </w:rPr>
        <w:t>4 </w:t>
      </w:r>
      <w:r w:rsidRPr="009F1165">
        <w:rPr>
          <w:szCs w:val="22"/>
          <w:lang w:val="hu-HU"/>
        </w:rPr>
        <w:t>napon belül (CAP)</w:t>
      </w:r>
      <w:r w:rsidR="00046911" w:rsidRPr="009F1165">
        <w:rPr>
          <w:szCs w:val="22"/>
          <w:lang w:val="hu-HU"/>
        </w:rPr>
        <w:t>,</w:t>
      </w:r>
      <w:r w:rsidRPr="009F1165">
        <w:rPr>
          <w:szCs w:val="22"/>
          <w:lang w:val="hu-HU"/>
        </w:rPr>
        <w:t xml:space="preserve"> illetve </w:t>
      </w:r>
      <w:r w:rsidR="00D06D16" w:rsidRPr="009F1165">
        <w:rPr>
          <w:szCs w:val="22"/>
          <w:lang w:val="hu-HU"/>
        </w:rPr>
        <w:t>6 </w:t>
      </w:r>
      <w:r w:rsidRPr="009F1165">
        <w:rPr>
          <w:szCs w:val="22"/>
          <w:lang w:val="hu-HU"/>
        </w:rPr>
        <w:t>napon belül (</w:t>
      </w:r>
      <w:proofErr w:type="spellStart"/>
      <w:r w:rsidRPr="009F1165">
        <w:rPr>
          <w:szCs w:val="22"/>
          <w:lang w:val="hu-HU"/>
        </w:rPr>
        <w:t>cSSSI</w:t>
      </w:r>
      <w:proofErr w:type="spellEnd"/>
      <w:r w:rsidRPr="009F1165">
        <w:rPr>
          <w:szCs w:val="22"/>
          <w:lang w:val="hu-HU"/>
        </w:rPr>
        <w:t>) átállították orális terápiára.</w:t>
      </w:r>
    </w:p>
    <w:p w14:paraId="4C23E525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Az intravénás és az orális kezelés teljes ajánlott időtartama közösségben szerzett </w:t>
      </w:r>
      <w:proofErr w:type="spellStart"/>
      <w:r w:rsidRPr="009F1165">
        <w:rPr>
          <w:szCs w:val="22"/>
          <w:lang w:val="hu-HU"/>
        </w:rPr>
        <w:t>pneumonia</w:t>
      </w:r>
      <w:proofErr w:type="spellEnd"/>
      <w:r w:rsidRPr="009F1165">
        <w:rPr>
          <w:szCs w:val="22"/>
          <w:lang w:val="hu-HU"/>
        </w:rPr>
        <w:t xml:space="preserve"> esetén 7</w:t>
      </w:r>
      <w:r w:rsidR="00D06D16" w:rsidRPr="009F1165">
        <w:rPr>
          <w:szCs w:val="22"/>
          <w:lang w:val="hu-HU"/>
        </w:rPr>
        <w:noBreakHyphen/>
        <w:t>14 </w:t>
      </w:r>
      <w:r w:rsidRPr="009F1165">
        <w:rPr>
          <w:szCs w:val="22"/>
          <w:lang w:val="hu-HU"/>
        </w:rPr>
        <w:t xml:space="preserve">nap, </w:t>
      </w:r>
      <w:proofErr w:type="gramStart"/>
      <w:r w:rsidRPr="009F1165">
        <w:rPr>
          <w:szCs w:val="22"/>
          <w:lang w:val="hu-HU"/>
        </w:rPr>
        <w:t>komplikált</w:t>
      </w:r>
      <w:proofErr w:type="gramEnd"/>
      <w:r w:rsidRPr="009F1165">
        <w:rPr>
          <w:szCs w:val="22"/>
          <w:lang w:val="hu-HU"/>
        </w:rPr>
        <w:t xml:space="preserve"> bőr- és </w:t>
      </w:r>
      <w:r w:rsidR="007843AB" w:rsidRPr="009F1165">
        <w:rPr>
          <w:szCs w:val="22"/>
          <w:lang w:val="hu-HU"/>
        </w:rPr>
        <w:t>lágyrész</w:t>
      </w:r>
      <w:r w:rsidR="00EB011E" w:rsidRPr="009F1165">
        <w:rPr>
          <w:szCs w:val="22"/>
          <w:lang w:val="hu-HU"/>
        </w:rPr>
        <w:t xml:space="preserve"> </w:t>
      </w:r>
      <w:r w:rsidR="007843AB" w:rsidRPr="009F1165">
        <w:rPr>
          <w:szCs w:val="22"/>
          <w:lang w:val="hu-HU"/>
        </w:rPr>
        <w:t xml:space="preserve">infekciók </w:t>
      </w:r>
      <w:r w:rsidRPr="009F1165">
        <w:rPr>
          <w:szCs w:val="22"/>
          <w:lang w:val="hu-HU"/>
        </w:rPr>
        <w:t>esetén pedig 7</w:t>
      </w:r>
      <w:r w:rsidR="00D06D16" w:rsidRPr="009F1165">
        <w:rPr>
          <w:szCs w:val="22"/>
          <w:lang w:val="hu-HU"/>
        </w:rPr>
        <w:noBreakHyphen/>
        <w:t>21 </w:t>
      </w:r>
      <w:r w:rsidRPr="009F1165">
        <w:rPr>
          <w:szCs w:val="22"/>
          <w:lang w:val="hu-HU"/>
        </w:rPr>
        <w:t>nap.</w:t>
      </w:r>
    </w:p>
    <w:p w14:paraId="181A892C" w14:textId="77777777" w:rsidR="00A83D7D" w:rsidRPr="009F1165" w:rsidRDefault="00A83D7D" w:rsidP="009F1165">
      <w:pPr>
        <w:rPr>
          <w:szCs w:val="22"/>
          <w:lang w:val="hu-HU"/>
        </w:rPr>
      </w:pPr>
    </w:p>
    <w:p w14:paraId="4D0D1076" w14:textId="77777777" w:rsidR="00A83D7D" w:rsidRPr="002763C1" w:rsidRDefault="00A83D7D" w:rsidP="009F1165">
      <w:pPr>
        <w:pStyle w:val="Cmsor8"/>
        <w:rPr>
          <w:i/>
          <w:szCs w:val="22"/>
          <w:u w:val="none"/>
        </w:rPr>
      </w:pPr>
      <w:r w:rsidRPr="002763C1">
        <w:rPr>
          <w:i/>
          <w:szCs w:val="22"/>
          <w:u w:val="none"/>
        </w:rPr>
        <w:t>Vese</w:t>
      </w:r>
      <w:r w:rsidR="009F1165" w:rsidRPr="002763C1">
        <w:rPr>
          <w:i/>
          <w:szCs w:val="22"/>
          <w:u w:val="none"/>
        </w:rPr>
        <w:t>/</w:t>
      </w:r>
      <w:r w:rsidRPr="002763C1">
        <w:rPr>
          <w:i/>
          <w:szCs w:val="22"/>
          <w:u w:val="none"/>
        </w:rPr>
        <w:t>májkárosodás</w:t>
      </w:r>
    </w:p>
    <w:p w14:paraId="093D508B" w14:textId="77777777" w:rsidR="00EE6863" w:rsidRPr="00FC6329" w:rsidRDefault="00A83D7D" w:rsidP="009F1165">
      <w:pPr>
        <w:pStyle w:val="Default"/>
        <w:keepNext/>
        <w:rPr>
          <w:color w:val="auto"/>
          <w:sz w:val="22"/>
          <w:szCs w:val="22"/>
        </w:rPr>
      </w:pPr>
      <w:r w:rsidRPr="000A7311">
        <w:rPr>
          <w:color w:val="auto"/>
          <w:sz w:val="22"/>
          <w:szCs w:val="22"/>
        </w:rPr>
        <w:t xml:space="preserve">Az enyhétől a súlyos fokúig terjedő vesekárosodásban vagy </w:t>
      </w:r>
      <w:proofErr w:type="gramStart"/>
      <w:r w:rsidRPr="000A7311">
        <w:rPr>
          <w:color w:val="auto"/>
          <w:sz w:val="22"/>
          <w:szCs w:val="22"/>
        </w:rPr>
        <w:t>krónikus</w:t>
      </w:r>
      <w:proofErr w:type="gramEnd"/>
      <w:r w:rsidRPr="00FC6329">
        <w:rPr>
          <w:color w:val="auto"/>
          <w:sz w:val="22"/>
          <w:szCs w:val="22"/>
        </w:rPr>
        <w:t xml:space="preserve"> </w:t>
      </w:r>
      <w:r w:rsidR="001E5440" w:rsidRPr="00FC6329">
        <w:rPr>
          <w:sz w:val="22"/>
          <w:szCs w:val="22"/>
        </w:rPr>
        <w:t>dialízisben</w:t>
      </w:r>
      <w:r w:rsidRPr="002763C1">
        <w:rPr>
          <w:color w:val="auto"/>
          <w:sz w:val="22"/>
          <w:szCs w:val="22"/>
        </w:rPr>
        <w:t xml:space="preserve">, </w:t>
      </w:r>
      <w:r w:rsidR="001E5440" w:rsidRPr="000A7311">
        <w:rPr>
          <w:color w:val="auto"/>
          <w:sz w:val="22"/>
          <w:szCs w:val="22"/>
        </w:rPr>
        <w:t xml:space="preserve">azaz </w:t>
      </w:r>
      <w:proofErr w:type="spellStart"/>
      <w:r w:rsidR="001E5440" w:rsidRPr="00FC6329">
        <w:rPr>
          <w:sz w:val="22"/>
          <w:szCs w:val="22"/>
        </w:rPr>
        <w:t>hemodialízisben</w:t>
      </w:r>
      <w:proofErr w:type="spellEnd"/>
      <w:r w:rsidR="001E5440" w:rsidRPr="00FC6329">
        <w:rPr>
          <w:sz w:val="22"/>
          <w:szCs w:val="22"/>
        </w:rPr>
        <w:t xml:space="preserve"> </w:t>
      </w:r>
      <w:r w:rsidRPr="002763C1">
        <w:rPr>
          <w:color w:val="auto"/>
          <w:sz w:val="22"/>
          <w:szCs w:val="22"/>
        </w:rPr>
        <w:t xml:space="preserve">és folyamatos ambuláns </w:t>
      </w:r>
      <w:proofErr w:type="spellStart"/>
      <w:r w:rsidRPr="002763C1">
        <w:rPr>
          <w:color w:val="auto"/>
          <w:sz w:val="22"/>
          <w:szCs w:val="22"/>
        </w:rPr>
        <w:t>peritoneális</w:t>
      </w:r>
      <w:proofErr w:type="spellEnd"/>
      <w:r w:rsidRPr="002763C1">
        <w:rPr>
          <w:color w:val="auto"/>
          <w:sz w:val="22"/>
          <w:szCs w:val="22"/>
        </w:rPr>
        <w:t xml:space="preserve"> dialízisben részesülő betegek esetén nincs szükség a dózis</w:t>
      </w:r>
      <w:r w:rsidR="001E5440" w:rsidRPr="000A7311">
        <w:rPr>
          <w:color w:val="auto"/>
          <w:sz w:val="22"/>
          <w:szCs w:val="22"/>
        </w:rPr>
        <w:t xml:space="preserve"> </w:t>
      </w:r>
      <w:r w:rsidRPr="000A7311">
        <w:rPr>
          <w:color w:val="auto"/>
          <w:sz w:val="22"/>
          <w:szCs w:val="22"/>
        </w:rPr>
        <w:t>módosítására (a további részleteket lásd az 5.</w:t>
      </w:r>
      <w:r w:rsidR="00D06D16" w:rsidRPr="00FC6329">
        <w:rPr>
          <w:color w:val="auto"/>
          <w:sz w:val="22"/>
          <w:szCs w:val="22"/>
        </w:rPr>
        <w:t>2 </w:t>
      </w:r>
      <w:r w:rsidRPr="00FC6329">
        <w:rPr>
          <w:color w:val="auto"/>
          <w:sz w:val="22"/>
          <w:szCs w:val="22"/>
        </w:rPr>
        <w:t>pontban).</w:t>
      </w:r>
    </w:p>
    <w:p w14:paraId="10479787" w14:textId="77777777" w:rsidR="00A83D7D" w:rsidRPr="00FC6329" w:rsidRDefault="00A83D7D" w:rsidP="009F1165">
      <w:pPr>
        <w:pStyle w:val="Default"/>
        <w:rPr>
          <w:color w:val="auto"/>
          <w:sz w:val="22"/>
          <w:szCs w:val="22"/>
        </w:rPr>
      </w:pPr>
    </w:p>
    <w:p w14:paraId="258CBDE8" w14:textId="77777777" w:rsidR="00A83D7D" w:rsidRPr="009F1165" w:rsidRDefault="00046911" w:rsidP="009F1165">
      <w:pPr>
        <w:pStyle w:val="Default"/>
        <w:rPr>
          <w:color w:val="auto"/>
          <w:sz w:val="22"/>
          <w:szCs w:val="22"/>
        </w:rPr>
      </w:pPr>
      <w:r w:rsidRPr="00FC6329">
        <w:rPr>
          <w:color w:val="auto"/>
          <w:sz w:val="22"/>
          <w:szCs w:val="22"/>
        </w:rPr>
        <w:t xml:space="preserve">Károsodott </w:t>
      </w:r>
      <w:r w:rsidR="00A83D7D" w:rsidRPr="00FC6329">
        <w:rPr>
          <w:color w:val="auto"/>
          <w:sz w:val="22"/>
          <w:szCs w:val="22"/>
        </w:rPr>
        <w:t>májműködésű</w:t>
      </w:r>
      <w:r w:rsidR="00A83D7D" w:rsidRPr="009F1165">
        <w:rPr>
          <w:color w:val="auto"/>
          <w:sz w:val="22"/>
          <w:szCs w:val="22"/>
        </w:rPr>
        <w:t xml:space="preserve"> betegekkel kapcsolatban nem áll rendelkezésre el</w:t>
      </w:r>
      <w:r w:rsidR="00C86F8C" w:rsidRPr="009F1165">
        <w:rPr>
          <w:color w:val="auto"/>
          <w:sz w:val="22"/>
          <w:szCs w:val="22"/>
        </w:rPr>
        <w:t>egendő</w:t>
      </w:r>
      <w:r w:rsidR="00A83D7D" w:rsidRPr="009F1165">
        <w:rPr>
          <w:color w:val="auto"/>
          <w:sz w:val="22"/>
          <w:szCs w:val="22"/>
        </w:rPr>
        <w:t xml:space="preserve"> adat (lásd 4.</w:t>
      </w:r>
      <w:r w:rsidR="00D06D16" w:rsidRPr="009F1165">
        <w:rPr>
          <w:color w:val="auto"/>
          <w:sz w:val="22"/>
          <w:szCs w:val="22"/>
        </w:rPr>
        <w:t>3 </w:t>
      </w:r>
      <w:r w:rsidR="00A83D7D" w:rsidRPr="009F1165">
        <w:rPr>
          <w:color w:val="auto"/>
          <w:sz w:val="22"/>
          <w:szCs w:val="22"/>
        </w:rPr>
        <w:t>pont).</w:t>
      </w:r>
    </w:p>
    <w:p w14:paraId="235E3909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70BEDA3F" w14:textId="77777777" w:rsidR="00A83D7D" w:rsidRPr="009F1165" w:rsidRDefault="00A83D7D" w:rsidP="009F1165">
      <w:pPr>
        <w:keepNext/>
        <w:keepLines/>
        <w:tabs>
          <w:tab w:val="left" w:pos="567"/>
        </w:tabs>
        <w:rPr>
          <w:i/>
          <w:szCs w:val="22"/>
          <w:lang w:val="hu-HU"/>
        </w:rPr>
      </w:pPr>
      <w:r w:rsidRPr="009F1165">
        <w:rPr>
          <w:i/>
          <w:szCs w:val="22"/>
          <w:lang w:val="hu-HU"/>
        </w:rPr>
        <w:lastRenderedPageBreak/>
        <w:t xml:space="preserve">Egyéb </w:t>
      </w:r>
      <w:r w:rsidR="00111B74" w:rsidRPr="00975ED1">
        <w:rPr>
          <w:i/>
          <w:lang w:val="hu-HU"/>
        </w:rPr>
        <w:t xml:space="preserve">különleges </w:t>
      </w:r>
      <w:r w:rsidRPr="009F1165">
        <w:rPr>
          <w:i/>
          <w:szCs w:val="22"/>
          <w:lang w:val="hu-HU"/>
        </w:rPr>
        <w:t>betegcsoportok</w:t>
      </w:r>
    </w:p>
    <w:p w14:paraId="64C783C4" w14:textId="77777777" w:rsidR="00A83D7D" w:rsidRPr="009F1165" w:rsidRDefault="00111B74" w:rsidP="009F1165">
      <w:pPr>
        <w:keepNext/>
        <w:keepLines/>
        <w:tabs>
          <w:tab w:val="left" w:pos="567"/>
        </w:tabs>
        <w:rPr>
          <w:szCs w:val="22"/>
          <w:lang w:val="hu-HU"/>
        </w:rPr>
      </w:pPr>
      <w:r w:rsidRPr="00975ED1">
        <w:rPr>
          <w:lang w:val="hu-HU"/>
        </w:rPr>
        <w:t xml:space="preserve">Idősebb vagy kisebb </w:t>
      </w:r>
      <w:r w:rsidR="00A83D7D" w:rsidRPr="009F1165">
        <w:rPr>
          <w:szCs w:val="22"/>
          <w:lang w:val="hu-HU"/>
        </w:rPr>
        <w:t>test</w:t>
      </w:r>
      <w:r w:rsidR="004F24DD" w:rsidRPr="009F1165">
        <w:rPr>
          <w:szCs w:val="22"/>
          <w:lang w:val="hu-HU"/>
        </w:rPr>
        <w:t>tömegű</w:t>
      </w:r>
      <w:r w:rsidR="00A83D7D" w:rsidRPr="009F1165">
        <w:rPr>
          <w:szCs w:val="22"/>
          <w:lang w:val="hu-HU"/>
        </w:rPr>
        <w:t xml:space="preserve"> betegek esetén nincs szükség a </w:t>
      </w:r>
      <w:proofErr w:type="gramStart"/>
      <w:r w:rsidR="00A83D7D" w:rsidRPr="009F1165">
        <w:rPr>
          <w:szCs w:val="22"/>
          <w:lang w:val="hu-HU"/>
        </w:rPr>
        <w:t>dózis</w:t>
      </w:r>
      <w:proofErr w:type="gramEnd"/>
      <w:r w:rsidR="00A83D7D" w:rsidRPr="009F1165">
        <w:rPr>
          <w:szCs w:val="22"/>
          <w:lang w:val="hu-HU"/>
        </w:rPr>
        <w:t xml:space="preserve"> módosítására.</w:t>
      </w:r>
    </w:p>
    <w:p w14:paraId="5516F129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6C2E8E81" w14:textId="77777777" w:rsidR="00A83D7D" w:rsidRPr="009F1165" w:rsidRDefault="000F481B" w:rsidP="009F1165">
      <w:pPr>
        <w:pStyle w:val="Cmsor8"/>
        <w:keepLines/>
        <w:rPr>
          <w:i/>
          <w:szCs w:val="22"/>
          <w:u w:val="none"/>
        </w:rPr>
      </w:pPr>
      <w:r w:rsidRPr="009F1165">
        <w:rPr>
          <w:bCs/>
          <w:i/>
          <w:iCs/>
          <w:szCs w:val="22"/>
          <w:u w:val="none"/>
          <w:lang w:eastAsia="en-US"/>
        </w:rPr>
        <w:t>Gyermek</w:t>
      </w:r>
      <w:r w:rsidR="007F5DD2" w:rsidRPr="009F1165">
        <w:rPr>
          <w:bCs/>
          <w:i/>
          <w:iCs/>
          <w:szCs w:val="22"/>
          <w:u w:val="none"/>
          <w:lang w:eastAsia="en-US"/>
        </w:rPr>
        <w:t>ek</w:t>
      </w:r>
      <w:r w:rsidR="00111B74">
        <w:rPr>
          <w:bCs/>
          <w:i/>
          <w:iCs/>
          <w:szCs w:val="22"/>
          <w:u w:val="none"/>
          <w:lang w:eastAsia="en-US"/>
        </w:rPr>
        <w:t xml:space="preserve"> és serdülők</w:t>
      </w:r>
    </w:p>
    <w:p w14:paraId="511DD82F" w14:textId="77777777" w:rsidR="00A83D7D" w:rsidRPr="009F1165" w:rsidRDefault="00A83D7D" w:rsidP="009F1165">
      <w:pPr>
        <w:keepNext/>
        <w:keepLines/>
        <w:rPr>
          <w:bCs/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gyermekek és növésben lévő serdülők</w:t>
      </w:r>
      <w:r w:rsidR="00111B74">
        <w:rPr>
          <w:szCs w:val="22"/>
          <w:lang w:val="hu-HU"/>
        </w:rPr>
        <w:t>orúak</w:t>
      </w:r>
      <w:r w:rsidRPr="009F1165">
        <w:rPr>
          <w:szCs w:val="22"/>
          <w:lang w:val="hu-HU"/>
        </w:rPr>
        <w:t xml:space="preserve"> esetén ellenjavallt. </w:t>
      </w:r>
      <w:r w:rsidRPr="009F1165">
        <w:rPr>
          <w:bCs/>
          <w:szCs w:val="22"/>
          <w:lang w:val="hu-HU"/>
        </w:rPr>
        <w:t xml:space="preserve">A </w:t>
      </w:r>
      <w:proofErr w:type="spellStart"/>
      <w:r w:rsidRPr="009F1165">
        <w:rPr>
          <w:bCs/>
          <w:szCs w:val="22"/>
          <w:lang w:val="hu-HU"/>
        </w:rPr>
        <w:t>moxifloxacin</w:t>
      </w:r>
      <w:proofErr w:type="spellEnd"/>
      <w:r w:rsidRPr="009F1165">
        <w:rPr>
          <w:bCs/>
          <w:szCs w:val="22"/>
          <w:lang w:val="hu-HU"/>
        </w:rPr>
        <w:t xml:space="preserve"> hatásosság</w:t>
      </w:r>
      <w:r w:rsidR="005B79DE" w:rsidRPr="009F1165">
        <w:rPr>
          <w:bCs/>
          <w:szCs w:val="22"/>
          <w:lang w:val="hu-HU"/>
        </w:rPr>
        <w:t>át</w:t>
      </w:r>
      <w:r w:rsidRPr="009F1165">
        <w:rPr>
          <w:bCs/>
          <w:szCs w:val="22"/>
          <w:lang w:val="hu-HU"/>
        </w:rPr>
        <w:t xml:space="preserve"> és biztonságosság</w:t>
      </w:r>
      <w:r w:rsidR="005B79DE" w:rsidRPr="009F1165">
        <w:rPr>
          <w:bCs/>
          <w:szCs w:val="22"/>
          <w:lang w:val="hu-HU"/>
        </w:rPr>
        <w:t>át</w:t>
      </w:r>
      <w:r w:rsidRPr="009F1165">
        <w:rPr>
          <w:bCs/>
          <w:szCs w:val="22"/>
          <w:lang w:val="hu-HU"/>
        </w:rPr>
        <w:t xml:space="preserve"> gyermekek és serdülők</w:t>
      </w:r>
      <w:r w:rsidR="00C86F8C" w:rsidRPr="009F1165">
        <w:rPr>
          <w:bCs/>
          <w:szCs w:val="22"/>
          <w:lang w:val="hu-HU"/>
        </w:rPr>
        <w:t>orúak</w:t>
      </w:r>
      <w:r w:rsidRPr="009F1165">
        <w:rPr>
          <w:bCs/>
          <w:szCs w:val="22"/>
          <w:lang w:val="hu-HU"/>
        </w:rPr>
        <w:t xml:space="preserve"> esetében nem </w:t>
      </w:r>
      <w:r w:rsidR="005B79DE" w:rsidRPr="009F1165">
        <w:rPr>
          <w:bCs/>
          <w:szCs w:val="22"/>
          <w:lang w:val="hu-HU"/>
        </w:rPr>
        <w:t xml:space="preserve">igazolták </w:t>
      </w:r>
      <w:r w:rsidRPr="009F1165">
        <w:rPr>
          <w:bCs/>
          <w:szCs w:val="22"/>
          <w:lang w:val="hu-HU"/>
        </w:rPr>
        <w:t>(lásd 4.</w:t>
      </w:r>
      <w:r w:rsidR="00D06D16" w:rsidRPr="009F1165">
        <w:rPr>
          <w:bCs/>
          <w:szCs w:val="22"/>
          <w:lang w:val="hu-HU"/>
        </w:rPr>
        <w:t>3 </w:t>
      </w:r>
      <w:r w:rsidRPr="009F1165">
        <w:rPr>
          <w:bCs/>
          <w:szCs w:val="22"/>
          <w:lang w:val="hu-HU"/>
        </w:rPr>
        <w:t>pont).</w:t>
      </w:r>
    </w:p>
    <w:p w14:paraId="00FB5D84" w14:textId="77777777" w:rsidR="00A83D7D" w:rsidRPr="009F1165" w:rsidRDefault="00A83D7D" w:rsidP="009F1165">
      <w:pPr>
        <w:tabs>
          <w:tab w:val="left" w:pos="567"/>
        </w:tabs>
        <w:rPr>
          <w:bCs/>
          <w:szCs w:val="22"/>
          <w:lang w:val="hu-HU"/>
        </w:rPr>
      </w:pPr>
    </w:p>
    <w:p w14:paraId="463F4DA5" w14:textId="77777777" w:rsidR="00A83D7D" w:rsidRPr="009F1165" w:rsidRDefault="00A83D7D" w:rsidP="009F1165">
      <w:pPr>
        <w:keepNext/>
        <w:keepLines/>
        <w:tabs>
          <w:tab w:val="left" w:pos="567"/>
        </w:tabs>
        <w:rPr>
          <w:caps/>
          <w:szCs w:val="22"/>
          <w:lang w:val="hu-HU"/>
        </w:rPr>
      </w:pPr>
      <w:r w:rsidRPr="009F1165">
        <w:rPr>
          <w:bCs/>
          <w:szCs w:val="22"/>
          <w:u w:val="single"/>
          <w:lang w:val="hu-HU"/>
        </w:rPr>
        <w:t>Az a</w:t>
      </w:r>
      <w:r w:rsidRPr="009F1165">
        <w:rPr>
          <w:szCs w:val="22"/>
          <w:u w:val="single"/>
          <w:lang w:val="hu-HU"/>
        </w:rPr>
        <w:t>lkalmazás módja</w:t>
      </w:r>
    </w:p>
    <w:p w14:paraId="059291BB" w14:textId="77777777" w:rsidR="00A83D7D" w:rsidRPr="009F1165" w:rsidRDefault="00A83D7D" w:rsidP="009F1165">
      <w:pPr>
        <w:keepNext/>
        <w:keepLines/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>Intravénás beadásra</w:t>
      </w:r>
      <w:r w:rsidRPr="009F1165">
        <w:rPr>
          <w:b/>
          <w:szCs w:val="22"/>
          <w:lang w:val="hu-HU"/>
        </w:rPr>
        <w:t xml:space="preserve">; </w:t>
      </w:r>
      <w:r w:rsidR="00D06D16" w:rsidRPr="009F1165">
        <w:rPr>
          <w:b/>
          <w:szCs w:val="22"/>
          <w:lang w:val="hu-HU"/>
        </w:rPr>
        <w:t>60 </w:t>
      </w:r>
      <w:r w:rsidRPr="009F1165">
        <w:rPr>
          <w:b/>
          <w:szCs w:val="22"/>
          <w:lang w:val="hu-HU"/>
        </w:rPr>
        <w:t>perces folyamatos infúzióban (</w:t>
      </w:r>
      <w:r w:rsidRPr="009F1165">
        <w:rPr>
          <w:szCs w:val="22"/>
          <w:lang w:val="hu-HU"/>
        </w:rPr>
        <w:t>lásd még 4.</w:t>
      </w:r>
      <w:r w:rsidR="00D06D16" w:rsidRPr="009F1165">
        <w:rPr>
          <w:szCs w:val="22"/>
          <w:lang w:val="hu-HU"/>
        </w:rPr>
        <w:t>4 </w:t>
      </w:r>
      <w:r w:rsidRPr="009F1165">
        <w:rPr>
          <w:szCs w:val="22"/>
          <w:lang w:val="hu-HU"/>
        </w:rPr>
        <w:t>pont).</w:t>
      </w:r>
    </w:p>
    <w:p w14:paraId="62ED6941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48EBD6E7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>Az infúziós oldat- amennyiben orvosilag indokolt - egy T</w:t>
      </w:r>
      <w:r w:rsidR="00D06D16" w:rsidRPr="009F1165">
        <w:rPr>
          <w:szCs w:val="22"/>
          <w:lang w:val="hu-HU"/>
        </w:rPr>
        <w:noBreakHyphen/>
      </w:r>
      <w:r w:rsidRPr="009F1165">
        <w:rPr>
          <w:szCs w:val="22"/>
          <w:lang w:val="hu-HU"/>
        </w:rPr>
        <w:t xml:space="preserve">elágazású cső közbeiktatásával, más </w:t>
      </w:r>
      <w:proofErr w:type="spellStart"/>
      <w:r w:rsidRPr="009F1165">
        <w:rPr>
          <w:szCs w:val="22"/>
          <w:lang w:val="hu-HU"/>
        </w:rPr>
        <w:t>kompatilibis</w:t>
      </w:r>
      <w:proofErr w:type="spellEnd"/>
      <w:r w:rsidRPr="009F1165">
        <w:rPr>
          <w:szCs w:val="22"/>
          <w:lang w:val="hu-HU"/>
        </w:rPr>
        <w:t xml:space="preserve"> infúziós oldattal együtt is beadható (lásd 6.</w:t>
      </w:r>
      <w:r w:rsidR="00D06D16" w:rsidRPr="009F1165">
        <w:rPr>
          <w:szCs w:val="22"/>
          <w:lang w:val="hu-HU"/>
        </w:rPr>
        <w:t>6 </w:t>
      </w:r>
      <w:r w:rsidRPr="009F1165">
        <w:rPr>
          <w:szCs w:val="22"/>
          <w:lang w:val="hu-HU"/>
        </w:rPr>
        <w:t>pont).</w:t>
      </w:r>
    </w:p>
    <w:p w14:paraId="1AA0322A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0EB12B5C" w14:textId="77777777" w:rsidR="00A83D7D" w:rsidRPr="009F1165" w:rsidRDefault="00A83D7D" w:rsidP="009F1165">
      <w:pPr>
        <w:pStyle w:val="WW-Szvegtrzs212"/>
        <w:keepNext/>
        <w:keepLines/>
        <w:spacing w:line="240" w:lineRule="auto"/>
        <w:rPr>
          <w:szCs w:val="22"/>
          <w:lang w:val="hu-HU"/>
        </w:rPr>
      </w:pPr>
      <w:r w:rsidRPr="009F1165">
        <w:rPr>
          <w:szCs w:val="22"/>
          <w:lang w:val="hu-HU"/>
        </w:rPr>
        <w:t>4.3</w:t>
      </w:r>
      <w:r w:rsidRPr="009F1165">
        <w:rPr>
          <w:szCs w:val="22"/>
          <w:lang w:val="hu-HU"/>
        </w:rPr>
        <w:tab/>
        <w:t>Ellenjavallatok</w:t>
      </w:r>
    </w:p>
    <w:p w14:paraId="3DD92171" w14:textId="77777777" w:rsidR="00A83D7D" w:rsidRPr="009F1165" w:rsidRDefault="00A83D7D" w:rsidP="009F1165">
      <w:pPr>
        <w:pStyle w:val="WW-Szvegtrzs212"/>
        <w:keepNext/>
        <w:keepLines/>
        <w:spacing w:line="240" w:lineRule="auto"/>
        <w:rPr>
          <w:b w:val="0"/>
          <w:szCs w:val="22"/>
          <w:lang w:val="hu-HU"/>
        </w:rPr>
      </w:pPr>
    </w:p>
    <w:p w14:paraId="4DE4CEA8" w14:textId="2EDEE1ED" w:rsidR="00A83D7D" w:rsidRPr="009F1165" w:rsidRDefault="005B79DE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</w:t>
      </w:r>
      <w:r w:rsidR="00A83D7D" w:rsidRPr="009F1165">
        <w:rPr>
          <w:szCs w:val="22"/>
          <w:lang w:val="hu-HU"/>
        </w:rPr>
        <w:t>oxifloxacinnal</w:t>
      </w:r>
      <w:proofErr w:type="spellEnd"/>
      <w:r w:rsidR="00A83D7D" w:rsidRPr="009F1165">
        <w:rPr>
          <w:szCs w:val="22"/>
          <w:lang w:val="hu-HU"/>
        </w:rPr>
        <w:t xml:space="preserve">, egyéb </w:t>
      </w:r>
      <w:proofErr w:type="spellStart"/>
      <w:r w:rsidR="00A83D7D" w:rsidRPr="009F1165">
        <w:rPr>
          <w:szCs w:val="22"/>
          <w:lang w:val="hu-HU"/>
        </w:rPr>
        <w:t>kinolonokkal</w:t>
      </w:r>
      <w:proofErr w:type="spellEnd"/>
      <w:r w:rsidR="00A83D7D" w:rsidRPr="009F1165">
        <w:rPr>
          <w:szCs w:val="22"/>
          <w:lang w:val="hu-HU"/>
        </w:rPr>
        <w:t xml:space="preserve"> vagy </w:t>
      </w:r>
      <w:r w:rsidR="003257FF" w:rsidRPr="009F1165">
        <w:rPr>
          <w:szCs w:val="22"/>
          <w:lang w:val="hu-HU"/>
        </w:rPr>
        <w:t xml:space="preserve">a készítmény </w:t>
      </w:r>
      <w:r w:rsidR="000F481B" w:rsidRPr="009F1165">
        <w:rPr>
          <w:szCs w:val="22"/>
          <w:lang w:val="hu-HU"/>
        </w:rPr>
        <w:t>6.1</w:t>
      </w:r>
      <w:r w:rsidR="009E2A7D">
        <w:rPr>
          <w:szCs w:val="22"/>
          <w:lang w:val="hu-HU"/>
        </w:rPr>
        <w:t> </w:t>
      </w:r>
      <w:r w:rsidR="000F481B" w:rsidRPr="009F1165">
        <w:rPr>
          <w:szCs w:val="22"/>
          <w:lang w:val="hu-HU"/>
        </w:rPr>
        <w:t xml:space="preserve">pontban felsorolt </w:t>
      </w:r>
      <w:r w:rsidR="00A83D7D" w:rsidRPr="009F1165">
        <w:rPr>
          <w:szCs w:val="22"/>
          <w:lang w:val="hu-HU"/>
        </w:rPr>
        <w:t>bármely segédanyag</w:t>
      </w:r>
      <w:r w:rsidR="008B3569" w:rsidRPr="009F1165">
        <w:rPr>
          <w:szCs w:val="22"/>
          <w:lang w:val="hu-HU"/>
        </w:rPr>
        <w:t>áv</w:t>
      </w:r>
      <w:r w:rsidR="00A83D7D" w:rsidRPr="009F1165">
        <w:rPr>
          <w:szCs w:val="22"/>
          <w:lang w:val="hu-HU"/>
        </w:rPr>
        <w:t>al szembeni túlérzékenység.</w:t>
      </w:r>
    </w:p>
    <w:p w14:paraId="5DD8DE5E" w14:textId="77777777" w:rsidR="00A83D7D" w:rsidRPr="009F1165" w:rsidRDefault="00A83D7D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r w:rsidRPr="009F1165">
        <w:rPr>
          <w:szCs w:val="22"/>
          <w:lang w:val="hu-HU"/>
        </w:rPr>
        <w:t>Terhesség és szoptatás (lásd 4.</w:t>
      </w:r>
      <w:r w:rsidR="00D06D16" w:rsidRPr="009F1165">
        <w:rPr>
          <w:szCs w:val="22"/>
          <w:lang w:val="hu-HU"/>
        </w:rPr>
        <w:t>6 </w:t>
      </w:r>
      <w:r w:rsidRPr="009F1165">
        <w:rPr>
          <w:szCs w:val="22"/>
          <w:lang w:val="hu-HU"/>
        </w:rPr>
        <w:t>pont).</w:t>
      </w:r>
    </w:p>
    <w:p w14:paraId="63D7A618" w14:textId="77777777" w:rsidR="00580876" w:rsidRPr="009F1165" w:rsidRDefault="00580876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r w:rsidRPr="009F1165">
        <w:rPr>
          <w:szCs w:val="22"/>
          <w:lang w:val="hu-HU"/>
        </w:rPr>
        <w:t>18 éves kor alatti betegek.</w:t>
      </w:r>
    </w:p>
    <w:p w14:paraId="630BE0C6" w14:textId="77777777" w:rsidR="00A83D7D" w:rsidRPr="009F1165" w:rsidRDefault="00A83D7D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beteg anamnézisében szereplő </w:t>
      </w:r>
      <w:proofErr w:type="spellStart"/>
      <w:r w:rsidRPr="009F1165">
        <w:rPr>
          <w:szCs w:val="22"/>
          <w:lang w:val="hu-HU"/>
        </w:rPr>
        <w:t>kinolon</w:t>
      </w:r>
      <w:proofErr w:type="spellEnd"/>
      <w:r w:rsidRPr="009F1165">
        <w:rPr>
          <w:szCs w:val="22"/>
          <w:lang w:val="hu-HU"/>
        </w:rPr>
        <w:t>-kezeléssel összefüggő ínkárosodás/betegség.</w:t>
      </w:r>
    </w:p>
    <w:p w14:paraId="59BB0802" w14:textId="77777777" w:rsidR="00A83D7D" w:rsidRPr="009F1165" w:rsidRDefault="00A83D7D" w:rsidP="009F1165">
      <w:pPr>
        <w:tabs>
          <w:tab w:val="left" w:pos="567"/>
        </w:tabs>
        <w:ind w:left="426" w:hanging="426"/>
        <w:rPr>
          <w:szCs w:val="22"/>
          <w:lang w:val="hu-HU"/>
        </w:rPr>
      </w:pPr>
    </w:p>
    <w:p w14:paraId="772F2D22" w14:textId="77777777" w:rsidR="00A83D7D" w:rsidRPr="009F1165" w:rsidRDefault="00A83D7D" w:rsidP="009F1165">
      <w:pPr>
        <w:keepNext/>
        <w:widowControl w:val="0"/>
        <w:autoSpaceDE w:val="0"/>
        <w:autoSpaceDN w:val="0"/>
        <w:adjustRightInd w:val="0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adását követően a </w:t>
      </w:r>
      <w:proofErr w:type="spellStart"/>
      <w:r w:rsidRPr="009F1165">
        <w:rPr>
          <w:szCs w:val="22"/>
          <w:lang w:val="hu-HU"/>
        </w:rPr>
        <w:t>preklinikai</w:t>
      </w:r>
      <w:proofErr w:type="spellEnd"/>
      <w:r w:rsidR="00111B74">
        <w:rPr>
          <w:szCs w:val="22"/>
          <w:lang w:val="hu-HU"/>
        </w:rPr>
        <w:t>-</w:t>
      </w:r>
      <w:r w:rsidRPr="009F1165">
        <w:rPr>
          <w:szCs w:val="22"/>
          <w:lang w:val="hu-HU"/>
        </w:rPr>
        <w:t xml:space="preserve"> </w:t>
      </w:r>
      <w:r w:rsidR="00111B74">
        <w:rPr>
          <w:lang w:val="hu-HU"/>
        </w:rPr>
        <w:t>és a humán</w:t>
      </w:r>
      <w:r w:rsidR="00111B74" w:rsidRPr="00975ED1">
        <w:rPr>
          <w:lang w:val="hu-HU"/>
        </w:rPr>
        <w:t xml:space="preserve"> </w:t>
      </w:r>
      <w:r w:rsidRPr="009F1165">
        <w:rPr>
          <w:szCs w:val="22"/>
          <w:lang w:val="hu-HU"/>
        </w:rPr>
        <w:t xml:space="preserve">vizsgálatok során is észleltek a szív </w:t>
      </w:r>
      <w:proofErr w:type="spellStart"/>
      <w:r w:rsidRPr="009F1165">
        <w:rPr>
          <w:szCs w:val="22"/>
          <w:lang w:val="hu-HU"/>
        </w:rPr>
        <w:t>elektrofiziológiájában</w:t>
      </w:r>
      <w:proofErr w:type="spellEnd"/>
      <w:r w:rsidRPr="009F1165">
        <w:rPr>
          <w:szCs w:val="22"/>
          <w:lang w:val="hu-HU"/>
        </w:rPr>
        <w:t xml:space="preserve"> QT</w:t>
      </w:r>
      <w:r w:rsidR="00D06D16" w:rsidRPr="009F1165">
        <w:rPr>
          <w:szCs w:val="22"/>
          <w:lang w:val="hu-HU"/>
        </w:rPr>
        <w:noBreakHyphen/>
      </w:r>
      <w:r w:rsidRPr="009F1165">
        <w:rPr>
          <w:szCs w:val="22"/>
          <w:lang w:val="hu-HU"/>
        </w:rPr>
        <w:t xml:space="preserve">megnyúlás formájában bekövetkező változásokat. A gyógyszer biztonságos alkalmazása érdekében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adása ellenjavallt a következő esetekben is:</w:t>
      </w:r>
    </w:p>
    <w:p w14:paraId="67E36D95" w14:textId="77777777" w:rsidR="00A83D7D" w:rsidRPr="009F1165" w:rsidRDefault="00A83D7D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r w:rsidRPr="009F1165">
        <w:rPr>
          <w:szCs w:val="22"/>
          <w:lang w:val="hu-HU"/>
        </w:rPr>
        <w:t>veleszületett vagy dokumentáltan szerzett QT</w:t>
      </w:r>
      <w:r w:rsidR="00D06D16" w:rsidRPr="009F1165">
        <w:rPr>
          <w:szCs w:val="22"/>
          <w:lang w:val="hu-HU"/>
        </w:rPr>
        <w:noBreakHyphen/>
      </w:r>
      <w:r w:rsidRPr="009F1165">
        <w:rPr>
          <w:szCs w:val="22"/>
          <w:lang w:val="hu-HU"/>
        </w:rPr>
        <w:t>szakasz megnyúlás,</w:t>
      </w:r>
    </w:p>
    <w:p w14:paraId="1AEFCD44" w14:textId="77777777" w:rsidR="00A83D7D" w:rsidRPr="009F1165" w:rsidRDefault="00111B74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proofErr w:type="spellStart"/>
      <w:r w:rsidRPr="00BF0DEC">
        <w:rPr>
          <w:lang w:val="de-DE"/>
        </w:rPr>
        <w:t>elektrolitzavarok</w:t>
      </w:r>
      <w:r w:rsidRPr="00975ED1">
        <w:rPr>
          <w:lang w:val="hu-HU"/>
        </w:rPr>
        <w:t>ban</w:t>
      </w:r>
      <w:proofErr w:type="spellEnd"/>
      <w:r w:rsidR="00A83D7D" w:rsidRPr="009F1165">
        <w:rPr>
          <w:szCs w:val="22"/>
          <w:lang w:val="hu-HU"/>
        </w:rPr>
        <w:t xml:space="preserve">, különösen nem korrigált </w:t>
      </w:r>
      <w:proofErr w:type="spellStart"/>
      <w:r w:rsidR="00A83D7D" w:rsidRPr="009F1165">
        <w:rPr>
          <w:szCs w:val="22"/>
          <w:lang w:val="hu-HU"/>
        </w:rPr>
        <w:t>hypokalaemia</w:t>
      </w:r>
      <w:proofErr w:type="spellEnd"/>
      <w:r w:rsidR="00A83D7D" w:rsidRPr="009F1165">
        <w:rPr>
          <w:szCs w:val="22"/>
          <w:lang w:val="hu-HU"/>
        </w:rPr>
        <w:t xml:space="preserve"> esetében,</w:t>
      </w:r>
    </w:p>
    <w:p w14:paraId="7CA25EE6" w14:textId="77777777" w:rsidR="00A83D7D" w:rsidRPr="009F1165" w:rsidRDefault="00A83D7D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proofErr w:type="spellStart"/>
      <w:r w:rsidRPr="009F1165">
        <w:rPr>
          <w:szCs w:val="22"/>
          <w:lang w:val="hu-HU"/>
        </w:rPr>
        <w:t>klinikailag</w:t>
      </w:r>
      <w:proofErr w:type="spellEnd"/>
      <w:r w:rsidRPr="009F1165">
        <w:rPr>
          <w:szCs w:val="22"/>
          <w:lang w:val="hu-HU"/>
        </w:rPr>
        <w:t xml:space="preserve"> jelentős </w:t>
      </w:r>
      <w:proofErr w:type="spellStart"/>
      <w:r w:rsidRPr="009F1165">
        <w:rPr>
          <w:szCs w:val="22"/>
          <w:lang w:val="hu-HU"/>
        </w:rPr>
        <w:t>bradycardiában</w:t>
      </w:r>
      <w:proofErr w:type="spellEnd"/>
      <w:r w:rsidRPr="009F1165">
        <w:rPr>
          <w:szCs w:val="22"/>
          <w:lang w:val="hu-HU"/>
        </w:rPr>
        <w:t>,</w:t>
      </w:r>
    </w:p>
    <w:p w14:paraId="7C1F9C68" w14:textId="77777777" w:rsidR="00A83D7D" w:rsidRPr="009F1165" w:rsidRDefault="00A83D7D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proofErr w:type="spellStart"/>
      <w:r w:rsidRPr="009F1165">
        <w:rPr>
          <w:szCs w:val="22"/>
          <w:lang w:val="hu-HU"/>
        </w:rPr>
        <w:t>klinikailag</w:t>
      </w:r>
      <w:proofErr w:type="spellEnd"/>
      <w:r w:rsidRPr="009F1165">
        <w:rPr>
          <w:szCs w:val="22"/>
          <w:lang w:val="hu-HU"/>
        </w:rPr>
        <w:t xml:space="preserve"> jelentős szívelégtelenség csökkent balkamrai </w:t>
      </w:r>
      <w:proofErr w:type="spellStart"/>
      <w:r w:rsidRPr="009F1165">
        <w:rPr>
          <w:szCs w:val="22"/>
          <w:lang w:val="hu-HU"/>
        </w:rPr>
        <w:t>ejek</w:t>
      </w:r>
      <w:r w:rsidR="004F24DD" w:rsidRPr="009F1165">
        <w:rPr>
          <w:szCs w:val="22"/>
          <w:lang w:val="hu-HU"/>
        </w:rPr>
        <w:t>c</w:t>
      </w:r>
      <w:r w:rsidRPr="009F1165">
        <w:rPr>
          <w:szCs w:val="22"/>
          <w:lang w:val="hu-HU"/>
        </w:rPr>
        <w:t>iós</w:t>
      </w:r>
      <w:proofErr w:type="spellEnd"/>
      <w:r w:rsidRPr="009F1165">
        <w:rPr>
          <w:szCs w:val="22"/>
          <w:lang w:val="hu-HU"/>
        </w:rPr>
        <w:t xml:space="preserve"> frakcióval,</w:t>
      </w:r>
    </w:p>
    <w:p w14:paraId="63C02F8D" w14:textId="77777777" w:rsidR="00A83D7D" w:rsidRPr="009F1165" w:rsidRDefault="00A83D7D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r w:rsidRPr="009F1165">
        <w:rPr>
          <w:szCs w:val="22"/>
          <w:lang w:val="hu-HU"/>
        </w:rPr>
        <w:t>akinek az anamnézisében tünetekkel járó szívritmuszavar szerepel.</w:t>
      </w:r>
    </w:p>
    <w:p w14:paraId="5EED121B" w14:textId="77777777" w:rsidR="00A83D7D" w:rsidRPr="009F1165" w:rsidRDefault="00A83D7D" w:rsidP="009F1165">
      <w:pPr>
        <w:keepNext/>
        <w:widowControl w:val="0"/>
        <w:autoSpaceDE w:val="0"/>
        <w:autoSpaceDN w:val="0"/>
        <w:adjustRightInd w:val="0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nem alkalmazható együtt olyan gyógyszerekkel, amelyek megnyújtják a QT</w:t>
      </w:r>
      <w:r w:rsidR="00D06D16" w:rsidRPr="009F1165">
        <w:rPr>
          <w:szCs w:val="22"/>
          <w:lang w:val="hu-HU"/>
        </w:rPr>
        <w:noBreakHyphen/>
      </w:r>
      <w:r w:rsidRPr="009F1165">
        <w:rPr>
          <w:szCs w:val="22"/>
          <w:lang w:val="hu-HU"/>
        </w:rPr>
        <w:t>szakaszt (lásd még 4.</w:t>
      </w:r>
      <w:r w:rsidR="00D06D16" w:rsidRPr="009F1165">
        <w:rPr>
          <w:szCs w:val="22"/>
          <w:lang w:val="hu-HU"/>
        </w:rPr>
        <w:t>5 </w:t>
      </w:r>
      <w:r w:rsidRPr="009F1165">
        <w:rPr>
          <w:szCs w:val="22"/>
          <w:lang w:val="hu-HU"/>
        </w:rPr>
        <w:t>pont).</w:t>
      </w:r>
    </w:p>
    <w:p w14:paraId="47DC8680" w14:textId="77777777" w:rsidR="00A83D7D" w:rsidRPr="009F1165" w:rsidRDefault="00A83D7D" w:rsidP="009F1165">
      <w:pPr>
        <w:tabs>
          <w:tab w:val="left" w:pos="567"/>
        </w:tabs>
        <w:ind w:left="426" w:hanging="426"/>
        <w:rPr>
          <w:szCs w:val="22"/>
          <w:lang w:val="hu-HU"/>
        </w:rPr>
      </w:pPr>
    </w:p>
    <w:p w14:paraId="7220BD88" w14:textId="77777777" w:rsidR="00A83D7D" w:rsidRPr="009F1165" w:rsidRDefault="00A83D7D" w:rsidP="009F1165">
      <w:pPr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klinikai adatok korlátozott száma miatt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szintén ellenjavallt olyan betegeknél, akiknek </w:t>
      </w:r>
      <w:r w:rsidR="00111B74">
        <w:rPr>
          <w:szCs w:val="22"/>
          <w:lang w:val="hu-HU"/>
        </w:rPr>
        <w:t xml:space="preserve">a </w:t>
      </w:r>
      <w:r w:rsidRPr="009F1165">
        <w:rPr>
          <w:szCs w:val="22"/>
          <w:lang w:val="hu-HU"/>
        </w:rPr>
        <w:t xml:space="preserve">májfunkciója </w:t>
      </w:r>
      <w:r w:rsidR="008B3569" w:rsidRPr="009F1165">
        <w:rPr>
          <w:szCs w:val="22"/>
          <w:lang w:val="hu-HU"/>
        </w:rPr>
        <w:t xml:space="preserve">károsodott </w:t>
      </w:r>
      <w:r w:rsidRPr="009F1165">
        <w:rPr>
          <w:szCs w:val="22"/>
          <w:lang w:val="hu-HU"/>
        </w:rPr>
        <w:t>(</w:t>
      </w:r>
      <w:proofErr w:type="spellStart"/>
      <w:r w:rsidRPr="009F1165">
        <w:rPr>
          <w:szCs w:val="22"/>
          <w:lang w:val="hu-HU"/>
        </w:rPr>
        <w:t>Child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Pough</w:t>
      </w:r>
      <w:proofErr w:type="spellEnd"/>
      <w:r w:rsidRPr="009F1165">
        <w:rPr>
          <w:szCs w:val="22"/>
          <w:lang w:val="hu-HU"/>
        </w:rPr>
        <w:t xml:space="preserve"> C), és olyan betegeknél, akiknek a </w:t>
      </w:r>
      <w:proofErr w:type="spellStart"/>
      <w:r w:rsidRPr="009F1165">
        <w:rPr>
          <w:szCs w:val="22"/>
          <w:lang w:val="hu-HU"/>
        </w:rPr>
        <w:t>transzaminázszintje</w:t>
      </w:r>
      <w:proofErr w:type="spellEnd"/>
      <w:r w:rsidRPr="009F1165">
        <w:rPr>
          <w:szCs w:val="22"/>
          <w:lang w:val="hu-HU"/>
        </w:rPr>
        <w:t xml:space="preserve"> a normálérték felső határát több mint ötszörösével meghaladja.</w:t>
      </w:r>
    </w:p>
    <w:p w14:paraId="6D13ECDC" w14:textId="77777777" w:rsidR="00A83D7D" w:rsidRPr="009F1165" w:rsidRDefault="00A83D7D" w:rsidP="009F1165">
      <w:pPr>
        <w:tabs>
          <w:tab w:val="left" w:pos="567"/>
        </w:tabs>
        <w:rPr>
          <w:caps/>
          <w:szCs w:val="22"/>
          <w:lang w:val="hu-HU"/>
        </w:rPr>
      </w:pPr>
    </w:p>
    <w:p w14:paraId="3072A7D6" w14:textId="77777777" w:rsidR="00A83D7D" w:rsidRPr="009F1165" w:rsidRDefault="00A83D7D" w:rsidP="009F1165">
      <w:pPr>
        <w:keepNext/>
        <w:keepLines/>
        <w:numPr>
          <w:ilvl w:val="1"/>
          <w:numId w:val="1"/>
        </w:numPr>
        <w:rPr>
          <w:b/>
          <w:szCs w:val="22"/>
          <w:lang w:val="hu-HU"/>
        </w:rPr>
      </w:pPr>
      <w:r w:rsidRPr="009F1165">
        <w:rPr>
          <w:b/>
          <w:szCs w:val="22"/>
          <w:lang w:val="hu-HU"/>
        </w:rPr>
        <w:t>Különleges figyelmeztetések és az alkalmazással kapcsolatos óvintézkedések</w:t>
      </w:r>
    </w:p>
    <w:p w14:paraId="399D9695" w14:textId="77777777" w:rsidR="00A83D7D" w:rsidRPr="009F1165" w:rsidRDefault="00A83D7D" w:rsidP="009F1165">
      <w:pPr>
        <w:keepNext/>
        <w:keepLines/>
        <w:tabs>
          <w:tab w:val="left" w:pos="567"/>
        </w:tabs>
        <w:rPr>
          <w:szCs w:val="22"/>
          <w:lang w:val="hu-HU"/>
        </w:rPr>
      </w:pPr>
    </w:p>
    <w:p w14:paraId="4764CEE9" w14:textId="77777777" w:rsidR="0070121E" w:rsidRDefault="0070121E" w:rsidP="0070121E">
      <w:pPr>
        <w:widowControl w:val="0"/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 xml:space="preserve">A </w:t>
      </w:r>
      <w:proofErr w:type="spellStart"/>
      <w:r>
        <w:rPr>
          <w:lang w:val="hu-HU"/>
        </w:rPr>
        <w:t>moxifloxacin</w:t>
      </w:r>
      <w:proofErr w:type="spellEnd"/>
      <w:r>
        <w:rPr>
          <w:lang w:val="hu-HU"/>
        </w:rPr>
        <w:t xml:space="preserve"> alkalmazását el kell kerülni azoknál a betegeknél, akik korábban </w:t>
      </w:r>
      <w:proofErr w:type="spellStart"/>
      <w:r>
        <w:rPr>
          <w:lang w:val="hu-HU"/>
        </w:rPr>
        <w:t>kinolon</w:t>
      </w:r>
      <w:proofErr w:type="spellEnd"/>
      <w:r>
        <w:rPr>
          <w:lang w:val="hu-HU"/>
        </w:rPr>
        <w:t xml:space="preserve">- vagy </w:t>
      </w:r>
      <w:proofErr w:type="spellStart"/>
      <w:r>
        <w:rPr>
          <w:lang w:val="hu-HU"/>
        </w:rPr>
        <w:t>fluorokinolon</w:t>
      </w:r>
      <w:proofErr w:type="spellEnd"/>
      <w:r>
        <w:rPr>
          <w:lang w:val="hu-HU"/>
        </w:rPr>
        <w:t xml:space="preserve">-tartalmú készítmények alkalmazásakor súlyos mellékhatást tapasztaltak (lásd 4.8 pont). </w:t>
      </w:r>
    </w:p>
    <w:p w14:paraId="0162A760" w14:textId="77777777" w:rsidR="0070121E" w:rsidRDefault="0070121E" w:rsidP="0070121E">
      <w:pPr>
        <w:widowControl w:val="0"/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 xml:space="preserve">Ilyen betegeknél csak egyéb kezelési lehetőségek hiányában és az előny/kockázat gondos értékelését követően szabad </w:t>
      </w:r>
      <w:proofErr w:type="spellStart"/>
      <w:r>
        <w:rPr>
          <w:lang w:val="hu-HU"/>
        </w:rPr>
        <w:t>moxifloxacin</w:t>
      </w:r>
      <w:proofErr w:type="spellEnd"/>
      <w:r>
        <w:rPr>
          <w:lang w:val="hu-HU"/>
        </w:rPr>
        <w:t xml:space="preserve"> kezelést kezdeni (lásd még 4.3 pont).</w:t>
      </w:r>
    </w:p>
    <w:p w14:paraId="7823B1AE" w14:textId="77777777" w:rsidR="0070121E" w:rsidRDefault="0070121E" w:rsidP="009F1165">
      <w:pPr>
        <w:widowControl w:val="0"/>
        <w:autoSpaceDE w:val="0"/>
        <w:autoSpaceDN w:val="0"/>
        <w:adjustRightInd w:val="0"/>
        <w:rPr>
          <w:szCs w:val="22"/>
          <w:lang w:val="hu-HU"/>
        </w:rPr>
      </w:pPr>
    </w:p>
    <w:p w14:paraId="26B51137" w14:textId="2855A18F" w:rsidR="00580876" w:rsidRPr="009F1165" w:rsidRDefault="00580876" w:rsidP="009F1165">
      <w:pPr>
        <w:widowControl w:val="0"/>
        <w:autoSpaceDE w:val="0"/>
        <w:autoSpaceDN w:val="0"/>
        <w:adjustRightInd w:val="0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="00111B74">
        <w:rPr>
          <w:szCs w:val="22"/>
          <w:lang w:val="hu-HU"/>
        </w:rPr>
        <w:t>-</w:t>
      </w:r>
      <w:r w:rsidRPr="009F1165">
        <w:rPr>
          <w:szCs w:val="22"/>
          <w:lang w:val="hu-HU"/>
        </w:rPr>
        <w:t xml:space="preserve">kezelés előnyeinek egyensúlyban kell lenniük – különös tekintettel a nem súlyos </w:t>
      </w:r>
      <w:proofErr w:type="gramStart"/>
      <w:r w:rsidRPr="009F1165">
        <w:rPr>
          <w:szCs w:val="22"/>
          <w:lang w:val="hu-HU"/>
        </w:rPr>
        <w:t>infekciókra</w:t>
      </w:r>
      <w:proofErr w:type="gramEnd"/>
      <w:r w:rsidRPr="009F1165">
        <w:rPr>
          <w:szCs w:val="22"/>
          <w:lang w:val="hu-HU"/>
        </w:rPr>
        <w:t xml:space="preserve"> – a figyelmeztetésekre és óvintézkedésekre vonatkozó pontban </w:t>
      </w:r>
      <w:proofErr w:type="spellStart"/>
      <w:r w:rsidRPr="009F1165">
        <w:rPr>
          <w:szCs w:val="22"/>
          <w:lang w:val="hu-HU"/>
        </w:rPr>
        <w:t>felsoroltakkal</w:t>
      </w:r>
      <w:proofErr w:type="spellEnd"/>
      <w:r w:rsidRPr="009F1165">
        <w:rPr>
          <w:szCs w:val="22"/>
          <w:lang w:val="hu-HU"/>
        </w:rPr>
        <w:t>.</w:t>
      </w:r>
    </w:p>
    <w:p w14:paraId="0B6232D7" w14:textId="77777777" w:rsidR="00580876" w:rsidRPr="009F1165" w:rsidRDefault="00580876" w:rsidP="009F1165">
      <w:pPr>
        <w:keepNext/>
        <w:keepLines/>
        <w:tabs>
          <w:tab w:val="left" w:pos="567"/>
        </w:tabs>
        <w:rPr>
          <w:szCs w:val="22"/>
          <w:lang w:val="hu-HU"/>
        </w:rPr>
      </w:pPr>
    </w:p>
    <w:p w14:paraId="51451D00" w14:textId="77777777" w:rsidR="00184080" w:rsidRPr="009F1165" w:rsidRDefault="00184080" w:rsidP="009F1165">
      <w:pPr>
        <w:keepNext/>
        <w:keepLines/>
        <w:tabs>
          <w:tab w:val="left" w:pos="567"/>
        </w:tabs>
        <w:rPr>
          <w:szCs w:val="22"/>
          <w:u w:val="single"/>
          <w:lang w:val="hu-HU"/>
        </w:rPr>
      </w:pPr>
      <w:r w:rsidRPr="009F1165">
        <w:rPr>
          <w:szCs w:val="22"/>
          <w:u w:val="single"/>
          <w:lang w:val="hu-HU"/>
        </w:rPr>
        <w:t xml:space="preserve">A </w:t>
      </w:r>
      <w:proofErr w:type="spellStart"/>
      <w:r w:rsidRPr="009F1165">
        <w:rPr>
          <w:szCs w:val="22"/>
          <w:u w:val="single"/>
          <w:lang w:val="hu-HU"/>
        </w:rPr>
        <w:t>QTc</w:t>
      </w:r>
      <w:proofErr w:type="spellEnd"/>
      <w:r w:rsidRPr="009F1165">
        <w:rPr>
          <w:szCs w:val="22"/>
          <w:u w:val="single"/>
          <w:lang w:val="hu-HU"/>
        </w:rPr>
        <w:t>-</w:t>
      </w:r>
      <w:r w:rsidR="004F24DD" w:rsidRPr="009F1165">
        <w:rPr>
          <w:szCs w:val="22"/>
          <w:u w:val="single"/>
          <w:lang w:val="hu-HU"/>
        </w:rPr>
        <w:t xml:space="preserve">szakasz </w:t>
      </w:r>
      <w:r w:rsidRPr="009F1165">
        <w:rPr>
          <w:szCs w:val="22"/>
          <w:u w:val="single"/>
          <w:lang w:val="hu-HU"/>
        </w:rPr>
        <w:t xml:space="preserve">megnyúlását és a </w:t>
      </w:r>
      <w:proofErr w:type="gramStart"/>
      <w:r w:rsidRPr="009F1165">
        <w:rPr>
          <w:szCs w:val="22"/>
          <w:u w:val="single"/>
          <w:lang w:val="hu-HU"/>
        </w:rPr>
        <w:t>potenciális</w:t>
      </w:r>
      <w:proofErr w:type="gramEnd"/>
      <w:r w:rsidRPr="009F1165">
        <w:rPr>
          <w:szCs w:val="22"/>
          <w:u w:val="single"/>
          <w:lang w:val="hu-HU"/>
        </w:rPr>
        <w:t xml:space="preserve"> </w:t>
      </w:r>
      <w:proofErr w:type="spellStart"/>
      <w:r w:rsidRPr="009F1165">
        <w:rPr>
          <w:szCs w:val="22"/>
          <w:u w:val="single"/>
          <w:lang w:val="hu-HU"/>
        </w:rPr>
        <w:t>QTc</w:t>
      </w:r>
      <w:proofErr w:type="spellEnd"/>
      <w:r w:rsidRPr="009F1165">
        <w:rPr>
          <w:szCs w:val="22"/>
          <w:u w:val="single"/>
          <w:lang w:val="hu-HU"/>
        </w:rPr>
        <w:t>-</w:t>
      </w:r>
      <w:r w:rsidR="004F24DD" w:rsidRPr="009F1165">
        <w:rPr>
          <w:szCs w:val="22"/>
          <w:u w:val="single"/>
          <w:lang w:val="hu-HU"/>
        </w:rPr>
        <w:t>szakasz</w:t>
      </w:r>
      <w:r w:rsidR="00111B74">
        <w:rPr>
          <w:szCs w:val="22"/>
          <w:u w:val="single"/>
          <w:lang w:val="hu-HU"/>
        </w:rPr>
        <w:t>-</w:t>
      </w:r>
      <w:r w:rsidRPr="009F1165">
        <w:rPr>
          <w:szCs w:val="22"/>
          <w:u w:val="single"/>
          <w:lang w:val="hu-HU"/>
        </w:rPr>
        <w:t>megnyúlással kapcsolatos klinikai tapasztalatok</w:t>
      </w:r>
    </w:p>
    <w:p w14:paraId="637659FF" w14:textId="77777777" w:rsidR="00184080" w:rsidRPr="009F1165" w:rsidRDefault="00184080" w:rsidP="009F1165">
      <w:pPr>
        <w:keepNext/>
        <w:keepLines/>
        <w:tabs>
          <w:tab w:val="left" w:pos="567"/>
        </w:tabs>
        <w:rPr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A83D7D" w:rsidRPr="009F1165" w14:paraId="71B51395" w14:textId="77777777" w:rsidTr="00FE590E">
        <w:tc>
          <w:tcPr>
            <w:tcW w:w="9211" w:type="dxa"/>
          </w:tcPr>
          <w:p w14:paraId="4E67730A" w14:textId="77777777" w:rsidR="00A83D7D" w:rsidRPr="009F1165" w:rsidRDefault="00A83D7D" w:rsidP="00111B74">
            <w:pPr>
              <w:keepNext/>
              <w:keepLines/>
              <w:widowControl w:val="0"/>
              <w:tabs>
                <w:tab w:val="left" w:pos="426"/>
                <w:tab w:val="right" w:pos="9859"/>
              </w:tabs>
              <w:autoSpaceDE w:val="0"/>
              <w:autoSpaceDN w:val="0"/>
              <w:adjustRightInd w:val="0"/>
              <w:rPr>
                <w:szCs w:val="22"/>
                <w:lang w:val="hu-HU"/>
              </w:rPr>
            </w:pPr>
            <w:r w:rsidRPr="009F1165">
              <w:rPr>
                <w:szCs w:val="22"/>
                <w:lang w:val="hu-HU"/>
              </w:rPr>
              <w:t xml:space="preserve">A </w:t>
            </w:r>
            <w:proofErr w:type="spellStart"/>
            <w:r w:rsidRPr="009F1165">
              <w:rPr>
                <w:szCs w:val="22"/>
                <w:lang w:val="hu-HU"/>
              </w:rPr>
              <w:t>moxifloxacinról</w:t>
            </w:r>
            <w:proofErr w:type="spellEnd"/>
            <w:r w:rsidRPr="009F1165">
              <w:rPr>
                <w:szCs w:val="22"/>
                <w:lang w:val="hu-HU"/>
              </w:rPr>
              <w:t xml:space="preserve"> kimutatták, hogy néhány betegnél a </w:t>
            </w:r>
            <w:proofErr w:type="spellStart"/>
            <w:r w:rsidRPr="009F1165">
              <w:rPr>
                <w:szCs w:val="22"/>
                <w:lang w:val="hu-HU"/>
              </w:rPr>
              <w:t>QTc</w:t>
            </w:r>
            <w:proofErr w:type="spellEnd"/>
            <w:r w:rsidR="00D06D16" w:rsidRPr="009F1165">
              <w:rPr>
                <w:szCs w:val="22"/>
                <w:lang w:val="hu-HU"/>
              </w:rPr>
              <w:noBreakHyphen/>
            </w:r>
            <w:r w:rsidR="004F24DD" w:rsidRPr="009F1165">
              <w:rPr>
                <w:szCs w:val="22"/>
                <w:lang w:val="hu-HU"/>
              </w:rPr>
              <w:t xml:space="preserve">szakasz </w:t>
            </w:r>
            <w:r w:rsidRPr="009F1165">
              <w:rPr>
                <w:szCs w:val="22"/>
                <w:lang w:val="hu-HU"/>
              </w:rPr>
              <w:t xml:space="preserve">megnyúlását okozta az elektrokardiogramon. A </w:t>
            </w:r>
            <w:r w:rsidR="00D06D16" w:rsidRPr="009F1165">
              <w:rPr>
                <w:szCs w:val="22"/>
                <w:lang w:val="hu-HU"/>
              </w:rPr>
              <w:t>QT</w:t>
            </w:r>
            <w:r w:rsidR="00D06D16" w:rsidRPr="009F1165">
              <w:rPr>
                <w:szCs w:val="22"/>
                <w:lang w:val="hu-HU"/>
              </w:rPr>
              <w:noBreakHyphen/>
            </w:r>
            <w:r w:rsidRPr="009F1165">
              <w:rPr>
                <w:szCs w:val="22"/>
                <w:lang w:val="hu-HU"/>
              </w:rPr>
              <w:t xml:space="preserve">megnyúlás mértéke </w:t>
            </w:r>
            <w:r w:rsidR="00EB011E" w:rsidRPr="009F1165">
              <w:rPr>
                <w:szCs w:val="22"/>
                <w:lang w:val="hu-HU"/>
              </w:rPr>
              <w:t xml:space="preserve">megnőhet </w:t>
            </w:r>
            <w:r w:rsidRPr="009F1165">
              <w:rPr>
                <w:szCs w:val="22"/>
                <w:lang w:val="hu-HU"/>
              </w:rPr>
              <w:t>a plazma</w:t>
            </w:r>
            <w:proofErr w:type="gramStart"/>
            <w:r w:rsidRPr="009F1165">
              <w:rPr>
                <w:szCs w:val="22"/>
                <w:lang w:val="hu-HU"/>
              </w:rPr>
              <w:t>koncentráció</w:t>
            </w:r>
            <w:proofErr w:type="gramEnd"/>
            <w:r w:rsidRPr="009F1165">
              <w:rPr>
                <w:szCs w:val="22"/>
                <w:lang w:val="hu-HU"/>
              </w:rPr>
              <w:t xml:space="preserve"> emelkedésével a gyors intravénás infúzió következtében. Ezért az infúzió beadásnak időtartama nem lehet rövidebb az ajánlott </w:t>
            </w:r>
            <w:r w:rsidR="00D06D16" w:rsidRPr="009F1165">
              <w:rPr>
                <w:szCs w:val="22"/>
                <w:lang w:val="hu-HU"/>
              </w:rPr>
              <w:t>60 </w:t>
            </w:r>
            <w:r w:rsidRPr="009F1165">
              <w:rPr>
                <w:szCs w:val="22"/>
                <w:lang w:val="hu-HU"/>
              </w:rPr>
              <w:t xml:space="preserve">percnél, és a napi egyszeri </w:t>
            </w:r>
            <w:r w:rsidR="00D06D16" w:rsidRPr="009F1165">
              <w:rPr>
                <w:szCs w:val="22"/>
                <w:lang w:val="hu-HU"/>
              </w:rPr>
              <w:t>400 </w:t>
            </w:r>
            <w:r w:rsidRPr="009F1165">
              <w:rPr>
                <w:szCs w:val="22"/>
                <w:lang w:val="hu-HU"/>
              </w:rPr>
              <w:t>mg intravénás adagot nem szabad túllépni. A további részleteket lásd alább és a 4.3 és a 4.</w:t>
            </w:r>
            <w:r w:rsidR="00D06D16" w:rsidRPr="009F1165">
              <w:rPr>
                <w:szCs w:val="22"/>
                <w:lang w:val="hu-HU"/>
              </w:rPr>
              <w:t>5 </w:t>
            </w:r>
            <w:r w:rsidRPr="009F1165">
              <w:rPr>
                <w:szCs w:val="22"/>
                <w:lang w:val="hu-HU"/>
              </w:rPr>
              <w:t>pontokban.</w:t>
            </w:r>
          </w:p>
        </w:tc>
      </w:tr>
    </w:tbl>
    <w:p w14:paraId="4ABD29DF" w14:textId="77777777" w:rsidR="00A83D7D" w:rsidRPr="009F1165" w:rsidRDefault="00A83D7D" w:rsidP="009F1165">
      <w:pPr>
        <w:widowControl w:val="0"/>
        <w:tabs>
          <w:tab w:val="left" w:pos="426"/>
          <w:tab w:val="right" w:pos="9859"/>
        </w:tabs>
        <w:autoSpaceDE w:val="0"/>
        <w:autoSpaceDN w:val="0"/>
        <w:adjustRightInd w:val="0"/>
        <w:rPr>
          <w:szCs w:val="22"/>
          <w:lang w:val="hu-HU"/>
        </w:rPr>
      </w:pPr>
    </w:p>
    <w:p w14:paraId="55FC3BD5" w14:textId="77777777" w:rsidR="00A83D7D" w:rsidRPr="009F1165" w:rsidRDefault="00A83D7D" w:rsidP="009F1165">
      <w:pPr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>-kezelést abba kell hagyni, ha a kezelés folyamán szívritmuszavarra utaló panaszok vagy tünetek jelentkeznek, akár van EKG lelet, akár nincs.</w:t>
      </w:r>
    </w:p>
    <w:p w14:paraId="489042D4" w14:textId="77777777" w:rsidR="00A83D7D" w:rsidRPr="009F1165" w:rsidRDefault="00A83D7D" w:rsidP="009F1165">
      <w:pPr>
        <w:rPr>
          <w:szCs w:val="22"/>
          <w:lang w:val="hu-HU"/>
        </w:rPr>
      </w:pPr>
      <w:r w:rsidRPr="009F1165">
        <w:rPr>
          <w:szCs w:val="22"/>
          <w:lang w:val="hu-HU"/>
        </w:rPr>
        <w:lastRenderedPageBreak/>
        <w:t xml:space="preserve">A </w:t>
      </w:r>
      <w:proofErr w:type="spellStart"/>
      <w:r w:rsidRPr="009F1165">
        <w:rPr>
          <w:szCs w:val="22"/>
          <w:lang w:val="hu-HU"/>
        </w:rPr>
        <w:t>moxifloxacint</w:t>
      </w:r>
      <w:proofErr w:type="spellEnd"/>
      <w:r w:rsidRPr="009F1165">
        <w:rPr>
          <w:szCs w:val="22"/>
          <w:lang w:val="hu-HU"/>
        </w:rPr>
        <w:t xml:space="preserve"> </w:t>
      </w:r>
      <w:r w:rsidR="00111B74" w:rsidRPr="00975ED1">
        <w:rPr>
          <w:lang w:val="hu-HU"/>
        </w:rPr>
        <w:t>körültekintően kell alkalmazni olyan betegek esetén</w:t>
      </w:r>
      <w:r w:rsidRPr="009F1165">
        <w:rPr>
          <w:szCs w:val="22"/>
          <w:lang w:val="hu-HU"/>
        </w:rPr>
        <w:t xml:space="preserve">, akiknél bármilyen, szív </w:t>
      </w:r>
      <w:proofErr w:type="spellStart"/>
      <w:r w:rsidRPr="009F1165">
        <w:rPr>
          <w:szCs w:val="22"/>
          <w:lang w:val="hu-HU"/>
        </w:rPr>
        <w:t>arrhythmiára</w:t>
      </w:r>
      <w:proofErr w:type="spellEnd"/>
      <w:r w:rsidRPr="009F1165">
        <w:rPr>
          <w:szCs w:val="22"/>
          <w:lang w:val="hu-HU"/>
        </w:rPr>
        <w:t xml:space="preserve"> hajlamosító tényező ismert (pl</w:t>
      </w:r>
      <w:r w:rsidR="00D06D16" w:rsidRPr="009F1165">
        <w:rPr>
          <w:szCs w:val="22"/>
          <w:lang w:val="hu-HU"/>
        </w:rPr>
        <w:t>. </w:t>
      </w:r>
      <w:r w:rsidRPr="009F1165">
        <w:rPr>
          <w:szCs w:val="22"/>
          <w:lang w:val="hu-HU"/>
        </w:rPr>
        <w:t xml:space="preserve">az </w:t>
      </w:r>
      <w:proofErr w:type="gramStart"/>
      <w:r w:rsidRPr="009F1165">
        <w:rPr>
          <w:szCs w:val="22"/>
          <w:lang w:val="hu-HU"/>
        </w:rPr>
        <w:t>akut</w:t>
      </w:r>
      <w:proofErr w:type="gram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myocardialis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ischaemia</w:t>
      </w:r>
      <w:proofErr w:type="spellEnd"/>
      <w:r w:rsidRPr="009F1165">
        <w:rPr>
          <w:szCs w:val="22"/>
          <w:lang w:val="hu-HU"/>
        </w:rPr>
        <w:t>)</w:t>
      </w:r>
      <w:r w:rsidR="0047739C" w:rsidRPr="009F1165">
        <w:rPr>
          <w:szCs w:val="22"/>
          <w:lang w:val="hu-HU"/>
        </w:rPr>
        <w:t>,</w:t>
      </w:r>
      <w:r w:rsidRPr="009F1165">
        <w:rPr>
          <w:szCs w:val="22"/>
          <w:lang w:val="hu-HU"/>
        </w:rPr>
        <w:t xml:space="preserve"> mert esetükben fokozott lehet a kamrai </w:t>
      </w:r>
      <w:proofErr w:type="spellStart"/>
      <w:r w:rsidRPr="009F1165">
        <w:rPr>
          <w:szCs w:val="22"/>
          <w:lang w:val="hu-HU"/>
        </w:rPr>
        <w:t>arrhythmia</w:t>
      </w:r>
      <w:proofErr w:type="spellEnd"/>
      <w:r w:rsidRPr="009F1165">
        <w:rPr>
          <w:szCs w:val="22"/>
          <w:lang w:val="hu-HU"/>
        </w:rPr>
        <w:t xml:space="preserve"> (beleértve a </w:t>
      </w:r>
      <w:proofErr w:type="spellStart"/>
      <w:r w:rsidRPr="009F1165">
        <w:rPr>
          <w:szCs w:val="22"/>
          <w:lang w:val="hu-HU"/>
        </w:rPr>
        <w:t>torsade</w:t>
      </w:r>
      <w:proofErr w:type="spellEnd"/>
      <w:r w:rsidRPr="009F1165">
        <w:rPr>
          <w:szCs w:val="22"/>
          <w:lang w:val="hu-HU"/>
        </w:rPr>
        <w:t xml:space="preserve"> de </w:t>
      </w:r>
      <w:proofErr w:type="spellStart"/>
      <w:r w:rsidRPr="009F1165">
        <w:rPr>
          <w:szCs w:val="22"/>
          <w:lang w:val="hu-HU"/>
        </w:rPr>
        <w:t>pointes</w:t>
      </w:r>
      <w:proofErr w:type="spellEnd"/>
      <w:r w:rsidR="00D06D16" w:rsidRPr="009F1165">
        <w:rPr>
          <w:szCs w:val="22"/>
          <w:lang w:val="hu-HU"/>
        </w:rPr>
        <w:noBreakHyphen/>
      </w:r>
      <w:r w:rsidRPr="009F1165">
        <w:rPr>
          <w:szCs w:val="22"/>
          <w:lang w:val="hu-HU"/>
        </w:rPr>
        <w:t>t</w:t>
      </w:r>
      <w:r w:rsidR="00A27CF1" w:rsidRPr="009F1165">
        <w:rPr>
          <w:szCs w:val="22"/>
          <w:lang w:val="hu-HU"/>
        </w:rPr>
        <w:t xml:space="preserve"> is</w:t>
      </w:r>
      <w:r w:rsidRPr="009F1165">
        <w:rPr>
          <w:szCs w:val="22"/>
          <w:lang w:val="hu-HU"/>
        </w:rPr>
        <w:t>) és a szív</w:t>
      </w:r>
      <w:r w:rsidR="00111B74">
        <w:rPr>
          <w:szCs w:val="22"/>
          <w:lang w:val="hu-HU"/>
        </w:rPr>
        <w:t>meg</w:t>
      </w:r>
      <w:r w:rsidRPr="009F1165">
        <w:rPr>
          <w:szCs w:val="22"/>
          <w:lang w:val="hu-HU"/>
        </w:rPr>
        <w:t>állás kialakulásának kockázata (lásd még 4.3 és 4.</w:t>
      </w:r>
      <w:r w:rsidR="00D06D16" w:rsidRPr="009F1165">
        <w:rPr>
          <w:szCs w:val="22"/>
          <w:lang w:val="hu-HU"/>
        </w:rPr>
        <w:t>5 </w:t>
      </w:r>
      <w:r w:rsidRPr="009F1165">
        <w:rPr>
          <w:szCs w:val="22"/>
          <w:lang w:val="hu-HU"/>
        </w:rPr>
        <w:t>pont).</w:t>
      </w:r>
    </w:p>
    <w:p w14:paraId="6160A0CC" w14:textId="77777777" w:rsidR="00A83D7D" w:rsidRPr="009F1165" w:rsidRDefault="00A83D7D" w:rsidP="009F1165">
      <w:pPr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moxifloxacint</w:t>
      </w:r>
      <w:proofErr w:type="spellEnd"/>
      <w:r w:rsidRPr="009F1165">
        <w:rPr>
          <w:szCs w:val="22"/>
          <w:lang w:val="hu-HU"/>
        </w:rPr>
        <w:t xml:space="preserve"> körültekintően kell alkalmazni olyan betegek esetén, akik olyan gyógyszereket szednek, melyek csökkenthetik a káliumszintet</w:t>
      </w:r>
      <w:r w:rsidR="00111B74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>(lásd még 4.</w:t>
      </w:r>
      <w:r w:rsidR="00D06D16" w:rsidRPr="009F1165">
        <w:rPr>
          <w:szCs w:val="22"/>
          <w:lang w:val="hu-HU"/>
        </w:rPr>
        <w:t>3 </w:t>
      </w:r>
      <w:r w:rsidR="00111B74">
        <w:rPr>
          <w:szCs w:val="22"/>
          <w:lang w:val="hu-HU"/>
        </w:rPr>
        <w:t xml:space="preserve">és 4.5 </w:t>
      </w:r>
      <w:r w:rsidRPr="009F1165">
        <w:rPr>
          <w:szCs w:val="22"/>
          <w:lang w:val="hu-HU"/>
        </w:rPr>
        <w:t>pont).</w:t>
      </w:r>
    </w:p>
    <w:p w14:paraId="53058D85" w14:textId="77777777" w:rsidR="00A83D7D" w:rsidRPr="009F1165" w:rsidRDefault="00A83D7D" w:rsidP="009F1165">
      <w:pPr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moxifloxacint</w:t>
      </w:r>
      <w:proofErr w:type="spellEnd"/>
      <w:r w:rsidRPr="009F1165">
        <w:rPr>
          <w:szCs w:val="22"/>
          <w:lang w:val="hu-HU"/>
        </w:rPr>
        <w:t xml:space="preserve"> csak óvatosan szabad adni azoknak a betegeknek, akik </w:t>
      </w:r>
      <w:proofErr w:type="spellStart"/>
      <w:r w:rsidRPr="009F1165">
        <w:rPr>
          <w:szCs w:val="22"/>
          <w:lang w:val="hu-HU"/>
        </w:rPr>
        <w:t>klinikailag</w:t>
      </w:r>
      <w:proofErr w:type="spellEnd"/>
      <w:r w:rsidRPr="009F1165">
        <w:rPr>
          <w:szCs w:val="22"/>
          <w:lang w:val="hu-HU"/>
        </w:rPr>
        <w:t xml:space="preserve"> szignifikáns </w:t>
      </w:r>
      <w:proofErr w:type="spellStart"/>
      <w:r w:rsidRPr="009F1165">
        <w:rPr>
          <w:szCs w:val="22"/>
          <w:lang w:val="hu-HU"/>
        </w:rPr>
        <w:t>bradycardiát</w:t>
      </w:r>
      <w:proofErr w:type="spellEnd"/>
      <w:r w:rsidRPr="009F1165">
        <w:rPr>
          <w:szCs w:val="22"/>
          <w:lang w:val="hu-HU"/>
        </w:rPr>
        <w:t xml:space="preserve"> okozó gyógyszereket szednek (lásd még 4.</w:t>
      </w:r>
      <w:r w:rsidR="00D06D16" w:rsidRPr="009F1165">
        <w:rPr>
          <w:szCs w:val="22"/>
          <w:lang w:val="hu-HU"/>
        </w:rPr>
        <w:t>3 </w:t>
      </w:r>
      <w:r w:rsidRPr="009F1165">
        <w:rPr>
          <w:szCs w:val="22"/>
          <w:lang w:val="hu-HU"/>
        </w:rPr>
        <w:t>pont).</w:t>
      </w:r>
    </w:p>
    <w:p w14:paraId="1713183C" w14:textId="77777777" w:rsidR="00A83D7D" w:rsidRPr="009F1165" w:rsidRDefault="00A83D7D" w:rsidP="009F1165">
      <w:pPr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nők és az idős betegek érzékenyebbek lehetnek </w:t>
      </w:r>
      <w:r w:rsidR="00A27CF1" w:rsidRPr="009F1165">
        <w:rPr>
          <w:szCs w:val="22"/>
          <w:lang w:val="hu-HU"/>
        </w:rPr>
        <w:t>olyan</w:t>
      </w:r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QTc</w:t>
      </w:r>
      <w:proofErr w:type="spellEnd"/>
      <w:r w:rsidR="00D06D16" w:rsidRPr="009F1165">
        <w:rPr>
          <w:szCs w:val="22"/>
          <w:lang w:val="hu-HU"/>
        </w:rPr>
        <w:noBreakHyphen/>
      </w:r>
      <w:r w:rsidRPr="009F1165">
        <w:rPr>
          <w:szCs w:val="22"/>
          <w:lang w:val="hu-HU"/>
        </w:rPr>
        <w:t xml:space="preserve">megnyúlást előidéző gyógyszerekkel szemben, mint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>, ezért esetükben különös óvatosságra van szükség.</w:t>
      </w:r>
    </w:p>
    <w:p w14:paraId="5295855F" w14:textId="77777777" w:rsidR="00184080" w:rsidRPr="009F1165" w:rsidRDefault="00184080" w:rsidP="009F1165">
      <w:pPr>
        <w:rPr>
          <w:rFonts w:eastAsia="Batang"/>
          <w:szCs w:val="22"/>
          <w:u w:val="single"/>
          <w:lang w:val="hu-HU"/>
        </w:rPr>
      </w:pPr>
    </w:p>
    <w:p w14:paraId="4D2A639B" w14:textId="77777777" w:rsidR="00184080" w:rsidRPr="009F1165" w:rsidRDefault="00184080" w:rsidP="009F1165">
      <w:pPr>
        <w:keepNext/>
        <w:rPr>
          <w:szCs w:val="22"/>
          <w:u w:val="single"/>
          <w:lang w:val="hu-HU"/>
        </w:rPr>
      </w:pPr>
      <w:r w:rsidRPr="009F1165">
        <w:rPr>
          <w:szCs w:val="22"/>
          <w:u w:val="single"/>
          <w:lang w:val="hu-HU"/>
        </w:rPr>
        <w:t>Túlérzékenységi</w:t>
      </w:r>
      <w:r w:rsidR="000F481B" w:rsidRPr="009F1165">
        <w:rPr>
          <w:szCs w:val="22"/>
          <w:u w:val="single"/>
          <w:lang w:val="hu-HU"/>
        </w:rPr>
        <w:t>/</w:t>
      </w:r>
      <w:r w:rsidRPr="009F1165">
        <w:rPr>
          <w:szCs w:val="22"/>
          <w:u w:val="single"/>
          <w:lang w:val="hu-HU"/>
        </w:rPr>
        <w:t>allergiás reakciók</w:t>
      </w:r>
    </w:p>
    <w:p w14:paraId="6E3BFFD5" w14:textId="1E715D2E" w:rsidR="00184080" w:rsidRPr="009F1165" w:rsidRDefault="00A83D7D" w:rsidP="009F1165">
      <w:pPr>
        <w:keepNext/>
        <w:rPr>
          <w:szCs w:val="22"/>
          <w:lang w:val="hu-HU"/>
        </w:rPr>
      </w:pPr>
      <w:r w:rsidRPr="009F1165">
        <w:rPr>
          <w:szCs w:val="22"/>
          <w:lang w:val="hu-HU"/>
        </w:rPr>
        <w:t>Túlérzékenységi és allergiás reakciók</w:t>
      </w:r>
      <w:r w:rsidR="00CF5B37">
        <w:rPr>
          <w:lang w:val="hu-HU"/>
        </w:rPr>
        <w:t>ról számoltak be</w:t>
      </w:r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fl</w:t>
      </w:r>
      <w:r w:rsidR="0047739C" w:rsidRPr="009F1165">
        <w:rPr>
          <w:szCs w:val="22"/>
          <w:lang w:val="hu-HU"/>
        </w:rPr>
        <w:t>uo</w:t>
      </w:r>
      <w:r w:rsidRPr="009F1165">
        <w:rPr>
          <w:szCs w:val="22"/>
          <w:lang w:val="hu-HU"/>
        </w:rPr>
        <w:t>rokinolonok</w:t>
      </w:r>
      <w:r w:rsidR="00CF5B37">
        <w:rPr>
          <w:szCs w:val="22"/>
          <w:lang w:val="hu-HU"/>
        </w:rPr>
        <w:t>kal</w:t>
      </w:r>
      <w:proofErr w:type="spellEnd"/>
      <w:r w:rsidR="00D06D16" w:rsidRPr="009F1165">
        <w:rPr>
          <w:szCs w:val="22"/>
          <w:lang w:val="hu-HU"/>
        </w:rPr>
        <w:t xml:space="preserve"> </w:t>
      </w:r>
      <w:r w:rsidR="00A27CF1" w:rsidRPr="009F1165">
        <w:rPr>
          <w:szCs w:val="22"/>
          <w:lang w:val="hu-HU"/>
        </w:rPr>
        <w:t>-</w:t>
      </w:r>
      <w:r w:rsidRPr="009F1165">
        <w:rPr>
          <w:szCs w:val="22"/>
          <w:lang w:val="hu-HU"/>
        </w:rPr>
        <w:t xml:space="preserve"> </w:t>
      </w:r>
      <w:r w:rsidR="00CF5B37">
        <w:rPr>
          <w:lang w:val="hu-HU"/>
        </w:rPr>
        <w:t xml:space="preserve">többek között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="00702885" w:rsidRPr="00702885">
        <w:rPr>
          <w:lang w:val="hu-HU"/>
        </w:rPr>
        <w:t xml:space="preserve"> </w:t>
      </w:r>
      <w:proofErr w:type="spellStart"/>
      <w:r w:rsidR="00702885">
        <w:rPr>
          <w:lang w:val="hu-HU"/>
        </w:rPr>
        <w:t>nal</w:t>
      </w:r>
      <w:proofErr w:type="spellEnd"/>
      <w:r w:rsidR="00702885">
        <w:rPr>
          <w:lang w:val="hu-HU"/>
        </w:rPr>
        <w:t xml:space="preserve"> kapcsolatban, az </w:t>
      </w:r>
      <w:r w:rsidRPr="009F1165">
        <w:rPr>
          <w:szCs w:val="22"/>
          <w:lang w:val="hu-HU"/>
        </w:rPr>
        <w:t xml:space="preserve">első alkalmazása után. Az </w:t>
      </w:r>
      <w:proofErr w:type="spellStart"/>
      <w:r w:rsidRPr="009F1165">
        <w:rPr>
          <w:szCs w:val="22"/>
          <w:lang w:val="hu-HU"/>
        </w:rPr>
        <w:t>ana</w:t>
      </w:r>
      <w:r w:rsidR="000B4AB6" w:rsidRPr="009F1165">
        <w:rPr>
          <w:szCs w:val="22"/>
          <w:lang w:val="hu-HU"/>
        </w:rPr>
        <w:t>phy</w:t>
      </w:r>
      <w:r w:rsidRPr="009F1165">
        <w:rPr>
          <w:szCs w:val="22"/>
          <w:lang w:val="hu-HU"/>
        </w:rPr>
        <w:t>laxiás</w:t>
      </w:r>
      <w:proofErr w:type="spellEnd"/>
      <w:r w:rsidRPr="009F1165">
        <w:rPr>
          <w:szCs w:val="22"/>
          <w:lang w:val="hu-HU"/>
        </w:rPr>
        <w:t xml:space="preserve"> reakciók már az első alkalmazást követően</w:t>
      </w:r>
      <w:r w:rsidR="00702885" w:rsidRPr="00702885">
        <w:rPr>
          <w:rFonts w:eastAsia="Batang"/>
          <w:lang w:val="hu"/>
        </w:rPr>
        <w:t xml:space="preserve"> </w:t>
      </w:r>
      <w:r w:rsidR="00702885" w:rsidRPr="00C90BCD">
        <w:rPr>
          <w:rFonts w:eastAsia="Batang"/>
          <w:lang w:val="hu"/>
        </w:rPr>
        <w:t>is életveszélyes sokkig súlyosbodhatnak</w:t>
      </w:r>
      <w:r w:rsidRPr="009F1165">
        <w:rPr>
          <w:szCs w:val="22"/>
          <w:lang w:val="hu-HU"/>
        </w:rPr>
        <w:t xml:space="preserve">. </w:t>
      </w:r>
      <w:r w:rsidR="00EC1517">
        <w:rPr>
          <w:szCs w:val="22"/>
          <w:lang w:val="hu-HU"/>
        </w:rPr>
        <w:t xml:space="preserve">Súlyos túlérzékenységi reakciók klinikai </w:t>
      </w:r>
      <w:r w:rsidR="001655CE">
        <w:rPr>
          <w:lang w:val="hu-HU"/>
        </w:rPr>
        <w:t xml:space="preserve">megnyilvánulása </w:t>
      </w:r>
      <w:r w:rsidR="00EC1517">
        <w:rPr>
          <w:szCs w:val="22"/>
          <w:lang w:val="hu-HU"/>
        </w:rPr>
        <w:t>esetén</w:t>
      </w:r>
      <w:r w:rsidRPr="009F1165">
        <w:rPr>
          <w:szCs w:val="22"/>
          <w:lang w:val="hu-HU"/>
        </w:rPr>
        <w:t xml:space="preserve">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="0047739C" w:rsidRPr="009F1165">
        <w:rPr>
          <w:szCs w:val="22"/>
          <w:lang w:val="hu-HU"/>
        </w:rPr>
        <w:t>-</w:t>
      </w:r>
      <w:r w:rsidRPr="009F1165">
        <w:rPr>
          <w:szCs w:val="22"/>
          <w:lang w:val="hu-HU"/>
        </w:rPr>
        <w:t xml:space="preserve">kezelést azonnal abba kell hagyni, és </w:t>
      </w:r>
      <w:r w:rsidR="001655CE">
        <w:rPr>
          <w:lang w:val="hu-HU"/>
        </w:rPr>
        <w:t xml:space="preserve">a beteget </w:t>
      </w:r>
      <w:r w:rsidRPr="009F1165">
        <w:rPr>
          <w:szCs w:val="22"/>
          <w:lang w:val="hu-HU"/>
        </w:rPr>
        <w:t xml:space="preserve">megfelelő </w:t>
      </w:r>
      <w:r w:rsidR="001655CE" w:rsidRPr="00C90BCD">
        <w:rPr>
          <w:rFonts w:eastAsia="Batang"/>
          <w:lang w:val="hu"/>
        </w:rPr>
        <w:t>ellátásban</w:t>
      </w:r>
      <w:r w:rsidR="001655CE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>(pl.</w:t>
      </w:r>
      <w:r w:rsidR="0047739C"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sokk</w:t>
      </w:r>
      <w:r w:rsidR="0047739C" w:rsidRPr="009F1165">
        <w:rPr>
          <w:szCs w:val="22"/>
          <w:lang w:val="hu-HU"/>
        </w:rPr>
        <w:t>talanítás</w:t>
      </w:r>
      <w:proofErr w:type="spellEnd"/>
      <w:r w:rsidRPr="009F1165">
        <w:rPr>
          <w:szCs w:val="22"/>
          <w:lang w:val="hu-HU"/>
        </w:rPr>
        <w:t xml:space="preserve">) kell </w:t>
      </w:r>
      <w:r w:rsidR="001655CE">
        <w:rPr>
          <w:lang w:val="hu-HU"/>
        </w:rPr>
        <w:t>részesíteni</w:t>
      </w:r>
      <w:r w:rsidRPr="009F1165">
        <w:rPr>
          <w:szCs w:val="22"/>
          <w:lang w:val="hu-HU"/>
        </w:rPr>
        <w:t>.</w:t>
      </w:r>
    </w:p>
    <w:p w14:paraId="0ED27602" w14:textId="77777777" w:rsidR="00184080" w:rsidRPr="009F1165" w:rsidRDefault="00184080" w:rsidP="001655CE">
      <w:pPr>
        <w:ind w:left="567" w:hanging="567"/>
        <w:rPr>
          <w:szCs w:val="22"/>
          <w:lang w:val="hu-HU"/>
        </w:rPr>
      </w:pPr>
    </w:p>
    <w:p w14:paraId="3B05E64C" w14:textId="77777777" w:rsidR="00184080" w:rsidRPr="009F1165" w:rsidRDefault="00184080" w:rsidP="009F1165">
      <w:pPr>
        <w:keepNext/>
        <w:rPr>
          <w:szCs w:val="22"/>
          <w:u w:val="single"/>
          <w:lang w:val="hu-HU"/>
        </w:rPr>
      </w:pPr>
      <w:r w:rsidRPr="009F1165">
        <w:rPr>
          <w:szCs w:val="22"/>
          <w:u w:val="single"/>
          <w:lang w:val="hu-HU"/>
        </w:rPr>
        <w:t>Súlyos májbeteg</w:t>
      </w:r>
      <w:r w:rsidR="00097427" w:rsidRPr="009F1165">
        <w:rPr>
          <w:szCs w:val="22"/>
          <w:u w:val="single"/>
          <w:lang w:val="hu-HU"/>
        </w:rPr>
        <w:t>s</w:t>
      </w:r>
      <w:r w:rsidRPr="009F1165">
        <w:rPr>
          <w:szCs w:val="22"/>
          <w:u w:val="single"/>
          <w:lang w:val="hu-HU"/>
        </w:rPr>
        <w:t>é</w:t>
      </w:r>
      <w:r w:rsidR="00097427" w:rsidRPr="009F1165">
        <w:rPr>
          <w:szCs w:val="22"/>
          <w:u w:val="single"/>
          <w:lang w:val="hu-HU"/>
        </w:rPr>
        <w:t>g</w:t>
      </w:r>
      <w:r w:rsidRPr="009F1165">
        <w:rPr>
          <w:szCs w:val="22"/>
          <w:u w:val="single"/>
          <w:lang w:val="hu-HU"/>
        </w:rPr>
        <w:t>ek</w:t>
      </w:r>
    </w:p>
    <w:p w14:paraId="6C60B498" w14:textId="77777777" w:rsidR="00A83D7D" w:rsidRPr="009F1165" w:rsidRDefault="00A83D7D" w:rsidP="009F1165">
      <w:pPr>
        <w:keepNext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</w:t>
      </w:r>
      <w:r w:rsidR="00111B74" w:rsidRPr="00975ED1">
        <w:rPr>
          <w:lang w:val="hu-HU"/>
        </w:rPr>
        <w:t xml:space="preserve">alkalmazásával </w:t>
      </w:r>
      <w:r w:rsidRPr="009F1165">
        <w:rPr>
          <w:szCs w:val="22"/>
          <w:lang w:val="hu-HU"/>
        </w:rPr>
        <w:t>összefüggő fulmináns hepatitis eseteket jelentettek, melyek akár májelégtelenséghez is (beleértve a halálos eseteket</w:t>
      </w:r>
      <w:r w:rsidR="00A27CF1" w:rsidRPr="009F1165">
        <w:rPr>
          <w:szCs w:val="22"/>
          <w:lang w:val="hu-HU"/>
        </w:rPr>
        <w:t xml:space="preserve"> is</w:t>
      </w:r>
      <w:r w:rsidRPr="009F1165">
        <w:rPr>
          <w:szCs w:val="22"/>
          <w:lang w:val="hu-HU"/>
        </w:rPr>
        <w:t>) vezethettek (lásd 4.</w:t>
      </w:r>
      <w:r w:rsidR="00D06D16" w:rsidRPr="009F1165">
        <w:rPr>
          <w:szCs w:val="22"/>
          <w:lang w:val="hu-HU"/>
        </w:rPr>
        <w:t>8 </w:t>
      </w:r>
      <w:r w:rsidRPr="009F1165">
        <w:rPr>
          <w:szCs w:val="22"/>
          <w:lang w:val="hu-HU"/>
        </w:rPr>
        <w:t xml:space="preserve">pont). A betegeket tájékoztatni kell arról, hogy </w:t>
      </w:r>
      <w:r w:rsidR="00C836C9" w:rsidRPr="00975ED1">
        <w:rPr>
          <w:lang w:val="hu-HU"/>
        </w:rPr>
        <w:t xml:space="preserve">a kezelés folytatása előtt </w:t>
      </w:r>
      <w:r w:rsidR="0047739C" w:rsidRPr="009F1165">
        <w:rPr>
          <w:szCs w:val="22"/>
          <w:lang w:val="hu-HU"/>
        </w:rPr>
        <w:t>keressék fel</w:t>
      </w:r>
      <w:r w:rsidR="00A27CF1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 xml:space="preserve">kezelőorvosukat, amennyiben olyan fulmináns májelégtelenségre utaló tüneteket észlelnek, mint a hirtelen kialakuló </w:t>
      </w:r>
      <w:proofErr w:type="spellStart"/>
      <w:r w:rsidRPr="009F1165">
        <w:rPr>
          <w:szCs w:val="22"/>
          <w:lang w:val="hu-HU"/>
        </w:rPr>
        <w:t>asthenia</w:t>
      </w:r>
      <w:proofErr w:type="spellEnd"/>
      <w:r w:rsidRPr="009F1165">
        <w:rPr>
          <w:szCs w:val="22"/>
          <w:lang w:val="hu-HU"/>
        </w:rPr>
        <w:t xml:space="preserve"> sárgasággal, sötét vizelet, </w:t>
      </w:r>
      <w:r w:rsidR="00C836C9" w:rsidRPr="00975ED1">
        <w:rPr>
          <w:lang w:val="hu-HU"/>
        </w:rPr>
        <w:t xml:space="preserve">vérzékenységre </w:t>
      </w:r>
      <w:r w:rsidR="0047739C" w:rsidRPr="009F1165">
        <w:rPr>
          <w:szCs w:val="22"/>
          <w:lang w:val="hu-HU"/>
        </w:rPr>
        <w:t>való</w:t>
      </w:r>
      <w:r w:rsidRPr="009F1165">
        <w:rPr>
          <w:szCs w:val="22"/>
          <w:lang w:val="hu-HU"/>
        </w:rPr>
        <w:t xml:space="preserve"> hajlam vagy </w:t>
      </w:r>
      <w:proofErr w:type="spellStart"/>
      <w:r w:rsidRPr="009F1165">
        <w:rPr>
          <w:szCs w:val="22"/>
          <w:lang w:val="hu-HU"/>
        </w:rPr>
        <w:t>hepaticus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encephalopathia</w:t>
      </w:r>
      <w:proofErr w:type="spellEnd"/>
      <w:r w:rsidRPr="009F1165">
        <w:rPr>
          <w:szCs w:val="22"/>
          <w:lang w:val="hu-HU"/>
        </w:rPr>
        <w:t>.</w:t>
      </w:r>
    </w:p>
    <w:p w14:paraId="54FD13E5" w14:textId="77777777" w:rsidR="00A83D7D" w:rsidRPr="009F1165" w:rsidRDefault="00A83D7D" w:rsidP="009F1165">
      <w:pPr>
        <w:keepNext/>
        <w:rPr>
          <w:szCs w:val="22"/>
          <w:lang w:val="hu-HU"/>
        </w:rPr>
      </w:pPr>
      <w:r w:rsidRPr="009F1165">
        <w:rPr>
          <w:szCs w:val="22"/>
          <w:lang w:val="hu-HU"/>
        </w:rPr>
        <w:t>Amennyiben májfunkciós eltérésre utaló tünetek észlelhetők, májfunkciós próbákat</w:t>
      </w:r>
      <w:r w:rsidR="0047739C" w:rsidRPr="009F1165">
        <w:rPr>
          <w:szCs w:val="22"/>
          <w:lang w:val="hu-HU"/>
        </w:rPr>
        <w:t>/</w:t>
      </w:r>
      <w:r w:rsidRPr="009F1165">
        <w:rPr>
          <w:szCs w:val="22"/>
          <w:lang w:val="hu-HU"/>
        </w:rPr>
        <w:t>vizsgálato</w:t>
      </w:r>
      <w:r w:rsidR="00C836C9">
        <w:rPr>
          <w:szCs w:val="22"/>
          <w:lang w:val="hu-HU"/>
        </w:rPr>
        <w:t>ka</w:t>
      </w:r>
      <w:r w:rsidRPr="009F1165">
        <w:rPr>
          <w:szCs w:val="22"/>
          <w:lang w:val="hu-HU"/>
        </w:rPr>
        <w:t>t kell végezni.</w:t>
      </w:r>
    </w:p>
    <w:p w14:paraId="0BF10898" w14:textId="77777777" w:rsidR="00184080" w:rsidRPr="009F1165" w:rsidRDefault="00184080" w:rsidP="009F1165">
      <w:pPr>
        <w:rPr>
          <w:szCs w:val="22"/>
          <w:lang w:val="hu-HU"/>
        </w:rPr>
      </w:pPr>
    </w:p>
    <w:p w14:paraId="71EED53D" w14:textId="77777777" w:rsidR="00207FCF" w:rsidRPr="00E20A96" w:rsidRDefault="00207FCF" w:rsidP="00207FCF">
      <w:pPr>
        <w:ind w:left="567" w:hanging="567"/>
        <w:rPr>
          <w:u w:val="single"/>
          <w:lang w:val="hu-HU"/>
        </w:rPr>
      </w:pPr>
      <w:r w:rsidRPr="00E20A96">
        <w:rPr>
          <w:u w:val="single"/>
          <w:lang w:val="hu-HU"/>
        </w:rPr>
        <w:t>A bőrt érintő súlyos mellékhatások</w:t>
      </w:r>
    </w:p>
    <w:p w14:paraId="3D8A084A" w14:textId="0CBEA6DB" w:rsidR="00207FCF" w:rsidRPr="009F1165" w:rsidRDefault="00207FCF" w:rsidP="00207FCF">
      <w:pPr>
        <w:keepNext/>
        <w:rPr>
          <w:szCs w:val="22"/>
          <w:lang w:val="hu-HU"/>
        </w:rPr>
      </w:pPr>
      <w:r w:rsidRPr="00BD61B0">
        <w:rPr>
          <w:lang w:val="hu-HU"/>
        </w:rPr>
        <w:t xml:space="preserve">A bőrt érintő súlyos – </w:t>
      </w:r>
      <w:proofErr w:type="gramStart"/>
      <w:r w:rsidRPr="00BD61B0">
        <w:rPr>
          <w:lang w:val="hu-HU"/>
        </w:rPr>
        <w:t>potenciálisan</w:t>
      </w:r>
      <w:proofErr w:type="gramEnd"/>
      <w:r w:rsidRPr="00BD61B0">
        <w:rPr>
          <w:lang w:val="hu-HU"/>
        </w:rPr>
        <w:t xml:space="preserve"> életveszélyes vagy halálos kimenetelű </w:t>
      </w:r>
      <w:r w:rsidR="00AC3C3F">
        <w:rPr>
          <w:lang w:val="hu-HU"/>
        </w:rPr>
        <w:t>–</w:t>
      </w:r>
      <w:r w:rsidRPr="00BD61B0">
        <w:rPr>
          <w:lang w:val="hu-HU"/>
        </w:rPr>
        <w:t xml:space="preserve"> mellékhatásokat jelentettek </w:t>
      </w:r>
      <w:proofErr w:type="spellStart"/>
      <w:r w:rsidRPr="00BD61B0">
        <w:rPr>
          <w:lang w:val="hu-HU"/>
        </w:rPr>
        <w:t>moxifloxacin</w:t>
      </w:r>
      <w:proofErr w:type="spellEnd"/>
      <w:r w:rsidRPr="00BD61B0">
        <w:rPr>
          <w:lang w:val="hu-HU"/>
        </w:rPr>
        <w:t xml:space="preserve"> alkalmazása során, például toxikus </w:t>
      </w:r>
      <w:proofErr w:type="spellStart"/>
      <w:r w:rsidRPr="00BD61B0">
        <w:rPr>
          <w:lang w:val="hu-HU"/>
        </w:rPr>
        <w:t>epidermalis</w:t>
      </w:r>
      <w:proofErr w:type="spellEnd"/>
      <w:r w:rsidRPr="00BD61B0">
        <w:rPr>
          <w:lang w:val="hu-HU"/>
        </w:rPr>
        <w:t xml:space="preserve"> </w:t>
      </w:r>
      <w:proofErr w:type="spellStart"/>
      <w:r w:rsidRPr="00BD61B0">
        <w:rPr>
          <w:lang w:val="hu-HU"/>
        </w:rPr>
        <w:t>necrolysist</w:t>
      </w:r>
      <w:proofErr w:type="spellEnd"/>
      <w:r w:rsidRPr="00BD61B0">
        <w:rPr>
          <w:lang w:val="hu-HU"/>
        </w:rPr>
        <w:t xml:space="preserve"> (TEN, más néven </w:t>
      </w:r>
      <w:proofErr w:type="spellStart"/>
      <w:r w:rsidRPr="00BD61B0">
        <w:rPr>
          <w:lang w:val="hu-HU"/>
        </w:rPr>
        <w:t>Lyell</w:t>
      </w:r>
      <w:proofErr w:type="spellEnd"/>
      <w:r w:rsidRPr="00BD61B0">
        <w:rPr>
          <w:lang w:val="hu-HU"/>
        </w:rPr>
        <w:t xml:space="preserve">-szindróma), </w:t>
      </w:r>
      <w:proofErr w:type="spellStart"/>
      <w:r w:rsidRPr="00BD61B0">
        <w:rPr>
          <w:lang w:val="hu-HU"/>
        </w:rPr>
        <w:t>Stevens</w:t>
      </w:r>
      <w:proofErr w:type="spellEnd"/>
      <w:r w:rsidR="002B3618">
        <w:rPr>
          <w:lang w:val="hu-HU"/>
        </w:rPr>
        <w:t>–</w:t>
      </w:r>
      <w:r w:rsidRPr="00BD61B0">
        <w:rPr>
          <w:lang w:val="hu-HU"/>
        </w:rPr>
        <w:t>Johnson</w:t>
      </w:r>
      <w:r w:rsidR="002B3618">
        <w:rPr>
          <w:lang w:val="hu-HU"/>
        </w:rPr>
        <w:t>-</w:t>
      </w:r>
      <w:r w:rsidRPr="00BD61B0">
        <w:rPr>
          <w:lang w:val="hu-HU"/>
        </w:rPr>
        <w:t xml:space="preserve">szindrómát (SJS) és akut generalizált </w:t>
      </w:r>
      <w:proofErr w:type="spellStart"/>
      <w:r w:rsidRPr="00BD61B0">
        <w:rPr>
          <w:lang w:val="hu-HU"/>
        </w:rPr>
        <w:t>exanthemás</w:t>
      </w:r>
      <w:proofErr w:type="spellEnd"/>
      <w:r w:rsidRPr="00BD61B0">
        <w:rPr>
          <w:lang w:val="hu-HU"/>
        </w:rPr>
        <w:t xml:space="preserve"> </w:t>
      </w:r>
      <w:proofErr w:type="spellStart"/>
      <w:r w:rsidRPr="00BD61B0">
        <w:rPr>
          <w:lang w:val="hu-HU"/>
        </w:rPr>
        <w:t>pustulosist</w:t>
      </w:r>
      <w:proofErr w:type="spellEnd"/>
      <w:r w:rsidRPr="00BD61B0">
        <w:rPr>
          <w:lang w:val="hu-HU"/>
        </w:rPr>
        <w:t xml:space="preserve"> (AGEP) (lásd 4.8</w:t>
      </w:r>
      <w:r>
        <w:rPr>
          <w:lang w:val="hu-HU"/>
        </w:rPr>
        <w:t> </w:t>
      </w:r>
      <w:r w:rsidRPr="00BD61B0">
        <w:rPr>
          <w:lang w:val="hu-HU"/>
        </w:rPr>
        <w:t xml:space="preserve">pont). A gyógyszer rendelésekor a betegek figyelmét fel kell hívni a súlyos bőrreakciók jeleire és tüneteire, valamint a betegeket gondosan </w:t>
      </w:r>
      <w:proofErr w:type="spellStart"/>
      <w:r w:rsidRPr="00BD61B0">
        <w:rPr>
          <w:lang w:val="hu-HU"/>
        </w:rPr>
        <w:t>monitorozni</w:t>
      </w:r>
      <w:proofErr w:type="spellEnd"/>
      <w:r w:rsidRPr="00BD61B0">
        <w:rPr>
          <w:lang w:val="hu-HU"/>
        </w:rPr>
        <w:t xml:space="preserve"> kell. Ha a jelek és tünetek arra utalnak, hogy ezek a reakciók kialakulnak, a </w:t>
      </w:r>
      <w:proofErr w:type="spellStart"/>
      <w:r w:rsidRPr="00BD61B0">
        <w:rPr>
          <w:lang w:val="hu-HU"/>
        </w:rPr>
        <w:t>moxifloxacin</w:t>
      </w:r>
      <w:proofErr w:type="spellEnd"/>
      <w:r w:rsidRPr="00BD61B0">
        <w:rPr>
          <w:lang w:val="hu-HU"/>
        </w:rPr>
        <w:t xml:space="preserve"> alkalmazását azonnal abba kell hagyni és alternatív terápia elkezdését kell fontolóra venni. Ha a betegnél súlyos reakciók, mint pl. SJS, TEN vagy AGEP alakult ki a </w:t>
      </w:r>
      <w:proofErr w:type="spellStart"/>
      <w:r w:rsidRPr="00BD61B0">
        <w:rPr>
          <w:lang w:val="hu-HU"/>
        </w:rPr>
        <w:t>moxifloxacin</w:t>
      </w:r>
      <w:proofErr w:type="spellEnd"/>
      <w:r w:rsidRPr="00BD61B0">
        <w:rPr>
          <w:lang w:val="hu-HU"/>
        </w:rPr>
        <w:t xml:space="preserve"> alkalmazásakor, akkor az adott beteget a későbbiekben tilos </w:t>
      </w:r>
      <w:proofErr w:type="spellStart"/>
      <w:r w:rsidRPr="00BD61B0">
        <w:rPr>
          <w:lang w:val="hu-HU"/>
        </w:rPr>
        <w:t>moxifloxacinnal</w:t>
      </w:r>
      <w:proofErr w:type="spellEnd"/>
      <w:r w:rsidRPr="00BD61B0">
        <w:rPr>
          <w:lang w:val="hu-HU"/>
        </w:rPr>
        <w:t xml:space="preserve"> kezelni.</w:t>
      </w:r>
    </w:p>
    <w:p w14:paraId="05015C36" w14:textId="77777777" w:rsidR="00184080" w:rsidRPr="009F1165" w:rsidRDefault="00184080" w:rsidP="009F1165">
      <w:pPr>
        <w:rPr>
          <w:szCs w:val="22"/>
          <w:lang w:val="hu-HU"/>
        </w:rPr>
      </w:pPr>
    </w:p>
    <w:p w14:paraId="203B3EBD" w14:textId="77777777" w:rsidR="00184080" w:rsidRPr="009F1165" w:rsidRDefault="00184080" w:rsidP="009F1165">
      <w:pPr>
        <w:keepNext/>
        <w:rPr>
          <w:szCs w:val="22"/>
          <w:u w:val="single"/>
          <w:lang w:val="hu-HU"/>
        </w:rPr>
      </w:pPr>
      <w:r w:rsidRPr="009F1165">
        <w:rPr>
          <w:szCs w:val="22"/>
          <w:u w:val="single"/>
          <w:lang w:val="hu-HU"/>
        </w:rPr>
        <w:t>Görcsrohamokra hajlamos betegek</w:t>
      </w:r>
    </w:p>
    <w:p w14:paraId="1BE29834" w14:textId="77777777" w:rsidR="00097427" w:rsidRPr="009F1165" w:rsidRDefault="00A83D7D" w:rsidP="009F1165">
      <w:pPr>
        <w:keepNext/>
        <w:rPr>
          <w:szCs w:val="22"/>
          <w:lang w:val="hu-HU"/>
        </w:rPr>
      </w:pPr>
      <w:r w:rsidRPr="009F1165">
        <w:rPr>
          <w:szCs w:val="22"/>
          <w:lang w:val="hu-HU"/>
        </w:rPr>
        <w:t>Ismert</w:t>
      </w:r>
      <w:r w:rsidRPr="009F1165">
        <w:rPr>
          <w:szCs w:val="22"/>
          <w:lang w:val="hu-HU" w:eastAsia="hu-HU"/>
        </w:rPr>
        <w:t xml:space="preserve">, hogy a </w:t>
      </w:r>
      <w:proofErr w:type="spellStart"/>
      <w:r w:rsidRPr="009F1165">
        <w:rPr>
          <w:szCs w:val="22"/>
          <w:lang w:val="hu-HU" w:eastAsia="hu-HU"/>
        </w:rPr>
        <w:t>kinolonok</w:t>
      </w:r>
      <w:proofErr w:type="spellEnd"/>
      <w:r w:rsidRPr="009F1165">
        <w:rPr>
          <w:szCs w:val="22"/>
          <w:lang w:val="hu-HU" w:eastAsia="hu-HU"/>
        </w:rPr>
        <w:t xml:space="preserve"> görcs</w:t>
      </w:r>
      <w:r w:rsidR="0047739C" w:rsidRPr="009F1165">
        <w:rPr>
          <w:szCs w:val="22"/>
          <w:lang w:val="hu-HU" w:eastAsia="hu-HU"/>
        </w:rPr>
        <w:t>rohamoka</w:t>
      </w:r>
      <w:r w:rsidRPr="009F1165">
        <w:rPr>
          <w:szCs w:val="22"/>
          <w:lang w:val="hu-HU" w:eastAsia="hu-HU"/>
        </w:rPr>
        <w:t xml:space="preserve">t válthatnak ki. Óvatosság szükséges olyan </w:t>
      </w:r>
      <w:r w:rsidRPr="009F1165">
        <w:rPr>
          <w:szCs w:val="22"/>
          <w:lang w:val="hu-HU"/>
        </w:rPr>
        <w:t xml:space="preserve">betegek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="0047739C" w:rsidRPr="009F1165">
        <w:rPr>
          <w:szCs w:val="22"/>
          <w:lang w:val="hu-HU"/>
        </w:rPr>
        <w:t>-</w:t>
      </w:r>
      <w:r w:rsidRPr="009F1165">
        <w:rPr>
          <w:szCs w:val="22"/>
          <w:lang w:val="hu-HU"/>
        </w:rPr>
        <w:t xml:space="preserve">kezelésekor, </w:t>
      </w:r>
      <w:r w:rsidR="00097427" w:rsidRPr="009F1165">
        <w:rPr>
          <w:szCs w:val="22"/>
          <w:lang w:val="hu-HU"/>
        </w:rPr>
        <w:t>akiknek olyan központi idegrendszeri elváltozásuk vagy más kockázati tényezőik vannak, amely</w:t>
      </w:r>
      <w:r w:rsidR="00C836C9">
        <w:rPr>
          <w:szCs w:val="22"/>
          <w:lang w:val="hu-HU"/>
        </w:rPr>
        <w:t>ek</w:t>
      </w:r>
      <w:r w:rsidR="00097427" w:rsidRPr="009F1165">
        <w:rPr>
          <w:szCs w:val="22"/>
          <w:lang w:val="hu-HU"/>
        </w:rPr>
        <w:t xml:space="preserve"> görcsrohamra hajlamosít</w:t>
      </w:r>
      <w:r w:rsidR="00C836C9">
        <w:rPr>
          <w:szCs w:val="22"/>
          <w:lang w:val="hu-HU"/>
        </w:rPr>
        <w:t>anak</w:t>
      </w:r>
      <w:r w:rsidR="00097427" w:rsidRPr="009F1165">
        <w:rPr>
          <w:szCs w:val="22"/>
          <w:lang w:val="hu-HU"/>
        </w:rPr>
        <w:t>, vagy csökkenti</w:t>
      </w:r>
      <w:r w:rsidR="00C836C9">
        <w:rPr>
          <w:szCs w:val="22"/>
          <w:lang w:val="hu-HU"/>
        </w:rPr>
        <w:t>k</w:t>
      </w:r>
      <w:r w:rsidR="00097427" w:rsidRPr="009F1165">
        <w:rPr>
          <w:szCs w:val="22"/>
          <w:lang w:val="hu-HU"/>
        </w:rPr>
        <w:t xml:space="preserve"> a </w:t>
      </w:r>
      <w:proofErr w:type="spellStart"/>
      <w:r w:rsidR="00097427" w:rsidRPr="009F1165">
        <w:rPr>
          <w:szCs w:val="22"/>
          <w:lang w:val="hu-HU"/>
        </w:rPr>
        <w:t>görcsküszöbüket</w:t>
      </w:r>
      <w:proofErr w:type="spellEnd"/>
      <w:r w:rsidR="00097427" w:rsidRPr="009F1165">
        <w:rPr>
          <w:szCs w:val="22"/>
          <w:lang w:val="hu-HU"/>
        </w:rPr>
        <w:t xml:space="preserve">. Görcsroham esetén a </w:t>
      </w:r>
      <w:proofErr w:type="spellStart"/>
      <w:r w:rsidR="00097427" w:rsidRPr="009F1165">
        <w:rPr>
          <w:szCs w:val="22"/>
          <w:lang w:val="hu-HU"/>
        </w:rPr>
        <w:t>moxiflox</w:t>
      </w:r>
      <w:r w:rsidR="0047739C" w:rsidRPr="009F1165">
        <w:rPr>
          <w:szCs w:val="22"/>
          <w:lang w:val="hu-HU"/>
        </w:rPr>
        <w:t>ac</w:t>
      </w:r>
      <w:r w:rsidR="00097427" w:rsidRPr="009F1165">
        <w:rPr>
          <w:szCs w:val="22"/>
          <w:lang w:val="hu-HU"/>
        </w:rPr>
        <w:t>innal</w:t>
      </w:r>
      <w:proofErr w:type="spellEnd"/>
      <w:r w:rsidR="00097427" w:rsidRPr="009F1165">
        <w:rPr>
          <w:szCs w:val="22"/>
          <w:lang w:val="hu-HU"/>
        </w:rPr>
        <w:t xml:space="preserve"> történő kezelést fel kell függeszteni</w:t>
      </w:r>
      <w:r w:rsidR="00C836C9">
        <w:rPr>
          <w:szCs w:val="22"/>
          <w:lang w:val="hu-HU"/>
        </w:rPr>
        <w:t>,</w:t>
      </w:r>
      <w:r w:rsidR="00097427" w:rsidRPr="009F1165">
        <w:rPr>
          <w:szCs w:val="22"/>
          <w:lang w:val="hu-HU"/>
        </w:rPr>
        <w:t xml:space="preserve"> és megfelelő intézkedést kell hozni.</w:t>
      </w:r>
    </w:p>
    <w:p w14:paraId="72695207" w14:textId="77777777" w:rsidR="0070121E" w:rsidRDefault="0070121E" w:rsidP="0070121E">
      <w:pPr>
        <w:autoSpaceDE w:val="0"/>
        <w:autoSpaceDN w:val="0"/>
        <w:adjustRightInd w:val="0"/>
        <w:spacing w:line="280" w:lineRule="atLeast"/>
        <w:rPr>
          <w:u w:val="single"/>
          <w:lang w:val="hu-HU"/>
        </w:rPr>
      </w:pPr>
    </w:p>
    <w:p w14:paraId="7C2A5267" w14:textId="5696CDFD" w:rsidR="0070121E" w:rsidRPr="00B53358" w:rsidRDefault="0070121E" w:rsidP="0070121E">
      <w:pPr>
        <w:autoSpaceDE w:val="0"/>
        <w:autoSpaceDN w:val="0"/>
        <w:adjustRightInd w:val="0"/>
        <w:spacing w:line="280" w:lineRule="atLeast"/>
        <w:rPr>
          <w:u w:val="single"/>
          <w:lang w:val="hu-HU"/>
        </w:rPr>
      </w:pPr>
      <w:r w:rsidRPr="00B53358">
        <w:rPr>
          <w:u w:val="single"/>
          <w:lang w:val="hu-HU"/>
        </w:rPr>
        <w:t xml:space="preserve">Hosszan tartó, rokkantságot okozó és </w:t>
      </w:r>
      <w:proofErr w:type="gramStart"/>
      <w:r w:rsidRPr="00B53358">
        <w:rPr>
          <w:u w:val="single"/>
          <w:lang w:val="hu-HU"/>
        </w:rPr>
        <w:t>potenciálisan</w:t>
      </w:r>
      <w:proofErr w:type="gramEnd"/>
      <w:r w:rsidRPr="00B53358">
        <w:rPr>
          <w:u w:val="single"/>
          <w:lang w:val="hu-HU"/>
        </w:rPr>
        <w:t xml:space="preserve"> irreverzibilis súlyos gyógyszermellékhatások</w:t>
      </w:r>
    </w:p>
    <w:p w14:paraId="7EA82888" w14:textId="77777777" w:rsidR="0070121E" w:rsidRPr="00B53358" w:rsidRDefault="0070121E" w:rsidP="0070121E">
      <w:pPr>
        <w:pStyle w:val="BodytextAgency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proofErr w:type="spellStart"/>
      <w:r w:rsidRPr="00B53358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Kinolonokkal</w:t>
      </w:r>
      <w:proofErr w:type="spellEnd"/>
      <w:r w:rsidRPr="00B53358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és </w:t>
      </w:r>
      <w:proofErr w:type="spellStart"/>
      <w:r w:rsidRPr="00B53358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fluorokinolonokkal</w:t>
      </w:r>
      <w:proofErr w:type="spellEnd"/>
      <w:r w:rsidRPr="00B53358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kezelt betegeknél nagyon ritkán különböző  – esetenként több – szervrendszert (csont- és izomrendszer, idegrendszer, pszichiátriai kórképek és érzékszervek) érintő, a beteg életkorától és eleve fennálló kockázati tényezőitől függetlenül fellépő, hosszan fennálló (hónapokig vagy évekig tartó), rokkantságot okozó és </w:t>
      </w:r>
      <w:proofErr w:type="gramStart"/>
      <w:r w:rsidRPr="00B53358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potenciálisan</w:t>
      </w:r>
      <w:proofErr w:type="gramEnd"/>
      <w:r w:rsidRPr="00B53358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irreverzibilis súlyos gyógyszermellékhatások eseteiről számoltak be.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moxifloxacin</w:t>
      </w:r>
      <w:proofErr w:type="spellEnd"/>
      <w:r w:rsidRPr="00B53358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alkalmazását bármilyen súlyos mellékhatásra jellemző jel vagy tünet első jelentkezésekor azonnal le kell állítani, és a betegnek azt kell javasolni, hogy tanácsért forduljon a gyógyszert felíró orvoshoz.</w:t>
      </w:r>
    </w:p>
    <w:p w14:paraId="1427F7FF" w14:textId="77777777" w:rsidR="0070121E" w:rsidRPr="00975ED1" w:rsidRDefault="0070121E" w:rsidP="0070121E">
      <w:pPr>
        <w:ind w:left="567" w:hanging="567"/>
        <w:rPr>
          <w:lang w:val="hu-HU"/>
        </w:rPr>
      </w:pPr>
    </w:p>
    <w:p w14:paraId="5C61BE96" w14:textId="77777777" w:rsidR="0070121E" w:rsidRPr="0070121E" w:rsidRDefault="0070121E" w:rsidP="0070121E">
      <w:pPr>
        <w:rPr>
          <w:szCs w:val="22"/>
          <w:lang w:val="hu-HU"/>
        </w:rPr>
      </w:pPr>
      <w:r w:rsidRPr="00B10208">
        <w:rPr>
          <w:rStyle w:val="longtext1"/>
          <w:color w:val="000000"/>
          <w:sz w:val="22"/>
          <w:szCs w:val="22"/>
          <w:u w:val="single"/>
          <w:lang w:val="hu-HU"/>
        </w:rPr>
        <w:t xml:space="preserve">Perifériás </w:t>
      </w:r>
      <w:proofErr w:type="spellStart"/>
      <w:r w:rsidRPr="00B10208">
        <w:rPr>
          <w:rStyle w:val="longtext1"/>
          <w:color w:val="000000"/>
          <w:sz w:val="22"/>
          <w:szCs w:val="22"/>
          <w:u w:val="single"/>
          <w:lang w:val="hu-HU"/>
        </w:rPr>
        <w:t>neuropathia</w:t>
      </w:r>
      <w:proofErr w:type="spellEnd"/>
    </w:p>
    <w:p w14:paraId="2CD96F3D" w14:textId="77777777" w:rsidR="0070121E" w:rsidRPr="00063572" w:rsidRDefault="0070121E" w:rsidP="0070121E">
      <w:pPr>
        <w:tabs>
          <w:tab w:val="left" w:pos="0"/>
        </w:tabs>
        <w:rPr>
          <w:szCs w:val="22"/>
          <w:lang w:val="hu-HU"/>
        </w:rPr>
      </w:pPr>
      <w:r w:rsidRPr="00063572">
        <w:rPr>
          <w:szCs w:val="22"/>
          <w:lang w:val="hu-HU"/>
        </w:rPr>
        <w:lastRenderedPageBreak/>
        <w:t xml:space="preserve">A </w:t>
      </w:r>
      <w:proofErr w:type="spellStart"/>
      <w:r w:rsidRPr="00063572">
        <w:rPr>
          <w:szCs w:val="22"/>
          <w:lang w:val="hu-HU"/>
        </w:rPr>
        <w:t>kinolonokkal</w:t>
      </w:r>
      <w:proofErr w:type="spellEnd"/>
      <w:r w:rsidRPr="00063572">
        <w:rPr>
          <w:szCs w:val="22"/>
          <w:lang w:val="hu-HU"/>
        </w:rPr>
        <w:t xml:space="preserve"> és </w:t>
      </w:r>
      <w:proofErr w:type="spellStart"/>
      <w:r w:rsidRPr="00063572">
        <w:rPr>
          <w:szCs w:val="22"/>
          <w:lang w:val="hu-HU"/>
        </w:rPr>
        <w:t>fluorokinolonokkal</w:t>
      </w:r>
      <w:proofErr w:type="spellEnd"/>
      <w:r w:rsidRPr="00063572">
        <w:rPr>
          <w:szCs w:val="22"/>
          <w:lang w:val="hu-HU"/>
        </w:rPr>
        <w:t xml:space="preserve"> kezelt betegek körében szenzoros vagy szenzomotoros </w:t>
      </w:r>
      <w:proofErr w:type="spellStart"/>
      <w:r w:rsidRPr="00063572">
        <w:rPr>
          <w:szCs w:val="22"/>
          <w:lang w:val="hu-HU"/>
        </w:rPr>
        <w:t>polyneuropathiás</w:t>
      </w:r>
      <w:proofErr w:type="spellEnd"/>
      <w:r w:rsidRPr="00063572">
        <w:rPr>
          <w:szCs w:val="22"/>
          <w:lang w:val="hu-HU"/>
        </w:rPr>
        <w:t xml:space="preserve"> eseteket jelentettek, amelyek </w:t>
      </w:r>
      <w:proofErr w:type="spellStart"/>
      <w:r w:rsidRPr="00063572">
        <w:rPr>
          <w:rFonts w:eastAsia="Batang"/>
          <w:szCs w:val="22"/>
          <w:lang w:val="hu-HU"/>
        </w:rPr>
        <w:t>paraesthesiát</w:t>
      </w:r>
      <w:proofErr w:type="spellEnd"/>
      <w:r w:rsidRPr="00063572">
        <w:rPr>
          <w:rFonts w:eastAsia="Batang"/>
          <w:szCs w:val="22"/>
          <w:lang w:val="hu-HU"/>
        </w:rPr>
        <w:t xml:space="preserve">, </w:t>
      </w:r>
      <w:proofErr w:type="spellStart"/>
      <w:r w:rsidRPr="00063572">
        <w:rPr>
          <w:rFonts w:eastAsia="Batang"/>
          <w:szCs w:val="22"/>
          <w:lang w:val="hu-HU"/>
        </w:rPr>
        <w:t>hypaesthesiát</w:t>
      </w:r>
      <w:proofErr w:type="spellEnd"/>
      <w:r w:rsidRPr="00063572">
        <w:rPr>
          <w:rFonts w:eastAsia="Batang"/>
          <w:szCs w:val="22"/>
          <w:lang w:val="hu-HU"/>
        </w:rPr>
        <w:t xml:space="preserve">, </w:t>
      </w:r>
      <w:proofErr w:type="spellStart"/>
      <w:r w:rsidRPr="00063572">
        <w:rPr>
          <w:rFonts w:eastAsia="Batang"/>
          <w:szCs w:val="22"/>
          <w:lang w:val="hu-HU"/>
        </w:rPr>
        <w:t>dysaesthesiát</w:t>
      </w:r>
      <w:proofErr w:type="spellEnd"/>
      <w:r w:rsidRPr="00063572">
        <w:rPr>
          <w:rFonts w:eastAsia="Batang"/>
          <w:szCs w:val="22"/>
          <w:lang w:val="hu-HU"/>
        </w:rPr>
        <w:t xml:space="preserve"> vagy gyengeséget okoztak. A </w:t>
      </w:r>
      <w:proofErr w:type="spellStart"/>
      <w:r w:rsidRPr="00063572">
        <w:rPr>
          <w:rFonts w:eastAsia="Batang"/>
          <w:szCs w:val="22"/>
          <w:lang w:val="hu-HU"/>
        </w:rPr>
        <w:t>moxifloxacin</w:t>
      </w:r>
      <w:proofErr w:type="spellEnd"/>
      <w:r w:rsidRPr="00063572">
        <w:rPr>
          <w:rFonts w:eastAsia="Batang"/>
          <w:szCs w:val="22"/>
          <w:lang w:val="hu-HU"/>
        </w:rPr>
        <w:t xml:space="preserve">-kezelés részesülő </w:t>
      </w:r>
      <w:proofErr w:type="gramStart"/>
      <w:r w:rsidRPr="00063572">
        <w:rPr>
          <w:rFonts w:eastAsia="Batang"/>
          <w:szCs w:val="22"/>
          <w:lang w:val="hu-HU"/>
        </w:rPr>
        <w:t>betegeket</w:t>
      </w:r>
      <w:proofErr w:type="gramEnd"/>
      <w:r w:rsidRPr="00063572">
        <w:rPr>
          <w:rFonts w:eastAsia="Batang"/>
          <w:szCs w:val="22"/>
          <w:lang w:val="hu-HU"/>
        </w:rPr>
        <w:t xml:space="preserve"> figyelmét fel kell hívni arra, hogy amennyiben </w:t>
      </w:r>
      <w:proofErr w:type="spellStart"/>
      <w:r w:rsidRPr="00063572">
        <w:rPr>
          <w:rFonts w:eastAsia="Batang"/>
          <w:szCs w:val="22"/>
          <w:lang w:val="hu-HU"/>
        </w:rPr>
        <w:t>neuropathia</w:t>
      </w:r>
      <w:proofErr w:type="spellEnd"/>
      <w:r w:rsidRPr="00063572">
        <w:rPr>
          <w:rFonts w:eastAsia="Batang"/>
          <w:szCs w:val="22"/>
          <w:lang w:val="hu-HU"/>
        </w:rPr>
        <w:t xml:space="preserve"> tünetei – például fájdalom, égő érzés, bizsergés, zsibbadás vagy gyengeség – jelentkeznek, a potenciálisan irreverzibilis állapot kialakulásának megelőzése érdekében tájékoztassák erről kezelőorvosukat, mielőtt folytatnák a kezelést (lásd 4.8 pont).</w:t>
      </w:r>
    </w:p>
    <w:p w14:paraId="6E2039E5" w14:textId="77777777" w:rsidR="00184080" w:rsidRPr="009F1165" w:rsidRDefault="00184080" w:rsidP="009F1165">
      <w:pPr>
        <w:tabs>
          <w:tab w:val="left" w:pos="567"/>
        </w:tabs>
        <w:ind w:left="540" w:hanging="540"/>
        <w:rPr>
          <w:szCs w:val="22"/>
          <w:lang w:val="hu-HU"/>
        </w:rPr>
      </w:pPr>
    </w:p>
    <w:p w14:paraId="6559F3E2" w14:textId="77777777" w:rsidR="00AC30F7" w:rsidRPr="009F1165" w:rsidRDefault="00184080" w:rsidP="009F1165">
      <w:pPr>
        <w:keepNext/>
        <w:rPr>
          <w:szCs w:val="22"/>
          <w:lang w:val="hu-HU"/>
        </w:rPr>
      </w:pPr>
      <w:r w:rsidRPr="009F1165">
        <w:rPr>
          <w:szCs w:val="22"/>
          <w:u w:val="single"/>
          <w:lang w:val="hu-HU"/>
        </w:rPr>
        <w:t>Pszichiátriai reakciók</w:t>
      </w:r>
    </w:p>
    <w:p w14:paraId="46EE224E" w14:textId="77777777" w:rsidR="00184080" w:rsidRPr="009F1165" w:rsidRDefault="00184080" w:rsidP="009F1165">
      <w:pPr>
        <w:keepNext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Pszichiátriai reakciók is jelentkezhetnek még az első </w:t>
      </w:r>
      <w:proofErr w:type="spellStart"/>
      <w:r w:rsidRPr="009F1165">
        <w:rPr>
          <w:szCs w:val="22"/>
          <w:lang w:val="hu-HU"/>
        </w:rPr>
        <w:t>kinolon</w:t>
      </w:r>
      <w:proofErr w:type="spellEnd"/>
      <w:r w:rsidRPr="009F1165">
        <w:rPr>
          <w:szCs w:val="22"/>
          <w:lang w:val="hu-HU"/>
        </w:rPr>
        <w:t xml:space="preserve"> alkalmazás</w:t>
      </w:r>
      <w:r w:rsidR="00C836C9">
        <w:rPr>
          <w:szCs w:val="22"/>
          <w:lang w:val="hu-HU"/>
        </w:rPr>
        <w:t>át</w:t>
      </w:r>
      <w:r w:rsidRPr="009F1165">
        <w:rPr>
          <w:szCs w:val="22"/>
          <w:lang w:val="hu-HU"/>
        </w:rPr>
        <w:t xml:space="preserve"> követően</w:t>
      </w:r>
      <w:r w:rsidR="0047739C" w:rsidRPr="009F1165">
        <w:rPr>
          <w:szCs w:val="22"/>
          <w:lang w:val="hu-HU"/>
        </w:rPr>
        <w:t>,</w:t>
      </w:r>
      <w:r w:rsidRPr="009F1165">
        <w:rPr>
          <w:szCs w:val="22"/>
          <w:lang w:val="hu-HU"/>
        </w:rPr>
        <w:t xml:space="preserve"> beleértve a </w:t>
      </w:r>
      <w:proofErr w:type="spellStart"/>
      <w:r w:rsidRPr="009F1165">
        <w:rPr>
          <w:szCs w:val="22"/>
          <w:lang w:val="hu-HU"/>
        </w:rPr>
        <w:t>moxifloxacint</w:t>
      </w:r>
      <w:proofErr w:type="spellEnd"/>
      <w:r w:rsidRPr="009F1165">
        <w:rPr>
          <w:szCs w:val="22"/>
          <w:lang w:val="hu-HU"/>
        </w:rPr>
        <w:t xml:space="preserve"> is. Nagyon ritka esetekben </w:t>
      </w:r>
      <w:proofErr w:type="gramStart"/>
      <w:r w:rsidRPr="009F1165">
        <w:rPr>
          <w:szCs w:val="22"/>
          <w:lang w:val="hu-HU"/>
        </w:rPr>
        <w:t>depresszió</w:t>
      </w:r>
      <w:proofErr w:type="gramEnd"/>
      <w:r w:rsidRPr="009F1165">
        <w:rPr>
          <w:szCs w:val="22"/>
          <w:lang w:val="hu-HU"/>
        </w:rPr>
        <w:t xml:space="preserve"> vagy pszichotikus reakciók alakultak ki</w:t>
      </w:r>
      <w:r w:rsidR="00AC30F7" w:rsidRPr="009F1165">
        <w:rPr>
          <w:szCs w:val="22"/>
          <w:lang w:val="hu-HU"/>
        </w:rPr>
        <w:t>,</w:t>
      </w:r>
      <w:r w:rsidRPr="009F1165">
        <w:rPr>
          <w:szCs w:val="22"/>
          <w:lang w:val="hu-HU"/>
        </w:rPr>
        <w:t xml:space="preserve"> egészen az öngyilkossági gondolatokig és </w:t>
      </w:r>
      <w:r w:rsidR="000F481B" w:rsidRPr="009F1165">
        <w:rPr>
          <w:szCs w:val="22"/>
          <w:lang w:val="hu-HU"/>
        </w:rPr>
        <w:t xml:space="preserve">önkárosító </w:t>
      </w:r>
      <w:r w:rsidRPr="009F1165">
        <w:rPr>
          <w:szCs w:val="22"/>
          <w:lang w:val="hu-HU"/>
        </w:rPr>
        <w:t>magatartásig, például öngyilkossági kísérlet (lásd 4.</w:t>
      </w:r>
      <w:r w:rsidR="00AC30F7" w:rsidRPr="009F1165">
        <w:rPr>
          <w:szCs w:val="22"/>
          <w:lang w:val="hu-HU"/>
        </w:rPr>
        <w:t>8 </w:t>
      </w:r>
      <w:r w:rsidRPr="009F1165">
        <w:rPr>
          <w:szCs w:val="22"/>
          <w:lang w:val="hu-HU"/>
        </w:rPr>
        <w:t xml:space="preserve">pont). Abban az esetben, ha a betegnél ezek a reakciók létrejönnek,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="0047739C" w:rsidRPr="009F1165">
        <w:rPr>
          <w:szCs w:val="22"/>
          <w:lang w:val="hu-HU"/>
        </w:rPr>
        <w:t>-</w:t>
      </w:r>
      <w:r w:rsidRPr="009F1165">
        <w:rPr>
          <w:szCs w:val="22"/>
          <w:lang w:val="hu-HU"/>
        </w:rPr>
        <w:t xml:space="preserve">kezelést fel kell függeszteni, és megfelelő intézkedéseket kell alkalmazni. Óvatosság ajánlott, ha </w:t>
      </w:r>
      <w:proofErr w:type="spellStart"/>
      <w:r w:rsidRPr="009F1165">
        <w:rPr>
          <w:szCs w:val="22"/>
          <w:lang w:val="hu-HU"/>
        </w:rPr>
        <w:t>moxifloxacin</w:t>
      </w:r>
      <w:r w:rsidR="00C836C9">
        <w:rPr>
          <w:szCs w:val="22"/>
          <w:lang w:val="hu-HU"/>
        </w:rPr>
        <w:t>t</w:t>
      </w:r>
      <w:proofErr w:type="spellEnd"/>
      <w:r w:rsidRPr="009F1165">
        <w:rPr>
          <w:szCs w:val="22"/>
          <w:lang w:val="hu-HU"/>
        </w:rPr>
        <w:t xml:space="preserve"> kell alkalmazni a pszichotikus betegek kezelésénél vagy olyan betegek esetében, akiknél </w:t>
      </w:r>
      <w:r w:rsidR="00E67151">
        <w:rPr>
          <w:szCs w:val="22"/>
          <w:lang w:val="hu-HU"/>
        </w:rPr>
        <w:t xml:space="preserve">a </w:t>
      </w:r>
      <w:r w:rsidRPr="009F1165">
        <w:rPr>
          <w:szCs w:val="22"/>
          <w:lang w:val="hu-HU"/>
        </w:rPr>
        <w:t>kórtörténetben pszichiátriai betegség szerepel.</w:t>
      </w:r>
    </w:p>
    <w:p w14:paraId="38A6F82E" w14:textId="77777777" w:rsidR="00184080" w:rsidRPr="009F1165" w:rsidRDefault="00184080" w:rsidP="009F1165">
      <w:pPr>
        <w:tabs>
          <w:tab w:val="left" w:pos="567"/>
        </w:tabs>
        <w:ind w:left="540" w:hanging="540"/>
        <w:rPr>
          <w:szCs w:val="22"/>
          <w:lang w:val="hu-HU"/>
        </w:rPr>
      </w:pPr>
    </w:p>
    <w:p w14:paraId="788BE17D" w14:textId="77777777" w:rsidR="00184080" w:rsidRPr="009F1165" w:rsidRDefault="00184080" w:rsidP="009F1165">
      <w:pPr>
        <w:keepNext/>
        <w:rPr>
          <w:szCs w:val="22"/>
          <w:lang w:val="hu-HU"/>
        </w:rPr>
      </w:pPr>
      <w:r w:rsidRPr="009F1165">
        <w:rPr>
          <w:szCs w:val="22"/>
          <w:u w:val="single"/>
          <w:lang w:val="hu-HU"/>
        </w:rPr>
        <w:t>Antibiotikumok okozta hasmenés</w:t>
      </w:r>
      <w:r w:rsidR="007E2903" w:rsidRPr="009F1165">
        <w:rPr>
          <w:szCs w:val="22"/>
          <w:u w:val="single"/>
          <w:lang w:val="hu-HU"/>
        </w:rPr>
        <w:t>,</w:t>
      </w:r>
      <w:r w:rsidRPr="009F1165">
        <w:rPr>
          <w:szCs w:val="22"/>
          <w:u w:val="single"/>
          <w:lang w:val="hu-HU"/>
        </w:rPr>
        <w:t xml:space="preserve"> beleértve a </w:t>
      </w:r>
      <w:proofErr w:type="spellStart"/>
      <w:r w:rsidRPr="009F1165">
        <w:rPr>
          <w:szCs w:val="22"/>
          <w:u w:val="single"/>
          <w:lang w:val="hu-HU"/>
        </w:rPr>
        <w:t>colitis</w:t>
      </w:r>
      <w:r w:rsidR="007E2903" w:rsidRPr="009F1165">
        <w:rPr>
          <w:szCs w:val="22"/>
          <w:u w:val="single"/>
          <w:lang w:val="hu-HU"/>
        </w:rPr>
        <w:t>t</w:t>
      </w:r>
      <w:proofErr w:type="spellEnd"/>
    </w:p>
    <w:p w14:paraId="29565E04" w14:textId="77777777" w:rsidR="00A83D7D" w:rsidRPr="009F1165" w:rsidRDefault="00A83D7D" w:rsidP="009F1165">
      <w:pPr>
        <w:keepNext/>
        <w:rPr>
          <w:rFonts w:eastAsia="Batang"/>
          <w:iCs/>
          <w:szCs w:val="22"/>
          <w:lang w:val="hu-HU"/>
        </w:rPr>
      </w:pPr>
      <w:r w:rsidRPr="009F1165">
        <w:rPr>
          <w:szCs w:val="22"/>
          <w:lang w:val="hu-HU"/>
        </w:rPr>
        <w:t>Antibiotikumok okozta hasmenés (</w:t>
      </w:r>
      <w:proofErr w:type="spellStart"/>
      <w:r w:rsidR="007E2903" w:rsidRPr="009F1165">
        <w:rPr>
          <w:szCs w:val="22"/>
          <w:lang w:val="hu-HU"/>
        </w:rPr>
        <w:t>antibiotic-associated</w:t>
      </w:r>
      <w:proofErr w:type="spellEnd"/>
      <w:r w:rsidR="007E2903" w:rsidRPr="009F1165">
        <w:rPr>
          <w:szCs w:val="22"/>
          <w:lang w:val="hu-HU"/>
        </w:rPr>
        <w:t xml:space="preserve"> </w:t>
      </w:r>
      <w:proofErr w:type="spellStart"/>
      <w:r w:rsidR="007E2903" w:rsidRPr="009F1165">
        <w:rPr>
          <w:szCs w:val="22"/>
          <w:lang w:val="hu-HU"/>
        </w:rPr>
        <w:t>diarrhoea</w:t>
      </w:r>
      <w:proofErr w:type="spellEnd"/>
      <w:r w:rsidR="007E2903" w:rsidRPr="009F1165">
        <w:rPr>
          <w:szCs w:val="22"/>
          <w:lang w:val="hu-HU"/>
        </w:rPr>
        <w:t xml:space="preserve">, </w:t>
      </w:r>
      <w:r w:rsidRPr="009F1165">
        <w:rPr>
          <w:szCs w:val="22"/>
          <w:lang w:val="hu-HU"/>
        </w:rPr>
        <w:t xml:space="preserve">AAD) és antibiotikumok okozta </w:t>
      </w:r>
      <w:proofErr w:type="spellStart"/>
      <w:r w:rsidRPr="009F1165">
        <w:rPr>
          <w:szCs w:val="22"/>
          <w:lang w:val="hu-HU"/>
        </w:rPr>
        <w:t>colitis</w:t>
      </w:r>
      <w:proofErr w:type="spellEnd"/>
      <w:r w:rsidRPr="009F1165">
        <w:rPr>
          <w:szCs w:val="22"/>
          <w:lang w:val="hu-HU"/>
        </w:rPr>
        <w:t xml:space="preserve"> (</w:t>
      </w:r>
      <w:proofErr w:type="spellStart"/>
      <w:r w:rsidR="007E2903" w:rsidRPr="009F1165">
        <w:rPr>
          <w:szCs w:val="22"/>
          <w:lang w:val="hu-HU"/>
        </w:rPr>
        <w:t>antibiotic-associated</w:t>
      </w:r>
      <w:proofErr w:type="spellEnd"/>
      <w:r w:rsidR="007E2903" w:rsidRPr="009F1165">
        <w:rPr>
          <w:szCs w:val="22"/>
          <w:lang w:val="hu-HU"/>
        </w:rPr>
        <w:t xml:space="preserve"> </w:t>
      </w:r>
      <w:proofErr w:type="spellStart"/>
      <w:r w:rsidR="007E2903" w:rsidRPr="009F1165">
        <w:rPr>
          <w:szCs w:val="22"/>
          <w:lang w:val="hu-HU"/>
        </w:rPr>
        <w:t>colitis</w:t>
      </w:r>
      <w:proofErr w:type="spellEnd"/>
      <w:r w:rsidR="007E2903" w:rsidRPr="009F1165">
        <w:rPr>
          <w:szCs w:val="22"/>
          <w:lang w:val="hu-HU"/>
        </w:rPr>
        <w:t xml:space="preserve">, </w:t>
      </w:r>
      <w:r w:rsidRPr="009F1165">
        <w:rPr>
          <w:szCs w:val="22"/>
          <w:lang w:val="hu-HU"/>
        </w:rPr>
        <w:t xml:space="preserve">AAC) – beleértve a </w:t>
      </w:r>
      <w:proofErr w:type="spellStart"/>
      <w:r w:rsidRPr="009F1165">
        <w:rPr>
          <w:szCs w:val="22"/>
          <w:lang w:val="hu-HU"/>
        </w:rPr>
        <w:t>pseudomembranosus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colitist</w:t>
      </w:r>
      <w:proofErr w:type="spellEnd"/>
      <w:r w:rsidRPr="009F1165">
        <w:rPr>
          <w:szCs w:val="22"/>
          <w:lang w:val="hu-HU"/>
        </w:rPr>
        <w:t xml:space="preserve"> és a </w:t>
      </w:r>
      <w:proofErr w:type="spellStart"/>
      <w:r w:rsidRPr="009F1165">
        <w:rPr>
          <w:rFonts w:eastAsia="Batang"/>
          <w:i/>
          <w:iCs/>
          <w:szCs w:val="22"/>
          <w:lang w:val="hu-HU"/>
        </w:rPr>
        <w:t>Clostridium</w:t>
      </w:r>
      <w:proofErr w:type="spellEnd"/>
      <w:r w:rsidRPr="009F1165">
        <w:rPr>
          <w:rFonts w:eastAsia="Batang"/>
          <w:i/>
          <w:iCs/>
          <w:szCs w:val="22"/>
          <w:lang w:val="hu-HU"/>
        </w:rPr>
        <w:t xml:space="preserve"> </w:t>
      </w:r>
      <w:proofErr w:type="spellStart"/>
      <w:r w:rsidRPr="009F1165">
        <w:rPr>
          <w:rFonts w:eastAsia="Batang"/>
          <w:i/>
          <w:iCs/>
          <w:szCs w:val="22"/>
          <w:lang w:val="hu-HU"/>
        </w:rPr>
        <w:t>difficile</w:t>
      </w:r>
      <w:proofErr w:type="spellEnd"/>
      <w:r w:rsidRPr="009F1165">
        <w:rPr>
          <w:rFonts w:eastAsia="Batang"/>
          <w:iCs/>
          <w:szCs w:val="22"/>
          <w:lang w:val="hu-HU"/>
        </w:rPr>
        <w:t xml:space="preserve"> okozta hasmenést </w:t>
      </w:r>
      <w:r w:rsidR="00A27CF1" w:rsidRPr="009F1165">
        <w:rPr>
          <w:rFonts w:eastAsia="Batang"/>
          <w:iCs/>
          <w:szCs w:val="22"/>
          <w:lang w:val="hu-HU"/>
        </w:rPr>
        <w:t>is</w:t>
      </w:r>
      <w:r w:rsidR="00D06D16" w:rsidRPr="009F1165">
        <w:rPr>
          <w:rFonts w:eastAsia="Batang"/>
          <w:iCs/>
          <w:szCs w:val="22"/>
          <w:lang w:val="hu-HU"/>
        </w:rPr>
        <w:t xml:space="preserve"> –</w:t>
      </w:r>
      <w:r w:rsidRPr="009F1165">
        <w:rPr>
          <w:rFonts w:eastAsia="Batang"/>
          <w:iCs/>
          <w:szCs w:val="22"/>
          <w:lang w:val="hu-HU"/>
        </w:rPr>
        <w:t xml:space="preserve"> előfordulásáról majdnem minden széles </w:t>
      </w:r>
      <w:proofErr w:type="gramStart"/>
      <w:r w:rsidRPr="009F1165">
        <w:rPr>
          <w:rFonts w:eastAsia="Batang"/>
          <w:iCs/>
          <w:szCs w:val="22"/>
          <w:lang w:val="hu-HU"/>
        </w:rPr>
        <w:t>spektrumú</w:t>
      </w:r>
      <w:proofErr w:type="gramEnd"/>
      <w:r w:rsidRPr="009F1165">
        <w:rPr>
          <w:rFonts w:eastAsia="Batang"/>
          <w:iCs/>
          <w:szCs w:val="22"/>
          <w:lang w:val="hu-HU"/>
        </w:rPr>
        <w:t xml:space="preserve"> antibiotikum, így a </w:t>
      </w:r>
      <w:proofErr w:type="spellStart"/>
      <w:r w:rsidRPr="009F1165">
        <w:rPr>
          <w:rFonts w:eastAsia="Batang"/>
          <w:iCs/>
          <w:szCs w:val="22"/>
          <w:lang w:val="hu-HU"/>
        </w:rPr>
        <w:t>moxifloxacin</w:t>
      </w:r>
      <w:proofErr w:type="spellEnd"/>
      <w:r w:rsidRPr="009F1165">
        <w:rPr>
          <w:rFonts w:eastAsia="Batang"/>
          <w:iCs/>
          <w:szCs w:val="22"/>
          <w:lang w:val="hu-HU"/>
        </w:rPr>
        <w:t xml:space="preserve"> esetében is beszámoltak, és ezek súlyossága az enyhe hasmenéstől a halálos kimenetelű </w:t>
      </w:r>
      <w:proofErr w:type="spellStart"/>
      <w:r w:rsidRPr="009F1165">
        <w:rPr>
          <w:rFonts w:eastAsia="Batang"/>
          <w:iCs/>
          <w:szCs w:val="22"/>
          <w:lang w:val="hu-HU"/>
        </w:rPr>
        <w:t>colitisig</w:t>
      </w:r>
      <w:proofErr w:type="spellEnd"/>
      <w:r w:rsidRPr="009F1165">
        <w:rPr>
          <w:rFonts w:eastAsia="Batang"/>
          <w:iCs/>
          <w:szCs w:val="22"/>
          <w:lang w:val="hu-HU"/>
        </w:rPr>
        <w:t xml:space="preserve"> változhat. Ezért fontos a diagnózis figyelembe vétele azoknál a betegeknél, akiknél </w:t>
      </w:r>
      <w:proofErr w:type="spellStart"/>
      <w:r w:rsidRPr="009F1165">
        <w:rPr>
          <w:rFonts w:eastAsia="Batang"/>
          <w:iCs/>
          <w:szCs w:val="22"/>
          <w:lang w:val="hu-HU"/>
        </w:rPr>
        <w:t>moxifloxacin</w:t>
      </w:r>
      <w:proofErr w:type="spellEnd"/>
      <w:r w:rsidRPr="009F1165">
        <w:rPr>
          <w:rFonts w:eastAsia="Batang"/>
          <w:iCs/>
          <w:szCs w:val="22"/>
          <w:lang w:val="hu-HU"/>
        </w:rPr>
        <w:t xml:space="preserve">-kezelés alatt vagy után súlyos hasmenés alakul ki. Amennyiben AAD vagy AAC gyanúja áll fenn vagy igazolódik, akkor a folyamatban levő antibakteriális kezelést – beleértve a </w:t>
      </w:r>
      <w:proofErr w:type="spellStart"/>
      <w:r w:rsidRPr="009F1165">
        <w:rPr>
          <w:rFonts w:eastAsia="Batang"/>
          <w:iCs/>
          <w:szCs w:val="22"/>
          <w:lang w:val="hu-HU"/>
        </w:rPr>
        <w:t>moxifloxacint</w:t>
      </w:r>
      <w:proofErr w:type="spellEnd"/>
      <w:r w:rsidRPr="009F1165">
        <w:rPr>
          <w:rFonts w:eastAsia="Batang"/>
          <w:iCs/>
          <w:szCs w:val="22"/>
          <w:lang w:val="hu-HU"/>
        </w:rPr>
        <w:t xml:space="preserve"> is – fel kell függeszteni, és azonnal meg kell kezdeni a megfelelő terápiát. </w:t>
      </w:r>
      <w:proofErr w:type="gramStart"/>
      <w:r w:rsidRPr="009F1165">
        <w:rPr>
          <w:rFonts w:eastAsia="Batang"/>
          <w:iCs/>
          <w:szCs w:val="22"/>
          <w:lang w:val="hu-HU"/>
        </w:rPr>
        <w:t>Ezenkívül</w:t>
      </w:r>
      <w:proofErr w:type="gramEnd"/>
      <w:r w:rsidRPr="009F1165">
        <w:rPr>
          <w:rFonts w:eastAsia="Batang"/>
          <w:iCs/>
          <w:szCs w:val="22"/>
          <w:lang w:val="hu-HU"/>
        </w:rPr>
        <w:t xml:space="preserve"> gondoskodni kell a megfelelő infekciókontrollról a fertőzés</w:t>
      </w:r>
      <w:r w:rsidR="00140F10">
        <w:rPr>
          <w:rFonts w:eastAsia="Batang"/>
          <w:iCs/>
          <w:szCs w:val="22"/>
          <w:lang w:val="hu-HU"/>
        </w:rPr>
        <w:t>-</w:t>
      </w:r>
      <w:r w:rsidRPr="009F1165">
        <w:rPr>
          <w:rFonts w:eastAsia="Batang"/>
          <w:iCs/>
          <w:szCs w:val="22"/>
          <w:lang w:val="hu-HU"/>
        </w:rPr>
        <w:t>átvitel kockázatának csökkentése érdekében. A bél</w:t>
      </w:r>
      <w:r w:rsidR="007E2903" w:rsidRPr="009F1165">
        <w:rPr>
          <w:rFonts w:eastAsia="Batang"/>
          <w:iCs/>
          <w:szCs w:val="22"/>
          <w:lang w:val="hu-HU"/>
        </w:rPr>
        <w:t>perisztaltikát</w:t>
      </w:r>
      <w:r w:rsidRPr="009F1165">
        <w:rPr>
          <w:rFonts w:eastAsia="Batang"/>
          <w:iCs/>
          <w:szCs w:val="22"/>
          <w:lang w:val="hu-HU"/>
        </w:rPr>
        <w:t xml:space="preserve"> gátló gyógyszerek alkalmazása súlyos hasmenésben szenvedő betegeknél</w:t>
      </w:r>
      <w:r w:rsidR="00140F10" w:rsidRPr="00140F10">
        <w:rPr>
          <w:rFonts w:eastAsia="Batang"/>
          <w:iCs/>
          <w:szCs w:val="22"/>
          <w:lang w:val="hu-HU"/>
        </w:rPr>
        <w:t xml:space="preserve"> </w:t>
      </w:r>
      <w:r w:rsidR="00140F10" w:rsidRPr="009F1165">
        <w:rPr>
          <w:rFonts w:eastAsia="Batang"/>
          <w:iCs/>
          <w:szCs w:val="22"/>
          <w:lang w:val="hu-HU"/>
        </w:rPr>
        <w:t>ellenjavallt</w:t>
      </w:r>
      <w:r w:rsidRPr="009F1165">
        <w:rPr>
          <w:rFonts w:eastAsia="Batang"/>
          <w:iCs/>
          <w:szCs w:val="22"/>
          <w:lang w:val="hu-HU"/>
        </w:rPr>
        <w:t>.</w:t>
      </w:r>
    </w:p>
    <w:p w14:paraId="71617E9D" w14:textId="77777777" w:rsidR="00184080" w:rsidRPr="009F1165" w:rsidRDefault="00184080" w:rsidP="009F1165">
      <w:pPr>
        <w:ind w:left="567" w:hanging="567"/>
        <w:rPr>
          <w:szCs w:val="22"/>
          <w:lang w:val="hu-HU"/>
        </w:rPr>
      </w:pPr>
    </w:p>
    <w:p w14:paraId="444351F5" w14:textId="77777777" w:rsidR="00184080" w:rsidRPr="009F1165" w:rsidRDefault="00184080" w:rsidP="009F1165">
      <w:pPr>
        <w:keepNext/>
        <w:rPr>
          <w:szCs w:val="22"/>
          <w:lang w:val="hu-HU"/>
        </w:rPr>
      </w:pPr>
      <w:proofErr w:type="spellStart"/>
      <w:r w:rsidRPr="009F1165">
        <w:rPr>
          <w:rFonts w:eastAsia="Batang"/>
          <w:szCs w:val="22"/>
          <w:u w:val="single"/>
          <w:lang w:val="hu-HU"/>
        </w:rPr>
        <w:t>Myasthenia</w:t>
      </w:r>
      <w:proofErr w:type="spellEnd"/>
      <w:r w:rsidRPr="009F1165">
        <w:rPr>
          <w:rFonts w:eastAsia="Batang"/>
          <w:szCs w:val="22"/>
          <w:u w:val="single"/>
          <w:lang w:val="hu-HU"/>
        </w:rPr>
        <w:t xml:space="preserve"> </w:t>
      </w:r>
      <w:proofErr w:type="spellStart"/>
      <w:r w:rsidRPr="009F1165">
        <w:rPr>
          <w:rFonts w:eastAsia="Batang"/>
          <w:szCs w:val="22"/>
          <w:u w:val="single"/>
          <w:lang w:val="hu-HU"/>
        </w:rPr>
        <w:t>gravis</w:t>
      </w:r>
      <w:proofErr w:type="spellEnd"/>
    </w:p>
    <w:p w14:paraId="65AC06D5" w14:textId="77777777" w:rsidR="00A83D7D" w:rsidRPr="009F1165" w:rsidRDefault="00A83D7D" w:rsidP="009F1165">
      <w:pPr>
        <w:keepNext/>
        <w:rPr>
          <w:rFonts w:eastAsia="Batang"/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rFonts w:eastAsia="Batang"/>
          <w:szCs w:val="22"/>
          <w:lang w:val="hu-HU"/>
        </w:rPr>
        <w:t>moxifloxacint</w:t>
      </w:r>
      <w:proofErr w:type="spellEnd"/>
      <w:r w:rsidRPr="009F1165">
        <w:rPr>
          <w:rFonts w:eastAsia="Batang"/>
          <w:szCs w:val="22"/>
          <w:lang w:val="hu-HU"/>
        </w:rPr>
        <w:t xml:space="preserve"> elővigyázatossággal kell alkalmazni </w:t>
      </w:r>
      <w:proofErr w:type="spellStart"/>
      <w:r w:rsidRPr="009F1165">
        <w:rPr>
          <w:rFonts w:eastAsia="Batang"/>
          <w:szCs w:val="22"/>
          <w:lang w:val="hu-HU"/>
        </w:rPr>
        <w:t>myasthenia</w:t>
      </w:r>
      <w:proofErr w:type="spellEnd"/>
      <w:r w:rsidRPr="009F1165">
        <w:rPr>
          <w:rFonts w:eastAsia="Batang"/>
          <w:szCs w:val="22"/>
          <w:lang w:val="hu-HU"/>
        </w:rPr>
        <w:t xml:space="preserve"> </w:t>
      </w:r>
      <w:proofErr w:type="spellStart"/>
      <w:r w:rsidRPr="009F1165">
        <w:rPr>
          <w:rFonts w:eastAsia="Batang"/>
          <w:szCs w:val="22"/>
          <w:lang w:val="hu-HU"/>
        </w:rPr>
        <w:t>gravisban</w:t>
      </w:r>
      <w:proofErr w:type="spellEnd"/>
      <w:r w:rsidRPr="009F1165">
        <w:rPr>
          <w:rFonts w:eastAsia="Batang"/>
          <w:szCs w:val="22"/>
          <w:lang w:val="hu-HU"/>
        </w:rPr>
        <w:t xml:space="preserve"> szenvedő betegek esetében, mivel az a tünetek fellángolását okozhatja.</w:t>
      </w:r>
    </w:p>
    <w:p w14:paraId="138F09A0" w14:textId="77777777" w:rsidR="00184080" w:rsidRPr="009F1165" w:rsidRDefault="00184080" w:rsidP="002100A6">
      <w:pPr>
        <w:ind w:left="567" w:hanging="567"/>
        <w:rPr>
          <w:szCs w:val="22"/>
          <w:lang w:val="hu-HU"/>
        </w:rPr>
      </w:pPr>
    </w:p>
    <w:p w14:paraId="41850D97" w14:textId="77777777" w:rsidR="00063572" w:rsidRPr="00063572" w:rsidRDefault="00063572" w:rsidP="00063572">
      <w:pPr>
        <w:ind w:left="567" w:hanging="567"/>
        <w:rPr>
          <w:szCs w:val="22"/>
          <w:u w:val="single"/>
          <w:lang w:val="hu-HU"/>
        </w:rPr>
      </w:pPr>
      <w:r w:rsidRPr="00063572">
        <w:rPr>
          <w:szCs w:val="22"/>
          <w:u w:val="single"/>
          <w:lang w:val="hu-HU"/>
        </w:rPr>
        <w:t>Íngyulladás és ínszakadás</w:t>
      </w:r>
    </w:p>
    <w:p w14:paraId="28672BE8" w14:textId="77777777" w:rsidR="00063572" w:rsidRPr="00687468" w:rsidRDefault="00063572" w:rsidP="00063572">
      <w:pPr>
        <w:rPr>
          <w:szCs w:val="22"/>
          <w:lang w:val="hu-HU"/>
        </w:rPr>
      </w:pPr>
      <w:r w:rsidRPr="00687468">
        <w:rPr>
          <w:szCs w:val="22"/>
          <w:lang w:val="hu-HU"/>
        </w:rPr>
        <w:t xml:space="preserve">Az íngyulladás és az ínszakadás (különösen – de nem kizárólag – az Achilles-íné) már a </w:t>
      </w:r>
      <w:proofErr w:type="spellStart"/>
      <w:r w:rsidRPr="00687468">
        <w:rPr>
          <w:szCs w:val="22"/>
          <w:lang w:val="hu-HU"/>
        </w:rPr>
        <w:t>kinolon</w:t>
      </w:r>
      <w:proofErr w:type="spellEnd"/>
      <w:r w:rsidRPr="00687468">
        <w:rPr>
          <w:szCs w:val="22"/>
          <w:lang w:val="hu-HU"/>
        </w:rPr>
        <w:t xml:space="preserve"> vagy </w:t>
      </w:r>
      <w:proofErr w:type="spellStart"/>
      <w:r w:rsidRPr="00687468">
        <w:rPr>
          <w:szCs w:val="22"/>
          <w:lang w:val="hu-HU"/>
        </w:rPr>
        <w:t>fluorokinolon</w:t>
      </w:r>
      <w:proofErr w:type="spellEnd"/>
      <w:r w:rsidRPr="00687468">
        <w:rPr>
          <w:szCs w:val="22"/>
          <w:lang w:val="hu-HU"/>
        </w:rPr>
        <w:t xml:space="preserve">-kezelés megkezdését követő 48 órán belül jelentkezhet, néha mindkét oldalon, és a kezelés abbahagyását követően hónapokkal később is jelentették előfordulását (lásd 4.3 és 4.8 pontok). Az íngyulladás és az ínszakadás kockázata nagyobb idősebb betegeknél, vesekárosodásban szenvedő betegeknél, szervtranszplantáción átesett betegeknél, illetve egyidejűleg </w:t>
      </w:r>
      <w:proofErr w:type="spellStart"/>
      <w:r w:rsidRPr="00687468">
        <w:rPr>
          <w:szCs w:val="22"/>
          <w:lang w:val="hu-HU"/>
        </w:rPr>
        <w:t>kortikoszteroidokkal</w:t>
      </w:r>
      <w:proofErr w:type="spellEnd"/>
      <w:r w:rsidRPr="00687468">
        <w:rPr>
          <w:szCs w:val="22"/>
          <w:lang w:val="hu-HU"/>
        </w:rPr>
        <w:t xml:space="preserve"> kezelt betegek esetében. </w:t>
      </w:r>
      <w:proofErr w:type="spellStart"/>
      <w:r w:rsidRPr="00687468">
        <w:rPr>
          <w:szCs w:val="22"/>
          <w:lang w:val="hu-HU"/>
        </w:rPr>
        <w:t>Kortikoszteroidok</w:t>
      </w:r>
      <w:proofErr w:type="spellEnd"/>
      <w:r w:rsidRPr="00687468">
        <w:rPr>
          <w:szCs w:val="22"/>
          <w:lang w:val="hu-HU"/>
        </w:rPr>
        <w:t xml:space="preserve"> egyidejű alkalmazása ezért kerülendő.</w:t>
      </w:r>
    </w:p>
    <w:p w14:paraId="04059493" w14:textId="77777777" w:rsidR="00063572" w:rsidRPr="00687468" w:rsidRDefault="00063572" w:rsidP="00063572">
      <w:pPr>
        <w:widowControl w:val="0"/>
        <w:autoSpaceDE w:val="0"/>
        <w:autoSpaceDN w:val="0"/>
        <w:adjustRightInd w:val="0"/>
        <w:rPr>
          <w:szCs w:val="22"/>
          <w:lang w:val="hu-HU"/>
        </w:rPr>
      </w:pPr>
      <w:r w:rsidRPr="00687468">
        <w:rPr>
          <w:szCs w:val="22"/>
          <w:lang w:val="hu-HU"/>
        </w:rPr>
        <w:t xml:space="preserve">A </w:t>
      </w:r>
      <w:proofErr w:type="spellStart"/>
      <w:r w:rsidRPr="00687468">
        <w:rPr>
          <w:szCs w:val="22"/>
          <w:lang w:val="hu-HU"/>
        </w:rPr>
        <w:t>moxifloxacin</w:t>
      </w:r>
      <w:proofErr w:type="spellEnd"/>
      <w:r w:rsidRPr="00687468">
        <w:rPr>
          <w:szCs w:val="22"/>
          <w:lang w:val="hu-HU"/>
        </w:rPr>
        <w:t xml:space="preserve">-kezelést a </w:t>
      </w:r>
      <w:proofErr w:type="spellStart"/>
      <w:r w:rsidRPr="00687468">
        <w:rPr>
          <w:szCs w:val="22"/>
          <w:lang w:val="hu-HU"/>
        </w:rPr>
        <w:t>tendinitis</w:t>
      </w:r>
      <w:proofErr w:type="spellEnd"/>
      <w:r w:rsidRPr="00687468">
        <w:rPr>
          <w:szCs w:val="22"/>
          <w:lang w:val="hu-HU"/>
        </w:rPr>
        <w:t xml:space="preserve"> első jeleinek (például fájdalmas duzzanat, gyulladás) jelentkezésekor le kell állítani, és más kezelést kell megfontolni. Az érintett végtagot megfelelően kezelni kell (például immobilizáció). </w:t>
      </w:r>
      <w:proofErr w:type="spellStart"/>
      <w:r w:rsidRPr="00687468">
        <w:rPr>
          <w:szCs w:val="22"/>
          <w:lang w:val="hu-HU"/>
        </w:rPr>
        <w:t>Tendinopathia</w:t>
      </w:r>
      <w:proofErr w:type="spellEnd"/>
      <w:r w:rsidRPr="00687468">
        <w:rPr>
          <w:szCs w:val="22"/>
          <w:lang w:val="hu-HU"/>
        </w:rPr>
        <w:t xml:space="preserve"> tüneteinek jelentkezésekor </w:t>
      </w:r>
      <w:proofErr w:type="spellStart"/>
      <w:r w:rsidRPr="00687468">
        <w:rPr>
          <w:szCs w:val="22"/>
          <w:lang w:val="hu-HU"/>
        </w:rPr>
        <w:t>kortikoszteroidok</w:t>
      </w:r>
      <w:proofErr w:type="spellEnd"/>
      <w:r w:rsidRPr="00687468">
        <w:rPr>
          <w:szCs w:val="22"/>
          <w:lang w:val="hu-HU"/>
        </w:rPr>
        <w:t xml:space="preserve"> nem alkalmazhatók.</w:t>
      </w:r>
    </w:p>
    <w:p w14:paraId="77BAB6E5" w14:textId="77777777" w:rsidR="003F075B" w:rsidRPr="00207FCF" w:rsidRDefault="003F075B" w:rsidP="00063572">
      <w:pPr>
        <w:widowControl w:val="0"/>
        <w:autoSpaceDE w:val="0"/>
        <w:autoSpaceDN w:val="0"/>
        <w:adjustRightInd w:val="0"/>
        <w:rPr>
          <w:szCs w:val="22"/>
          <w:lang w:val="hu-HU"/>
        </w:rPr>
      </w:pPr>
    </w:p>
    <w:p w14:paraId="3E4EAD7A" w14:textId="77777777" w:rsidR="004A022C" w:rsidRPr="00770D2C" w:rsidRDefault="004A022C" w:rsidP="004A022C">
      <w:pPr>
        <w:autoSpaceDN w:val="0"/>
        <w:adjustRightInd w:val="0"/>
        <w:rPr>
          <w:u w:val="single"/>
        </w:rPr>
      </w:pPr>
      <w:bookmarkStart w:id="1" w:name="_Hlk53415404"/>
      <w:proofErr w:type="spellStart"/>
      <w:r w:rsidRPr="00770D2C">
        <w:rPr>
          <w:u w:val="single"/>
        </w:rPr>
        <w:t>Aortaaneurysma</w:t>
      </w:r>
      <w:proofErr w:type="spellEnd"/>
      <w:r w:rsidRPr="00770D2C">
        <w:rPr>
          <w:u w:val="single"/>
        </w:rPr>
        <w:t xml:space="preserve"> </w:t>
      </w:r>
      <w:proofErr w:type="spellStart"/>
      <w:r w:rsidRPr="00770D2C">
        <w:rPr>
          <w:u w:val="single"/>
        </w:rPr>
        <w:t>és</w:t>
      </w:r>
      <w:proofErr w:type="spellEnd"/>
      <w:r w:rsidRPr="00770D2C">
        <w:rPr>
          <w:u w:val="single"/>
        </w:rPr>
        <w:t xml:space="preserve"> -</w:t>
      </w:r>
      <w:proofErr w:type="spellStart"/>
      <w:r w:rsidRPr="00770D2C">
        <w:rPr>
          <w:u w:val="single"/>
        </w:rPr>
        <w:t>dissectio</w:t>
      </w:r>
      <w:proofErr w:type="spellEnd"/>
      <w:r w:rsidRPr="00770D2C">
        <w:rPr>
          <w:u w:val="single"/>
        </w:rPr>
        <w:t xml:space="preserve"> </w:t>
      </w:r>
      <w:proofErr w:type="spellStart"/>
      <w:r w:rsidRPr="00770D2C">
        <w:rPr>
          <w:u w:val="single"/>
        </w:rPr>
        <w:t>és</w:t>
      </w:r>
      <w:proofErr w:type="spellEnd"/>
      <w:r w:rsidRPr="00770D2C">
        <w:rPr>
          <w:u w:val="single"/>
        </w:rPr>
        <w:t xml:space="preserve"> </w:t>
      </w:r>
      <w:proofErr w:type="spellStart"/>
      <w:r w:rsidRPr="00770D2C">
        <w:rPr>
          <w:u w:val="single"/>
        </w:rPr>
        <w:t>szívbillentyűhiba</w:t>
      </w:r>
      <w:proofErr w:type="spellEnd"/>
      <w:r w:rsidRPr="00770D2C">
        <w:rPr>
          <w:u w:val="single"/>
          <w:lang w:val="en-US"/>
        </w:rPr>
        <w:t xml:space="preserve"> </w:t>
      </w:r>
      <w:proofErr w:type="spellStart"/>
      <w:r w:rsidRPr="00770D2C">
        <w:rPr>
          <w:u w:val="single"/>
          <w:lang w:val="en-US"/>
        </w:rPr>
        <w:t>oko</w:t>
      </w:r>
      <w:r w:rsidRPr="00770D2C">
        <w:rPr>
          <w:u w:val="single"/>
        </w:rPr>
        <w:t>zta</w:t>
      </w:r>
      <w:proofErr w:type="spellEnd"/>
      <w:r w:rsidRPr="00770D2C">
        <w:rPr>
          <w:u w:val="single"/>
        </w:rPr>
        <w:t xml:space="preserve"> </w:t>
      </w:r>
      <w:proofErr w:type="spellStart"/>
      <w:r w:rsidRPr="00770D2C">
        <w:rPr>
          <w:u w:val="single"/>
        </w:rPr>
        <w:t>regurgitatio</w:t>
      </w:r>
      <w:proofErr w:type="spellEnd"/>
      <w:r w:rsidRPr="00770D2C">
        <w:rPr>
          <w:u w:val="single"/>
        </w:rPr>
        <w:t>/</w:t>
      </w:r>
      <w:proofErr w:type="spellStart"/>
      <w:r w:rsidRPr="00770D2C">
        <w:rPr>
          <w:u w:val="single"/>
        </w:rPr>
        <w:t>billentyűelégtelenség</w:t>
      </w:r>
      <w:proofErr w:type="spellEnd"/>
    </w:p>
    <w:p w14:paraId="6B620426" w14:textId="77777777" w:rsidR="004A022C" w:rsidRDefault="004A022C" w:rsidP="004A022C">
      <w:pPr>
        <w:autoSpaceDN w:val="0"/>
        <w:adjustRightInd w:val="0"/>
      </w:pPr>
      <w:proofErr w:type="spellStart"/>
      <w:proofErr w:type="gramStart"/>
      <w:r w:rsidRPr="00770D2C">
        <w:t>Az</w:t>
      </w:r>
      <w:proofErr w:type="spellEnd"/>
      <w:proofErr w:type="gramEnd"/>
      <w:r w:rsidRPr="00770D2C">
        <w:t xml:space="preserve"> </w:t>
      </w:r>
      <w:proofErr w:type="spellStart"/>
      <w:r w:rsidRPr="00770D2C">
        <w:t>epidemiológiai</w:t>
      </w:r>
      <w:proofErr w:type="spellEnd"/>
      <w:r w:rsidRPr="00770D2C">
        <w:t xml:space="preserve"> </w:t>
      </w:r>
      <w:proofErr w:type="spellStart"/>
      <w:r w:rsidRPr="00770D2C">
        <w:t>vizsgálatok</w:t>
      </w:r>
      <w:proofErr w:type="spellEnd"/>
      <w:r w:rsidRPr="00770D2C">
        <w:t xml:space="preserve"> a </w:t>
      </w:r>
      <w:proofErr w:type="spellStart"/>
      <w:r w:rsidRPr="00770D2C">
        <w:t>fluorokinolonok</w:t>
      </w:r>
      <w:proofErr w:type="spellEnd"/>
      <w:r w:rsidRPr="00770D2C">
        <w:t xml:space="preserve"> </w:t>
      </w:r>
      <w:proofErr w:type="spellStart"/>
      <w:r w:rsidRPr="00770D2C">
        <w:t>bevételét</w:t>
      </w:r>
      <w:proofErr w:type="spellEnd"/>
      <w:r w:rsidRPr="00770D2C">
        <w:t xml:space="preserve"> </w:t>
      </w:r>
      <w:proofErr w:type="spellStart"/>
      <w:r w:rsidRPr="00770D2C">
        <w:t>követően</w:t>
      </w:r>
      <w:proofErr w:type="spellEnd"/>
      <w:r w:rsidRPr="00770D2C">
        <w:t xml:space="preserve"> </w:t>
      </w:r>
      <w:proofErr w:type="spellStart"/>
      <w:r w:rsidRPr="00770D2C">
        <w:t>az</w:t>
      </w:r>
      <w:proofErr w:type="spellEnd"/>
      <w:r w:rsidRPr="00770D2C">
        <w:t xml:space="preserve"> </w:t>
      </w:r>
      <w:proofErr w:type="spellStart"/>
      <w:r w:rsidRPr="00770D2C">
        <w:t>aortaaneurysma</w:t>
      </w:r>
      <w:proofErr w:type="spellEnd"/>
      <w:r w:rsidRPr="00770D2C">
        <w:t xml:space="preserve"> </w:t>
      </w:r>
      <w:proofErr w:type="spellStart"/>
      <w:r w:rsidRPr="00770D2C">
        <w:t>és</w:t>
      </w:r>
      <w:proofErr w:type="spellEnd"/>
      <w:r w:rsidRPr="00770D2C">
        <w:t xml:space="preserve"> </w:t>
      </w:r>
      <w:proofErr w:type="spellStart"/>
      <w:r w:rsidRPr="00770D2C">
        <w:t>aortadissectio</w:t>
      </w:r>
      <w:proofErr w:type="spellEnd"/>
      <w:r w:rsidRPr="00770D2C">
        <w:t xml:space="preserve">, </w:t>
      </w:r>
      <w:proofErr w:type="spellStart"/>
      <w:r w:rsidRPr="00770D2C">
        <w:t>valamint</w:t>
      </w:r>
      <w:proofErr w:type="spellEnd"/>
      <w:r w:rsidRPr="00770D2C">
        <w:t xml:space="preserve"> </w:t>
      </w:r>
      <w:proofErr w:type="spellStart"/>
      <w:r w:rsidRPr="00770D2C">
        <w:t>az</w:t>
      </w:r>
      <w:proofErr w:type="spellEnd"/>
      <w:r w:rsidRPr="00770D2C">
        <w:t xml:space="preserve"> aorta- </w:t>
      </w:r>
      <w:proofErr w:type="spellStart"/>
      <w:r w:rsidRPr="00770D2C">
        <w:t>és</w:t>
      </w:r>
      <w:proofErr w:type="spellEnd"/>
      <w:r w:rsidRPr="00770D2C">
        <w:t xml:space="preserve"> a </w:t>
      </w:r>
      <w:proofErr w:type="spellStart"/>
      <w:r w:rsidRPr="00770D2C">
        <w:t>mitralis</w:t>
      </w:r>
      <w:proofErr w:type="spellEnd"/>
      <w:r w:rsidRPr="00770D2C">
        <w:t xml:space="preserve"> </w:t>
      </w:r>
      <w:proofErr w:type="spellStart"/>
      <w:r w:rsidRPr="00770D2C">
        <w:t>billentyű</w:t>
      </w:r>
      <w:proofErr w:type="spellEnd"/>
      <w:r w:rsidRPr="00770D2C">
        <w:t xml:space="preserve"> </w:t>
      </w:r>
      <w:proofErr w:type="spellStart"/>
      <w:r w:rsidRPr="00770D2C">
        <w:t>regurgitatiójának</w:t>
      </w:r>
      <w:proofErr w:type="spellEnd"/>
      <w:r w:rsidRPr="00770D2C">
        <w:t xml:space="preserve"> </w:t>
      </w:r>
      <w:proofErr w:type="spellStart"/>
      <w:r w:rsidRPr="00770D2C">
        <w:t>fokozott</w:t>
      </w:r>
      <w:proofErr w:type="spellEnd"/>
      <w:r w:rsidRPr="00770D2C">
        <w:t xml:space="preserve"> </w:t>
      </w:r>
      <w:proofErr w:type="spellStart"/>
      <w:r w:rsidRPr="00770D2C">
        <w:t>kockázatáról</w:t>
      </w:r>
      <w:proofErr w:type="spellEnd"/>
      <w:r w:rsidRPr="00770D2C">
        <w:t xml:space="preserve"> </w:t>
      </w:r>
      <w:proofErr w:type="spellStart"/>
      <w:r w:rsidRPr="00770D2C">
        <w:t>számoltak</w:t>
      </w:r>
      <w:proofErr w:type="spellEnd"/>
      <w:r w:rsidRPr="00770D2C">
        <w:t xml:space="preserve"> be, </w:t>
      </w:r>
      <w:proofErr w:type="spellStart"/>
      <w:r w:rsidRPr="00770D2C">
        <w:t>különösen</w:t>
      </w:r>
      <w:proofErr w:type="spellEnd"/>
      <w:r w:rsidRPr="00770D2C">
        <w:t xml:space="preserve"> </w:t>
      </w:r>
      <w:proofErr w:type="spellStart"/>
      <w:r w:rsidRPr="00770D2C">
        <w:t>időseknél</w:t>
      </w:r>
      <w:proofErr w:type="spellEnd"/>
      <w:r w:rsidRPr="00770D2C">
        <w:t xml:space="preserve">. </w:t>
      </w:r>
      <w:proofErr w:type="spellStart"/>
      <w:r w:rsidRPr="00770D2C">
        <w:t>Fluorokinolon-kezelésben</w:t>
      </w:r>
      <w:proofErr w:type="spellEnd"/>
      <w:r w:rsidRPr="00770D2C">
        <w:t xml:space="preserve"> </w:t>
      </w:r>
      <w:proofErr w:type="spellStart"/>
      <w:r w:rsidRPr="00770D2C">
        <w:t>részesülő</w:t>
      </w:r>
      <w:proofErr w:type="spellEnd"/>
      <w:r w:rsidRPr="00770D2C">
        <w:t xml:space="preserve"> </w:t>
      </w:r>
      <w:proofErr w:type="spellStart"/>
      <w:r w:rsidRPr="00770D2C">
        <w:t>betegeknél</w:t>
      </w:r>
      <w:proofErr w:type="spellEnd"/>
      <w:r w:rsidRPr="00770D2C">
        <w:t xml:space="preserve"> </w:t>
      </w:r>
      <w:proofErr w:type="spellStart"/>
      <w:r w:rsidRPr="00770D2C">
        <w:t>beszámoltak</w:t>
      </w:r>
      <w:proofErr w:type="spellEnd"/>
      <w:r w:rsidRPr="00770D2C">
        <w:t xml:space="preserve"> </w:t>
      </w:r>
      <w:proofErr w:type="spellStart"/>
      <w:proofErr w:type="gramStart"/>
      <w:r w:rsidRPr="00770D2C">
        <w:t>az</w:t>
      </w:r>
      <w:proofErr w:type="spellEnd"/>
      <w:proofErr w:type="gramEnd"/>
      <w:r w:rsidRPr="00770D2C">
        <w:t xml:space="preserve"> </w:t>
      </w:r>
      <w:proofErr w:type="spellStart"/>
      <w:r w:rsidRPr="00770D2C">
        <w:t>aortaaneurysma</w:t>
      </w:r>
      <w:proofErr w:type="spellEnd"/>
      <w:r w:rsidRPr="00770D2C">
        <w:t xml:space="preserve"> </w:t>
      </w:r>
      <w:proofErr w:type="spellStart"/>
      <w:r w:rsidRPr="00770D2C">
        <w:t>és</w:t>
      </w:r>
      <w:proofErr w:type="spellEnd"/>
      <w:r w:rsidRPr="00770D2C">
        <w:t xml:space="preserve"> -</w:t>
      </w:r>
      <w:proofErr w:type="spellStart"/>
      <w:r w:rsidRPr="00770D2C">
        <w:t>dissectio</w:t>
      </w:r>
      <w:proofErr w:type="spellEnd"/>
      <w:r w:rsidRPr="00770D2C">
        <w:t xml:space="preserve"> </w:t>
      </w:r>
      <w:proofErr w:type="spellStart"/>
      <w:r w:rsidRPr="00770D2C">
        <w:t>bekövetkeztéről</w:t>
      </w:r>
      <w:proofErr w:type="spellEnd"/>
      <w:r w:rsidRPr="00770D2C">
        <w:t xml:space="preserve">, </w:t>
      </w:r>
      <w:proofErr w:type="spellStart"/>
      <w:r w:rsidRPr="00770D2C">
        <w:t>amelyek</w:t>
      </w:r>
      <w:proofErr w:type="spellEnd"/>
      <w:r w:rsidRPr="00770D2C">
        <w:t xml:space="preserve"> </w:t>
      </w:r>
      <w:proofErr w:type="spellStart"/>
      <w:r w:rsidRPr="00770D2C">
        <w:t>néha</w:t>
      </w:r>
      <w:proofErr w:type="spellEnd"/>
      <w:r w:rsidRPr="00770D2C">
        <w:t xml:space="preserve"> </w:t>
      </w:r>
      <w:proofErr w:type="spellStart"/>
      <w:r w:rsidRPr="00770D2C">
        <w:t>rupturával</w:t>
      </w:r>
      <w:proofErr w:type="spellEnd"/>
      <w:r w:rsidRPr="00770D2C">
        <w:t xml:space="preserve"> (</w:t>
      </w:r>
      <w:proofErr w:type="spellStart"/>
      <w:r w:rsidRPr="00770D2C">
        <w:t>egyes</w:t>
      </w:r>
      <w:proofErr w:type="spellEnd"/>
      <w:r w:rsidRPr="00770D2C">
        <w:t xml:space="preserve"> </w:t>
      </w:r>
      <w:proofErr w:type="spellStart"/>
      <w:r w:rsidRPr="00770D2C">
        <w:t>esetekben</w:t>
      </w:r>
      <w:proofErr w:type="spellEnd"/>
      <w:r w:rsidRPr="00770D2C">
        <w:t xml:space="preserve"> </w:t>
      </w:r>
      <w:proofErr w:type="spellStart"/>
      <w:r w:rsidRPr="00770D2C">
        <w:t>halálos</w:t>
      </w:r>
      <w:proofErr w:type="spellEnd"/>
      <w:r w:rsidRPr="00770D2C">
        <w:t xml:space="preserve"> </w:t>
      </w:r>
      <w:proofErr w:type="spellStart"/>
      <w:r w:rsidRPr="00770D2C">
        <w:t>kimenetellel</w:t>
      </w:r>
      <w:proofErr w:type="spellEnd"/>
      <w:r w:rsidRPr="00770D2C">
        <w:t xml:space="preserve">) </w:t>
      </w:r>
      <w:proofErr w:type="spellStart"/>
      <w:r w:rsidRPr="00770D2C">
        <w:t>jártak</w:t>
      </w:r>
      <w:proofErr w:type="spellEnd"/>
      <w:r w:rsidRPr="00770D2C">
        <w:t xml:space="preserve">, </w:t>
      </w:r>
      <w:proofErr w:type="spellStart"/>
      <w:r w:rsidRPr="00770D2C">
        <w:t>valamint</w:t>
      </w:r>
      <w:proofErr w:type="spellEnd"/>
      <w:r w:rsidRPr="00770D2C">
        <w:t xml:space="preserve"> a </w:t>
      </w:r>
      <w:proofErr w:type="spellStart"/>
      <w:r w:rsidRPr="00770D2C">
        <w:t>szívbillentyűhiba</w:t>
      </w:r>
      <w:proofErr w:type="spellEnd"/>
      <w:r w:rsidRPr="00770D2C">
        <w:t xml:space="preserve"> </w:t>
      </w:r>
      <w:proofErr w:type="spellStart"/>
      <w:r w:rsidRPr="00770D2C">
        <w:t>miatti</w:t>
      </w:r>
      <w:proofErr w:type="spellEnd"/>
      <w:r w:rsidRPr="00770D2C">
        <w:t xml:space="preserve"> </w:t>
      </w:r>
      <w:proofErr w:type="spellStart"/>
      <w:r w:rsidRPr="00770D2C">
        <w:t>regurgitatióról</w:t>
      </w:r>
      <w:proofErr w:type="spellEnd"/>
      <w:r w:rsidRPr="00770D2C">
        <w:t xml:space="preserve">, </w:t>
      </w:r>
      <w:proofErr w:type="spellStart"/>
      <w:r w:rsidRPr="00770D2C">
        <w:t>illetve</w:t>
      </w:r>
      <w:proofErr w:type="spellEnd"/>
      <w:r w:rsidRPr="00770D2C">
        <w:t xml:space="preserve"> </w:t>
      </w:r>
      <w:proofErr w:type="spellStart"/>
      <w:r w:rsidRPr="00770D2C">
        <w:t>billentyűelégtelenségről</w:t>
      </w:r>
      <w:proofErr w:type="spellEnd"/>
      <w:r w:rsidRPr="00770D2C">
        <w:t xml:space="preserve"> (</w:t>
      </w:r>
      <w:proofErr w:type="spellStart"/>
      <w:r w:rsidRPr="00770D2C">
        <w:t>lásd</w:t>
      </w:r>
      <w:proofErr w:type="spellEnd"/>
      <w:r w:rsidRPr="00770D2C">
        <w:t xml:space="preserve"> 4.8 </w:t>
      </w:r>
      <w:proofErr w:type="spellStart"/>
      <w:r w:rsidRPr="00770D2C">
        <w:t>pont</w:t>
      </w:r>
      <w:proofErr w:type="spellEnd"/>
      <w:r w:rsidRPr="00770D2C">
        <w:t>).</w:t>
      </w:r>
    </w:p>
    <w:p w14:paraId="2A46160D" w14:textId="77777777" w:rsidR="004A022C" w:rsidRPr="00770D2C" w:rsidRDefault="004A022C" w:rsidP="004A022C">
      <w:pPr>
        <w:autoSpaceDN w:val="0"/>
        <w:adjustRightInd w:val="0"/>
      </w:pPr>
      <w:proofErr w:type="spellStart"/>
      <w:r w:rsidRPr="00770D2C">
        <w:t>Ezért</w:t>
      </w:r>
      <w:proofErr w:type="spellEnd"/>
      <w:r w:rsidRPr="00770D2C">
        <w:t xml:space="preserve"> a </w:t>
      </w:r>
      <w:proofErr w:type="spellStart"/>
      <w:r w:rsidRPr="00770D2C">
        <w:t>fluorokinolonokat</w:t>
      </w:r>
      <w:proofErr w:type="spellEnd"/>
      <w:r w:rsidRPr="00770D2C">
        <w:t xml:space="preserve"> </w:t>
      </w:r>
      <w:proofErr w:type="spellStart"/>
      <w:r w:rsidRPr="00770D2C">
        <w:t>kizárólag</w:t>
      </w:r>
      <w:proofErr w:type="spellEnd"/>
      <w:r w:rsidRPr="00770D2C">
        <w:t xml:space="preserve"> </w:t>
      </w:r>
      <w:proofErr w:type="spellStart"/>
      <w:r w:rsidRPr="00770D2C">
        <w:t>gondos</w:t>
      </w:r>
      <w:proofErr w:type="spellEnd"/>
      <w:r w:rsidRPr="00770D2C">
        <w:t xml:space="preserve"> </w:t>
      </w:r>
      <w:proofErr w:type="spellStart"/>
      <w:r w:rsidRPr="00770D2C">
        <w:t>előny-kockázat</w:t>
      </w:r>
      <w:proofErr w:type="spellEnd"/>
      <w:r w:rsidRPr="00770D2C">
        <w:t xml:space="preserve"> </w:t>
      </w:r>
      <w:proofErr w:type="spellStart"/>
      <w:r w:rsidRPr="00770D2C">
        <w:t>értékelést</w:t>
      </w:r>
      <w:proofErr w:type="spellEnd"/>
      <w:r w:rsidRPr="00770D2C">
        <w:t xml:space="preserve"> </w:t>
      </w:r>
      <w:proofErr w:type="spellStart"/>
      <w:r w:rsidRPr="00770D2C">
        <w:t>és</w:t>
      </w:r>
      <w:proofErr w:type="spellEnd"/>
      <w:r w:rsidRPr="00770D2C">
        <w:t xml:space="preserve"> </w:t>
      </w:r>
      <w:proofErr w:type="spellStart"/>
      <w:r w:rsidRPr="00770D2C">
        <w:t>más</w:t>
      </w:r>
      <w:proofErr w:type="spellEnd"/>
      <w:r w:rsidRPr="00770D2C">
        <w:t xml:space="preserve"> </w:t>
      </w:r>
      <w:proofErr w:type="spellStart"/>
      <w:r w:rsidRPr="00770D2C">
        <w:t>terápiás</w:t>
      </w:r>
      <w:proofErr w:type="spellEnd"/>
      <w:r w:rsidRPr="00770D2C">
        <w:t xml:space="preserve"> </w:t>
      </w:r>
      <w:proofErr w:type="spellStart"/>
      <w:r w:rsidRPr="00770D2C">
        <w:t>lehetőségek</w:t>
      </w:r>
      <w:proofErr w:type="spellEnd"/>
      <w:r w:rsidRPr="00770D2C">
        <w:t xml:space="preserve"> </w:t>
      </w:r>
      <w:proofErr w:type="spellStart"/>
      <w:r w:rsidRPr="00770D2C">
        <w:t>mérlegelését</w:t>
      </w:r>
      <w:proofErr w:type="spellEnd"/>
      <w:r w:rsidRPr="00770D2C">
        <w:t xml:space="preserve"> </w:t>
      </w:r>
      <w:proofErr w:type="spellStart"/>
      <w:r w:rsidRPr="00770D2C">
        <w:t>követően</w:t>
      </w:r>
      <w:proofErr w:type="spellEnd"/>
      <w:r w:rsidRPr="00770D2C">
        <w:t xml:space="preserve"> </w:t>
      </w:r>
      <w:proofErr w:type="spellStart"/>
      <w:r w:rsidRPr="00770D2C">
        <w:t>szabad</w:t>
      </w:r>
      <w:proofErr w:type="spellEnd"/>
      <w:r w:rsidRPr="00770D2C">
        <w:t xml:space="preserve"> </w:t>
      </w:r>
      <w:proofErr w:type="spellStart"/>
      <w:r w:rsidRPr="00770D2C">
        <w:t>csak</w:t>
      </w:r>
      <w:proofErr w:type="spellEnd"/>
      <w:r w:rsidRPr="00770D2C">
        <w:t xml:space="preserve"> </w:t>
      </w:r>
      <w:proofErr w:type="spellStart"/>
      <w:r w:rsidRPr="00770D2C">
        <w:t>alkalmazni</w:t>
      </w:r>
      <w:proofErr w:type="spellEnd"/>
      <w:r w:rsidRPr="00770D2C">
        <w:t xml:space="preserve">, ha a </w:t>
      </w:r>
      <w:proofErr w:type="spellStart"/>
      <w:r w:rsidRPr="00770D2C">
        <w:t>beteg</w:t>
      </w:r>
      <w:proofErr w:type="spellEnd"/>
      <w:r w:rsidRPr="00770D2C">
        <w:t xml:space="preserve"> </w:t>
      </w:r>
      <w:proofErr w:type="spellStart"/>
      <w:r w:rsidRPr="00770D2C">
        <w:t>családi</w:t>
      </w:r>
      <w:proofErr w:type="spellEnd"/>
      <w:r w:rsidRPr="00770D2C">
        <w:t xml:space="preserve"> </w:t>
      </w:r>
      <w:proofErr w:type="spellStart"/>
      <w:r w:rsidRPr="00770D2C">
        <w:t>anamnézise</w:t>
      </w:r>
      <w:proofErr w:type="spellEnd"/>
      <w:r w:rsidRPr="00770D2C">
        <w:t xml:space="preserve"> </w:t>
      </w:r>
      <w:proofErr w:type="spellStart"/>
      <w:r w:rsidRPr="00770D2C">
        <w:t>pozitív</w:t>
      </w:r>
      <w:proofErr w:type="spellEnd"/>
      <w:r w:rsidRPr="00770D2C">
        <w:t xml:space="preserve"> </w:t>
      </w:r>
      <w:proofErr w:type="spellStart"/>
      <w:proofErr w:type="gramStart"/>
      <w:r w:rsidRPr="00770D2C">
        <w:t>az</w:t>
      </w:r>
      <w:proofErr w:type="spellEnd"/>
      <w:proofErr w:type="gramEnd"/>
      <w:r w:rsidRPr="00770D2C">
        <w:t xml:space="preserve"> </w:t>
      </w:r>
      <w:proofErr w:type="spellStart"/>
      <w:r w:rsidRPr="00770D2C">
        <w:t>aneurysma</w:t>
      </w:r>
      <w:proofErr w:type="spellEnd"/>
      <w:r w:rsidRPr="00770D2C">
        <w:t xml:space="preserve"> </w:t>
      </w:r>
      <w:proofErr w:type="spellStart"/>
      <w:r w:rsidRPr="00770D2C">
        <w:t>vagy</w:t>
      </w:r>
      <w:proofErr w:type="spellEnd"/>
      <w:r w:rsidRPr="00770D2C">
        <w:t xml:space="preserve"> </w:t>
      </w:r>
      <w:proofErr w:type="spellStart"/>
      <w:r w:rsidRPr="00770D2C">
        <w:t>veleszületett</w:t>
      </w:r>
      <w:proofErr w:type="spellEnd"/>
      <w:r w:rsidRPr="00770D2C">
        <w:t xml:space="preserve"> </w:t>
      </w:r>
      <w:proofErr w:type="spellStart"/>
      <w:r w:rsidRPr="00770D2C">
        <w:t>szívbillentyű-betegség</w:t>
      </w:r>
      <w:proofErr w:type="spellEnd"/>
      <w:r w:rsidRPr="00770D2C">
        <w:t xml:space="preserve"> </w:t>
      </w:r>
      <w:proofErr w:type="spellStart"/>
      <w:r w:rsidRPr="00770D2C">
        <w:t>tekintetében</w:t>
      </w:r>
      <w:proofErr w:type="spellEnd"/>
      <w:r w:rsidRPr="00770D2C">
        <w:t xml:space="preserve">, </w:t>
      </w:r>
      <w:proofErr w:type="spellStart"/>
      <w:r w:rsidRPr="00770D2C">
        <w:t>továbbá</w:t>
      </w:r>
      <w:proofErr w:type="spellEnd"/>
      <w:r w:rsidRPr="00770D2C">
        <w:t xml:space="preserve"> a </w:t>
      </w:r>
      <w:proofErr w:type="spellStart"/>
      <w:r w:rsidRPr="00770D2C">
        <w:t>már</w:t>
      </w:r>
      <w:proofErr w:type="spellEnd"/>
      <w:r w:rsidRPr="00770D2C">
        <w:t xml:space="preserve"> </w:t>
      </w:r>
      <w:proofErr w:type="spellStart"/>
      <w:r w:rsidRPr="00770D2C">
        <w:t>meglévő</w:t>
      </w:r>
      <w:proofErr w:type="spellEnd"/>
      <w:r w:rsidRPr="00770D2C">
        <w:t xml:space="preserve"> </w:t>
      </w:r>
      <w:proofErr w:type="spellStart"/>
      <w:r w:rsidRPr="00770D2C">
        <w:t>aortaaneurysmával</w:t>
      </w:r>
      <w:proofErr w:type="spellEnd"/>
      <w:r w:rsidRPr="00770D2C">
        <w:t xml:space="preserve"> </w:t>
      </w:r>
      <w:proofErr w:type="spellStart"/>
      <w:r w:rsidRPr="00770D2C">
        <w:t>és</w:t>
      </w:r>
      <w:proofErr w:type="spellEnd"/>
      <w:r w:rsidRPr="00770D2C">
        <w:t>/</w:t>
      </w:r>
      <w:proofErr w:type="spellStart"/>
      <w:r w:rsidRPr="00770D2C">
        <w:t>vagy</w:t>
      </w:r>
      <w:proofErr w:type="spellEnd"/>
      <w:r w:rsidRPr="00770D2C">
        <w:t xml:space="preserve"> </w:t>
      </w:r>
      <w:proofErr w:type="spellStart"/>
      <w:r w:rsidRPr="00770D2C">
        <w:t>aortadissectióval</w:t>
      </w:r>
      <w:proofErr w:type="spellEnd"/>
      <w:r w:rsidRPr="00770D2C">
        <w:t xml:space="preserve"> </w:t>
      </w:r>
      <w:proofErr w:type="spellStart"/>
      <w:r w:rsidRPr="00770D2C">
        <w:t>vagy</w:t>
      </w:r>
      <w:proofErr w:type="spellEnd"/>
      <w:r w:rsidRPr="00770D2C">
        <w:t xml:space="preserve"> </w:t>
      </w:r>
      <w:proofErr w:type="spellStart"/>
      <w:r w:rsidRPr="00770D2C">
        <w:t>szívbillentyű-betegséggel</w:t>
      </w:r>
      <w:proofErr w:type="spellEnd"/>
      <w:r w:rsidRPr="00770D2C">
        <w:t xml:space="preserve"> </w:t>
      </w:r>
      <w:proofErr w:type="spellStart"/>
      <w:r w:rsidRPr="00770D2C">
        <w:t>diagnosztizált</w:t>
      </w:r>
      <w:proofErr w:type="spellEnd"/>
      <w:r w:rsidRPr="00770D2C">
        <w:t xml:space="preserve"> </w:t>
      </w:r>
      <w:proofErr w:type="spellStart"/>
      <w:r w:rsidRPr="00770D2C">
        <w:t>betegeknél</w:t>
      </w:r>
      <w:proofErr w:type="spellEnd"/>
      <w:r w:rsidRPr="00770D2C">
        <w:t xml:space="preserve">, </w:t>
      </w:r>
      <w:proofErr w:type="spellStart"/>
      <w:r w:rsidRPr="00770D2C">
        <w:t>illetve</w:t>
      </w:r>
      <w:proofErr w:type="spellEnd"/>
      <w:r w:rsidRPr="00770D2C">
        <w:t xml:space="preserve"> a </w:t>
      </w:r>
      <w:proofErr w:type="spellStart"/>
      <w:r w:rsidRPr="00770D2C">
        <w:t>következőkre</w:t>
      </w:r>
      <w:proofErr w:type="spellEnd"/>
      <w:r w:rsidRPr="00770D2C">
        <w:t xml:space="preserve"> </w:t>
      </w:r>
      <w:proofErr w:type="spellStart"/>
      <w:r w:rsidRPr="00770D2C">
        <w:t>hajlamosító</w:t>
      </w:r>
      <w:proofErr w:type="spellEnd"/>
      <w:r w:rsidRPr="00770D2C">
        <w:t xml:space="preserve"> </w:t>
      </w:r>
      <w:proofErr w:type="spellStart"/>
      <w:r w:rsidRPr="00770D2C">
        <w:t>egyéb</w:t>
      </w:r>
      <w:proofErr w:type="spellEnd"/>
      <w:r w:rsidRPr="00770D2C">
        <w:t xml:space="preserve"> </w:t>
      </w:r>
      <w:proofErr w:type="spellStart"/>
      <w:r w:rsidRPr="00770D2C">
        <w:t>kockázati</w:t>
      </w:r>
      <w:proofErr w:type="spellEnd"/>
      <w:r w:rsidRPr="00770D2C">
        <w:t xml:space="preserve"> </w:t>
      </w:r>
      <w:proofErr w:type="spellStart"/>
      <w:r w:rsidRPr="00770D2C">
        <w:t>tényezők</w:t>
      </w:r>
      <w:proofErr w:type="spellEnd"/>
      <w:r w:rsidRPr="00770D2C">
        <w:t xml:space="preserve"> </w:t>
      </w:r>
      <w:proofErr w:type="spellStart"/>
      <w:r w:rsidRPr="00770D2C">
        <w:t>vagy</w:t>
      </w:r>
      <w:proofErr w:type="spellEnd"/>
      <w:r w:rsidRPr="00770D2C">
        <w:t xml:space="preserve"> </w:t>
      </w:r>
      <w:proofErr w:type="spellStart"/>
      <w:r w:rsidRPr="00770D2C">
        <w:t>betegségek</w:t>
      </w:r>
      <w:proofErr w:type="spellEnd"/>
      <w:r w:rsidRPr="00770D2C">
        <w:t xml:space="preserve"> </w:t>
      </w:r>
      <w:proofErr w:type="spellStart"/>
      <w:r w:rsidRPr="00770D2C">
        <w:t>esetén</w:t>
      </w:r>
      <w:proofErr w:type="spellEnd"/>
      <w:r w:rsidRPr="00770D2C">
        <w:t>:</w:t>
      </w:r>
    </w:p>
    <w:p w14:paraId="5DC8A818" w14:textId="77777777" w:rsidR="004A022C" w:rsidRPr="00263999" w:rsidRDefault="004A022C" w:rsidP="004A022C">
      <w:pPr>
        <w:pStyle w:val="Vgjegyzetszvege"/>
        <w:numPr>
          <w:ilvl w:val="0"/>
          <w:numId w:val="23"/>
        </w:numPr>
        <w:tabs>
          <w:tab w:val="left" w:pos="567"/>
        </w:tabs>
        <w:suppressAutoHyphens w:val="0"/>
        <w:autoSpaceDE w:val="0"/>
        <w:spacing w:line="240" w:lineRule="auto"/>
        <w:ind w:left="567" w:hanging="567"/>
        <w:rPr>
          <w:szCs w:val="22"/>
        </w:rPr>
      </w:pPr>
      <w:r w:rsidRPr="00263999">
        <w:rPr>
          <w:szCs w:val="22"/>
        </w:rPr>
        <w:lastRenderedPageBreak/>
        <w:t xml:space="preserve">mind </w:t>
      </w:r>
      <w:proofErr w:type="spellStart"/>
      <w:r w:rsidRPr="00263999">
        <w:rPr>
          <w:szCs w:val="22"/>
        </w:rPr>
        <w:t>aortaaneurysma</w:t>
      </w:r>
      <w:proofErr w:type="spellEnd"/>
      <w:r w:rsidRPr="00263999">
        <w:rPr>
          <w:szCs w:val="22"/>
        </w:rPr>
        <w:t>, mind -</w:t>
      </w:r>
      <w:proofErr w:type="spellStart"/>
      <w:r w:rsidRPr="00263999">
        <w:rPr>
          <w:szCs w:val="22"/>
        </w:rPr>
        <w:t>dissectio</w:t>
      </w:r>
      <w:proofErr w:type="spellEnd"/>
      <w:r w:rsidRPr="00263999">
        <w:rPr>
          <w:szCs w:val="22"/>
        </w:rPr>
        <w:t xml:space="preserve"> </w:t>
      </w:r>
      <w:proofErr w:type="spellStart"/>
      <w:r w:rsidRPr="00263999">
        <w:rPr>
          <w:szCs w:val="22"/>
        </w:rPr>
        <w:t>és</w:t>
      </w:r>
      <w:proofErr w:type="spellEnd"/>
      <w:r w:rsidRPr="00263999">
        <w:rPr>
          <w:szCs w:val="22"/>
        </w:rPr>
        <w:t xml:space="preserve"> </w:t>
      </w:r>
      <w:proofErr w:type="spellStart"/>
      <w:r w:rsidRPr="00263999">
        <w:rPr>
          <w:szCs w:val="22"/>
        </w:rPr>
        <w:t>szívbillentyűhiba</w:t>
      </w:r>
      <w:proofErr w:type="spellEnd"/>
      <w:r w:rsidRPr="00263999">
        <w:rPr>
          <w:szCs w:val="22"/>
        </w:rPr>
        <w:t xml:space="preserve"> </w:t>
      </w:r>
      <w:proofErr w:type="spellStart"/>
      <w:r w:rsidRPr="00263999">
        <w:rPr>
          <w:szCs w:val="22"/>
        </w:rPr>
        <w:t>miatti</w:t>
      </w:r>
      <w:proofErr w:type="spellEnd"/>
      <w:r w:rsidRPr="00263999">
        <w:rPr>
          <w:szCs w:val="22"/>
        </w:rPr>
        <w:t xml:space="preserve"> </w:t>
      </w:r>
      <w:proofErr w:type="spellStart"/>
      <w:r w:rsidRPr="00263999">
        <w:rPr>
          <w:szCs w:val="22"/>
        </w:rPr>
        <w:t>regurgitatio</w:t>
      </w:r>
      <w:proofErr w:type="spellEnd"/>
      <w:r w:rsidRPr="00263999">
        <w:rPr>
          <w:szCs w:val="22"/>
        </w:rPr>
        <w:t>/</w:t>
      </w:r>
      <w:proofErr w:type="spellStart"/>
      <w:r w:rsidRPr="00263999">
        <w:rPr>
          <w:szCs w:val="22"/>
        </w:rPr>
        <w:t>billentyűelégtelenség</w:t>
      </w:r>
      <w:proofErr w:type="spellEnd"/>
      <w:r w:rsidRPr="00263999">
        <w:rPr>
          <w:szCs w:val="22"/>
        </w:rPr>
        <w:t xml:space="preserve"> (pl.: </w:t>
      </w:r>
      <w:proofErr w:type="spellStart"/>
      <w:r w:rsidRPr="00263999">
        <w:rPr>
          <w:szCs w:val="22"/>
        </w:rPr>
        <w:t>kötőszöveti</w:t>
      </w:r>
      <w:proofErr w:type="spellEnd"/>
      <w:r w:rsidRPr="00263999">
        <w:rPr>
          <w:szCs w:val="22"/>
        </w:rPr>
        <w:t xml:space="preserve"> </w:t>
      </w:r>
      <w:proofErr w:type="spellStart"/>
      <w:r w:rsidRPr="00263999">
        <w:rPr>
          <w:szCs w:val="22"/>
        </w:rPr>
        <w:t>rendellenességek</w:t>
      </w:r>
      <w:proofErr w:type="spellEnd"/>
      <w:r w:rsidRPr="00263999">
        <w:rPr>
          <w:szCs w:val="22"/>
        </w:rPr>
        <w:t xml:space="preserve">, mint </w:t>
      </w:r>
      <w:proofErr w:type="spellStart"/>
      <w:r w:rsidRPr="00263999">
        <w:rPr>
          <w:szCs w:val="22"/>
        </w:rPr>
        <w:t>Marfan-szindróma</w:t>
      </w:r>
      <w:proofErr w:type="spellEnd"/>
      <w:r w:rsidRPr="00263999">
        <w:rPr>
          <w:szCs w:val="22"/>
        </w:rPr>
        <w:t xml:space="preserve"> </w:t>
      </w:r>
      <w:proofErr w:type="spellStart"/>
      <w:r w:rsidRPr="00263999">
        <w:rPr>
          <w:szCs w:val="22"/>
        </w:rPr>
        <w:t>vagy</w:t>
      </w:r>
      <w:proofErr w:type="spellEnd"/>
      <w:r w:rsidRPr="00263999">
        <w:rPr>
          <w:szCs w:val="22"/>
        </w:rPr>
        <w:t xml:space="preserve"> Ehlers–</w:t>
      </w:r>
      <w:proofErr w:type="spellStart"/>
      <w:r w:rsidRPr="00263999">
        <w:rPr>
          <w:szCs w:val="22"/>
        </w:rPr>
        <w:t>Danlos-szindróma</w:t>
      </w:r>
      <w:proofErr w:type="spellEnd"/>
      <w:r w:rsidRPr="00263999">
        <w:rPr>
          <w:szCs w:val="22"/>
        </w:rPr>
        <w:t>, Turner-</w:t>
      </w:r>
      <w:proofErr w:type="spellStart"/>
      <w:r w:rsidRPr="00263999">
        <w:rPr>
          <w:szCs w:val="22"/>
        </w:rPr>
        <w:t>szindróma</w:t>
      </w:r>
      <w:proofErr w:type="spellEnd"/>
      <w:r w:rsidRPr="00263999">
        <w:rPr>
          <w:szCs w:val="22"/>
        </w:rPr>
        <w:t xml:space="preserve">, </w:t>
      </w:r>
      <w:proofErr w:type="spellStart"/>
      <w:r w:rsidRPr="00263999">
        <w:rPr>
          <w:szCs w:val="22"/>
        </w:rPr>
        <w:t>Behcet-kór</w:t>
      </w:r>
      <w:proofErr w:type="spellEnd"/>
      <w:r w:rsidRPr="00263999">
        <w:rPr>
          <w:szCs w:val="22"/>
        </w:rPr>
        <w:t xml:space="preserve">, hypertonia, rheumatoid arthritis) </w:t>
      </w:r>
      <w:proofErr w:type="spellStart"/>
      <w:r w:rsidRPr="00263999">
        <w:rPr>
          <w:szCs w:val="22"/>
        </w:rPr>
        <w:t>vagy</w:t>
      </w:r>
      <w:proofErr w:type="spellEnd"/>
      <w:r w:rsidRPr="00263999">
        <w:rPr>
          <w:szCs w:val="22"/>
        </w:rPr>
        <w:t xml:space="preserve"> </w:t>
      </w:r>
      <w:proofErr w:type="spellStart"/>
      <w:r w:rsidRPr="00263999">
        <w:rPr>
          <w:szCs w:val="22"/>
        </w:rPr>
        <w:t>emellett</w:t>
      </w:r>
      <w:proofErr w:type="spellEnd"/>
    </w:p>
    <w:p w14:paraId="75E58379" w14:textId="77777777" w:rsidR="004A022C" w:rsidRPr="00263999" w:rsidRDefault="004A022C" w:rsidP="004A022C">
      <w:pPr>
        <w:pStyle w:val="Vgjegyzetszvege"/>
        <w:numPr>
          <w:ilvl w:val="0"/>
          <w:numId w:val="23"/>
        </w:numPr>
        <w:tabs>
          <w:tab w:val="left" w:pos="567"/>
        </w:tabs>
        <w:suppressAutoHyphens w:val="0"/>
        <w:autoSpaceDE w:val="0"/>
        <w:spacing w:line="240" w:lineRule="auto"/>
        <w:ind w:left="567" w:hanging="567"/>
        <w:rPr>
          <w:szCs w:val="22"/>
        </w:rPr>
      </w:pPr>
      <w:proofErr w:type="spellStart"/>
      <w:r w:rsidRPr="00263999">
        <w:rPr>
          <w:szCs w:val="22"/>
        </w:rPr>
        <w:t>aortaaneurysma</w:t>
      </w:r>
      <w:proofErr w:type="spellEnd"/>
      <w:r w:rsidRPr="00263999">
        <w:rPr>
          <w:szCs w:val="22"/>
        </w:rPr>
        <w:t xml:space="preserve"> </w:t>
      </w:r>
      <w:proofErr w:type="spellStart"/>
      <w:r w:rsidRPr="00263999">
        <w:rPr>
          <w:szCs w:val="22"/>
        </w:rPr>
        <w:t>és</w:t>
      </w:r>
      <w:proofErr w:type="spellEnd"/>
      <w:r w:rsidRPr="00263999">
        <w:rPr>
          <w:szCs w:val="22"/>
        </w:rPr>
        <w:t xml:space="preserve">- </w:t>
      </w:r>
      <w:proofErr w:type="spellStart"/>
      <w:r w:rsidRPr="00263999">
        <w:rPr>
          <w:szCs w:val="22"/>
        </w:rPr>
        <w:t>dissectio</w:t>
      </w:r>
      <w:proofErr w:type="spellEnd"/>
      <w:r w:rsidRPr="00263999">
        <w:rPr>
          <w:szCs w:val="22"/>
        </w:rPr>
        <w:t xml:space="preserve"> (pl.: </w:t>
      </w:r>
      <w:proofErr w:type="spellStart"/>
      <w:r w:rsidRPr="00263999">
        <w:rPr>
          <w:szCs w:val="22"/>
        </w:rPr>
        <w:t>vascularis</w:t>
      </w:r>
      <w:proofErr w:type="spellEnd"/>
      <w:r w:rsidRPr="00263999">
        <w:rPr>
          <w:szCs w:val="22"/>
        </w:rPr>
        <w:t xml:space="preserve"> </w:t>
      </w:r>
      <w:proofErr w:type="spellStart"/>
      <w:r w:rsidRPr="00263999">
        <w:rPr>
          <w:szCs w:val="22"/>
        </w:rPr>
        <w:t>rendellenességek</w:t>
      </w:r>
      <w:proofErr w:type="spellEnd"/>
      <w:r w:rsidRPr="00263999">
        <w:rPr>
          <w:szCs w:val="22"/>
        </w:rPr>
        <w:t xml:space="preserve">, mint </w:t>
      </w:r>
      <w:proofErr w:type="spellStart"/>
      <w:r w:rsidRPr="00263999">
        <w:rPr>
          <w:szCs w:val="22"/>
        </w:rPr>
        <w:t>Takayasu-artheritis</w:t>
      </w:r>
      <w:proofErr w:type="spellEnd"/>
      <w:r w:rsidRPr="00263999">
        <w:rPr>
          <w:szCs w:val="22"/>
        </w:rPr>
        <w:t xml:space="preserve">, </w:t>
      </w:r>
      <w:proofErr w:type="spellStart"/>
      <w:r w:rsidRPr="00263999">
        <w:rPr>
          <w:szCs w:val="22"/>
        </w:rPr>
        <w:t>óriássejtes</w:t>
      </w:r>
      <w:proofErr w:type="spellEnd"/>
      <w:r w:rsidRPr="00263999">
        <w:rPr>
          <w:szCs w:val="22"/>
        </w:rPr>
        <w:t xml:space="preserve"> </w:t>
      </w:r>
      <w:proofErr w:type="spellStart"/>
      <w:r w:rsidRPr="00263999">
        <w:rPr>
          <w:szCs w:val="22"/>
        </w:rPr>
        <w:t>artheritis</w:t>
      </w:r>
      <w:proofErr w:type="spellEnd"/>
      <w:r w:rsidRPr="00263999">
        <w:rPr>
          <w:szCs w:val="22"/>
        </w:rPr>
        <w:t xml:space="preserve">, </w:t>
      </w:r>
      <w:proofErr w:type="spellStart"/>
      <w:r w:rsidRPr="00263999">
        <w:rPr>
          <w:szCs w:val="22"/>
        </w:rPr>
        <w:t>vagy</w:t>
      </w:r>
      <w:proofErr w:type="spellEnd"/>
      <w:r w:rsidRPr="00263999">
        <w:rPr>
          <w:szCs w:val="22"/>
        </w:rPr>
        <w:t xml:space="preserve"> </w:t>
      </w:r>
      <w:proofErr w:type="spellStart"/>
      <w:r w:rsidRPr="00263999">
        <w:rPr>
          <w:szCs w:val="22"/>
        </w:rPr>
        <w:t>ismert</w:t>
      </w:r>
      <w:proofErr w:type="spellEnd"/>
      <w:r w:rsidRPr="00263999">
        <w:rPr>
          <w:szCs w:val="22"/>
        </w:rPr>
        <w:t xml:space="preserve"> atherosclerosis, </w:t>
      </w:r>
      <w:proofErr w:type="spellStart"/>
      <w:r w:rsidRPr="00263999">
        <w:rPr>
          <w:szCs w:val="22"/>
        </w:rPr>
        <w:t>vagy</w:t>
      </w:r>
      <w:proofErr w:type="spellEnd"/>
      <w:r w:rsidRPr="00263999">
        <w:rPr>
          <w:szCs w:val="22"/>
        </w:rPr>
        <w:t xml:space="preserve"> </w:t>
      </w:r>
      <w:proofErr w:type="spellStart"/>
      <w:r w:rsidRPr="00263999">
        <w:rPr>
          <w:szCs w:val="22"/>
        </w:rPr>
        <w:t>Sjögren-szindróma</w:t>
      </w:r>
      <w:proofErr w:type="spellEnd"/>
      <w:r w:rsidRPr="00263999">
        <w:rPr>
          <w:szCs w:val="22"/>
        </w:rPr>
        <w:t xml:space="preserve">) </w:t>
      </w:r>
      <w:proofErr w:type="spellStart"/>
      <w:r w:rsidRPr="00263999">
        <w:rPr>
          <w:szCs w:val="22"/>
        </w:rPr>
        <w:t>vagy</w:t>
      </w:r>
      <w:proofErr w:type="spellEnd"/>
      <w:r w:rsidRPr="00263999">
        <w:rPr>
          <w:szCs w:val="22"/>
        </w:rPr>
        <w:t xml:space="preserve"> </w:t>
      </w:r>
      <w:proofErr w:type="spellStart"/>
      <w:r w:rsidRPr="00263999">
        <w:rPr>
          <w:szCs w:val="22"/>
        </w:rPr>
        <w:t>emellett</w:t>
      </w:r>
      <w:proofErr w:type="spellEnd"/>
    </w:p>
    <w:p w14:paraId="00F1A23C" w14:textId="77777777" w:rsidR="004A022C" w:rsidRPr="00263999" w:rsidRDefault="004A022C" w:rsidP="004A022C">
      <w:pPr>
        <w:pStyle w:val="Vgjegyzetszvege"/>
        <w:numPr>
          <w:ilvl w:val="0"/>
          <w:numId w:val="23"/>
        </w:numPr>
        <w:tabs>
          <w:tab w:val="left" w:pos="567"/>
        </w:tabs>
        <w:suppressAutoHyphens w:val="0"/>
        <w:autoSpaceDE w:val="0"/>
        <w:spacing w:line="240" w:lineRule="auto"/>
        <w:ind w:left="567" w:hanging="567"/>
        <w:rPr>
          <w:szCs w:val="22"/>
        </w:rPr>
      </w:pPr>
      <w:proofErr w:type="spellStart"/>
      <w:proofErr w:type="gramStart"/>
      <w:r w:rsidRPr="00263999">
        <w:rPr>
          <w:szCs w:val="22"/>
        </w:rPr>
        <w:t>szívbillentyűhiba</w:t>
      </w:r>
      <w:proofErr w:type="spellEnd"/>
      <w:proofErr w:type="gramEnd"/>
      <w:r w:rsidRPr="00263999">
        <w:rPr>
          <w:szCs w:val="22"/>
        </w:rPr>
        <w:t xml:space="preserve"> </w:t>
      </w:r>
      <w:proofErr w:type="spellStart"/>
      <w:r w:rsidRPr="00263999">
        <w:rPr>
          <w:szCs w:val="22"/>
        </w:rPr>
        <w:t>miatti</w:t>
      </w:r>
      <w:proofErr w:type="spellEnd"/>
      <w:r w:rsidRPr="00263999">
        <w:rPr>
          <w:szCs w:val="22"/>
        </w:rPr>
        <w:t xml:space="preserve"> </w:t>
      </w:r>
      <w:proofErr w:type="spellStart"/>
      <w:r w:rsidRPr="00263999">
        <w:rPr>
          <w:szCs w:val="22"/>
        </w:rPr>
        <w:t>regurgitatio</w:t>
      </w:r>
      <w:proofErr w:type="spellEnd"/>
      <w:r w:rsidRPr="00263999">
        <w:rPr>
          <w:szCs w:val="22"/>
        </w:rPr>
        <w:t>/</w:t>
      </w:r>
      <w:proofErr w:type="spellStart"/>
      <w:r w:rsidRPr="00263999">
        <w:rPr>
          <w:szCs w:val="22"/>
        </w:rPr>
        <w:t>billentyűelégtelenség</w:t>
      </w:r>
      <w:proofErr w:type="spellEnd"/>
      <w:r w:rsidRPr="00263999">
        <w:rPr>
          <w:szCs w:val="22"/>
        </w:rPr>
        <w:t xml:space="preserve"> (pl.: </w:t>
      </w:r>
      <w:proofErr w:type="spellStart"/>
      <w:r w:rsidRPr="00263999">
        <w:rPr>
          <w:szCs w:val="22"/>
        </w:rPr>
        <w:t>infektív</w:t>
      </w:r>
      <w:proofErr w:type="spellEnd"/>
      <w:r w:rsidRPr="00263999">
        <w:rPr>
          <w:szCs w:val="22"/>
        </w:rPr>
        <w:t xml:space="preserve"> endocarditis).</w:t>
      </w:r>
    </w:p>
    <w:p w14:paraId="50E99337" w14:textId="77777777" w:rsidR="004A022C" w:rsidRDefault="004A022C" w:rsidP="004A022C">
      <w:pPr>
        <w:autoSpaceDN w:val="0"/>
        <w:adjustRightInd w:val="0"/>
      </w:pPr>
      <w:proofErr w:type="spellStart"/>
      <w:proofErr w:type="gramStart"/>
      <w:r w:rsidRPr="00770D2C">
        <w:t>Az</w:t>
      </w:r>
      <w:proofErr w:type="spellEnd"/>
      <w:proofErr w:type="gramEnd"/>
      <w:r w:rsidRPr="00770D2C">
        <w:t xml:space="preserve"> </w:t>
      </w:r>
      <w:proofErr w:type="spellStart"/>
      <w:r w:rsidRPr="00770D2C">
        <w:t>aortaaneurysma</w:t>
      </w:r>
      <w:proofErr w:type="spellEnd"/>
      <w:r w:rsidRPr="00770D2C">
        <w:t xml:space="preserve"> </w:t>
      </w:r>
      <w:proofErr w:type="spellStart"/>
      <w:r w:rsidRPr="00770D2C">
        <w:t>és</w:t>
      </w:r>
      <w:proofErr w:type="spellEnd"/>
      <w:r w:rsidRPr="00770D2C">
        <w:t xml:space="preserve"> -</w:t>
      </w:r>
      <w:proofErr w:type="spellStart"/>
      <w:r w:rsidRPr="00770D2C">
        <w:t>dissectio</w:t>
      </w:r>
      <w:proofErr w:type="spellEnd"/>
      <w:r w:rsidRPr="00770D2C">
        <w:t xml:space="preserve"> </w:t>
      </w:r>
      <w:proofErr w:type="spellStart"/>
      <w:r w:rsidRPr="00770D2C">
        <w:t>és</w:t>
      </w:r>
      <w:proofErr w:type="spellEnd"/>
      <w:r w:rsidRPr="00770D2C">
        <w:t xml:space="preserve"> a </w:t>
      </w:r>
      <w:proofErr w:type="spellStart"/>
      <w:r w:rsidRPr="00770D2C">
        <w:t>billentyűk</w:t>
      </w:r>
      <w:proofErr w:type="spellEnd"/>
      <w:r w:rsidRPr="00770D2C">
        <w:t xml:space="preserve"> </w:t>
      </w:r>
      <w:proofErr w:type="spellStart"/>
      <w:r w:rsidRPr="00770D2C">
        <w:t>rupturájának</w:t>
      </w:r>
      <w:proofErr w:type="spellEnd"/>
      <w:r w:rsidRPr="00770D2C">
        <w:t xml:space="preserve"> </w:t>
      </w:r>
      <w:proofErr w:type="spellStart"/>
      <w:r w:rsidRPr="00770D2C">
        <w:t>kockázata</w:t>
      </w:r>
      <w:proofErr w:type="spellEnd"/>
      <w:r w:rsidRPr="00770D2C">
        <w:t xml:space="preserve"> </w:t>
      </w:r>
      <w:proofErr w:type="spellStart"/>
      <w:r w:rsidRPr="00770D2C">
        <w:t>fokozódhat</w:t>
      </w:r>
      <w:proofErr w:type="spellEnd"/>
      <w:r w:rsidRPr="00770D2C">
        <w:t xml:space="preserve"> </w:t>
      </w:r>
      <w:proofErr w:type="spellStart"/>
      <w:r w:rsidRPr="00770D2C">
        <w:t>az</w:t>
      </w:r>
      <w:proofErr w:type="spellEnd"/>
      <w:r w:rsidRPr="00770D2C">
        <w:t xml:space="preserve"> </w:t>
      </w:r>
      <w:proofErr w:type="spellStart"/>
      <w:r w:rsidRPr="00770D2C">
        <w:t>egyidejűleg</w:t>
      </w:r>
      <w:proofErr w:type="spellEnd"/>
      <w:r w:rsidRPr="00770D2C">
        <w:t xml:space="preserve"> </w:t>
      </w:r>
      <w:proofErr w:type="spellStart"/>
      <w:r w:rsidRPr="00770D2C">
        <w:t>szisztémás</w:t>
      </w:r>
      <w:proofErr w:type="spellEnd"/>
      <w:r w:rsidRPr="00770D2C">
        <w:t xml:space="preserve"> </w:t>
      </w:r>
      <w:proofErr w:type="spellStart"/>
      <w:r w:rsidRPr="00770D2C">
        <w:t>kortikoszteroidokkal</w:t>
      </w:r>
      <w:proofErr w:type="spellEnd"/>
      <w:r w:rsidRPr="00770D2C">
        <w:t xml:space="preserve"> </w:t>
      </w:r>
      <w:proofErr w:type="spellStart"/>
      <w:r w:rsidRPr="00770D2C">
        <w:t>kezelt</w:t>
      </w:r>
      <w:proofErr w:type="spellEnd"/>
      <w:r w:rsidRPr="00770D2C">
        <w:t xml:space="preserve"> </w:t>
      </w:r>
      <w:proofErr w:type="spellStart"/>
      <w:r w:rsidRPr="00770D2C">
        <w:t>betegeknél</w:t>
      </w:r>
      <w:proofErr w:type="spellEnd"/>
      <w:r w:rsidRPr="00770D2C">
        <w:t xml:space="preserve"> is.</w:t>
      </w:r>
    </w:p>
    <w:p w14:paraId="2BC18065" w14:textId="77777777" w:rsidR="004A022C" w:rsidRDefault="004A022C" w:rsidP="004A022C">
      <w:pPr>
        <w:autoSpaceDN w:val="0"/>
        <w:adjustRightInd w:val="0"/>
      </w:pPr>
      <w:proofErr w:type="spellStart"/>
      <w:r w:rsidRPr="00770D2C">
        <w:t>Hirtelen</w:t>
      </w:r>
      <w:proofErr w:type="spellEnd"/>
      <w:r w:rsidRPr="00770D2C">
        <w:t xml:space="preserve"> </w:t>
      </w:r>
      <w:proofErr w:type="spellStart"/>
      <w:r w:rsidRPr="00770D2C">
        <w:t>hasi</w:t>
      </w:r>
      <w:proofErr w:type="spellEnd"/>
      <w:r w:rsidRPr="00770D2C">
        <w:t xml:space="preserve">, </w:t>
      </w:r>
      <w:proofErr w:type="spellStart"/>
      <w:r w:rsidRPr="00770D2C">
        <w:t>mellkasi</w:t>
      </w:r>
      <w:proofErr w:type="spellEnd"/>
      <w:r w:rsidRPr="00770D2C">
        <w:t xml:space="preserve"> </w:t>
      </w:r>
      <w:proofErr w:type="spellStart"/>
      <w:r w:rsidRPr="00770D2C">
        <w:t>vagy</w:t>
      </w:r>
      <w:proofErr w:type="spellEnd"/>
      <w:r w:rsidRPr="00770D2C">
        <w:t xml:space="preserve"> </w:t>
      </w:r>
      <w:proofErr w:type="spellStart"/>
      <w:r w:rsidRPr="00770D2C">
        <w:t>hátfájdalom</w:t>
      </w:r>
      <w:proofErr w:type="spellEnd"/>
      <w:r w:rsidRPr="00770D2C">
        <w:t xml:space="preserve"> </w:t>
      </w:r>
      <w:proofErr w:type="spellStart"/>
      <w:r w:rsidRPr="00770D2C">
        <w:t>esetén</w:t>
      </w:r>
      <w:proofErr w:type="spellEnd"/>
      <w:r w:rsidRPr="00770D2C">
        <w:t xml:space="preserve"> a </w:t>
      </w:r>
      <w:proofErr w:type="spellStart"/>
      <w:r w:rsidRPr="00770D2C">
        <w:t>betegeknek</w:t>
      </w:r>
      <w:proofErr w:type="spellEnd"/>
      <w:r w:rsidRPr="00770D2C">
        <w:t xml:space="preserve"> </w:t>
      </w:r>
      <w:proofErr w:type="spellStart"/>
      <w:proofErr w:type="gramStart"/>
      <w:r w:rsidRPr="00770D2C">
        <w:t>azt</w:t>
      </w:r>
      <w:proofErr w:type="spellEnd"/>
      <w:proofErr w:type="gramEnd"/>
      <w:r w:rsidRPr="00770D2C">
        <w:t xml:space="preserve"> </w:t>
      </w:r>
      <w:proofErr w:type="spellStart"/>
      <w:r w:rsidRPr="00770D2C">
        <w:t>kell</w:t>
      </w:r>
      <w:proofErr w:type="spellEnd"/>
      <w:r w:rsidRPr="00770D2C">
        <w:t xml:space="preserve"> </w:t>
      </w:r>
      <w:proofErr w:type="spellStart"/>
      <w:r w:rsidRPr="00770D2C">
        <w:t>tanácsolni</w:t>
      </w:r>
      <w:proofErr w:type="spellEnd"/>
      <w:r w:rsidRPr="00770D2C">
        <w:t xml:space="preserve">, </w:t>
      </w:r>
      <w:proofErr w:type="spellStart"/>
      <w:r w:rsidRPr="00770D2C">
        <w:t>hogy</w:t>
      </w:r>
      <w:proofErr w:type="spellEnd"/>
      <w:r w:rsidRPr="00770D2C">
        <w:t xml:space="preserve"> </w:t>
      </w:r>
      <w:proofErr w:type="spellStart"/>
      <w:r w:rsidRPr="00770D2C">
        <w:t>azonnal</w:t>
      </w:r>
      <w:proofErr w:type="spellEnd"/>
      <w:r w:rsidRPr="00770D2C">
        <w:t xml:space="preserve"> </w:t>
      </w:r>
      <w:proofErr w:type="spellStart"/>
      <w:r w:rsidRPr="00770D2C">
        <w:t>forduljanak</w:t>
      </w:r>
      <w:proofErr w:type="spellEnd"/>
      <w:r w:rsidRPr="00770D2C">
        <w:t xml:space="preserve"> </w:t>
      </w:r>
      <w:proofErr w:type="spellStart"/>
      <w:r w:rsidRPr="00770D2C">
        <w:t>egy</w:t>
      </w:r>
      <w:proofErr w:type="spellEnd"/>
      <w:r w:rsidRPr="00770D2C">
        <w:t xml:space="preserve"> </w:t>
      </w:r>
      <w:proofErr w:type="spellStart"/>
      <w:r w:rsidRPr="00770D2C">
        <w:t>sürgősségi</w:t>
      </w:r>
      <w:proofErr w:type="spellEnd"/>
      <w:r w:rsidRPr="00770D2C">
        <w:t xml:space="preserve"> </w:t>
      </w:r>
      <w:proofErr w:type="spellStart"/>
      <w:r w:rsidRPr="00770D2C">
        <w:t>osztályon</w:t>
      </w:r>
      <w:proofErr w:type="spellEnd"/>
      <w:r w:rsidRPr="00770D2C">
        <w:t xml:space="preserve"> </w:t>
      </w:r>
      <w:proofErr w:type="spellStart"/>
      <w:r w:rsidRPr="00770D2C">
        <w:t>dolgozó</w:t>
      </w:r>
      <w:proofErr w:type="spellEnd"/>
      <w:r w:rsidRPr="00770D2C">
        <w:t xml:space="preserve"> </w:t>
      </w:r>
      <w:proofErr w:type="spellStart"/>
      <w:r w:rsidRPr="00770D2C">
        <w:t>orvoshoz</w:t>
      </w:r>
      <w:proofErr w:type="spellEnd"/>
      <w:r w:rsidRPr="00770D2C">
        <w:t>.</w:t>
      </w:r>
    </w:p>
    <w:p w14:paraId="396778B6" w14:textId="77777777" w:rsidR="004A022C" w:rsidRPr="00770D2C" w:rsidRDefault="004A022C" w:rsidP="004A022C">
      <w:pPr>
        <w:autoSpaceDN w:val="0"/>
        <w:adjustRightInd w:val="0"/>
      </w:pPr>
    </w:p>
    <w:p w14:paraId="518EA5AC" w14:textId="77777777" w:rsidR="004A022C" w:rsidRPr="00263999" w:rsidRDefault="004A022C" w:rsidP="004A022C">
      <w:r w:rsidRPr="00770D2C">
        <w:t xml:space="preserve">A </w:t>
      </w:r>
      <w:proofErr w:type="spellStart"/>
      <w:r w:rsidRPr="00770D2C">
        <w:t>betegeket</w:t>
      </w:r>
      <w:proofErr w:type="spellEnd"/>
      <w:r w:rsidRPr="00770D2C">
        <w:t xml:space="preserve"> </w:t>
      </w:r>
      <w:proofErr w:type="spellStart"/>
      <w:r w:rsidRPr="00770D2C">
        <w:t>figyelmeztetni</w:t>
      </w:r>
      <w:proofErr w:type="spellEnd"/>
      <w:r w:rsidRPr="00770D2C">
        <w:t xml:space="preserve"> </w:t>
      </w:r>
      <w:proofErr w:type="spellStart"/>
      <w:r w:rsidRPr="00770D2C">
        <w:t>kell</w:t>
      </w:r>
      <w:proofErr w:type="spellEnd"/>
      <w:r w:rsidRPr="00770D2C">
        <w:t xml:space="preserve"> </w:t>
      </w:r>
      <w:proofErr w:type="spellStart"/>
      <w:r w:rsidRPr="00770D2C">
        <w:t>arra</w:t>
      </w:r>
      <w:proofErr w:type="spellEnd"/>
      <w:r w:rsidRPr="00770D2C">
        <w:t xml:space="preserve">, </w:t>
      </w:r>
      <w:proofErr w:type="spellStart"/>
      <w:r w:rsidRPr="00770D2C">
        <w:t>hogy</w:t>
      </w:r>
      <w:proofErr w:type="spellEnd"/>
      <w:r w:rsidRPr="00770D2C">
        <w:t xml:space="preserve"> </w:t>
      </w:r>
      <w:proofErr w:type="spellStart"/>
      <w:r w:rsidRPr="00770D2C">
        <w:t>akut</w:t>
      </w:r>
      <w:proofErr w:type="spellEnd"/>
      <w:r w:rsidRPr="00770D2C">
        <w:t xml:space="preserve"> </w:t>
      </w:r>
      <w:proofErr w:type="spellStart"/>
      <w:r w:rsidRPr="00770D2C">
        <w:t>dyspnoe</w:t>
      </w:r>
      <w:proofErr w:type="spellEnd"/>
      <w:r w:rsidRPr="00770D2C">
        <w:t xml:space="preserve">, </w:t>
      </w:r>
      <w:proofErr w:type="spellStart"/>
      <w:r w:rsidRPr="00770D2C">
        <w:t>újonnan</w:t>
      </w:r>
      <w:proofErr w:type="spellEnd"/>
      <w:r w:rsidRPr="00770D2C">
        <w:t xml:space="preserve"> </w:t>
      </w:r>
      <w:proofErr w:type="spellStart"/>
      <w:r w:rsidRPr="00770D2C">
        <w:t>jelentkező</w:t>
      </w:r>
      <w:proofErr w:type="spellEnd"/>
      <w:r w:rsidRPr="00770D2C">
        <w:t xml:space="preserve"> </w:t>
      </w:r>
      <w:proofErr w:type="spellStart"/>
      <w:r w:rsidRPr="00770D2C">
        <w:t>palpitatio</w:t>
      </w:r>
      <w:proofErr w:type="spellEnd"/>
      <w:r w:rsidRPr="00770D2C">
        <w:t xml:space="preserve">, </w:t>
      </w:r>
      <w:proofErr w:type="spellStart"/>
      <w:r w:rsidRPr="00770D2C">
        <w:t>illetve</w:t>
      </w:r>
      <w:proofErr w:type="spellEnd"/>
      <w:r w:rsidRPr="00770D2C">
        <w:t xml:space="preserve"> a has </w:t>
      </w:r>
      <w:proofErr w:type="spellStart"/>
      <w:r w:rsidRPr="00770D2C">
        <w:t>vagy</w:t>
      </w:r>
      <w:proofErr w:type="spellEnd"/>
      <w:r w:rsidRPr="00770D2C">
        <w:t xml:space="preserve"> </w:t>
      </w:r>
      <w:proofErr w:type="spellStart"/>
      <w:proofErr w:type="gramStart"/>
      <w:r w:rsidRPr="00770D2C">
        <w:t>az</w:t>
      </w:r>
      <w:proofErr w:type="spellEnd"/>
      <w:proofErr w:type="gramEnd"/>
      <w:r w:rsidRPr="00770D2C">
        <w:t xml:space="preserve"> </w:t>
      </w:r>
      <w:proofErr w:type="spellStart"/>
      <w:r w:rsidRPr="00770D2C">
        <w:t>alsó</w:t>
      </w:r>
      <w:proofErr w:type="spellEnd"/>
      <w:r w:rsidRPr="00770D2C">
        <w:t xml:space="preserve"> </w:t>
      </w:r>
      <w:proofErr w:type="spellStart"/>
      <w:r w:rsidRPr="00770D2C">
        <w:t>végtagok</w:t>
      </w:r>
      <w:proofErr w:type="spellEnd"/>
      <w:r w:rsidRPr="00770D2C">
        <w:t xml:space="preserve"> </w:t>
      </w:r>
      <w:proofErr w:type="spellStart"/>
      <w:r w:rsidRPr="00770D2C">
        <w:t>ödémájának</w:t>
      </w:r>
      <w:proofErr w:type="spellEnd"/>
      <w:r w:rsidRPr="00770D2C">
        <w:t xml:space="preserve"> </w:t>
      </w:r>
      <w:proofErr w:type="spellStart"/>
      <w:r w:rsidRPr="00770D2C">
        <w:t>kialakulása</w:t>
      </w:r>
      <w:proofErr w:type="spellEnd"/>
      <w:r w:rsidRPr="00770D2C">
        <w:t xml:space="preserve"> </w:t>
      </w:r>
      <w:proofErr w:type="spellStart"/>
      <w:r w:rsidRPr="00770D2C">
        <w:t>esetén</w:t>
      </w:r>
      <w:proofErr w:type="spellEnd"/>
      <w:r w:rsidRPr="00770D2C">
        <w:t xml:space="preserve"> </w:t>
      </w:r>
      <w:proofErr w:type="spellStart"/>
      <w:r w:rsidRPr="00770D2C">
        <w:t>haladéktalanul</w:t>
      </w:r>
      <w:proofErr w:type="spellEnd"/>
      <w:r w:rsidRPr="00770D2C">
        <w:t xml:space="preserve"> </w:t>
      </w:r>
      <w:proofErr w:type="spellStart"/>
      <w:r w:rsidRPr="00770D2C">
        <w:t>forduljanak</w:t>
      </w:r>
      <w:proofErr w:type="spellEnd"/>
      <w:r w:rsidRPr="00770D2C">
        <w:t xml:space="preserve"> </w:t>
      </w:r>
      <w:proofErr w:type="spellStart"/>
      <w:r w:rsidRPr="00770D2C">
        <w:t>orvoshoz</w:t>
      </w:r>
      <w:proofErr w:type="spellEnd"/>
      <w:r w:rsidRPr="00770D2C">
        <w:t>.</w:t>
      </w:r>
    </w:p>
    <w:bookmarkEnd w:id="1"/>
    <w:p w14:paraId="13986747" w14:textId="77777777" w:rsidR="009E2A7D" w:rsidRPr="009F1165" w:rsidRDefault="009E2A7D" w:rsidP="00954F26">
      <w:pPr>
        <w:widowControl w:val="0"/>
        <w:autoSpaceDE w:val="0"/>
        <w:autoSpaceDN w:val="0"/>
        <w:adjustRightInd w:val="0"/>
        <w:ind w:left="540" w:hanging="540"/>
        <w:rPr>
          <w:szCs w:val="22"/>
          <w:lang w:val="hu-HU"/>
        </w:rPr>
      </w:pPr>
    </w:p>
    <w:p w14:paraId="6CA0EAD7" w14:textId="77777777" w:rsidR="00184080" w:rsidRPr="009F1165" w:rsidRDefault="00184080" w:rsidP="009F1165">
      <w:pPr>
        <w:keepNext/>
        <w:keepLines/>
        <w:rPr>
          <w:szCs w:val="22"/>
          <w:u w:val="single"/>
          <w:lang w:val="hu-HU"/>
        </w:rPr>
      </w:pPr>
      <w:r w:rsidRPr="009F1165">
        <w:rPr>
          <w:szCs w:val="22"/>
          <w:u w:val="single"/>
          <w:lang w:val="hu-HU"/>
        </w:rPr>
        <w:t>Vese</w:t>
      </w:r>
      <w:r w:rsidR="007E2903" w:rsidRPr="009F1165">
        <w:rPr>
          <w:szCs w:val="22"/>
          <w:u w:val="single"/>
          <w:lang w:val="hu-HU"/>
        </w:rPr>
        <w:t>károsodásban szenvedő betegek</w:t>
      </w:r>
    </w:p>
    <w:p w14:paraId="745E1E5B" w14:textId="77777777" w:rsidR="00184080" w:rsidRPr="009F1165" w:rsidRDefault="007E2903" w:rsidP="009F1165">
      <w:pPr>
        <w:keepNext/>
        <w:rPr>
          <w:szCs w:val="22"/>
          <w:lang w:val="hu-HU"/>
        </w:rPr>
      </w:pPr>
      <w:r w:rsidRPr="009F1165">
        <w:rPr>
          <w:szCs w:val="22"/>
          <w:lang w:val="hu-HU"/>
        </w:rPr>
        <w:t>V</w:t>
      </w:r>
      <w:r w:rsidR="00184080" w:rsidRPr="009F1165">
        <w:rPr>
          <w:szCs w:val="22"/>
          <w:lang w:val="hu-HU"/>
        </w:rPr>
        <w:t>ese</w:t>
      </w:r>
      <w:r w:rsidRPr="009F1165">
        <w:rPr>
          <w:szCs w:val="22"/>
          <w:lang w:val="hu-HU"/>
        </w:rPr>
        <w:t xml:space="preserve">károsodásban </w:t>
      </w:r>
      <w:r w:rsidR="00184080" w:rsidRPr="009F1165">
        <w:rPr>
          <w:szCs w:val="22"/>
          <w:lang w:val="hu-HU"/>
        </w:rPr>
        <w:t xml:space="preserve">szenvedő </w:t>
      </w:r>
      <w:r w:rsidRPr="009F1165">
        <w:rPr>
          <w:szCs w:val="22"/>
          <w:lang w:val="hu-HU"/>
        </w:rPr>
        <w:t xml:space="preserve">idős </w:t>
      </w:r>
      <w:r w:rsidR="00184080" w:rsidRPr="009F1165">
        <w:rPr>
          <w:szCs w:val="22"/>
          <w:lang w:val="hu-HU"/>
        </w:rPr>
        <w:t xml:space="preserve">betegek esetén a </w:t>
      </w:r>
      <w:proofErr w:type="spellStart"/>
      <w:r w:rsidR="00184080" w:rsidRPr="009F1165">
        <w:rPr>
          <w:szCs w:val="22"/>
          <w:lang w:val="hu-HU"/>
        </w:rPr>
        <w:t>moxifloxacin</w:t>
      </w:r>
      <w:r w:rsidRPr="009F1165">
        <w:rPr>
          <w:szCs w:val="22"/>
          <w:lang w:val="hu-HU"/>
        </w:rPr>
        <w:t>t</w:t>
      </w:r>
      <w:proofErr w:type="spellEnd"/>
      <w:r w:rsidR="00184080" w:rsidRPr="009F1165">
        <w:rPr>
          <w:szCs w:val="22"/>
          <w:lang w:val="hu-HU"/>
        </w:rPr>
        <w:t xml:space="preserve"> különös </w:t>
      </w:r>
      <w:r w:rsidR="00184080" w:rsidRPr="009F1165">
        <w:rPr>
          <w:rFonts w:eastAsia="Batang"/>
          <w:szCs w:val="22"/>
          <w:lang w:val="hu-HU"/>
        </w:rPr>
        <w:t>elővigyázatossággal</w:t>
      </w:r>
      <w:r w:rsidR="00184080" w:rsidRPr="009F1165" w:rsidDel="004C36CA">
        <w:rPr>
          <w:szCs w:val="22"/>
          <w:lang w:val="hu-HU"/>
        </w:rPr>
        <w:t xml:space="preserve"> </w:t>
      </w:r>
      <w:r w:rsidR="00184080" w:rsidRPr="009F1165">
        <w:rPr>
          <w:szCs w:val="22"/>
          <w:lang w:val="hu-HU"/>
        </w:rPr>
        <w:t xml:space="preserve">kell </w:t>
      </w:r>
      <w:r w:rsidR="00140F10">
        <w:rPr>
          <w:szCs w:val="22"/>
          <w:lang w:val="hu-HU"/>
        </w:rPr>
        <w:t>alkalmazni</w:t>
      </w:r>
      <w:r w:rsidR="00140F10" w:rsidRPr="009F1165">
        <w:rPr>
          <w:szCs w:val="22"/>
          <w:lang w:val="hu-HU"/>
        </w:rPr>
        <w:t xml:space="preserve"> </w:t>
      </w:r>
      <w:r w:rsidR="00184080" w:rsidRPr="009F1165">
        <w:rPr>
          <w:szCs w:val="22"/>
          <w:lang w:val="hu-HU"/>
        </w:rPr>
        <w:t xml:space="preserve">akkor, ha a betegek nem képesek </w:t>
      </w:r>
      <w:r w:rsidRPr="009F1165">
        <w:rPr>
          <w:szCs w:val="22"/>
          <w:lang w:val="hu-HU"/>
        </w:rPr>
        <w:t xml:space="preserve">megfelelő mennyiségű </w:t>
      </w:r>
      <w:r w:rsidR="00140F10" w:rsidRPr="00975ED1">
        <w:rPr>
          <w:lang w:val="hu-HU"/>
        </w:rPr>
        <w:t>folyadékbevitelre</w:t>
      </w:r>
      <w:r w:rsidR="00184080" w:rsidRPr="009F1165">
        <w:rPr>
          <w:szCs w:val="22"/>
          <w:lang w:val="hu-HU"/>
        </w:rPr>
        <w:t xml:space="preserve">, mivel a </w:t>
      </w:r>
      <w:proofErr w:type="spellStart"/>
      <w:r w:rsidR="00184080" w:rsidRPr="009F1165">
        <w:rPr>
          <w:szCs w:val="22"/>
          <w:lang w:val="hu-HU"/>
        </w:rPr>
        <w:t>dehidráció</w:t>
      </w:r>
      <w:proofErr w:type="spellEnd"/>
      <w:r w:rsidR="00184080" w:rsidRPr="009F1165">
        <w:rPr>
          <w:szCs w:val="22"/>
          <w:lang w:val="hu-HU"/>
        </w:rPr>
        <w:t xml:space="preserve"> </w:t>
      </w:r>
      <w:r w:rsidR="00140F10" w:rsidRPr="00975ED1">
        <w:rPr>
          <w:lang w:val="hu-HU"/>
        </w:rPr>
        <w:t xml:space="preserve">fokozhatja </w:t>
      </w:r>
      <w:r w:rsidR="00184080" w:rsidRPr="009F1165">
        <w:rPr>
          <w:szCs w:val="22"/>
          <w:lang w:val="hu-HU"/>
        </w:rPr>
        <w:t>a veseelégtelenség kockázatát.</w:t>
      </w:r>
    </w:p>
    <w:p w14:paraId="59BF8AC2" w14:textId="77777777" w:rsidR="003F075B" w:rsidRPr="009F1165" w:rsidRDefault="003F075B" w:rsidP="009F1165">
      <w:pPr>
        <w:rPr>
          <w:szCs w:val="22"/>
          <w:lang w:val="hu-HU"/>
        </w:rPr>
      </w:pPr>
    </w:p>
    <w:p w14:paraId="243B1E81" w14:textId="77777777" w:rsidR="00184080" w:rsidRPr="009F1165" w:rsidRDefault="00184080" w:rsidP="009F1165">
      <w:pPr>
        <w:keepNext/>
        <w:keepLines/>
        <w:rPr>
          <w:szCs w:val="22"/>
          <w:u w:val="single"/>
          <w:lang w:val="hu-HU"/>
        </w:rPr>
      </w:pPr>
      <w:r w:rsidRPr="009F1165">
        <w:rPr>
          <w:szCs w:val="22"/>
          <w:u w:val="single"/>
          <w:lang w:val="hu-HU"/>
        </w:rPr>
        <w:t>Látászavarok</w:t>
      </w:r>
    </w:p>
    <w:p w14:paraId="0B0DEF2B" w14:textId="77777777" w:rsidR="00184080" w:rsidRPr="009F1165" w:rsidRDefault="00A83D7D" w:rsidP="009F1165">
      <w:pPr>
        <w:keepNext/>
        <w:rPr>
          <w:szCs w:val="22"/>
          <w:lang w:val="hu-HU"/>
        </w:rPr>
      </w:pPr>
      <w:r w:rsidRPr="009F1165">
        <w:rPr>
          <w:rFonts w:eastAsia="Batang"/>
          <w:szCs w:val="22"/>
          <w:lang w:val="hu-HU"/>
        </w:rPr>
        <w:t>Ha</w:t>
      </w:r>
      <w:r w:rsidRPr="009F1165">
        <w:rPr>
          <w:szCs w:val="22"/>
          <w:lang w:val="hu-HU" w:eastAsia="hu-HU"/>
        </w:rPr>
        <w:t xml:space="preserve"> látászavar lép f</w:t>
      </w:r>
      <w:r w:rsidR="007E2903" w:rsidRPr="009F1165">
        <w:rPr>
          <w:szCs w:val="22"/>
          <w:lang w:val="hu-HU" w:eastAsia="hu-HU"/>
        </w:rPr>
        <w:t>e</w:t>
      </w:r>
      <w:r w:rsidRPr="009F1165">
        <w:rPr>
          <w:szCs w:val="22"/>
          <w:lang w:val="hu-HU" w:eastAsia="hu-HU"/>
        </w:rPr>
        <w:t>l, vagy bármilyen szempanasz jelentkez</w:t>
      </w:r>
      <w:r w:rsidR="00140F10">
        <w:rPr>
          <w:szCs w:val="22"/>
          <w:lang w:val="hu-HU" w:eastAsia="hu-HU"/>
        </w:rPr>
        <w:t>ik</w:t>
      </w:r>
      <w:r w:rsidRPr="009F1165">
        <w:rPr>
          <w:szCs w:val="22"/>
          <w:lang w:val="hu-HU" w:eastAsia="hu-HU"/>
        </w:rPr>
        <w:t>, azonnal szem</w:t>
      </w:r>
      <w:r w:rsidR="007E2903" w:rsidRPr="009F1165">
        <w:rPr>
          <w:szCs w:val="22"/>
          <w:lang w:val="hu-HU" w:eastAsia="hu-HU"/>
        </w:rPr>
        <w:t>ész szak</w:t>
      </w:r>
      <w:r w:rsidRPr="009F1165">
        <w:rPr>
          <w:szCs w:val="22"/>
          <w:lang w:val="hu-HU" w:eastAsia="hu-HU"/>
        </w:rPr>
        <w:t xml:space="preserve">orvoshoz kell </w:t>
      </w:r>
      <w:r w:rsidRPr="009F1165">
        <w:rPr>
          <w:szCs w:val="22"/>
          <w:lang w:val="hu-HU"/>
        </w:rPr>
        <w:t>fordulni</w:t>
      </w:r>
      <w:r w:rsidR="00931784" w:rsidRPr="009F1165">
        <w:rPr>
          <w:szCs w:val="22"/>
          <w:lang w:val="hu-HU"/>
        </w:rPr>
        <w:t xml:space="preserve"> (lásd 4.7 és 4.8</w:t>
      </w:r>
      <w:r w:rsidR="00D06D16" w:rsidRPr="009F1165">
        <w:rPr>
          <w:szCs w:val="22"/>
          <w:lang w:val="hu-HU"/>
        </w:rPr>
        <w:t> </w:t>
      </w:r>
      <w:r w:rsidR="00931784" w:rsidRPr="009F1165">
        <w:rPr>
          <w:szCs w:val="22"/>
          <w:lang w:val="hu-HU"/>
        </w:rPr>
        <w:t>pontot).</w:t>
      </w:r>
    </w:p>
    <w:p w14:paraId="309CEFDB" w14:textId="77777777" w:rsidR="00184080" w:rsidRPr="009F1165" w:rsidRDefault="00184080" w:rsidP="00FC6329">
      <w:pPr>
        <w:pStyle w:val="Vgjegyzetszvege"/>
        <w:suppressAutoHyphens w:val="0"/>
        <w:spacing w:line="240" w:lineRule="auto"/>
        <w:rPr>
          <w:szCs w:val="22"/>
          <w:lang w:val="hu-HU"/>
        </w:rPr>
      </w:pPr>
    </w:p>
    <w:p w14:paraId="0FAA76FC" w14:textId="77777777" w:rsidR="00140F10" w:rsidRPr="00CD4C2C" w:rsidRDefault="00140F10" w:rsidP="00FC6329">
      <w:pPr>
        <w:pStyle w:val="Szvegtrzsbehzssal"/>
        <w:keepNext/>
        <w:widowControl w:val="0"/>
        <w:tabs>
          <w:tab w:val="left" w:pos="567"/>
        </w:tabs>
        <w:spacing w:after="0"/>
        <w:ind w:left="0"/>
        <w:rPr>
          <w:u w:val="single"/>
          <w:lang w:val="hu-HU"/>
        </w:rPr>
      </w:pPr>
      <w:proofErr w:type="spellStart"/>
      <w:r w:rsidRPr="00CD4C2C">
        <w:rPr>
          <w:u w:val="single"/>
          <w:lang w:val="hu-HU"/>
        </w:rPr>
        <w:t>D</w:t>
      </w:r>
      <w:r>
        <w:rPr>
          <w:u w:val="single"/>
          <w:lang w:val="hu-HU"/>
        </w:rPr>
        <w:t>y</w:t>
      </w:r>
      <w:r w:rsidRPr="00CD4C2C">
        <w:rPr>
          <w:u w:val="single"/>
          <w:lang w:val="hu-HU"/>
        </w:rPr>
        <w:t>sgl</w:t>
      </w:r>
      <w:r>
        <w:rPr>
          <w:u w:val="single"/>
          <w:lang w:val="hu-HU"/>
        </w:rPr>
        <w:t>y</w:t>
      </w:r>
      <w:r w:rsidRPr="00CD4C2C">
        <w:rPr>
          <w:u w:val="single"/>
          <w:lang w:val="hu-HU"/>
        </w:rPr>
        <w:t>k</w:t>
      </w:r>
      <w:r>
        <w:rPr>
          <w:u w:val="single"/>
          <w:lang w:val="hu-HU"/>
        </w:rPr>
        <w:t>ae</w:t>
      </w:r>
      <w:r w:rsidRPr="00CD4C2C">
        <w:rPr>
          <w:u w:val="single"/>
          <w:lang w:val="hu-HU"/>
        </w:rPr>
        <w:t>mia</w:t>
      </w:r>
      <w:proofErr w:type="spellEnd"/>
    </w:p>
    <w:p w14:paraId="19A34D88" w14:textId="77777777" w:rsidR="00687128" w:rsidRPr="009F1165" w:rsidRDefault="00687128" w:rsidP="00FC6329">
      <w:pPr>
        <w:pStyle w:val="Szvegtrzsbehzssal"/>
        <w:keepNext/>
        <w:widowControl w:val="0"/>
        <w:tabs>
          <w:tab w:val="left" w:pos="567"/>
        </w:tabs>
        <w:spacing w:after="0"/>
        <w:ind w:left="0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többi </w:t>
      </w:r>
      <w:proofErr w:type="spellStart"/>
      <w:r w:rsidRPr="009F1165">
        <w:rPr>
          <w:szCs w:val="22"/>
          <w:lang w:val="hu-HU"/>
        </w:rPr>
        <w:t>fluorokinolonhoz</w:t>
      </w:r>
      <w:proofErr w:type="spellEnd"/>
      <w:r w:rsidRPr="009F1165">
        <w:rPr>
          <w:szCs w:val="22"/>
          <w:lang w:val="hu-HU"/>
        </w:rPr>
        <w:t xml:space="preserve"> hasonlóan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esetében is vércukorszint ingadozásáról számoltak be, beleértve a </w:t>
      </w:r>
      <w:proofErr w:type="spellStart"/>
      <w:r w:rsidRPr="009F1165">
        <w:rPr>
          <w:szCs w:val="22"/>
          <w:lang w:val="hu-HU"/>
        </w:rPr>
        <w:t>hypoglykaemiát</w:t>
      </w:r>
      <w:proofErr w:type="spellEnd"/>
      <w:r w:rsidRPr="009F1165">
        <w:rPr>
          <w:szCs w:val="22"/>
          <w:lang w:val="hu-HU"/>
        </w:rPr>
        <w:t xml:space="preserve"> és a </w:t>
      </w:r>
      <w:proofErr w:type="spellStart"/>
      <w:r w:rsidRPr="009F1165">
        <w:rPr>
          <w:szCs w:val="22"/>
          <w:lang w:val="hu-HU"/>
        </w:rPr>
        <w:t>hyperglykaemiát</w:t>
      </w:r>
      <w:proofErr w:type="spellEnd"/>
      <w:r w:rsidRPr="009F1165">
        <w:rPr>
          <w:szCs w:val="22"/>
          <w:lang w:val="hu-HU"/>
        </w:rPr>
        <w:t xml:space="preserve"> is</w:t>
      </w:r>
      <w:r w:rsidR="00D02A31">
        <w:rPr>
          <w:szCs w:val="22"/>
          <w:lang w:val="hu-HU"/>
        </w:rPr>
        <w:t xml:space="preserve"> (lásd 4.8 pont)</w:t>
      </w:r>
      <w:r w:rsidRPr="009F1165">
        <w:rPr>
          <w:szCs w:val="22"/>
          <w:lang w:val="hu-HU"/>
        </w:rPr>
        <w:t xml:space="preserve">. A </w:t>
      </w:r>
      <w:proofErr w:type="spellStart"/>
      <w:r w:rsidRPr="009F1165">
        <w:rPr>
          <w:szCs w:val="22"/>
          <w:lang w:val="hu-HU"/>
        </w:rPr>
        <w:t>moxifloxacinnal</w:t>
      </w:r>
      <w:proofErr w:type="spellEnd"/>
      <w:r w:rsidRPr="009F1165">
        <w:rPr>
          <w:szCs w:val="22"/>
          <w:lang w:val="hu-HU"/>
        </w:rPr>
        <w:t xml:space="preserve"> kezelt betegeknél vércukorszint</w:t>
      </w:r>
      <w:r w:rsidR="00140F10">
        <w:rPr>
          <w:szCs w:val="22"/>
          <w:lang w:val="hu-HU"/>
        </w:rPr>
        <w:t>-</w:t>
      </w:r>
      <w:r w:rsidRPr="009F1165">
        <w:rPr>
          <w:szCs w:val="22"/>
          <w:lang w:val="hu-HU"/>
        </w:rPr>
        <w:t xml:space="preserve">ingadozás jelentkezett, különösen egyidejűleg orális </w:t>
      </w:r>
      <w:proofErr w:type="spellStart"/>
      <w:r w:rsidRPr="009F1165">
        <w:rPr>
          <w:szCs w:val="22"/>
          <w:lang w:val="hu-HU"/>
        </w:rPr>
        <w:t>antidiabetikummal</w:t>
      </w:r>
      <w:proofErr w:type="spellEnd"/>
      <w:r w:rsidRPr="009F1165">
        <w:rPr>
          <w:szCs w:val="22"/>
          <w:lang w:val="hu-HU"/>
        </w:rPr>
        <w:t xml:space="preserve"> (pl. </w:t>
      </w:r>
      <w:proofErr w:type="spellStart"/>
      <w:r w:rsidRPr="009F1165">
        <w:rPr>
          <w:szCs w:val="22"/>
          <w:lang w:val="hu-HU"/>
        </w:rPr>
        <w:t>szulfonilurea</w:t>
      </w:r>
      <w:proofErr w:type="spellEnd"/>
      <w:r w:rsidRPr="009F1165">
        <w:rPr>
          <w:szCs w:val="22"/>
          <w:lang w:val="hu-HU"/>
        </w:rPr>
        <w:t>) vagy inzulinnal kezelt idős diabeteses betegek esetében.</w:t>
      </w:r>
      <w:r w:rsidR="00D02A31">
        <w:rPr>
          <w:szCs w:val="22"/>
          <w:lang w:val="hu-HU"/>
        </w:rPr>
        <w:t xml:space="preserve"> </w:t>
      </w:r>
      <w:proofErr w:type="spellStart"/>
      <w:r w:rsidR="00D02A31">
        <w:rPr>
          <w:szCs w:val="22"/>
          <w:lang w:val="hu-HU"/>
        </w:rPr>
        <w:t>Hypoglykaemiás</w:t>
      </w:r>
      <w:proofErr w:type="spellEnd"/>
      <w:r w:rsidR="00D02A31">
        <w:rPr>
          <w:szCs w:val="22"/>
          <w:lang w:val="hu-HU"/>
        </w:rPr>
        <w:t xml:space="preserve"> kóma eseteiről számoltak be.</w:t>
      </w:r>
      <w:r w:rsidRPr="009F1165">
        <w:rPr>
          <w:szCs w:val="22"/>
          <w:lang w:val="hu-HU"/>
        </w:rPr>
        <w:t xml:space="preserve"> Diabeteses betegek esetében a vércukorszint gondos ellenőrzése javasolt (lásd 4.8 pont).</w:t>
      </w:r>
    </w:p>
    <w:p w14:paraId="28E225C9" w14:textId="77777777" w:rsidR="00687128" w:rsidRPr="00FC6329" w:rsidRDefault="00687128" w:rsidP="00FC6329">
      <w:pPr>
        <w:rPr>
          <w:szCs w:val="22"/>
          <w:lang w:val="hu-HU" w:eastAsia="ar-SA"/>
        </w:rPr>
      </w:pPr>
    </w:p>
    <w:p w14:paraId="06D05F86" w14:textId="77777777" w:rsidR="00184080" w:rsidRPr="009F1165" w:rsidRDefault="00184080" w:rsidP="009F1165">
      <w:pPr>
        <w:pStyle w:val="Szvegtrzsbehzssal"/>
        <w:keepNext/>
        <w:widowControl w:val="0"/>
        <w:autoSpaceDE w:val="0"/>
        <w:autoSpaceDN w:val="0"/>
        <w:adjustRightInd w:val="0"/>
        <w:spacing w:after="0"/>
        <w:ind w:left="0"/>
        <w:rPr>
          <w:szCs w:val="22"/>
          <w:u w:val="single"/>
          <w:lang w:val="hu-HU"/>
        </w:rPr>
      </w:pPr>
      <w:proofErr w:type="spellStart"/>
      <w:r w:rsidRPr="009F1165">
        <w:rPr>
          <w:szCs w:val="22"/>
          <w:u w:val="single"/>
          <w:lang w:val="hu-HU"/>
        </w:rPr>
        <w:t>Fotoszenzibilizáló</w:t>
      </w:r>
      <w:proofErr w:type="spellEnd"/>
      <w:r w:rsidRPr="009F1165">
        <w:rPr>
          <w:rStyle w:val="Jegyzethivatkozs"/>
          <w:sz w:val="22"/>
          <w:szCs w:val="22"/>
          <w:u w:val="single"/>
          <w:lang w:val="hu-HU"/>
        </w:rPr>
        <w:t xml:space="preserve"> reakciók megelőzése</w:t>
      </w:r>
    </w:p>
    <w:p w14:paraId="02ED4072" w14:textId="77777777" w:rsidR="00A83D7D" w:rsidRPr="009F1165" w:rsidRDefault="00A83D7D" w:rsidP="009F1165">
      <w:pPr>
        <w:keepNext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kinolonokról</w:t>
      </w:r>
      <w:proofErr w:type="spellEnd"/>
      <w:r w:rsidRPr="009F1165">
        <w:rPr>
          <w:szCs w:val="22"/>
          <w:lang w:val="hu-HU"/>
        </w:rPr>
        <w:t xml:space="preserve"> kimutatták, hogy </w:t>
      </w:r>
      <w:proofErr w:type="spellStart"/>
      <w:r w:rsidRPr="009F1165">
        <w:rPr>
          <w:szCs w:val="22"/>
          <w:lang w:val="hu-HU"/>
        </w:rPr>
        <w:t>fotoszenzibilizáló</w:t>
      </w:r>
      <w:proofErr w:type="spellEnd"/>
      <w:r w:rsidRPr="009F1165">
        <w:rPr>
          <w:rStyle w:val="Jegyzethivatkozs"/>
          <w:sz w:val="22"/>
          <w:szCs w:val="22"/>
          <w:lang w:val="hu-HU"/>
        </w:rPr>
        <w:t xml:space="preserve"> reakciót okoznak a betegeknél.</w:t>
      </w:r>
      <w:r w:rsidRPr="009F1165">
        <w:rPr>
          <w:szCs w:val="22"/>
          <w:lang w:val="hu-HU"/>
        </w:rPr>
        <w:t xml:space="preserve"> A vizsgálatok azonban azt mutatták, hogy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fotoszenzibilitást</w:t>
      </w:r>
      <w:proofErr w:type="spellEnd"/>
      <w:r w:rsidRPr="009F1165">
        <w:rPr>
          <w:szCs w:val="22"/>
          <w:lang w:val="hu-HU"/>
        </w:rPr>
        <w:t xml:space="preserve"> kiváltó kockázata</w:t>
      </w:r>
      <w:r w:rsidR="002007EA" w:rsidRPr="009F1165">
        <w:rPr>
          <w:szCs w:val="22"/>
          <w:lang w:val="hu-HU"/>
        </w:rPr>
        <w:t xml:space="preserve"> </w:t>
      </w:r>
      <w:r w:rsidR="004063FA" w:rsidRPr="009F1165">
        <w:rPr>
          <w:szCs w:val="22"/>
          <w:lang w:val="hu-HU"/>
        </w:rPr>
        <w:t>kisebb</w:t>
      </w:r>
      <w:r w:rsidRPr="009F1165">
        <w:rPr>
          <w:szCs w:val="22"/>
          <w:lang w:val="hu-HU"/>
        </w:rPr>
        <w:t>.</w:t>
      </w:r>
      <w:r w:rsidR="004C36CA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 xml:space="preserve">Mindazonáltal </w:t>
      </w:r>
      <w:r w:rsidR="004063FA" w:rsidRPr="009F1165">
        <w:rPr>
          <w:szCs w:val="22"/>
          <w:lang w:val="hu-HU"/>
        </w:rPr>
        <w:t>az</w:t>
      </w:r>
      <w:r w:rsidRPr="009F1165">
        <w:rPr>
          <w:szCs w:val="22"/>
          <w:lang w:val="hu-HU"/>
        </w:rPr>
        <w:t xml:space="preserve"> tanácsolható, hogy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="002007EA" w:rsidRPr="009F1165">
        <w:rPr>
          <w:szCs w:val="22"/>
          <w:lang w:val="hu-HU"/>
        </w:rPr>
        <w:t>-</w:t>
      </w:r>
      <w:r w:rsidRPr="009F1165">
        <w:rPr>
          <w:szCs w:val="22"/>
          <w:lang w:val="hu-HU"/>
        </w:rPr>
        <w:t>kezelés alatt álló betegek óvakodjanak az UV</w:t>
      </w:r>
      <w:r w:rsidR="004063FA" w:rsidRPr="009F1165">
        <w:rPr>
          <w:szCs w:val="22"/>
          <w:lang w:val="hu-HU"/>
        </w:rPr>
        <w:t> </w:t>
      </w:r>
      <w:r w:rsidRPr="009F1165">
        <w:rPr>
          <w:szCs w:val="22"/>
          <w:lang w:val="hu-HU"/>
        </w:rPr>
        <w:t>sugárzástól és az erős napsütéstől.</w:t>
      </w:r>
    </w:p>
    <w:p w14:paraId="62CE01B2" w14:textId="77777777" w:rsidR="009F179D" w:rsidRPr="009F1165" w:rsidRDefault="009F179D" w:rsidP="009F1165">
      <w:pPr>
        <w:rPr>
          <w:szCs w:val="22"/>
          <w:lang w:val="hu-HU" w:eastAsia="ar-SA"/>
        </w:rPr>
      </w:pPr>
    </w:p>
    <w:p w14:paraId="1423F0EC" w14:textId="77777777" w:rsidR="009F179D" w:rsidRPr="009F1165" w:rsidRDefault="009F179D" w:rsidP="009F1165">
      <w:pPr>
        <w:keepNext/>
        <w:widowControl w:val="0"/>
        <w:autoSpaceDE w:val="0"/>
        <w:autoSpaceDN w:val="0"/>
        <w:adjustRightInd w:val="0"/>
        <w:rPr>
          <w:szCs w:val="22"/>
          <w:u w:val="single"/>
          <w:lang w:val="hu-HU"/>
        </w:rPr>
      </w:pPr>
      <w:r w:rsidRPr="009F1165">
        <w:rPr>
          <w:szCs w:val="22"/>
          <w:u w:val="single"/>
          <w:lang w:val="hu-HU"/>
        </w:rPr>
        <w:t>Glükóz-6-foszfát</w:t>
      </w:r>
      <w:r w:rsidR="00140F10">
        <w:rPr>
          <w:szCs w:val="22"/>
          <w:u w:val="single"/>
          <w:lang w:val="hu-HU"/>
        </w:rPr>
        <w:t>-</w:t>
      </w:r>
      <w:r w:rsidRPr="009F1165">
        <w:rPr>
          <w:szCs w:val="22"/>
          <w:u w:val="single"/>
          <w:lang w:val="hu-HU"/>
        </w:rPr>
        <w:t>dehidrogenáz enzim elégtelenség</w:t>
      </w:r>
    </w:p>
    <w:p w14:paraId="41DE3D64" w14:textId="77777777" w:rsidR="009F179D" w:rsidRPr="009F1165" w:rsidRDefault="009F179D" w:rsidP="009F1165">
      <w:pPr>
        <w:keepNext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Azokat a betegeket, akiknek </w:t>
      </w:r>
      <w:r w:rsidR="00140F10">
        <w:rPr>
          <w:szCs w:val="22"/>
          <w:lang w:val="hu-HU"/>
        </w:rPr>
        <w:t xml:space="preserve">a </w:t>
      </w:r>
      <w:r w:rsidRPr="009F1165">
        <w:rPr>
          <w:szCs w:val="22"/>
          <w:lang w:val="hu-HU"/>
        </w:rPr>
        <w:t>családjában glükóz-6-foszfát</w:t>
      </w:r>
      <w:r w:rsidR="00140F10">
        <w:rPr>
          <w:szCs w:val="22"/>
          <w:lang w:val="hu-HU"/>
        </w:rPr>
        <w:t>-</w:t>
      </w:r>
      <w:r w:rsidRPr="009F1165">
        <w:rPr>
          <w:szCs w:val="22"/>
          <w:lang w:val="hu-HU"/>
        </w:rPr>
        <w:t>dehidrogenáz-hiány fordul elő</w:t>
      </w:r>
      <w:r w:rsidR="00140F10">
        <w:rPr>
          <w:szCs w:val="22"/>
          <w:lang w:val="hu-HU"/>
        </w:rPr>
        <w:t>,</w:t>
      </w:r>
      <w:r w:rsidRPr="009F1165">
        <w:rPr>
          <w:szCs w:val="22"/>
          <w:lang w:val="hu-HU"/>
        </w:rPr>
        <w:t xml:space="preserve"> vagy ők </w:t>
      </w:r>
      <w:r w:rsidR="00140F10">
        <w:rPr>
          <w:szCs w:val="22"/>
          <w:lang w:val="hu-HU"/>
        </w:rPr>
        <w:t xml:space="preserve">maguk </w:t>
      </w:r>
      <w:r w:rsidRPr="009F1165">
        <w:rPr>
          <w:szCs w:val="22"/>
          <w:lang w:val="hu-HU"/>
        </w:rPr>
        <w:t xml:space="preserve">szenvednek abban, a </w:t>
      </w:r>
      <w:proofErr w:type="spellStart"/>
      <w:r w:rsidRPr="009F1165">
        <w:rPr>
          <w:szCs w:val="22"/>
          <w:lang w:val="hu-HU"/>
        </w:rPr>
        <w:t>kinolon</w:t>
      </w:r>
      <w:proofErr w:type="spellEnd"/>
      <w:r w:rsidR="002007EA" w:rsidRPr="009F1165">
        <w:rPr>
          <w:szCs w:val="22"/>
          <w:lang w:val="hu-HU"/>
        </w:rPr>
        <w:t>-kezelés</w:t>
      </w:r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hemol</w:t>
      </w:r>
      <w:r w:rsidR="002007EA" w:rsidRPr="009F1165">
        <w:rPr>
          <w:szCs w:val="22"/>
          <w:lang w:val="hu-HU"/>
        </w:rPr>
        <w:t>i</w:t>
      </w:r>
      <w:r w:rsidRPr="009F1165">
        <w:rPr>
          <w:szCs w:val="22"/>
          <w:lang w:val="hu-HU"/>
        </w:rPr>
        <w:t>tikus</w:t>
      </w:r>
      <w:proofErr w:type="spellEnd"/>
      <w:r w:rsidRPr="009F1165">
        <w:rPr>
          <w:szCs w:val="22"/>
          <w:lang w:val="hu-HU"/>
        </w:rPr>
        <w:t xml:space="preserve"> reakcióra hajlamosítja. Ilyen betegek esetében a </w:t>
      </w:r>
      <w:proofErr w:type="spellStart"/>
      <w:r w:rsidRPr="009F1165">
        <w:rPr>
          <w:szCs w:val="22"/>
          <w:lang w:val="hu-HU"/>
        </w:rPr>
        <w:t>moxifloxacint</w:t>
      </w:r>
      <w:proofErr w:type="spellEnd"/>
      <w:r w:rsidRPr="009F1165">
        <w:rPr>
          <w:szCs w:val="22"/>
          <w:lang w:val="hu-HU"/>
        </w:rPr>
        <w:t xml:space="preserve"> kellő óvatossággal kell alkalmazni.</w:t>
      </w:r>
    </w:p>
    <w:p w14:paraId="05E5ECE3" w14:textId="77777777" w:rsidR="009F179D" w:rsidRPr="009F1165" w:rsidRDefault="009F179D" w:rsidP="009F1165">
      <w:pPr>
        <w:rPr>
          <w:szCs w:val="22"/>
          <w:lang w:val="hu-HU"/>
        </w:rPr>
      </w:pPr>
    </w:p>
    <w:p w14:paraId="60BD85D9" w14:textId="77777777" w:rsidR="009F179D" w:rsidRPr="009F1165" w:rsidRDefault="002007EA" w:rsidP="009F1165">
      <w:pPr>
        <w:keepNext/>
        <w:rPr>
          <w:szCs w:val="22"/>
          <w:u w:val="single"/>
          <w:lang w:val="hu-HU"/>
        </w:rPr>
      </w:pPr>
      <w:r w:rsidRPr="009F1165">
        <w:rPr>
          <w:szCs w:val="22"/>
          <w:u w:val="single"/>
          <w:lang w:val="hu-HU"/>
        </w:rPr>
        <w:t>A p</w:t>
      </w:r>
      <w:r w:rsidR="009F179D" w:rsidRPr="009F1165">
        <w:rPr>
          <w:szCs w:val="22"/>
          <w:u w:val="single"/>
          <w:lang w:val="hu-HU"/>
        </w:rPr>
        <w:t>eriarteriális szövet gyulladása</w:t>
      </w:r>
    </w:p>
    <w:p w14:paraId="61C4B750" w14:textId="77777777" w:rsidR="009F179D" w:rsidRPr="009F1165" w:rsidRDefault="009F179D" w:rsidP="009F1165">
      <w:pPr>
        <w:keepNext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="002007EA" w:rsidRPr="009F1165">
        <w:rPr>
          <w:szCs w:val="22"/>
          <w:lang w:val="hu-HU"/>
        </w:rPr>
        <w:t>oldatos</w:t>
      </w:r>
      <w:proofErr w:type="spellEnd"/>
      <w:r w:rsidR="002007EA" w:rsidRPr="009F1165">
        <w:rPr>
          <w:szCs w:val="22"/>
          <w:lang w:val="hu-HU"/>
        </w:rPr>
        <w:t xml:space="preserve"> infúzió</w:t>
      </w:r>
      <w:r w:rsidRPr="009F1165">
        <w:rPr>
          <w:szCs w:val="22"/>
          <w:lang w:val="hu-HU"/>
        </w:rPr>
        <w:t xml:space="preserve"> csak intravénás</w:t>
      </w:r>
      <w:r w:rsidR="002007EA" w:rsidRPr="009F1165">
        <w:rPr>
          <w:szCs w:val="22"/>
          <w:lang w:val="hu-HU"/>
        </w:rPr>
        <w:t>an alkalmazható</w:t>
      </w:r>
      <w:r w:rsidRPr="009F1165">
        <w:rPr>
          <w:szCs w:val="22"/>
          <w:lang w:val="hu-HU"/>
        </w:rPr>
        <w:t xml:space="preserve">. Az </w:t>
      </w:r>
      <w:proofErr w:type="spellStart"/>
      <w:r w:rsidRPr="009F1165">
        <w:rPr>
          <w:szCs w:val="22"/>
          <w:lang w:val="hu-HU"/>
        </w:rPr>
        <w:t>intraarteriális</w:t>
      </w:r>
      <w:proofErr w:type="spellEnd"/>
      <w:r w:rsidRPr="009F1165">
        <w:rPr>
          <w:szCs w:val="22"/>
          <w:lang w:val="hu-HU"/>
        </w:rPr>
        <w:t xml:space="preserve"> alkalmazás kerülendő</w:t>
      </w:r>
      <w:r w:rsidR="002007EA" w:rsidRPr="009F1165">
        <w:rPr>
          <w:szCs w:val="22"/>
          <w:lang w:val="hu-HU"/>
        </w:rPr>
        <w:t>,</w:t>
      </w:r>
      <w:r w:rsidRPr="009F1165">
        <w:rPr>
          <w:szCs w:val="22"/>
          <w:lang w:val="hu-HU"/>
        </w:rPr>
        <w:t xml:space="preserve"> mivel a klinikai vizsgálatok szerint </w:t>
      </w:r>
      <w:r w:rsidR="002007EA" w:rsidRPr="009F1165">
        <w:rPr>
          <w:szCs w:val="22"/>
          <w:lang w:val="hu-HU"/>
        </w:rPr>
        <w:t xml:space="preserve">a </w:t>
      </w:r>
      <w:r w:rsidRPr="009F1165">
        <w:rPr>
          <w:szCs w:val="22"/>
          <w:lang w:val="hu-HU"/>
        </w:rPr>
        <w:t>periarteriális szövet gyulladása alakul ki ezen alkalmazási módot követően.</w:t>
      </w:r>
    </w:p>
    <w:p w14:paraId="52B95DF7" w14:textId="77777777" w:rsidR="009F179D" w:rsidRPr="009F1165" w:rsidRDefault="009F179D" w:rsidP="009F1165">
      <w:pPr>
        <w:rPr>
          <w:szCs w:val="22"/>
          <w:lang w:val="hu-HU"/>
        </w:rPr>
      </w:pPr>
    </w:p>
    <w:p w14:paraId="2C56A7C5" w14:textId="77777777" w:rsidR="009F179D" w:rsidRPr="009F1165" w:rsidRDefault="009F179D" w:rsidP="009F1165">
      <w:pPr>
        <w:keepNext/>
        <w:rPr>
          <w:szCs w:val="22"/>
          <w:u w:val="single"/>
          <w:lang w:val="hu-HU"/>
        </w:rPr>
      </w:pPr>
      <w:proofErr w:type="gramStart"/>
      <w:r w:rsidRPr="009F1165">
        <w:rPr>
          <w:szCs w:val="22"/>
          <w:u w:val="single"/>
          <w:lang w:val="hu-HU"/>
        </w:rPr>
        <w:t>Komplikált</w:t>
      </w:r>
      <w:proofErr w:type="gramEnd"/>
      <w:r w:rsidRPr="009F1165">
        <w:rPr>
          <w:szCs w:val="22"/>
          <w:u w:val="single"/>
          <w:lang w:val="hu-HU"/>
        </w:rPr>
        <w:t xml:space="preserve"> bőr- és lágyrész infekciók</w:t>
      </w:r>
    </w:p>
    <w:p w14:paraId="136EFEA5" w14:textId="77777777" w:rsidR="00A83D7D" w:rsidRPr="009F1165" w:rsidRDefault="00A83D7D" w:rsidP="009F1165">
      <w:pPr>
        <w:keepNext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klinikai </w:t>
      </w:r>
      <w:r w:rsidR="002007EA" w:rsidRPr="009F1165">
        <w:rPr>
          <w:szCs w:val="22"/>
          <w:lang w:val="hu-HU"/>
        </w:rPr>
        <w:t xml:space="preserve">hatásossága </w:t>
      </w:r>
      <w:r w:rsidRPr="009F1165">
        <w:rPr>
          <w:szCs w:val="22"/>
          <w:lang w:val="hu-HU"/>
        </w:rPr>
        <w:t xml:space="preserve">súlyosan fertőzött égések, valamint </w:t>
      </w:r>
      <w:proofErr w:type="spellStart"/>
      <w:r w:rsidRPr="009F1165">
        <w:rPr>
          <w:szCs w:val="22"/>
          <w:lang w:val="hu-HU"/>
        </w:rPr>
        <w:t>fasciitisek</w:t>
      </w:r>
      <w:proofErr w:type="spellEnd"/>
      <w:r w:rsidRPr="009F1165">
        <w:rPr>
          <w:szCs w:val="22"/>
          <w:lang w:val="hu-HU"/>
        </w:rPr>
        <w:t xml:space="preserve"> és a „diabéteszes láb” </w:t>
      </w:r>
      <w:proofErr w:type="spellStart"/>
      <w:r w:rsidRPr="009F1165">
        <w:rPr>
          <w:szCs w:val="22"/>
          <w:lang w:val="hu-HU"/>
        </w:rPr>
        <w:t>osteomielitisszel</w:t>
      </w:r>
      <w:proofErr w:type="spellEnd"/>
      <w:r w:rsidRPr="009F1165">
        <w:rPr>
          <w:szCs w:val="22"/>
          <w:lang w:val="hu-HU"/>
        </w:rPr>
        <w:t xml:space="preserve"> járó fertőzéseiben nem bizonyított.</w:t>
      </w:r>
    </w:p>
    <w:p w14:paraId="242BBDC2" w14:textId="77777777" w:rsidR="009F179D" w:rsidRPr="009F1165" w:rsidRDefault="009F179D" w:rsidP="009F1165">
      <w:pPr>
        <w:rPr>
          <w:szCs w:val="22"/>
          <w:lang w:val="hu-HU"/>
        </w:rPr>
      </w:pPr>
    </w:p>
    <w:p w14:paraId="3D1B8FB2" w14:textId="77777777" w:rsidR="00184080" w:rsidRPr="009F1165" w:rsidRDefault="00184080" w:rsidP="009F1165">
      <w:pPr>
        <w:keepNext/>
        <w:rPr>
          <w:szCs w:val="22"/>
          <w:u w:val="single"/>
          <w:lang w:val="hu-HU"/>
        </w:rPr>
      </w:pPr>
      <w:r w:rsidRPr="009F1165">
        <w:rPr>
          <w:szCs w:val="22"/>
          <w:u w:val="single"/>
          <w:lang w:val="hu-HU"/>
        </w:rPr>
        <w:t>Interferencia biológia</w:t>
      </w:r>
      <w:r w:rsidR="002007EA" w:rsidRPr="009F1165">
        <w:rPr>
          <w:szCs w:val="22"/>
          <w:u w:val="single"/>
          <w:lang w:val="hu-HU"/>
        </w:rPr>
        <w:t>i</w:t>
      </w:r>
      <w:r w:rsidRPr="009F1165">
        <w:rPr>
          <w:szCs w:val="22"/>
          <w:u w:val="single"/>
          <w:lang w:val="hu-HU"/>
        </w:rPr>
        <w:t xml:space="preserve"> tesztekkel</w:t>
      </w:r>
    </w:p>
    <w:p w14:paraId="65647FCC" w14:textId="77777777" w:rsidR="00A83D7D" w:rsidRPr="009F1165" w:rsidRDefault="000F481B" w:rsidP="009F1165">
      <w:pPr>
        <w:keepNext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="002007EA" w:rsidRPr="009F1165">
        <w:rPr>
          <w:szCs w:val="22"/>
          <w:lang w:val="hu-HU"/>
        </w:rPr>
        <w:t>-</w:t>
      </w:r>
      <w:r w:rsidRPr="009F1165">
        <w:rPr>
          <w:szCs w:val="22"/>
          <w:lang w:val="hu-HU"/>
        </w:rPr>
        <w:t xml:space="preserve">kezelés befolyásolhatja a </w:t>
      </w:r>
      <w:proofErr w:type="spellStart"/>
      <w:r w:rsidRPr="00FC6329">
        <w:rPr>
          <w:szCs w:val="22"/>
          <w:lang w:val="hu-HU"/>
        </w:rPr>
        <w:t>Mycobacterium</w:t>
      </w:r>
      <w:proofErr w:type="spellEnd"/>
      <w:r w:rsidRPr="009F1165">
        <w:rPr>
          <w:i/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spp</w:t>
      </w:r>
      <w:proofErr w:type="spellEnd"/>
      <w:r w:rsidRPr="009F1165">
        <w:rPr>
          <w:szCs w:val="22"/>
          <w:lang w:val="hu-HU"/>
        </w:rPr>
        <w:t xml:space="preserve">. tenyésztéses vizsgálat eredményét, mivel gátolja a </w:t>
      </w:r>
      <w:proofErr w:type="spellStart"/>
      <w:r w:rsidRPr="009F1165">
        <w:rPr>
          <w:szCs w:val="22"/>
          <w:lang w:val="hu-HU"/>
        </w:rPr>
        <w:t>mycobacteriális</w:t>
      </w:r>
      <w:proofErr w:type="spellEnd"/>
      <w:r w:rsidRPr="009F1165">
        <w:rPr>
          <w:szCs w:val="22"/>
          <w:lang w:val="hu-HU"/>
        </w:rPr>
        <w:t xml:space="preserve"> növekedést</w:t>
      </w:r>
      <w:r w:rsidR="00F625FC">
        <w:rPr>
          <w:szCs w:val="22"/>
          <w:lang w:val="hu-HU"/>
        </w:rPr>
        <w:t>,</w:t>
      </w:r>
      <w:r w:rsidRPr="009F1165">
        <w:rPr>
          <w:szCs w:val="22"/>
          <w:lang w:val="hu-HU"/>
        </w:rPr>
        <w:t xml:space="preserve"> és így </w:t>
      </w:r>
      <w:r w:rsidR="002007EA" w:rsidRPr="009F1165">
        <w:rPr>
          <w:szCs w:val="22"/>
          <w:lang w:val="hu-HU"/>
        </w:rPr>
        <w:t xml:space="preserve">álnegatív </w:t>
      </w:r>
      <w:r w:rsidRPr="009F1165">
        <w:rPr>
          <w:szCs w:val="22"/>
          <w:lang w:val="hu-HU"/>
        </w:rPr>
        <w:t xml:space="preserve">eredményt okoz olyan minták esetén, amelyeket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="002007EA" w:rsidRPr="009F1165">
        <w:rPr>
          <w:szCs w:val="22"/>
          <w:lang w:val="hu-HU"/>
        </w:rPr>
        <w:t>-</w:t>
      </w:r>
      <w:r w:rsidR="008A5EFD" w:rsidRPr="009F1165">
        <w:rPr>
          <w:szCs w:val="22"/>
          <w:lang w:val="hu-HU"/>
        </w:rPr>
        <w:t>kezel</w:t>
      </w:r>
      <w:r w:rsidR="000B4AB6" w:rsidRPr="009F1165">
        <w:rPr>
          <w:szCs w:val="22"/>
          <w:lang w:val="hu-HU"/>
        </w:rPr>
        <w:t>és</w:t>
      </w:r>
      <w:r w:rsidR="002007EA" w:rsidRPr="009F1165">
        <w:rPr>
          <w:szCs w:val="22"/>
          <w:lang w:val="hu-HU"/>
        </w:rPr>
        <w:t xml:space="preserve"> alatt álló</w:t>
      </w:r>
      <w:r w:rsidRPr="009F1165">
        <w:rPr>
          <w:szCs w:val="22"/>
          <w:lang w:val="hu-HU"/>
        </w:rPr>
        <w:t xml:space="preserve"> betegektől vettek.</w:t>
      </w:r>
    </w:p>
    <w:p w14:paraId="5B8790AC" w14:textId="77777777" w:rsidR="00184080" w:rsidRPr="009F1165" w:rsidRDefault="00184080" w:rsidP="009F1165">
      <w:pPr>
        <w:rPr>
          <w:szCs w:val="22"/>
          <w:lang w:val="hu-HU"/>
        </w:rPr>
      </w:pPr>
    </w:p>
    <w:p w14:paraId="7AC5EEF9" w14:textId="77777777" w:rsidR="00184080" w:rsidRPr="009F1165" w:rsidRDefault="00184080" w:rsidP="009F1165">
      <w:pPr>
        <w:keepNext/>
        <w:rPr>
          <w:szCs w:val="22"/>
          <w:u w:val="single"/>
          <w:lang w:val="hu-HU"/>
        </w:rPr>
      </w:pPr>
      <w:r w:rsidRPr="009F1165">
        <w:rPr>
          <w:szCs w:val="22"/>
          <w:u w:val="single"/>
          <w:lang w:val="hu-HU"/>
        </w:rPr>
        <w:lastRenderedPageBreak/>
        <w:t>MRSA okozta fertőzések</w:t>
      </w:r>
    </w:p>
    <w:p w14:paraId="166DB428" w14:textId="77777777" w:rsidR="00A83D7D" w:rsidRPr="009F1165" w:rsidRDefault="00A83D7D" w:rsidP="009F1165">
      <w:pPr>
        <w:keepNext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nem ajánlott </w:t>
      </w:r>
      <w:proofErr w:type="spellStart"/>
      <w:r w:rsidRPr="009F1165">
        <w:rPr>
          <w:szCs w:val="22"/>
          <w:lang w:val="hu-HU"/>
        </w:rPr>
        <w:t>meticillin</w:t>
      </w:r>
      <w:proofErr w:type="spellEnd"/>
      <w:r w:rsidR="002007EA" w:rsidRPr="009F1165">
        <w:rPr>
          <w:szCs w:val="22"/>
          <w:lang w:val="hu-HU"/>
        </w:rPr>
        <w:t>-</w:t>
      </w:r>
      <w:r w:rsidRPr="009F1165">
        <w:rPr>
          <w:szCs w:val="22"/>
          <w:lang w:val="hu-HU"/>
        </w:rPr>
        <w:t xml:space="preserve">rezisztens </w:t>
      </w:r>
      <w:proofErr w:type="spellStart"/>
      <w:r w:rsidRPr="009F1165">
        <w:rPr>
          <w:i/>
          <w:szCs w:val="22"/>
          <w:lang w:val="hu-HU"/>
        </w:rPr>
        <w:t>Staphylococcus</w:t>
      </w:r>
      <w:proofErr w:type="spellEnd"/>
      <w:r w:rsidRPr="009F1165">
        <w:rPr>
          <w:i/>
          <w:szCs w:val="22"/>
          <w:lang w:val="hu-HU"/>
        </w:rPr>
        <w:t xml:space="preserve"> </w:t>
      </w:r>
      <w:proofErr w:type="spellStart"/>
      <w:r w:rsidRPr="009F1165">
        <w:rPr>
          <w:i/>
          <w:szCs w:val="22"/>
          <w:lang w:val="hu-HU"/>
        </w:rPr>
        <w:t>aureus</w:t>
      </w:r>
      <w:proofErr w:type="spellEnd"/>
      <w:r w:rsidRPr="009F1165">
        <w:rPr>
          <w:szCs w:val="22"/>
          <w:lang w:val="hu-HU"/>
        </w:rPr>
        <w:t xml:space="preserve"> (MRSA) fertőzések kezelésére. </w:t>
      </w:r>
      <w:r w:rsidR="00E67151">
        <w:rPr>
          <w:szCs w:val="22"/>
          <w:lang w:val="hu-HU"/>
        </w:rPr>
        <w:t>Feltételezett</w:t>
      </w:r>
      <w:r w:rsidR="00E67151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 xml:space="preserve">vagy igazolt MRSA </w:t>
      </w:r>
      <w:r w:rsidR="00F625FC" w:rsidRPr="00975ED1">
        <w:rPr>
          <w:lang w:val="hu-HU"/>
        </w:rPr>
        <w:t xml:space="preserve">okozta </w:t>
      </w:r>
      <w:r w:rsidRPr="009F1165">
        <w:rPr>
          <w:szCs w:val="22"/>
          <w:lang w:val="hu-HU"/>
        </w:rPr>
        <w:t xml:space="preserve">fertőzés esetén </w:t>
      </w:r>
      <w:r w:rsidR="00F625FC" w:rsidRPr="00975ED1">
        <w:rPr>
          <w:lang w:val="hu-HU"/>
        </w:rPr>
        <w:t xml:space="preserve">a kezelést egy </w:t>
      </w:r>
      <w:r w:rsidRPr="009F1165">
        <w:rPr>
          <w:szCs w:val="22"/>
          <w:lang w:val="hu-HU"/>
        </w:rPr>
        <w:t>megfel</w:t>
      </w:r>
      <w:r w:rsidR="008A5EFD" w:rsidRPr="009F1165">
        <w:rPr>
          <w:szCs w:val="22"/>
          <w:lang w:val="hu-HU"/>
        </w:rPr>
        <w:t>el</w:t>
      </w:r>
      <w:r w:rsidRPr="009F1165">
        <w:rPr>
          <w:szCs w:val="22"/>
          <w:lang w:val="hu-HU"/>
        </w:rPr>
        <w:t xml:space="preserve">ő antibakteriális </w:t>
      </w:r>
      <w:r w:rsidR="00F625FC" w:rsidRPr="00975ED1">
        <w:rPr>
          <w:lang w:val="hu-HU"/>
        </w:rPr>
        <w:t xml:space="preserve">hatóanyaggal </w:t>
      </w:r>
      <w:r w:rsidRPr="009F1165">
        <w:rPr>
          <w:szCs w:val="22"/>
          <w:lang w:val="hu-HU"/>
        </w:rPr>
        <w:t xml:space="preserve">kell </w:t>
      </w:r>
      <w:r w:rsidR="00F625FC">
        <w:rPr>
          <w:szCs w:val="22"/>
          <w:lang w:val="hu-HU"/>
        </w:rPr>
        <w:t>el</w:t>
      </w:r>
      <w:r w:rsidRPr="009F1165">
        <w:rPr>
          <w:szCs w:val="22"/>
          <w:lang w:val="hu-HU"/>
        </w:rPr>
        <w:t>kezdeni (lásd 5.</w:t>
      </w:r>
      <w:r w:rsidR="00D06D16" w:rsidRPr="009F1165">
        <w:rPr>
          <w:szCs w:val="22"/>
          <w:lang w:val="hu-HU"/>
        </w:rPr>
        <w:t>1 </w:t>
      </w:r>
      <w:r w:rsidRPr="009F1165">
        <w:rPr>
          <w:szCs w:val="22"/>
          <w:lang w:val="hu-HU"/>
        </w:rPr>
        <w:t>pont).</w:t>
      </w:r>
    </w:p>
    <w:p w14:paraId="09A51303" w14:textId="77777777" w:rsidR="009F179D" w:rsidRPr="009F1165" w:rsidRDefault="009F179D" w:rsidP="009F1165">
      <w:pPr>
        <w:rPr>
          <w:szCs w:val="22"/>
          <w:lang w:val="hu-HU"/>
        </w:rPr>
      </w:pPr>
    </w:p>
    <w:p w14:paraId="1CD72193" w14:textId="77777777" w:rsidR="009F179D" w:rsidRPr="009F1165" w:rsidRDefault="00714A77" w:rsidP="009F1165">
      <w:pPr>
        <w:keepNext/>
        <w:widowControl w:val="0"/>
        <w:autoSpaceDE w:val="0"/>
        <w:autoSpaceDN w:val="0"/>
        <w:adjustRightInd w:val="0"/>
        <w:rPr>
          <w:szCs w:val="22"/>
          <w:u w:val="single"/>
          <w:lang w:val="hu-HU"/>
        </w:rPr>
      </w:pPr>
      <w:r w:rsidRPr="009F1165">
        <w:rPr>
          <w:bCs/>
          <w:szCs w:val="22"/>
          <w:u w:val="single"/>
          <w:lang w:val="hu-HU"/>
        </w:rPr>
        <w:t>Gyermekek</w:t>
      </w:r>
      <w:r w:rsidR="00F625FC" w:rsidRPr="00F625FC">
        <w:rPr>
          <w:bCs/>
          <w:u w:val="single"/>
          <w:lang w:val="hu-HU"/>
        </w:rPr>
        <w:t xml:space="preserve"> </w:t>
      </w:r>
      <w:r w:rsidR="00F625FC">
        <w:rPr>
          <w:bCs/>
          <w:u w:val="single"/>
          <w:lang w:val="hu-HU"/>
        </w:rPr>
        <w:t>és serdülők</w:t>
      </w:r>
    </w:p>
    <w:p w14:paraId="042FC2D2" w14:textId="77777777" w:rsidR="009F179D" w:rsidRDefault="009F179D" w:rsidP="009F1165">
      <w:pPr>
        <w:keepNext/>
        <w:rPr>
          <w:szCs w:val="22"/>
          <w:lang w:val="hu-HU"/>
        </w:rPr>
      </w:pPr>
      <w:r w:rsidRPr="009F1165">
        <w:rPr>
          <w:bCs/>
          <w:szCs w:val="22"/>
          <w:lang w:val="hu-HU"/>
        </w:rPr>
        <w:t>A fiatal állatok porcaira kifejtett mellékhatások miatt (lásd 5.</w:t>
      </w:r>
      <w:r w:rsidR="00AC30F7" w:rsidRPr="009F1165">
        <w:rPr>
          <w:bCs/>
          <w:szCs w:val="22"/>
          <w:lang w:val="hu-HU"/>
        </w:rPr>
        <w:t>3 </w:t>
      </w:r>
      <w:r w:rsidRPr="009F1165">
        <w:rPr>
          <w:bCs/>
          <w:szCs w:val="22"/>
          <w:lang w:val="hu-HU"/>
        </w:rPr>
        <w:t xml:space="preserve">pont) </w:t>
      </w: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alkalmazása ellenjavallt </w:t>
      </w:r>
      <w:r w:rsidR="002007EA" w:rsidRPr="009F1165">
        <w:rPr>
          <w:szCs w:val="22"/>
          <w:lang w:val="hu-HU"/>
        </w:rPr>
        <w:t xml:space="preserve">18 éven aluli </w:t>
      </w:r>
      <w:r w:rsidRPr="009F1165">
        <w:rPr>
          <w:szCs w:val="22"/>
          <w:lang w:val="hu-HU"/>
        </w:rPr>
        <w:t>gyermekek és serdülők esetében (lásd 4.</w:t>
      </w:r>
      <w:r w:rsidR="00AC30F7" w:rsidRPr="009F1165">
        <w:rPr>
          <w:szCs w:val="22"/>
          <w:lang w:val="hu-HU"/>
        </w:rPr>
        <w:t>3 </w:t>
      </w:r>
      <w:r w:rsidRPr="009F1165">
        <w:rPr>
          <w:szCs w:val="22"/>
          <w:lang w:val="hu-HU"/>
        </w:rPr>
        <w:t>pont).</w:t>
      </w:r>
    </w:p>
    <w:p w14:paraId="3751B188" w14:textId="77777777" w:rsidR="00E92A28" w:rsidRDefault="00E92A28" w:rsidP="009F1165">
      <w:pPr>
        <w:keepNext/>
        <w:rPr>
          <w:szCs w:val="22"/>
          <w:lang w:val="hu-HU"/>
        </w:rPr>
      </w:pPr>
    </w:p>
    <w:p w14:paraId="54146D92" w14:textId="77777777" w:rsidR="00E92A28" w:rsidRPr="00B55240" w:rsidRDefault="00E92A28" w:rsidP="009F1165">
      <w:pPr>
        <w:keepNext/>
        <w:rPr>
          <w:szCs w:val="22"/>
          <w:u w:val="single"/>
          <w:lang w:val="hu-HU"/>
        </w:rPr>
      </w:pPr>
      <w:r w:rsidRPr="00B55240">
        <w:rPr>
          <w:szCs w:val="22"/>
          <w:u w:val="single"/>
          <w:lang w:val="hu-HU"/>
        </w:rPr>
        <w:t xml:space="preserve">Fontos </w:t>
      </w:r>
      <w:proofErr w:type="gramStart"/>
      <w:r w:rsidRPr="00B55240">
        <w:rPr>
          <w:szCs w:val="22"/>
          <w:u w:val="single"/>
          <w:lang w:val="hu-HU"/>
        </w:rPr>
        <w:t>információ</w:t>
      </w:r>
      <w:proofErr w:type="gramEnd"/>
      <w:r w:rsidRPr="00B55240">
        <w:rPr>
          <w:szCs w:val="22"/>
          <w:u w:val="single"/>
          <w:lang w:val="hu-HU"/>
        </w:rPr>
        <w:t xml:space="preserve"> az egyes segédanyagokról</w:t>
      </w:r>
    </w:p>
    <w:p w14:paraId="2EBC589A" w14:textId="77777777" w:rsidR="00E92A28" w:rsidRPr="00E92A28" w:rsidRDefault="00E92A28" w:rsidP="009F1165">
      <w:pPr>
        <w:keepNext/>
        <w:rPr>
          <w:szCs w:val="22"/>
          <w:lang w:val="hu-HU"/>
        </w:rPr>
      </w:pPr>
      <w:r>
        <w:rPr>
          <w:szCs w:val="22"/>
          <w:lang w:val="hu-HU"/>
        </w:rPr>
        <w:t>Ez a gyógyszer 787 mg (körülbelül 34 </w:t>
      </w:r>
      <w:proofErr w:type="spellStart"/>
      <w:r>
        <w:rPr>
          <w:szCs w:val="22"/>
          <w:lang w:val="hu-HU"/>
        </w:rPr>
        <w:t>mmol</w:t>
      </w:r>
      <w:proofErr w:type="spellEnd"/>
      <w:r>
        <w:rPr>
          <w:szCs w:val="22"/>
          <w:lang w:val="hu-HU"/>
        </w:rPr>
        <w:t xml:space="preserve">) nátriumot tartalmaz </w:t>
      </w:r>
      <w:r w:rsidRPr="00E92A28">
        <w:rPr>
          <w:szCs w:val="22"/>
          <w:lang w:val="hu-HU"/>
        </w:rPr>
        <w:t>250</w:t>
      </w:r>
      <w:r>
        <w:rPr>
          <w:szCs w:val="22"/>
          <w:lang w:val="hu-HU"/>
        </w:rPr>
        <w:t> </w:t>
      </w:r>
      <w:r w:rsidRPr="00E92A28">
        <w:rPr>
          <w:szCs w:val="22"/>
          <w:lang w:val="hu-HU"/>
        </w:rPr>
        <w:t>ml</w:t>
      </w:r>
      <w:r>
        <w:rPr>
          <w:szCs w:val="22"/>
          <w:lang w:val="hu-HU"/>
        </w:rPr>
        <w:noBreakHyphen/>
        <w:t>es</w:t>
      </w:r>
      <w:r w:rsidRPr="00E92A28">
        <w:rPr>
          <w:szCs w:val="22"/>
          <w:lang w:val="hu-HU"/>
        </w:rPr>
        <w:t xml:space="preserve"> </w:t>
      </w:r>
      <w:proofErr w:type="spellStart"/>
      <w:r w:rsidRPr="00E92A28">
        <w:rPr>
          <w:szCs w:val="22"/>
          <w:lang w:val="hu-HU"/>
        </w:rPr>
        <w:t>oldatos</w:t>
      </w:r>
      <w:proofErr w:type="spellEnd"/>
      <w:r w:rsidRPr="00E92A28">
        <w:rPr>
          <w:szCs w:val="22"/>
          <w:lang w:val="hu-HU"/>
        </w:rPr>
        <w:t xml:space="preserve"> infúzió</w:t>
      </w:r>
      <w:r>
        <w:rPr>
          <w:szCs w:val="22"/>
          <w:lang w:val="hu-HU"/>
        </w:rPr>
        <w:t>s üvegenként, ami megfelel a WHO által ajánlott maximális napi 2 g nátriumbevitel 39,35%-</w:t>
      </w:r>
      <w:proofErr w:type="spellStart"/>
      <w:r>
        <w:rPr>
          <w:szCs w:val="22"/>
          <w:lang w:val="hu-HU"/>
        </w:rPr>
        <w:t>ának</w:t>
      </w:r>
      <w:proofErr w:type="spellEnd"/>
      <w:r>
        <w:rPr>
          <w:szCs w:val="22"/>
          <w:lang w:val="hu-HU"/>
        </w:rPr>
        <w:t xml:space="preserve"> felnőtteknél.</w:t>
      </w:r>
    </w:p>
    <w:p w14:paraId="0A9FC844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2ED294A6" w14:textId="77777777" w:rsidR="00A83D7D" w:rsidRPr="009F1165" w:rsidRDefault="00A83D7D" w:rsidP="009F1165">
      <w:pPr>
        <w:keepNext/>
        <w:keepLines/>
        <w:tabs>
          <w:tab w:val="left" w:pos="567"/>
        </w:tabs>
        <w:rPr>
          <w:b/>
          <w:szCs w:val="22"/>
          <w:lang w:val="hu-HU"/>
        </w:rPr>
      </w:pPr>
      <w:r w:rsidRPr="009F1165">
        <w:rPr>
          <w:b/>
          <w:szCs w:val="22"/>
          <w:lang w:val="hu-HU"/>
        </w:rPr>
        <w:t>4.5</w:t>
      </w:r>
      <w:r w:rsidRPr="009F1165">
        <w:rPr>
          <w:b/>
          <w:szCs w:val="22"/>
          <w:lang w:val="hu-HU"/>
        </w:rPr>
        <w:tab/>
        <w:t xml:space="preserve">Gyógyszerkölcsönhatások és egyéb </w:t>
      </w:r>
      <w:proofErr w:type="gramStart"/>
      <w:r w:rsidRPr="009F1165">
        <w:rPr>
          <w:b/>
          <w:szCs w:val="22"/>
          <w:lang w:val="hu-HU"/>
        </w:rPr>
        <w:t>interakciók</w:t>
      </w:r>
      <w:proofErr w:type="gramEnd"/>
    </w:p>
    <w:p w14:paraId="5F9D63C4" w14:textId="77777777" w:rsidR="00A83D7D" w:rsidRPr="009F1165" w:rsidRDefault="00A83D7D" w:rsidP="009F1165">
      <w:pPr>
        <w:keepNext/>
        <w:keepLines/>
        <w:tabs>
          <w:tab w:val="left" w:pos="567"/>
        </w:tabs>
        <w:rPr>
          <w:szCs w:val="22"/>
          <w:u w:val="single"/>
          <w:lang w:val="hu-HU"/>
        </w:rPr>
      </w:pPr>
    </w:p>
    <w:p w14:paraId="340950A3" w14:textId="77777777" w:rsidR="00A83D7D" w:rsidRPr="009F1165" w:rsidRDefault="00A83D7D" w:rsidP="009F1165">
      <w:pPr>
        <w:keepNext/>
        <w:keepLines/>
        <w:tabs>
          <w:tab w:val="left" w:pos="567"/>
        </w:tabs>
        <w:rPr>
          <w:szCs w:val="22"/>
          <w:u w:val="single"/>
          <w:lang w:val="hu-HU"/>
        </w:rPr>
      </w:pPr>
      <w:r w:rsidRPr="009F1165">
        <w:rPr>
          <w:szCs w:val="22"/>
          <w:u w:val="single"/>
          <w:lang w:val="hu-HU"/>
        </w:rPr>
        <w:t>Kölcsönhatások más gyógyszerekkel</w:t>
      </w:r>
    </w:p>
    <w:p w14:paraId="64674F69" w14:textId="77777777" w:rsidR="00A83D7D" w:rsidRPr="009F1165" w:rsidRDefault="00A83D7D" w:rsidP="009F1165">
      <w:pPr>
        <w:keepNext/>
        <w:keepLines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Nem zárható ki, hogy a </w:t>
      </w:r>
      <w:proofErr w:type="spellStart"/>
      <w:r w:rsidRPr="009F1165">
        <w:rPr>
          <w:szCs w:val="22"/>
          <w:lang w:val="hu-HU"/>
        </w:rPr>
        <w:t>moxifloxacin</w:t>
      </w:r>
      <w:r w:rsidR="009F179D" w:rsidRPr="009F1165">
        <w:rPr>
          <w:szCs w:val="22"/>
          <w:lang w:val="hu-HU"/>
        </w:rPr>
        <w:t>nak</w:t>
      </w:r>
      <w:proofErr w:type="spellEnd"/>
      <w:r w:rsidRPr="009F1165">
        <w:rPr>
          <w:szCs w:val="22"/>
          <w:lang w:val="hu-HU"/>
        </w:rPr>
        <w:t xml:space="preserve"> és más gyógyszerek</w:t>
      </w:r>
      <w:r w:rsidR="009F179D" w:rsidRPr="009F1165">
        <w:rPr>
          <w:szCs w:val="22"/>
          <w:lang w:val="hu-HU"/>
        </w:rPr>
        <w:t>nek</w:t>
      </w:r>
      <w:r w:rsidRPr="009F1165">
        <w:rPr>
          <w:szCs w:val="22"/>
          <w:lang w:val="hu-HU"/>
        </w:rPr>
        <w:t xml:space="preserve"> </w:t>
      </w:r>
      <w:proofErr w:type="gramStart"/>
      <w:r w:rsidRPr="009F1165">
        <w:rPr>
          <w:szCs w:val="22"/>
          <w:lang w:val="hu-HU"/>
        </w:rPr>
        <w:t>additív</w:t>
      </w:r>
      <w:proofErr w:type="gramEnd"/>
      <w:r w:rsidRPr="009F1165">
        <w:rPr>
          <w:szCs w:val="22"/>
          <w:lang w:val="hu-HU"/>
        </w:rPr>
        <w:t xml:space="preserve"> hatás</w:t>
      </w:r>
      <w:r w:rsidR="009F179D" w:rsidRPr="009F1165">
        <w:rPr>
          <w:szCs w:val="22"/>
          <w:lang w:val="hu-HU"/>
        </w:rPr>
        <w:t>a</w:t>
      </w:r>
      <w:r w:rsidRPr="009F1165">
        <w:rPr>
          <w:szCs w:val="22"/>
          <w:lang w:val="hu-HU"/>
        </w:rPr>
        <w:t xml:space="preserve"> van a </w:t>
      </w:r>
      <w:r w:rsidR="00D06D16" w:rsidRPr="009F1165">
        <w:rPr>
          <w:szCs w:val="22"/>
          <w:lang w:val="hu-HU"/>
        </w:rPr>
        <w:t>QT</w:t>
      </w:r>
      <w:r w:rsidR="00D06D16" w:rsidRPr="009F1165">
        <w:rPr>
          <w:szCs w:val="22"/>
          <w:lang w:val="hu-HU"/>
        </w:rPr>
        <w:noBreakHyphen/>
      </w:r>
      <w:r w:rsidRPr="009F1165">
        <w:rPr>
          <w:szCs w:val="22"/>
          <w:lang w:val="hu-HU"/>
        </w:rPr>
        <w:t>szakasz</w:t>
      </w:r>
      <w:r w:rsidR="00AC0488" w:rsidRPr="009F1165">
        <w:rPr>
          <w:szCs w:val="22"/>
          <w:lang w:val="hu-HU"/>
        </w:rPr>
        <w:t xml:space="preserve"> meghosszabbítására</w:t>
      </w:r>
      <w:r w:rsidR="003257FF" w:rsidRPr="009F1165">
        <w:rPr>
          <w:szCs w:val="22"/>
          <w:lang w:val="hu-HU"/>
        </w:rPr>
        <w:t>,</w:t>
      </w:r>
      <w:r w:rsidR="002007EA" w:rsidRPr="009F1165">
        <w:rPr>
          <w:szCs w:val="22"/>
          <w:lang w:val="hu-HU"/>
        </w:rPr>
        <w:t xml:space="preserve"> </w:t>
      </w:r>
      <w:r w:rsidR="003257FF" w:rsidRPr="009F1165">
        <w:rPr>
          <w:szCs w:val="22"/>
          <w:lang w:val="hu-HU"/>
        </w:rPr>
        <w:t>a</w:t>
      </w:r>
      <w:r w:rsidRPr="009F1165">
        <w:rPr>
          <w:szCs w:val="22"/>
          <w:lang w:val="hu-HU"/>
        </w:rPr>
        <w:t xml:space="preserve">melynek következtében a </w:t>
      </w:r>
      <w:proofErr w:type="spellStart"/>
      <w:r w:rsidR="00D06D16" w:rsidRPr="009F1165">
        <w:rPr>
          <w:szCs w:val="22"/>
          <w:lang w:val="hu-HU"/>
        </w:rPr>
        <w:t>QTc</w:t>
      </w:r>
      <w:proofErr w:type="spellEnd"/>
      <w:r w:rsidR="00D06D16" w:rsidRPr="009F1165">
        <w:rPr>
          <w:szCs w:val="22"/>
          <w:lang w:val="hu-HU"/>
        </w:rPr>
        <w:noBreakHyphen/>
      </w:r>
      <w:r w:rsidRPr="009F1165">
        <w:rPr>
          <w:szCs w:val="22"/>
          <w:lang w:val="hu-HU"/>
        </w:rPr>
        <w:t xml:space="preserve">szakasz megnyúlhat. Ez a hatás a kamrai </w:t>
      </w:r>
      <w:proofErr w:type="spellStart"/>
      <w:r w:rsidRPr="009F1165">
        <w:rPr>
          <w:szCs w:val="22"/>
          <w:lang w:val="hu-HU"/>
        </w:rPr>
        <w:t>arrhythmiák</w:t>
      </w:r>
      <w:proofErr w:type="spellEnd"/>
      <w:r w:rsidRPr="009F1165">
        <w:rPr>
          <w:szCs w:val="22"/>
          <w:lang w:val="hu-HU"/>
        </w:rPr>
        <w:t xml:space="preserve"> </w:t>
      </w:r>
      <w:r w:rsidR="00D06D16" w:rsidRPr="009F1165">
        <w:rPr>
          <w:szCs w:val="22"/>
          <w:lang w:val="hu-HU"/>
        </w:rPr>
        <w:t>–</w:t>
      </w:r>
      <w:r w:rsidRPr="009F1165">
        <w:rPr>
          <w:szCs w:val="22"/>
          <w:lang w:val="hu-HU"/>
        </w:rPr>
        <w:t xml:space="preserve"> beleértve a </w:t>
      </w:r>
      <w:proofErr w:type="spellStart"/>
      <w:r w:rsidRPr="009F1165">
        <w:rPr>
          <w:szCs w:val="22"/>
          <w:lang w:val="hu-HU"/>
        </w:rPr>
        <w:t>torsades</w:t>
      </w:r>
      <w:proofErr w:type="spellEnd"/>
      <w:r w:rsidRPr="009F1165">
        <w:rPr>
          <w:szCs w:val="22"/>
          <w:lang w:val="hu-HU"/>
        </w:rPr>
        <w:t xml:space="preserve"> de </w:t>
      </w:r>
      <w:proofErr w:type="spellStart"/>
      <w:r w:rsidRPr="009F1165">
        <w:rPr>
          <w:szCs w:val="22"/>
          <w:lang w:val="hu-HU"/>
        </w:rPr>
        <w:t>pointes</w:t>
      </w:r>
      <w:proofErr w:type="spellEnd"/>
      <w:r w:rsidR="00D06D16" w:rsidRPr="009F1165">
        <w:rPr>
          <w:szCs w:val="22"/>
          <w:lang w:val="hu-HU"/>
        </w:rPr>
        <w:noBreakHyphen/>
      </w:r>
      <w:r w:rsidRPr="009F1165">
        <w:rPr>
          <w:szCs w:val="22"/>
          <w:lang w:val="hu-HU"/>
        </w:rPr>
        <w:t xml:space="preserve">t </w:t>
      </w:r>
      <w:r w:rsidR="004063FA" w:rsidRPr="009F1165">
        <w:rPr>
          <w:szCs w:val="22"/>
          <w:lang w:val="hu-HU"/>
        </w:rPr>
        <w:t>is</w:t>
      </w:r>
      <w:r w:rsidR="00D06D16" w:rsidRPr="009F1165">
        <w:rPr>
          <w:szCs w:val="22"/>
          <w:lang w:val="hu-HU"/>
        </w:rPr>
        <w:t xml:space="preserve"> –</w:t>
      </w:r>
      <w:r w:rsidRPr="009F1165">
        <w:rPr>
          <w:szCs w:val="22"/>
          <w:lang w:val="hu-HU"/>
        </w:rPr>
        <w:t xml:space="preserve"> fokozott </w:t>
      </w:r>
      <w:r w:rsidR="002007EA" w:rsidRPr="009F1165">
        <w:rPr>
          <w:szCs w:val="22"/>
          <w:lang w:val="hu-HU"/>
        </w:rPr>
        <w:t xml:space="preserve">kockázatához </w:t>
      </w:r>
      <w:r w:rsidRPr="009F1165">
        <w:rPr>
          <w:szCs w:val="22"/>
          <w:lang w:val="hu-HU"/>
        </w:rPr>
        <w:t xml:space="preserve">vezethet. Éppen ezért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együttadása</w:t>
      </w:r>
      <w:proofErr w:type="spellEnd"/>
      <w:r w:rsidRPr="009F1165">
        <w:rPr>
          <w:szCs w:val="22"/>
          <w:lang w:val="hu-HU"/>
        </w:rPr>
        <w:t xml:space="preserve"> ellenjavallt az alábbi gyógyszerekkel (lásd 4.</w:t>
      </w:r>
      <w:r w:rsidR="00D06D16" w:rsidRPr="009F1165">
        <w:rPr>
          <w:szCs w:val="22"/>
          <w:lang w:val="hu-HU"/>
        </w:rPr>
        <w:t>3 </w:t>
      </w:r>
      <w:r w:rsidRPr="009F1165">
        <w:rPr>
          <w:szCs w:val="22"/>
          <w:lang w:val="hu-HU"/>
        </w:rPr>
        <w:t>pont)</w:t>
      </w:r>
      <w:r w:rsidR="006C4D62" w:rsidRPr="009F1165">
        <w:rPr>
          <w:szCs w:val="22"/>
          <w:lang w:val="hu-HU"/>
        </w:rPr>
        <w:t>:</w:t>
      </w:r>
    </w:p>
    <w:p w14:paraId="6A5E52F2" w14:textId="77777777" w:rsidR="00A83D7D" w:rsidRPr="009F1165" w:rsidRDefault="00A83D7D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IA osztályba tartozó </w:t>
      </w:r>
      <w:proofErr w:type="spellStart"/>
      <w:r w:rsidRPr="009F1165">
        <w:rPr>
          <w:szCs w:val="22"/>
          <w:lang w:val="hu-HU"/>
        </w:rPr>
        <w:t>antiaritmiás</w:t>
      </w:r>
      <w:proofErr w:type="spellEnd"/>
      <w:r w:rsidRPr="009F1165">
        <w:rPr>
          <w:szCs w:val="22"/>
          <w:lang w:val="hu-HU"/>
        </w:rPr>
        <w:t xml:space="preserve"> szerek (pl</w:t>
      </w:r>
      <w:r w:rsidR="00D06D16" w:rsidRPr="009F1165">
        <w:rPr>
          <w:szCs w:val="22"/>
          <w:lang w:val="hu-HU"/>
        </w:rPr>
        <w:t>. </w:t>
      </w:r>
      <w:proofErr w:type="spellStart"/>
      <w:r w:rsidRPr="009F1165">
        <w:rPr>
          <w:szCs w:val="22"/>
          <w:lang w:val="hu-HU"/>
        </w:rPr>
        <w:t>kinidin</w:t>
      </w:r>
      <w:proofErr w:type="spellEnd"/>
      <w:r w:rsidRPr="009F1165">
        <w:rPr>
          <w:szCs w:val="22"/>
          <w:lang w:val="hu-HU"/>
        </w:rPr>
        <w:t xml:space="preserve">, </w:t>
      </w:r>
      <w:proofErr w:type="spellStart"/>
      <w:r w:rsidRPr="009F1165">
        <w:rPr>
          <w:szCs w:val="22"/>
          <w:lang w:val="hu-HU"/>
        </w:rPr>
        <w:t>hidrokinidin</w:t>
      </w:r>
      <w:proofErr w:type="spellEnd"/>
      <w:r w:rsidRPr="009F1165">
        <w:rPr>
          <w:szCs w:val="22"/>
          <w:lang w:val="hu-HU"/>
        </w:rPr>
        <w:t xml:space="preserve">, </w:t>
      </w:r>
      <w:proofErr w:type="spellStart"/>
      <w:r w:rsidRPr="009F1165">
        <w:rPr>
          <w:szCs w:val="22"/>
          <w:lang w:val="hu-HU"/>
        </w:rPr>
        <w:t>dizopiramid</w:t>
      </w:r>
      <w:proofErr w:type="spellEnd"/>
      <w:r w:rsidR="006C4D62" w:rsidRPr="009F1165">
        <w:rPr>
          <w:szCs w:val="22"/>
          <w:lang w:val="hu-HU"/>
        </w:rPr>
        <w:t>)</w:t>
      </w:r>
    </w:p>
    <w:p w14:paraId="3FA10C05" w14:textId="77777777" w:rsidR="00A83D7D" w:rsidRPr="009F1165" w:rsidRDefault="00A83D7D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III. osztályba tartozó </w:t>
      </w:r>
      <w:proofErr w:type="spellStart"/>
      <w:r w:rsidRPr="009F1165">
        <w:rPr>
          <w:szCs w:val="22"/>
          <w:lang w:val="hu-HU"/>
        </w:rPr>
        <w:t>antiaritmiás</w:t>
      </w:r>
      <w:proofErr w:type="spellEnd"/>
      <w:r w:rsidRPr="009F1165">
        <w:rPr>
          <w:szCs w:val="22"/>
          <w:lang w:val="hu-HU"/>
        </w:rPr>
        <w:t xml:space="preserve"> szerek (pl</w:t>
      </w:r>
      <w:r w:rsidR="00D06D16" w:rsidRPr="009F1165">
        <w:rPr>
          <w:szCs w:val="22"/>
          <w:lang w:val="hu-HU"/>
        </w:rPr>
        <w:t>. </w:t>
      </w:r>
      <w:proofErr w:type="spellStart"/>
      <w:r w:rsidRPr="009F1165">
        <w:rPr>
          <w:szCs w:val="22"/>
          <w:lang w:val="hu-HU"/>
        </w:rPr>
        <w:t>amiodaron</w:t>
      </w:r>
      <w:proofErr w:type="spellEnd"/>
      <w:r w:rsidRPr="009F1165">
        <w:rPr>
          <w:szCs w:val="22"/>
          <w:lang w:val="hu-HU"/>
        </w:rPr>
        <w:t xml:space="preserve">, </w:t>
      </w:r>
      <w:proofErr w:type="spellStart"/>
      <w:r w:rsidRPr="009F1165">
        <w:rPr>
          <w:szCs w:val="22"/>
          <w:lang w:val="hu-HU"/>
        </w:rPr>
        <w:t>szotalol</w:t>
      </w:r>
      <w:proofErr w:type="spellEnd"/>
      <w:r w:rsidRPr="009F1165">
        <w:rPr>
          <w:szCs w:val="22"/>
          <w:lang w:val="hu-HU"/>
        </w:rPr>
        <w:t xml:space="preserve">, </w:t>
      </w:r>
      <w:proofErr w:type="spellStart"/>
      <w:r w:rsidRPr="009F1165">
        <w:rPr>
          <w:szCs w:val="22"/>
          <w:lang w:val="hu-HU"/>
        </w:rPr>
        <w:t>dofetilid</w:t>
      </w:r>
      <w:proofErr w:type="spellEnd"/>
      <w:r w:rsidRPr="009F1165">
        <w:rPr>
          <w:szCs w:val="22"/>
          <w:lang w:val="hu-HU"/>
        </w:rPr>
        <w:t xml:space="preserve">, </w:t>
      </w:r>
      <w:proofErr w:type="spellStart"/>
      <w:r w:rsidRPr="009F1165">
        <w:rPr>
          <w:szCs w:val="22"/>
          <w:lang w:val="hu-HU"/>
        </w:rPr>
        <w:t>ibutilid</w:t>
      </w:r>
      <w:proofErr w:type="spellEnd"/>
      <w:r w:rsidR="006C4D62" w:rsidRPr="009F1165">
        <w:rPr>
          <w:szCs w:val="22"/>
          <w:lang w:val="hu-HU"/>
        </w:rPr>
        <w:t>)</w:t>
      </w:r>
    </w:p>
    <w:p w14:paraId="2056EA32" w14:textId="77777777" w:rsidR="00A83D7D" w:rsidRPr="009F1165" w:rsidRDefault="00AC0488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proofErr w:type="spellStart"/>
      <w:r w:rsidRPr="009F1165">
        <w:rPr>
          <w:szCs w:val="22"/>
          <w:lang w:val="hu-HU"/>
        </w:rPr>
        <w:t>antipszich</w:t>
      </w:r>
      <w:r w:rsidR="00573A45" w:rsidRPr="009F1165">
        <w:rPr>
          <w:szCs w:val="22"/>
          <w:lang w:val="hu-HU"/>
        </w:rPr>
        <w:t>o</w:t>
      </w:r>
      <w:r w:rsidRPr="009F1165">
        <w:rPr>
          <w:szCs w:val="22"/>
          <w:lang w:val="hu-HU"/>
        </w:rPr>
        <w:t>tikumok</w:t>
      </w:r>
      <w:proofErr w:type="spellEnd"/>
      <w:r w:rsidRPr="009F1165">
        <w:rPr>
          <w:szCs w:val="22"/>
          <w:lang w:val="hu-HU"/>
        </w:rPr>
        <w:t xml:space="preserve"> </w:t>
      </w:r>
      <w:r w:rsidR="00A83D7D" w:rsidRPr="009F1165">
        <w:rPr>
          <w:szCs w:val="22"/>
          <w:lang w:val="hu-HU"/>
        </w:rPr>
        <w:t>(pl</w:t>
      </w:r>
      <w:r w:rsidR="00D06D16" w:rsidRPr="009F1165">
        <w:rPr>
          <w:szCs w:val="22"/>
          <w:lang w:val="hu-HU"/>
        </w:rPr>
        <w:t>. </w:t>
      </w:r>
      <w:proofErr w:type="spellStart"/>
      <w:r w:rsidR="00A83D7D" w:rsidRPr="009F1165">
        <w:rPr>
          <w:szCs w:val="22"/>
          <w:lang w:val="hu-HU"/>
        </w:rPr>
        <w:t>fenotiazi</w:t>
      </w:r>
      <w:r w:rsidR="00F625FC">
        <w:rPr>
          <w:szCs w:val="22"/>
          <w:lang w:val="hu-HU"/>
        </w:rPr>
        <w:t>n</w:t>
      </w:r>
      <w:r w:rsidR="00A83D7D" w:rsidRPr="009F1165">
        <w:rPr>
          <w:szCs w:val="22"/>
          <w:lang w:val="hu-HU"/>
        </w:rPr>
        <w:t>ok</w:t>
      </w:r>
      <w:proofErr w:type="spellEnd"/>
      <w:r w:rsidR="00A83D7D" w:rsidRPr="009F1165">
        <w:rPr>
          <w:szCs w:val="22"/>
          <w:lang w:val="hu-HU"/>
        </w:rPr>
        <w:t xml:space="preserve">, pimozid, </w:t>
      </w:r>
      <w:proofErr w:type="spellStart"/>
      <w:r w:rsidR="00A83D7D" w:rsidRPr="009F1165">
        <w:rPr>
          <w:szCs w:val="22"/>
          <w:lang w:val="hu-HU"/>
        </w:rPr>
        <w:t>szertindol</w:t>
      </w:r>
      <w:proofErr w:type="spellEnd"/>
      <w:r w:rsidR="00A83D7D" w:rsidRPr="009F1165">
        <w:rPr>
          <w:szCs w:val="22"/>
          <w:lang w:val="hu-HU"/>
        </w:rPr>
        <w:t xml:space="preserve">, </w:t>
      </w:r>
      <w:proofErr w:type="spellStart"/>
      <w:r w:rsidR="00A83D7D" w:rsidRPr="009F1165">
        <w:rPr>
          <w:szCs w:val="22"/>
          <w:lang w:val="hu-HU"/>
        </w:rPr>
        <w:t>haloperidol</w:t>
      </w:r>
      <w:proofErr w:type="spellEnd"/>
      <w:r w:rsidR="00A83D7D" w:rsidRPr="009F1165">
        <w:rPr>
          <w:szCs w:val="22"/>
          <w:lang w:val="hu-HU"/>
        </w:rPr>
        <w:t xml:space="preserve">, </w:t>
      </w:r>
      <w:proofErr w:type="spellStart"/>
      <w:r w:rsidR="00A83D7D" w:rsidRPr="009F1165">
        <w:rPr>
          <w:szCs w:val="22"/>
          <w:lang w:val="hu-HU"/>
        </w:rPr>
        <w:t>szultoprid</w:t>
      </w:r>
      <w:proofErr w:type="spellEnd"/>
      <w:r w:rsidR="006C4D62" w:rsidRPr="009F1165">
        <w:rPr>
          <w:szCs w:val="22"/>
          <w:lang w:val="hu-HU"/>
        </w:rPr>
        <w:t>)</w:t>
      </w:r>
    </w:p>
    <w:p w14:paraId="4163337D" w14:textId="77777777" w:rsidR="00A83D7D" w:rsidRPr="009F1165" w:rsidRDefault="00E67151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r w:rsidRPr="00975ED1">
        <w:rPr>
          <w:lang w:val="hu-HU"/>
        </w:rPr>
        <w:t xml:space="preserve">triciklusos </w:t>
      </w:r>
      <w:r w:rsidR="00A83D7D" w:rsidRPr="009F1165">
        <w:rPr>
          <w:szCs w:val="22"/>
          <w:lang w:val="hu-HU"/>
        </w:rPr>
        <w:t>antidepresszánsok</w:t>
      </w:r>
    </w:p>
    <w:p w14:paraId="15BB2C83" w14:textId="77777777" w:rsidR="00A83D7D" w:rsidRPr="009F1165" w:rsidRDefault="00A83D7D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bizonyos </w:t>
      </w:r>
      <w:proofErr w:type="spellStart"/>
      <w:r w:rsidRPr="009F1165">
        <w:rPr>
          <w:szCs w:val="22"/>
          <w:lang w:val="hu-HU"/>
        </w:rPr>
        <w:t>antimikr</w:t>
      </w:r>
      <w:r w:rsidR="0023695C" w:rsidRPr="009F1165">
        <w:rPr>
          <w:szCs w:val="22"/>
          <w:lang w:val="hu-HU"/>
        </w:rPr>
        <w:t>o</w:t>
      </w:r>
      <w:r w:rsidRPr="009F1165">
        <w:rPr>
          <w:szCs w:val="22"/>
          <w:lang w:val="hu-HU"/>
        </w:rPr>
        <w:t>bás</w:t>
      </w:r>
      <w:proofErr w:type="spellEnd"/>
      <w:r w:rsidRPr="009F1165">
        <w:rPr>
          <w:szCs w:val="22"/>
          <w:lang w:val="hu-HU"/>
        </w:rPr>
        <w:t xml:space="preserve"> szerek (pl</w:t>
      </w:r>
      <w:r w:rsidR="00D06D16" w:rsidRPr="009F1165">
        <w:rPr>
          <w:szCs w:val="22"/>
          <w:lang w:val="hu-HU"/>
        </w:rPr>
        <w:t>. </w:t>
      </w:r>
      <w:proofErr w:type="spellStart"/>
      <w:r w:rsidR="00E627F3" w:rsidRPr="009F1165">
        <w:rPr>
          <w:szCs w:val="22"/>
          <w:lang w:val="hu-HU"/>
        </w:rPr>
        <w:t>szakvinavir</w:t>
      </w:r>
      <w:proofErr w:type="spellEnd"/>
      <w:r w:rsidR="00E627F3" w:rsidRPr="009F1165">
        <w:rPr>
          <w:szCs w:val="22"/>
          <w:lang w:val="hu-HU"/>
        </w:rPr>
        <w:t xml:space="preserve">, </w:t>
      </w:r>
      <w:proofErr w:type="spellStart"/>
      <w:r w:rsidRPr="009F1165">
        <w:rPr>
          <w:szCs w:val="22"/>
          <w:lang w:val="hu-HU"/>
        </w:rPr>
        <w:t>sparfloxacin</w:t>
      </w:r>
      <w:proofErr w:type="spellEnd"/>
      <w:r w:rsidRPr="009F1165">
        <w:rPr>
          <w:szCs w:val="22"/>
          <w:lang w:val="hu-HU"/>
        </w:rPr>
        <w:t xml:space="preserve">, </w:t>
      </w:r>
      <w:r w:rsidR="00F40E33" w:rsidRPr="009F1165">
        <w:rPr>
          <w:szCs w:val="22"/>
          <w:lang w:val="hu-HU"/>
        </w:rPr>
        <w:t xml:space="preserve">intravénás </w:t>
      </w:r>
      <w:proofErr w:type="spellStart"/>
      <w:r w:rsidRPr="009F1165">
        <w:rPr>
          <w:szCs w:val="22"/>
          <w:lang w:val="hu-HU"/>
        </w:rPr>
        <w:t>eritromicin</w:t>
      </w:r>
      <w:proofErr w:type="spellEnd"/>
      <w:r w:rsidRPr="009F1165">
        <w:rPr>
          <w:szCs w:val="22"/>
          <w:lang w:val="hu-HU"/>
        </w:rPr>
        <w:t xml:space="preserve">, </w:t>
      </w:r>
      <w:proofErr w:type="spellStart"/>
      <w:r w:rsidRPr="009F1165">
        <w:rPr>
          <w:szCs w:val="22"/>
          <w:lang w:val="hu-HU"/>
        </w:rPr>
        <w:t>pentamidin</w:t>
      </w:r>
      <w:proofErr w:type="spellEnd"/>
      <w:r w:rsidRPr="009F1165">
        <w:rPr>
          <w:szCs w:val="22"/>
          <w:lang w:val="hu-HU"/>
        </w:rPr>
        <w:t xml:space="preserve">, </w:t>
      </w:r>
      <w:proofErr w:type="spellStart"/>
      <w:r w:rsidRPr="009F1165">
        <w:rPr>
          <w:szCs w:val="22"/>
          <w:lang w:val="hu-HU"/>
        </w:rPr>
        <w:t>antimaláriás</w:t>
      </w:r>
      <w:proofErr w:type="spellEnd"/>
      <w:r w:rsidRPr="009F1165">
        <w:rPr>
          <w:szCs w:val="22"/>
          <w:lang w:val="hu-HU"/>
        </w:rPr>
        <w:t xml:space="preserve"> szerek</w:t>
      </w:r>
      <w:r w:rsidR="002E780B">
        <w:rPr>
          <w:szCs w:val="22"/>
          <w:lang w:val="hu-HU"/>
        </w:rPr>
        <w:t>,</w:t>
      </w:r>
      <w:r w:rsidRPr="009F1165">
        <w:rPr>
          <w:szCs w:val="22"/>
          <w:lang w:val="hu-HU"/>
        </w:rPr>
        <w:t xml:space="preserve"> különösen a </w:t>
      </w:r>
      <w:proofErr w:type="spellStart"/>
      <w:r w:rsidRPr="009F1165">
        <w:rPr>
          <w:szCs w:val="22"/>
          <w:lang w:val="hu-HU"/>
        </w:rPr>
        <w:t>halofantrin</w:t>
      </w:r>
      <w:proofErr w:type="spellEnd"/>
      <w:r w:rsidR="006C4D62" w:rsidRPr="009F1165">
        <w:rPr>
          <w:szCs w:val="22"/>
          <w:lang w:val="hu-HU"/>
        </w:rPr>
        <w:t>)</w:t>
      </w:r>
    </w:p>
    <w:p w14:paraId="48A758DC" w14:textId="77777777" w:rsidR="00A83D7D" w:rsidRPr="009F1165" w:rsidRDefault="00A83D7D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egyes </w:t>
      </w:r>
      <w:proofErr w:type="spellStart"/>
      <w:r w:rsidRPr="009F1165">
        <w:rPr>
          <w:szCs w:val="22"/>
          <w:lang w:val="hu-HU"/>
        </w:rPr>
        <w:t>antihisztaminok</w:t>
      </w:r>
      <w:proofErr w:type="spellEnd"/>
      <w:r w:rsidRPr="009F1165">
        <w:rPr>
          <w:szCs w:val="22"/>
          <w:lang w:val="hu-HU"/>
        </w:rPr>
        <w:t xml:space="preserve"> (</w:t>
      </w:r>
      <w:proofErr w:type="spellStart"/>
      <w:r w:rsidRPr="009F1165">
        <w:rPr>
          <w:szCs w:val="22"/>
          <w:lang w:val="hu-HU"/>
        </w:rPr>
        <w:t>terfenadin</w:t>
      </w:r>
      <w:proofErr w:type="spellEnd"/>
      <w:r w:rsidRPr="009F1165">
        <w:rPr>
          <w:szCs w:val="22"/>
          <w:lang w:val="hu-HU"/>
        </w:rPr>
        <w:t xml:space="preserve">, </w:t>
      </w:r>
      <w:proofErr w:type="spellStart"/>
      <w:r w:rsidRPr="009F1165">
        <w:rPr>
          <w:szCs w:val="22"/>
          <w:lang w:val="hu-HU"/>
        </w:rPr>
        <w:t>asztemizol</w:t>
      </w:r>
      <w:proofErr w:type="spellEnd"/>
      <w:r w:rsidRPr="009F1165">
        <w:rPr>
          <w:szCs w:val="22"/>
          <w:lang w:val="hu-HU"/>
        </w:rPr>
        <w:t xml:space="preserve">, </w:t>
      </w:r>
      <w:proofErr w:type="spellStart"/>
      <w:r w:rsidRPr="009F1165">
        <w:rPr>
          <w:szCs w:val="22"/>
          <w:lang w:val="hu-HU"/>
        </w:rPr>
        <w:t>mizolasztin</w:t>
      </w:r>
      <w:proofErr w:type="spellEnd"/>
      <w:r w:rsidR="006C4D62" w:rsidRPr="009F1165">
        <w:rPr>
          <w:szCs w:val="22"/>
          <w:lang w:val="hu-HU"/>
        </w:rPr>
        <w:t>)</w:t>
      </w:r>
    </w:p>
    <w:p w14:paraId="5708BD66" w14:textId="77777777" w:rsidR="00A83D7D" w:rsidRPr="009F1165" w:rsidRDefault="00F40E33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egyebek </w:t>
      </w:r>
      <w:r w:rsidR="00A83D7D" w:rsidRPr="009F1165">
        <w:rPr>
          <w:szCs w:val="22"/>
          <w:lang w:val="hu-HU"/>
        </w:rPr>
        <w:t>(</w:t>
      </w:r>
      <w:proofErr w:type="spellStart"/>
      <w:r w:rsidR="00A83D7D" w:rsidRPr="009F1165">
        <w:rPr>
          <w:szCs w:val="22"/>
          <w:lang w:val="hu-HU"/>
        </w:rPr>
        <w:t>ciszaprid</w:t>
      </w:r>
      <w:proofErr w:type="spellEnd"/>
      <w:r w:rsidR="00A83D7D" w:rsidRPr="009F1165">
        <w:rPr>
          <w:szCs w:val="22"/>
          <w:lang w:val="hu-HU"/>
        </w:rPr>
        <w:t xml:space="preserve">, </w:t>
      </w:r>
      <w:r w:rsidRPr="009F1165">
        <w:rPr>
          <w:szCs w:val="22"/>
          <w:lang w:val="hu-HU"/>
        </w:rPr>
        <w:t xml:space="preserve">intravénás </w:t>
      </w:r>
      <w:proofErr w:type="spellStart"/>
      <w:r w:rsidR="00A83D7D" w:rsidRPr="009F1165">
        <w:rPr>
          <w:szCs w:val="22"/>
          <w:lang w:val="hu-HU"/>
        </w:rPr>
        <w:t>vinkamin</w:t>
      </w:r>
      <w:proofErr w:type="spellEnd"/>
      <w:r w:rsidR="00A83D7D" w:rsidRPr="009F1165">
        <w:rPr>
          <w:szCs w:val="22"/>
          <w:lang w:val="hu-HU"/>
        </w:rPr>
        <w:t xml:space="preserve">, </w:t>
      </w:r>
      <w:proofErr w:type="spellStart"/>
      <w:r w:rsidR="00A83D7D" w:rsidRPr="009F1165">
        <w:rPr>
          <w:szCs w:val="22"/>
          <w:lang w:val="hu-HU"/>
        </w:rPr>
        <w:t>bepridil</w:t>
      </w:r>
      <w:proofErr w:type="spellEnd"/>
      <w:r w:rsidR="00A83D7D" w:rsidRPr="009F1165">
        <w:rPr>
          <w:szCs w:val="22"/>
          <w:lang w:val="hu-HU"/>
        </w:rPr>
        <w:t xml:space="preserve">, </w:t>
      </w:r>
      <w:proofErr w:type="spellStart"/>
      <w:r w:rsidR="00A83D7D" w:rsidRPr="009F1165">
        <w:rPr>
          <w:szCs w:val="22"/>
          <w:lang w:val="hu-HU"/>
        </w:rPr>
        <w:t>difemanil</w:t>
      </w:r>
      <w:proofErr w:type="spellEnd"/>
      <w:r w:rsidR="00A83D7D" w:rsidRPr="009F1165">
        <w:rPr>
          <w:szCs w:val="22"/>
          <w:lang w:val="hu-HU"/>
        </w:rPr>
        <w:t>)</w:t>
      </w:r>
      <w:r w:rsidR="00E67151">
        <w:rPr>
          <w:szCs w:val="22"/>
          <w:lang w:val="hu-HU"/>
        </w:rPr>
        <w:t>.</w:t>
      </w:r>
    </w:p>
    <w:p w14:paraId="0556C4DB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6CCAAE04" w14:textId="77777777" w:rsidR="00580876" w:rsidRPr="009F1165" w:rsidRDefault="00580876" w:rsidP="009F1165">
      <w:pPr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moxifloxacint</w:t>
      </w:r>
      <w:proofErr w:type="spellEnd"/>
      <w:r w:rsidRPr="009F1165">
        <w:rPr>
          <w:szCs w:val="22"/>
          <w:lang w:val="hu-HU"/>
        </w:rPr>
        <w:t xml:space="preserve"> óvatosan kell </w:t>
      </w:r>
      <w:r w:rsidR="00F40E33" w:rsidRPr="009F1165">
        <w:rPr>
          <w:szCs w:val="22"/>
          <w:lang w:val="hu-HU"/>
        </w:rPr>
        <w:t xml:space="preserve">alkalmazni </w:t>
      </w:r>
      <w:r w:rsidRPr="009F1165">
        <w:rPr>
          <w:szCs w:val="22"/>
          <w:lang w:val="hu-HU"/>
        </w:rPr>
        <w:t xml:space="preserve">olyan betegeknél, akik olyan gyógyszert szednek, amely csökkentheti a káliumszintet </w:t>
      </w:r>
      <w:r w:rsidR="000F481B" w:rsidRPr="009F1165">
        <w:rPr>
          <w:szCs w:val="22"/>
          <w:lang w:val="hu-HU"/>
        </w:rPr>
        <w:t xml:space="preserve">(pl. kacs- vagy </w:t>
      </w:r>
      <w:proofErr w:type="spellStart"/>
      <w:r w:rsidR="000F481B" w:rsidRPr="009F1165">
        <w:rPr>
          <w:szCs w:val="22"/>
          <w:lang w:val="hu-HU"/>
        </w:rPr>
        <w:t>tiazid</w:t>
      </w:r>
      <w:proofErr w:type="spellEnd"/>
      <w:r w:rsidR="000F481B" w:rsidRPr="009F1165">
        <w:rPr>
          <w:szCs w:val="22"/>
          <w:lang w:val="hu-HU"/>
        </w:rPr>
        <w:noBreakHyphen/>
        <w:t xml:space="preserve">típusú </w:t>
      </w:r>
      <w:proofErr w:type="spellStart"/>
      <w:r w:rsidR="000F481B" w:rsidRPr="009F1165">
        <w:rPr>
          <w:szCs w:val="22"/>
          <w:lang w:val="hu-HU"/>
        </w:rPr>
        <w:t>diuretikumok</w:t>
      </w:r>
      <w:proofErr w:type="spellEnd"/>
      <w:r w:rsidR="000F481B" w:rsidRPr="009F1165">
        <w:rPr>
          <w:szCs w:val="22"/>
          <w:lang w:val="hu-HU"/>
        </w:rPr>
        <w:t xml:space="preserve">, </w:t>
      </w:r>
      <w:proofErr w:type="spellStart"/>
      <w:r w:rsidR="000F481B" w:rsidRPr="009F1165">
        <w:rPr>
          <w:szCs w:val="22"/>
          <w:lang w:val="hu-HU"/>
        </w:rPr>
        <w:t>laxatívumok</w:t>
      </w:r>
      <w:proofErr w:type="spellEnd"/>
      <w:r w:rsidR="000F481B" w:rsidRPr="009F1165">
        <w:rPr>
          <w:szCs w:val="22"/>
          <w:lang w:val="hu-HU"/>
        </w:rPr>
        <w:t xml:space="preserve"> és nagy </w:t>
      </w:r>
      <w:proofErr w:type="gramStart"/>
      <w:r w:rsidR="000F481B" w:rsidRPr="009F1165">
        <w:rPr>
          <w:szCs w:val="22"/>
          <w:lang w:val="hu-HU"/>
        </w:rPr>
        <w:t>dózisú</w:t>
      </w:r>
      <w:proofErr w:type="gramEnd"/>
      <w:r w:rsidR="000F481B" w:rsidRPr="009F1165">
        <w:rPr>
          <w:szCs w:val="22"/>
          <w:lang w:val="hu-HU"/>
        </w:rPr>
        <w:t xml:space="preserve"> beöntések, </w:t>
      </w:r>
      <w:proofErr w:type="spellStart"/>
      <w:r w:rsidR="000F481B" w:rsidRPr="009F1165">
        <w:rPr>
          <w:szCs w:val="22"/>
          <w:lang w:val="hu-HU"/>
        </w:rPr>
        <w:t>kortikoszteroidok</w:t>
      </w:r>
      <w:proofErr w:type="spellEnd"/>
      <w:r w:rsidR="000F481B" w:rsidRPr="009F1165">
        <w:rPr>
          <w:szCs w:val="22"/>
          <w:lang w:val="hu-HU"/>
        </w:rPr>
        <w:t xml:space="preserve">, </w:t>
      </w:r>
      <w:proofErr w:type="spellStart"/>
      <w:r w:rsidR="000F481B" w:rsidRPr="009F1165">
        <w:rPr>
          <w:szCs w:val="22"/>
          <w:lang w:val="hu-HU"/>
        </w:rPr>
        <w:t>amfotericin</w:t>
      </w:r>
      <w:proofErr w:type="spellEnd"/>
      <w:r w:rsidR="000F481B" w:rsidRPr="009F1165">
        <w:rPr>
          <w:szCs w:val="22"/>
          <w:lang w:val="hu-HU"/>
        </w:rPr>
        <w:t xml:space="preserve"> B) </w:t>
      </w:r>
      <w:r w:rsidRPr="009F1165">
        <w:rPr>
          <w:szCs w:val="22"/>
          <w:lang w:val="hu-HU"/>
        </w:rPr>
        <w:t xml:space="preserve">vagy </w:t>
      </w:r>
      <w:proofErr w:type="spellStart"/>
      <w:r w:rsidRPr="009F1165">
        <w:rPr>
          <w:szCs w:val="22"/>
          <w:lang w:val="hu-HU"/>
        </w:rPr>
        <w:t>klinikailag</w:t>
      </w:r>
      <w:proofErr w:type="spellEnd"/>
      <w:r w:rsidRPr="009F1165">
        <w:rPr>
          <w:szCs w:val="22"/>
          <w:lang w:val="hu-HU"/>
        </w:rPr>
        <w:t xml:space="preserve"> jelentős </w:t>
      </w:r>
      <w:proofErr w:type="spellStart"/>
      <w:r w:rsidRPr="009F1165">
        <w:rPr>
          <w:szCs w:val="22"/>
          <w:lang w:val="hu-HU"/>
        </w:rPr>
        <w:t>bradycardiával</w:t>
      </w:r>
      <w:proofErr w:type="spellEnd"/>
      <w:r w:rsidRPr="009F1165">
        <w:rPr>
          <w:szCs w:val="22"/>
          <w:lang w:val="hu-HU"/>
        </w:rPr>
        <w:t xml:space="preserve"> hozható összefüggésbe.</w:t>
      </w:r>
    </w:p>
    <w:p w14:paraId="3682D2F4" w14:textId="77777777" w:rsidR="00580876" w:rsidRPr="009F1165" w:rsidRDefault="00580876" w:rsidP="009F1165">
      <w:pPr>
        <w:tabs>
          <w:tab w:val="left" w:pos="567"/>
        </w:tabs>
        <w:rPr>
          <w:szCs w:val="22"/>
          <w:lang w:val="hu-HU"/>
        </w:rPr>
      </w:pPr>
    </w:p>
    <w:p w14:paraId="53E3AC16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egészséges önkénteseknek történő ismételt adagolását követően kb. 30</w:t>
      </w:r>
      <w:r w:rsidR="00D06D16" w:rsidRPr="009F1165">
        <w:rPr>
          <w:szCs w:val="22"/>
          <w:lang w:val="hu-HU"/>
        </w:rPr>
        <w:t>%</w:t>
      </w:r>
      <w:r w:rsidR="00D06D16" w:rsidRPr="009F1165">
        <w:rPr>
          <w:szCs w:val="22"/>
          <w:lang w:val="hu-HU"/>
        </w:rPr>
        <w:noBreakHyphen/>
      </w:r>
      <w:proofErr w:type="spellStart"/>
      <w:r w:rsidRPr="009F1165">
        <w:rPr>
          <w:szCs w:val="22"/>
          <w:lang w:val="hu-HU"/>
        </w:rPr>
        <w:t>kal</w:t>
      </w:r>
      <w:proofErr w:type="spellEnd"/>
      <w:r w:rsidRPr="009F1165">
        <w:rPr>
          <w:szCs w:val="22"/>
          <w:lang w:val="hu-HU"/>
        </w:rPr>
        <w:t xml:space="preserve"> </w:t>
      </w:r>
      <w:r w:rsidR="000F481B" w:rsidRPr="009F1165">
        <w:rPr>
          <w:szCs w:val="22"/>
          <w:lang w:val="hu-HU"/>
        </w:rPr>
        <w:t xml:space="preserve">emelte meg </w:t>
      </w: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digoxin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C</w:t>
      </w:r>
      <w:r w:rsidRPr="009F1165">
        <w:rPr>
          <w:szCs w:val="22"/>
          <w:vertAlign w:val="subscript"/>
          <w:lang w:val="hu-HU"/>
        </w:rPr>
        <w:t>max</w:t>
      </w:r>
      <w:proofErr w:type="spellEnd"/>
      <w:r w:rsidRPr="009F1165">
        <w:rPr>
          <w:szCs w:val="22"/>
          <w:lang w:val="hu-HU"/>
        </w:rPr>
        <w:t xml:space="preserve"> értékét anélkül, hogy befolyásolta volna az AUC értéket vagy a </w:t>
      </w:r>
      <w:r w:rsidR="002E780B" w:rsidRPr="00975ED1">
        <w:rPr>
          <w:lang w:val="hu-HU"/>
        </w:rPr>
        <w:t xml:space="preserve">maradék </w:t>
      </w:r>
      <w:r w:rsidRPr="009F1165">
        <w:rPr>
          <w:szCs w:val="22"/>
          <w:lang w:val="hu-HU"/>
        </w:rPr>
        <w:t xml:space="preserve">vérszintet. </w:t>
      </w:r>
      <w:proofErr w:type="spellStart"/>
      <w:r w:rsidRPr="009F1165">
        <w:rPr>
          <w:szCs w:val="22"/>
          <w:lang w:val="hu-HU"/>
        </w:rPr>
        <w:t>Digoxinnal</w:t>
      </w:r>
      <w:proofErr w:type="spellEnd"/>
      <w:r w:rsidRPr="009F1165">
        <w:rPr>
          <w:szCs w:val="22"/>
          <w:lang w:val="hu-HU"/>
        </w:rPr>
        <w:t xml:space="preserve"> való alkalmazás esetén nincs szükség külön óvintézkedésre.</w:t>
      </w:r>
    </w:p>
    <w:p w14:paraId="604DB2D7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1FD2BCB2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>Diab</w:t>
      </w:r>
      <w:r w:rsidR="002E780B">
        <w:rPr>
          <w:szCs w:val="22"/>
          <w:lang w:val="hu-HU"/>
        </w:rPr>
        <w:t>e</w:t>
      </w:r>
      <w:r w:rsidRPr="009F1165">
        <w:rPr>
          <w:szCs w:val="22"/>
          <w:lang w:val="hu-HU"/>
        </w:rPr>
        <w:t xml:space="preserve">teses betegek körében végzett vizsgálatokban,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és a </w:t>
      </w:r>
      <w:proofErr w:type="spellStart"/>
      <w:r w:rsidRPr="009F1165">
        <w:rPr>
          <w:szCs w:val="22"/>
          <w:lang w:val="hu-HU"/>
        </w:rPr>
        <w:t>glibenklamid</w:t>
      </w:r>
      <w:proofErr w:type="spellEnd"/>
      <w:r w:rsidRPr="009F1165">
        <w:rPr>
          <w:szCs w:val="22"/>
          <w:lang w:val="hu-HU"/>
        </w:rPr>
        <w:t xml:space="preserve"> együttes alkalmazása a </w:t>
      </w:r>
      <w:proofErr w:type="spellStart"/>
      <w:r w:rsidRPr="009F1165">
        <w:rPr>
          <w:szCs w:val="22"/>
          <w:lang w:val="hu-HU"/>
        </w:rPr>
        <w:t>glibenklamid</w:t>
      </w:r>
      <w:proofErr w:type="spellEnd"/>
      <w:r w:rsidRPr="009F1165">
        <w:rPr>
          <w:szCs w:val="22"/>
          <w:lang w:val="hu-HU"/>
        </w:rPr>
        <w:t xml:space="preserve"> </w:t>
      </w:r>
      <w:r w:rsidR="002E780B">
        <w:rPr>
          <w:szCs w:val="22"/>
          <w:lang w:val="hu-HU"/>
        </w:rPr>
        <w:t xml:space="preserve">maximális </w:t>
      </w:r>
      <w:r w:rsidRPr="009F1165">
        <w:rPr>
          <w:szCs w:val="22"/>
          <w:lang w:val="hu-HU"/>
        </w:rPr>
        <w:t>plazma</w:t>
      </w:r>
      <w:proofErr w:type="gramStart"/>
      <w:r w:rsidRPr="009F1165">
        <w:rPr>
          <w:szCs w:val="22"/>
          <w:lang w:val="hu-HU"/>
        </w:rPr>
        <w:t>koncentrációjának</w:t>
      </w:r>
      <w:proofErr w:type="gramEnd"/>
      <w:r w:rsidRPr="009F1165">
        <w:rPr>
          <w:szCs w:val="22"/>
          <w:lang w:val="hu-HU"/>
        </w:rPr>
        <w:t xml:space="preserve"> megközelítőleg 21</w:t>
      </w:r>
      <w:r w:rsidR="00D06D16" w:rsidRPr="009F1165">
        <w:rPr>
          <w:szCs w:val="22"/>
          <w:lang w:val="hu-HU"/>
        </w:rPr>
        <w:t>%</w:t>
      </w:r>
      <w:r w:rsidR="00D06D16" w:rsidRPr="009F1165">
        <w:rPr>
          <w:szCs w:val="22"/>
          <w:lang w:val="hu-HU"/>
        </w:rPr>
        <w:noBreakHyphen/>
      </w:r>
      <w:proofErr w:type="spellStart"/>
      <w:r w:rsidRPr="009F1165">
        <w:rPr>
          <w:szCs w:val="22"/>
          <w:lang w:val="hu-HU"/>
        </w:rPr>
        <w:t>os</w:t>
      </w:r>
      <w:proofErr w:type="spellEnd"/>
      <w:r w:rsidRPr="009F1165">
        <w:rPr>
          <w:szCs w:val="22"/>
          <w:lang w:val="hu-HU"/>
        </w:rPr>
        <w:t xml:space="preserve"> csökkenéséhez vezetett. A </w:t>
      </w:r>
      <w:proofErr w:type="spellStart"/>
      <w:r w:rsidRPr="009F1165">
        <w:rPr>
          <w:szCs w:val="22"/>
          <w:lang w:val="hu-HU"/>
        </w:rPr>
        <w:t>glibenklamid</w:t>
      </w:r>
      <w:proofErr w:type="spellEnd"/>
      <w:r w:rsidRPr="009F1165">
        <w:rPr>
          <w:szCs w:val="22"/>
          <w:lang w:val="hu-HU"/>
        </w:rPr>
        <w:t xml:space="preserve"> és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együttes alkalmazása elméletileg enyhe és átmeneti </w:t>
      </w:r>
      <w:proofErr w:type="spellStart"/>
      <w:r w:rsidRPr="009F1165">
        <w:rPr>
          <w:szCs w:val="22"/>
          <w:lang w:val="hu-HU"/>
        </w:rPr>
        <w:t>hyperglykaemiához</w:t>
      </w:r>
      <w:proofErr w:type="spellEnd"/>
      <w:r w:rsidRPr="009F1165">
        <w:rPr>
          <w:szCs w:val="22"/>
          <w:lang w:val="hu-HU"/>
        </w:rPr>
        <w:t xml:space="preserve"> vezethet. A </w:t>
      </w:r>
      <w:proofErr w:type="spellStart"/>
      <w:r w:rsidRPr="009F1165">
        <w:rPr>
          <w:szCs w:val="22"/>
          <w:lang w:val="hu-HU"/>
        </w:rPr>
        <w:t>glibenklamid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farmakokinetikájában</w:t>
      </w:r>
      <w:proofErr w:type="spellEnd"/>
      <w:r w:rsidRPr="009F1165">
        <w:rPr>
          <w:szCs w:val="22"/>
          <w:lang w:val="hu-HU"/>
        </w:rPr>
        <w:t xml:space="preserve"> megfigyelt változások azonban nem vezettek a </w:t>
      </w:r>
      <w:proofErr w:type="spellStart"/>
      <w:r w:rsidRPr="009F1165">
        <w:rPr>
          <w:szCs w:val="22"/>
          <w:lang w:val="hu-HU"/>
        </w:rPr>
        <w:t>farmakodinámiás</w:t>
      </w:r>
      <w:proofErr w:type="spellEnd"/>
      <w:r w:rsidRPr="009F1165">
        <w:rPr>
          <w:szCs w:val="22"/>
          <w:lang w:val="hu-HU"/>
        </w:rPr>
        <w:t xml:space="preserve"> paraméterek (vércukor, inzulin) változás</w:t>
      </w:r>
      <w:r w:rsidR="004063FA" w:rsidRPr="009F1165">
        <w:rPr>
          <w:szCs w:val="22"/>
          <w:lang w:val="hu-HU"/>
        </w:rPr>
        <w:t>ához</w:t>
      </w:r>
      <w:r w:rsidRPr="009F1165">
        <w:rPr>
          <w:szCs w:val="22"/>
          <w:lang w:val="hu-HU"/>
        </w:rPr>
        <w:t xml:space="preserve">. Így nem </w:t>
      </w:r>
      <w:r w:rsidR="002E780B" w:rsidRPr="00975ED1">
        <w:rPr>
          <w:lang w:val="hu-HU"/>
        </w:rPr>
        <w:t xml:space="preserve">figyeltek meg </w:t>
      </w:r>
      <w:proofErr w:type="spellStart"/>
      <w:r w:rsidRPr="009F1165">
        <w:rPr>
          <w:szCs w:val="22"/>
          <w:lang w:val="hu-HU"/>
        </w:rPr>
        <w:t>klinikailag</w:t>
      </w:r>
      <w:proofErr w:type="spellEnd"/>
      <w:r w:rsidRPr="009F1165">
        <w:rPr>
          <w:szCs w:val="22"/>
          <w:lang w:val="hu-HU"/>
        </w:rPr>
        <w:t xml:space="preserve"> lényeges </w:t>
      </w:r>
      <w:proofErr w:type="gramStart"/>
      <w:r w:rsidRPr="009F1165">
        <w:rPr>
          <w:szCs w:val="22"/>
          <w:lang w:val="hu-HU"/>
        </w:rPr>
        <w:t>interakciókat</w:t>
      </w:r>
      <w:proofErr w:type="gramEnd"/>
      <w:r w:rsidRPr="009F1165">
        <w:rPr>
          <w:szCs w:val="22"/>
          <w:lang w:val="hu-HU"/>
        </w:rPr>
        <w:t xml:space="preserve">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és a </w:t>
      </w:r>
      <w:proofErr w:type="spellStart"/>
      <w:r w:rsidRPr="009F1165">
        <w:rPr>
          <w:szCs w:val="22"/>
          <w:lang w:val="hu-HU"/>
        </w:rPr>
        <w:t>glibenklamid</w:t>
      </w:r>
      <w:proofErr w:type="spellEnd"/>
      <w:r w:rsidRPr="009F1165">
        <w:rPr>
          <w:szCs w:val="22"/>
          <w:lang w:val="hu-HU"/>
        </w:rPr>
        <w:t xml:space="preserve"> között.</w:t>
      </w:r>
    </w:p>
    <w:p w14:paraId="729DC34A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2959EACA" w14:textId="77777777" w:rsidR="00A83D7D" w:rsidRPr="009F1165" w:rsidRDefault="00A83D7D" w:rsidP="009F1165">
      <w:pPr>
        <w:keepNext/>
        <w:keepLines/>
        <w:rPr>
          <w:i/>
          <w:iCs/>
          <w:szCs w:val="22"/>
          <w:lang w:val="hu-HU"/>
        </w:rPr>
      </w:pPr>
      <w:r w:rsidRPr="009F1165">
        <w:rPr>
          <w:i/>
          <w:iCs/>
          <w:szCs w:val="22"/>
          <w:lang w:val="hu-HU"/>
        </w:rPr>
        <w:t>Az INR változásai</w:t>
      </w:r>
    </w:p>
    <w:p w14:paraId="7991196D" w14:textId="77777777" w:rsidR="00BE5DB5" w:rsidRPr="009F1165" w:rsidRDefault="00A83D7D" w:rsidP="009F1165">
      <w:pPr>
        <w:keepNext/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Nagyszámú olyan esetről számoltak be, amikor </w:t>
      </w:r>
      <w:r w:rsidR="00BE5DB5" w:rsidRPr="009F1165">
        <w:rPr>
          <w:szCs w:val="22"/>
          <w:lang w:val="hu-HU"/>
        </w:rPr>
        <w:t xml:space="preserve">antibakteriális szereket szedő betegeknél </w:t>
      </w:r>
      <w:r w:rsidRPr="009F1165">
        <w:rPr>
          <w:szCs w:val="22"/>
          <w:lang w:val="hu-HU"/>
        </w:rPr>
        <w:t xml:space="preserve">megnőtt az orális </w:t>
      </w:r>
      <w:proofErr w:type="spellStart"/>
      <w:r w:rsidRPr="009F1165">
        <w:rPr>
          <w:szCs w:val="22"/>
          <w:lang w:val="hu-HU"/>
        </w:rPr>
        <w:t>antikoagulánsok</w:t>
      </w:r>
      <w:proofErr w:type="spellEnd"/>
      <w:r w:rsidRPr="009F1165">
        <w:rPr>
          <w:szCs w:val="22"/>
          <w:lang w:val="hu-HU"/>
        </w:rPr>
        <w:t xml:space="preserve"> hatása, különösen a következő antibiotikumok hatására: </w:t>
      </w:r>
      <w:proofErr w:type="spellStart"/>
      <w:r w:rsidRPr="009F1165">
        <w:rPr>
          <w:szCs w:val="22"/>
          <w:lang w:val="hu-HU"/>
        </w:rPr>
        <w:t>fluorokinolonok</w:t>
      </w:r>
      <w:proofErr w:type="spellEnd"/>
      <w:r w:rsidRPr="009F1165">
        <w:rPr>
          <w:szCs w:val="22"/>
          <w:lang w:val="hu-HU"/>
        </w:rPr>
        <w:t xml:space="preserve">, </w:t>
      </w:r>
      <w:proofErr w:type="spellStart"/>
      <w:r w:rsidRPr="009F1165">
        <w:rPr>
          <w:szCs w:val="22"/>
          <w:lang w:val="hu-HU"/>
        </w:rPr>
        <w:t>makrolidok</w:t>
      </w:r>
      <w:proofErr w:type="spellEnd"/>
      <w:r w:rsidRPr="009F1165">
        <w:rPr>
          <w:szCs w:val="22"/>
          <w:lang w:val="hu-HU"/>
        </w:rPr>
        <w:t xml:space="preserve">, </w:t>
      </w:r>
      <w:proofErr w:type="spellStart"/>
      <w:r w:rsidRPr="009F1165">
        <w:rPr>
          <w:szCs w:val="22"/>
          <w:lang w:val="hu-HU"/>
        </w:rPr>
        <w:t>tetraciklinek</w:t>
      </w:r>
      <w:proofErr w:type="spellEnd"/>
      <w:r w:rsidRPr="009F1165">
        <w:rPr>
          <w:szCs w:val="22"/>
          <w:lang w:val="hu-HU"/>
        </w:rPr>
        <w:t xml:space="preserve">, </w:t>
      </w:r>
      <w:proofErr w:type="spellStart"/>
      <w:r w:rsidRPr="009F1165">
        <w:rPr>
          <w:szCs w:val="22"/>
          <w:lang w:val="hu-HU"/>
        </w:rPr>
        <w:t>kotrimoxazol</w:t>
      </w:r>
      <w:proofErr w:type="spellEnd"/>
      <w:r w:rsidRPr="009F1165">
        <w:rPr>
          <w:szCs w:val="22"/>
          <w:lang w:val="hu-HU"/>
        </w:rPr>
        <w:t xml:space="preserve"> és egyes </w:t>
      </w:r>
      <w:proofErr w:type="spellStart"/>
      <w:r w:rsidRPr="009F1165">
        <w:rPr>
          <w:szCs w:val="22"/>
          <w:lang w:val="hu-HU"/>
        </w:rPr>
        <w:t>cefalosporinok</w:t>
      </w:r>
      <w:proofErr w:type="spellEnd"/>
      <w:r w:rsidRPr="009F1165">
        <w:rPr>
          <w:szCs w:val="22"/>
          <w:lang w:val="hu-HU"/>
        </w:rPr>
        <w:t>. A fertőz</w:t>
      </w:r>
      <w:r w:rsidR="0023695C" w:rsidRPr="009F1165">
        <w:rPr>
          <w:szCs w:val="22"/>
          <w:lang w:val="hu-HU"/>
        </w:rPr>
        <w:t>ések</w:t>
      </w:r>
      <w:r w:rsidRPr="009F1165">
        <w:rPr>
          <w:szCs w:val="22"/>
          <w:lang w:val="hu-HU"/>
        </w:rPr>
        <w:t xml:space="preserve"> és gyulladásos állapotok, a beteg </w:t>
      </w:r>
      <w:r w:rsidR="0023695C" w:rsidRPr="009F1165">
        <w:rPr>
          <w:szCs w:val="22"/>
          <w:lang w:val="hu-HU"/>
        </w:rPr>
        <w:t>élet</w:t>
      </w:r>
      <w:r w:rsidRPr="009F1165">
        <w:rPr>
          <w:szCs w:val="22"/>
          <w:lang w:val="hu-HU"/>
        </w:rPr>
        <w:t>kora és általános állapota úgy tűnik, hogy kockázati tényezők.</w:t>
      </w:r>
    </w:p>
    <w:p w14:paraId="4E8966D4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>Ilyen körülmények között nehéz eldönteni, hogy az INR (</w:t>
      </w:r>
      <w:r w:rsidR="002E780B" w:rsidRPr="009F1165">
        <w:rPr>
          <w:szCs w:val="22"/>
          <w:lang w:val="hu-HU"/>
        </w:rPr>
        <w:t xml:space="preserve">International </w:t>
      </w:r>
      <w:proofErr w:type="spellStart"/>
      <w:r w:rsidR="002E780B" w:rsidRPr="009F1165">
        <w:rPr>
          <w:szCs w:val="22"/>
          <w:lang w:val="hu-HU"/>
        </w:rPr>
        <w:t>Normalised</w:t>
      </w:r>
      <w:proofErr w:type="spellEnd"/>
      <w:r w:rsidR="002E780B" w:rsidRPr="009F1165">
        <w:rPr>
          <w:szCs w:val="22"/>
          <w:lang w:val="hu-HU"/>
        </w:rPr>
        <w:t xml:space="preserve"> Ratio </w:t>
      </w:r>
      <w:r w:rsidR="002E780B">
        <w:rPr>
          <w:szCs w:val="22"/>
          <w:lang w:val="hu-HU"/>
        </w:rPr>
        <w:t xml:space="preserve">- </w:t>
      </w:r>
      <w:r w:rsidRPr="009F1165">
        <w:rPr>
          <w:szCs w:val="22"/>
          <w:lang w:val="hu-HU"/>
        </w:rPr>
        <w:t xml:space="preserve">Nemzetközi Normalizált Arány) változásaiért a fertőző betegség vagy a kezelés a felelős. </w:t>
      </w:r>
      <w:r w:rsidR="00BF3331" w:rsidRPr="00975ED1">
        <w:rPr>
          <w:lang w:val="hu-HU"/>
        </w:rPr>
        <w:t>Óvintézkedés lehet az INR gyakoribb ellenőrzése</w:t>
      </w:r>
      <w:r w:rsidRPr="009F1165">
        <w:rPr>
          <w:szCs w:val="22"/>
          <w:lang w:val="hu-HU"/>
        </w:rPr>
        <w:t xml:space="preserve">. Ha szükséges, a per </w:t>
      </w:r>
      <w:proofErr w:type="spellStart"/>
      <w:r w:rsidRPr="009F1165">
        <w:rPr>
          <w:szCs w:val="22"/>
          <w:lang w:val="hu-HU"/>
        </w:rPr>
        <w:t>os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antikoaguláns</w:t>
      </w:r>
      <w:proofErr w:type="spellEnd"/>
      <w:r w:rsidRPr="009F1165">
        <w:rPr>
          <w:szCs w:val="22"/>
          <w:lang w:val="hu-HU"/>
        </w:rPr>
        <w:t xml:space="preserve"> </w:t>
      </w:r>
      <w:proofErr w:type="gramStart"/>
      <w:r w:rsidRPr="009F1165">
        <w:rPr>
          <w:szCs w:val="22"/>
          <w:lang w:val="hu-HU"/>
        </w:rPr>
        <w:t>dózisát</w:t>
      </w:r>
      <w:proofErr w:type="gramEnd"/>
      <w:r w:rsidRPr="009F1165">
        <w:rPr>
          <w:szCs w:val="22"/>
          <w:lang w:val="hu-HU"/>
        </w:rPr>
        <w:t xml:space="preserve"> megfelelően módosítani</w:t>
      </w:r>
      <w:r w:rsidR="00BE5DB5" w:rsidRPr="009F1165">
        <w:rPr>
          <w:szCs w:val="22"/>
          <w:lang w:val="hu-HU"/>
        </w:rPr>
        <w:t xml:space="preserve"> kell</w:t>
      </w:r>
      <w:r w:rsidRPr="009F1165">
        <w:rPr>
          <w:szCs w:val="22"/>
          <w:lang w:val="hu-HU"/>
        </w:rPr>
        <w:t>.</w:t>
      </w:r>
    </w:p>
    <w:p w14:paraId="083AB327" w14:textId="77777777" w:rsidR="00A83D7D" w:rsidRPr="009F1165" w:rsidRDefault="00A83D7D" w:rsidP="009F1165">
      <w:pPr>
        <w:rPr>
          <w:szCs w:val="22"/>
          <w:lang w:val="hu-HU"/>
        </w:rPr>
      </w:pPr>
    </w:p>
    <w:p w14:paraId="4EF7945E" w14:textId="77777777" w:rsidR="00A83D7D" w:rsidRPr="009F1165" w:rsidRDefault="00BE5DB5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lastRenderedPageBreak/>
        <w:t>A k</w:t>
      </w:r>
      <w:r w:rsidR="00A83D7D" w:rsidRPr="009F1165">
        <w:rPr>
          <w:szCs w:val="22"/>
          <w:lang w:val="hu-HU"/>
        </w:rPr>
        <w:t xml:space="preserve">linikai vizsgálatok azt mutatják, hogy nem fordult elő kölcsönhatás, ha a </w:t>
      </w:r>
      <w:proofErr w:type="spellStart"/>
      <w:r w:rsidR="00A83D7D" w:rsidRPr="009F1165">
        <w:rPr>
          <w:szCs w:val="22"/>
          <w:lang w:val="hu-HU"/>
        </w:rPr>
        <w:t>moxifloxacint</w:t>
      </w:r>
      <w:proofErr w:type="spellEnd"/>
      <w:r w:rsidR="00A83D7D" w:rsidRPr="009F1165">
        <w:rPr>
          <w:szCs w:val="22"/>
          <w:lang w:val="hu-HU"/>
        </w:rPr>
        <w:t xml:space="preserve"> </w:t>
      </w:r>
      <w:r w:rsidR="00BF3331" w:rsidRPr="00975ED1">
        <w:rPr>
          <w:lang w:val="hu-HU"/>
        </w:rPr>
        <w:t xml:space="preserve">az alábbi </w:t>
      </w:r>
      <w:r w:rsidR="00272B02" w:rsidRPr="00975ED1">
        <w:rPr>
          <w:lang w:val="hu-HU"/>
        </w:rPr>
        <w:t xml:space="preserve">gyógyszerekkel </w:t>
      </w:r>
      <w:r w:rsidR="00A83D7D" w:rsidRPr="009F1165">
        <w:rPr>
          <w:szCs w:val="22"/>
          <w:lang w:val="hu-HU"/>
        </w:rPr>
        <w:t xml:space="preserve">adták </w:t>
      </w:r>
      <w:r w:rsidR="00BF3331" w:rsidRPr="00975ED1">
        <w:rPr>
          <w:lang w:val="hu-HU"/>
        </w:rPr>
        <w:t>egyidejűleg</w:t>
      </w:r>
      <w:r w:rsidR="00A83D7D" w:rsidRPr="009F1165">
        <w:rPr>
          <w:szCs w:val="22"/>
          <w:lang w:val="hu-HU"/>
        </w:rPr>
        <w:t xml:space="preserve">: </w:t>
      </w:r>
      <w:proofErr w:type="spellStart"/>
      <w:r w:rsidR="00A83D7D" w:rsidRPr="009F1165">
        <w:rPr>
          <w:szCs w:val="22"/>
          <w:lang w:val="hu-HU"/>
        </w:rPr>
        <w:t>ranitidin</w:t>
      </w:r>
      <w:proofErr w:type="spellEnd"/>
      <w:r w:rsidR="00A83D7D" w:rsidRPr="009F1165">
        <w:rPr>
          <w:szCs w:val="22"/>
          <w:lang w:val="hu-HU"/>
        </w:rPr>
        <w:t xml:space="preserve">, </w:t>
      </w:r>
      <w:proofErr w:type="spellStart"/>
      <w:r w:rsidR="00BF3331">
        <w:rPr>
          <w:szCs w:val="22"/>
          <w:lang w:val="hu-HU"/>
        </w:rPr>
        <w:t>probenecid</w:t>
      </w:r>
      <w:proofErr w:type="spellEnd"/>
      <w:r w:rsidR="00BF3331">
        <w:rPr>
          <w:szCs w:val="22"/>
          <w:lang w:val="hu-HU"/>
        </w:rPr>
        <w:t xml:space="preserve">, </w:t>
      </w:r>
      <w:r w:rsidR="00A83D7D" w:rsidRPr="009F1165">
        <w:rPr>
          <w:szCs w:val="22"/>
          <w:lang w:val="hu-HU"/>
        </w:rPr>
        <w:t>orális fogamzásgátlók, k</w:t>
      </w:r>
      <w:r w:rsidR="0001366C" w:rsidRPr="009F1165">
        <w:rPr>
          <w:szCs w:val="22"/>
          <w:lang w:val="hu-HU"/>
        </w:rPr>
        <w:t>a</w:t>
      </w:r>
      <w:r w:rsidR="00A83D7D" w:rsidRPr="009F1165">
        <w:rPr>
          <w:szCs w:val="22"/>
          <w:lang w:val="hu-HU"/>
        </w:rPr>
        <w:t xml:space="preserve">lciumpótlók, </w:t>
      </w:r>
      <w:proofErr w:type="spellStart"/>
      <w:r w:rsidR="00A83D7D" w:rsidRPr="009F1165">
        <w:rPr>
          <w:szCs w:val="22"/>
          <w:lang w:val="hu-HU"/>
        </w:rPr>
        <w:t>parenterális</w:t>
      </w:r>
      <w:r w:rsidR="0023695C" w:rsidRPr="009F1165">
        <w:rPr>
          <w:szCs w:val="22"/>
          <w:lang w:val="hu-HU"/>
        </w:rPr>
        <w:t>an</w:t>
      </w:r>
      <w:proofErr w:type="spellEnd"/>
      <w:r w:rsidR="00A83D7D" w:rsidRPr="009F1165">
        <w:rPr>
          <w:szCs w:val="22"/>
          <w:lang w:val="hu-HU"/>
        </w:rPr>
        <w:t xml:space="preserve"> adott morfin, </w:t>
      </w:r>
      <w:proofErr w:type="spellStart"/>
      <w:r w:rsidR="00A83D7D" w:rsidRPr="009F1165">
        <w:rPr>
          <w:szCs w:val="22"/>
          <w:lang w:val="hu-HU"/>
        </w:rPr>
        <w:t>teofillin</w:t>
      </w:r>
      <w:proofErr w:type="spellEnd"/>
      <w:r w:rsidR="009F179D" w:rsidRPr="009F1165">
        <w:rPr>
          <w:szCs w:val="22"/>
          <w:lang w:val="hu-HU"/>
        </w:rPr>
        <w:t xml:space="preserve">, </w:t>
      </w:r>
      <w:proofErr w:type="spellStart"/>
      <w:r w:rsidR="009F179D" w:rsidRPr="009F1165">
        <w:rPr>
          <w:szCs w:val="22"/>
          <w:lang w:val="hu-HU"/>
        </w:rPr>
        <w:t>ciklosporin</w:t>
      </w:r>
      <w:proofErr w:type="spellEnd"/>
      <w:r w:rsidR="00A83D7D" w:rsidRPr="009F1165">
        <w:rPr>
          <w:szCs w:val="22"/>
          <w:lang w:val="hu-HU"/>
        </w:rPr>
        <w:t xml:space="preserve"> vagy </w:t>
      </w:r>
      <w:proofErr w:type="spellStart"/>
      <w:r w:rsidR="00A83D7D" w:rsidRPr="009F1165">
        <w:rPr>
          <w:szCs w:val="22"/>
          <w:lang w:val="hu-HU"/>
        </w:rPr>
        <w:t>itrakonazol</w:t>
      </w:r>
      <w:proofErr w:type="spellEnd"/>
      <w:r w:rsidR="00A83D7D" w:rsidRPr="009F1165">
        <w:rPr>
          <w:szCs w:val="22"/>
          <w:lang w:val="hu-HU"/>
        </w:rPr>
        <w:t>.</w:t>
      </w:r>
    </w:p>
    <w:p w14:paraId="0B03B2A4" w14:textId="77777777" w:rsidR="00A83D7D" w:rsidRPr="009F1165" w:rsidRDefault="00A83D7D" w:rsidP="009F1165">
      <w:pPr>
        <w:tabs>
          <w:tab w:val="left" w:pos="567"/>
        </w:tabs>
        <w:rPr>
          <w:caps/>
          <w:szCs w:val="22"/>
          <w:lang w:val="hu-HU"/>
        </w:rPr>
      </w:pPr>
    </w:p>
    <w:p w14:paraId="27E904E9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Emberi </w:t>
      </w:r>
      <w:proofErr w:type="spellStart"/>
      <w:r w:rsidRPr="009F1165">
        <w:rPr>
          <w:szCs w:val="22"/>
          <w:lang w:val="hu-HU"/>
        </w:rPr>
        <w:t>citokróm</w:t>
      </w:r>
      <w:proofErr w:type="spellEnd"/>
      <w:r w:rsidRPr="009F1165">
        <w:rPr>
          <w:szCs w:val="22"/>
          <w:lang w:val="hu-HU"/>
        </w:rPr>
        <w:t xml:space="preserve"> P450 enzimmel végzett </w:t>
      </w:r>
      <w:r w:rsidRPr="009F1165">
        <w:rPr>
          <w:i/>
          <w:szCs w:val="22"/>
          <w:lang w:val="hu-HU"/>
        </w:rPr>
        <w:t>in vitro</w:t>
      </w:r>
      <w:r w:rsidRPr="009F1165">
        <w:rPr>
          <w:szCs w:val="22"/>
          <w:lang w:val="hu-HU"/>
        </w:rPr>
        <w:t xml:space="preserve"> vizsgálatok </w:t>
      </w:r>
      <w:r w:rsidR="000F481B" w:rsidRPr="009F1165">
        <w:rPr>
          <w:szCs w:val="22"/>
          <w:lang w:val="hu-HU"/>
        </w:rPr>
        <w:t xml:space="preserve">alátámasztották </w:t>
      </w:r>
      <w:r w:rsidRPr="009F1165">
        <w:rPr>
          <w:szCs w:val="22"/>
          <w:lang w:val="hu-HU"/>
        </w:rPr>
        <w:t xml:space="preserve">ezeket a megfigyeléseket. Ezeknek az eredményeknek az értékelése arra enged következtetni, hogy a </w:t>
      </w:r>
      <w:proofErr w:type="spellStart"/>
      <w:r w:rsidRPr="009F1165">
        <w:rPr>
          <w:szCs w:val="22"/>
          <w:lang w:val="hu-HU"/>
        </w:rPr>
        <w:t>citokróm</w:t>
      </w:r>
      <w:proofErr w:type="spellEnd"/>
      <w:r w:rsidRPr="009F1165">
        <w:rPr>
          <w:szCs w:val="22"/>
          <w:lang w:val="hu-HU"/>
        </w:rPr>
        <w:t xml:space="preserve"> P450 enzim által közvetített metabolikus </w:t>
      </w:r>
      <w:proofErr w:type="gramStart"/>
      <w:r w:rsidRPr="009F1165">
        <w:rPr>
          <w:szCs w:val="22"/>
          <w:lang w:val="hu-HU"/>
        </w:rPr>
        <w:t>interakció</w:t>
      </w:r>
      <w:proofErr w:type="gramEnd"/>
      <w:r w:rsidRPr="009F1165">
        <w:rPr>
          <w:szCs w:val="22"/>
          <w:lang w:val="hu-HU"/>
        </w:rPr>
        <w:t xml:space="preserve"> nem valószínű.</w:t>
      </w:r>
    </w:p>
    <w:p w14:paraId="316E357D" w14:textId="77777777" w:rsidR="009F179D" w:rsidRPr="009F1165" w:rsidRDefault="009F179D" w:rsidP="009F1165">
      <w:pPr>
        <w:tabs>
          <w:tab w:val="left" w:pos="567"/>
        </w:tabs>
        <w:rPr>
          <w:szCs w:val="22"/>
          <w:lang w:val="hu-HU"/>
        </w:rPr>
      </w:pPr>
    </w:p>
    <w:p w14:paraId="6C06C3E4" w14:textId="77777777" w:rsidR="00BE5DB5" w:rsidRPr="009F1165" w:rsidRDefault="00BE5DB5" w:rsidP="009F1165">
      <w:pPr>
        <w:keepNext/>
        <w:tabs>
          <w:tab w:val="left" w:pos="567"/>
        </w:tabs>
        <w:rPr>
          <w:szCs w:val="22"/>
          <w:u w:val="single"/>
          <w:lang w:val="hu-HU"/>
        </w:rPr>
      </w:pPr>
      <w:r w:rsidRPr="009F1165">
        <w:rPr>
          <w:szCs w:val="22"/>
          <w:u w:val="single"/>
          <w:lang w:val="hu-HU"/>
        </w:rPr>
        <w:t>A táplálékokkal való kölcsönhatás</w:t>
      </w:r>
    </w:p>
    <w:p w14:paraId="5A95E69B" w14:textId="77777777" w:rsidR="00A83D7D" w:rsidRPr="009F1165" w:rsidRDefault="00A83D7D" w:rsidP="009F1165">
      <w:pPr>
        <w:keepNext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és az </w:t>
      </w:r>
      <w:r w:rsidR="00BE5DB5" w:rsidRPr="009F1165">
        <w:rPr>
          <w:szCs w:val="22"/>
          <w:lang w:val="hu-HU"/>
        </w:rPr>
        <w:t xml:space="preserve">ételek </w:t>
      </w:r>
      <w:r w:rsidRPr="009F1165">
        <w:rPr>
          <w:szCs w:val="22"/>
          <w:lang w:val="hu-HU"/>
        </w:rPr>
        <w:t xml:space="preserve">között, </w:t>
      </w:r>
      <w:r w:rsidR="00D06D16" w:rsidRPr="009F1165">
        <w:rPr>
          <w:szCs w:val="22"/>
          <w:lang w:val="hu-HU"/>
        </w:rPr>
        <w:t xml:space="preserve">- </w:t>
      </w:r>
      <w:r w:rsidRPr="009F1165">
        <w:rPr>
          <w:szCs w:val="22"/>
          <w:lang w:val="hu-HU"/>
        </w:rPr>
        <w:t>beleértve a tejtermékeket is</w:t>
      </w:r>
      <w:r w:rsidR="00D06D16" w:rsidRPr="009F1165">
        <w:rPr>
          <w:szCs w:val="22"/>
          <w:lang w:val="hu-HU"/>
        </w:rPr>
        <w:t xml:space="preserve"> –</w:t>
      </w:r>
      <w:r w:rsidRPr="009F1165">
        <w:rPr>
          <w:szCs w:val="22"/>
          <w:lang w:val="hu-HU"/>
        </w:rPr>
        <w:t xml:space="preserve"> nincs </w:t>
      </w:r>
      <w:proofErr w:type="spellStart"/>
      <w:r w:rsidRPr="009F1165">
        <w:rPr>
          <w:szCs w:val="22"/>
          <w:lang w:val="hu-HU"/>
        </w:rPr>
        <w:t>klinikailag</w:t>
      </w:r>
      <w:proofErr w:type="spellEnd"/>
      <w:r w:rsidRPr="009F1165">
        <w:rPr>
          <w:szCs w:val="22"/>
          <w:lang w:val="hu-HU"/>
        </w:rPr>
        <w:t xml:space="preserve"> releváns kölcsönhatás.</w:t>
      </w:r>
    </w:p>
    <w:p w14:paraId="43BCADFD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386B890B" w14:textId="77777777" w:rsidR="00A83D7D" w:rsidRPr="009F1165" w:rsidRDefault="00A83D7D" w:rsidP="009F1165">
      <w:pPr>
        <w:pStyle w:val="WW-Szvegtrzs212"/>
        <w:keepNext/>
        <w:keepLines/>
        <w:spacing w:line="240" w:lineRule="auto"/>
        <w:rPr>
          <w:szCs w:val="22"/>
          <w:lang w:val="hu-HU"/>
        </w:rPr>
      </w:pPr>
      <w:r w:rsidRPr="009F1165">
        <w:rPr>
          <w:szCs w:val="22"/>
          <w:lang w:val="hu-HU"/>
        </w:rPr>
        <w:t>4.6</w:t>
      </w:r>
      <w:r w:rsidRPr="009F1165">
        <w:rPr>
          <w:szCs w:val="22"/>
          <w:lang w:val="hu-HU"/>
        </w:rPr>
        <w:tab/>
        <w:t>T</w:t>
      </w:r>
      <w:r w:rsidR="006C4D62" w:rsidRPr="009F1165">
        <w:rPr>
          <w:szCs w:val="22"/>
          <w:lang w:val="hu-HU"/>
        </w:rPr>
        <w:t>ermékenység, t</w:t>
      </w:r>
      <w:r w:rsidRPr="009F1165">
        <w:rPr>
          <w:szCs w:val="22"/>
          <w:lang w:val="hu-HU"/>
        </w:rPr>
        <w:t>erhesség és szoptatás</w:t>
      </w:r>
    </w:p>
    <w:p w14:paraId="10754570" w14:textId="77777777" w:rsidR="00A83D7D" w:rsidRPr="009F1165" w:rsidRDefault="00A83D7D" w:rsidP="009F1165">
      <w:pPr>
        <w:pStyle w:val="Vgjegyzetszvege"/>
        <w:keepNext/>
        <w:keepLines/>
        <w:tabs>
          <w:tab w:val="left" w:pos="567"/>
        </w:tabs>
        <w:suppressAutoHyphens w:val="0"/>
        <w:spacing w:line="240" w:lineRule="auto"/>
        <w:rPr>
          <w:szCs w:val="22"/>
          <w:lang w:val="hu-HU" w:eastAsia="hu-HU"/>
        </w:rPr>
      </w:pPr>
    </w:p>
    <w:p w14:paraId="7DF59660" w14:textId="77777777" w:rsidR="00A83D7D" w:rsidRPr="009F1165" w:rsidRDefault="00A83D7D" w:rsidP="009F1165">
      <w:pPr>
        <w:keepNext/>
        <w:keepLines/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u w:val="single"/>
          <w:lang w:val="hu-HU"/>
        </w:rPr>
        <w:t>Terhesség</w:t>
      </w:r>
    </w:p>
    <w:p w14:paraId="5196E606" w14:textId="77777777" w:rsidR="00A83D7D" w:rsidRPr="009F1165" w:rsidRDefault="00A83D7D" w:rsidP="009F1165">
      <w:pPr>
        <w:keepNext/>
        <w:keepLines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adásának biztonságosságát emberi terhességben még nem tanulmányozták. Állatkísérletes vizsgálatok reproduktív toxicitására utalnak (lásd 5.</w:t>
      </w:r>
      <w:r w:rsidR="00D06D16" w:rsidRPr="009F1165">
        <w:rPr>
          <w:szCs w:val="22"/>
          <w:lang w:val="hu-HU"/>
        </w:rPr>
        <w:t>3 </w:t>
      </w:r>
      <w:r w:rsidRPr="009F1165">
        <w:rPr>
          <w:szCs w:val="22"/>
          <w:lang w:val="hu-HU"/>
        </w:rPr>
        <w:t xml:space="preserve">pont). Az emberre vonatkozó lehetséges kockázat nem ismert. </w:t>
      </w:r>
      <w:r w:rsidR="00BE5DB5" w:rsidRPr="009F1165">
        <w:rPr>
          <w:szCs w:val="22"/>
          <w:lang w:val="hu-HU"/>
        </w:rPr>
        <w:t xml:space="preserve">A fejlődésben lévő állatoknál </w:t>
      </w:r>
      <w:proofErr w:type="spellStart"/>
      <w:r w:rsidR="00BE5DB5" w:rsidRPr="009F1165">
        <w:rPr>
          <w:szCs w:val="22"/>
          <w:lang w:val="hu-HU"/>
        </w:rPr>
        <w:t>f</w:t>
      </w:r>
      <w:r w:rsidRPr="009F1165">
        <w:rPr>
          <w:szCs w:val="22"/>
          <w:lang w:val="hu-HU"/>
        </w:rPr>
        <w:t>luorokinolon</w:t>
      </w:r>
      <w:proofErr w:type="spellEnd"/>
      <w:r w:rsidR="000B4AB6" w:rsidRPr="009F1165">
        <w:rPr>
          <w:szCs w:val="22"/>
          <w:lang w:val="hu-HU"/>
        </w:rPr>
        <w:t>-</w:t>
      </w:r>
      <w:r w:rsidRPr="009F1165">
        <w:rPr>
          <w:szCs w:val="22"/>
          <w:lang w:val="hu-HU"/>
        </w:rPr>
        <w:t xml:space="preserve">kezelésnél előfordul a teherviselő </w:t>
      </w:r>
      <w:r w:rsidR="00BE5DB5" w:rsidRPr="009F1165">
        <w:rPr>
          <w:szCs w:val="22"/>
          <w:lang w:val="hu-HU"/>
        </w:rPr>
        <w:t>í</w:t>
      </w:r>
      <w:r w:rsidRPr="009F1165">
        <w:rPr>
          <w:szCs w:val="22"/>
          <w:lang w:val="hu-HU"/>
        </w:rPr>
        <w:t xml:space="preserve">zületek porcának károsodása, valamint </w:t>
      </w:r>
      <w:proofErr w:type="spellStart"/>
      <w:r w:rsidR="00C8768E" w:rsidRPr="009F1165">
        <w:rPr>
          <w:szCs w:val="22"/>
          <w:lang w:val="hu-HU"/>
        </w:rPr>
        <w:t>fluorokinolon</w:t>
      </w:r>
      <w:proofErr w:type="spellEnd"/>
      <w:r w:rsidR="000B4AB6" w:rsidRPr="009F1165">
        <w:rPr>
          <w:szCs w:val="22"/>
          <w:lang w:val="hu-HU"/>
        </w:rPr>
        <w:t>-</w:t>
      </w:r>
      <w:r w:rsidR="00C8768E" w:rsidRPr="009F1165">
        <w:rPr>
          <w:szCs w:val="22"/>
          <w:lang w:val="hu-HU"/>
        </w:rPr>
        <w:t xml:space="preserve">kezelésben részesülő gyerekeknél </w:t>
      </w:r>
      <w:r w:rsidRPr="009F1165">
        <w:rPr>
          <w:szCs w:val="22"/>
          <w:lang w:val="hu-HU"/>
        </w:rPr>
        <w:t xml:space="preserve">reverzibilis ízületi sérüléseket írtak le, ezért a </w:t>
      </w:r>
      <w:proofErr w:type="spellStart"/>
      <w:r w:rsidRPr="009F1165">
        <w:rPr>
          <w:szCs w:val="22"/>
          <w:lang w:val="hu-HU"/>
        </w:rPr>
        <w:t>moxifloxacint</w:t>
      </w:r>
      <w:proofErr w:type="spellEnd"/>
      <w:r w:rsidRPr="009F1165">
        <w:rPr>
          <w:szCs w:val="22"/>
          <w:lang w:val="hu-HU"/>
        </w:rPr>
        <w:t xml:space="preserve"> </w:t>
      </w:r>
      <w:r w:rsidR="00F40E33" w:rsidRPr="009F1165">
        <w:rPr>
          <w:szCs w:val="22"/>
          <w:lang w:val="hu-HU"/>
        </w:rPr>
        <w:t xml:space="preserve">nem szabad </w:t>
      </w:r>
      <w:r w:rsidRPr="009F1165">
        <w:rPr>
          <w:szCs w:val="22"/>
          <w:lang w:val="hu-HU"/>
        </w:rPr>
        <w:t>terhes nőknek adni (lásd 4.</w:t>
      </w:r>
      <w:r w:rsidR="00D06D16" w:rsidRPr="009F1165">
        <w:rPr>
          <w:szCs w:val="22"/>
          <w:lang w:val="hu-HU"/>
        </w:rPr>
        <w:t>3 </w:t>
      </w:r>
      <w:r w:rsidRPr="009F1165">
        <w:rPr>
          <w:szCs w:val="22"/>
          <w:lang w:val="hu-HU"/>
        </w:rPr>
        <w:t>pont).</w:t>
      </w:r>
    </w:p>
    <w:p w14:paraId="2503457B" w14:textId="77777777" w:rsidR="00A83D7D" w:rsidRPr="009F1165" w:rsidRDefault="00A83D7D" w:rsidP="009F1165">
      <w:pPr>
        <w:widowControl w:val="0"/>
        <w:autoSpaceDE w:val="0"/>
        <w:autoSpaceDN w:val="0"/>
        <w:adjustRightInd w:val="0"/>
        <w:rPr>
          <w:szCs w:val="22"/>
          <w:lang w:val="hu-HU"/>
        </w:rPr>
      </w:pPr>
    </w:p>
    <w:p w14:paraId="098D363C" w14:textId="77777777" w:rsidR="00A83D7D" w:rsidRPr="009F1165" w:rsidRDefault="00A83D7D" w:rsidP="009F1165">
      <w:pPr>
        <w:pStyle w:val="Cmsor8"/>
        <w:keepLines/>
        <w:widowControl w:val="0"/>
        <w:tabs>
          <w:tab w:val="clear" w:pos="567"/>
        </w:tabs>
        <w:autoSpaceDE w:val="0"/>
        <w:autoSpaceDN w:val="0"/>
        <w:adjustRightInd w:val="0"/>
        <w:rPr>
          <w:szCs w:val="22"/>
        </w:rPr>
      </w:pPr>
      <w:r w:rsidRPr="009F1165">
        <w:rPr>
          <w:szCs w:val="22"/>
        </w:rPr>
        <w:t>Szoptatás</w:t>
      </w:r>
    </w:p>
    <w:p w14:paraId="09665845" w14:textId="77777777" w:rsidR="00A83D7D" w:rsidRPr="009F1165" w:rsidRDefault="00A83D7D" w:rsidP="009F1165">
      <w:pPr>
        <w:keepNext/>
        <w:keepLines/>
        <w:widowControl w:val="0"/>
        <w:autoSpaceDE w:val="0"/>
        <w:autoSpaceDN w:val="0"/>
        <w:adjustRightInd w:val="0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Szoptató anyákra vonatkozó adatok nem állnak rendelkezésre. </w:t>
      </w:r>
      <w:proofErr w:type="spellStart"/>
      <w:r w:rsidRPr="009F1165">
        <w:rPr>
          <w:szCs w:val="22"/>
          <w:lang w:val="hu-HU"/>
        </w:rPr>
        <w:t>Preklinikai</w:t>
      </w:r>
      <w:proofErr w:type="spellEnd"/>
      <w:r w:rsidRPr="009F1165">
        <w:rPr>
          <w:szCs w:val="22"/>
          <w:lang w:val="hu-HU"/>
        </w:rPr>
        <w:t xml:space="preserve"> adatok azt mutatják, hogy kis mennyiségű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kiválasztódik</w:t>
      </w:r>
      <w:proofErr w:type="spellEnd"/>
      <w:r w:rsidRPr="009F1165">
        <w:rPr>
          <w:szCs w:val="22"/>
          <w:lang w:val="hu-HU"/>
        </w:rPr>
        <w:t xml:space="preserve"> az anyatejbe.</w:t>
      </w:r>
      <w:r w:rsidR="00BF3331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 xml:space="preserve">Humán adatok hiányában, valamint fejlődésben lévő állatoknál a teherviselő </w:t>
      </w:r>
      <w:r w:rsidR="00DA5D09" w:rsidRPr="009F1165">
        <w:rPr>
          <w:szCs w:val="22"/>
          <w:lang w:val="hu-HU"/>
        </w:rPr>
        <w:t>í</w:t>
      </w:r>
      <w:r w:rsidRPr="009F1165">
        <w:rPr>
          <w:szCs w:val="22"/>
          <w:lang w:val="hu-HU"/>
        </w:rPr>
        <w:t xml:space="preserve">zületek porcának </w:t>
      </w:r>
      <w:proofErr w:type="spellStart"/>
      <w:r w:rsidRPr="009F1165">
        <w:rPr>
          <w:szCs w:val="22"/>
          <w:lang w:val="hu-HU"/>
        </w:rPr>
        <w:t>fluorokinolonok</w:t>
      </w:r>
      <w:proofErr w:type="spellEnd"/>
      <w:r w:rsidRPr="009F1165">
        <w:rPr>
          <w:szCs w:val="22"/>
          <w:lang w:val="hu-HU"/>
        </w:rPr>
        <w:t xml:space="preserve"> okozta károsodásának veszélye miatt a szoptatás ellenjavallt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="000B4AB6" w:rsidRPr="009F1165">
        <w:rPr>
          <w:szCs w:val="22"/>
          <w:lang w:val="hu-HU"/>
        </w:rPr>
        <w:t>-</w:t>
      </w:r>
      <w:r w:rsidRPr="009F1165">
        <w:rPr>
          <w:szCs w:val="22"/>
          <w:lang w:val="hu-HU"/>
        </w:rPr>
        <w:t>kezelés alatt (lásd 4.</w:t>
      </w:r>
      <w:r w:rsidR="00D06D16" w:rsidRPr="009F1165">
        <w:rPr>
          <w:szCs w:val="22"/>
          <w:lang w:val="hu-HU"/>
        </w:rPr>
        <w:t>3 </w:t>
      </w:r>
      <w:r w:rsidRPr="009F1165">
        <w:rPr>
          <w:szCs w:val="22"/>
          <w:lang w:val="hu-HU"/>
        </w:rPr>
        <w:t>pont).</w:t>
      </w:r>
    </w:p>
    <w:p w14:paraId="3654F295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73EB1BB6" w14:textId="77777777" w:rsidR="000F481B" w:rsidRPr="009F1165" w:rsidRDefault="000F481B" w:rsidP="009F1165">
      <w:pPr>
        <w:widowControl w:val="0"/>
        <w:autoSpaceDE w:val="0"/>
        <w:autoSpaceDN w:val="0"/>
        <w:adjustRightInd w:val="0"/>
        <w:rPr>
          <w:szCs w:val="22"/>
          <w:u w:val="single"/>
          <w:lang w:val="hu-HU"/>
        </w:rPr>
      </w:pPr>
      <w:r w:rsidRPr="009F1165">
        <w:rPr>
          <w:szCs w:val="22"/>
          <w:u w:val="single"/>
          <w:lang w:val="hu-HU"/>
        </w:rPr>
        <w:t>Termékenység</w:t>
      </w:r>
    </w:p>
    <w:p w14:paraId="1D93104D" w14:textId="77777777" w:rsidR="000F481B" w:rsidRPr="009F1165" w:rsidRDefault="000F481B" w:rsidP="009F1165">
      <w:pPr>
        <w:widowControl w:val="0"/>
        <w:autoSpaceDE w:val="0"/>
        <w:autoSpaceDN w:val="0"/>
        <w:adjustRightInd w:val="0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Az állatkísérletek nem utalnak </w:t>
      </w:r>
      <w:r w:rsidR="00BF3331">
        <w:rPr>
          <w:szCs w:val="22"/>
          <w:lang w:val="hu-HU"/>
        </w:rPr>
        <w:t xml:space="preserve">a </w:t>
      </w:r>
      <w:r w:rsidRPr="009F1165">
        <w:rPr>
          <w:szCs w:val="22"/>
          <w:lang w:val="hu-HU"/>
        </w:rPr>
        <w:t>termékenységet károsító hatásra (lásd 5.3 pont).</w:t>
      </w:r>
    </w:p>
    <w:p w14:paraId="2DE52521" w14:textId="77777777" w:rsidR="000F481B" w:rsidRPr="009F1165" w:rsidRDefault="000F481B" w:rsidP="009F1165">
      <w:pPr>
        <w:pStyle w:val="WW-Szvegtrzs212"/>
        <w:spacing w:line="240" w:lineRule="auto"/>
        <w:rPr>
          <w:szCs w:val="22"/>
          <w:lang w:val="hu-HU"/>
        </w:rPr>
      </w:pPr>
    </w:p>
    <w:p w14:paraId="4ACE1D95" w14:textId="77777777" w:rsidR="00A83D7D" w:rsidRPr="009F1165" w:rsidRDefault="00A83D7D" w:rsidP="009F1165">
      <w:pPr>
        <w:pStyle w:val="WW-Szvegtrzs212"/>
        <w:keepNext/>
        <w:keepLines/>
        <w:spacing w:line="240" w:lineRule="auto"/>
        <w:rPr>
          <w:szCs w:val="22"/>
          <w:lang w:val="hu-HU"/>
        </w:rPr>
      </w:pPr>
      <w:r w:rsidRPr="009F1165">
        <w:rPr>
          <w:szCs w:val="22"/>
          <w:lang w:val="hu-HU"/>
        </w:rPr>
        <w:t>4.7</w:t>
      </w:r>
      <w:r w:rsidRPr="009F1165">
        <w:rPr>
          <w:szCs w:val="22"/>
          <w:lang w:val="hu-HU"/>
        </w:rPr>
        <w:tab/>
        <w:t xml:space="preserve">A készítmény hatásai a gépjárművezetéshez és </w:t>
      </w:r>
      <w:r w:rsidR="003D65D1" w:rsidRPr="009F1165">
        <w:rPr>
          <w:szCs w:val="22"/>
          <w:lang w:val="hu-HU"/>
        </w:rPr>
        <w:t xml:space="preserve">a </w:t>
      </w:r>
      <w:r w:rsidRPr="009F1165">
        <w:rPr>
          <w:szCs w:val="22"/>
          <w:lang w:val="hu-HU"/>
        </w:rPr>
        <w:t>gépek kezeléséhez szükséges képességekre</w:t>
      </w:r>
    </w:p>
    <w:p w14:paraId="6051B89D" w14:textId="77777777" w:rsidR="00A83D7D" w:rsidRPr="009F1165" w:rsidRDefault="00A83D7D" w:rsidP="009F1165">
      <w:pPr>
        <w:pStyle w:val="WW-Szvegtrzs212"/>
        <w:keepNext/>
        <w:keepLines/>
        <w:spacing w:line="240" w:lineRule="auto"/>
        <w:rPr>
          <w:b w:val="0"/>
          <w:szCs w:val="22"/>
          <w:lang w:val="hu-HU"/>
        </w:rPr>
      </w:pPr>
    </w:p>
    <w:p w14:paraId="3A2456EC" w14:textId="77777777" w:rsidR="00A83D7D" w:rsidRPr="009F1165" w:rsidRDefault="00A83D7D" w:rsidP="009F1165">
      <w:pPr>
        <w:keepNext/>
        <w:keepLines/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moxifloxacinnak</w:t>
      </w:r>
      <w:proofErr w:type="spellEnd"/>
      <w:r w:rsidRPr="009F1165">
        <w:rPr>
          <w:szCs w:val="22"/>
          <w:lang w:val="hu-HU"/>
        </w:rPr>
        <w:t xml:space="preserve"> a gépjárművezetéshez és </w:t>
      </w:r>
      <w:r w:rsidR="003D65D1" w:rsidRPr="009F1165">
        <w:rPr>
          <w:szCs w:val="22"/>
          <w:lang w:val="hu-HU"/>
        </w:rPr>
        <w:t xml:space="preserve">a </w:t>
      </w:r>
      <w:r w:rsidRPr="009F1165">
        <w:rPr>
          <w:szCs w:val="22"/>
          <w:lang w:val="hu-HU"/>
        </w:rPr>
        <w:t xml:space="preserve">gépek kezeléséhez szükséges képességeket befolyásoló hatásait nem vizsgálták, mindazonáltal a </w:t>
      </w:r>
      <w:proofErr w:type="spellStart"/>
      <w:r w:rsidRPr="009F1165">
        <w:rPr>
          <w:szCs w:val="22"/>
          <w:lang w:val="hu-HU"/>
        </w:rPr>
        <w:t>fluorokinolonok</w:t>
      </w:r>
      <w:proofErr w:type="spellEnd"/>
      <w:r w:rsidRPr="009F1165">
        <w:rPr>
          <w:szCs w:val="22"/>
          <w:lang w:val="hu-HU"/>
        </w:rPr>
        <w:t xml:space="preserve"> </w:t>
      </w:r>
      <w:r w:rsidR="00C8768E" w:rsidRPr="009F1165">
        <w:rPr>
          <w:szCs w:val="22"/>
          <w:lang w:val="hu-HU"/>
        </w:rPr>
        <w:t>-</w:t>
      </w:r>
      <w:r w:rsidR="006C4D62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 xml:space="preserve">beleértve a </w:t>
      </w:r>
      <w:proofErr w:type="spellStart"/>
      <w:r w:rsidRPr="009F1165">
        <w:rPr>
          <w:szCs w:val="22"/>
          <w:lang w:val="hu-HU"/>
        </w:rPr>
        <w:t>moxifloxacint</w:t>
      </w:r>
      <w:proofErr w:type="spellEnd"/>
      <w:r w:rsidRPr="009F1165">
        <w:rPr>
          <w:szCs w:val="22"/>
          <w:lang w:val="hu-HU"/>
        </w:rPr>
        <w:t xml:space="preserve"> is</w:t>
      </w:r>
      <w:r w:rsidR="006C4D62" w:rsidRPr="009F1165">
        <w:rPr>
          <w:szCs w:val="22"/>
          <w:lang w:val="hu-HU"/>
        </w:rPr>
        <w:t xml:space="preserve"> </w:t>
      </w:r>
      <w:r w:rsidR="00C8768E" w:rsidRPr="009F1165">
        <w:rPr>
          <w:szCs w:val="22"/>
          <w:lang w:val="hu-HU"/>
        </w:rPr>
        <w:t>-</w:t>
      </w:r>
      <w:r w:rsidRPr="009F1165">
        <w:rPr>
          <w:szCs w:val="22"/>
          <w:lang w:val="hu-HU"/>
        </w:rPr>
        <w:t xml:space="preserve"> </w:t>
      </w:r>
      <w:r w:rsidR="00C8768E" w:rsidRPr="009F1165">
        <w:rPr>
          <w:szCs w:val="22"/>
          <w:lang w:val="hu-HU"/>
        </w:rPr>
        <w:t xml:space="preserve">károsan </w:t>
      </w:r>
      <w:r w:rsidRPr="009F1165">
        <w:rPr>
          <w:szCs w:val="22"/>
          <w:lang w:val="hu-HU"/>
        </w:rPr>
        <w:t xml:space="preserve">befolyásolhatják a betegek </w:t>
      </w:r>
      <w:r w:rsidR="000B4AB6" w:rsidRPr="009F1165">
        <w:rPr>
          <w:szCs w:val="22"/>
          <w:lang w:val="hu-HU"/>
        </w:rPr>
        <w:t>gépjármű</w:t>
      </w:r>
      <w:r w:rsidRPr="009F1165">
        <w:rPr>
          <w:szCs w:val="22"/>
          <w:lang w:val="hu-HU"/>
        </w:rPr>
        <w:t>vezetési vagy gépkezelési képességét</w:t>
      </w:r>
      <w:r w:rsidR="00C8768E" w:rsidRPr="009F1165">
        <w:rPr>
          <w:szCs w:val="22"/>
          <w:lang w:val="hu-HU"/>
        </w:rPr>
        <w:t xml:space="preserve"> a </w:t>
      </w:r>
      <w:r w:rsidRPr="009F1165">
        <w:rPr>
          <w:szCs w:val="22"/>
          <w:lang w:val="hu-HU"/>
        </w:rPr>
        <w:t>központi idegrendszeri reakciók (pl.</w:t>
      </w:r>
      <w:r w:rsidR="00C8768E" w:rsidRPr="009F1165">
        <w:rPr>
          <w:szCs w:val="22"/>
          <w:lang w:val="hu-HU"/>
        </w:rPr>
        <w:t> </w:t>
      </w:r>
      <w:r w:rsidRPr="009F1165">
        <w:rPr>
          <w:szCs w:val="22"/>
          <w:lang w:val="hu-HU"/>
        </w:rPr>
        <w:t xml:space="preserve">szédülés, </w:t>
      </w:r>
      <w:proofErr w:type="gramStart"/>
      <w:r w:rsidR="007D3904" w:rsidRPr="009F1165">
        <w:rPr>
          <w:szCs w:val="22"/>
          <w:lang w:val="hu-HU"/>
        </w:rPr>
        <w:t>akut</w:t>
      </w:r>
      <w:proofErr w:type="gramEnd"/>
      <w:r w:rsidR="007D3904" w:rsidRPr="009F1165">
        <w:rPr>
          <w:szCs w:val="22"/>
          <w:lang w:val="hu-HU"/>
        </w:rPr>
        <w:t>, múló látáskiesés</w:t>
      </w:r>
      <w:r w:rsidR="000B4AB6" w:rsidRPr="009F1165">
        <w:rPr>
          <w:szCs w:val="22"/>
          <w:lang w:val="hu-HU"/>
        </w:rPr>
        <w:t>,</w:t>
      </w:r>
      <w:r w:rsidR="007D3904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>lásd 4.</w:t>
      </w:r>
      <w:r w:rsidR="00D06D16" w:rsidRPr="009F1165">
        <w:rPr>
          <w:szCs w:val="22"/>
          <w:lang w:val="hu-HU"/>
        </w:rPr>
        <w:t>8 </w:t>
      </w:r>
      <w:r w:rsidRPr="009F1165">
        <w:rPr>
          <w:szCs w:val="22"/>
          <w:lang w:val="hu-HU"/>
        </w:rPr>
        <w:t>pont) vagy akut, illetve rövid ideig tartó eszméletvesztés (</w:t>
      </w:r>
      <w:proofErr w:type="spellStart"/>
      <w:r w:rsidRPr="009F1165">
        <w:rPr>
          <w:szCs w:val="22"/>
          <w:lang w:val="hu-HU"/>
        </w:rPr>
        <w:t>syncope</w:t>
      </w:r>
      <w:proofErr w:type="spellEnd"/>
      <w:r w:rsidRPr="009F1165">
        <w:rPr>
          <w:szCs w:val="22"/>
          <w:lang w:val="hu-HU"/>
        </w:rPr>
        <w:t>, lásd 4.</w:t>
      </w:r>
      <w:r w:rsidR="00D06D16" w:rsidRPr="009F1165">
        <w:rPr>
          <w:szCs w:val="22"/>
          <w:lang w:val="hu-HU"/>
        </w:rPr>
        <w:t>8 </w:t>
      </w:r>
      <w:r w:rsidRPr="009F1165">
        <w:rPr>
          <w:szCs w:val="22"/>
          <w:lang w:val="hu-HU"/>
        </w:rPr>
        <w:t>pont) következtében.</w:t>
      </w:r>
      <w:r w:rsidR="00C8768E" w:rsidRPr="009F1165">
        <w:rPr>
          <w:szCs w:val="22"/>
          <w:lang w:val="hu-HU"/>
        </w:rPr>
        <w:t xml:space="preserve"> </w:t>
      </w:r>
      <w:r w:rsidR="000B4AB6" w:rsidRPr="009F1165">
        <w:rPr>
          <w:szCs w:val="22"/>
          <w:lang w:val="hu-HU"/>
        </w:rPr>
        <w:t>Tanácsos</w:t>
      </w:r>
      <w:r w:rsidRPr="009F1165">
        <w:rPr>
          <w:szCs w:val="22"/>
          <w:lang w:val="hu-HU"/>
        </w:rPr>
        <w:t xml:space="preserve">, hogy </w:t>
      </w:r>
      <w:r w:rsidR="000B4AB6" w:rsidRPr="009F1165">
        <w:rPr>
          <w:szCs w:val="22"/>
          <w:lang w:val="hu-HU"/>
        </w:rPr>
        <w:t>gépjármű</w:t>
      </w:r>
      <w:r w:rsidRPr="009F1165">
        <w:rPr>
          <w:szCs w:val="22"/>
          <w:lang w:val="hu-HU"/>
        </w:rPr>
        <w:t xml:space="preserve">vezetés vagy gépkezelés előtt a betegek figyeljék meg, hogyan </w:t>
      </w:r>
      <w:proofErr w:type="gramStart"/>
      <w:r w:rsidRPr="009F1165">
        <w:rPr>
          <w:szCs w:val="22"/>
          <w:lang w:val="hu-HU"/>
        </w:rPr>
        <w:t>reagálnak</w:t>
      </w:r>
      <w:proofErr w:type="gramEnd"/>
      <w:r w:rsidRPr="009F1165">
        <w:rPr>
          <w:szCs w:val="22"/>
          <w:lang w:val="hu-HU"/>
        </w:rPr>
        <w:t xml:space="preserve"> a </w:t>
      </w:r>
      <w:proofErr w:type="spellStart"/>
      <w:r w:rsidRPr="009F1165">
        <w:rPr>
          <w:szCs w:val="22"/>
          <w:lang w:val="hu-HU"/>
        </w:rPr>
        <w:t>moxifloxacinra</w:t>
      </w:r>
      <w:proofErr w:type="spellEnd"/>
      <w:r w:rsidRPr="009F1165">
        <w:rPr>
          <w:szCs w:val="22"/>
          <w:lang w:val="hu-HU"/>
        </w:rPr>
        <w:t>.</w:t>
      </w:r>
    </w:p>
    <w:p w14:paraId="1F276731" w14:textId="77777777" w:rsidR="00A83D7D" w:rsidRPr="009F1165" w:rsidRDefault="00A83D7D" w:rsidP="009F1165">
      <w:pPr>
        <w:pStyle w:val="Szvegtrzsbehzssal"/>
        <w:tabs>
          <w:tab w:val="left" w:pos="567"/>
        </w:tabs>
        <w:spacing w:after="0"/>
        <w:ind w:left="0"/>
        <w:rPr>
          <w:szCs w:val="22"/>
          <w:lang w:val="hu-HU"/>
        </w:rPr>
      </w:pPr>
    </w:p>
    <w:p w14:paraId="45AE72E8" w14:textId="77777777" w:rsidR="00A83D7D" w:rsidRPr="009F1165" w:rsidRDefault="00A83D7D" w:rsidP="009F1165">
      <w:pPr>
        <w:pStyle w:val="WW-Szvegtrzs212"/>
        <w:keepNext/>
        <w:keepLines/>
        <w:spacing w:line="240" w:lineRule="auto"/>
        <w:rPr>
          <w:szCs w:val="22"/>
          <w:lang w:val="hu-HU"/>
        </w:rPr>
      </w:pPr>
      <w:r w:rsidRPr="009F1165">
        <w:rPr>
          <w:szCs w:val="22"/>
          <w:lang w:val="hu-HU"/>
        </w:rPr>
        <w:t>4.8</w:t>
      </w:r>
      <w:r w:rsidRPr="009F1165">
        <w:rPr>
          <w:szCs w:val="22"/>
          <w:lang w:val="hu-HU"/>
        </w:rPr>
        <w:tab/>
        <w:t>Nemkívánatos hatások, mellékhatások</w:t>
      </w:r>
    </w:p>
    <w:p w14:paraId="507AF949" w14:textId="77777777" w:rsidR="00A83D7D" w:rsidRPr="009F1165" w:rsidRDefault="00A83D7D" w:rsidP="009F1165">
      <w:pPr>
        <w:keepNext/>
        <w:keepLines/>
        <w:tabs>
          <w:tab w:val="left" w:pos="567"/>
        </w:tabs>
        <w:rPr>
          <w:szCs w:val="22"/>
          <w:lang w:val="hu-HU"/>
        </w:rPr>
      </w:pPr>
    </w:p>
    <w:p w14:paraId="18BA388B" w14:textId="77777777" w:rsidR="00A83D7D" w:rsidRPr="009F1165" w:rsidRDefault="00A83D7D" w:rsidP="009F1165">
      <w:pPr>
        <w:keepNext/>
        <w:keepLines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naponta </w:t>
      </w:r>
      <w:r w:rsidR="00D06D16" w:rsidRPr="009F1165">
        <w:rPr>
          <w:szCs w:val="22"/>
          <w:lang w:val="hu-HU"/>
        </w:rPr>
        <w:t>400 </w:t>
      </w:r>
      <w:r w:rsidRPr="009F1165">
        <w:rPr>
          <w:szCs w:val="22"/>
          <w:lang w:val="hu-HU"/>
        </w:rPr>
        <w:t xml:space="preserve">mg intravénás vagy orális </w:t>
      </w:r>
      <w:r w:rsidR="00BF3331">
        <w:rPr>
          <w:szCs w:val="22"/>
          <w:lang w:val="hu-HU"/>
        </w:rPr>
        <w:t>[</w:t>
      </w:r>
      <w:r w:rsidR="000F481B" w:rsidRPr="009F1165">
        <w:rPr>
          <w:szCs w:val="22"/>
          <w:lang w:val="hu-HU"/>
        </w:rPr>
        <w:t>csak intravénás, szekvenciális (</w:t>
      </w:r>
      <w:r w:rsidR="008A5EFD" w:rsidRPr="009F1165">
        <w:rPr>
          <w:szCs w:val="22"/>
          <w:lang w:val="hu-HU"/>
        </w:rPr>
        <w:t>intravénás</w:t>
      </w:r>
      <w:r w:rsidR="000F481B" w:rsidRPr="009F1165">
        <w:rPr>
          <w:szCs w:val="22"/>
          <w:lang w:val="hu-HU"/>
        </w:rPr>
        <w:t>/orális) és orális adagolás</w:t>
      </w:r>
      <w:r w:rsidR="00BF3331">
        <w:rPr>
          <w:szCs w:val="22"/>
          <w:lang w:val="hu-HU"/>
        </w:rPr>
        <w:t>]</w:t>
      </w:r>
      <w:r w:rsidR="000F481B"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="000B4AB6" w:rsidRPr="009F1165">
        <w:rPr>
          <w:szCs w:val="22"/>
          <w:lang w:val="hu-HU"/>
        </w:rPr>
        <w:t>-</w:t>
      </w:r>
      <w:r w:rsidRPr="009F1165">
        <w:rPr>
          <w:szCs w:val="22"/>
          <w:lang w:val="hu-HU"/>
        </w:rPr>
        <w:t xml:space="preserve">kezeléssel kapcsolatban elvégzett klinikai vizsgálatok során </w:t>
      </w:r>
      <w:r w:rsidR="00EC1517" w:rsidRPr="00EC1517">
        <w:rPr>
          <w:szCs w:val="22"/>
          <w:lang w:val="hu-HU"/>
        </w:rPr>
        <w:t>és a forgalomba hozatalt követő</w:t>
      </w:r>
      <w:r w:rsidR="00EC1517">
        <w:rPr>
          <w:szCs w:val="22"/>
          <w:lang w:val="hu-HU"/>
        </w:rPr>
        <w:t>en</w:t>
      </w:r>
      <w:r w:rsidR="00EC1517" w:rsidRPr="00EC1517">
        <w:rPr>
          <w:szCs w:val="22"/>
          <w:lang w:val="hu-HU"/>
        </w:rPr>
        <w:t xml:space="preserve"> </w:t>
      </w:r>
      <w:r w:rsidR="00EC1517">
        <w:rPr>
          <w:szCs w:val="22"/>
          <w:lang w:val="hu-HU"/>
        </w:rPr>
        <w:t>jelentett</w:t>
      </w:r>
      <w:r w:rsidR="00EC1517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>és gyakoriságuk szerint csoportosított mellékhatások az alábbiakban kerültek fel</w:t>
      </w:r>
      <w:r w:rsidR="006C4D62" w:rsidRPr="009F1165">
        <w:rPr>
          <w:szCs w:val="22"/>
          <w:lang w:val="hu-HU"/>
        </w:rPr>
        <w:t>s</w:t>
      </w:r>
      <w:r w:rsidRPr="009F1165">
        <w:rPr>
          <w:szCs w:val="22"/>
          <w:lang w:val="hu-HU"/>
        </w:rPr>
        <w:t>o</w:t>
      </w:r>
      <w:r w:rsidR="006C4D62" w:rsidRPr="009F1165">
        <w:rPr>
          <w:szCs w:val="22"/>
          <w:lang w:val="hu-HU"/>
        </w:rPr>
        <w:t>r</w:t>
      </w:r>
      <w:r w:rsidRPr="009F1165">
        <w:rPr>
          <w:szCs w:val="22"/>
          <w:lang w:val="hu-HU"/>
        </w:rPr>
        <w:t>olásra:</w:t>
      </w:r>
    </w:p>
    <w:p w14:paraId="3B17E9DD" w14:textId="77777777" w:rsidR="00A83D7D" w:rsidRPr="009F1165" w:rsidRDefault="00A83D7D" w:rsidP="009F1165">
      <w:pPr>
        <w:widowControl w:val="0"/>
        <w:autoSpaceDE w:val="0"/>
        <w:autoSpaceDN w:val="0"/>
        <w:adjustRightInd w:val="0"/>
        <w:rPr>
          <w:szCs w:val="22"/>
          <w:lang w:val="hu-HU"/>
        </w:rPr>
      </w:pPr>
    </w:p>
    <w:p w14:paraId="1F73940F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>A hányinger és a hasmenés kivételével valamennyi mellékhatás előfordulás</w:t>
      </w:r>
      <w:r w:rsidR="000B4AB6" w:rsidRPr="009F1165">
        <w:rPr>
          <w:szCs w:val="22"/>
          <w:lang w:val="hu-HU"/>
        </w:rPr>
        <w:t>i gyakoriság</w:t>
      </w:r>
      <w:r w:rsidRPr="009F1165">
        <w:rPr>
          <w:szCs w:val="22"/>
          <w:lang w:val="hu-HU"/>
        </w:rPr>
        <w:t>a 3% alatt maradt</w:t>
      </w:r>
      <w:r w:rsidR="001E7959" w:rsidRPr="009F1165">
        <w:rPr>
          <w:szCs w:val="22"/>
          <w:lang w:val="hu-HU"/>
        </w:rPr>
        <w:t>.</w:t>
      </w:r>
    </w:p>
    <w:p w14:paraId="3003D5F2" w14:textId="77777777" w:rsidR="00A83D7D" w:rsidRPr="009F1165" w:rsidRDefault="00A83D7D" w:rsidP="009F1165">
      <w:pPr>
        <w:tabs>
          <w:tab w:val="left" w:pos="567"/>
        </w:tabs>
        <w:rPr>
          <w:bCs/>
          <w:szCs w:val="22"/>
          <w:lang w:val="hu-HU"/>
        </w:rPr>
      </w:pPr>
    </w:p>
    <w:p w14:paraId="1E337E3B" w14:textId="77777777" w:rsidR="000F481B" w:rsidRPr="009F1165" w:rsidRDefault="000F481B" w:rsidP="009F1165">
      <w:pPr>
        <w:rPr>
          <w:rFonts w:eastAsia="Batang"/>
          <w:szCs w:val="22"/>
          <w:lang w:val="hu-HU"/>
        </w:rPr>
      </w:pPr>
      <w:r w:rsidRPr="009F1165">
        <w:rPr>
          <w:rFonts w:eastAsia="Batang"/>
          <w:szCs w:val="22"/>
          <w:lang w:val="hu-HU"/>
        </w:rPr>
        <w:t xml:space="preserve">A gyakorisági csoportokon belül a mellékhatások csökkenő súlyosság szerint kerültek felsorolásra. A gyakorisági </w:t>
      </w:r>
      <w:proofErr w:type="gramStart"/>
      <w:r w:rsidRPr="009F1165">
        <w:rPr>
          <w:rFonts w:eastAsia="Batang"/>
          <w:szCs w:val="22"/>
          <w:lang w:val="hu-HU"/>
        </w:rPr>
        <w:t>kategóriák</w:t>
      </w:r>
      <w:proofErr w:type="gramEnd"/>
      <w:r w:rsidRPr="009F1165">
        <w:rPr>
          <w:rFonts w:eastAsia="Batang"/>
          <w:szCs w:val="22"/>
          <w:lang w:val="hu-HU"/>
        </w:rPr>
        <w:t xml:space="preserve"> az alábbiak:</w:t>
      </w:r>
    </w:p>
    <w:p w14:paraId="387E64B1" w14:textId="77777777" w:rsidR="000F481B" w:rsidRPr="00FC6329" w:rsidRDefault="000F481B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r w:rsidRPr="00FC6329">
        <w:rPr>
          <w:szCs w:val="22"/>
          <w:lang w:val="hu-HU"/>
        </w:rPr>
        <w:lastRenderedPageBreak/>
        <w:t xml:space="preserve">gyakori (≥ 1/100 - </w:t>
      </w:r>
      <w:proofErr w:type="gramStart"/>
      <w:r w:rsidRPr="00FC6329">
        <w:rPr>
          <w:szCs w:val="22"/>
          <w:lang w:val="hu-HU"/>
        </w:rPr>
        <w:t>&lt; 1</w:t>
      </w:r>
      <w:proofErr w:type="gramEnd"/>
      <w:r w:rsidRPr="00FC6329">
        <w:rPr>
          <w:szCs w:val="22"/>
          <w:lang w:val="hu-HU"/>
        </w:rPr>
        <w:t>/10)</w:t>
      </w:r>
    </w:p>
    <w:p w14:paraId="63E9AA2C" w14:textId="77777777" w:rsidR="000F481B" w:rsidRPr="00FC6329" w:rsidRDefault="000F481B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r w:rsidRPr="00FC6329">
        <w:rPr>
          <w:szCs w:val="22"/>
          <w:lang w:val="hu-HU"/>
        </w:rPr>
        <w:t xml:space="preserve">nem gyakori (≥ 1/1000 - </w:t>
      </w:r>
      <w:proofErr w:type="gramStart"/>
      <w:r w:rsidRPr="00FC6329">
        <w:rPr>
          <w:szCs w:val="22"/>
          <w:lang w:val="hu-HU"/>
        </w:rPr>
        <w:t>&lt; 1</w:t>
      </w:r>
      <w:proofErr w:type="gramEnd"/>
      <w:r w:rsidRPr="00FC6329">
        <w:rPr>
          <w:szCs w:val="22"/>
          <w:lang w:val="hu-HU"/>
        </w:rPr>
        <w:t>/100)</w:t>
      </w:r>
    </w:p>
    <w:p w14:paraId="16324BF4" w14:textId="77777777" w:rsidR="000F481B" w:rsidRPr="00FC6329" w:rsidRDefault="000F481B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r w:rsidRPr="00FC6329">
        <w:rPr>
          <w:szCs w:val="22"/>
          <w:lang w:val="hu-HU"/>
        </w:rPr>
        <w:t>ritka (≥1/10 000 - &lt;1/1000)</w:t>
      </w:r>
    </w:p>
    <w:p w14:paraId="22988DAF" w14:textId="5EF46975" w:rsidR="000F481B" w:rsidRDefault="000F481B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rFonts w:eastAsia="Batang"/>
          <w:szCs w:val="22"/>
          <w:lang w:val="hu-HU"/>
        </w:rPr>
      </w:pPr>
      <w:r w:rsidRPr="00FC6329">
        <w:rPr>
          <w:szCs w:val="22"/>
          <w:lang w:val="hu-HU"/>
        </w:rPr>
        <w:t>nagyon</w:t>
      </w:r>
      <w:r w:rsidRPr="009F1165">
        <w:rPr>
          <w:rFonts w:eastAsia="Batang"/>
          <w:szCs w:val="22"/>
          <w:lang w:val="hu-HU"/>
        </w:rPr>
        <w:t xml:space="preserve"> ritka (</w:t>
      </w:r>
      <w:proofErr w:type="gramStart"/>
      <w:r w:rsidRPr="009F1165">
        <w:rPr>
          <w:rFonts w:eastAsia="Batang"/>
          <w:szCs w:val="22"/>
          <w:lang w:val="hu-HU"/>
        </w:rPr>
        <w:t>&lt; 1</w:t>
      </w:r>
      <w:proofErr w:type="gramEnd"/>
      <w:r w:rsidRPr="009F1165">
        <w:rPr>
          <w:rFonts w:eastAsia="Batang"/>
          <w:szCs w:val="22"/>
          <w:lang w:val="hu-HU"/>
        </w:rPr>
        <w:t>/10 000)</w:t>
      </w:r>
    </w:p>
    <w:p w14:paraId="617E9F8B" w14:textId="4F9A038E" w:rsidR="00207FCF" w:rsidRPr="009F1165" w:rsidRDefault="00207FCF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rFonts w:eastAsia="Batang"/>
          <w:szCs w:val="22"/>
          <w:lang w:val="hu-HU"/>
        </w:rPr>
      </w:pPr>
      <w:r w:rsidRPr="00BD61B0">
        <w:rPr>
          <w:rFonts w:eastAsia="Batang"/>
          <w:lang w:val="hu-HU"/>
        </w:rPr>
        <w:t>nem ismert: a</w:t>
      </w:r>
      <w:r w:rsidR="002B3618">
        <w:rPr>
          <w:rFonts w:eastAsia="Batang"/>
          <w:lang w:val="hu-HU"/>
        </w:rPr>
        <w:t xml:space="preserve"> gyakoriság a</w:t>
      </w:r>
      <w:r w:rsidRPr="00BD61B0">
        <w:rPr>
          <w:rFonts w:eastAsia="Batang"/>
          <w:lang w:val="hu-HU"/>
        </w:rPr>
        <w:t xml:space="preserve"> rendelkezésre álló adatokból nem állapítható meg</w:t>
      </w:r>
      <w:r>
        <w:rPr>
          <w:rFonts w:eastAsia="Batang"/>
          <w:lang w:val="hu-HU"/>
        </w:rPr>
        <w:t>.</w:t>
      </w:r>
    </w:p>
    <w:p w14:paraId="51803556" w14:textId="77777777" w:rsidR="000F481B" w:rsidRPr="009F1165" w:rsidRDefault="000F481B" w:rsidP="009F1165">
      <w:pPr>
        <w:tabs>
          <w:tab w:val="left" w:pos="567"/>
        </w:tabs>
        <w:rPr>
          <w:bCs/>
          <w:szCs w:val="22"/>
          <w:lang w:val="hu-HU"/>
        </w:rPr>
      </w:pPr>
    </w:p>
    <w:tbl>
      <w:tblPr>
        <w:tblW w:w="1002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1626"/>
        <w:gridCol w:w="1559"/>
        <w:gridCol w:w="1559"/>
        <w:gridCol w:w="1701"/>
        <w:gridCol w:w="1419"/>
      </w:tblGrid>
      <w:tr w:rsidR="00207FCF" w:rsidRPr="009F1165" w14:paraId="758B6F06" w14:textId="02495B89" w:rsidTr="00687468">
        <w:trPr>
          <w:cantSplit/>
          <w:tblHeader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803" w14:textId="77777777" w:rsidR="00207FCF" w:rsidRPr="009F1165" w:rsidRDefault="00207FCF" w:rsidP="009F1165">
            <w:pPr>
              <w:tabs>
                <w:tab w:val="left" w:pos="567"/>
              </w:tabs>
              <w:rPr>
                <w:szCs w:val="22"/>
                <w:lang w:val="hu-HU"/>
              </w:rPr>
            </w:pPr>
            <w:r w:rsidRPr="009F1165">
              <w:rPr>
                <w:b/>
                <w:szCs w:val="22"/>
                <w:lang w:val="hu-HU"/>
              </w:rPr>
              <w:t>Szerv</w:t>
            </w:r>
            <w:r>
              <w:rPr>
                <w:b/>
                <w:szCs w:val="22"/>
                <w:lang w:val="hu-HU"/>
              </w:rPr>
              <w:t>-</w:t>
            </w:r>
            <w:proofErr w:type="spellStart"/>
            <w:r w:rsidRPr="009F1165">
              <w:rPr>
                <w:b/>
                <w:szCs w:val="22"/>
                <w:lang w:val="hu-HU"/>
              </w:rPr>
              <w:t>rendszerenkénti</w:t>
            </w:r>
            <w:proofErr w:type="spellEnd"/>
            <w:r w:rsidRPr="009F1165">
              <w:rPr>
                <w:b/>
                <w:szCs w:val="22"/>
                <w:lang w:val="hu-HU"/>
              </w:rPr>
              <w:t xml:space="preserve"> csoportosítás (</w:t>
            </w:r>
            <w:proofErr w:type="spellStart"/>
            <w:r w:rsidRPr="009F1165">
              <w:rPr>
                <w:b/>
                <w:szCs w:val="22"/>
                <w:lang w:val="hu-HU"/>
              </w:rPr>
              <w:t>MedDRA</w:t>
            </w:r>
            <w:proofErr w:type="spellEnd"/>
            <w:r w:rsidRPr="009F1165">
              <w:rPr>
                <w:b/>
                <w:szCs w:val="22"/>
                <w:lang w:val="hu-HU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67C6" w14:textId="77777777" w:rsidR="00207FCF" w:rsidRPr="009F1165" w:rsidRDefault="00207FCF" w:rsidP="009F1165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/>
                <w:bCs/>
                <w:szCs w:val="22"/>
                <w:lang w:val="hu-HU"/>
              </w:rPr>
              <w:t>Gyakori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0B38" w14:textId="77777777" w:rsidR="00207FCF" w:rsidRPr="009F1165" w:rsidRDefault="00207FCF" w:rsidP="009F1165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/>
                <w:bCs/>
                <w:szCs w:val="22"/>
                <w:lang w:val="hu-HU"/>
              </w:rPr>
              <w:t>Nem gyakori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3997" w14:textId="77777777" w:rsidR="00207FCF" w:rsidRPr="009F1165" w:rsidRDefault="00207FCF" w:rsidP="009F1165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/>
                <w:bCs/>
                <w:szCs w:val="22"/>
                <w:lang w:val="hu-HU"/>
              </w:rPr>
              <w:t>Ritka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0BF4" w14:textId="77777777" w:rsidR="00207FCF" w:rsidRPr="009F1165" w:rsidRDefault="00207FCF" w:rsidP="009F1165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/>
                <w:bCs/>
                <w:szCs w:val="22"/>
                <w:lang w:val="hu-HU"/>
              </w:rPr>
              <w:t>Nagyon ritka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06A" w14:textId="77777777" w:rsidR="00207FCF" w:rsidRDefault="00207FCF" w:rsidP="009F1165">
            <w:pPr>
              <w:tabs>
                <w:tab w:val="left" w:pos="567"/>
              </w:tabs>
              <w:rPr>
                <w:b/>
                <w:bCs/>
                <w:szCs w:val="22"/>
                <w:lang w:val="hu-HU"/>
              </w:rPr>
            </w:pPr>
          </w:p>
          <w:p w14:paraId="53495A81" w14:textId="7F8B522A" w:rsidR="00207FCF" w:rsidRPr="009F1165" w:rsidRDefault="00207FCF" w:rsidP="009F1165">
            <w:pPr>
              <w:tabs>
                <w:tab w:val="left" w:pos="567"/>
              </w:tabs>
              <w:rPr>
                <w:b/>
                <w:bCs/>
                <w:szCs w:val="22"/>
                <w:lang w:val="hu-HU"/>
              </w:rPr>
            </w:pPr>
            <w:r>
              <w:rPr>
                <w:b/>
                <w:bCs/>
                <w:szCs w:val="22"/>
                <w:lang w:val="hu-HU"/>
              </w:rPr>
              <w:t>Nem ismert</w:t>
            </w:r>
          </w:p>
        </w:tc>
      </w:tr>
      <w:tr w:rsidR="00207FCF" w:rsidRPr="009F1165" w14:paraId="3C0222FF" w14:textId="4021E87F" w:rsidTr="00687468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2741" w14:textId="77777777" w:rsidR="00207FCF" w:rsidRPr="009F1165" w:rsidRDefault="00207FCF" w:rsidP="009F1165">
            <w:pPr>
              <w:tabs>
                <w:tab w:val="left" w:pos="567"/>
              </w:tabs>
              <w:rPr>
                <w:b/>
                <w:szCs w:val="22"/>
                <w:lang w:val="hu-HU"/>
              </w:rPr>
            </w:pPr>
            <w:r w:rsidRPr="009F1165">
              <w:rPr>
                <w:b/>
                <w:szCs w:val="22"/>
                <w:lang w:val="hu-HU"/>
              </w:rPr>
              <w:t>Fertőző betegségek és parazitafertőzések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5A6" w14:textId="77777777" w:rsidR="00207FCF" w:rsidRPr="009F1165" w:rsidRDefault="00207FCF" w:rsidP="009F1165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 xml:space="preserve">rezisztens baktériumok vagy gombák okozta felülfertőződés, pl. orális és </w:t>
            </w:r>
            <w:proofErr w:type="spellStart"/>
            <w:r w:rsidRPr="009F1165">
              <w:rPr>
                <w:bCs/>
                <w:szCs w:val="22"/>
                <w:lang w:val="hu-HU"/>
              </w:rPr>
              <w:t>vaginalis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bCs/>
                <w:szCs w:val="22"/>
                <w:lang w:val="hu-HU"/>
              </w:rPr>
              <w:t>candidiasis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BB27" w14:textId="77777777" w:rsidR="00207FCF" w:rsidRPr="009F1165" w:rsidRDefault="00207FCF" w:rsidP="009F1165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ED5" w14:textId="77777777" w:rsidR="00207FCF" w:rsidRPr="009F1165" w:rsidRDefault="00207FCF" w:rsidP="009F1165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AC2" w14:textId="77777777" w:rsidR="00207FCF" w:rsidRPr="009F1165" w:rsidRDefault="00207FCF" w:rsidP="009F1165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49D" w14:textId="77777777" w:rsidR="00207FCF" w:rsidRPr="009F1165" w:rsidRDefault="00207FCF" w:rsidP="009F1165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</w:tr>
      <w:tr w:rsidR="00207FCF" w:rsidRPr="009F1165" w14:paraId="689BAF72" w14:textId="2DAC5B21" w:rsidTr="00687468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6768" w14:textId="77777777" w:rsidR="00207FCF" w:rsidRPr="009F1165" w:rsidRDefault="00207FCF" w:rsidP="009F1165">
            <w:pPr>
              <w:tabs>
                <w:tab w:val="left" w:pos="567"/>
              </w:tabs>
              <w:rPr>
                <w:b/>
                <w:szCs w:val="22"/>
                <w:lang w:val="hu-HU"/>
              </w:rPr>
            </w:pPr>
            <w:r w:rsidRPr="009F1165">
              <w:rPr>
                <w:b/>
                <w:szCs w:val="22"/>
                <w:lang w:val="hu-HU"/>
              </w:rPr>
              <w:t>Vérképzőszervi és nyirokrendszeri betegségek</w:t>
            </w:r>
            <w:r w:rsidRPr="009F1165">
              <w:rPr>
                <w:b/>
                <w:bCs/>
                <w:szCs w:val="22"/>
                <w:lang w:val="hu-HU"/>
              </w:rPr>
              <w:t xml:space="preserve"> és tünetek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C14C" w14:textId="77777777" w:rsidR="00207FCF" w:rsidRPr="009F1165" w:rsidRDefault="00207FCF" w:rsidP="009F1165">
            <w:pPr>
              <w:tabs>
                <w:tab w:val="left" w:pos="567"/>
              </w:tabs>
              <w:rPr>
                <w:b/>
                <w:bCs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325" w14:textId="77777777" w:rsidR="00207FCF" w:rsidRPr="009F1165" w:rsidRDefault="00207FCF" w:rsidP="009F1165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anaemia</w:t>
            </w:r>
            <w:proofErr w:type="spellEnd"/>
          </w:p>
          <w:p w14:paraId="21CCC7AC" w14:textId="77777777" w:rsidR="00207FCF" w:rsidRPr="009F1165" w:rsidRDefault="00207FCF" w:rsidP="009F1165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proofErr w:type="gramStart"/>
            <w:r w:rsidRPr="009F1165">
              <w:rPr>
                <w:bCs/>
                <w:szCs w:val="22"/>
                <w:lang w:val="hu-HU"/>
              </w:rPr>
              <w:t>leukopenia</w:t>
            </w:r>
            <w:proofErr w:type="spellEnd"/>
            <w:r w:rsidRPr="009F1165">
              <w:rPr>
                <w:bCs/>
                <w:szCs w:val="22"/>
                <w:lang w:val="hu-HU"/>
              </w:rPr>
              <w:t>(</w:t>
            </w:r>
            <w:proofErr w:type="gramEnd"/>
            <w:r w:rsidRPr="009F1165">
              <w:rPr>
                <w:bCs/>
                <w:szCs w:val="22"/>
                <w:lang w:val="hu-HU"/>
              </w:rPr>
              <w:t>-</w:t>
            </w:r>
            <w:proofErr w:type="spellStart"/>
            <w:r w:rsidRPr="009F1165">
              <w:rPr>
                <w:bCs/>
                <w:szCs w:val="22"/>
                <w:lang w:val="hu-HU"/>
              </w:rPr>
              <w:t>ák</w:t>
            </w:r>
            <w:proofErr w:type="spellEnd"/>
            <w:r w:rsidRPr="009F1165">
              <w:rPr>
                <w:bCs/>
                <w:szCs w:val="22"/>
                <w:lang w:val="hu-HU"/>
              </w:rPr>
              <w:t>)</w:t>
            </w:r>
          </w:p>
          <w:p w14:paraId="4814D42C" w14:textId="77777777" w:rsidR="00207FCF" w:rsidRPr="009F1165" w:rsidRDefault="00207FCF" w:rsidP="009F1165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neutropenia</w:t>
            </w:r>
            <w:proofErr w:type="spellEnd"/>
          </w:p>
          <w:p w14:paraId="621C68C9" w14:textId="77777777" w:rsidR="00207FCF" w:rsidRPr="009F1165" w:rsidRDefault="00207FCF" w:rsidP="009F1165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thrombocytopenia</w:t>
            </w:r>
            <w:proofErr w:type="spellEnd"/>
          </w:p>
          <w:p w14:paraId="76ECC7D3" w14:textId="77777777" w:rsidR="00207FCF" w:rsidRPr="009F1165" w:rsidRDefault="00207FCF" w:rsidP="009F1165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thrombocythaemia</w:t>
            </w:r>
            <w:proofErr w:type="spellEnd"/>
          </w:p>
          <w:p w14:paraId="74BADD90" w14:textId="77777777" w:rsidR="00207FCF" w:rsidRPr="009F1165" w:rsidRDefault="00207FCF" w:rsidP="009F1165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eosinophilia</w:t>
            </w:r>
            <w:proofErr w:type="spellEnd"/>
          </w:p>
          <w:p w14:paraId="3FD2DD84" w14:textId="77777777" w:rsidR="00207FCF" w:rsidRPr="009F1165" w:rsidRDefault="00207FCF" w:rsidP="009F1165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 xml:space="preserve">megnyúlt </w:t>
            </w:r>
            <w:proofErr w:type="spellStart"/>
            <w:r w:rsidRPr="009F1165">
              <w:rPr>
                <w:bCs/>
                <w:szCs w:val="22"/>
                <w:lang w:val="hu-HU"/>
              </w:rPr>
              <w:t>prothrombin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idő/emelkedett INR-érték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E2B4" w14:textId="77777777" w:rsidR="00207FCF" w:rsidRPr="009F1165" w:rsidRDefault="00207FCF" w:rsidP="009F1165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CD62" w14:textId="7CC2BB17" w:rsidR="00207FCF" w:rsidRPr="009F1165" w:rsidRDefault="00207FCF" w:rsidP="009F1165">
            <w:pPr>
              <w:tabs>
                <w:tab w:val="left" w:pos="567"/>
              </w:tabs>
              <w:suppressAutoHyphens/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 xml:space="preserve">emelkedett </w:t>
            </w:r>
            <w:proofErr w:type="spellStart"/>
            <w:r w:rsidRPr="009F1165">
              <w:rPr>
                <w:bCs/>
                <w:szCs w:val="22"/>
                <w:lang w:val="hu-HU"/>
              </w:rPr>
              <w:t>prothrombin</w:t>
            </w:r>
            <w:proofErr w:type="spellEnd"/>
            <w:r>
              <w:rPr>
                <w:bCs/>
                <w:szCs w:val="22"/>
                <w:lang w:val="hu-HU"/>
              </w:rPr>
              <w:t>-</w:t>
            </w:r>
            <w:r w:rsidRPr="009F1165">
              <w:rPr>
                <w:bCs/>
                <w:szCs w:val="22"/>
                <w:lang w:val="hu-HU"/>
              </w:rPr>
              <w:t>szint/</w:t>
            </w:r>
          </w:p>
          <w:p w14:paraId="046D1913" w14:textId="77777777" w:rsidR="00207FCF" w:rsidRPr="009F1165" w:rsidRDefault="00207FCF" w:rsidP="009F1165">
            <w:pPr>
              <w:tabs>
                <w:tab w:val="left" w:pos="567"/>
              </w:tabs>
              <w:suppressAutoHyphens/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csökkent INR</w:t>
            </w:r>
          </w:p>
          <w:p w14:paraId="714051FE" w14:textId="77777777" w:rsidR="00207FCF" w:rsidRDefault="00207FCF" w:rsidP="009F1165">
            <w:pPr>
              <w:tabs>
                <w:tab w:val="left" w:pos="567"/>
              </w:tabs>
              <w:suppressAutoHyphens/>
              <w:rPr>
                <w:szCs w:val="22"/>
                <w:lang w:val="hu-HU"/>
              </w:rPr>
            </w:pPr>
            <w:proofErr w:type="spellStart"/>
            <w:r w:rsidRPr="009F1165">
              <w:rPr>
                <w:szCs w:val="22"/>
                <w:lang w:val="hu-HU"/>
              </w:rPr>
              <w:t>agranulocytosis</w:t>
            </w:r>
            <w:proofErr w:type="spellEnd"/>
          </w:p>
          <w:p w14:paraId="686793BD" w14:textId="4B966EDD" w:rsidR="00207FCF" w:rsidRPr="009F1165" w:rsidRDefault="00207FCF" w:rsidP="009F1165">
            <w:pPr>
              <w:tabs>
                <w:tab w:val="left" w:pos="567"/>
              </w:tabs>
              <w:suppressAutoHyphens/>
              <w:rPr>
                <w:bCs/>
                <w:szCs w:val="22"/>
                <w:lang w:val="hu-HU"/>
              </w:rPr>
            </w:pPr>
            <w:r>
              <w:rPr>
                <w:rFonts w:eastAsia="Batang"/>
              </w:rPr>
              <w:t>p</w:t>
            </w:r>
            <w:r>
              <w:rPr>
                <w:rFonts w:eastAsia="Batang"/>
                <w:szCs w:val="22"/>
              </w:rPr>
              <w:t>ancytopenia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D0A3" w14:textId="77777777" w:rsidR="00207FCF" w:rsidRPr="009F1165" w:rsidRDefault="00207FCF" w:rsidP="009F1165">
            <w:pPr>
              <w:tabs>
                <w:tab w:val="left" w:pos="567"/>
              </w:tabs>
              <w:suppressAutoHyphens/>
              <w:rPr>
                <w:bCs/>
                <w:szCs w:val="22"/>
                <w:lang w:val="hu-HU"/>
              </w:rPr>
            </w:pPr>
          </w:p>
        </w:tc>
      </w:tr>
      <w:tr w:rsidR="00207FCF" w:rsidRPr="009F1165" w14:paraId="0F119B19" w14:textId="13C0DA47" w:rsidTr="00687468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6EF" w14:textId="77777777" w:rsidR="00207FCF" w:rsidRPr="009F1165" w:rsidRDefault="00207FCF" w:rsidP="009F1165">
            <w:pPr>
              <w:keepNext/>
              <w:keepLines/>
              <w:tabs>
                <w:tab w:val="left" w:pos="567"/>
              </w:tabs>
              <w:rPr>
                <w:b/>
                <w:szCs w:val="22"/>
                <w:lang w:val="hu-HU"/>
              </w:rPr>
            </w:pPr>
            <w:r w:rsidRPr="009F1165">
              <w:rPr>
                <w:b/>
                <w:szCs w:val="22"/>
                <w:lang w:val="hu-HU"/>
              </w:rPr>
              <w:t>Immunrendszeri betegségek</w:t>
            </w:r>
            <w:r w:rsidRPr="009F1165">
              <w:rPr>
                <w:b/>
                <w:bCs/>
                <w:szCs w:val="22"/>
                <w:lang w:val="hu-HU"/>
              </w:rPr>
              <w:t xml:space="preserve"> és tünetek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598" w14:textId="77777777" w:rsidR="00207FCF" w:rsidRPr="009F1165" w:rsidRDefault="00207FCF" w:rsidP="009F1165">
            <w:pPr>
              <w:keepNext/>
              <w:keepLines/>
              <w:tabs>
                <w:tab w:val="left" w:pos="567"/>
              </w:tabs>
              <w:rPr>
                <w:b/>
                <w:bCs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F8BB" w14:textId="77777777" w:rsidR="00207FCF" w:rsidRPr="009F1165" w:rsidRDefault="00207FCF" w:rsidP="009F1165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allergiás reakció (lásd 4.4 pont)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06D5" w14:textId="77777777" w:rsidR="00207FCF" w:rsidRPr="009F1165" w:rsidRDefault="00207FCF" w:rsidP="009F1165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anaphylaxiás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reakció, beleértve a rendkívül ritkán előforduló, életveszélyes sokkot (lásd 4.4 pont)</w:t>
            </w:r>
          </w:p>
          <w:p w14:paraId="33B4FE9C" w14:textId="77777777" w:rsidR="00207FCF" w:rsidRPr="009F1165" w:rsidRDefault="00207FCF" w:rsidP="009F1165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 xml:space="preserve">allergiás </w:t>
            </w:r>
            <w:proofErr w:type="spellStart"/>
            <w:r w:rsidRPr="009F1165">
              <w:rPr>
                <w:bCs/>
                <w:szCs w:val="22"/>
                <w:lang w:val="hu-HU"/>
              </w:rPr>
              <w:t>oedema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/ </w:t>
            </w:r>
            <w:proofErr w:type="spellStart"/>
            <w:r w:rsidRPr="009F1165">
              <w:rPr>
                <w:bCs/>
                <w:szCs w:val="22"/>
                <w:lang w:val="hu-HU"/>
              </w:rPr>
              <w:t>angiooedema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(beleértve </w:t>
            </w:r>
            <w:r w:rsidRPr="009F1165">
              <w:rPr>
                <w:szCs w:val="22"/>
                <w:lang w:val="hu-HU"/>
              </w:rPr>
              <w:t xml:space="preserve">a </w:t>
            </w:r>
            <w:proofErr w:type="gramStart"/>
            <w:r w:rsidRPr="009F1165">
              <w:rPr>
                <w:szCs w:val="22"/>
                <w:lang w:val="hu-HU"/>
              </w:rPr>
              <w:t>potenciálisan</w:t>
            </w:r>
            <w:proofErr w:type="gramEnd"/>
            <w:r w:rsidRPr="009F1165">
              <w:rPr>
                <w:szCs w:val="22"/>
                <w:lang w:val="hu-HU"/>
              </w:rPr>
              <w:t xml:space="preserve"> életveszélyes</w:t>
            </w:r>
            <w:r w:rsidRPr="009F1165" w:rsidDel="00F50397">
              <w:rPr>
                <w:szCs w:val="22"/>
                <w:lang w:val="hu-HU"/>
              </w:rPr>
              <w:t xml:space="preserve"> </w:t>
            </w:r>
            <w:r w:rsidRPr="009F1165">
              <w:rPr>
                <w:szCs w:val="22"/>
                <w:lang w:val="hu-HU"/>
              </w:rPr>
              <w:t xml:space="preserve">gégeödémát, </w:t>
            </w:r>
            <w:r w:rsidRPr="009F1165">
              <w:rPr>
                <w:bCs/>
                <w:szCs w:val="22"/>
                <w:lang w:val="hu-HU"/>
              </w:rPr>
              <w:t>lásd 4.4 pont)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696F" w14:textId="77777777" w:rsidR="00207FCF" w:rsidRPr="009F1165" w:rsidRDefault="00207FCF" w:rsidP="009F1165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A032" w14:textId="77777777" w:rsidR="00207FCF" w:rsidRPr="009F1165" w:rsidRDefault="00207FCF" w:rsidP="009F1165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</w:tr>
      <w:tr w:rsidR="00207FCF" w:rsidRPr="009F1165" w14:paraId="6223DFFE" w14:textId="77777777" w:rsidTr="00687468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C08E" w14:textId="3A868DE6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/>
                <w:szCs w:val="22"/>
                <w:lang w:val="hu-HU"/>
              </w:rPr>
            </w:pPr>
            <w:r>
              <w:rPr>
                <w:b/>
                <w:lang w:val="hu-HU"/>
              </w:rPr>
              <w:t>Endokrin betegségek és tünetek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C40D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/>
                <w:bCs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6F8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F78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AFC" w14:textId="56FE7ACF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>
              <w:rPr>
                <w:rFonts w:eastAsia="Batang"/>
                <w:lang w:val="hu-HU"/>
              </w:rPr>
              <w:t xml:space="preserve">nem megfelelő </w:t>
            </w:r>
            <w:proofErr w:type="spellStart"/>
            <w:r>
              <w:rPr>
                <w:rFonts w:eastAsia="Batang"/>
                <w:lang w:val="hu-HU"/>
              </w:rPr>
              <w:t>antidiuretikus</w:t>
            </w:r>
            <w:proofErr w:type="spellEnd"/>
            <w:r>
              <w:rPr>
                <w:rFonts w:eastAsia="Batang"/>
                <w:lang w:val="hu-HU"/>
              </w:rPr>
              <w:t xml:space="preserve">-hormon-termelés </w:t>
            </w:r>
            <w:proofErr w:type="gramStart"/>
            <w:r>
              <w:rPr>
                <w:rFonts w:eastAsia="Batang"/>
                <w:lang w:val="hu-HU"/>
              </w:rPr>
              <w:t>szindróma</w:t>
            </w:r>
            <w:proofErr w:type="gramEnd"/>
            <w:r>
              <w:rPr>
                <w:rFonts w:eastAsia="Batang"/>
                <w:lang w:val="hu-HU"/>
              </w:rPr>
              <w:t xml:space="preserve"> (SIADH)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ED2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</w:tr>
      <w:tr w:rsidR="00207FCF" w:rsidRPr="009F1165" w14:paraId="1628A515" w14:textId="76488629" w:rsidTr="00687468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468" w14:textId="77777777" w:rsidR="00207FCF" w:rsidRPr="009F1165" w:rsidRDefault="00207FCF" w:rsidP="00207FCF">
            <w:pPr>
              <w:tabs>
                <w:tab w:val="left" w:pos="567"/>
              </w:tabs>
              <w:rPr>
                <w:b/>
                <w:szCs w:val="22"/>
                <w:lang w:val="hu-HU"/>
              </w:rPr>
            </w:pPr>
            <w:r w:rsidRPr="009F1165">
              <w:rPr>
                <w:b/>
                <w:szCs w:val="22"/>
                <w:lang w:val="hu-HU"/>
              </w:rPr>
              <w:t xml:space="preserve">Anyagcsere- és táplálkozási betegségek </w:t>
            </w:r>
            <w:r w:rsidRPr="009F1165">
              <w:rPr>
                <w:b/>
                <w:bCs/>
                <w:szCs w:val="22"/>
                <w:lang w:val="hu-HU"/>
              </w:rPr>
              <w:t>és tünetek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7B5" w14:textId="77777777" w:rsidR="00207FCF" w:rsidRPr="009F1165" w:rsidRDefault="00207FCF" w:rsidP="00207FCF">
            <w:pPr>
              <w:tabs>
                <w:tab w:val="left" w:pos="567"/>
              </w:tabs>
              <w:rPr>
                <w:b/>
                <w:bCs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D0FF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hyperlipidemia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A31A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hyperglykaemia</w:t>
            </w:r>
            <w:proofErr w:type="spellEnd"/>
          </w:p>
          <w:p w14:paraId="0F39D578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hyperuricaemia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D7A" w14:textId="77777777" w:rsidR="00207FCF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hypoglykaemia</w:t>
            </w:r>
            <w:proofErr w:type="spellEnd"/>
          </w:p>
          <w:p w14:paraId="2445D147" w14:textId="77777777" w:rsidR="00207FCF" w:rsidRDefault="00207FCF" w:rsidP="00207FCF">
            <w:pPr>
              <w:autoSpaceDE w:val="0"/>
              <w:autoSpaceDN w:val="0"/>
              <w:rPr>
                <w:rFonts w:eastAsia="Batang"/>
                <w:lang w:val="hu-HU"/>
              </w:rPr>
            </w:pPr>
            <w:proofErr w:type="spellStart"/>
            <w:r>
              <w:rPr>
                <w:rFonts w:eastAsia="Batang"/>
                <w:lang w:val="hu-HU"/>
              </w:rPr>
              <w:t>hypoglykaemiás</w:t>
            </w:r>
            <w:proofErr w:type="spellEnd"/>
            <w:r>
              <w:rPr>
                <w:rFonts w:eastAsia="Batang"/>
                <w:lang w:val="hu-HU"/>
              </w:rPr>
              <w:t xml:space="preserve"> kóma</w:t>
            </w:r>
          </w:p>
          <w:p w14:paraId="38BF18D6" w14:textId="3100BDEB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797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</w:tr>
      <w:tr w:rsidR="00207FCF" w:rsidRPr="009F1165" w14:paraId="3A0FC639" w14:textId="2D0EB012" w:rsidTr="00687468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A37" w14:textId="41766AE1" w:rsidR="00207FCF" w:rsidRPr="009F1165" w:rsidRDefault="00207FCF" w:rsidP="00207FCF">
            <w:pPr>
              <w:tabs>
                <w:tab w:val="left" w:pos="567"/>
              </w:tabs>
              <w:rPr>
                <w:b/>
                <w:szCs w:val="22"/>
                <w:lang w:val="hu-HU"/>
              </w:rPr>
            </w:pPr>
            <w:r w:rsidRPr="009F1165">
              <w:rPr>
                <w:b/>
                <w:szCs w:val="22"/>
                <w:lang w:val="hu-HU"/>
              </w:rPr>
              <w:lastRenderedPageBreak/>
              <w:t xml:space="preserve">Pszichiátriai </w:t>
            </w:r>
            <w:r w:rsidRPr="009F1165">
              <w:rPr>
                <w:b/>
                <w:bCs/>
                <w:szCs w:val="22"/>
                <w:lang w:val="hu-HU"/>
              </w:rPr>
              <w:t>kórképek</w:t>
            </w:r>
            <w:r>
              <w:rPr>
                <w:rFonts w:eastAsia="Batang"/>
                <w:b/>
                <w:bCs/>
                <w:szCs w:val="22"/>
              </w:rPr>
              <w:t>*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43AD" w14:textId="77777777" w:rsidR="00207FCF" w:rsidRPr="009F1165" w:rsidRDefault="00207FCF" w:rsidP="00207FCF">
            <w:pPr>
              <w:tabs>
                <w:tab w:val="left" w:pos="567"/>
              </w:tabs>
              <w:rPr>
                <w:b/>
                <w:bCs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1992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szorongásos reakciók</w:t>
            </w:r>
          </w:p>
          <w:p w14:paraId="4B03A1B9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psychomotoros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bCs/>
                <w:szCs w:val="22"/>
                <w:lang w:val="hu-HU"/>
              </w:rPr>
              <w:t>hyperactivitás</w:t>
            </w:r>
            <w:proofErr w:type="spellEnd"/>
            <w:r w:rsidRPr="009F1165">
              <w:rPr>
                <w:bCs/>
                <w:szCs w:val="22"/>
                <w:lang w:val="hu-HU"/>
              </w:rPr>
              <w:t>/ izgatottság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C13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 xml:space="preserve">érzelmi </w:t>
            </w:r>
            <w:proofErr w:type="gramStart"/>
            <w:r w:rsidRPr="009F1165">
              <w:rPr>
                <w:bCs/>
                <w:szCs w:val="22"/>
                <w:lang w:val="hu-HU"/>
              </w:rPr>
              <w:t>labilitás</w:t>
            </w:r>
            <w:proofErr w:type="gramEnd"/>
          </w:p>
          <w:p w14:paraId="30BC14E3" w14:textId="77777777" w:rsidR="00207FCF" w:rsidRPr="009F1165" w:rsidRDefault="00207FCF" w:rsidP="00207FCF">
            <w:pPr>
              <w:autoSpaceDE w:val="0"/>
              <w:autoSpaceDN w:val="0"/>
              <w:rPr>
                <w:bCs/>
                <w:szCs w:val="22"/>
                <w:lang w:val="hu-HU"/>
              </w:rPr>
            </w:pPr>
            <w:proofErr w:type="gramStart"/>
            <w:r w:rsidRPr="009F1165">
              <w:rPr>
                <w:bCs/>
                <w:szCs w:val="22"/>
                <w:lang w:val="hu-HU"/>
              </w:rPr>
              <w:t>depresszió</w:t>
            </w:r>
            <w:proofErr w:type="gramEnd"/>
            <w:r w:rsidRPr="009F1165">
              <w:rPr>
                <w:bCs/>
                <w:szCs w:val="22"/>
                <w:lang w:val="hu-HU"/>
              </w:rPr>
              <w:t xml:space="preserve"> (rendkívül ritkán önkárosító viselkedésig fokozódhat</w:t>
            </w:r>
            <w:r w:rsidRPr="009F1165">
              <w:rPr>
                <w:szCs w:val="22"/>
                <w:lang w:val="hu-HU"/>
              </w:rPr>
              <w:t>, pl. öngyilkossági gondolatok, illetve öngyilkossági kísérletek, lásd 4.4 pont)</w:t>
            </w:r>
          </w:p>
          <w:p w14:paraId="6EFCB1CF" w14:textId="77777777" w:rsidR="00207FCF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gramStart"/>
            <w:r w:rsidRPr="009F1165">
              <w:rPr>
                <w:bCs/>
                <w:szCs w:val="22"/>
                <w:lang w:val="hu-HU"/>
              </w:rPr>
              <w:t>hallucináció</w:t>
            </w:r>
            <w:proofErr w:type="gramEnd"/>
          </w:p>
          <w:p w14:paraId="3A7A1617" w14:textId="6F3E491C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>
              <w:rPr>
                <w:lang w:val="hu-HU"/>
              </w:rPr>
              <w:t>delírium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5116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deperszonalizáció</w:t>
            </w:r>
            <w:proofErr w:type="spellEnd"/>
          </w:p>
          <w:p w14:paraId="5269A5F0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pszichotikus reakciók (amelyek önkárosító viselkedésig súlyosbodhatnak</w:t>
            </w:r>
            <w:r w:rsidRPr="009F1165">
              <w:rPr>
                <w:szCs w:val="22"/>
                <w:lang w:val="hu-HU"/>
              </w:rPr>
              <w:t>, pl. öngyilkossági gondolatok, illetve öngyilkossági kísérletek, lásd 4.4. pont)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71D1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</w:tr>
      <w:tr w:rsidR="00207FCF" w:rsidRPr="009F1165" w14:paraId="37C530ED" w14:textId="456C1925" w:rsidTr="00687468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0FA" w14:textId="7351E0DB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/>
                <w:szCs w:val="22"/>
                <w:lang w:val="hu-HU"/>
              </w:rPr>
            </w:pPr>
            <w:r w:rsidRPr="009F1165">
              <w:rPr>
                <w:b/>
                <w:szCs w:val="22"/>
                <w:lang w:val="hu-HU"/>
              </w:rPr>
              <w:lastRenderedPageBreak/>
              <w:t xml:space="preserve">Idegrendszeri betegségek </w:t>
            </w:r>
            <w:r w:rsidRPr="009F1165">
              <w:rPr>
                <w:b/>
                <w:bCs/>
                <w:szCs w:val="22"/>
                <w:lang w:val="hu-HU"/>
              </w:rPr>
              <w:t>és tünetek</w:t>
            </w:r>
            <w:r>
              <w:rPr>
                <w:rFonts w:eastAsia="Batang"/>
                <w:b/>
                <w:bCs/>
                <w:szCs w:val="22"/>
              </w:rPr>
              <w:t>*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940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fejfájás</w:t>
            </w:r>
          </w:p>
          <w:p w14:paraId="40880918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/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szédülés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A414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paraesthesia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és </w:t>
            </w:r>
            <w:proofErr w:type="spellStart"/>
            <w:r w:rsidRPr="009F1165">
              <w:rPr>
                <w:bCs/>
                <w:szCs w:val="22"/>
                <w:lang w:val="hu-HU"/>
              </w:rPr>
              <w:t>dysaesthesia</w:t>
            </w:r>
            <w:proofErr w:type="spellEnd"/>
          </w:p>
          <w:p w14:paraId="2E905C3F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 xml:space="preserve">ízérzészavarok (beleértve a nagyon ritkán előforduló </w:t>
            </w:r>
            <w:proofErr w:type="spellStart"/>
            <w:r w:rsidRPr="009F1165">
              <w:rPr>
                <w:bCs/>
                <w:szCs w:val="22"/>
                <w:lang w:val="hu-HU"/>
              </w:rPr>
              <w:t>ageusiát</w:t>
            </w:r>
            <w:proofErr w:type="spellEnd"/>
            <w:r w:rsidRPr="009F1165">
              <w:rPr>
                <w:bCs/>
                <w:szCs w:val="22"/>
                <w:lang w:val="hu-HU"/>
              </w:rPr>
              <w:t>)</w:t>
            </w:r>
          </w:p>
          <w:p w14:paraId="732FB393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zavartság és dezorientáltság</w:t>
            </w:r>
          </w:p>
          <w:p w14:paraId="080914AD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alvászavarok (főként álmatlanság)</w:t>
            </w:r>
          </w:p>
          <w:p w14:paraId="5F6AF781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tremor</w:t>
            </w:r>
            <w:proofErr w:type="spellEnd"/>
          </w:p>
          <w:p w14:paraId="25A5F4B8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vertigo</w:t>
            </w:r>
          </w:p>
          <w:p w14:paraId="6AA9FD0D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aluszékonyság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BD22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hypaesthesia</w:t>
            </w:r>
            <w:proofErr w:type="spellEnd"/>
          </w:p>
          <w:p w14:paraId="252D79ED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 xml:space="preserve">szaglászavar (beleértve az </w:t>
            </w:r>
            <w:proofErr w:type="spellStart"/>
            <w:r w:rsidRPr="009F1165">
              <w:rPr>
                <w:bCs/>
                <w:szCs w:val="22"/>
                <w:lang w:val="hu-HU"/>
              </w:rPr>
              <w:t>anosmiát</w:t>
            </w:r>
            <w:proofErr w:type="spellEnd"/>
            <w:r w:rsidRPr="009F1165">
              <w:rPr>
                <w:bCs/>
                <w:szCs w:val="22"/>
                <w:lang w:val="hu-HU"/>
              </w:rPr>
              <w:t>)</w:t>
            </w:r>
          </w:p>
          <w:p w14:paraId="5CAB31E4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gramStart"/>
            <w:r w:rsidRPr="009F1165">
              <w:rPr>
                <w:bCs/>
                <w:szCs w:val="22"/>
                <w:lang w:val="hu-HU"/>
              </w:rPr>
              <w:t>abnormális</w:t>
            </w:r>
            <w:proofErr w:type="gramEnd"/>
            <w:r w:rsidRPr="009F1165">
              <w:rPr>
                <w:bCs/>
                <w:szCs w:val="22"/>
                <w:lang w:val="hu-HU"/>
              </w:rPr>
              <w:t xml:space="preserve"> álmok</w:t>
            </w:r>
          </w:p>
          <w:p w14:paraId="2EA5EBE5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koordinációs zavar (beleértve a főként szédülés vagy vertigo miatt kialakuló járászavarokat)</w:t>
            </w:r>
          </w:p>
          <w:p w14:paraId="2E577188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 xml:space="preserve">görcsrohamok, pl. grand </w:t>
            </w:r>
            <w:proofErr w:type="spellStart"/>
            <w:r w:rsidRPr="009F1165">
              <w:rPr>
                <w:bCs/>
                <w:szCs w:val="22"/>
                <w:lang w:val="hu-HU"/>
              </w:rPr>
              <w:t>mal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(lásd 4.4 pont)</w:t>
            </w:r>
          </w:p>
          <w:p w14:paraId="6BAB30DE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figyelemzavar</w:t>
            </w:r>
          </w:p>
          <w:p w14:paraId="217E92E9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beszédzavarok</w:t>
            </w:r>
          </w:p>
          <w:p w14:paraId="0FD6BB9B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amn</w:t>
            </w:r>
            <w:r>
              <w:rPr>
                <w:bCs/>
                <w:szCs w:val="22"/>
                <w:lang w:val="hu-HU"/>
              </w:rPr>
              <w:t>aes</w:t>
            </w:r>
            <w:r w:rsidRPr="009F1165">
              <w:rPr>
                <w:bCs/>
                <w:szCs w:val="22"/>
                <w:lang w:val="hu-HU"/>
              </w:rPr>
              <w:t>ia</w:t>
            </w:r>
            <w:proofErr w:type="spellEnd"/>
          </w:p>
          <w:p w14:paraId="3BE7DD4F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szCs w:val="22"/>
                <w:lang w:val="hu-HU"/>
              </w:rPr>
              <w:t xml:space="preserve">perifériás </w:t>
            </w:r>
            <w:proofErr w:type="spellStart"/>
            <w:r w:rsidRPr="009F1165">
              <w:rPr>
                <w:szCs w:val="22"/>
                <w:lang w:val="hu-HU"/>
              </w:rPr>
              <w:t>neuropathia</w:t>
            </w:r>
            <w:proofErr w:type="spellEnd"/>
            <w:r w:rsidRPr="009F1165">
              <w:rPr>
                <w:szCs w:val="22"/>
                <w:lang w:val="hu-HU"/>
              </w:rPr>
              <w:t xml:space="preserve"> és </w:t>
            </w:r>
            <w:proofErr w:type="spellStart"/>
            <w:r w:rsidRPr="009F1165">
              <w:rPr>
                <w:szCs w:val="22"/>
                <w:lang w:val="hu-HU"/>
              </w:rPr>
              <w:t>polyneuropathia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BC9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hyperaesthesia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7F73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</w:tr>
      <w:tr w:rsidR="00207FCF" w:rsidRPr="009F1165" w14:paraId="00917F6C" w14:textId="23DF44E8" w:rsidTr="00687468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4F3" w14:textId="4FDDEE3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/>
                <w:szCs w:val="22"/>
                <w:lang w:val="hu-HU"/>
              </w:rPr>
            </w:pPr>
            <w:r w:rsidRPr="009F1165">
              <w:rPr>
                <w:b/>
                <w:szCs w:val="22"/>
                <w:lang w:val="hu-HU"/>
              </w:rPr>
              <w:t xml:space="preserve">Szembetegségek </w:t>
            </w:r>
            <w:r w:rsidRPr="009F1165">
              <w:rPr>
                <w:b/>
                <w:bCs/>
                <w:szCs w:val="22"/>
                <w:lang w:val="hu-HU"/>
              </w:rPr>
              <w:t>és szemészeti tünetek</w:t>
            </w:r>
            <w:r>
              <w:rPr>
                <w:rFonts w:eastAsia="Batang"/>
                <w:b/>
                <w:bCs/>
                <w:szCs w:val="22"/>
              </w:rPr>
              <w:t>*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5161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/>
                <w:bCs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CB6F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 xml:space="preserve">látászavarok, beleértve </w:t>
            </w:r>
            <w:r w:rsidRPr="009F1165">
              <w:rPr>
                <w:szCs w:val="22"/>
                <w:lang w:val="hu-HU"/>
              </w:rPr>
              <w:t xml:space="preserve">a </w:t>
            </w:r>
            <w:proofErr w:type="spellStart"/>
            <w:r w:rsidRPr="009F1165">
              <w:rPr>
                <w:szCs w:val="22"/>
                <w:lang w:val="hu-HU"/>
              </w:rPr>
              <w:t>diplopiát</w:t>
            </w:r>
            <w:proofErr w:type="spellEnd"/>
            <w:r w:rsidRPr="009F1165">
              <w:rPr>
                <w:szCs w:val="22"/>
                <w:lang w:val="hu-HU"/>
              </w:rPr>
              <w:t xml:space="preserve"> </w:t>
            </w:r>
            <w:r w:rsidRPr="009F1165">
              <w:rPr>
                <w:bCs/>
                <w:szCs w:val="22"/>
                <w:lang w:val="hu-HU"/>
              </w:rPr>
              <w:t>és homályos látást (különösen központi idegrendszeri reakciókkal összefüggésben, lásd 4.4 pont)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28F5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>
              <w:rPr>
                <w:rFonts w:eastAsia="Batang"/>
                <w:lang w:val="hu-HU"/>
              </w:rPr>
              <w:t>photophobia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0B5A" w14:textId="77777777" w:rsidR="00207FCF" w:rsidRPr="00673E3F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rFonts w:eastAsia="Batang"/>
                <w:szCs w:val="22"/>
                <w:lang w:val="hu-HU"/>
              </w:rPr>
              <w:t>múló látáskiesés (különösen központi idegrendszeri reakciók esetén, lásd 4.4 és 4.7 pont)</w:t>
            </w:r>
            <w:r>
              <w:rPr>
                <w:rFonts w:eastAsia="Batang"/>
                <w:szCs w:val="22"/>
                <w:lang w:val="hu-HU"/>
              </w:rPr>
              <w:br/>
            </w:r>
            <w:proofErr w:type="spellStart"/>
            <w:r>
              <w:rPr>
                <w:rFonts w:eastAsia="Batang"/>
                <w:lang w:val="hu-HU"/>
              </w:rPr>
              <w:t>u</w:t>
            </w:r>
            <w:r w:rsidRPr="000438EC">
              <w:rPr>
                <w:rFonts w:eastAsia="Batang"/>
                <w:lang w:val="hu-HU"/>
              </w:rPr>
              <w:t>veitis</w:t>
            </w:r>
            <w:proofErr w:type="spellEnd"/>
            <w:r w:rsidRPr="000438EC">
              <w:rPr>
                <w:rFonts w:eastAsia="Batang"/>
                <w:lang w:val="hu-HU"/>
              </w:rPr>
              <w:t xml:space="preserve"> </w:t>
            </w:r>
            <w:r>
              <w:rPr>
                <w:rFonts w:eastAsia="Batang"/>
                <w:lang w:val="hu-HU"/>
              </w:rPr>
              <w:t xml:space="preserve">és </w:t>
            </w:r>
            <w:proofErr w:type="spellStart"/>
            <w:r w:rsidRPr="000438EC">
              <w:rPr>
                <w:rFonts w:eastAsia="Batang"/>
                <w:lang w:val="hu-HU"/>
              </w:rPr>
              <w:t>bilateral</w:t>
            </w:r>
            <w:r>
              <w:rPr>
                <w:rFonts w:eastAsia="Batang"/>
                <w:lang w:val="hu-HU"/>
              </w:rPr>
              <w:t>is</w:t>
            </w:r>
            <w:proofErr w:type="spellEnd"/>
            <w:r w:rsidRPr="000438EC">
              <w:rPr>
                <w:rFonts w:eastAsia="Batang"/>
                <w:lang w:val="hu-HU"/>
              </w:rPr>
              <w:t xml:space="preserve"> </w:t>
            </w:r>
            <w:proofErr w:type="gramStart"/>
            <w:r w:rsidRPr="000438EC">
              <w:rPr>
                <w:rFonts w:eastAsia="Batang"/>
                <w:lang w:val="hu-HU"/>
              </w:rPr>
              <w:t>a</w:t>
            </w:r>
            <w:r>
              <w:rPr>
                <w:rFonts w:eastAsia="Batang"/>
                <w:lang w:val="hu-HU"/>
              </w:rPr>
              <w:t>kut</w:t>
            </w:r>
            <w:proofErr w:type="gramEnd"/>
            <w:r w:rsidRPr="000438EC">
              <w:rPr>
                <w:rFonts w:eastAsia="Batang"/>
                <w:lang w:val="hu-HU"/>
              </w:rPr>
              <w:t xml:space="preserve"> </w:t>
            </w:r>
            <w:proofErr w:type="spellStart"/>
            <w:r>
              <w:rPr>
                <w:rFonts w:eastAsia="Batang"/>
                <w:lang w:val="hu-HU"/>
              </w:rPr>
              <w:t>i</w:t>
            </w:r>
            <w:r w:rsidRPr="000438EC">
              <w:rPr>
                <w:rFonts w:eastAsia="Batang"/>
                <w:lang w:val="hu-HU"/>
              </w:rPr>
              <w:t>ris</w:t>
            </w:r>
            <w:proofErr w:type="spellEnd"/>
            <w:r w:rsidRPr="000438EC">
              <w:rPr>
                <w:rFonts w:eastAsia="Batang"/>
                <w:lang w:val="hu-HU"/>
              </w:rPr>
              <w:t xml:space="preserve"> </w:t>
            </w:r>
            <w:proofErr w:type="spellStart"/>
            <w:r>
              <w:rPr>
                <w:rFonts w:eastAsia="Batang"/>
                <w:lang w:val="hu-HU"/>
              </w:rPr>
              <w:t>diaphanoscopia</w:t>
            </w:r>
            <w:proofErr w:type="spellEnd"/>
            <w:r>
              <w:rPr>
                <w:rFonts w:eastAsia="Batang"/>
                <w:lang w:val="hu-HU"/>
              </w:rPr>
              <w:t xml:space="preserve"> (lásd 4.4 pont)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1DC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rFonts w:eastAsia="Batang"/>
                <w:szCs w:val="22"/>
                <w:lang w:val="hu-HU"/>
              </w:rPr>
            </w:pPr>
          </w:p>
        </w:tc>
      </w:tr>
      <w:tr w:rsidR="00207FCF" w:rsidRPr="009F1165" w14:paraId="4846486D" w14:textId="45E27CFF" w:rsidTr="00687468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24C" w14:textId="11C84A19" w:rsidR="00207FCF" w:rsidRPr="009F1165" w:rsidRDefault="00207FCF" w:rsidP="00207FCF">
            <w:pPr>
              <w:tabs>
                <w:tab w:val="left" w:pos="567"/>
              </w:tabs>
              <w:rPr>
                <w:b/>
                <w:szCs w:val="22"/>
                <w:lang w:val="hu-HU"/>
              </w:rPr>
            </w:pPr>
            <w:r w:rsidRPr="009F1165">
              <w:rPr>
                <w:b/>
                <w:bCs/>
                <w:szCs w:val="22"/>
                <w:lang w:val="hu-HU"/>
              </w:rPr>
              <w:t>A fül és az egyensúly-érzékelő szerv betegségei és tünetei</w:t>
            </w:r>
            <w:r>
              <w:rPr>
                <w:rFonts w:eastAsia="Batang"/>
                <w:b/>
                <w:bCs/>
                <w:szCs w:val="22"/>
              </w:rPr>
              <w:t>*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310" w14:textId="77777777" w:rsidR="00207FCF" w:rsidRPr="009F1165" w:rsidRDefault="00207FCF" w:rsidP="00207FCF">
            <w:pPr>
              <w:tabs>
                <w:tab w:val="left" w:pos="567"/>
              </w:tabs>
              <w:rPr>
                <w:b/>
                <w:bCs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EFDE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F66E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tinnitus</w:t>
            </w:r>
            <w:proofErr w:type="spellEnd"/>
          </w:p>
          <w:p w14:paraId="1779D18D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szCs w:val="22"/>
                <w:lang w:val="hu-HU"/>
              </w:rPr>
              <w:t>hallásromlás, beleértve a süketséget (általában reverzibilis)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BDCE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27F1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</w:tr>
      <w:tr w:rsidR="00207FCF" w:rsidRPr="009F1165" w14:paraId="4EB41D21" w14:textId="2B231235" w:rsidTr="00687468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71A" w14:textId="7083B4BF" w:rsidR="00207FCF" w:rsidRPr="009F1165" w:rsidRDefault="00207FCF" w:rsidP="00207FCF">
            <w:pPr>
              <w:tabs>
                <w:tab w:val="left" w:pos="567"/>
              </w:tabs>
              <w:rPr>
                <w:b/>
                <w:szCs w:val="22"/>
                <w:lang w:val="hu-HU"/>
              </w:rPr>
            </w:pPr>
            <w:r w:rsidRPr="009F1165">
              <w:rPr>
                <w:b/>
                <w:szCs w:val="22"/>
                <w:lang w:val="hu-HU"/>
              </w:rPr>
              <w:t>Szívbetegségek és a szívvel kapcsolatos tünetek</w:t>
            </w:r>
            <w:r w:rsidR="009E2A7D">
              <w:rPr>
                <w:bCs/>
                <w:sz w:val="20"/>
                <w:lang w:val="hu-HU"/>
              </w:rPr>
              <w:t>**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918E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bookmarkStart w:id="2" w:name="OLE_LINK1"/>
            <w:r w:rsidRPr="009F1165">
              <w:rPr>
                <w:bCs/>
                <w:szCs w:val="22"/>
                <w:lang w:val="hu-HU"/>
              </w:rPr>
              <w:t>QT</w:t>
            </w:r>
            <w:r w:rsidRPr="009F1165">
              <w:rPr>
                <w:bCs/>
                <w:szCs w:val="22"/>
                <w:lang w:val="hu-HU"/>
              </w:rPr>
              <w:noBreakHyphen/>
              <w:t xml:space="preserve">megnyúlás </w:t>
            </w:r>
            <w:proofErr w:type="spellStart"/>
            <w:r w:rsidRPr="009F1165">
              <w:rPr>
                <w:bCs/>
                <w:szCs w:val="22"/>
                <w:lang w:val="hu-HU"/>
              </w:rPr>
              <w:t>hypokalaemiás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betegeknél (lásd 4.3</w:t>
            </w:r>
            <w:r>
              <w:rPr>
                <w:bCs/>
                <w:szCs w:val="22"/>
                <w:lang w:val="hu-HU"/>
              </w:rPr>
              <w:t> </w:t>
            </w:r>
            <w:r w:rsidRPr="009F1165">
              <w:rPr>
                <w:bCs/>
                <w:szCs w:val="22"/>
                <w:lang w:val="hu-HU"/>
              </w:rPr>
              <w:t>és 4.4 pont)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B7A7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QT</w:t>
            </w:r>
            <w:r w:rsidRPr="009F1165">
              <w:rPr>
                <w:bCs/>
                <w:szCs w:val="22"/>
                <w:lang w:val="hu-HU"/>
              </w:rPr>
              <w:noBreakHyphen/>
              <w:t>megnyúlás (lásd 4.4 pont)</w:t>
            </w:r>
          </w:p>
          <w:p w14:paraId="7D7B2495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palpitatio</w:t>
            </w:r>
            <w:proofErr w:type="spellEnd"/>
          </w:p>
          <w:p w14:paraId="78375AB2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tachycardia</w:t>
            </w:r>
            <w:proofErr w:type="spellEnd"/>
          </w:p>
          <w:p w14:paraId="7E9F4516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pitvarfibrilláció</w:t>
            </w:r>
            <w:proofErr w:type="spellEnd"/>
          </w:p>
          <w:p w14:paraId="3F2A68E2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gramStart"/>
            <w:r w:rsidRPr="009F1165">
              <w:rPr>
                <w:bCs/>
                <w:szCs w:val="22"/>
                <w:lang w:val="hu-HU"/>
              </w:rPr>
              <w:t>angina</w:t>
            </w:r>
            <w:proofErr w:type="gramEnd"/>
            <w:r w:rsidRPr="009F1165">
              <w:rPr>
                <w:bCs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bCs/>
                <w:szCs w:val="22"/>
                <w:lang w:val="hu-HU"/>
              </w:rPr>
              <w:t>pectoris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84BC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 xml:space="preserve">kamrai </w:t>
            </w:r>
            <w:proofErr w:type="spellStart"/>
            <w:r w:rsidRPr="009F1165">
              <w:rPr>
                <w:bCs/>
                <w:szCs w:val="22"/>
                <w:lang w:val="hu-HU"/>
              </w:rPr>
              <w:t>tachyarrhythmiák</w:t>
            </w:r>
            <w:proofErr w:type="spellEnd"/>
          </w:p>
          <w:p w14:paraId="6A1F09F2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syncope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(</w:t>
            </w:r>
            <w:proofErr w:type="gramStart"/>
            <w:r w:rsidRPr="009F1165">
              <w:rPr>
                <w:bCs/>
                <w:szCs w:val="22"/>
                <w:lang w:val="hu-HU"/>
              </w:rPr>
              <w:t>akut</w:t>
            </w:r>
            <w:proofErr w:type="gramEnd"/>
            <w:r w:rsidRPr="009F1165">
              <w:rPr>
                <w:bCs/>
                <w:szCs w:val="22"/>
                <w:lang w:val="hu-HU"/>
              </w:rPr>
              <w:t>, rövid ideig tartó eszméletvesztés)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719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 xml:space="preserve">nem specifikus </w:t>
            </w:r>
            <w:proofErr w:type="spellStart"/>
            <w:r w:rsidRPr="009F1165">
              <w:rPr>
                <w:bCs/>
                <w:szCs w:val="22"/>
                <w:lang w:val="hu-HU"/>
              </w:rPr>
              <w:t>arrhythmiák</w:t>
            </w:r>
            <w:proofErr w:type="spellEnd"/>
          </w:p>
          <w:p w14:paraId="39F91049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>
              <w:rPr>
                <w:bCs/>
                <w:szCs w:val="22"/>
                <w:lang w:val="hu-HU"/>
              </w:rPr>
              <w:t>t</w:t>
            </w:r>
            <w:r w:rsidRPr="009F1165">
              <w:rPr>
                <w:bCs/>
                <w:szCs w:val="22"/>
                <w:lang w:val="hu-HU"/>
              </w:rPr>
              <w:t>orsade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de </w:t>
            </w:r>
            <w:proofErr w:type="spellStart"/>
            <w:r w:rsidRPr="009F1165">
              <w:rPr>
                <w:bCs/>
                <w:szCs w:val="22"/>
                <w:lang w:val="hu-HU"/>
              </w:rPr>
              <w:t>pointes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(lásd 4.4 pont)</w:t>
            </w:r>
          </w:p>
          <w:p w14:paraId="22F29112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szívmegállás (lásd 4.4 pont)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43EE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</w:tr>
      <w:tr w:rsidR="00207FCF" w:rsidRPr="009F1165" w14:paraId="1F24798F" w14:textId="36010902" w:rsidTr="00687468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60AA" w14:textId="07B9EBC4" w:rsidR="00207FCF" w:rsidRPr="009F1165" w:rsidRDefault="00207FCF" w:rsidP="00207FCF">
            <w:pPr>
              <w:tabs>
                <w:tab w:val="left" w:pos="567"/>
              </w:tabs>
              <w:rPr>
                <w:b/>
                <w:szCs w:val="22"/>
                <w:lang w:val="hu-HU"/>
              </w:rPr>
            </w:pPr>
            <w:r w:rsidRPr="009F1165">
              <w:rPr>
                <w:rFonts w:eastAsia="Batang"/>
                <w:b/>
                <w:bCs/>
                <w:szCs w:val="22"/>
                <w:lang w:val="hu-HU"/>
              </w:rPr>
              <w:t>Érbetegségek és tünetek</w:t>
            </w:r>
            <w:r w:rsidR="009E2A7D">
              <w:rPr>
                <w:bCs/>
                <w:sz w:val="20"/>
                <w:lang w:val="hu-HU"/>
              </w:rPr>
              <w:t>**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640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060E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rFonts w:eastAsia="Batang"/>
                <w:szCs w:val="22"/>
                <w:lang w:val="hu-HU"/>
              </w:rPr>
              <w:t>vasodilatatio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3DB" w14:textId="77777777" w:rsidR="00207FCF" w:rsidRPr="009F1165" w:rsidRDefault="00207FCF" w:rsidP="00207FCF">
            <w:pPr>
              <w:autoSpaceDE w:val="0"/>
              <w:autoSpaceDN w:val="0"/>
              <w:rPr>
                <w:rFonts w:eastAsia="Batang"/>
                <w:szCs w:val="22"/>
                <w:lang w:val="hu-HU"/>
              </w:rPr>
            </w:pPr>
            <w:proofErr w:type="spellStart"/>
            <w:r w:rsidRPr="009F1165">
              <w:rPr>
                <w:rFonts w:eastAsia="Batang"/>
                <w:szCs w:val="22"/>
                <w:lang w:val="hu-HU"/>
              </w:rPr>
              <w:t>hypertonia</w:t>
            </w:r>
            <w:proofErr w:type="spellEnd"/>
          </w:p>
          <w:p w14:paraId="16B0A7F3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rFonts w:eastAsia="Batang"/>
                <w:szCs w:val="22"/>
                <w:lang w:val="hu-HU"/>
              </w:rPr>
              <w:t>hypotonia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E262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>
              <w:rPr>
                <w:rFonts w:eastAsia="Batang"/>
                <w:szCs w:val="22"/>
              </w:rPr>
              <w:t>vasculitis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5BD4" w14:textId="77777777" w:rsidR="00207FCF" w:rsidRDefault="00207FCF" w:rsidP="00207FCF">
            <w:pPr>
              <w:tabs>
                <w:tab w:val="left" w:pos="567"/>
              </w:tabs>
              <w:rPr>
                <w:rFonts w:eastAsia="Batang"/>
                <w:szCs w:val="22"/>
              </w:rPr>
            </w:pPr>
          </w:p>
        </w:tc>
      </w:tr>
      <w:tr w:rsidR="00207FCF" w:rsidRPr="009F1165" w14:paraId="2E9837F1" w14:textId="41A6C682" w:rsidTr="00687468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2004" w14:textId="77777777" w:rsidR="00207FCF" w:rsidRPr="009F1165" w:rsidRDefault="00207FCF" w:rsidP="00207FCF">
            <w:pPr>
              <w:tabs>
                <w:tab w:val="left" w:pos="567"/>
              </w:tabs>
              <w:rPr>
                <w:b/>
                <w:szCs w:val="22"/>
                <w:lang w:val="hu-HU"/>
              </w:rPr>
            </w:pPr>
            <w:r w:rsidRPr="009F1165">
              <w:rPr>
                <w:b/>
                <w:szCs w:val="22"/>
                <w:lang w:val="hu-HU"/>
              </w:rPr>
              <w:lastRenderedPageBreak/>
              <w:t xml:space="preserve">Légzőrendszeri, mellkasi és </w:t>
            </w:r>
            <w:proofErr w:type="spellStart"/>
            <w:r w:rsidRPr="009F1165">
              <w:rPr>
                <w:b/>
                <w:szCs w:val="22"/>
                <w:lang w:val="hu-HU"/>
              </w:rPr>
              <w:t>mediastinalis</w:t>
            </w:r>
            <w:proofErr w:type="spellEnd"/>
            <w:r w:rsidRPr="009F1165">
              <w:rPr>
                <w:b/>
                <w:szCs w:val="22"/>
                <w:lang w:val="hu-HU"/>
              </w:rPr>
              <w:t xml:space="preserve"> betegségek </w:t>
            </w:r>
            <w:r w:rsidRPr="009F1165">
              <w:rPr>
                <w:b/>
                <w:bCs/>
                <w:szCs w:val="22"/>
                <w:lang w:val="hu-HU"/>
              </w:rPr>
              <w:t>és tünetek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14B8" w14:textId="77777777" w:rsidR="00207FCF" w:rsidRPr="009F1165" w:rsidRDefault="00207FCF" w:rsidP="00207FCF">
            <w:pPr>
              <w:tabs>
                <w:tab w:val="left" w:pos="567"/>
              </w:tabs>
              <w:rPr>
                <w:b/>
                <w:bCs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9376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dyspnoe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(beleértve az asztmás megbetegedéseket)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DB0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7EB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31AF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</w:tr>
      <w:tr w:rsidR="00207FCF" w:rsidRPr="009F1165" w14:paraId="18C8F06C" w14:textId="25F0D2DA" w:rsidTr="00687468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CAA" w14:textId="77777777" w:rsidR="00207FCF" w:rsidRPr="009F1165" w:rsidRDefault="00207FCF" w:rsidP="00207FCF">
            <w:pPr>
              <w:tabs>
                <w:tab w:val="left" w:pos="567"/>
              </w:tabs>
              <w:rPr>
                <w:b/>
                <w:szCs w:val="22"/>
                <w:lang w:val="hu-HU"/>
              </w:rPr>
            </w:pPr>
            <w:r w:rsidRPr="009F1165">
              <w:rPr>
                <w:b/>
                <w:szCs w:val="22"/>
                <w:lang w:val="hu-HU"/>
              </w:rPr>
              <w:t xml:space="preserve">Emésztőrendszeri betegségek </w:t>
            </w:r>
            <w:r w:rsidRPr="009F1165">
              <w:rPr>
                <w:b/>
                <w:bCs/>
                <w:szCs w:val="22"/>
                <w:lang w:val="hu-HU"/>
              </w:rPr>
              <w:t>és tünetek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1D81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hányinger</w:t>
            </w:r>
          </w:p>
          <w:p w14:paraId="1AB4BD1A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hányás</w:t>
            </w:r>
          </w:p>
          <w:p w14:paraId="22C73CC1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gastro</w:t>
            </w:r>
            <w:r>
              <w:rPr>
                <w:bCs/>
                <w:szCs w:val="22"/>
                <w:lang w:val="hu-HU"/>
              </w:rPr>
              <w:t>in</w:t>
            </w:r>
            <w:r w:rsidRPr="009F1165">
              <w:rPr>
                <w:bCs/>
                <w:szCs w:val="22"/>
                <w:lang w:val="hu-HU"/>
              </w:rPr>
              <w:t>testinalis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és hasi fájdalmak</w:t>
            </w:r>
          </w:p>
          <w:p w14:paraId="50727554" w14:textId="77777777" w:rsidR="00207FCF" w:rsidRPr="009F1165" w:rsidRDefault="00207FCF" w:rsidP="00207FCF">
            <w:pPr>
              <w:tabs>
                <w:tab w:val="left" w:pos="567"/>
              </w:tabs>
              <w:rPr>
                <w:b/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hasmenés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00B7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szCs w:val="22"/>
                <w:lang w:val="hu-HU"/>
              </w:rPr>
              <w:t>csökkent étvágy és ételfogyasztás</w:t>
            </w:r>
          </w:p>
          <w:p w14:paraId="31844738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székrekedés</w:t>
            </w:r>
          </w:p>
          <w:p w14:paraId="3AAD07E9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emésztési zavar</w:t>
            </w:r>
          </w:p>
          <w:p w14:paraId="1B1543F2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flatulencia</w:t>
            </w:r>
            <w:proofErr w:type="spellEnd"/>
          </w:p>
          <w:p w14:paraId="19DC6DA3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gastritis</w:t>
            </w:r>
            <w:proofErr w:type="spellEnd"/>
          </w:p>
          <w:p w14:paraId="3866CE12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emelkedett amilázszint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9CB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dysphagia</w:t>
            </w:r>
            <w:proofErr w:type="spellEnd"/>
          </w:p>
          <w:p w14:paraId="2073881C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stomatitis</w:t>
            </w:r>
            <w:proofErr w:type="spellEnd"/>
          </w:p>
          <w:p w14:paraId="0B395B37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 xml:space="preserve">antibiotikus kezeléssel összefüggő </w:t>
            </w:r>
            <w:proofErr w:type="spellStart"/>
            <w:r w:rsidRPr="009F1165">
              <w:rPr>
                <w:bCs/>
                <w:szCs w:val="22"/>
                <w:lang w:val="hu-HU"/>
              </w:rPr>
              <w:t>colitis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(beleértve a </w:t>
            </w:r>
            <w:proofErr w:type="spellStart"/>
            <w:r w:rsidRPr="009F1165">
              <w:rPr>
                <w:bCs/>
                <w:szCs w:val="22"/>
                <w:lang w:val="hu-HU"/>
              </w:rPr>
              <w:t>pseudomem-branosus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bCs/>
                <w:szCs w:val="22"/>
                <w:lang w:val="hu-HU"/>
              </w:rPr>
              <w:t>colitist</w:t>
            </w:r>
            <w:proofErr w:type="spellEnd"/>
            <w:r w:rsidRPr="009F1165">
              <w:rPr>
                <w:bCs/>
                <w:szCs w:val="22"/>
                <w:lang w:val="hu-HU"/>
              </w:rPr>
              <w:t>, amely nagyon ritkán életveszélyes szövődmények-kel jár, lásd 4.4 pont)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392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CB97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</w:tr>
      <w:tr w:rsidR="00207FCF" w:rsidRPr="009F1165" w14:paraId="35790DD1" w14:textId="7EF023E3" w:rsidTr="00687468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48A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/>
                <w:szCs w:val="22"/>
                <w:lang w:val="hu-HU"/>
              </w:rPr>
            </w:pPr>
            <w:r w:rsidRPr="009F1165">
              <w:rPr>
                <w:b/>
                <w:bCs/>
                <w:szCs w:val="22"/>
                <w:lang w:val="hu-HU"/>
              </w:rPr>
              <w:lastRenderedPageBreak/>
              <w:t>Máj- és epebetegségek, illetve tünetek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C303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 xml:space="preserve">emelkedett </w:t>
            </w:r>
            <w:proofErr w:type="spellStart"/>
            <w:r w:rsidRPr="009F1165">
              <w:rPr>
                <w:bCs/>
                <w:szCs w:val="22"/>
                <w:lang w:val="hu-HU"/>
              </w:rPr>
              <w:t>transzaminázszintek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0DBF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májkárosodás (beleértve az LDH</w:t>
            </w:r>
            <w:r>
              <w:rPr>
                <w:bCs/>
                <w:szCs w:val="22"/>
                <w:lang w:val="hu-HU"/>
              </w:rPr>
              <w:noBreakHyphen/>
            </w:r>
            <w:r w:rsidRPr="009F1165">
              <w:rPr>
                <w:bCs/>
                <w:szCs w:val="22"/>
                <w:lang w:val="hu-HU"/>
              </w:rPr>
              <w:t>emelkedést)</w:t>
            </w:r>
          </w:p>
          <w:p w14:paraId="786C5969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emelkedett bilirubinszint</w:t>
            </w:r>
          </w:p>
          <w:p w14:paraId="6FAF0941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emelkedett szérum gamma-</w:t>
            </w:r>
            <w:proofErr w:type="spellStart"/>
            <w:r w:rsidRPr="009F1165">
              <w:rPr>
                <w:bCs/>
                <w:szCs w:val="22"/>
                <w:lang w:val="hu-HU"/>
              </w:rPr>
              <w:t>glutamil</w:t>
            </w:r>
            <w:proofErr w:type="spellEnd"/>
            <w:r w:rsidRPr="009F1165">
              <w:rPr>
                <w:bCs/>
                <w:szCs w:val="22"/>
                <w:lang w:val="hu-HU"/>
              </w:rPr>
              <w:t>-</w:t>
            </w:r>
            <w:proofErr w:type="spellStart"/>
            <w:r w:rsidRPr="009F1165">
              <w:rPr>
                <w:bCs/>
                <w:szCs w:val="22"/>
                <w:lang w:val="hu-HU"/>
              </w:rPr>
              <w:t>transzferázszint</w:t>
            </w:r>
            <w:proofErr w:type="spellEnd"/>
          </w:p>
          <w:p w14:paraId="2902E30C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 xml:space="preserve">emelkedett szérum alkalikus </w:t>
            </w:r>
            <w:proofErr w:type="spellStart"/>
            <w:r w:rsidRPr="009F1165">
              <w:rPr>
                <w:bCs/>
                <w:szCs w:val="22"/>
                <w:lang w:val="hu-HU"/>
              </w:rPr>
              <w:t>foszfatázszint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1481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sárgaság</w:t>
            </w:r>
          </w:p>
          <w:p w14:paraId="4C988E33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 xml:space="preserve">hepatitis (főként </w:t>
            </w:r>
            <w:proofErr w:type="spellStart"/>
            <w:r w:rsidRPr="009F1165">
              <w:rPr>
                <w:bCs/>
                <w:szCs w:val="22"/>
                <w:lang w:val="hu-HU"/>
              </w:rPr>
              <w:t>epepangásos</w:t>
            </w:r>
            <w:proofErr w:type="spellEnd"/>
            <w:r w:rsidRPr="009F1165">
              <w:rPr>
                <w:bCs/>
                <w:szCs w:val="22"/>
                <w:lang w:val="hu-H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25C1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gramStart"/>
            <w:r w:rsidRPr="009F1165">
              <w:rPr>
                <w:bCs/>
                <w:szCs w:val="22"/>
                <w:lang w:val="hu-HU"/>
              </w:rPr>
              <w:t>potenciálisan</w:t>
            </w:r>
            <w:proofErr w:type="gramEnd"/>
            <w:r w:rsidRPr="009F1165">
              <w:rPr>
                <w:bCs/>
                <w:szCs w:val="22"/>
                <w:lang w:val="hu-HU"/>
              </w:rPr>
              <w:t xml:space="preserve"> életveszélyes májelégtelenséghez vezető fulmináns hepatitis (a halálos kimenetelű eseteket is beleértve, lásd 4.4 pont)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B8F8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</w:tr>
      <w:tr w:rsidR="00207FCF" w:rsidRPr="009F1165" w14:paraId="3B7BBE6F" w14:textId="06CDE587" w:rsidTr="00687468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751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/>
                <w:szCs w:val="22"/>
                <w:lang w:val="hu-HU"/>
              </w:rPr>
            </w:pPr>
            <w:r w:rsidRPr="009F1165">
              <w:rPr>
                <w:b/>
                <w:szCs w:val="22"/>
                <w:lang w:val="hu-HU"/>
              </w:rPr>
              <w:t xml:space="preserve">A bőr és a bőr alatti szövet betegségei </w:t>
            </w:r>
            <w:r w:rsidRPr="009F1165">
              <w:rPr>
                <w:b/>
                <w:bCs/>
                <w:szCs w:val="22"/>
                <w:lang w:val="hu-HU"/>
              </w:rPr>
              <w:t>és tünetei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C07B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/>
                <w:bCs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F0D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viszketés</w:t>
            </w:r>
          </w:p>
          <w:p w14:paraId="0EF887FB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bőrkiütés</w:t>
            </w:r>
          </w:p>
          <w:p w14:paraId="6F8569AB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urticaria</w:t>
            </w:r>
            <w:proofErr w:type="spellEnd"/>
          </w:p>
          <w:p w14:paraId="6C33BBE1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száraz bőr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332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83C4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hólyagos bőrreakciók, pl. </w:t>
            </w:r>
            <w:proofErr w:type="spellStart"/>
            <w:r w:rsidRPr="009F1165">
              <w:rPr>
                <w:bCs/>
                <w:szCs w:val="22"/>
                <w:lang w:val="hu-HU"/>
              </w:rPr>
              <w:t>Stevens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-Johnson </w:t>
            </w:r>
            <w:proofErr w:type="gramStart"/>
            <w:r w:rsidRPr="009F1165">
              <w:rPr>
                <w:bCs/>
                <w:szCs w:val="22"/>
                <w:lang w:val="hu-HU"/>
              </w:rPr>
              <w:t>szindróma</w:t>
            </w:r>
            <w:proofErr w:type="gramEnd"/>
            <w:r w:rsidRPr="009F1165">
              <w:rPr>
                <w:bCs/>
                <w:szCs w:val="22"/>
                <w:lang w:val="hu-HU"/>
              </w:rPr>
              <w:t xml:space="preserve"> vagy </w:t>
            </w:r>
            <w:proofErr w:type="spellStart"/>
            <w:r w:rsidRPr="009F1165">
              <w:rPr>
                <w:bCs/>
                <w:szCs w:val="22"/>
                <w:lang w:val="hu-HU"/>
              </w:rPr>
              <w:t>toxicus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bCs/>
                <w:szCs w:val="22"/>
                <w:lang w:val="hu-HU"/>
              </w:rPr>
              <w:t>epidermalis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bCs/>
                <w:szCs w:val="22"/>
                <w:lang w:val="hu-HU"/>
              </w:rPr>
              <w:t>necrolysis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(potenciálisan életveszélyes, lásd 4.4. pont)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20F2" w14:textId="619CDBAC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gramStart"/>
            <w:r>
              <w:rPr>
                <w:lang w:val="hu-HU"/>
              </w:rPr>
              <w:t>a</w:t>
            </w:r>
            <w:r w:rsidRPr="00A53BD4">
              <w:rPr>
                <w:lang w:val="hu-HU"/>
              </w:rPr>
              <w:t>kut</w:t>
            </w:r>
            <w:proofErr w:type="gramEnd"/>
            <w:r w:rsidRPr="00A53BD4">
              <w:rPr>
                <w:lang w:val="hu-HU"/>
              </w:rPr>
              <w:t xml:space="preserve"> generalizált </w:t>
            </w:r>
            <w:proofErr w:type="spellStart"/>
            <w:r w:rsidRPr="00A53BD4">
              <w:rPr>
                <w:lang w:val="hu-HU"/>
              </w:rPr>
              <w:t>exanthemás</w:t>
            </w:r>
            <w:proofErr w:type="spellEnd"/>
            <w:r w:rsidRPr="00A53BD4">
              <w:rPr>
                <w:lang w:val="hu-HU"/>
              </w:rPr>
              <w:t xml:space="preserve"> </w:t>
            </w:r>
            <w:proofErr w:type="spellStart"/>
            <w:r w:rsidRPr="00A53BD4">
              <w:rPr>
                <w:lang w:val="hu-HU"/>
              </w:rPr>
              <w:t>pustulosis</w:t>
            </w:r>
            <w:proofErr w:type="spellEnd"/>
            <w:r w:rsidRPr="00A53BD4">
              <w:rPr>
                <w:lang w:val="hu-HU"/>
              </w:rPr>
              <w:t xml:space="preserve"> (AGEP)</w:t>
            </w:r>
          </w:p>
        </w:tc>
      </w:tr>
      <w:tr w:rsidR="00207FCF" w:rsidRPr="009F1165" w14:paraId="5CC03E89" w14:textId="0E5BA089" w:rsidTr="00687468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8610" w14:textId="2ABE163F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/>
                <w:szCs w:val="22"/>
                <w:lang w:val="hu-HU"/>
              </w:rPr>
            </w:pPr>
            <w:r w:rsidRPr="009F1165">
              <w:rPr>
                <w:b/>
                <w:szCs w:val="22"/>
                <w:lang w:val="hu-HU"/>
              </w:rPr>
              <w:t>A csont- és izomrendszer, valamint a kötőszövet betegségei és tünetei</w:t>
            </w:r>
            <w:r>
              <w:rPr>
                <w:rFonts w:eastAsia="Batang"/>
                <w:b/>
                <w:bCs/>
                <w:szCs w:val="22"/>
              </w:rPr>
              <w:t>*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D035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/>
                <w:bCs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442B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ízületi fájdalom</w:t>
            </w:r>
          </w:p>
          <w:p w14:paraId="7A57E0F6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izomfájdalom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382D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íngyulladás (lásd 4.4 pont)</w:t>
            </w:r>
          </w:p>
          <w:p w14:paraId="719DE518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izomgörcs</w:t>
            </w:r>
          </w:p>
          <w:p w14:paraId="516AC640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izomrángás</w:t>
            </w:r>
          </w:p>
          <w:p w14:paraId="08445AE6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szCs w:val="22"/>
                <w:lang w:val="hu-HU"/>
              </w:rPr>
              <w:t>izomgyengeség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CE45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ínszakadás (lásd 4.4 pont)</w:t>
            </w:r>
          </w:p>
          <w:p w14:paraId="1379070F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arthritis</w:t>
            </w:r>
            <w:proofErr w:type="spellEnd"/>
          </w:p>
          <w:p w14:paraId="251083B2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izomrigiditás</w:t>
            </w:r>
            <w:proofErr w:type="spellEnd"/>
          </w:p>
          <w:p w14:paraId="059914D1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 xml:space="preserve">a </w:t>
            </w:r>
            <w:proofErr w:type="spellStart"/>
            <w:r w:rsidRPr="009F1165">
              <w:rPr>
                <w:bCs/>
                <w:szCs w:val="22"/>
                <w:lang w:val="hu-HU"/>
              </w:rPr>
              <w:t>myasthenia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bCs/>
                <w:szCs w:val="22"/>
                <w:lang w:val="hu-HU"/>
              </w:rPr>
              <w:t>gravis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tüneteinek </w:t>
            </w:r>
            <w:proofErr w:type="spellStart"/>
            <w:r w:rsidRPr="009F1165">
              <w:rPr>
                <w:szCs w:val="22"/>
                <w:lang w:val="hu-HU"/>
              </w:rPr>
              <w:t>exacerb</w:t>
            </w:r>
            <w:r>
              <w:rPr>
                <w:szCs w:val="22"/>
                <w:lang w:val="hu-HU"/>
              </w:rPr>
              <w:t>at</w:t>
            </w:r>
            <w:r w:rsidRPr="009F1165">
              <w:rPr>
                <w:szCs w:val="22"/>
                <w:lang w:val="hu-HU"/>
              </w:rPr>
              <w:t>iója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(lásd 4.4 pont)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5938" w14:textId="1DA2AA32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>
              <w:rPr>
                <w:lang w:val="hu-HU"/>
              </w:rPr>
              <w:t>r</w:t>
            </w:r>
            <w:r w:rsidRPr="0093265F">
              <w:rPr>
                <w:lang w:val="hu-HU"/>
              </w:rPr>
              <w:t>habdomyolysis</w:t>
            </w:r>
            <w:proofErr w:type="spellEnd"/>
          </w:p>
        </w:tc>
      </w:tr>
      <w:tr w:rsidR="00207FCF" w:rsidRPr="009F1165" w14:paraId="7E4E1A05" w14:textId="2FADB50D" w:rsidTr="00687468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8D7" w14:textId="77777777" w:rsidR="00207FCF" w:rsidRPr="009F1165" w:rsidRDefault="00207FCF" w:rsidP="00207FCF">
            <w:pPr>
              <w:tabs>
                <w:tab w:val="left" w:pos="567"/>
              </w:tabs>
              <w:rPr>
                <w:b/>
                <w:szCs w:val="22"/>
                <w:lang w:val="hu-HU"/>
              </w:rPr>
            </w:pPr>
            <w:r w:rsidRPr="009F1165">
              <w:rPr>
                <w:b/>
                <w:szCs w:val="22"/>
                <w:lang w:val="hu-HU"/>
              </w:rPr>
              <w:t>Vese- és húgyúti betegségek és tünetek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3F99" w14:textId="77777777" w:rsidR="00207FCF" w:rsidRPr="009F1165" w:rsidRDefault="00207FCF" w:rsidP="00207FCF">
            <w:pPr>
              <w:tabs>
                <w:tab w:val="left" w:pos="567"/>
              </w:tabs>
              <w:rPr>
                <w:b/>
                <w:bCs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B536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kiszáradás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05B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 xml:space="preserve">vesekárosodás (beleértve a BUN és a </w:t>
            </w:r>
            <w:proofErr w:type="spellStart"/>
            <w:r w:rsidRPr="009F1165">
              <w:rPr>
                <w:bCs/>
                <w:szCs w:val="22"/>
                <w:lang w:val="hu-HU"/>
              </w:rPr>
              <w:t>kreatininszint</w:t>
            </w:r>
            <w:proofErr w:type="spellEnd"/>
            <w:r w:rsidRPr="009F1165">
              <w:rPr>
                <w:bCs/>
                <w:szCs w:val="22"/>
                <w:lang w:val="hu-HU"/>
              </w:rPr>
              <w:t xml:space="preserve"> emelkedését)</w:t>
            </w:r>
          </w:p>
          <w:p w14:paraId="7A6087CB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veseelégtelenség (lásd 4.4 pont)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76F2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95E" w14:textId="77777777" w:rsidR="00207FCF" w:rsidRPr="009F1165" w:rsidRDefault="00207FCF" w:rsidP="00207FCF">
            <w:pPr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</w:tr>
      <w:tr w:rsidR="00207FCF" w:rsidRPr="009F1165" w14:paraId="7656BB31" w14:textId="5A2DA63A" w:rsidTr="00687468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88A" w14:textId="171F30E3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/>
                <w:szCs w:val="22"/>
                <w:lang w:val="hu-HU"/>
              </w:rPr>
            </w:pPr>
            <w:r w:rsidRPr="009F1165">
              <w:rPr>
                <w:b/>
                <w:szCs w:val="22"/>
                <w:lang w:val="hu-HU"/>
              </w:rPr>
              <w:lastRenderedPageBreak/>
              <w:t>Általános tünetek, az alkalmazás helyén fellépő reakciók</w:t>
            </w:r>
            <w:r>
              <w:rPr>
                <w:rFonts w:eastAsia="Batang"/>
                <w:b/>
                <w:bCs/>
                <w:szCs w:val="22"/>
              </w:rPr>
              <w:t>*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D063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helyi reakciók az infúzió beadási helyén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4006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rosszullét (főként gyengeség vagy fáradtság)</w:t>
            </w:r>
          </w:p>
          <w:p w14:paraId="614A331E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fájdalom (beleértve a hát-, mellkasi, medencei és végtagfájdalmat)</w:t>
            </w:r>
          </w:p>
          <w:p w14:paraId="7697F95C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verejtékezés</w:t>
            </w:r>
          </w:p>
          <w:p w14:paraId="3F463B1A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r w:rsidRPr="009F1165">
              <w:rPr>
                <w:bCs/>
                <w:szCs w:val="22"/>
                <w:lang w:val="hu-HU"/>
              </w:rPr>
              <w:t>(</w:t>
            </w:r>
            <w:proofErr w:type="spellStart"/>
            <w:r w:rsidRPr="009F1165">
              <w:rPr>
                <w:bCs/>
                <w:szCs w:val="22"/>
                <w:lang w:val="hu-HU"/>
              </w:rPr>
              <w:t>thrombo</w:t>
            </w:r>
            <w:proofErr w:type="spellEnd"/>
            <w:proofErr w:type="gramStart"/>
            <w:r w:rsidRPr="009F1165">
              <w:rPr>
                <w:bCs/>
                <w:szCs w:val="22"/>
                <w:lang w:val="hu-HU"/>
              </w:rPr>
              <w:t>)</w:t>
            </w:r>
            <w:proofErr w:type="spellStart"/>
            <w:r w:rsidRPr="009F1165">
              <w:rPr>
                <w:bCs/>
                <w:szCs w:val="22"/>
                <w:lang w:val="hu-HU"/>
              </w:rPr>
              <w:t>phlebitis</w:t>
            </w:r>
            <w:proofErr w:type="spellEnd"/>
            <w:proofErr w:type="gramEnd"/>
            <w:r w:rsidRPr="009F1165">
              <w:rPr>
                <w:bCs/>
                <w:szCs w:val="22"/>
                <w:lang w:val="hu-HU"/>
              </w:rPr>
              <w:t xml:space="preserve"> az infúzió beadási helyén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37E1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  <w:proofErr w:type="spellStart"/>
            <w:r w:rsidRPr="009F1165">
              <w:rPr>
                <w:bCs/>
                <w:szCs w:val="22"/>
                <w:lang w:val="hu-HU"/>
              </w:rPr>
              <w:t>oedema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7A2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910" w14:textId="77777777" w:rsidR="00207FCF" w:rsidRPr="009F1165" w:rsidRDefault="00207FCF" w:rsidP="00207FCF">
            <w:pPr>
              <w:keepNext/>
              <w:keepLines/>
              <w:tabs>
                <w:tab w:val="left" w:pos="567"/>
              </w:tabs>
              <w:rPr>
                <w:bCs/>
                <w:szCs w:val="22"/>
                <w:lang w:val="hu-HU"/>
              </w:rPr>
            </w:pPr>
          </w:p>
        </w:tc>
      </w:tr>
    </w:tbl>
    <w:p w14:paraId="6D5E0678" w14:textId="7CFA7CEE" w:rsidR="00A83D7D" w:rsidRDefault="00A83D7D" w:rsidP="009F1165">
      <w:pPr>
        <w:tabs>
          <w:tab w:val="left" w:pos="567"/>
        </w:tabs>
        <w:rPr>
          <w:bCs/>
          <w:szCs w:val="22"/>
          <w:lang w:val="hu-HU"/>
        </w:rPr>
      </w:pPr>
    </w:p>
    <w:p w14:paraId="7F24A85F" w14:textId="1DA01FF1" w:rsidR="00063572" w:rsidRDefault="00063572" w:rsidP="00063572">
      <w:pPr>
        <w:pStyle w:val="BodytextAgency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B53358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*</w:t>
      </w:r>
      <w:proofErr w:type="spellStart"/>
      <w:proofErr w:type="gramStart"/>
      <w:r w:rsidRPr="00B53358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Kinolonok</w:t>
      </w:r>
      <w:proofErr w:type="spellEnd"/>
      <w:r w:rsidRPr="00B53358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és </w:t>
      </w:r>
      <w:proofErr w:type="spellStart"/>
      <w:r w:rsidRPr="00B53358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fluorokinolonok</w:t>
      </w:r>
      <w:proofErr w:type="spellEnd"/>
      <w:r w:rsidRPr="00B53358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alkalmazása kapcsán nagyon ritkán számos –esetenként több- szervrendszert és érzékszervet érintő, hosszan fennálló (akár hónapokig vagy évekig tartó), rokkantságot okozó és potenciálisan irreverzibilis súlyos gyógyszermellékhatások eseteiről számoltak be (köztük olyanokról mint </w:t>
      </w:r>
      <w:proofErr w:type="spellStart"/>
      <w:r w:rsidRPr="00B53358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tendinitis</w:t>
      </w:r>
      <w:proofErr w:type="spellEnd"/>
      <w:r w:rsidRPr="00B53358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, ínszakadás, </w:t>
      </w:r>
      <w:proofErr w:type="spellStart"/>
      <w:r w:rsidRPr="00B53358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arthralgia</w:t>
      </w:r>
      <w:proofErr w:type="spellEnd"/>
      <w:r w:rsidRPr="00B53358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, végtagfájdalom, járászavar, </w:t>
      </w:r>
      <w:proofErr w:type="spellStart"/>
      <w:r w:rsidRPr="00B53358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paraesthesiával</w:t>
      </w:r>
      <w:proofErr w:type="spellEnd"/>
      <w:r w:rsidRPr="00B53358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járó </w:t>
      </w:r>
      <w:proofErr w:type="spellStart"/>
      <w:r w:rsidRPr="00B53358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neuropathiák</w:t>
      </w:r>
      <w:proofErr w:type="spellEnd"/>
      <w:r w:rsidRPr="00B53358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, depresszió fáradtság, memóriaromlás, alvászavarok, valamint a hallás, a látás, az ízérzés és a szaglás romlása), amelyek néhány esetben az eleve fennálló kockázati tényezőktől függetlenül jelentkeztek</w:t>
      </w:r>
      <w:proofErr w:type="gramEnd"/>
      <w:r w:rsidRPr="00B53358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(lásd 4.4 pont).</w:t>
      </w:r>
    </w:p>
    <w:p w14:paraId="49C7F5E9" w14:textId="256ABD0F" w:rsidR="009E2A7D" w:rsidRDefault="009E2A7D" w:rsidP="009E2A7D">
      <w:pPr>
        <w:rPr>
          <w:bCs/>
          <w:sz w:val="20"/>
          <w:lang w:val="hu-HU"/>
        </w:rPr>
      </w:pPr>
      <w:r>
        <w:rPr>
          <w:bCs/>
          <w:sz w:val="20"/>
          <w:lang w:val="hu-HU"/>
        </w:rPr>
        <w:t>**</w:t>
      </w:r>
      <w:proofErr w:type="spellStart"/>
      <w:r w:rsidR="004A022C" w:rsidRPr="00770D2C">
        <w:rPr>
          <w:bCs/>
          <w:sz w:val="20"/>
        </w:rPr>
        <w:t>Fluorokinolon-kezelésben</w:t>
      </w:r>
      <w:proofErr w:type="spellEnd"/>
      <w:r w:rsidR="004A022C" w:rsidRPr="00770D2C">
        <w:rPr>
          <w:bCs/>
          <w:sz w:val="20"/>
        </w:rPr>
        <w:t xml:space="preserve"> </w:t>
      </w:r>
      <w:proofErr w:type="spellStart"/>
      <w:r w:rsidR="004A022C" w:rsidRPr="00770D2C">
        <w:rPr>
          <w:bCs/>
          <w:sz w:val="20"/>
        </w:rPr>
        <w:t>részesülő</w:t>
      </w:r>
      <w:proofErr w:type="spellEnd"/>
      <w:r w:rsidR="004A022C" w:rsidRPr="00770D2C">
        <w:rPr>
          <w:bCs/>
          <w:sz w:val="20"/>
        </w:rPr>
        <w:t xml:space="preserve"> </w:t>
      </w:r>
      <w:proofErr w:type="spellStart"/>
      <w:r w:rsidR="004A022C" w:rsidRPr="00770D2C">
        <w:rPr>
          <w:bCs/>
          <w:sz w:val="20"/>
        </w:rPr>
        <w:t>betegeknél</w:t>
      </w:r>
      <w:proofErr w:type="spellEnd"/>
      <w:r w:rsidR="004A022C" w:rsidRPr="00770D2C">
        <w:rPr>
          <w:bCs/>
          <w:sz w:val="20"/>
        </w:rPr>
        <w:t xml:space="preserve"> </w:t>
      </w:r>
      <w:proofErr w:type="spellStart"/>
      <w:r w:rsidR="004A022C" w:rsidRPr="00770D2C">
        <w:rPr>
          <w:bCs/>
          <w:sz w:val="20"/>
        </w:rPr>
        <w:t>beszámoltak</w:t>
      </w:r>
      <w:proofErr w:type="spellEnd"/>
      <w:r w:rsidR="004A022C" w:rsidRPr="00770D2C">
        <w:rPr>
          <w:bCs/>
          <w:sz w:val="20"/>
        </w:rPr>
        <w:t xml:space="preserve"> </w:t>
      </w:r>
      <w:proofErr w:type="spellStart"/>
      <w:proofErr w:type="gramStart"/>
      <w:r w:rsidR="004A022C" w:rsidRPr="00770D2C">
        <w:rPr>
          <w:bCs/>
          <w:sz w:val="20"/>
        </w:rPr>
        <w:t>az</w:t>
      </w:r>
      <w:proofErr w:type="spellEnd"/>
      <w:proofErr w:type="gramEnd"/>
      <w:r w:rsidR="004A022C" w:rsidRPr="00770D2C">
        <w:rPr>
          <w:bCs/>
          <w:sz w:val="20"/>
        </w:rPr>
        <w:t xml:space="preserve"> </w:t>
      </w:r>
      <w:proofErr w:type="spellStart"/>
      <w:r w:rsidR="004A022C" w:rsidRPr="00770D2C">
        <w:rPr>
          <w:bCs/>
          <w:sz w:val="20"/>
        </w:rPr>
        <w:t>aortaaneurysma</w:t>
      </w:r>
      <w:proofErr w:type="spellEnd"/>
      <w:r w:rsidR="004A022C" w:rsidRPr="00770D2C">
        <w:rPr>
          <w:bCs/>
          <w:sz w:val="20"/>
        </w:rPr>
        <w:t xml:space="preserve"> </w:t>
      </w:r>
      <w:proofErr w:type="spellStart"/>
      <w:r w:rsidR="004A022C" w:rsidRPr="00770D2C">
        <w:rPr>
          <w:bCs/>
          <w:sz w:val="20"/>
        </w:rPr>
        <w:t>és</w:t>
      </w:r>
      <w:proofErr w:type="spellEnd"/>
      <w:r w:rsidR="004A022C" w:rsidRPr="00770D2C">
        <w:rPr>
          <w:bCs/>
          <w:sz w:val="20"/>
        </w:rPr>
        <w:t xml:space="preserve"> </w:t>
      </w:r>
      <w:proofErr w:type="spellStart"/>
      <w:r w:rsidR="004A022C" w:rsidRPr="00770D2C">
        <w:rPr>
          <w:bCs/>
          <w:sz w:val="20"/>
        </w:rPr>
        <w:t>aortadissectio</w:t>
      </w:r>
      <w:proofErr w:type="spellEnd"/>
      <w:r w:rsidR="004A022C" w:rsidRPr="00770D2C">
        <w:rPr>
          <w:bCs/>
          <w:sz w:val="20"/>
        </w:rPr>
        <w:t xml:space="preserve"> </w:t>
      </w:r>
      <w:proofErr w:type="spellStart"/>
      <w:r w:rsidR="004A022C" w:rsidRPr="00770D2C">
        <w:rPr>
          <w:bCs/>
          <w:sz w:val="20"/>
        </w:rPr>
        <w:t>bekövetkeztéről</w:t>
      </w:r>
      <w:proofErr w:type="spellEnd"/>
      <w:r w:rsidR="004A022C" w:rsidRPr="00770D2C">
        <w:rPr>
          <w:bCs/>
          <w:sz w:val="20"/>
        </w:rPr>
        <w:t xml:space="preserve">, </w:t>
      </w:r>
      <w:proofErr w:type="spellStart"/>
      <w:r w:rsidR="004A022C" w:rsidRPr="00770D2C">
        <w:rPr>
          <w:bCs/>
          <w:sz w:val="20"/>
        </w:rPr>
        <w:t>amelyek</w:t>
      </w:r>
      <w:proofErr w:type="spellEnd"/>
      <w:r w:rsidR="004A022C" w:rsidRPr="00770D2C">
        <w:rPr>
          <w:bCs/>
          <w:sz w:val="20"/>
        </w:rPr>
        <w:t xml:space="preserve"> </w:t>
      </w:r>
      <w:proofErr w:type="spellStart"/>
      <w:r w:rsidR="004A022C" w:rsidRPr="00770D2C">
        <w:rPr>
          <w:bCs/>
          <w:sz w:val="20"/>
        </w:rPr>
        <w:t>néha</w:t>
      </w:r>
      <w:proofErr w:type="spellEnd"/>
      <w:r w:rsidR="004A022C" w:rsidRPr="00770D2C">
        <w:rPr>
          <w:bCs/>
          <w:sz w:val="20"/>
        </w:rPr>
        <w:t xml:space="preserve"> </w:t>
      </w:r>
      <w:proofErr w:type="spellStart"/>
      <w:r w:rsidR="004A022C" w:rsidRPr="00770D2C">
        <w:rPr>
          <w:bCs/>
          <w:sz w:val="20"/>
        </w:rPr>
        <w:t>rupturával</w:t>
      </w:r>
      <w:proofErr w:type="spellEnd"/>
      <w:r w:rsidR="004A022C" w:rsidRPr="00770D2C">
        <w:rPr>
          <w:bCs/>
          <w:sz w:val="20"/>
        </w:rPr>
        <w:t xml:space="preserve"> (</w:t>
      </w:r>
      <w:proofErr w:type="spellStart"/>
      <w:r w:rsidR="004A022C" w:rsidRPr="00770D2C">
        <w:rPr>
          <w:bCs/>
          <w:sz w:val="20"/>
        </w:rPr>
        <w:t>egyes</w:t>
      </w:r>
      <w:proofErr w:type="spellEnd"/>
      <w:r w:rsidR="004A022C" w:rsidRPr="00770D2C">
        <w:rPr>
          <w:bCs/>
          <w:sz w:val="20"/>
        </w:rPr>
        <w:t xml:space="preserve"> </w:t>
      </w:r>
      <w:proofErr w:type="spellStart"/>
      <w:r w:rsidR="004A022C" w:rsidRPr="00770D2C">
        <w:rPr>
          <w:bCs/>
          <w:sz w:val="20"/>
        </w:rPr>
        <w:t>esetekben</w:t>
      </w:r>
      <w:proofErr w:type="spellEnd"/>
      <w:r w:rsidR="004A022C" w:rsidRPr="00770D2C">
        <w:rPr>
          <w:bCs/>
          <w:sz w:val="20"/>
        </w:rPr>
        <w:t xml:space="preserve"> </w:t>
      </w:r>
      <w:proofErr w:type="spellStart"/>
      <w:r w:rsidR="004A022C" w:rsidRPr="00770D2C">
        <w:rPr>
          <w:bCs/>
          <w:sz w:val="20"/>
        </w:rPr>
        <w:t>halálos</w:t>
      </w:r>
      <w:proofErr w:type="spellEnd"/>
      <w:r w:rsidR="004A022C" w:rsidRPr="00770D2C">
        <w:rPr>
          <w:bCs/>
          <w:sz w:val="20"/>
        </w:rPr>
        <w:t xml:space="preserve"> </w:t>
      </w:r>
      <w:proofErr w:type="spellStart"/>
      <w:r w:rsidR="004A022C" w:rsidRPr="00770D2C">
        <w:rPr>
          <w:bCs/>
          <w:sz w:val="20"/>
        </w:rPr>
        <w:t>kimenetellel</w:t>
      </w:r>
      <w:proofErr w:type="spellEnd"/>
      <w:r w:rsidR="004A022C" w:rsidRPr="00770D2C">
        <w:rPr>
          <w:bCs/>
          <w:sz w:val="20"/>
        </w:rPr>
        <w:t xml:space="preserve">) </w:t>
      </w:r>
      <w:proofErr w:type="spellStart"/>
      <w:r w:rsidR="004A022C" w:rsidRPr="00770D2C">
        <w:rPr>
          <w:bCs/>
          <w:sz w:val="20"/>
        </w:rPr>
        <w:t>jártak</w:t>
      </w:r>
      <w:proofErr w:type="spellEnd"/>
      <w:r w:rsidR="004A022C" w:rsidRPr="00770D2C">
        <w:rPr>
          <w:bCs/>
          <w:sz w:val="20"/>
        </w:rPr>
        <w:t xml:space="preserve">, </w:t>
      </w:r>
      <w:proofErr w:type="spellStart"/>
      <w:r w:rsidR="004A022C" w:rsidRPr="00770D2C">
        <w:rPr>
          <w:bCs/>
          <w:sz w:val="20"/>
        </w:rPr>
        <w:t>valamint</w:t>
      </w:r>
      <w:proofErr w:type="spellEnd"/>
      <w:r w:rsidR="004A022C" w:rsidRPr="00770D2C">
        <w:rPr>
          <w:bCs/>
          <w:sz w:val="20"/>
        </w:rPr>
        <w:t xml:space="preserve"> a </w:t>
      </w:r>
      <w:proofErr w:type="spellStart"/>
      <w:r w:rsidR="004A022C" w:rsidRPr="00770D2C">
        <w:rPr>
          <w:bCs/>
          <w:sz w:val="20"/>
        </w:rPr>
        <w:t>szívbillentyűk</w:t>
      </w:r>
      <w:proofErr w:type="spellEnd"/>
      <w:r w:rsidR="004A022C" w:rsidRPr="00770D2C">
        <w:rPr>
          <w:bCs/>
          <w:sz w:val="20"/>
        </w:rPr>
        <w:t xml:space="preserve"> </w:t>
      </w:r>
      <w:proofErr w:type="spellStart"/>
      <w:r w:rsidR="004A022C" w:rsidRPr="00770D2C">
        <w:rPr>
          <w:bCs/>
          <w:sz w:val="20"/>
        </w:rPr>
        <w:t>regurgitatiójáról</w:t>
      </w:r>
      <w:proofErr w:type="spellEnd"/>
      <w:r w:rsidR="004A022C" w:rsidRPr="00770D2C">
        <w:rPr>
          <w:bCs/>
          <w:sz w:val="20"/>
        </w:rPr>
        <w:t xml:space="preserve">, </w:t>
      </w:r>
      <w:proofErr w:type="spellStart"/>
      <w:r w:rsidR="004A022C" w:rsidRPr="00770D2C">
        <w:rPr>
          <w:bCs/>
          <w:sz w:val="20"/>
        </w:rPr>
        <w:t>illetve</w:t>
      </w:r>
      <w:proofErr w:type="spellEnd"/>
      <w:r w:rsidR="004A022C" w:rsidRPr="00770D2C">
        <w:rPr>
          <w:bCs/>
          <w:sz w:val="20"/>
        </w:rPr>
        <w:t xml:space="preserve"> </w:t>
      </w:r>
      <w:proofErr w:type="spellStart"/>
      <w:r w:rsidR="004A022C" w:rsidRPr="00770D2C">
        <w:rPr>
          <w:bCs/>
          <w:sz w:val="20"/>
        </w:rPr>
        <w:t>elégtelenségéről</w:t>
      </w:r>
      <w:proofErr w:type="spellEnd"/>
      <w:r w:rsidR="004A022C" w:rsidRPr="00770D2C">
        <w:rPr>
          <w:bCs/>
          <w:sz w:val="20"/>
        </w:rPr>
        <w:t xml:space="preserve"> (</w:t>
      </w:r>
      <w:proofErr w:type="spellStart"/>
      <w:r w:rsidR="004A022C" w:rsidRPr="00770D2C">
        <w:rPr>
          <w:bCs/>
          <w:sz w:val="20"/>
        </w:rPr>
        <w:t>lásd</w:t>
      </w:r>
      <w:proofErr w:type="spellEnd"/>
      <w:r w:rsidR="004A022C" w:rsidRPr="00770D2C">
        <w:rPr>
          <w:bCs/>
          <w:sz w:val="20"/>
        </w:rPr>
        <w:t xml:space="preserve"> 4.4 </w:t>
      </w:r>
      <w:proofErr w:type="spellStart"/>
      <w:r w:rsidR="004A022C" w:rsidRPr="00770D2C">
        <w:rPr>
          <w:bCs/>
          <w:sz w:val="20"/>
        </w:rPr>
        <w:t>pont</w:t>
      </w:r>
      <w:proofErr w:type="spellEnd"/>
      <w:r w:rsidR="004A022C" w:rsidRPr="00770D2C">
        <w:rPr>
          <w:bCs/>
          <w:sz w:val="20"/>
        </w:rPr>
        <w:t>).</w:t>
      </w:r>
    </w:p>
    <w:p w14:paraId="29B4697D" w14:textId="77777777" w:rsidR="00FF6822" w:rsidRPr="001E33CD" w:rsidRDefault="00FF6822" w:rsidP="001E33CD">
      <w:pPr>
        <w:rPr>
          <w:lang w:eastAsia="ar-SA"/>
        </w:rPr>
      </w:pPr>
    </w:p>
    <w:p w14:paraId="4B2B2872" w14:textId="77777777" w:rsidR="00A83D7D" w:rsidRPr="009F1165" w:rsidRDefault="00A83D7D" w:rsidP="009F1165">
      <w:pPr>
        <w:pStyle w:val="Vgjegyzetszvege"/>
        <w:keepNext/>
        <w:tabs>
          <w:tab w:val="left" w:pos="567"/>
        </w:tabs>
        <w:suppressAutoHyphens w:val="0"/>
        <w:spacing w:line="240" w:lineRule="auto"/>
        <w:rPr>
          <w:bCs/>
          <w:szCs w:val="22"/>
          <w:lang w:val="hu-HU" w:eastAsia="hu-HU"/>
        </w:rPr>
      </w:pPr>
      <w:r w:rsidRPr="009F1165">
        <w:rPr>
          <w:bCs/>
          <w:szCs w:val="22"/>
          <w:lang w:val="hu-HU" w:eastAsia="hu-HU"/>
        </w:rPr>
        <w:t>Az alábbi mellékhatásokat figyelték meg viszonylag gyakrabban azok</w:t>
      </w:r>
      <w:r w:rsidR="00EE66DF" w:rsidRPr="009F1165">
        <w:rPr>
          <w:bCs/>
          <w:szCs w:val="22"/>
          <w:lang w:val="hu-HU" w:eastAsia="hu-HU"/>
        </w:rPr>
        <w:t>nál</w:t>
      </w:r>
      <w:r w:rsidRPr="009F1165">
        <w:rPr>
          <w:bCs/>
          <w:szCs w:val="22"/>
          <w:lang w:val="hu-HU" w:eastAsia="hu-HU"/>
        </w:rPr>
        <w:t xml:space="preserve"> a betegek</w:t>
      </w:r>
      <w:r w:rsidR="00EE66DF" w:rsidRPr="009F1165">
        <w:rPr>
          <w:bCs/>
          <w:szCs w:val="22"/>
          <w:lang w:val="hu-HU" w:eastAsia="hu-HU"/>
        </w:rPr>
        <w:t>nél</w:t>
      </w:r>
      <w:r w:rsidRPr="009F1165">
        <w:rPr>
          <w:bCs/>
          <w:szCs w:val="22"/>
          <w:lang w:val="hu-HU" w:eastAsia="hu-HU"/>
        </w:rPr>
        <w:t xml:space="preserve">, akiket csak intravénásan, ill. intravénásan, majd per </w:t>
      </w:r>
      <w:proofErr w:type="spellStart"/>
      <w:r w:rsidRPr="009F1165">
        <w:rPr>
          <w:bCs/>
          <w:szCs w:val="22"/>
          <w:lang w:val="hu-HU" w:eastAsia="hu-HU"/>
        </w:rPr>
        <w:t>os</w:t>
      </w:r>
      <w:proofErr w:type="spellEnd"/>
      <w:r w:rsidRPr="009F1165">
        <w:rPr>
          <w:bCs/>
          <w:szCs w:val="22"/>
          <w:lang w:val="hu-HU" w:eastAsia="hu-HU"/>
        </w:rPr>
        <w:t xml:space="preserve"> (szekvenciális) kezelésben részesítettek:</w:t>
      </w:r>
    </w:p>
    <w:p w14:paraId="51BB8B2F" w14:textId="77777777" w:rsidR="00A83D7D" w:rsidRPr="009F1165" w:rsidRDefault="00A83D7D" w:rsidP="009F1165">
      <w:pPr>
        <w:keepNext/>
        <w:tabs>
          <w:tab w:val="left" w:pos="1418"/>
        </w:tabs>
        <w:rPr>
          <w:szCs w:val="22"/>
          <w:lang w:val="hu-HU"/>
        </w:rPr>
      </w:pPr>
      <w:r w:rsidRPr="009F1165">
        <w:rPr>
          <w:szCs w:val="22"/>
          <w:lang w:val="hu-HU"/>
        </w:rPr>
        <w:t>Gyakran:</w:t>
      </w:r>
      <w:r w:rsidRPr="009F1165">
        <w:rPr>
          <w:szCs w:val="22"/>
          <w:lang w:val="hu-HU"/>
        </w:rPr>
        <w:tab/>
        <w:t>gamma</w:t>
      </w:r>
      <w:r w:rsidR="00E56735" w:rsidRPr="009F1165">
        <w:rPr>
          <w:szCs w:val="22"/>
          <w:lang w:val="hu-HU"/>
        </w:rPr>
        <w:t>-</w:t>
      </w:r>
      <w:r w:rsidRPr="009F1165">
        <w:rPr>
          <w:szCs w:val="22"/>
          <w:lang w:val="hu-HU"/>
        </w:rPr>
        <w:t>GT</w:t>
      </w:r>
      <w:r w:rsidR="00F83F09">
        <w:rPr>
          <w:szCs w:val="22"/>
          <w:lang w:val="hu-HU"/>
        </w:rPr>
        <w:t>-</w:t>
      </w:r>
      <w:r w:rsidRPr="009F1165">
        <w:rPr>
          <w:szCs w:val="22"/>
          <w:lang w:val="hu-HU"/>
        </w:rPr>
        <w:t>emelkedés</w:t>
      </w:r>
    </w:p>
    <w:p w14:paraId="22D767E3" w14:textId="77777777" w:rsidR="00A83D7D" w:rsidRPr="009F1165" w:rsidRDefault="00A83D7D" w:rsidP="009F1165">
      <w:pPr>
        <w:keepNext/>
        <w:ind w:left="1418" w:hanging="1418"/>
        <w:rPr>
          <w:szCs w:val="22"/>
          <w:lang w:val="hu-HU"/>
        </w:rPr>
      </w:pPr>
      <w:r w:rsidRPr="009F1165">
        <w:rPr>
          <w:szCs w:val="22"/>
          <w:lang w:val="hu-HU"/>
        </w:rPr>
        <w:t>Ritkán:</w:t>
      </w:r>
      <w:r w:rsidRPr="009F1165">
        <w:rPr>
          <w:szCs w:val="22"/>
          <w:lang w:val="hu-HU"/>
        </w:rPr>
        <w:tab/>
        <w:t xml:space="preserve">kamrai </w:t>
      </w:r>
      <w:proofErr w:type="spellStart"/>
      <w:r w:rsidRPr="009F1165">
        <w:rPr>
          <w:szCs w:val="22"/>
          <w:lang w:val="hu-HU"/>
        </w:rPr>
        <w:t>tachyarrhytmiák</w:t>
      </w:r>
      <w:proofErr w:type="spellEnd"/>
      <w:r w:rsidRPr="009F1165">
        <w:rPr>
          <w:szCs w:val="22"/>
          <w:lang w:val="hu-HU"/>
        </w:rPr>
        <w:t xml:space="preserve">, </w:t>
      </w:r>
      <w:proofErr w:type="spellStart"/>
      <w:r w:rsidRPr="009F1165">
        <w:rPr>
          <w:szCs w:val="22"/>
          <w:lang w:val="hu-HU"/>
        </w:rPr>
        <w:t>hypot</w:t>
      </w:r>
      <w:r w:rsidR="00E56735" w:rsidRPr="009F1165">
        <w:rPr>
          <w:szCs w:val="22"/>
          <w:lang w:val="hu-HU"/>
        </w:rPr>
        <w:t>onia</w:t>
      </w:r>
      <w:proofErr w:type="spellEnd"/>
      <w:r w:rsidRPr="009F1165">
        <w:rPr>
          <w:szCs w:val="22"/>
          <w:lang w:val="hu-HU"/>
        </w:rPr>
        <w:t xml:space="preserve">, </w:t>
      </w:r>
      <w:proofErr w:type="spellStart"/>
      <w:r w:rsidR="00E56735" w:rsidRPr="009F1165">
        <w:rPr>
          <w:szCs w:val="22"/>
          <w:lang w:val="hu-HU"/>
        </w:rPr>
        <w:t>oede</w:t>
      </w:r>
      <w:r w:rsidRPr="009F1165">
        <w:rPr>
          <w:szCs w:val="22"/>
          <w:lang w:val="hu-HU"/>
        </w:rPr>
        <w:t>ma</w:t>
      </w:r>
      <w:proofErr w:type="spellEnd"/>
      <w:r w:rsidRPr="009F1165">
        <w:rPr>
          <w:szCs w:val="22"/>
          <w:lang w:val="hu-HU"/>
        </w:rPr>
        <w:t xml:space="preserve">, az antibiotikummal összefüggésbe hozható </w:t>
      </w:r>
      <w:proofErr w:type="spellStart"/>
      <w:r w:rsidRPr="009F1165">
        <w:rPr>
          <w:szCs w:val="22"/>
          <w:lang w:val="hu-HU"/>
        </w:rPr>
        <w:t>colitis</w:t>
      </w:r>
      <w:proofErr w:type="spellEnd"/>
      <w:r w:rsidRPr="009F1165">
        <w:rPr>
          <w:szCs w:val="22"/>
          <w:lang w:val="hu-HU"/>
        </w:rPr>
        <w:t xml:space="preserve"> (beleértve a </w:t>
      </w:r>
      <w:proofErr w:type="spellStart"/>
      <w:r w:rsidRPr="009F1165">
        <w:rPr>
          <w:szCs w:val="22"/>
          <w:lang w:val="hu-HU"/>
        </w:rPr>
        <w:t>pseudomembranosus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colitist</w:t>
      </w:r>
      <w:proofErr w:type="spellEnd"/>
      <w:r w:rsidRPr="009F1165">
        <w:rPr>
          <w:szCs w:val="22"/>
          <w:lang w:val="hu-HU"/>
        </w:rPr>
        <w:t xml:space="preserve"> is, nagyon ritkán életet veszélyeztető szövődményekkel, lásd 4.</w:t>
      </w:r>
      <w:r w:rsidR="00D06D16" w:rsidRPr="009F1165">
        <w:rPr>
          <w:szCs w:val="22"/>
          <w:lang w:val="hu-HU"/>
        </w:rPr>
        <w:t>4 </w:t>
      </w:r>
      <w:r w:rsidRPr="009F1165">
        <w:rPr>
          <w:szCs w:val="22"/>
          <w:lang w:val="hu-HU"/>
        </w:rPr>
        <w:t>pont),</w:t>
      </w:r>
      <w:r w:rsidR="003D643E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>görcs</w:t>
      </w:r>
      <w:r w:rsidR="00E56735" w:rsidRPr="009F1165">
        <w:rPr>
          <w:szCs w:val="22"/>
          <w:lang w:val="hu-HU"/>
        </w:rPr>
        <w:t>rohamo</w:t>
      </w:r>
      <w:r w:rsidRPr="009F1165">
        <w:rPr>
          <w:szCs w:val="22"/>
          <w:lang w:val="hu-HU"/>
        </w:rPr>
        <w:t xml:space="preserve">k, beleértve a grand </w:t>
      </w:r>
      <w:proofErr w:type="spellStart"/>
      <w:r w:rsidRPr="009F1165">
        <w:rPr>
          <w:szCs w:val="22"/>
          <w:lang w:val="hu-HU"/>
        </w:rPr>
        <w:t>mal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convulsiót</w:t>
      </w:r>
      <w:proofErr w:type="spellEnd"/>
      <w:r w:rsidRPr="009F1165">
        <w:rPr>
          <w:szCs w:val="22"/>
          <w:lang w:val="hu-HU"/>
        </w:rPr>
        <w:t xml:space="preserve"> is (lásd 4.4</w:t>
      </w:r>
      <w:r w:rsidR="00EE66DF" w:rsidRPr="009F1165">
        <w:rPr>
          <w:szCs w:val="22"/>
          <w:lang w:val="hu-HU"/>
        </w:rPr>
        <w:t> </w:t>
      </w:r>
      <w:r w:rsidRPr="009F1165">
        <w:rPr>
          <w:szCs w:val="22"/>
          <w:lang w:val="hu-HU"/>
        </w:rPr>
        <w:t xml:space="preserve">pont), vesekárosodás (beleértve a szérum </w:t>
      </w:r>
      <w:r w:rsidR="00EE66DF" w:rsidRPr="009F1165">
        <w:rPr>
          <w:szCs w:val="22"/>
          <w:lang w:val="hu-HU"/>
        </w:rPr>
        <w:t>karbamid</w:t>
      </w:r>
      <w:r w:rsidR="00E56735" w:rsidRPr="009F1165">
        <w:rPr>
          <w:szCs w:val="22"/>
          <w:lang w:val="hu-HU"/>
        </w:rPr>
        <w:t>-</w:t>
      </w:r>
      <w:r w:rsidR="00EE66DF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 xml:space="preserve">és </w:t>
      </w:r>
      <w:proofErr w:type="spellStart"/>
      <w:r w:rsidRPr="009F1165">
        <w:rPr>
          <w:szCs w:val="22"/>
          <w:lang w:val="hu-HU"/>
        </w:rPr>
        <w:t>kreatininszint</w:t>
      </w:r>
      <w:proofErr w:type="spellEnd"/>
      <w:r w:rsidRPr="009F1165">
        <w:rPr>
          <w:szCs w:val="22"/>
          <w:lang w:val="hu-HU"/>
        </w:rPr>
        <w:t xml:space="preserve"> emelkedését</w:t>
      </w:r>
      <w:r w:rsidR="00EE66DF" w:rsidRPr="009F1165">
        <w:rPr>
          <w:szCs w:val="22"/>
          <w:lang w:val="hu-HU"/>
        </w:rPr>
        <w:t xml:space="preserve"> is</w:t>
      </w:r>
      <w:r w:rsidRPr="009F1165">
        <w:rPr>
          <w:szCs w:val="22"/>
          <w:lang w:val="hu-HU"/>
        </w:rPr>
        <w:t>), veseelégtelenség (lásd 4.</w:t>
      </w:r>
      <w:r w:rsidR="00D06D16" w:rsidRPr="009F1165">
        <w:rPr>
          <w:szCs w:val="22"/>
          <w:lang w:val="hu-HU"/>
        </w:rPr>
        <w:t>4 </w:t>
      </w:r>
      <w:r w:rsidRPr="009F1165">
        <w:rPr>
          <w:szCs w:val="22"/>
          <w:lang w:val="hu-HU"/>
        </w:rPr>
        <w:t>pont)</w:t>
      </w:r>
    </w:p>
    <w:p w14:paraId="3CB932D3" w14:textId="77777777" w:rsidR="00E56735" w:rsidRPr="009F1165" w:rsidRDefault="00E56735" w:rsidP="009F1165">
      <w:pPr>
        <w:widowControl w:val="0"/>
        <w:autoSpaceDE w:val="0"/>
        <w:autoSpaceDN w:val="0"/>
        <w:adjustRightInd w:val="0"/>
        <w:rPr>
          <w:szCs w:val="22"/>
          <w:lang w:val="hu-HU"/>
        </w:rPr>
      </w:pPr>
    </w:p>
    <w:p w14:paraId="27DFADCF" w14:textId="7BC3EBB4" w:rsidR="00A83D7D" w:rsidRPr="009F1165" w:rsidRDefault="00A83D7D" w:rsidP="009F1165">
      <w:pPr>
        <w:widowControl w:val="0"/>
        <w:autoSpaceDE w:val="0"/>
        <w:autoSpaceDN w:val="0"/>
        <w:adjustRightInd w:val="0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Nagyon </w:t>
      </w:r>
      <w:r w:rsidR="00EE66DF" w:rsidRPr="009F1165">
        <w:rPr>
          <w:szCs w:val="22"/>
          <w:lang w:val="hu-HU"/>
        </w:rPr>
        <w:t xml:space="preserve">ritkán </w:t>
      </w:r>
      <w:r w:rsidRPr="009F1165">
        <w:rPr>
          <w:szCs w:val="22"/>
          <w:lang w:val="hu-HU"/>
        </w:rPr>
        <w:t xml:space="preserve">előfordultak egyéb </w:t>
      </w:r>
      <w:proofErr w:type="spellStart"/>
      <w:r w:rsidRPr="009F1165">
        <w:rPr>
          <w:szCs w:val="22"/>
          <w:lang w:val="hu-HU"/>
        </w:rPr>
        <w:t>fluorokinolonokkal</w:t>
      </w:r>
      <w:proofErr w:type="spellEnd"/>
      <w:r w:rsidRPr="009F1165">
        <w:rPr>
          <w:szCs w:val="22"/>
          <w:lang w:val="hu-HU"/>
        </w:rPr>
        <w:t xml:space="preserve"> folytatott kezelés során a következő mellékhatások is, amelyek jelentkezése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="00E56735" w:rsidRPr="009F1165">
        <w:rPr>
          <w:szCs w:val="22"/>
          <w:lang w:val="hu-HU"/>
        </w:rPr>
        <w:t>-</w:t>
      </w:r>
      <w:r w:rsidRPr="009F1165">
        <w:rPr>
          <w:szCs w:val="22"/>
          <w:lang w:val="hu-HU"/>
        </w:rPr>
        <w:t xml:space="preserve">kezelés folyamán se zárható ki: </w:t>
      </w:r>
      <w:r w:rsidR="00CB27D4">
        <w:rPr>
          <w:lang w:val="hu-HU"/>
        </w:rPr>
        <w:t xml:space="preserve">megnövekedett </w:t>
      </w:r>
      <w:proofErr w:type="spellStart"/>
      <w:r w:rsidR="00CB27D4">
        <w:rPr>
          <w:lang w:val="hu-HU"/>
        </w:rPr>
        <w:t>intracranialis</w:t>
      </w:r>
      <w:proofErr w:type="spellEnd"/>
      <w:r w:rsidR="00CB27D4">
        <w:rPr>
          <w:lang w:val="hu-HU"/>
        </w:rPr>
        <w:t xml:space="preserve"> nyomás (beleértve: </w:t>
      </w:r>
      <w:proofErr w:type="spellStart"/>
      <w:r w:rsidR="00CB27D4" w:rsidRPr="00413F4E">
        <w:rPr>
          <w:rFonts w:eastAsia="Batang"/>
          <w:lang w:val="hu-HU"/>
        </w:rPr>
        <w:t>pseudotumor</w:t>
      </w:r>
      <w:proofErr w:type="spellEnd"/>
      <w:r w:rsidR="00CB27D4" w:rsidRPr="00413F4E">
        <w:rPr>
          <w:rFonts w:eastAsia="Batang"/>
          <w:lang w:val="hu-HU"/>
        </w:rPr>
        <w:t xml:space="preserve"> </w:t>
      </w:r>
      <w:proofErr w:type="spellStart"/>
      <w:r w:rsidR="00CB27D4" w:rsidRPr="00413F4E">
        <w:rPr>
          <w:rFonts w:eastAsia="Batang"/>
          <w:lang w:val="hu-HU"/>
        </w:rPr>
        <w:t>cerebri</w:t>
      </w:r>
      <w:proofErr w:type="spellEnd"/>
      <w:r w:rsidR="00CB27D4">
        <w:rPr>
          <w:lang w:val="hu-HU"/>
        </w:rPr>
        <w:t xml:space="preserve">), </w:t>
      </w:r>
      <w:proofErr w:type="spellStart"/>
      <w:r w:rsidRPr="009F1165">
        <w:rPr>
          <w:szCs w:val="22"/>
          <w:lang w:val="hu-HU"/>
        </w:rPr>
        <w:t>hypernatraemia</w:t>
      </w:r>
      <w:proofErr w:type="spellEnd"/>
      <w:r w:rsidRPr="009F1165">
        <w:rPr>
          <w:szCs w:val="22"/>
          <w:lang w:val="hu-HU"/>
        </w:rPr>
        <w:t xml:space="preserve">, </w:t>
      </w:r>
      <w:proofErr w:type="spellStart"/>
      <w:r w:rsidRPr="009F1165">
        <w:rPr>
          <w:szCs w:val="22"/>
          <w:lang w:val="hu-HU"/>
        </w:rPr>
        <w:t>hypercalcaemia</w:t>
      </w:r>
      <w:proofErr w:type="spellEnd"/>
      <w:r w:rsidRPr="009F1165">
        <w:rPr>
          <w:szCs w:val="22"/>
          <w:lang w:val="hu-HU"/>
        </w:rPr>
        <w:t xml:space="preserve">, </w:t>
      </w:r>
      <w:proofErr w:type="spellStart"/>
      <w:r w:rsidR="000E7FFD" w:rsidRPr="009F1165">
        <w:rPr>
          <w:szCs w:val="22"/>
          <w:lang w:val="hu-HU"/>
        </w:rPr>
        <w:t>haemol</w:t>
      </w:r>
      <w:r w:rsidR="00E56735" w:rsidRPr="009F1165">
        <w:rPr>
          <w:szCs w:val="22"/>
          <w:lang w:val="hu-HU"/>
        </w:rPr>
        <w:t>y</w:t>
      </w:r>
      <w:r w:rsidR="000E7FFD" w:rsidRPr="009F1165">
        <w:rPr>
          <w:szCs w:val="22"/>
          <w:lang w:val="hu-HU"/>
        </w:rPr>
        <w:t>ti</w:t>
      </w:r>
      <w:r w:rsidR="00E56735" w:rsidRPr="009F1165">
        <w:rPr>
          <w:szCs w:val="22"/>
          <w:lang w:val="hu-HU"/>
        </w:rPr>
        <w:t>c</w:t>
      </w:r>
      <w:r w:rsidR="000E7FFD" w:rsidRPr="009F1165">
        <w:rPr>
          <w:szCs w:val="22"/>
          <w:lang w:val="hu-HU"/>
        </w:rPr>
        <w:t>us</w:t>
      </w:r>
      <w:proofErr w:type="spellEnd"/>
      <w:r w:rsidR="000E7FFD" w:rsidRPr="009F1165">
        <w:rPr>
          <w:szCs w:val="22"/>
          <w:lang w:val="hu-HU"/>
        </w:rPr>
        <w:t xml:space="preserve"> </w:t>
      </w:r>
      <w:proofErr w:type="spellStart"/>
      <w:r w:rsidR="000E7FFD" w:rsidRPr="009F1165">
        <w:rPr>
          <w:szCs w:val="22"/>
          <w:lang w:val="hu-HU"/>
        </w:rPr>
        <w:t>anaemia</w:t>
      </w:r>
      <w:proofErr w:type="spellEnd"/>
      <w:r w:rsidR="00207FCF">
        <w:rPr>
          <w:szCs w:val="22"/>
          <w:lang w:val="hu-HU"/>
        </w:rPr>
        <w:t xml:space="preserve">, </w:t>
      </w:r>
      <w:r w:rsidRPr="009F1165">
        <w:rPr>
          <w:szCs w:val="22"/>
          <w:lang w:val="hu-HU"/>
        </w:rPr>
        <w:t>fényérzékenységi reakciók</w:t>
      </w:r>
      <w:r w:rsidR="000E7FFD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>(lásd 4.</w:t>
      </w:r>
      <w:r w:rsidR="00D06D16" w:rsidRPr="009F1165">
        <w:rPr>
          <w:szCs w:val="22"/>
          <w:lang w:val="hu-HU"/>
        </w:rPr>
        <w:t>4 </w:t>
      </w:r>
      <w:r w:rsidRPr="009F1165">
        <w:rPr>
          <w:szCs w:val="22"/>
          <w:lang w:val="hu-HU"/>
        </w:rPr>
        <w:t>pont).</w:t>
      </w:r>
    </w:p>
    <w:p w14:paraId="4B1B99EB" w14:textId="77777777" w:rsidR="00A83D7D" w:rsidRPr="009F1165" w:rsidRDefault="00A83D7D" w:rsidP="009F1165">
      <w:pPr>
        <w:rPr>
          <w:bCs/>
          <w:caps/>
          <w:szCs w:val="22"/>
          <w:lang w:val="hu-HU"/>
        </w:rPr>
      </w:pPr>
    </w:p>
    <w:p w14:paraId="6A3FF277" w14:textId="77777777" w:rsidR="00721A47" w:rsidRPr="009F1165" w:rsidRDefault="00721A47" w:rsidP="00721A47">
      <w:pPr>
        <w:rPr>
          <w:szCs w:val="22"/>
          <w:u w:val="single"/>
          <w:lang w:val="hu-HU"/>
        </w:rPr>
      </w:pPr>
      <w:r w:rsidRPr="009F1165">
        <w:rPr>
          <w:szCs w:val="22"/>
          <w:u w:val="single"/>
          <w:lang w:val="hu-HU"/>
        </w:rPr>
        <w:t>Feltételezett mellékhatások bejelentése</w:t>
      </w:r>
    </w:p>
    <w:p w14:paraId="3245AEE0" w14:textId="77777777" w:rsidR="00721A47" w:rsidRPr="009F1165" w:rsidRDefault="00721A47" w:rsidP="00721A47">
      <w:pPr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gyógyszer engedélyezését követően lényeges a feltételezett mellékhatások bejelentése, mert ez fontos eszköze annak, hogy a gyógyszer előny/kockázat </w:t>
      </w:r>
      <w:proofErr w:type="gramStart"/>
      <w:r w:rsidRPr="009F1165">
        <w:rPr>
          <w:szCs w:val="22"/>
          <w:lang w:val="hu-HU"/>
        </w:rPr>
        <w:t>profilját</w:t>
      </w:r>
      <w:proofErr w:type="gramEnd"/>
      <w:r w:rsidRPr="009F1165">
        <w:rPr>
          <w:szCs w:val="22"/>
          <w:lang w:val="hu-HU"/>
        </w:rPr>
        <w:t xml:space="preserve"> folyamatosan figyelemmel lehessen kísérni. </w:t>
      </w:r>
    </w:p>
    <w:p w14:paraId="36529394" w14:textId="3F347386" w:rsidR="00721A47" w:rsidRDefault="00721A47" w:rsidP="00721A47">
      <w:pPr>
        <w:rPr>
          <w:bCs/>
          <w:lang w:val="hu-HU"/>
        </w:rPr>
      </w:pPr>
      <w:r w:rsidRPr="009F1165">
        <w:rPr>
          <w:szCs w:val="22"/>
          <w:lang w:val="hu-HU"/>
        </w:rPr>
        <w:t xml:space="preserve">Az egészségügyi szakembereket kérjük, hogy jelentsék be a feltételezett mellékhatásokat a hatóság </w:t>
      </w:r>
      <w:r w:rsidRPr="00F83F09">
        <w:rPr>
          <w:szCs w:val="22"/>
          <w:lang w:val="hu-HU"/>
        </w:rPr>
        <w:t xml:space="preserve">részére </w:t>
      </w:r>
      <w:r w:rsidR="00075E4E" w:rsidRPr="00F83F09">
        <w:rPr>
          <w:szCs w:val="22"/>
          <w:lang w:val="hu-HU"/>
        </w:rPr>
        <w:t xml:space="preserve">az </w:t>
      </w:r>
      <w:hyperlink r:id="rId8" w:history="1">
        <w:r w:rsidR="00075E4E" w:rsidRPr="00FC6329">
          <w:rPr>
            <w:rStyle w:val="Hiperhivatkozs"/>
            <w:szCs w:val="22"/>
            <w:lang w:val="hu-HU"/>
          </w:rPr>
          <w:t>V. függelékben</w:t>
        </w:r>
      </w:hyperlink>
      <w:r w:rsidR="00075E4E" w:rsidRPr="00FC6329">
        <w:rPr>
          <w:szCs w:val="22"/>
          <w:lang w:val="hu-HU"/>
        </w:rPr>
        <w:t xml:space="preserve"> található elérhetőségek valamelyikén keresztül</w:t>
      </w:r>
      <w:r w:rsidR="00075E4E" w:rsidRPr="00F83F09">
        <w:rPr>
          <w:szCs w:val="22"/>
          <w:lang w:val="hu-HU"/>
        </w:rPr>
        <w:t>.</w:t>
      </w:r>
    </w:p>
    <w:p w14:paraId="773425F9" w14:textId="77777777" w:rsidR="00F328D9" w:rsidRPr="009F1165" w:rsidRDefault="00F328D9" w:rsidP="00721A47">
      <w:pPr>
        <w:rPr>
          <w:szCs w:val="22"/>
          <w:u w:val="single"/>
          <w:lang w:val="hu-HU"/>
        </w:rPr>
      </w:pPr>
    </w:p>
    <w:p w14:paraId="1FAA07EB" w14:textId="77777777" w:rsidR="00A83D7D" w:rsidRPr="009F1165" w:rsidRDefault="00A83D7D" w:rsidP="009F1165">
      <w:pPr>
        <w:keepNext/>
        <w:keepLines/>
        <w:rPr>
          <w:b/>
          <w:bCs/>
          <w:szCs w:val="22"/>
          <w:lang w:val="hu-HU"/>
        </w:rPr>
      </w:pPr>
      <w:r w:rsidRPr="009F1165">
        <w:rPr>
          <w:b/>
          <w:bCs/>
          <w:caps/>
          <w:szCs w:val="22"/>
          <w:lang w:val="hu-HU"/>
        </w:rPr>
        <w:lastRenderedPageBreak/>
        <w:t>4.9.</w:t>
      </w:r>
      <w:r w:rsidRPr="009F1165">
        <w:rPr>
          <w:b/>
          <w:bCs/>
          <w:caps/>
          <w:szCs w:val="22"/>
          <w:lang w:val="hu-HU"/>
        </w:rPr>
        <w:tab/>
        <w:t>T</w:t>
      </w:r>
      <w:r w:rsidRPr="009F1165">
        <w:rPr>
          <w:b/>
          <w:bCs/>
          <w:szCs w:val="22"/>
          <w:lang w:val="hu-HU"/>
        </w:rPr>
        <w:t>úladagolás</w:t>
      </w:r>
    </w:p>
    <w:p w14:paraId="58FE7313" w14:textId="77777777" w:rsidR="00A83D7D" w:rsidRPr="009F1165" w:rsidRDefault="00A83D7D" w:rsidP="009F1165">
      <w:pPr>
        <w:keepNext/>
        <w:keepLines/>
        <w:tabs>
          <w:tab w:val="left" w:pos="567"/>
        </w:tabs>
        <w:rPr>
          <w:szCs w:val="22"/>
          <w:lang w:val="hu-HU"/>
        </w:rPr>
      </w:pPr>
    </w:p>
    <w:p w14:paraId="34917C4A" w14:textId="77777777" w:rsidR="00EE66DF" w:rsidRPr="009F1165" w:rsidRDefault="00A83D7D" w:rsidP="009F1165">
      <w:pPr>
        <w:keepNext/>
        <w:keepLines/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>Véletlen túladagolást követően különösebb ellenintézkedést nem</w:t>
      </w:r>
      <w:r w:rsidR="00EE66DF" w:rsidRPr="009F1165">
        <w:rPr>
          <w:szCs w:val="22"/>
          <w:lang w:val="hu-HU"/>
        </w:rPr>
        <w:t xml:space="preserve"> szükséges</w:t>
      </w:r>
      <w:r w:rsidRPr="009F1165">
        <w:rPr>
          <w:szCs w:val="22"/>
          <w:lang w:val="hu-HU"/>
        </w:rPr>
        <w:t xml:space="preserve">. </w:t>
      </w:r>
      <w:r w:rsidR="00AC0488" w:rsidRPr="009F1165">
        <w:rPr>
          <w:szCs w:val="22"/>
          <w:lang w:val="hu-HU"/>
        </w:rPr>
        <w:t xml:space="preserve">Túladagolás esetén tüneti kezelést kell alkalmazni. </w:t>
      </w:r>
      <w:r w:rsidR="00C92611" w:rsidRPr="009F1165">
        <w:rPr>
          <w:szCs w:val="22"/>
          <w:lang w:val="hu-HU"/>
        </w:rPr>
        <w:t xml:space="preserve">EKG ellenőrzés szükséges, mert </w:t>
      </w:r>
      <w:r w:rsidR="00E56735" w:rsidRPr="009F1165">
        <w:rPr>
          <w:szCs w:val="22"/>
          <w:lang w:val="hu-HU"/>
        </w:rPr>
        <w:t xml:space="preserve">a </w:t>
      </w:r>
      <w:r w:rsidR="00C92611" w:rsidRPr="009F1165">
        <w:rPr>
          <w:szCs w:val="22"/>
          <w:lang w:val="hu-HU"/>
        </w:rPr>
        <w:t>QT</w:t>
      </w:r>
      <w:r w:rsidR="00E56735" w:rsidRPr="009F1165">
        <w:rPr>
          <w:szCs w:val="22"/>
          <w:lang w:val="hu-HU"/>
        </w:rPr>
        <w:t>-szakasz</w:t>
      </w:r>
      <w:r w:rsidR="00C92611" w:rsidRPr="009F1165">
        <w:rPr>
          <w:szCs w:val="22"/>
          <w:lang w:val="hu-HU"/>
        </w:rPr>
        <w:t xml:space="preserve"> meghosszabbodása lehetséges</w:t>
      </w:r>
      <w:r w:rsidR="00E56735" w:rsidRPr="009F1165">
        <w:rPr>
          <w:szCs w:val="22"/>
          <w:lang w:val="hu-HU"/>
        </w:rPr>
        <w:t>.</w:t>
      </w:r>
      <w:r w:rsidR="00C92611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 xml:space="preserve">Orvosi szén és 400 mg per </w:t>
      </w:r>
      <w:proofErr w:type="spellStart"/>
      <w:r w:rsidRPr="009F1165">
        <w:rPr>
          <w:szCs w:val="22"/>
          <w:lang w:val="hu-HU"/>
        </w:rPr>
        <w:t>os</w:t>
      </w:r>
      <w:proofErr w:type="spellEnd"/>
      <w:r w:rsidR="00EE66DF" w:rsidRPr="009F1165">
        <w:rPr>
          <w:szCs w:val="22"/>
          <w:lang w:val="hu-HU"/>
        </w:rPr>
        <w:t>,</w:t>
      </w:r>
      <w:r w:rsidRPr="009F1165">
        <w:rPr>
          <w:szCs w:val="22"/>
          <w:lang w:val="hu-HU"/>
        </w:rPr>
        <w:t xml:space="preserve"> illetve intravénásan adott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együttes alkalmazása több mint 80%</w:t>
      </w:r>
      <w:r w:rsidR="00E56735" w:rsidRPr="009F1165">
        <w:rPr>
          <w:szCs w:val="22"/>
          <w:lang w:val="hu-HU"/>
        </w:rPr>
        <w:t>-</w:t>
      </w:r>
      <w:proofErr w:type="spellStart"/>
      <w:r w:rsidR="00E56735" w:rsidRPr="009F1165">
        <w:rPr>
          <w:szCs w:val="22"/>
          <w:lang w:val="hu-HU"/>
        </w:rPr>
        <w:t>kal</w:t>
      </w:r>
      <w:proofErr w:type="spellEnd"/>
      <w:r w:rsidR="00E56735" w:rsidRPr="009F1165">
        <w:rPr>
          <w:szCs w:val="22"/>
          <w:lang w:val="hu-HU"/>
        </w:rPr>
        <w:t>,</w:t>
      </w:r>
      <w:r w:rsidRPr="009F1165">
        <w:rPr>
          <w:szCs w:val="22"/>
          <w:lang w:val="hu-HU"/>
        </w:rPr>
        <w:t xml:space="preserve"> illetve 20</w:t>
      </w:r>
      <w:r w:rsidR="00D06D16" w:rsidRPr="009F1165">
        <w:rPr>
          <w:szCs w:val="22"/>
          <w:lang w:val="hu-HU"/>
        </w:rPr>
        <w:t>%</w:t>
      </w:r>
      <w:r w:rsidR="00D06D16" w:rsidRPr="009F1165">
        <w:rPr>
          <w:szCs w:val="22"/>
          <w:lang w:val="hu-HU"/>
        </w:rPr>
        <w:noBreakHyphen/>
      </w:r>
      <w:proofErr w:type="spellStart"/>
      <w:r w:rsidRPr="009F1165">
        <w:rPr>
          <w:szCs w:val="22"/>
          <w:lang w:val="hu-HU"/>
        </w:rPr>
        <w:t>kal</w:t>
      </w:r>
      <w:proofErr w:type="spellEnd"/>
      <w:r w:rsidRPr="009F1165">
        <w:rPr>
          <w:szCs w:val="22"/>
          <w:lang w:val="hu-HU"/>
        </w:rPr>
        <w:t xml:space="preserve"> csökkentette a gyógyszer </w:t>
      </w:r>
      <w:proofErr w:type="gramStart"/>
      <w:r w:rsidRPr="009F1165">
        <w:rPr>
          <w:szCs w:val="22"/>
          <w:lang w:val="hu-HU"/>
        </w:rPr>
        <w:t>szisztémás</w:t>
      </w:r>
      <w:proofErr w:type="gramEnd"/>
      <w:r w:rsidRPr="009F1165">
        <w:rPr>
          <w:szCs w:val="22"/>
          <w:lang w:val="hu-HU"/>
        </w:rPr>
        <w:t xml:space="preserve"> hasznosulását.</w:t>
      </w:r>
    </w:p>
    <w:p w14:paraId="4C59FB4C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felszívódás elején adott aktív </w:t>
      </w:r>
      <w:proofErr w:type="gramStart"/>
      <w:r w:rsidRPr="009F1165">
        <w:rPr>
          <w:szCs w:val="22"/>
          <w:lang w:val="hu-HU"/>
        </w:rPr>
        <w:t>szén hatásosan</w:t>
      </w:r>
      <w:proofErr w:type="gramEnd"/>
      <w:r w:rsidRPr="009F1165">
        <w:rPr>
          <w:szCs w:val="22"/>
          <w:lang w:val="hu-HU"/>
        </w:rPr>
        <w:t xml:space="preserve"> megakadályozhatja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szisztémás expozíciójának túlzott mértékű megemelkedését per </w:t>
      </w:r>
      <w:proofErr w:type="spellStart"/>
      <w:r w:rsidRPr="009F1165">
        <w:rPr>
          <w:szCs w:val="22"/>
          <w:lang w:val="hu-HU"/>
        </w:rPr>
        <w:t>os</w:t>
      </w:r>
      <w:proofErr w:type="spellEnd"/>
      <w:r w:rsidRPr="009F1165">
        <w:rPr>
          <w:szCs w:val="22"/>
          <w:lang w:val="hu-HU"/>
        </w:rPr>
        <w:t xml:space="preserve"> túladagolása esetén.</w:t>
      </w:r>
    </w:p>
    <w:p w14:paraId="330A7956" w14:textId="77777777" w:rsidR="00A83D7D" w:rsidRPr="009F1165" w:rsidRDefault="00A83D7D" w:rsidP="009F1165">
      <w:pPr>
        <w:tabs>
          <w:tab w:val="left" w:pos="567"/>
          <w:tab w:val="left" w:pos="1063"/>
          <w:tab w:val="left" w:pos="9284"/>
        </w:tabs>
        <w:rPr>
          <w:szCs w:val="22"/>
          <w:lang w:val="hu-HU"/>
        </w:rPr>
      </w:pPr>
    </w:p>
    <w:p w14:paraId="33DDB335" w14:textId="77777777" w:rsidR="00A83D7D" w:rsidRPr="009F1165" w:rsidRDefault="00A83D7D" w:rsidP="009F1165">
      <w:pPr>
        <w:tabs>
          <w:tab w:val="left" w:pos="567"/>
          <w:tab w:val="left" w:pos="1063"/>
          <w:tab w:val="left" w:pos="9284"/>
        </w:tabs>
        <w:rPr>
          <w:szCs w:val="22"/>
          <w:lang w:val="hu-HU"/>
        </w:rPr>
      </w:pPr>
    </w:p>
    <w:p w14:paraId="5B30BF5C" w14:textId="77777777" w:rsidR="00A83D7D" w:rsidRPr="009F1165" w:rsidRDefault="00A83D7D" w:rsidP="009F1165">
      <w:pPr>
        <w:keepNext/>
        <w:keepLines/>
        <w:tabs>
          <w:tab w:val="left" w:pos="575"/>
        </w:tabs>
        <w:rPr>
          <w:b/>
          <w:bCs/>
          <w:szCs w:val="22"/>
          <w:lang w:val="hu-HU"/>
        </w:rPr>
      </w:pPr>
      <w:r w:rsidRPr="009F1165">
        <w:rPr>
          <w:b/>
          <w:bCs/>
          <w:szCs w:val="22"/>
          <w:lang w:val="hu-HU"/>
        </w:rPr>
        <w:t>5.</w:t>
      </w:r>
      <w:r w:rsidRPr="009F1165">
        <w:rPr>
          <w:b/>
          <w:bCs/>
          <w:szCs w:val="22"/>
          <w:lang w:val="hu-HU"/>
        </w:rPr>
        <w:tab/>
      </w:r>
      <w:proofErr w:type="gramStart"/>
      <w:r w:rsidRPr="009F1165">
        <w:rPr>
          <w:b/>
          <w:bCs/>
          <w:szCs w:val="22"/>
          <w:lang w:val="hu-HU"/>
        </w:rPr>
        <w:t>FARMAKOLÓGIAI</w:t>
      </w:r>
      <w:proofErr w:type="gramEnd"/>
      <w:r w:rsidRPr="009F1165">
        <w:rPr>
          <w:b/>
          <w:bCs/>
          <w:szCs w:val="22"/>
          <w:lang w:val="hu-HU"/>
        </w:rPr>
        <w:t xml:space="preserve"> TULAJDONSÁGOK</w:t>
      </w:r>
    </w:p>
    <w:p w14:paraId="782A14B8" w14:textId="77777777" w:rsidR="00A83D7D" w:rsidRPr="009F1165" w:rsidRDefault="00A83D7D" w:rsidP="009F1165">
      <w:pPr>
        <w:keepNext/>
        <w:keepLines/>
        <w:tabs>
          <w:tab w:val="left" w:pos="850"/>
        </w:tabs>
        <w:rPr>
          <w:szCs w:val="22"/>
          <w:lang w:val="hu-HU"/>
        </w:rPr>
      </w:pPr>
    </w:p>
    <w:p w14:paraId="0169D10E" w14:textId="77777777" w:rsidR="00A83D7D" w:rsidRPr="009F1165" w:rsidRDefault="00A83D7D" w:rsidP="009F1165">
      <w:pPr>
        <w:keepNext/>
        <w:keepLines/>
        <w:tabs>
          <w:tab w:val="left" w:pos="550"/>
        </w:tabs>
        <w:rPr>
          <w:b/>
          <w:bCs/>
          <w:szCs w:val="22"/>
          <w:lang w:val="hu-HU"/>
        </w:rPr>
      </w:pPr>
      <w:r w:rsidRPr="009F1165">
        <w:rPr>
          <w:b/>
          <w:bCs/>
          <w:szCs w:val="22"/>
          <w:lang w:val="hu-HU"/>
        </w:rPr>
        <w:t>5.1</w:t>
      </w:r>
      <w:r w:rsidRPr="009F1165">
        <w:rPr>
          <w:b/>
          <w:bCs/>
          <w:szCs w:val="22"/>
          <w:lang w:val="hu-HU"/>
        </w:rPr>
        <w:tab/>
      </w:r>
      <w:proofErr w:type="spellStart"/>
      <w:r w:rsidRPr="009F1165">
        <w:rPr>
          <w:b/>
          <w:bCs/>
          <w:szCs w:val="22"/>
          <w:lang w:val="hu-HU"/>
        </w:rPr>
        <w:t>Farmakodinámiás</w:t>
      </w:r>
      <w:proofErr w:type="spellEnd"/>
      <w:r w:rsidRPr="009F1165">
        <w:rPr>
          <w:b/>
          <w:bCs/>
          <w:szCs w:val="22"/>
          <w:lang w:val="hu-HU"/>
        </w:rPr>
        <w:t xml:space="preserve"> tulajdonságok</w:t>
      </w:r>
    </w:p>
    <w:p w14:paraId="5385C374" w14:textId="77777777" w:rsidR="00A83D7D" w:rsidRPr="009F1165" w:rsidRDefault="00A83D7D" w:rsidP="009F1165">
      <w:pPr>
        <w:keepNext/>
        <w:keepLines/>
        <w:tabs>
          <w:tab w:val="left" w:pos="850"/>
        </w:tabs>
        <w:rPr>
          <w:szCs w:val="22"/>
          <w:lang w:val="hu-HU"/>
        </w:rPr>
      </w:pPr>
    </w:p>
    <w:p w14:paraId="4DA809EA" w14:textId="77777777" w:rsidR="00F61DD0" w:rsidRPr="009F1165" w:rsidRDefault="00A83D7D" w:rsidP="009F1165">
      <w:pPr>
        <w:keepNext/>
        <w:keepLines/>
        <w:tabs>
          <w:tab w:val="left" w:pos="850"/>
        </w:tabs>
        <w:rPr>
          <w:szCs w:val="22"/>
          <w:lang w:val="hu-HU"/>
        </w:rPr>
      </w:pPr>
      <w:proofErr w:type="spellStart"/>
      <w:r w:rsidRPr="009F1165">
        <w:rPr>
          <w:bCs/>
          <w:szCs w:val="22"/>
          <w:lang w:val="hu-HU"/>
        </w:rPr>
        <w:t>Farmakoterápiás</w:t>
      </w:r>
      <w:proofErr w:type="spellEnd"/>
      <w:r w:rsidRPr="009F1165">
        <w:rPr>
          <w:bCs/>
          <w:szCs w:val="22"/>
          <w:lang w:val="hu-HU"/>
        </w:rPr>
        <w:t xml:space="preserve"> csoport: </w:t>
      </w:r>
      <w:proofErr w:type="spellStart"/>
      <w:r w:rsidRPr="009F1165">
        <w:rPr>
          <w:szCs w:val="22"/>
          <w:lang w:val="hu-HU"/>
        </w:rPr>
        <w:t>kinolon</w:t>
      </w:r>
      <w:proofErr w:type="spellEnd"/>
      <w:r w:rsidRPr="009F1165">
        <w:rPr>
          <w:szCs w:val="22"/>
          <w:lang w:val="hu-HU"/>
        </w:rPr>
        <w:t xml:space="preserve"> antibiotikumok,</w:t>
      </w:r>
      <w:r w:rsidR="00B842D9" w:rsidRPr="009F1165">
        <w:rPr>
          <w:szCs w:val="22"/>
          <w:lang w:val="hu-HU"/>
        </w:rPr>
        <w:t xml:space="preserve"> </w:t>
      </w:r>
      <w:proofErr w:type="spellStart"/>
      <w:r w:rsidR="007318F4" w:rsidRPr="009F1165">
        <w:rPr>
          <w:szCs w:val="22"/>
          <w:lang w:val="hu-HU"/>
        </w:rPr>
        <w:t>fluorokinolonok</w:t>
      </w:r>
      <w:proofErr w:type="spellEnd"/>
      <w:r w:rsidR="004C4714" w:rsidRPr="009F1165">
        <w:rPr>
          <w:szCs w:val="22"/>
          <w:lang w:val="hu-HU"/>
        </w:rPr>
        <w:t xml:space="preserve"> </w:t>
      </w:r>
    </w:p>
    <w:p w14:paraId="429133F8" w14:textId="77777777" w:rsidR="00A83D7D" w:rsidRPr="009F1165" w:rsidRDefault="00A83D7D" w:rsidP="009F1165">
      <w:pPr>
        <w:keepNext/>
        <w:keepLines/>
        <w:tabs>
          <w:tab w:val="left" w:pos="850"/>
        </w:tabs>
        <w:rPr>
          <w:szCs w:val="22"/>
          <w:lang w:val="hu-HU"/>
        </w:rPr>
      </w:pPr>
      <w:r w:rsidRPr="009F1165">
        <w:rPr>
          <w:szCs w:val="22"/>
          <w:lang w:val="hu-HU"/>
        </w:rPr>
        <w:t>ATC</w:t>
      </w:r>
      <w:r w:rsidR="00E56735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>kód: J01MA14</w:t>
      </w:r>
    </w:p>
    <w:p w14:paraId="57838264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6B2E133D" w14:textId="77777777" w:rsidR="00A83D7D" w:rsidRPr="009F1165" w:rsidRDefault="00A83D7D" w:rsidP="009F1165">
      <w:pPr>
        <w:keepNext/>
        <w:keepLines/>
        <w:tabs>
          <w:tab w:val="left" w:pos="567"/>
        </w:tabs>
        <w:rPr>
          <w:iCs/>
          <w:szCs w:val="22"/>
          <w:u w:val="single"/>
          <w:lang w:val="hu-HU"/>
        </w:rPr>
      </w:pPr>
      <w:r w:rsidRPr="009F1165">
        <w:rPr>
          <w:iCs/>
          <w:szCs w:val="22"/>
          <w:u w:val="single"/>
          <w:lang w:val="hu-HU"/>
        </w:rPr>
        <w:t>Hatás</w:t>
      </w:r>
      <w:r w:rsidR="00F61DD0" w:rsidRPr="009F1165">
        <w:rPr>
          <w:iCs/>
          <w:szCs w:val="22"/>
          <w:u w:val="single"/>
          <w:lang w:val="hu-HU"/>
        </w:rPr>
        <w:t>mechanizmus</w:t>
      </w:r>
    </w:p>
    <w:p w14:paraId="61A4EDFD" w14:textId="77777777" w:rsidR="00A83D7D" w:rsidRPr="009F1165" w:rsidRDefault="00A83D7D" w:rsidP="009F1165">
      <w:pPr>
        <w:keepNext/>
        <w:keepLines/>
        <w:widowControl w:val="0"/>
        <w:autoSpaceDE w:val="0"/>
        <w:autoSpaceDN w:val="0"/>
        <w:adjustRightInd w:val="0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gátolja a bakteriális </w:t>
      </w:r>
      <w:proofErr w:type="spellStart"/>
      <w:r w:rsidRPr="009F1165">
        <w:rPr>
          <w:szCs w:val="22"/>
          <w:lang w:val="hu-HU"/>
        </w:rPr>
        <w:t>topoizomeráz</w:t>
      </w:r>
      <w:proofErr w:type="spellEnd"/>
      <w:r w:rsidRPr="009F1165">
        <w:rPr>
          <w:szCs w:val="22"/>
          <w:lang w:val="hu-HU"/>
        </w:rPr>
        <w:t xml:space="preserve"> II (DNS</w:t>
      </w:r>
      <w:r w:rsidR="00D06D16" w:rsidRPr="009F1165">
        <w:rPr>
          <w:szCs w:val="22"/>
          <w:lang w:val="hu-HU"/>
        </w:rPr>
        <w:noBreakHyphen/>
      </w:r>
      <w:proofErr w:type="spellStart"/>
      <w:r w:rsidRPr="009F1165">
        <w:rPr>
          <w:szCs w:val="22"/>
          <w:lang w:val="hu-HU"/>
        </w:rPr>
        <w:t>giráz</w:t>
      </w:r>
      <w:proofErr w:type="spellEnd"/>
      <w:r w:rsidRPr="009F1165">
        <w:rPr>
          <w:szCs w:val="22"/>
          <w:lang w:val="hu-HU"/>
        </w:rPr>
        <w:t xml:space="preserve"> és </w:t>
      </w:r>
      <w:proofErr w:type="spellStart"/>
      <w:r w:rsidR="00D06D16" w:rsidRPr="009F1165">
        <w:rPr>
          <w:szCs w:val="22"/>
          <w:lang w:val="hu-HU"/>
        </w:rPr>
        <w:t>topoizomeráz</w:t>
      </w:r>
      <w:proofErr w:type="spellEnd"/>
      <w:r w:rsidR="00D06D16" w:rsidRPr="009F1165">
        <w:rPr>
          <w:szCs w:val="22"/>
          <w:lang w:val="hu-HU"/>
        </w:rPr>
        <w:t> </w:t>
      </w:r>
      <w:r w:rsidRPr="009F1165">
        <w:rPr>
          <w:szCs w:val="22"/>
          <w:lang w:val="hu-HU"/>
        </w:rPr>
        <w:t xml:space="preserve">IV) enzimeket, amelyek kulcsszerepet játszanak a bakteriális DNS replikációjában, átírásában és </w:t>
      </w:r>
      <w:proofErr w:type="spellStart"/>
      <w:r w:rsidRPr="009F1165">
        <w:rPr>
          <w:szCs w:val="22"/>
          <w:lang w:val="hu-HU"/>
        </w:rPr>
        <w:t>repair</w:t>
      </w:r>
      <w:proofErr w:type="spellEnd"/>
      <w:r w:rsidRPr="009F1165">
        <w:rPr>
          <w:szCs w:val="22"/>
          <w:lang w:val="hu-HU"/>
        </w:rPr>
        <w:t xml:space="preserve"> rendszerében.</w:t>
      </w:r>
    </w:p>
    <w:p w14:paraId="0F4AF33B" w14:textId="77777777" w:rsidR="00A83D7D" w:rsidRPr="009F1165" w:rsidRDefault="00A83D7D" w:rsidP="009F1165">
      <w:pPr>
        <w:pStyle w:val="WW-NormlWeb"/>
        <w:widowControl w:val="0"/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z w:val="22"/>
          <w:szCs w:val="22"/>
          <w:lang w:eastAsia="hu-HU"/>
        </w:rPr>
      </w:pPr>
    </w:p>
    <w:p w14:paraId="4961DCA0" w14:textId="77777777" w:rsidR="00A83D7D" w:rsidRPr="009F1165" w:rsidRDefault="00A83D7D" w:rsidP="009F1165">
      <w:pPr>
        <w:pStyle w:val="WW-NormlWeb"/>
        <w:keepNext/>
        <w:keepLines/>
        <w:widowControl w:val="0"/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z w:val="22"/>
          <w:szCs w:val="22"/>
          <w:u w:val="single"/>
          <w:lang w:eastAsia="hu-HU"/>
        </w:rPr>
      </w:pPr>
      <w:r w:rsidRPr="009F1165">
        <w:rPr>
          <w:rFonts w:ascii="Times New Roman" w:eastAsia="Times New Roman" w:hAnsi="Times New Roman"/>
          <w:sz w:val="22"/>
          <w:szCs w:val="22"/>
          <w:u w:val="single"/>
          <w:lang w:eastAsia="hu-HU"/>
        </w:rPr>
        <w:t>PK/PD</w:t>
      </w:r>
    </w:p>
    <w:p w14:paraId="4A59B6D3" w14:textId="77777777" w:rsidR="00A83D7D" w:rsidRPr="009F1165" w:rsidRDefault="00A83D7D" w:rsidP="009F1165">
      <w:pPr>
        <w:keepNext/>
        <w:keepLines/>
        <w:tabs>
          <w:tab w:val="left" w:pos="567"/>
        </w:tabs>
        <w:rPr>
          <w:i/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fluorokinolonok</w:t>
      </w:r>
      <w:proofErr w:type="spellEnd"/>
      <w:r w:rsidRPr="009F1165">
        <w:rPr>
          <w:szCs w:val="22"/>
          <w:lang w:val="hu-HU"/>
        </w:rPr>
        <w:t xml:space="preserve"> baktericid hatása </w:t>
      </w:r>
      <w:proofErr w:type="gramStart"/>
      <w:r w:rsidRPr="009F1165">
        <w:rPr>
          <w:szCs w:val="22"/>
          <w:lang w:val="hu-HU"/>
        </w:rPr>
        <w:t>koncentráció</w:t>
      </w:r>
      <w:proofErr w:type="gramEnd"/>
      <w:r w:rsidRPr="009F1165">
        <w:rPr>
          <w:szCs w:val="22"/>
          <w:lang w:val="hu-HU"/>
        </w:rPr>
        <w:t xml:space="preserve">függő. A </w:t>
      </w:r>
      <w:proofErr w:type="spellStart"/>
      <w:r w:rsidRPr="009F1165">
        <w:rPr>
          <w:szCs w:val="22"/>
          <w:lang w:val="hu-HU"/>
        </w:rPr>
        <w:t>fluorokinolonokkal</w:t>
      </w:r>
      <w:proofErr w:type="spellEnd"/>
      <w:r w:rsidRPr="009F1165">
        <w:rPr>
          <w:szCs w:val="22"/>
          <w:lang w:val="hu-HU"/>
        </w:rPr>
        <w:t xml:space="preserve"> végzett </w:t>
      </w:r>
      <w:proofErr w:type="spellStart"/>
      <w:r w:rsidRPr="009F1165">
        <w:rPr>
          <w:szCs w:val="22"/>
          <w:lang w:val="hu-HU"/>
        </w:rPr>
        <w:t>farmakodinámiás</w:t>
      </w:r>
      <w:proofErr w:type="spellEnd"/>
      <w:r w:rsidRPr="009F1165">
        <w:rPr>
          <w:szCs w:val="22"/>
          <w:lang w:val="hu-HU"/>
        </w:rPr>
        <w:t xml:space="preserve"> vizsgálatok állatmodelleken és humán vizsgálatokban egyaránt azt mutatják, hogy a </w:t>
      </w:r>
      <w:proofErr w:type="spellStart"/>
      <w:r w:rsidRPr="009F1165">
        <w:rPr>
          <w:szCs w:val="22"/>
          <w:lang w:val="hu-HU"/>
        </w:rPr>
        <w:t>hatásosságot</w:t>
      </w:r>
      <w:proofErr w:type="spellEnd"/>
      <w:r w:rsidRPr="009F1165">
        <w:rPr>
          <w:szCs w:val="22"/>
          <w:lang w:val="hu-HU"/>
        </w:rPr>
        <w:t xml:space="preserve"> elsősorban az AUC</w:t>
      </w:r>
      <w:r w:rsidRPr="009F1165">
        <w:rPr>
          <w:szCs w:val="22"/>
          <w:vertAlign w:val="subscript"/>
          <w:lang w:val="hu-HU"/>
        </w:rPr>
        <w:t>24</w:t>
      </w:r>
      <w:r w:rsidRPr="009F1165">
        <w:rPr>
          <w:szCs w:val="22"/>
          <w:lang w:val="hu-HU"/>
        </w:rPr>
        <w:t>/MIC arány határozza meg.</w:t>
      </w:r>
    </w:p>
    <w:p w14:paraId="6EC7882D" w14:textId="77777777" w:rsidR="00A83D7D" w:rsidRPr="009F1165" w:rsidRDefault="00A83D7D" w:rsidP="009F1165">
      <w:pPr>
        <w:pStyle w:val="Vgjegyzetszvege"/>
        <w:tabs>
          <w:tab w:val="left" w:pos="567"/>
          <w:tab w:val="left" w:pos="709"/>
          <w:tab w:val="left" w:pos="9284"/>
        </w:tabs>
        <w:suppressAutoHyphens w:val="0"/>
        <w:spacing w:line="240" w:lineRule="auto"/>
        <w:rPr>
          <w:szCs w:val="22"/>
          <w:lang w:val="hu-HU" w:eastAsia="hu-HU"/>
        </w:rPr>
      </w:pPr>
    </w:p>
    <w:p w14:paraId="77C02A25" w14:textId="77777777" w:rsidR="00A83D7D" w:rsidRPr="009F1165" w:rsidRDefault="00A83D7D" w:rsidP="009F1165">
      <w:pPr>
        <w:pStyle w:val="Cmsor9"/>
        <w:keepLines/>
        <w:rPr>
          <w:i w:val="0"/>
          <w:szCs w:val="22"/>
          <w:u w:val="single"/>
        </w:rPr>
      </w:pPr>
      <w:r w:rsidRPr="009F1165">
        <w:rPr>
          <w:i w:val="0"/>
          <w:szCs w:val="22"/>
          <w:u w:val="single"/>
        </w:rPr>
        <w:t>A rezisztencia mechanizmusa</w:t>
      </w:r>
    </w:p>
    <w:p w14:paraId="221DBAC4" w14:textId="77777777" w:rsidR="007318F4" w:rsidRPr="009F1165" w:rsidRDefault="00A83D7D" w:rsidP="009F1165">
      <w:pPr>
        <w:keepNext/>
        <w:keepLines/>
        <w:widowControl w:val="0"/>
        <w:autoSpaceDE w:val="0"/>
        <w:autoSpaceDN w:val="0"/>
        <w:adjustRightInd w:val="0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fluorokinolonokkal</w:t>
      </w:r>
      <w:proofErr w:type="spellEnd"/>
      <w:r w:rsidRPr="009F1165">
        <w:rPr>
          <w:szCs w:val="22"/>
          <w:lang w:val="hu-HU"/>
        </w:rPr>
        <w:t xml:space="preserve"> szembeni rezisztencia a DNS</w:t>
      </w:r>
      <w:r w:rsidR="00D06D16" w:rsidRPr="009F1165">
        <w:rPr>
          <w:szCs w:val="22"/>
          <w:lang w:val="hu-HU"/>
        </w:rPr>
        <w:noBreakHyphen/>
      </w:r>
      <w:proofErr w:type="spellStart"/>
      <w:r w:rsidRPr="009F1165">
        <w:rPr>
          <w:szCs w:val="22"/>
          <w:lang w:val="hu-HU"/>
        </w:rPr>
        <w:t>giráz</w:t>
      </w:r>
      <w:proofErr w:type="spellEnd"/>
      <w:r w:rsidRPr="009F1165">
        <w:rPr>
          <w:szCs w:val="22"/>
          <w:lang w:val="hu-HU"/>
        </w:rPr>
        <w:t xml:space="preserve"> és a </w:t>
      </w:r>
      <w:proofErr w:type="spellStart"/>
      <w:r w:rsidR="00D06D16" w:rsidRPr="009F1165">
        <w:rPr>
          <w:szCs w:val="22"/>
          <w:lang w:val="hu-HU"/>
        </w:rPr>
        <w:t>topoizomeráz</w:t>
      </w:r>
      <w:proofErr w:type="spellEnd"/>
      <w:r w:rsidR="00D06D16" w:rsidRPr="009F1165">
        <w:rPr>
          <w:szCs w:val="22"/>
          <w:lang w:val="hu-HU"/>
        </w:rPr>
        <w:t> </w:t>
      </w:r>
      <w:r w:rsidRPr="009F1165">
        <w:rPr>
          <w:szCs w:val="22"/>
          <w:lang w:val="hu-HU"/>
        </w:rPr>
        <w:t xml:space="preserve">IV </w:t>
      </w:r>
      <w:proofErr w:type="gramStart"/>
      <w:r w:rsidRPr="009F1165">
        <w:rPr>
          <w:szCs w:val="22"/>
          <w:lang w:val="hu-HU"/>
        </w:rPr>
        <w:t>mutációja</w:t>
      </w:r>
      <w:proofErr w:type="gramEnd"/>
      <w:r w:rsidRPr="009F1165">
        <w:rPr>
          <w:szCs w:val="22"/>
          <w:lang w:val="hu-HU"/>
        </w:rPr>
        <w:t xml:space="preserve"> révén alakulhat ki.</w:t>
      </w:r>
      <w:r w:rsidR="007318F4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 xml:space="preserve">Egyéb mechanizmusok: az </w:t>
      </w:r>
      <w:proofErr w:type="spellStart"/>
      <w:r w:rsidRPr="009F1165">
        <w:rPr>
          <w:szCs w:val="22"/>
          <w:lang w:val="hu-HU"/>
        </w:rPr>
        <w:t>efflux</w:t>
      </w:r>
      <w:proofErr w:type="spellEnd"/>
      <w:r w:rsidRPr="009F1165">
        <w:rPr>
          <w:szCs w:val="22"/>
          <w:lang w:val="hu-HU"/>
        </w:rPr>
        <w:t xml:space="preserve"> pumpák over-expressziója, az impermeabilitás, valamint a DNS</w:t>
      </w:r>
      <w:r w:rsidR="007318F4" w:rsidRPr="009F1165">
        <w:rPr>
          <w:szCs w:val="22"/>
          <w:lang w:val="hu-HU"/>
        </w:rPr>
        <w:noBreakHyphen/>
      </w:r>
      <w:proofErr w:type="spellStart"/>
      <w:r w:rsidRPr="009F1165">
        <w:rPr>
          <w:szCs w:val="22"/>
          <w:lang w:val="hu-HU"/>
        </w:rPr>
        <w:t>giráz</w:t>
      </w:r>
      <w:proofErr w:type="spellEnd"/>
      <w:r w:rsidRPr="009F1165">
        <w:rPr>
          <w:szCs w:val="22"/>
          <w:lang w:val="hu-HU"/>
        </w:rPr>
        <w:t xml:space="preserve"> protein-</w:t>
      </w:r>
      <w:proofErr w:type="spellStart"/>
      <w:r w:rsidRPr="009F1165">
        <w:rPr>
          <w:szCs w:val="22"/>
          <w:lang w:val="hu-HU"/>
        </w:rPr>
        <w:t>mediált</w:t>
      </w:r>
      <w:proofErr w:type="spellEnd"/>
      <w:r w:rsidRPr="009F1165">
        <w:rPr>
          <w:szCs w:val="22"/>
          <w:lang w:val="hu-HU"/>
        </w:rPr>
        <w:t xml:space="preserve"> védelme.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és egyéb </w:t>
      </w:r>
      <w:proofErr w:type="spellStart"/>
      <w:r w:rsidRPr="009F1165">
        <w:rPr>
          <w:szCs w:val="22"/>
          <w:lang w:val="hu-HU"/>
        </w:rPr>
        <w:t>fluorokinolonok</w:t>
      </w:r>
      <w:proofErr w:type="spellEnd"/>
      <w:r w:rsidRPr="009F1165">
        <w:rPr>
          <w:szCs w:val="22"/>
          <w:lang w:val="hu-HU"/>
        </w:rPr>
        <w:t xml:space="preserve"> között keresztrezisztencia kialakulása várható.</w:t>
      </w:r>
    </w:p>
    <w:p w14:paraId="6992A547" w14:textId="77777777" w:rsidR="00A83D7D" w:rsidRPr="009F1165" w:rsidRDefault="00A83D7D" w:rsidP="009F1165">
      <w:pPr>
        <w:autoSpaceDE w:val="0"/>
        <w:autoSpaceDN w:val="0"/>
        <w:adjustRightInd w:val="0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</w:t>
      </w:r>
      <w:proofErr w:type="gramStart"/>
      <w:r w:rsidRPr="009F1165">
        <w:rPr>
          <w:szCs w:val="22"/>
          <w:lang w:val="hu-HU"/>
        </w:rPr>
        <w:t>aktivitását</w:t>
      </w:r>
      <w:proofErr w:type="gramEnd"/>
      <w:r w:rsidRPr="009F1165">
        <w:rPr>
          <w:szCs w:val="22"/>
          <w:lang w:val="hu-HU"/>
        </w:rPr>
        <w:t xml:space="preserve"> nem befolyásolj</w:t>
      </w:r>
      <w:r w:rsidR="007318F4" w:rsidRPr="009F1165">
        <w:rPr>
          <w:szCs w:val="22"/>
          <w:lang w:val="hu-HU"/>
        </w:rPr>
        <w:t>ák</w:t>
      </w:r>
      <w:r w:rsidRPr="009F1165">
        <w:rPr>
          <w:szCs w:val="22"/>
          <w:lang w:val="hu-HU"/>
        </w:rPr>
        <w:t xml:space="preserve"> más antibakteriális szerekre specifikus rezisztencia mechanizmus</w:t>
      </w:r>
      <w:r w:rsidR="007318F4" w:rsidRPr="009F1165">
        <w:rPr>
          <w:szCs w:val="22"/>
          <w:lang w:val="hu-HU"/>
        </w:rPr>
        <w:t>ok</w:t>
      </w:r>
      <w:r w:rsidRPr="009F1165">
        <w:rPr>
          <w:szCs w:val="22"/>
          <w:lang w:val="hu-HU"/>
        </w:rPr>
        <w:t>.</w:t>
      </w:r>
    </w:p>
    <w:p w14:paraId="39DB77D9" w14:textId="77777777" w:rsidR="00A83D7D" w:rsidRPr="009F1165" w:rsidRDefault="00A83D7D" w:rsidP="009F1165">
      <w:pPr>
        <w:widowControl w:val="0"/>
        <w:autoSpaceDE w:val="0"/>
        <w:autoSpaceDN w:val="0"/>
        <w:adjustRightInd w:val="0"/>
        <w:rPr>
          <w:szCs w:val="22"/>
          <w:lang w:val="hu-HU"/>
        </w:rPr>
      </w:pPr>
    </w:p>
    <w:p w14:paraId="33919E9E" w14:textId="77777777" w:rsidR="009A05F4" w:rsidRPr="009F1165" w:rsidRDefault="002F29D2" w:rsidP="009F1165">
      <w:pPr>
        <w:keepNext/>
        <w:rPr>
          <w:szCs w:val="22"/>
          <w:u w:val="single"/>
          <w:lang w:val="hu-HU"/>
        </w:rPr>
      </w:pPr>
      <w:r w:rsidRPr="009F1165">
        <w:rPr>
          <w:szCs w:val="22"/>
          <w:u w:val="single"/>
          <w:lang w:val="hu-HU"/>
        </w:rPr>
        <w:lastRenderedPageBreak/>
        <w:t>Határértékek</w:t>
      </w:r>
    </w:p>
    <w:p w14:paraId="747EE49E" w14:textId="77777777" w:rsidR="009A05F4" w:rsidRPr="009F1165" w:rsidRDefault="009A05F4" w:rsidP="009F1165">
      <w:pPr>
        <w:keepNext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EUCAST klinikai MIC és korongdiffúziós </w:t>
      </w:r>
      <w:r w:rsidR="002F29D2" w:rsidRPr="009F1165">
        <w:rPr>
          <w:szCs w:val="22"/>
          <w:lang w:val="hu-HU"/>
        </w:rPr>
        <w:t>határértékek</w:t>
      </w:r>
      <w:r w:rsidRPr="009F1165">
        <w:rPr>
          <w:szCs w:val="22"/>
          <w:lang w:val="hu-HU"/>
        </w:rPr>
        <w:t xml:space="preserve"> a </w:t>
      </w:r>
      <w:proofErr w:type="spellStart"/>
      <w:r w:rsidRPr="009F1165">
        <w:rPr>
          <w:szCs w:val="22"/>
          <w:lang w:val="hu-HU"/>
        </w:rPr>
        <w:t>moxifloxacinra</w:t>
      </w:r>
      <w:proofErr w:type="spellEnd"/>
      <w:r w:rsidRPr="009F1165">
        <w:rPr>
          <w:szCs w:val="22"/>
          <w:lang w:val="hu-HU"/>
        </w:rPr>
        <w:t xml:space="preserve"> vonatkozóan (2012.01.01.).</w:t>
      </w:r>
    </w:p>
    <w:p w14:paraId="43157DB4" w14:textId="77777777" w:rsidR="009A05F4" w:rsidRPr="009F1165" w:rsidRDefault="009A05F4" w:rsidP="009F1165">
      <w:pPr>
        <w:keepNext/>
        <w:rPr>
          <w:szCs w:val="22"/>
          <w:lang w:val="hu-HU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340"/>
        <w:gridCol w:w="2160"/>
      </w:tblGrid>
      <w:tr w:rsidR="009A05F4" w:rsidRPr="009F1165" w14:paraId="26E8A471" w14:textId="77777777" w:rsidTr="0063560B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496B" w14:textId="77777777" w:rsidR="009A05F4" w:rsidRPr="009F1165" w:rsidRDefault="009A05F4" w:rsidP="009F1165">
            <w:pPr>
              <w:keepNext/>
              <w:rPr>
                <w:b/>
                <w:szCs w:val="22"/>
                <w:lang w:val="hu-HU"/>
              </w:rPr>
            </w:pPr>
            <w:r w:rsidRPr="009F1165">
              <w:rPr>
                <w:b/>
                <w:szCs w:val="22"/>
                <w:lang w:val="hu-HU"/>
              </w:rPr>
              <w:t>Kórokozó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5E58" w14:textId="77777777" w:rsidR="009A05F4" w:rsidRPr="009F1165" w:rsidRDefault="009A05F4" w:rsidP="009F1165">
            <w:pPr>
              <w:keepNext/>
              <w:rPr>
                <w:b/>
                <w:szCs w:val="22"/>
                <w:lang w:val="hu-HU"/>
              </w:rPr>
            </w:pPr>
            <w:r w:rsidRPr="009F1165">
              <w:rPr>
                <w:b/>
                <w:szCs w:val="22"/>
                <w:lang w:val="hu-HU"/>
              </w:rPr>
              <w:t>Érzékeny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32F5" w14:textId="77777777" w:rsidR="009A05F4" w:rsidRPr="009F1165" w:rsidRDefault="009A05F4" w:rsidP="009F1165">
            <w:pPr>
              <w:keepNext/>
              <w:rPr>
                <w:b/>
                <w:szCs w:val="22"/>
                <w:lang w:val="hu-HU"/>
              </w:rPr>
            </w:pPr>
            <w:r w:rsidRPr="009F1165">
              <w:rPr>
                <w:b/>
                <w:szCs w:val="22"/>
                <w:lang w:val="hu-HU"/>
              </w:rPr>
              <w:t>Rezisztens</w:t>
            </w:r>
          </w:p>
        </w:tc>
      </w:tr>
      <w:tr w:rsidR="009A05F4" w:rsidRPr="009F1165" w14:paraId="01585929" w14:textId="77777777" w:rsidTr="009A05F4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48CF" w14:textId="77777777" w:rsidR="009A05F4" w:rsidRPr="009F1165" w:rsidRDefault="009A05F4" w:rsidP="009F1165">
            <w:pPr>
              <w:keepNext/>
              <w:rPr>
                <w:szCs w:val="22"/>
                <w:lang w:val="hu-HU"/>
              </w:rPr>
            </w:pPr>
            <w:proofErr w:type="spellStart"/>
            <w:r w:rsidRPr="00FC6329">
              <w:rPr>
                <w:szCs w:val="22"/>
                <w:lang w:val="hu-HU"/>
              </w:rPr>
              <w:t>Staphylococcus</w:t>
            </w:r>
            <w:proofErr w:type="spellEnd"/>
            <w:r w:rsidRPr="009F1165">
              <w:rPr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szCs w:val="22"/>
                <w:lang w:val="hu-HU"/>
              </w:rPr>
              <w:t>spp</w:t>
            </w:r>
            <w:proofErr w:type="spellEnd"/>
            <w:r w:rsidRPr="009F1165">
              <w:rPr>
                <w:szCs w:val="22"/>
                <w:lang w:val="hu-HU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0B2A" w14:textId="77777777" w:rsidR="009A05F4" w:rsidRPr="009F1165" w:rsidRDefault="009A05F4" w:rsidP="009F1165">
            <w:pPr>
              <w:keepNext/>
              <w:rPr>
                <w:rFonts w:eastAsia="Batang"/>
                <w:szCs w:val="22"/>
                <w:lang w:val="hu-HU"/>
              </w:rPr>
            </w:pPr>
            <w:r w:rsidRPr="009F1165">
              <w:rPr>
                <w:rFonts w:eastAsia="Batang"/>
                <w:szCs w:val="22"/>
                <w:lang w:val="hu-HU"/>
              </w:rPr>
              <w:t>≤ 0,5 mg/l</w:t>
            </w:r>
          </w:p>
          <w:p w14:paraId="3097F531" w14:textId="77777777" w:rsidR="009A05F4" w:rsidRPr="009F1165" w:rsidRDefault="009A05F4" w:rsidP="009F1165">
            <w:pPr>
              <w:rPr>
                <w:rFonts w:eastAsia="Batang"/>
                <w:szCs w:val="22"/>
                <w:lang w:val="hu-HU"/>
              </w:rPr>
            </w:pPr>
            <w:r w:rsidRPr="009F1165">
              <w:rPr>
                <w:rFonts w:eastAsia="Batang"/>
                <w:szCs w:val="22"/>
                <w:lang w:val="hu-HU"/>
              </w:rPr>
              <w:sym w:font="Symbol" w:char="F0B3"/>
            </w:r>
            <w:r w:rsidRPr="009F1165">
              <w:rPr>
                <w:rFonts w:eastAsia="Batang"/>
                <w:szCs w:val="22"/>
                <w:lang w:val="hu-HU"/>
              </w:rPr>
              <w:t xml:space="preserve"> 24 mm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35B6" w14:textId="77777777" w:rsidR="009A05F4" w:rsidRPr="009F1165" w:rsidRDefault="009A05F4" w:rsidP="009F1165">
            <w:pPr>
              <w:keepNext/>
              <w:rPr>
                <w:rFonts w:eastAsia="Batang"/>
                <w:szCs w:val="22"/>
                <w:lang w:val="hu-HU"/>
              </w:rPr>
            </w:pPr>
            <w:proofErr w:type="gramStart"/>
            <w:r w:rsidRPr="009F1165">
              <w:rPr>
                <w:rFonts w:eastAsia="Batang"/>
                <w:szCs w:val="22"/>
                <w:lang w:val="hu-HU"/>
              </w:rPr>
              <w:t>&gt;</w:t>
            </w:r>
            <w:proofErr w:type="gramEnd"/>
            <w:r w:rsidRPr="009F1165">
              <w:rPr>
                <w:rFonts w:eastAsia="Batang"/>
                <w:szCs w:val="22"/>
                <w:lang w:val="hu-HU"/>
              </w:rPr>
              <w:t xml:space="preserve"> 1 mg/l</w:t>
            </w:r>
          </w:p>
          <w:p w14:paraId="136769F3" w14:textId="77777777" w:rsidR="009A05F4" w:rsidRPr="009F1165" w:rsidRDefault="009A05F4" w:rsidP="009F1165">
            <w:pPr>
              <w:rPr>
                <w:rFonts w:eastAsia="Batang"/>
                <w:szCs w:val="22"/>
                <w:lang w:val="hu-HU"/>
              </w:rPr>
            </w:pPr>
            <w:proofErr w:type="gramStart"/>
            <w:r w:rsidRPr="009F1165">
              <w:rPr>
                <w:rFonts w:eastAsia="Batang"/>
                <w:szCs w:val="22"/>
                <w:lang w:val="hu-HU"/>
              </w:rPr>
              <w:t>&lt; 21</w:t>
            </w:r>
            <w:proofErr w:type="gramEnd"/>
            <w:r w:rsidRPr="009F1165">
              <w:rPr>
                <w:rFonts w:eastAsia="Batang"/>
                <w:szCs w:val="22"/>
                <w:lang w:val="hu-HU"/>
              </w:rPr>
              <w:t xml:space="preserve"> mm</w:t>
            </w:r>
          </w:p>
        </w:tc>
      </w:tr>
      <w:tr w:rsidR="009A05F4" w:rsidRPr="009F1165" w14:paraId="1EDB813D" w14:textId="77777777" w:rsidTr="009A05F4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311E" w14:textId="77777777" w:rsidR="009A05F4" w:rsidRPr="009F1165" w:rsidRDefault="009A05F4" w:rsidP="009F1165">
            <w:pPr>
              <w:keepNext/>
              <w:rPr>
                <w:i/>
                <w:szCs w:val="22"/>
                <w:lang w:val="hu-HU"/>
              </w:rPr>
            </w:pPr>
            <w:r w:rsidRPr="009F1165">
              <w:rPr>
                <w:i/>
                <w:szCs w:val="22"/>
                <w:lang w:val="hu-HU"/>
              </w:rPr>
              <w:t xml:space="preserve">S. </w:t>
            </w:r>
            <w:proofErr w:type="spellStart"/>
            <w:r w:rsidRPr="009F1165">
              <w:rPr>
                <w:i/>
                <w:szCs w:val="22"/>
                <w:lang w:val="hu-HU"/>
              </w:rPr>
              <w:t>pneumoniae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20B7" w14:textId="77777777" w:rsidR="009A05F4" w:rsidRPr="009F1165" w:rsidRDefault="009A05F4" w:rsidP="009F1165">
            <w:pPr>
              <w:keepNext/>
              <w:rPr>
                <w:rFonts w:eastAsia="Batang"/>
                <w:szCs w:val="22"/>
                <w:lang w:val="hu-HU"/>
              </w:rPr>
            </w:pPr>
            <w:r w:rsidRPr="009F1165">
              <w:rPr>
                <w:rFonts w:eastAsia="Batang"/>
                <w:szCs w:val="22"/>
                <w:lang w:val="hu-HU"/>
              </w:rPr>
              <w:t>≤ 0,5 mg/l</w:t>
            </w:r>
          </w:p>
          <w:p w14:paraId="3C420980" w14:textId="77777777" w:rsidR="009A05F4" w:rsidRPr="009F1165" w:rsidRDefault="009A05F4" w:rsidP="009F1165">
            <w:pPr>
              <w:rPr>
                <w:rFonts w:eastAsia="Batang"/>
                <w:szCs w:val="22"/>
                <w:lang w:val="hu-HU"/>
              </w:rPr>
            </w:pPr>
            <w:r w:rsidRPr="009F1165">
              <w:rPr>
                <w:rFonts w:eastAsia="Batang"/>
                <w:szCs w:val="22"/>
                <w:lang w:val="hu-HU"/>
              </w:rPr>
              <w:sym w:font="Symbol" w:char="F0B3"/>
            </w:r>
            <w:r w:rsidRPr="009F1165">
              <w:rPr>
                <w:rFonts w:eastAsia="Batang"/>
                <w:szCs w:val="22"/>
                <w:lang w:val="hu-HU"/>
              </w:rPr>
              <w:t xml:space="preserve"> 22 mm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3CDB" w14:textId="77777777" w:rsidR="009A05F4" w:rsidRPr="009F1165" w:rsidRDefault="009A05F4" w:rsidP="009F1165">
            <w:pPr>
              <w:keepNext/>
              <w:rPr>
                <w:rFonts w:eastAsia="Batang"/>
                <w:szCs w:val="22"/>
                <w:lang w:val="hu-HU"/>
              </w:rPr>
            </w:pPr>
            <w:proofErr w:type="gramStart"/>
            <w:r w:rsidRPr="009F1165">
              <w:rPr>
                <w:rFonts w:eastAsia="Batang"/>
                <w:szCs w:val="22"/>
                <w:lang w:val="hu-HU"/>
              </w:rPr>
              <w:t>&gt;</w:t>
            </w:r>
            <w:proofErr w:type="gramEnd"/>
            <w:r w:rsidRPr="009F1165">
              <w:rPr>
                <w:rFonts w:eastAsia="Batang"/>
                <w:szCs w:val="22"/>
                <w:lang w:val="hu-HU"/>
              </w:rPr>
              <w:t xml:space="preserve"> 0,5 mg/l</w:t>
            </w:r>
          </w:p>
          <w:p w14:paraId="7BF270BA" w14:textId="77777777" w:rsidR="009A05F4" w:rsidRPr="009F1165" w:rsidRDefault="009A05F4" w:rsidP="009F1165">
            <w:pPr>
              <w:rPr>
                <w:rFonts w:eastAsia="Batang"/>
                <w:szCs w:val="22"/>
                <w:lang w:val="hu-HU"/>
              </w:rPr>
            </w:pPr>
            <w:proofErr w:type="gramStart"/>
            <w:r w:rsidRPr="009F1165">
              <w:rPr>
                <w:rFonts w:eastAsia="Batang"/>
                <w:szCs w:val="22"/>
                <w:lang w:val="hu-HU"/>
              </w:rPr>
              <w:t>&lt; 22</w:t>
            </w:r>
            <w:proofErr w:type="gramEnd"/>
            <w:r w:rsidRPr="009F1165">
              <w:rPr>
                <w:rFonts w:eastAsia="Batang"/>
                <w:szCs w:val="22"/>
                <w:lang w:val="hu-HU"/>
              </w:rPr>
              <w:t xml:space="preserve"> mm</w:t>
            </w:r>
          </w:p>
        </w:tc>
      </w:tr>
      <w:tr w:rsidR="009A05F4" w:rsidRPr="009F1165" w14:paraId="109F9787" w14:textId="77777777" w:rsidTr="009A05F4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C9C4" w14:textId="55014D6D" w:rsidR="009A05F4" w:rsidRPr="009F1165" w:rsidRDefault="009A05F4" w:rsidP="009F1165">
            <w:pPr>
              <w:keepNext/>
              <w:rPr>
                <w:szCs w:val="22"/>
                <w:lang w:val="hu-HU"/>
              </w:rPr>
            </w:pPr>
            <w:proofErr w:type="spellStart"/>
            <w:r w:rsidRPr="00FC6329">
              <w:rPr>
                <w:szCs w:val="22"/>
                <w:lang w:val="hu-HU"/>
              </w:rPr>
              <w:t>Streptococcus</w:t>
            </w:r>
            <w:proofErr w:type="spellEnd"/>
            <w:r w:rsidRPr="009F1165">
              <w:rPr>
                <w:szCs w:val="22"/>
                <w:lang w:val="hu-HU"/>
              </w:rPr>
              <w:t xml:space="preserve"> </w:t>
            </w:r>
            <w:proofErr w:type="gramStart"/>
            <w:r w:rsidRPr="009F1165">
              <w:rPr>
                <w:szCs w:val="22"/>
                <w:lang w:val="hu-HU"/>
              </w:rPr>
              <w:t>A</w:t>
            </w:r>
            <w:proofErr w:type="gramEnd"/>
            <w:r w:rsidRPr="009F1165">
              <w:rPr>
                <w:szCs w:val="22"/>
                <w:lang w:val="hu-HU"/>
              </w:rPr>
              <w:t>, B, C, G csoport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3E6B" w14:textId="77777777" w:rsidR="009A05F4" w:rsidRPr="009F1165" w:rsidRDefault="009A05F4" w:rsidP="009F1165">
            <w:pPr>
              <w:keepNext/>
              <w:rPr>
                <w:rFonts w:eastAsia="Batang"/>
                <w:szCs w:val="22"/>
                <w:lang w:val="hu-HU"/>
              </w:rPr>
            </w:pPr>
            <w:r w:rsidRPr="009F1165">
              <w:rPr>
                <w:rFonts w:eastAsia="Batang"/>
                <w:szCs w:val="22"/>
                <w:lang w:val="hu-HU"/>
              </w:rPr>
              <w:t>≤ 0,5 mg/l</w:t>
            </w:r>
          </w:p>
          <w:p w14:paraId="2F6D5D06" w14:textId="77777777" w:rsidR="009A05F4" w:rsidRPr="009F1165" w:rsidRDefault="009A05F4" w:rsidP="009F1165">
            <w:pPr>
              <w:rPr>
                <w:rFonts w:eastAsia="Batang"/>
                <w:szCs w:val="22"/>
                <w:lang w:val="hu-HU"/>
              </w:rPr>
            </w:pPr>
            <w:r w:rsidRPr="009F1165">
              <w:rPr>
                <w:rFonts w:eastAsia="Batang"/>
                <w:szCs w:val="22"/>
                <w:lang w:val="hu-HU"/>
              </w:rPr>
              <w:sym w:font="Symbol" w:char="F0B3"/>
            </w:r>
            <w:r w:rsidRPr="009F1165">
              <w:rPr>
                <w:rFonts w:eastAsia="Batang"/>
                <w:szCs w:val="22"/>
                <w:lang w:val="hu-HU"/>
              </w:rPr>
              <w:t xml:space="preserve"> 18 mm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73F8" w14:textId="77777777" w:rsidR="009A05F4" w:rsidRPr="009F1165" w:rsidRDefault="009A05F4" w:rsidP="009F1165">
            <w:pPr>
              <w:keepNext/>
              <w:rPr>
                <w:rFonts w:eastAsia="Batang"/>
                <w:szCs w:val="22"/>
                <w:lang w:val="hu-HU"/>
              </w:rPr>
            </w:pPr>
            <w:proofErr w:type="gramStart"/>
            <w:r w:rsidRPr="009F1165">
              <w:rPr>
                <w:rFonts w:eastAsia="Batang"/>
                <w:szCs w:val="22"/>
                <w:lang w:val="hu-HU"/>
              </w:rPr>
              <w:t>&gt;</w:t>
            </w:r>
            <w:proofErr w:type="gramEnd"/>
            <w:r w:rsidRPr="009F1165">
              <w:rPr>
                <w:rFonts w:eastAsia="Batang"/>
                <w:szCs w:val="22"/>
                <w:lang w:val="hu-HU"/>
              </w:rPr>
              <w:t xml:space="preserve"> 1 mg/l</w:t>
            </w:r>
          </w:p>
          <w:p w14:paraId="53EB9AD4" w14:textId="77777777" w:rsidR="009A05F4" w:rsidRPr="009F1165" w:rsidRDefault="009A05F4" w:rsidP="009F1165">
            <w:pPr>
              <w:rPr>
                <w:rFonts w:eastAsia="Batang"/>
                <w:szCs w:val="22"/>
                <w:lang w:val="hu-HU"/>
              </w:rPr>
            </w:pPr>
            <w:proofErr w:type="gramStart"/>
            <w:r w:rsidRPr="009F1165">
              <w:rPr>
                <w:rFonts w:eastAsia="Batang"/>
                <w:szCs w:val="22"/>
                <w:lang w:val="hu-HU"/>
              </w:rPr>
              <w:t>&lt; 15</w:t>
            </w:r>
            <w:proofErr w:type="gramEnd"/>
            <w:r w:rsidRPr="009F1165">
              <w:rPr>
                <w:rFonts w:eastAsia="Batang"/>
                <w:szCs w:val="22"/>
                <w:lang w:val="hu-HU"/>
              </w:rPr>
              <w:t xml:space="preserve"> mm</w:t>
            </w:r>
          </w:p>
        </w:tc>
      </w:tr>
      <w:tr w:rsidR="009A05F4" w:rsidRPr="009F1165" w14:paraId="0117EB62" w14:textId="77777777" w:rsidTr="009A05F4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C7B8" w14:textId="77777777" w:rsidR="009A05F4" w:rsidRPr="009F1165" w:rsidRDefault="009A05F4" w:rsidP="009F1165">
            <w:pPr>
              <w:keepNext/>
              <w:rPr>
                <w:szCs w:val="22"/>
                <w:lang w:val="hu-HU"/>
              </w:rPr>
            </w:pPr>
            <w:r w:rsidRPr="009F1165">
              <w:rPr>
                <w:i/>
                <w:szCs w:val="22"/>
                <w:lang w:val="hu-HU"/>
              </w:rPr>
              <w:t xml:space="preserve">H. </w:t>
            </w:r>
            <w:proofErr w:type="spellStart"/>
            <w:r w:rsidRPr="009F1165">
              <w:rPr>
                <w:i/>
                <w:szCs w:val="22"/>
                <w:lang w:val="hu-HU"/>
              </w:rPr>
              <w:t>influenzae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C817" w14:textId="77777777" w:rsidR="009A05F4" w:rsidRPr="009F1165" w:rsidRDefault="009A05F4" w:rsidP="009F1165">
            <w:pPr>
              <w:keepNext/>
              <w:rPr>
                <w:rFonts w:eastAsia="Batang"/>
                <w:szCs w:val="22"/>
                <w:lang w:val="hu-HU"/>
              </w:rPr>
            </w:pPr>
            <w:r w:rsidRPr="009F1165">
              <w:rPr>
                <w:rFonts w:eastAsia="Batang"/>
                <w:szCs w:val="22"/>
                <w:lang w:val="hu-HU"/>
              </w:rPr>
              <w:t>≤ 0,5 mg/l</w:t>
            </w:r>
          </w:p>
          <w:p w14:paraId="207F09ED" w14:textId="77777777" w:rsidR="009A05F4" w:rsidRPr="009F1165" w:rsidRDefault="009A05F4" w:rsidP="009F1165">
            <w:pPr>
              <w:rPr>
                <w:rFonts w:eastAsia="Batang"/>
                <w:szCs w:val="22"/>
                <w:lang w:val="hu-HU"/>
              </w:rPr>
            </w:pPr>
            <w:r w:rsidRPr="009F1165">
              <w:rPr>
                <w:rFonts w:eastAsia="Batang"/>
                <w:szCs w:val="22"/>
                <w:lang w:val="hu-HU"/>
              </w:rPr>
              <w:sym w:font="Symbol" w:char="F0B3"/>
            </w:r>
            <w:r w:rsidRPr="009F1165">
              <w:rPr>
                <w:rFonts w:eastAsia="Batang"/>
                <w:szCs w:val="22"/>
                <w:lang w:val="hu-HU"/>
              </w:rPr>
              <w:t xml:space="preserve"> 25 mm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8E55" w14:textId="77777777" w:rsidR="009A05F4" w:rsidRPr="009F1165" w:rsidRDefault="009A05F4" w:rsidP="009F1165">
            <w:pPr>
              <w:keepNext/>
              <w:rPr>
                <w:rFonts w:eastAsia="Batang"/>
                <w:szCs w:val="22"/>
                <w:lang w:val="hu-HU"/>
              </w:rPr>
            </w:pPr>
            <w:proofErr w:type="gramStart"/>
            <w:r w:rsidRPr="009F1165">
              <w:rPr>
                <w:rFonts w:eastAsia="Batang"/>
                <w:szCs w:val="22"/>
                <w:lang w:val="hu-HU"/>
              </w:rPr>
              <w:t>&gt;</w:t>
            </w:r>
            <w:proofErr w:type="gramEnd"/>
            <w:r w:rsidRPr="009F1165">
              <w:rPr>
                <w:rFonts w:eastAsia="Batang"/>
                <w:szCs w:val="22"/>
                <w:lang w:val="hu-HU"/>
              </w:rPr>
              <w:t xml:space="preserve"> 0,5 mg/l</w:t>
            </w:r>
          </w:p>
          <w:p w14:paraId="2ADD266D" w14:textId="77777777" w:rsidR="009A05F4" w:rsidRPr="009F1165" w:rsidRDefault="009A05F4" w:rsidP="009F1165">
            <w:pPr>
              <w:rPr>
                <w:rFonts w:eastAsia="Batang"/>
                <w:szCs w:val="22"/>
                <w:lang w:val="hu-HU"/>
              </w:rPr>
            </w:pPr>
            <w:proofErr w:type="gramStart"/>
            <w:r w:rsidRPr="009F1165">
              <w:rPr>
                <w:rFonts w:eastAsia="Batang"/>
                <w:szCs w:val="22"/>
                <w:lang w:val="hu-HU"/>
              </w:rPr>
              <w:t>&lt; 25</w:t>
            </w:r>
            <w:proofErr w:type="gramEnd"/>
            <w:r w:rsidRPr="009F1165">
              <w:rPr>
                <w:rFonts w:eastAsia="Batang"/>
                <w:szCs w:val="22"/>
                <w:lang w:val="hu-HU"/>
              </w:rPr>
              <w:t xml:space="preserve"> mm</w:t>
            </w:r>
          </w:p>
        </w:tc>
      </w:tr>
      <w:tr w:rsidR="009A05F4" w:rsidRPr="009F1165" w14:paraId="43222F07" w14:textId="77777777" w:rsidTr="009A05F4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C288" w14:textId="77777777" w:rsidR="009A05F4" w:rsidRPr="009F1165" w:rsidRDefault="009A05F4" w:rsidP="009F1165">
            <w:pPr>
              <w:keepNext/>
              <w:rPr>
                <w:i/>
                <w:szCs w:val="22"/>
                <w:lang w:val="hu-HU"/>
              </w:rPr>
            </w:pPr>
            <w:r w:rsidRPr="009F1165">
              <w:rPr>
                <w:i/>
                <w:szCs w:val="22"/>
                <w:lang w:val="hu-HU"/>
              </w:rPr>
              <w:t xml:space="preserve">M. </w:t>
            </w:r>
            <w:proofErr w:type="spellStart"/>
            <w:r w:rsidRPr="009F1165">
              <w:rPr>
                <w:i/>
                <w:szCs w:val="22"/>
                <w:lang w:val="hu-HU"/>
              </w:rPr>
              <w:t>catarrhalis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8A29" w14:textId="77777777" w:rsidR="009A05F4" w:rsidRPr="009F1165" w:rsidRDefault="009A05F4" w:rsidP="009F1165">
            <w:pPr>
              <w:keepNext/>
              <w:rPr>
                <w:rFonts w:eastAsia="Batang"/>
                <w:szCs w:val="22"/>
                <w:lang w:val="hu-HU"/>
              </w:rPr>
            </w:pPr>
            <w:r w:rsidRPr="009F1165">
              <w:rPr>
                <w:rFonts w:eastAsia="Batang"/>
                <w:szCs w:val="22"/>
                <w:lang w:val="hu-HU"/>
              </w:rPr>
              <w:t>≤ 0,5 mg/l</w:t>
            </w:r>
          </w:p>
          <w:p w14:paraId="221D396D" w14:textId="77777777" w:rsidR="009A05F4" w:rsidRPr="009F1165" w:rsidRDefault="009A05F4" w:rsidP="009F1165">
            <w:pPr>
              <w:rPr>
                <w:rFonts w:eastAsia="Batang"/>
                <w:szCs w:val="22"/>
                <w:lang w:val="hu-HU"/>
              </w:rPr>
            </w:pPr>
            <w:r w:rsidRPr="009F1165">
              <w:rPr>
                <w:rFonts w:eastAsia="Batang"/>
                <w:szCs w:val="22"/>
                <w:lang w:val="hu-HU"/>
              </w:rPr>
              <w:sym w:font="Symbol" w:char="F0B3"/>
            </w:r>
            <w:r w:rsidRPr="009F1165">
              <w:rPr>
                <w:rFonts w:eastAsia="Batang"/>
                <w:szCs w:val="22"/>
                <w:lang w:val="hu-HU"/>
              </w:rPr>
              <w:t xml:space="preserve"> 23 mm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C364" w14:textId="77777777" w:rsidR="009A05F4" w:rsidRPr="009F1165" w:rsidRDefault="009A05F4" w:rsidP="009F1165">
            <w:pPr>
              <w:keepNext/>
              <w:rPr>
                <w:rFonts w:eastAsia="Batang"/>
                <w:szCs w:val="22"/>
                <w:lang w:val="hu-HU"/>
              </w:rPr>
            </w:pPr>
            <w:proofErr w:type="gramStart"/>
            <w:r w:rsidRPr="009F1165">
              <w:rPr>
                <w:rFonts w:eastAsia="Batang"/>
                <w:szCs w:val="22"/>
                <w:lang w:val="hu-HU"/>
              </w:rPr>
              <w:t>&gt;</w:t>
            </w:r>
            <w:proofErr w:type="gramEnd"/>
            <w:r w:rsidRPr="009F1165">
              <w:rPr>
                <w:rFonts w:eastAsia="Batang"/>
                <w:szCs w:val="22"/>
                <w:lang w:val="hu-HU"/>
              </w:rPr>
              <w:t xml:space="preserve"> 0,5 mg/l</w:t>
            </w:r>
          </w:p>
          <w:p w14:paraId="27C4C765" w14:textId="77777777" w:rsidR="009A05F4" w:rsidRPr="009F1165" w:rsidRDefault="009A05F4" w:rsidP="009F1165">
            <w:pPr>
              <w:rPr>
                <w:rFonts w:eastAsia="Batang"/>
                <w:szCs w:val="22"/>
                <w:lang w:val="hu-HU"/>
              </w:rPr>
            </w:pPr>
            <w:proofErr w:type="gramStart"/>
            <w:r w:rsidRPr="009F1165">
              <w:rPr>
                <w:rFonts w:eastAsia="Batang"/>
                <w:szCs w:val="22"/>
                <w:lang w:val="hu-HU"/>
              </w:rPr>
              <w:t>&lt; 23</w:t>
            </w:r>
            <w:proofErr w:type="gramEnd"/>
            <w:r w:rsidRPr="009F1165">
              <w:rPr>
                <w:rFonts w:eastAsia="Batang"/>
                <w:szCs w:val="22"/>
                <w:lang w:val="hu-HU"/>
              </w:rPr>
              <w:t xml:space="preserve"> mm</w:t>
            </w:r>
          </w:p>
        </w:tc>
      </w:tr>
      <w:tr w:rsidR="009A05F4" w:rsidRPr="009F1165" w14:paraId="66711204" w14:textId="77777777" w:rsidTr="009A05F4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085F" w14:textId="77777777" w:rsidR="009A05F4" w:rsidRPr="00841AE2" w:rsidRDefault="009A05F4" w:rsidP="009F1165">
            <w:pPr>
              <w:keepNext/>
              <w:rPr>
                <w:szCs w:val="22"/>
                <w:lang w:val="hu-HU"/>
              </w:rPr>
            </w:pPr>
            <w:proofErr w:type="spellStart"/>
            <w:r w:rsidRPr="00FC6329">
              <w:rPr>
                <w:szCs w:val="22"/>
                <w:lang w:val="hu-HU"/>
              </w:rPr>
              <w:t>Enterobacteriaceae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DC6A" w14:textId="77777777" w:rsidR="009A05F4" w:rsidRPr="009F1165" w:rsidRDefault="009A05F4" w:rsidP="009F1165">
            <w:pPr>
              <w:keepNext/>
              <w:rPr>
                <w:rFonts w:eastAsia="Batang"/>
                <w:szCs w:val="22"/>
                <w:lang w:val="hu-HU"/>
              </w:rPr>
            </w:pPr>
            <w:r w:rsidRPr="009F1165">
              <w:rPr>
                <w:rFonts w:eastAsia="Batang"/>
                <w:szCs w:val="22"/>
                <w:lang w:val="hu-HU"/>
              </w:rPr>
              <w:t>≤ 0,5 mg/l</w:t>
            </w:r>
          </w:p>
          <w:p w14:paraId="0C586EF5" w14:textId="77777777" w:rsidR="009A05F4" w:rsidRPr="009F1165" w:rsidRDefault="009A05F4" w:rsidP="009F1165">
            <w:pPr>
              <w:rPr>
                <w:rFonts w:eastAsia="Batang"/>
                <w:szCs w:val="22"/>
                <w:lang w:val="hu-HU"/>
              </w:rPr>
            </w:pPr>
            <w:r w:rsidRPr="009F1165">
              <w:rPr>
                <w:rFonts w:eastAsia="Batang"/>
                <w:szCs w:val="22"/>
                <w:lang w:val="hu-HU"/>
              </w:rPr>
              <w:sym w:font="Symbol" w:char="F0B3"/>
            </w:r>
            <w:r w:rsidRPr="009F1165">
              <w:rPr>
                <w:rFonts w:eastAsia="Batang"/>
                <w:szCs w:val="22"/>
                <w:lang w:val="hu-HU"/>
              </w:rPr>
              <w:t xml:space="preserve"> 20 mm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311" w14:textId="77777777" w:rsidR="009A05F4" w:rsidRPr="009F1165" w:rsidRDefault="009A05F4" w:rsidP="009F1165">
            <w:pPr>
              <w:keepNext/>
              <w:rPr>
                <w:rFonts w:eastAsia="Batang"/>
                <w:szCs w:val="22"/>
                <w:lang w:val="hu-HU"/>
              </w:rPr>
            </w:pPr>
            <w:proofErr w:type="gramStart"/>
            <w:r w:rsidRPr="009F1165">
              <w:rPr>
                <w:rFonts w:eastAsia="Batang"/>
                <w:szCs w:val="22"/>
                <w:lang w:val="hu-HU"/>
              </w:rPr>
              <w:t>&gt;</w:t>
            </w:r>
            <w:proofErr w:type="gramEnd"/>
            <w:r w:rsidRPr="009F1165">
              <w:rPr>
                <w:rFonts w:eastAsia="Batang"/>
                <w:szCs w:val="22"/>
                <w:lang w:val="hu-HU"/>
              </w:rPr>
              <w:t xml:space="preserve"> 1 mg/l</w:t>
            </w:r>
          </w:p>
          <w:p w14:paraId="5C709781" w14:textId="77777777" w:rsidR="009A05F4" w:rsidRPr="009F1165" w:rsidRDefault="009A05F4" w:rsidP="009F1165">
            <w:pPr>
              <w:rPr>
                <w:rFonts w:eastAsia="Batang"/>
                <w:szCs w:val="22"/>
                <w:lang w:val="hu-HU"/>
              </w:rPr>
            </w:pPr>
            <w:proofErr w:type="gramStart"/>
            <w:r w:rsidRPr="009F1165">
              <w:rPr>
                <w:rFonts w:eastAsia="Batang"/>
                <w:szCs w:val="22"/>
                <w:lang w:val="hu-HU"/>
              </w:rPr>
              <w:t>&lt; 17</w:t>
            </w:r>
            <w:proofErr w:type="gramEnd"/>
            <w:r w:rsidRPr="009F1165">
              <w:rPr>
                <w:rFonts w:eastAsia="Batang"/>
                <w:szCs w:val="22"/>
                <w:lang w:val="hu-HU"/>
              </w:rPr>
              <w:t xml:space="preserve"> mm</w:t>
            </w:r>
          </w:p>
        </w:tc>
      </w:tr>
      <w:tr w:rsidR="009A05F4" w:rsidRPr="009F1165" w14:paraId="0DC2089D" w14:textId="77777777" w:rsidTr="009A05F4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21B6" w14:textId="77777777" w:rsidR="009A05F4" w:rsidRPr="009F1165" w:rsidRDefault="00414E56" w:rsidP="009F1165">
            <w:pPr>
              <w:keepNext/>
              <w:rPr>
                <w:szCs w:val="22"/>
                <w:lang w:val="hu-HU"/>
              </w:rPr>
            </w:pPr>
            <w:r w:rsidRPr="009F1165">
              <w:rPr>
                <w:szCs w:val="22"/>
                <w:lang w:val="hu-HU"/>
              </w:rPr>
              <w:t>Nem f</w:t>
            </w:r>
            <w:r w:rsidR="002F29D2" w:rsidRPr="009F1165">
              <w:rPr>
                <w:szCs w:val="22"/>
                <w:lang w:val="hu-HU"/>
              </w:rPr>
              <w:t>ajhoz</w:t>
            </w:r>
            <w:r w:rsidR="009A05F4" w:rsidRPr="009F1165">
              <w:rPr>
                <w:szCs w:val="22"/>
                <w:lang w:val="hu-HU"/>
              </w:rPr>
              <w:t xml:space="preserve"> kötött határértékek*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F911" w14:textId="77777777" w:rsidR="009A05F4" w:rsidRPr="009F1165" w:rsidRDefault="009A05F4" w:rsidP="009F1165">
            <w:pPr>
              <w:keepNext/>
              <w:rPr>
                <w:rFonts w:eastAsia="Batang"/>
                <w:szCs w:val="22"/>
                <w:lang w:val="hu-HU"/>
              </w:rPr>
            </w:pPr>
            <w:r w:rsidRPr="009F1165">
              <w:rPr>
                <w:rFonts w:eastAsia="Batang"/>
                <w:szCs w:val="22"/>
                <w:lang w:val="hu-HU"/>
              </w:rPr>
              <w:t>≤ 0,5 mg/l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D2A0" w14:textId="77777777" w:rsidR="009A05F4" w:rsidRPr="009F1165" w:rsidRDefault="009A05F4" w:rsidP="009F1165">
            <w:pPr>
              <w:keepNext/>
              <w:rPr>
                <w:rFonts w:eastAsia="Batang"/>
                <w:szCs w:val="22"/>
                <w:lang w:val="hu-HU"/>
              </w:rPr>
            </w:pPr>
            <w:proofErr w:type="gramStart"/>
            <w:r w:rsidRPr="009F1165">
              <w:rPr>
                <w:rFonts w:eastAsia="Batang"/>
                <w:szCs w:val="22"/>
                <w:lang w:val="hu-HU"/>
              </w:rPr>
              <w:t>&gt;</w:t>
            </w:r>
            <w:proofErr w:type="gramEnd"/>
            <w:r w:rsidRPr="009F1165">
              <w:rPr>
                <w:rFonts w:eastAsia="Batang"/>
                <w:szCs w:val="22"/>
                <w:lang w:val="hu-HU"/>
              </w:rPr>
              <w:t xml:space="preserve"> 1 mg/l</w:t>
            </w:r>
          </w:p>
        </w:tc>
      </w:tr>
      <w:tr w:rsidR="009A05F4" w:rsidRPr="009F1165" w14:paraId="5D428BF8" w14:textId="77777777" w:rsidTr="009A05F4"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2342" w14:textId="77777777" w:rsidR="009A05F4" w:rsidRPr="009F1165" w:rsidRDefault="009A05F4" w:rsidP="009F1165">
            <w:pPr>
              <w:keepNext/>
              <w:rPr>
                <w:szCs w:val="22"/>
                <w:lang w:val="hu-HU"/>
              </w:rPr>
            </w:pPr>
            <w:r w:rsidRPr="009F1165">
              <w:rPr>
                <w:szCs w:val="22"/>
                <w:lang w:val="hu-HU"/>
              </w:rPr>
              <w:t xml:space="preserve">*A nem </w:t>
            </w:r>
            <w:r w:rsidR="00414E56" w:rsidRPr="009F1165">
              <w:rPr>
                <w:szCs w:val="22"/>
                <w:lang w:val="hu-HU"/>
              </w:rPr>
              <w:t xml:space="preserve">fajhoz </w:t>
            </w:r>
            <w:r w:rsidRPr="009F1165">
              <w:rPr>
                <w:szCs w:val="22"/>
                <w:lang w:val="hu-HU"/>
              </w:rPr>
              <w:t xml:space="preserve">kötött </w:t>
            </w:r>
            <w:r w:rsidR="002F29D2" w:rsidRPr="009F1165">
              <w:rPr>
                <w:szCs w:val="22"/>
                <w:lang w:val="hu-HU"/>
              </w:rPr>
              <w:t>határértékek</w:t>
            </w:r>
            <w:r w:rsidRPr="009F1165">
              <w:rPr>
                <w:szCs w:val="22"/>
                <w:lang w:val="hu-HU"/>
              </w:rPr>
              <w:t xml:space="preserve"> meghatározása döntően a </w:t>
            </w:r>
            <w:proofErr w:type="spellStart"/>
            <w:r w:rsidRPr="009F1165">
              <w:rPr>
                <w:szCs w:val="22"/>
                <w:lang w:val="hu-HU"/>
              </w:rPr>
              <w:t>farmakokinetikai</w:t>
            </w:r>
            <w:proofErr w:type="spellEnd"/>
            <w:r w:rsidRPr="009F1165">
              <w:rPr>
                <w:szCs w:val="22"/>
                <w:lang w:val="hu-HU"/>
              </w:rPr>
              <w:t>/</w:t>
            </w:r>
            <w:proofErr w:type="spellStart"/>
            <w:r w:rsidRPr="009F1165">
              <w:rPr>
                <w:szCs w:val="22"/>
                <w:lang w:val="hu-HU"/>
              </w:rPr>
              <w:t>farmakodinámiás</w:t>
            </w:r>
            <w:proofErr w:type="spellEnd"/>
            <w:r w:rsidRPr="009F1165">
              <w:rPr>
                <w:szCs w:val="22"/>
                <w:lang w:val="hu-HU"/>
              </w:rPr>
              <w:t xml:space="preserve"> adatok alapján történt, és függetlenek az adott </w:t>
            </w:r>
            <w:r w:rsidR="002F29D2" w:rsidRPr="009F1165">
              <w:rPr>
                <w:szCs w:val="22"/>
                <w:lang w:val="hu-HU"/>
              </w:rPr>
              <w:t>fajok</w:t>
            </w:r>
            <w:r w:rsidRPr="009F1165">
              <w:rPr>
                <w:szCs w:val="22"/>
                <w:lang w:val="hu-HU"/>
              </w:rPr>
              <w:t xml:space="preserve"> MIC megoszlásától. Csak azon </w:t>
            </w:r>
            <w:r w:rsidR="002F29D2" w:rsidRPr="009F1165">
              <w:rPr>
                <w:szCs w:val="22"/>
                <w:lang w:val="hu-HU"/>
              </w:rPr>
              <w:t>fajok</w:t>
            </w:r>
            <w:r w:rsidRPr="009F1165">
              <w:rPr>
                <w:szCs w:val="22"/>
                <w:lang w:val="hu-HU"/>
              </w:rPr>
              <w:t xml:space="preserve"> vonatkozásában használatosak, melyeknél nem adottak a fajspecifikus </w:t>
            </w:r>
            <w:r w:rsidR="002F29D2" w:rsidRPr="009F1165">
              <w:rPr>
                <w:szCs w:val="22"/>
                <w:lang w:val="hu-HU"/>
              </w:rPr>
              <w:t>határértékek</w:t>
            </w:r>
            <w:r w:rsidR="00256279" w:rsidRPr="009F1165">
              <w:rPr>
                <w:szCs w:val="22"/>
                <w:lang w:val="hu-HU"/>
              </w:rPr>
              <w:t>,</w:t>
            </w:r>
            <w:r w:rsidRPr="009F1165">
              <w:rPr>
                <w:szCs w:val="22"/>
                <w:lang w:val="hu-HU"/>
              </w:rPr>
              <w:t xml:space="preserve"> és nem használható azon fajoknál, amelyeknél az </w:t>
            </w:r>
            <w:proofErr w:type="gramStart"/>
            <w:r w:rsidRPr="009F1165">
              <w:rPr>
                <w:szCs w:val="22"/>
                <w:lang w:val="hu-HU"/>
              </w:rPr>
              <w:t>interpretációs</w:t>
            </w:r>
            <w:proofErr w:type="gramEnd"/>
            <w:r w:rsidRPr="009F1165">
              <w:rPr>
                <w:szCs w:val="22"/>
                <w:lang w:val="hu-HU"/>
              </w:rPr>
              <w:t xml:space="preserve"> kritériumok a későbbiekben meghatározhatók.</w:t>
            </w:r>
          </w:p>
        </w:tc>
      </w:tr>
    </w:tbl>
    <w:p w14:paraId="5D007FA2" w14:textId="77777777" w:rsidR="009A05F4" w:rsidRPr="009F1165" w:rsidRDefault="009A05F4" w:rsidP="009F1165">
      <w:pPr>
        <w:rPr>
          <w:szCs w:val="22"/>
          <w:lang w:val="hu-HU"/>
        </w:rPr>
      </w:pPr>
    </w:p>
    <w:p w14:paraId="772D622F" w14:textId="77777777" w:rsidR="009A05F4" w:rsidRPr="009F1165" w:rsidRDefault="009A05F4" w:rsidP="009F1165">
      <w:pPr>
        <w:keepNext/>
        <w:rPr>
          <w:szCs w:val="22"/>
          <w:u w:val="single"/>
          <w:lang w:val="hu-HU"/>
        </w:rPr>
      </w:pPr>
      <w:r w:rsidRPr="009F1165">
        <w:rPr>
          <w:szCs w:val="22"/>
          <w:u w:val="single"/>
          <w:lang w:val="hu-HU"/>
        </w:rPr>
        <w:t>Mikrobiológiai érzékenység</w:t>
      </w:r>
    </w:p>
    <w:p w14:paraId="231C9A57" w14:textId="77777777" w:rsidR="00A83D7D" w:rsidRPr="009F1165" w:rsidRDefault="00A83D7D" w:rsidP="009F1165">
      <w:pPr>
        <w:keepNext/>
        <w:keepLines/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szerzett rezisztencia gyakorisága egyes törzsekre nézve a földrajzi elhelyezkedéstől, a vizsgálat idejétől függően eltérő lehet, ezért a rezisztenciára vonatkozó </w:t>
      </w:r>
      <w:r w:rsidR="00ED066B" w:rsidRPr="009F1165">
        <w:rPr>
          <w:szCs w:val="22"/>
          <w:lang w:val="hu-HU"/>
        </w:rPr>
        <w:t xml:space="preserve">helyi </w:t>
      </w:r>
      <w:r w:rsidRPr="009F1165">
        <w:rPr>
          <w:szCs w:val="22"/>
          <w:lang w:val="hu-HU"/>
        </w:rPr>
        <w:t xml:space="preserve">adatokat is be kell szerezni, </w:t>
      </w:r>
      <w:r w:rsidR="00841AE2" w:rsidRPr="00975ED1">
        <w:rPr>
          <w:lang w:val="hu-HU"/>
        </w:rPr>
        <w:t xml:space="preserve">különösen súlyos </w:t>
      </w:r>
      <w:proofErr w:type="gramStart"/>
      <w:r w:rsidR="00841AE2" w:rsidRPr="00975ED1">
        <w:rPr>
          <w:lang w:val="hu-HU"/>
        </w:rPr>
        <w:t>infekciók</w:t>
      </w:r>
      <w:proofErr w:type="gramEnd"/>
      <w:r w:rsidR="00841AE2" w:rsidRPr="00975ED1">
        <w:rPr>
          <w:lang w:val="hu-HU"/>
        </w:rPr>
        <w:t xml:space="preserve"> kezelésekor</w:t>
      </w:r>
      <w:r w:rsidRPr="009F1165">
        <w:rPr>
          <w:szCs w:val="22"/>
          <w:lang w:val="hu-HU"/>
        </w:rPr>
        <w:t xml:space="preserve">. Szükség esetén szaktanácsot kell kérni, </w:t>
      </w:r>
      <w:r w:rsidR="00ED066B" w:rsidRPr="009F1165">
        <w:rPr>
          <w:szCs w:val="22"/>
          <w:lang w:val="hu-HU"/>
        </w:rPr>
        <w:t xml:space="preserve">ha </w:t>
      </w:r>
      <w:r w:rsidRPr="009F1165">
        <w:rPr>
          <w:szCs w:val="22"/>
          <w:lang w:val="hu-HU"/>
        </w:rPr>
        <w:t xml:space="preserve">a rezisztencia </w:t>
      </w:r>
      <w:proofErr w:type="gramStart"/>
      <w:r w:rsidRPr="009F1165">
        <w:rPr>
          <w:szCs w:val="22"/>
          <w:lang w:val="hu-HU"/>
        </w:rPr>
        <w:t>lokális</w:t>
      </w:r>
      <w:proofErr w:type="gramEnd"/>
      <w:r w:rsidRPr="009F1165">
        <w:rPr>
          <w:szCs w:val="22"/>
          <w:lang w:val="hu-HU"/>
        </w:rPr>
        <w:t xml:space="preserve"> gyakorisága olyan, hogy egyes infekció-típusok esetén kérdésessé teszik a </w:t>
      </w:r>
      <w:r w:rsidR="00841AE2">
        <w:rPr>
          <w:szCs w:val="22"/>
          <w:lang w:val="hu-HU"/>
        </w:rPr>
        <w:t>gyógy</w:t>
      </w:r>
      <w:r w:rsidRPr="009F1165">
        <w:rPr>
          <w:szCs w:val="22"/>
          <w:lang w:val="hu-HU"/>
        </w:rPr>
        <w:t>szer használhatóságát.</w:t>
      </w:r>
    </w:p>
    <w:p w14:paraId="1B59B96D" w14:textId="77777777" w:rsidR="00A83D7D" w:rsidRPr="009F1165" w:rsidRDefault="00A83D7D" w:rsidP="009F1165">
      <w:pPr>
        <w:rPr>
          <w:szCs w:val="22"/>
          <w:lang w:val="hu-HU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A83D7D" w:rsidRPr="009F1165" w14:paraId="01219A47" w14:textId="77777777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3874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b/>
                <w:bCs/>
                <w:szCs w:val="22"/>
                <w:lang w:val="hu-HU"/>
              </w:rPr>
            </w:pPr>
            <w:r w:rsidRPr="009F1165">
              <w:rPr>
                <w:b/>
                <w:bCs/>
                <w:szCs w:val="22"/>
                <w:lang w:val="hu-HU"/>
              </w:rPr>
              <w:lastRenderedPageBreak/>
              <w:t xml:space="preserve">Általában érzékeny </w:t>
            </w:r>
            <w:r w:rsidR="0063560B" w:rsidRPr="009F1165">
              <w:rPr>
                <w:b/>
                <w:szCs w:val="22"/>
                <w:lang w:val="hu-HU"/>
              </w:rPr>
              <w:t>fajok</w:t>
            </w:r>
          </w:p>
        </w:tc>
      </w:tr>
      <w:tr w:rsidR="00A83D7D" w:rsidRPr="009F1165" w14:paraId="559C6D0D" w14:textId="77777777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4AFF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szCs w:val="22"/>
                <w:u w:val="single"/>
                <w:lang w:val="hu-HU"/>
              </w:rPr>
            </w:pPr>
            <w:r w:rsidRPr="009F1165">
              <w:rPr>
                <w:szCs w:val="22"/>
                <w:u w:val="single"/>
                <w:lang w:val="hu-HU"/>
              </w:rPr>
              <w:t xml:space="preserve">Aerob </w:t>
            </w:r>
            <w:proofErr w:type="spellStart"/>
            <w:r w:rsidRPr="009F1165">
              <w:rPr>
                <w:szCs w:val="22"/>
                <w:u w:val="single"/>
                <w:lang w:val="hu-HU"/>
              </w:rPr>
              <w:t>Gram</w:t>
            </w:r>
            <w:proofErr w:type="spellEnd"/>
            <w:r w:rsidRPr="009F1165">
              <w:rPr>
                <w:szCs w:val="22"/>
                <w:u w:val="single"/>
                <w:lang w:val="hu-HU"/>
              </w:rPr>
              <w:t>-pozitív mikroorganizmusok</w:t>
            </w:r>
          </w:p>
          <w:p w14:paraId="01D1CAC5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szCs w:val="22"/>
                <w:lang w:val="hu-HU"/>
              </w:rPr>
            </w:pPr>
            <w:proofErr w:type="spellStart"/>
            <w:r w:rsidRPr="009F1165">
              <w:rPr>
                <w:i/>
                <w:iCs/>
                <w:szCs w:val="22"/>
                <w:lang w:val="hu-HU"/>
              </w:rPr>
              <w:t>Staphylococcus</w:t>
            </w:r>
            <w:proofErr w:type="spellEnd"/>
            <w:r w:rsidRPr="009F1165">
              <w:rPr>
                <w:i/>
                <w:iCs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i/>
                <w:iCs/>
                <w:szCs w:val="22"/>
                <w:lang w:val="hu-HU"/>
              </w:rPr>
              <w:t>aureus</w:t>
            </w:r>
            <w:proofErr w:type="spellEnd"/>
            <w:r w:rsidRPr="009F1165">
              <w:rPr>
                <w:iCs/>
                <w:szCs w:val="22"/>
                <w:lang w:val="hu-HU"/>
              </w:rPr>
              <w:t>*</w:t>
            </w:r>
            <w:r w:rsidRPr="009F1165">
              <w:rPr>
                <w:szCs w:val="22"/>
                <w:vertAlign w:val="superscript"/>
                <w:lang w:val="hu-HU"/>
              </w:rPr>
              <w:t>+</w:t>
            </w:r>
          </w:p>
          <w:p w14:paraId="685C9408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szCs w:val="22"/>
                <w:lang w:val="hu-HU"/>
              </w:rPr>
            </w:pPr>
            <w:proofErr w:type="spellStart"/>
            <w:r w:rsidRPr="009F1165">
              <w:rPr>
                <w:i/>
                <w:iCs/>
                <w:szCs w:val="22"/>
                <w:lang w:val="hu-HU"/>
              </w:rPr>
              <w:t>Streptococcus</w:t>
            </w:r>
            <w:proofErr w:type="spellEnd"/>
            <w:r w:rsidRPr="009F1165">
              <w:rPr>
                <w:i/>
                <w:iCs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i/>
                <w:iCs/>
                <w:szCs w:val="22"/>
                <w:lang w:val="hu-HU"/>
              </w:rPr>
              <w:t>agalactiae</w:t>
            </w:r>
            <w:proofErr w:type="spellEnd"/>
            <w:r w:rsidRPr="009F1165">
              <w:rPr>
                <w:szCs w:val="22"/>
                <w:lang w:val="hu-HU"/>
              </w:rPr>
              <w:t xml:space="preserve"> (B csoport)</w:t>
            </w:r>
          </w:p>
          <w:p w14:paraId="42A7EBC4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szCs w:val="22"/>
                <w:lang w:val="hu-HU"/>
              </w:rPr>
            </w:pPr>
            <w:proofErr w:type="spellStart"/>
            <w:r w:rsidRPr="009F1165">
              <w:rPr>
                <w:i/>
                <w:iCs/>
                <w:szCs w:val="22"/>
                <w:lang w:val="hu-HU"/>
              </w:rPr>
              <w:t>Streptococcus</w:t>
            </w:r>
            <w:proofErr w:type="spellEnd"/>
            <w:r w:rsidRPr="009F1165">
              <w:rPr>
                <w:i/>
                <w:iCs/>
                <w:szCs w:val="22"/>
                <w:lang w:val="hu-HU"/>
              </w:rPr>
              <w:t xml:space="preserve"> milleri</w:t>
            </w:r>
            <w:r w:rsidRPr="009F1165">
              <w:rPr>
                <w:szCs w:val="22"/>
                <w:lang w:val="hu-HU"/>
              </w:rPr>
              <w:t xml:space="preserve"> csoport* (</w:t>
            </w:r>
            <w:r w:rsidRPr="009F1165">
              <w:rPr>
                <w:i/>
                <w:iCs/>
                <w:szCs w:val="22"/>
                <w:lang w:val="hu-HU"/>
              </w:rPr>
              <w:t xml:space="preserve">S. </w:t>
            </w:r>
            <w:proofErr w:type="spellStart"/>
            <w:r w:rsidRPr="009F1165">
              <w:rPr>
                <w:i/>
                <w:iCs/>
                <w:szCs w:val="22"/>
                <w:lang w:val="hu-HU"/>
              </w:rPr>
              <w:t>anginosus</w:t>
            </w:r>
            <w:proofErr w:type="spellEnd"/>
            <w:r w:rsidRPr="009F1165">
              <w:rPr>
                <w:szCs w:val="22"/>
                <w:lang w:val="hu-HU"/>
              </w:rPr>
              <w:t xml:space="preserve">, </w:t>
            </w:r>
            <w:r w:rsidRPr="009F1165">
              <w:rPr>
                <w:i/>
                <w:iCs/>
                <w:szCs w:val="22"/>
                <w:lang w:val="hu-HU"/>
              </w:rPr>
              <w:t xml:space="preserve">S. </w:t>
            </w:r>
            <w:proofErr w:type="spellStart"/>
            <w:r w:rsidRPr="009F1165">
              <w:rPr>
                <w:i/>
                <w:iCs/>
                <w:szCs w:val="22"/>
                <w:lang w:val="hu-HU"/>
              </w:rPr>
              <w:t>constellatus</w:t>
            </w:r>
            <w:proofErr w:type="spellEnd"/>
            <w:r w:rsidRPr="009F1165">
              <w:rPr>
                <w:szCs w:val="22"/>
                <w:lang w:val="hu-HU"/>
              </w:rPr>
              <w:t xml:space="preserve"> és </w:t>
            </w:r>
            <w:r w:rsidRPr="009F1165">
              <w:rPr>
                <w:i/>
                <w:iCs/>
                <w:szCs w:val="22"/>
                <w:lang w:val="hu-HU"/>
              </w:rPr>
              <w:t xml:space="preserve">S. </w:t>
            </w:r>
            <w:proofErr w:type="spellStart"/>
            <w:r w:rsidRPr="009F1165">
              <w:rPr>
                <w:i/>
                <w:iCs/>
                <w:szCs w:val="22"/>
                <w:lang w:val="hu-HU"/>
              </w:rPr>
              <w:t>intermedius</w:t>
            </w:r>
            <w:proofErr w:type="spellEnd"/>
            <w:r w:rsidRPr="009F1165">
              <w:rPr>
                <w:szCs w:val="22"/>
                <w:lang w:val="hu-HU"/>
              </w:rPr>
              <w:t>)</w:t>
            </w:r>
          </w:p>
          <w:p w14:paraId="3F0C9E69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szCs w:val="22"/>
                <w:lang w:val="hu-HU"/>
              </w:rPr>
            </w:pPr>
            <w:proofErr w:type="spellStart"/>
            <w:r w:rsidRPr="009F1165">
              <w:rPr>
                <w:i/>
                <w:iCs/>
                <w:szCs w:val="22"/>
                <w:lang w:val="hu-HU"/>
              </w:rPr>
              <w:t>Streptococcus</w:t>
            </w:r>
            <w:proofErr w:type="spellEnd"/>
            <w:r w:rsidRPr="009F1165">
              <w:rPr>
                <w:i/>
                <w:iCs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i/>
                <w:iCs/>
                <w:szCs w:val="22"/>
                <w:lang w:val="hu-HU"/>
              </w:rPr>
              <w:t>pneumoniae</w:t>
            </w:r>
            <w:proofErr w:type="spellEnd"/>
            <w:r w:rsidRPr="009F1165">
              <w:rPr>
                <w:szCs w:val="22"/>
                <w:lang w:val="hu-HU"/>
              </w:rPr>
              <w:t>*</w:t>
            </w:r>
          </w:p>
          <w:p w14:paraId="622604AC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szCs w:val="22"/>
                <w:lang w:val="hu-HU"/>
              </w:rPr>
            </w:pPr>
            <w:proofErr w:type="spellStart"/>
            <w:r w:rsidRPr="009F1165">
              <w:rPr>
                <w:i/>
                <w:iCs/>
                <w:szCs w:val="22"/>
                <w:lang w:val="hu-HU"/>
              </w:rPr>
              <w:t>Streptococcus</w:t>
            </w:r>
            <w:proofErr w:type="spellEnd"/>
            <w:r w:rsidRPr="009F1165">
              <w:rPr>
                <w:i/>
                <w:iCs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i/>
                <w:iCs/>
                <w:szCs w:val="22"/>
                <w:lang w:val="hu-HU"/>
              </w:rPr>
              <w:t>pyogenes</w:t>
            </w:r>
            <w:proofErr w:type="spellEnd"/>
            <w:r w:rsidRPr="009F1165">
              <w:rPr>
                <w:szCs w:val="22"/>
                <w:lang w:val="hu-HU"/>
              </w:rPr>
              <w:t>* (A csoport)</w:t>
            </w:r>
          </w:p>
          <w:p w14:paraId="678E3537" w14:textId="77777777" w:rsidR="009A05F4" w:rsidRPr="009F1165" w:rsidRDefault="009A05F4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szCs w:val="22"/>
                <w:lang w:val="hu-HU"/>
              </w:rPr>
            </w:pPr>
            <w:proofErr w:type="spellStart"/>
            <w:r w:rsidRPr="009F1165">
              <w:rPr>
                <w:rFonts w:eastAsia="Batang"/>
                <w:i/>
                <w:szCs w:val="22"/>
                <w:lang w:val="hu-HU"/>
              </w:rPr>
              <w:t>Streptococcus</w:t>
            </w:r>
            <w:proofErr w:type="spellEnd"/>
            <w:r w:rsidRPr="009F1165">
              <w:rPr>
                <w:rFonts w:eastAsia="Batang"/>
                <w:i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rFonts w:eastAsia="Batang"/>
                <w:i/>
                <w:szCs w:val="22"/>
                <w:lang w:val="hu-HU"/>
              </w:rPr>
              <w:t>viridans</w:t>
            </w:r>
            <w:proofErr w:type="spellEnd"/>
            <w:r w:rsidRPr="009F1165">
              <w:rPr>
                <w:rFonts w:eastAsia="Batang"/>
                <w:i/>
                <w:szCs w:val="22"/>
                <w:lang w:val="hu-HU"/>
              </w:rPr>
              <w:t xml:space="preserve"> </w:t>
            </w:r>
            <w:r w:rsidRPr="009F1165">
              <w:rPr>
                <w:rFonts w:eastAsia="Batang"/>
                <w:szCs w:val="22"/>
                <w:lang w:val="hu-HU"/>
              </w:rPr>
              <w:t>csoport</w:t>
            </w:r>
            <w:r w:rsidRPr="009F1165">
              <w:rPr>
                <w:rFonts w:eastAsia="Batang"/>
                <w:i/>
                <w:szCs w:val="22"/>
                <w:lang w:val="hu-HU"/>
              </w:rPr>
              <w:t xml:space="preserve"> (S. </w:t>
            </w:r>
            <w:proofErr w:type="spellStart"/>
            <w:r w:rsidRPr="009F1165">
              <w:rPr>
                <w:rFonts w:eastAsia="Batang"/>
                <w:i/>
                <w:szCs w:val="22"/>
                <w:lang w:val="hu-HU"/>
              </w:rPr>
              <w:t>viridans</w:t>
            </w:r>
            <w:proofErr w:type="spellEnd"/>
            <w:r w:rsidRPr="009F1165">
              <w:rPr>
                <w:rFonts w:eastAsia="Batang"/>
                <w:i/>
                <w:szCs w:val="22"/>
                <w:lang w:val="hu-HU"/>
              </w:rPr>
              <w:t>, S. </w:t>
            </w:r>
            <w:proofErr w:type="spellStart"/>
            <w:r w:rsidRPr="009F1165">
              <w:rPr>
                <w:rFonts w:eastAsia="Batang"/>
                <w:i/>
                <w:szCs w:val="22"/>
                <w:lang w:val="hu-HU"/>
              </w:rPr>
              <w:t>mutans</w:t>
            </w:r>
            <w:proofErr w:type="spellEnd"/>
            <w:r w:rsidRPr="009F1165">
              <w:rPr>
                <w:rFonts w:eastAsia="Batang"/>
                <w:i/>
                <w:szCs w:val="22"/>
                <w:lang w:val="hu-HU"/>
              </w:rPr>
              <w:t>, S. </w:t>
            </w:r>
            <w:proofErr w:type="spellStart"/>
            <w:r w:rsidRPr="009F1165">
              <w:rPr>
                <w:rFonts w:eastAsia="Batang"/>
                <w:i/>
                <w:szCs w:val="22"/>
                <w:lang w:val="hu-HU"/>
              </w:rPr>
              <w:t>mitis</w:t>
            </w:r>
            <w:proofErr w:type="spellEnd"/>
            <w:r w:rsidRPr="009F1165">
              <w:rPr>
                <w:rFonts w:eastAsia="Batang"/>
                <w:i/>
                <w:szCs w:val="22"/>
                <w:lang w:val="hu-HU"/>
              </w:rPr>
              <w:t>, S. </w:t>
            </w:r>
            <w:proofErr w:type="spellStart"/>
            <w:r w:rsidRPr="009F1165">
              <w:rPr>
                <w:rFonts w:eastAsia="Batang"/>
                <w:i/>
                <w:szCs w:val="22"/>
                <w:lang w:val="hu-HU"/>
              </w:rPr>
              <w:t>sanguinis</w:t>
            </w:r>
            <w:proofErr w:type="spellEnd"/>
            <w:r w:rsidRPr="009F1165">
              <w:rPr>
                <w:rFonts w:eastAsia="Batang"/>
                <w:i/>
                <w:szCs w:val="22"/>
                <w:lang w:val="hu-HU"/>
              </w:rPr>
              <w:t>, S. </w:t>
            </w:r>
            <w:proofErr w:type="spellStart"/>
            <w:r w:rsidRPr="009F1165">
              <w:rPr>
                <w:rFonts w:eastAsia="Batang"/>
                <w:i/>
                <w:szCs w:val="22"/>
                <w:lang w:val="hu-HU"/>
              </w:rPr>
              <w:t>salivarius</w:t>
            </w:r>
            <w:proofErr w:type="spellEnd"/>
            <w:r w:rsidRPr="009F1165">
              <w:rPr>
                <w:rFonts w:eastAsia="Batang"/>
                <w:i/>
                <w:szCs w:val="22"/>
                <w:lang w:val="hu-HU"/>
              </w:rPr>
              <w:t>, S. </w:t>
            </w:r>
            <w:proofErr w:type="spellStart"/>
            <w:r w:rsidRPr="009F1165">
              <w:rPr>
                <w:rFonts w:eastAsia="Batang"/>
                <w:i/>
                <w:szCs w:val="22"/>
                <w:lang w:val="hu-HU"/>
              </w:rPr>
              <w:t>thermophilus</w:t>
            </w:r>
            <w:proofErr w:type="spellEnd"/>
            <w:r w:rsidRPr="009F1165">
              <w:rPr>
                <w:rFonts w:eastAsia="Batang"/>
                <w:i/>
                <w:szCs w:val="22"/>
                <w:lang w:val="hu-HU"/>
              </w:rPr>
              <w:t>)</w:t>
            </w:r>
          </w:p>
        </w:tc>
      </w:tr>
      <w:tr w:rsidR="00A83D7D" w:rsidRPr="009F1165" w14:paraId="608B4EA8" w14:textId="77777777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5F0A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szCs w:val="22"/>
                <w:u w:val="single"/>
                <w:lang w:val="hu-HU"/>
              </w:rPr>
            </w:pPr>
            <w:r w:rsidRPr="009F1165">
              <w:rPr>
                <w:szCs w:val="22"/>
                <w:u w:val="single"/>
                <w:lang w:val="hu-HU"/>
              </w:rPr>
              <w:t xml:space="preserve">Aerob </w:t>
            </w:r>
            <w:proofErr w:type="spellStart"/>
            <w:r w:rsidRPr="009F1165">
              <w:rPr>
                <w:szCs w:val="22"/>
                <w:u w:val="single"/>
                <w:lang w:val="hu-HU"/>
              </w:rPr>
              <w:t>Gram</w:t>
            </w:r>
            <w:proofErr w:type="spellEnd"/>
            <w:r w:rsidRPr="009F1165">
              <w:rPr>
                <w:szCs w:val="22"/>
                <w:u w:val="single"/>
                <w:lang w:val="hu-HU"/>
              </w:rPr>
              <w:t>-negatív mikroorganizmusok</w:t>
            </w:r>
          </w:p>
          <w:p w14:paraId="281B023D" w14:textId="77777777" w:rsidR="009A05F4" w:rsidRPr="009F1165" w:rsidRDefault="009A05F4" w:rsidP="009F1165">
            <w:pPr>
              <w:keepNext/>
              <w:rPr>
                <w:rFonts w:eastAsia="Batang"/>
                <w:i/>
                <w:szCs w:val="22"/>
                <w:lang w:val="hu-HU"/>
              </w:rPr>
            </w:pPr>
            <w:proofErr w:type="spellStart"/>
            <w:r w:rsidRPr="009F1165">
              <w:rPr>
                <w:i/>
                <w:szCs w:val="22"/>
                <w:lang w:val="hu-HU"/>
              </w:rPr>
              <w:t>Acinetobacter</w:t>
            </w:r>
            <w:proofErr w:type="spellEnd"/>
            <w:r w:rsidRPr="009F1165">
              <w:rPr>
                <w:i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i/>
                <w:szCs w:val="22"/>
                <w:lang w:val="hu-HU"/>
              </w:rPr>
              <w:t>baumanii</w:t>
            </w:r>
            <w:proofErr w:type="spellEnd"/>
          </w:p>
          <w:p w14:paraId="2F319E86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szCs w:val="22"/>
                <w:lang w:val="hu-HU"/>
              </w:rPr>
            </w:pPr>
            <w:proofErr w:type="spellStart"/>
            <w:r w:rsidRPr="009F1165">
              <w:rPr>
                <w:i/>
                <w:iCs/>
                <w:szCs w:val="22"/>
                <w:lang w:val="hu-HU"/>
              </w:rPr>
              <w:t>Haemophilus</w:t>
            </w:r>
            <w:proofErr w:type="spellEnd"/>
            <w:r w:rsidRPr="009F1165">
              <w:rPr>
                <w:i/>
                <w:iCs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i/>
                <w:iCs/>
                <w:szCs w:val="22"/>
                <w:lang w:val="hu-HU"/>
              </w:rPr>
              <w:t>influenzae</w:t>
            </w:r>
            <w:proofErr w:type="spellEnd"/>
            <w:r w:rsidRPr="009F1165">
              <w:rPr>
                <w:szCs w:val="22"/>
                <w:lang w:val="hu-HU"/>
              </w:rPr>
              <w:t>*</w:t>
            </w:r>
          </w:p>
          <w:p w14:paraId="1D9B55A5" w14:textId="77777777" w:rsidR="009A05F4" w:rsidRPr="009F1165" w:rsidRDefault="009A05F4" w:rsidP="009F1165">
            <w:pPr>
              <w:keepNext/>
              <w:rPr>
                <w:rFonts w:eastAsia="Batang"/>
                <w:szCs w:val="22"/>
                <w:lang w:val="hu-HU"/>
              </w:rPr>
            </w:pPr>
            <w:proofErr w:type="spellStart"/>
            <w:r w:rsidRPr="009F1165">
              <w:rPr>
                <w:rFonts w:eastAsia="Batang"/>
                <w:i/>
                <w:szCs w:val="22"/>
                <w:lang w:val="hu-HU"/>
              </w:rPr>
              <w:t>Legionella</w:t>
            </w:r>
            <w:proofErr w:type="spellEnd"/>
            <w:r w:rsidRPr="009F1165">
              <w:rPr>
                <w:rFonts w:eastAsia="Batang"/>
                <w:i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rFonts w:eastAsia="Batang"/>
                <w:i/>
                <w:szCs w:val="22"/>
                <w:lang w:val="hu-HU"/>
              </w:rPr>
              <w:t>pneumophila</w:t>
            </w:r>
            <w:proofErr w:type="spellEnd"/>
          </w:p>
          <w:p w14:paraId="6B31620C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szCs w:val="22"/>
                <w:lang w:val="hu-HU"/>
              </w:rPr>
            </w:pPr>
            <w:proofErr w:type="spellStart"/>
            <w:r w:rsidRPr="009F1165">
              <w:rPr>
                <w:i/>
                <w:iCs/>
                <w:szCs w:val="22"/>
                <w:lang w:val="hu-HU"/>
              </w:rPr>
              <w:t>Moraxella</w:t>
            </w:r>
            <w:proofErr w:type="spellEnd"/>
            <w:r w:rsidRPr="009F1165">
              <w:rPr>
                <w:i/>
                <w:iCs/>
                <w:szCs w:val="22"/>
                <w:lang w:val="hu-HU"/>
              </w:rPr>
              <w:t xml:space="preserve"> (</w:t>
            </w:r>
            <w:proofErr w:type="spellStart"/>
            <w:r w:rsidRPr="009F1165">
              <w:rPr>
                <w:i/>
                <w:iCs/>
                <w:szCs w:val="22"/>
                <w:lang w:val="hu-HU"/>
              </w:rPr>
              <w:t>Branhamella</w:t>
            </w:r>
            <w:proofErr w:type="spellEnd"/>
            <w:r w:rsidRPr="009F1165">
              <w:rPr>
                <w:i/>
                <w:iCs/>
                <w:szCs w:val="22"/>
                <w:lang w:val="hu-HU"/>
              </w:rPr>
              <w:t xml:space="preserve">) </w:t>
            </w:r>
            <w:proofErr w:type="spellStart"/>
            <w:r w:rsidRPr="009F1165">
              <w:rPr>
                <w:i/>
                <w:iCs/>
                <w:szCs w:val="22"/>
                <w:lang w:val="hu-HU"/>
              </w:rPr>
              <w:t>catarrhalis</w:t>
            </w:r>
            <w:proofErr w:type="spellEnd"/>
            <w:r w:rsidR="009A05F4" w:rsidRPr="009F1165">
              <w:rPr>
                <w:i/>
                <w:iCs/>
                <w:szCs w:val="22"/>
                <w:lang w:val="hu-HU"/>
              </w:rPr>
              <w:t>*</w:t>
            </w:r>
          </w:p>
        </w:tc>
      </w:tr>
      <w:tr w:rsidR="00A83D7D" w:rsidRPr="009F1165" w14:paraId="4D9ECBBB" w14:textId="77777777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7D3D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szCs w:val="22"/>
                <w:u w:val="single"/>
                <w:lang w:val="hu-HU"/>
              </w:rPr>
            </w:pPr>
            <w:r w:rsidRPr="009F1165">
              <w:rPr>
                <w:szCs w:val="22"/>
                <w:u w:val="single"/>
                <w:lang w:val="hu-HU"/>
              </w:rPr>
              <w:t>Anaerob mikroorganizmusok</w:t>
            </w:r>
          </w:p>
          <w:p w14:paraId="79B270D0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szCs w:val="22"/>
                <w:lang w:val="hu-HU"/>
              </w:rPr>
            </w:pPr>
            <w:proofErr w:type="spellStart"/>
            <w:r w:rsidRPr="009F1165">
              <w:rPr>
                <w:i/>
                <w:iCs/>
                <w:szCs w:val="22"/>
                <w:lang w:val="hu-HU"/>
              </w:rPr>
              <w:t>Prevotella</w:t>
            </w:r>
            <w:proofErr w:type="spellEnd"/>
            <w:r w:rsidRPr="009F1165">
              <w:rPr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szCs w:val="22"/>
                <w:lang w:val="hu-HU"/>
              </w:rPr>
              <w:t>spp</w:t>
            </w:r>
            <w:proofErr w:type="spellEnd"/>
            <w:r w:rsidR="00256279" w:rsidRPr="009F1165">
              <w:rPr>
                <w:szCs w:val="22"/>
                <w:lang w:val="hu-HU"/>
              </w:rPr>
              <w:t>.</w:t>
            </w:r>
          </w:p>
        </w:tc>
      </w:tr>
      <w:tr w:rsidR="00A83D7D" w:rsidRPr="009F1165" w14:paraId="072E4301" w14:textId="77777777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9BA0" w14:textId="77777777" w:rsidR="00A83D7D" w:rsidRPr="009F1165" w:rsidRDefault="00256279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szCs w:val="22"/>
                <w:u w:val="single"/>
                <w:lang w:val="hu-HU"/>
              </w:rPr>
            </w:pPr>
            <w:r w:rsidRPr="009F1165">
              <w:rPr>
                <w:szCs w:val="22"/>
                <w:u w:val="single"/>
                <w:lang w:val="hu-HU"/>
              </w:rPr>
              <w:t>„</w:t>
            </w:r>
            <w:r w:rsidR="00A83D7D" w:rsidRPr="009F1165">
              <w:rPr>
                <w:szCs w:val="22"/>
                <w:u w:val="single"/>
                <w:lang w:val="hu-HU"/>
              </w:rPr>
              <w:t>Egyéb” mikroorganizmusok</w:t>
            </w:r>
          </w:p>
          <w:p w14:paraId="2C312909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szCs w:val="22"/>
                <w:lang w:val="hu-HU"/>
              </w:rPr>
            </w:pPr>
            <w:proofErr w:type="spellStart"/>
            <w:r w:rsidRPr="009F1165">
              <w:rPr>
                <w:i/>
                <w:iCs/>
                <w:szCs w:val="22"/>
                <w:lang w:val="hu-HU"/>
              </w:rPr>
              <w:t>Chlamydophila</w:t>
            </w:r>
            <w:proofErr w:type="spellEnd"/>
            <w:r w:rsidRPr="009F1165">
              <w:rPr>
                <w:i/>
                <w:iCs/>
                <w:szCs w:val="22"/>
                <w:lang w:val="hu-HU"/>
              </w:rPr>
              <w:t xml:space="preserve"> (Chlamydia) </w:t>
            </w:r>
            <w:proofErr w:type="spellStart"/>
            <w:r w:rsidRPr="009F1165">
              <w:rPr>
                <w:i/>
                <w:iCs/>
                <w:szCs w:val="22"/>
                <w:lang w:val="hu-HU"/>
              </w:rPr>
              <w:t>pneumoniae</w:t>
            </w:r>
            <w:proofErr w:type="spellEnd"/>
            <w:r w:rsidRPr="009F1165">
              <w:rPr>
                <w:szCs w:val="22"/>
                <w:lang w:val="hu-HU"/>
              </w:rPr>
              <w:t>*</w:t>
            </w:r>
          </w:p>
          <w:p w14:paraId="750004ED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i/>
                <w:iCs/>
                <w:szCs w:val="22"/>
                <w:lang w:val="hu-HU"/>
              </w:rPr>
            </w:pPr>
            <w:proofErr w:type="spellStart"/>
            <w:r w:rsidRPr="009F1165">
              <w:rPr>
                <w:i/>
                <w:iCs/>
                <w:szCs w:val="22"/>
                <w:lang w:val="hu-HU"/>
              </w:rPr>
              <w:t>Coxiella</w:t>
            </w:r>
            <w:proofErr w:type="spellEnd"/>
            <w:r w:rsidRPr="009F1165">
              <w:rPr>
                <w:i/>
                <w:iCs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i/>
                <w:iCs/>
                <w:szCs w:val="22"/>
                <w:lang w:val="hu-HU"/>
              </w:rPr>
              <w:t>burnetii</w:t>
            </w:r>
            <w:proofErr w:type="spellEnd"/>
          </w:p>
          <w:p w14:paraId="1CC9DCF4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szCs w:val="22"/>
                <w:u w:val="single"/>
                <w:lang w:val="hu-HU"/>
              </w:rPr>
            </w:pPr>
            <w:proofErr w:type="spellStart"/>
            <w:r w:rsidRPr="009F1165">
              <w:rPr>
                <w:i/>
                <w:iCs/>
                <w:szCs w:val="22"/>
                <w:lang w:val="hu-HU"/>
              </w:rPr>
              <w:t>Mycoplasma</w:t>
            </w:r>
            <w:proofErr w:type="spellEnd"/>
            <w:r w:rsidRPr="009F1165">
              <w:rPr>
                <w:i/>
                <w:iCs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i/>
                <w:iCs/>
                <w:szCs w:val="22"/>
                <w:lang w:val="hu-HU"/>
              </w:rPr>
              <w:t>pneumoniae</w:t>
            </w:r>
            <w:proofErr w:type="spellEnd"/>
            <w:r w:rsidRPr="009F1165">
              <w:rPr>
                <w:szCs w:val="22"/>
                <w:lang w:val="hu-HU"/>
              </w:rPr>
              <w:t>*</w:t>
            </w:r>
          </w:p>
        </w:tc>
      </w:tr>
      <w:tr w:rsidR="00A83D7D" w:rsidRPr="009F1165" w14:paraId="1C50B6E1" w14:textId="77777777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1FFC" w14:textId="77777777" w:rsidR="00A83D7D" w:rsidRPr="009F1165" w:rsidRDefault="0063560B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b/>
                <w:bCs/>
                <w:szCs w:val="22"/>
                <w:lang w:val="hu-HU"/>
              </w:rPr>
            </w:pPr>
            <w:r w:rsidRPr="009F1165">
              <w:rPr>
                <w:b/>
                <w:szCs w:val="22"/>
                <w:lang w:val="hu-HU"/>
              </w:rPr>
              <w:t>Fajok</w:t>
            </w:r>
            <w:r w:rsidR="00A83D7D" w:rsidRPr="009F1165">
              <w:rPr>
                <w:b/>
                <w:bCs/>
                <w:szCs w:val="22"/>
                <w:lang w:val="hu-HU"/>
              </w:rPr>
              <w:t xml:space="preserve">, melyeknél a szerzett rezisztencia </w:t>
            </w:r>
            <w:proofErr w:type="gramStart"/>
            <w:r w:rsidRPr="009F1165">
              <w:rPr>
                <w:b/>
                <w:szCs w:val="22"/>
                <w:lang w:val="hu-HU"/>
              </w:rPr>
              <w:t>problémát</w:t>
            </w:r>
            <w:proofErr w:type="gramEnd"/>
            <w:r w:rsidRPr="009F1165">
              <w:rPr>
                <w:b/>
                <w:szCs w:val="22"/>
                <w:lang w:val="hu-HU"/>
              </w:rPr>
              <w:t xml:space="preserve"> okozhat</w:t>
            </w:r>
          </w:p>
        </w:tc>
      </w:tr>
      <w:tr w:rsidR="00A83D7D" w:rsidRPr="009F1165" w14:paraId="7671423F" w14:textId="77777777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8F48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iCs/>
                <w:szCs w:val="22"/>
                <w:u w:val="single"/>
                <w:lang w:val="hu-HU"/>
              </w:rPr>
            </w:pPr>
            <w:r w:rsidRPr="009F1165">
              <w:rPr>
                <w:iCs/>
                <w:szCs w:val="22"/>
                <w:u w:val="single"/>
                <w:lang w:val="hu-HU"/>
              </w:rPr>
              <w:t xml:space="preserve">Aerob </w:t>
            </w:r>
            <w:proofErr w:type="spellStart"/>
            <w:r w:rsidRPr="009F1165">
              <w:rPr>
                <w:iCs/>
                <w:szCs w:val="22"/>
                <w:u w:val="single"/>
                <w:lang w:val="hu-HU"/>
              </w:rPr>
              <w:t>Gram</w:t>
            </w:r>
            <w:proofErr w:type="spellEnd"/>
            <w:r w:rsidR="00256279" w:rsidRPr="009F1165">
              <w:rPr>
                <w:iCs/>
                <w:szCs w:val="22"/>
                <w:u w:val="single"/>
                <w:lang w:val="hu-HU"/>
              </w:rPr>
              <w:t>-</w:t>
            </w:r>
            <w:r w:rsidRPr="009F1165">
              <w:rPr>
                <w:iCs/>
                <w:szCs w:val="22"/>
                <w:u w:val="single"/>
                <w:lang w:val="hu-HU"/>
              </w:rPr>
              <w:t>pozitív mikroorganizmusok</w:t>
            </w:r>
          </w:p>
          <w:p w14:paraId="7B79AA2C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szCs w:val="22"/>
                <w:lang w:val="hu-HU"/>
              </w:rPr>
            </w:pPr>
            <w:proofErr w:type="spellStart"/>
            <w:r w:rsidRPr="009F1165">
              <w:rPr>
                <w:i/>
                <w:iCs/>
                <w:szCs w:val="22"/>
                <w:lang w:val="hu-HU"/>
              </w:rPr>
              <w:t>Enterococcus</w:t>
            </w:r>
            <w:proofErr w:type="spellEnd"/>
            <w:r w:rsidRPr="009F1165">
              <w:rPr>
                <w:i/>
                <w:iCs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i/>
                <w:iCs/>
                <w:szCs w:val="22"/>
                <w:lang w:val="hu-HU"/>
              </w:rPr>
              <w:t>faecalis</w:t>
            </w:r>
            <w:proofErr w:type="spellEnd"/>
            <w:r w:rsidRPr="009F1165">
              <w:rPr>
                <w:szCs w:val="22"/>
                <w:lang w:val="hu-HU"/>
              </w:rPr>
              <w:t>*</w:t>
            </w:r>
          </w:p>
          <w:p w14:paraId="05826534" w14:textId="77777777" w:rsidR="009A05F4" w:rsidRPr="009F1165" w:rsidRDefault="009A05F4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szCs w:val="22"/>
                <w:lang w:val="hu-HU"/>
              </w:rPr>
            </w:pPr>
            <w:proofErr w:type="spellStart"/>
            <w:r w:rsidRPr="009F1165">
              <w:rPr>
                <w:i/>
                <w:szCs w:val="22"/>
                <w:lang w:val="hu-HU"/>
              </w:rPr>
              <w:t>Enterococcus</w:t>
            </w:r>
            <w:proofErr w:type="spellEnd"/>
            <w:r w:rsidRPr="009F1165">
              <w:rPr>
                <w:i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i/>
                <w:szCs w:val="22"/>
                <w:lang w:val="hu-HU"/>
              </w:rPr>
              <w:t>faecium</w:t>
            </w:r>
            <w:proofErr w:type="spellEnd"/>
            <w:r w:rsidRPr="009F1165">
              <w:rPr>
                <w:i/>
                <w:szCs w:val="22"/>
                <w:lang w:val="hu-HU"/>
              </w:rPr>
              <w:t>*</w:t>
            </w:r>
          </w:p>
        </w:tc>
      </w:tr>
      <w:tr w:rsidR="00A83D7D" w:rsidRPr="009F1165" w14:paraId="36B2A7EC" w14:textId="77777777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5A3A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iCs/>
                <w:szCs w:val="22"/>
                <w:u w:val="single"/>
                <w:lang w:val="hu-HU"/>
              </w:rPr>
            </w:pPr>
            <w:r w:rsidRPr="009F1165">
              <w:rPr>
                <w:iCs/>
                <w:szCs w:val="22"/>
                <w:u w:val="single"/>
                <w:lang w:val="hu-HU"/>
              </w:rPr>
              <w:t xml:space="preserve">Aerob </w:t>
            </w:r>
            <w:proofErr w:type="spellStart"/>
            <w:r w:rsidRPr="009F1165">
              <w:rPr>
                <w:iCs/>
                <w:szCs w:val="22"/>
                <w:u w:val="single"/>
                <w:lang w:val="hu-HU"/>
              </w:rPr>
              <w:t>Gram</w:t>
            </w:r>
            <w:proofErr w:type="spellEnd"/>
            <w:r w:rsidR="00256279" w:rsidRPr="009F1165">
              <w:rPr>
                <w:iCs/>
                <w:szCs w:val="22"/>
                <w:u w:val="single"/>
                <w:lang w:val="hu-HU"/>
              </w:rPr>
              <w:t>-</w:t>
            </w:r>
            <w:r w:rsidRPr="009F1165">
              <w:rPr>
                <w:iCs/>
                <w:szCs w:val="22"/>
                <w:u w:val="single"/>
                <w:lang w:val="hu-HU"/>
              </w:rPr>
              <w:t>negatív mikroorganizmusok</w:t>
            </w:r>
          </w:p>
          <w:p w14:paraId="1F1D6047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i/>
                <w:iCs/>
                <w:szCs w:val="22"/>
                <w:lang w:val="hu-HU"/>
              </w:rPr>
            </w:pPr>
            <w:proofErr w:type="spellStart"/>
            <w:r w:rsidRPr="009F1165">
              <w:rPr>
                <w:i/>
                <w:iCs/>
                <w:szCs w:val="22"/>
                <w:lang w:val="hu-HU"/>
              </w:rPr>
              <w:t>Enterobacter</w:t>
            </w:r>
            <w:proofErr w:type="spellEnd"/>
            <w:r w:rsidRPr="009F1165">
              <w:rPr>
                <w:i/>
                <w:iCs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i/>
                <w:iCs/>
                <w:szCs w:val="22"/>
                <w:lang w:val="hu-HU"/>
              </w:rPr>
              <w:t>cloacae</w:t>
            </w:r>
            <w:proofErr w:type="spellEnd"/>
            <w:r w:rsidRPr="009F1165">
              <w:rPr>
                <w:i/>
                <w:iCs/>
                <w:szCs w:val="22"/>
                <w:lang w:val="hu-HU"/>
              </w:rPr>
              <w:t>*</w:t>
            </w:r>
          </w:p>
          <w:p w14:paraId="45034B59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i/>
                <w:szCs w:val="22"/>
                <w:lang w:val="hu-HU"/>
              </w:rPr>
            </w:pPr>
            <w:proofErr w:type="spellStart"/>
            <w:r w:rsidRPr="009F1165">
              <w:rPr>
                <w:i/>
                <w:szCs w:val="22"/>
                <w:lang w:val="hu-HU"/>
              </w:rPr>
              <w:t>Escherichia</w:t>
            </w:r>
            <w:proofErr w:type="spellEnd"/>
            <w:r w:rsidRPr="009F1165">
              <w:rPr>
                <w:i/>
                <w:szCs w:val="22"/>
                <w:lang w:val="hu-HU"/>
              </w:rPr>
              <w:t xml:space="preserve"> coli*</w:t>
            </w:r>
            <w:r w:rsidR="00256279" w:rsidRPr="009F1165">
              <w:rPr>
                <w:rFonts w:eastAsia="Batang"/>
                <w:szCs w:val="22"/>
                <w:vertAlign w:val="superscript"/>
                <w:lang w:val="hu-HU"/>
              </w:rPr>
              <w:t>#</w:t>
            </w:r>
          </w:p>
          <w:p w14:paraId="2A6E8115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i/>
                <w:szCs w:val="22"/>
                <w:lang w:val="hu-HU"/>
              </w:rPr>
            </w:pPr>
            <w:proofErr w:type="spellStart"/>
            <w:r w:rsidRPr="009F1165">
              <w:rPr>
                <w:i/>
                <w:szCs w:val="22"/>
                <w:lang w:val="hu-HU"/>
              </w:rPr>
              <w:t>Klebsiella</w:t>
            </w:r>
            <w:proofErr w:type="spellEnd"/>
            <w:r w:rsidRPr="009F1165">
              <w:rPr>
                <w:i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i/>
                <w:szCs w:val="22"/>
                <w:lang w:val="hu-HU"/>
              </w:rPr>
              <w:t>oxytoca</w:t>
            </w:r>
            <w:proofErr w:type="spellEnd"/>
          </w:p>
          <w:p w14:paraId="6C5ABDBF" w14:textId="77777777" w:rsidR="009A05F4" w:rsidRPr="009F1165" w:rsidRDefault="009A05F4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rFonts w:eastAsia="Batang"/>
                <w:szCs w:val="22"/>
                <w:vertAlign w:val="superscript"/>
                <w:lang w:val="hu-HU"/>
              </w:rPr>
            </w:pPr>
            <w:proofErr w:type="spellStart"/>
            <w:r w:rsidRPr="009F1165">
              <w:rPr>
                <w:rFonts w:eastAsia="Batang"/>
                <w:i/>
                <w:szCs w:val="22"/>
                <w:lang w:val="hu-HU"/>
              </w:rPr>
              <w:t>Klebsiella</w:t>
            </w:r>
            <w:proofErr w:type="spellEnd"/>
            <w:r w:rsidRPr="009F1165">
              <w:rPr>
                <w:rFonts w:eastAsia="Batang"/>
                <w:i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rFonts w:eastAsia="Batang"/>
                <w:i/>
                <w:szCs w:val="22"/>
                <w:lang w:val="hu-HU"/>
              </w:rPr>
              <w:t>pneumoniae</w:t>
            </w:r>
            <w:proofErr w:type="spellEnd"/>
            <w:r w:rsidRPr="009F1165">
              <w:rPr>
                <w:rFonts w:eastAsia="Batang"/>
                <w:szCs w:val="22"/>
                <w:lang w:val="hu-HU"/>
              </w:rPr>
              <w:t>*</w:t>
            </w:r>
            <w:r w:rsidRPr="009F1165">
              <w:rPr>
                <w:rFonts w:eastAsia="Batang"/>
                <w:szCs w:val="22"/>
                <w:vertAlign w:val="superscript"/>
                <w:lang w:val="hu-HU"/>
              </w:rPr>
              <w:t>#</w:t>
            </w:r>
          </w:p>
          <w:p w14:paraId="702E2E49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szCs w:val="22"/>
                <w:lang w:val="hu-HU"/>
              </w:rPr>
            </w:pPr>
            <w:r w:rsidRPr="009F1165">
              <w:rPr>
                <w:i/>
                <w:szCs w:val="22"/>
                <w:lang w:val="hu-HU"/>
              </w:rPr>
              <w:t xml:space="preserve">Proteus </w:t>
            </w:r>
            <w:proofErr w:type="spellStart"/>
            <w:r w:rsidRPr="009F1165">
              <w:rPr>
                <w:i/>
                <w:szCs w:val="22"/>
                <w:lang w:val="hu-HU"/>
              </w:rPr>
              <w:t>mirabilis</w:t>
            </w:r>
            <w:proofErr w:type="spellEnd"/>
            <w:r w:rsidRPr="009F1165">
              <w:rPr>
                <w:i/>
                <w:szCs w:val="22"/>
                <w:lang w:val="hu-HU"/>
              </w:rPr>
              <w:t>*</w:t>
            </w:r>
          </w:p>
        </w:tc>
      </w:tr>
      <w:tr w:rsidR="00A83D7D" w:rsidRPr="009F1165" w14:paraId="33717280" w14:textId="77777777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D6E2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bCs/>
                <w:szCs w:val="22"/>
                <w:u w:val="single"/>
                <w:lang w:val="hu-HU"/>
              </w:rPr>
            </w:pPr>
            <w:r w:rsidRPr="009F1165">
              <w:rPr>
                <w:bCs/>
                <w:szCs w:val="22"/>
                <w:u w:val="single"/>
                <w:lang w:val="hu-HU"/>
              </w:rPr>
              <w:t>Anaerob mikroorganizmusok</w:t>
            </w:r>
          </w:p>
          <w:p w14:paraId="12A08741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i/>
                <w:iCs/>
                <w:szCs w:val="22"/>
                <w:lang w:val="hu-HU"/>
              </w:rPr>
            </w:pPr>
            <w:proofErr w:type="spellStart"/>
            <w:r w:rsidRPr="009F1165">
              <w:rPr>
                <w:i/>
                <w:iCs/>
                <w:szCs w:val="22"/>
                <w:lang w:val="hu-HU"/>
              </w:rPr>
              <w:t>Bacteroides</w:t>
            </w:r>
            <w:proofErr w:type="spellEnd"/>
            <w:r w:rsidRPr="009F1165">
              <w:rPr>
                <w:i/>
                <w:iCs/>
                <w:szCs w:val="22"/>
                <w:lang w:val="hu-HU"/>
              </w:rPr>
              <w:t xml:space="preserve"> fragilis</w:t>
            </w:r>
            <w:r w:rsidR="00256279" w:rsidRPr="009F1165">
              <w:rPr>
                <w:i/>
                <w:szCs w:val="22"/>
                <w:lang w:val="hu-HU"/>
              </w:rPr>
              <w:t>*</w:t>
            </w:r>
          </w:p>
        </w:tc>
      </w:tr>
      <w:tr w:rsidR="00A83D7D" w:rsidRPr="009F1165" w14:paraId="678003ED" w14:textId="77777777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6095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b/>
                <w:bCs/>
                <w:szCs w:val="22"/>
                <w:lang w:val="hu-HU"/>
              </w:rPr>
            </w:pPr>
            <w:r w:rsidRPr="009F1165">
              <w:rPr>
                <w:b/>
                <w:bCs/>
                <w:szCs w:val="22"/>
                <w:lang w:val="hu-HU"/>
              </w:rPr>
              <w:t>Öröklötten rezisztens organizmusok</w:t>
            </w:r>
          </w:p>
        </w:tc>
      </w:tr>
      <w:tr w:rsidR="00A83D7D" w:rsidRPr="009F1165" w14:paraId="500D4646" w14:textId="77777777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8619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szCs w:val="22"/>
                <w:u w:val="single"/>
                <w:lang w:val="hu-HU"/>
              </w:rPr>
            </w:pPr>
            <w:r w:rsidRPr="009F1165">
              <w:rPr>
                <w:szCs w:val="22"/>
                <w:u w:val="single"/>
                <w:lang w:val="hu-HU"/>
              </w:rPr>
              <w:t xml:space="preserve">Aerob </w:t>
            </w:r>
            <w:proofErr w:type="spellStart"/>
            <w:r w:rsidRPr="009F1165">
              <w:rPr>
                <w:szCs w:val="22"/>
                <w:u w:val="single"/>
                <w:lang w:val="hu-HU"/>
              </w:rPr>
              <w:t>Gram</w:t>
            </w:r>
            <w:proofErr w:type="spellEnd"/>
            <w:r w:rsidRPr="009F1165">
              <w:rPr>
                <w:szCs w:val="22"/>
                <w:u w:val="single"/>
                <w:lang w:val="hu-HU"/>
              </w:rPr>
              <w:t>-negatív mikroorganizmusok</w:t>
            </w:r>
          </w:p>
          <w:p w14:paraId="2EDC2F3F" w14:textId="77777777" w:rsidR="00A83D7D" w:rsidRPr="009F1165" w:rsidRDefault="00A83D7D" w:rsidP="009F1165">
            <w:pPr>
              <w:keepNext/>
              <w:keepLines/>
              <w:tabs>
                <w:tab w:val="right" w:pos="8255"/>
                <w:tab w:val="right" w:pos="8289"/>
              </w:tabs>
              <w:rPr>
                <w:i/>
                <w:szCs w:val="22"/>
                <w:u w:val="single"/>
                <w:lang w:val="hu-HU"/>
              </w:rPr>
            </w:pPr>
            <w:proofErr w:type="spellStart"/>
            <w:r w:rsidRPr="009F1165">
              <w:rPr>
                <w:i/>
                <w:szCs w:val="22"/>
                <w:lang w:val="hu-HU"/>
              </w:rPr>
              <w:t>Pseudomonas</w:t>
            </w:r>
            <w:proofErr w:type="spellEnd"/>
            <w:r w:rsidRPr="009F1165">
              <w:rPr>
                <w:i/>
                <w:szCs w:val="22"/>
                <w:lang w:val="hu-HU"/>
              </w:rPr>
              <w:t xml:space="preserve"> </w:t>
            </w:r>
            <w:proofErr w:type="spellStart"/>
            <w:r w:rsidRPr="009F1165">
              <w:rPr>
                <w:i/>
                <w:szCs w:val="22"/>
                <w:lang w:val="hu-HU"/>
              </w:rPr>
              <w:t>aeruginosa</w:t>
            </w:r>
            <w:proofErr w:type="spellEnd"/>
          </w:p>
        </w:tc>
      </w:tr>
      <w:tr w:rsidR="00A83D7D" w:rsidRPr="009F1165" w14:paraId="33F4847C" w14:textId="77777777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C2B9" w14:textId="77777777" w:rsidR="00A83D7D" w:rsidRPr="009F1165" w:rsidRDefault="00A83D7D" w:rsidP="009F1165">
            <w:pPr>
              <w:tabs>
                <w:tab w:val="right" w:pos="8255"/>
                <w:tab w:val="right" w:pos="8289"/>
              </w:tabs>
              <w:rPr>
                <w:szCs w:val="22"/>
                <w:lang w:val="hu-HU"/>
              </w:rPr>
            </w:pPr>
            <w:r w:rsidRPr="009F1165">
              <w:rPr>
                <w:szCs w:val="22"/>
                <w:lang w:val="hu-HU"/>
              </w:rPr>
              <w:t>*A hatékonyságot klinikai vizsgálatokban kielégítő módon bizonyították.</w:t>
            </w:r>
          </w:p>
          <w:p w14:paraId="4A33FE23" w14:textId="77777777" w:rsidR="00A83D7D" w:rsidRPr="009F1165" w:rsidRDefault="00A83D7D" w:rsidP="009F1165">
            <w:pPr>
              <w:tabs>
                <w:tab w:val="right" w:pos="8255"/>
                <w:tab w:val="right" w:pos="8289"/>
              </w:tabs>
              <w:rPr>
                <w:szCs w:val="22"/>
                <w:lang w:val="hu-HU"/>
              </w:rPr>
            </w:pPr>
            <w:r w:rsidRPr="009F1165">
              <w:rPr>
                <w:szCs w:val="22"/>
                <w:lang w:val="hu-HU"/>
              </w:rPr>
              <w:t xml:space="preserve">+A </w:t>
            </w:r>
            <w:proofErr w:type="spellStart"/>
            <w:r w:rsidRPr="009F1165">
              <w:rPr>
                <w:szCs w:val="22"/>
                <w:lang w:val="hu-HU"/>
              </w:rPr>
              <w:t>meticillin</w:t>
            </w:r>
            <w:proofErr w:type="spellEnd"/>
            <w:r w:rsidR="00256279" w:rsidRPr="009F1165">
              <w:rPr>
                <w:szCs w:val="22"/>
                <w:lang w:val="hu-HU"/>
              </w:rPr>
              <w:t>-</w:t>
            </w:r>
            <w:r w:rsidRPr="009F1165">
              <w:rPr>
                <w:szCs w:val="22"/>
                <w:lang w:val="hu-HU"/>
              </w:rPr>
              <w:t xml:space="preserve">rezisztens </w:t>
            </w:r>
            <w:r w:rsidRPr="009F1165">
              <w:rPr>
                <w:i/>
                <w:szCs w:val="22"/>
                <w:lang w:val="hu-HU"/>
              </w:rPr>
              <w:t xml:space="preserve">S. </w:t>
            </w:r>
            <w:proofErr w:type="spellStart"/>
            <w:r w:rsidRPr="009F1165">
              <w:rPr>
                <w:i/>
                <w:szCs w:val="22"/>
                <w:lang w:val="hu-HU"/>
              </w:rPr>
              <w:t>aureus</w:t>
            </w:r>
            <w:proofErr w:type="spellEnd"/>
            <w:r w:rsidRPr="009F1165">
              <w:rPr>
                <w:szCs w:val="22"/>
                <w:lang w:val="hu-HU"/>
              </w:rPr>
              <w:t xml:space="preserve"> nagy valószínűséggel rezisztens a </w:t>
            </w:r>
            <w:proofErr w:type="spellStart"/>
            <w:r w:rsidRPr="009F1165">
              <w:rPr>
                <w:szCs w:val="22"/>
                <w:lang w:val="hu-HU"/>
              </w:rPr>
              <w:t>fluorokinolonokkal</w:t>
            </w:r>
            <w:proofErr w:type="spellEnd"/>
            <w:r w:rsidRPr="009F1165">
              <w:rPr>
                <w:szCs w:val="22"/>
                <w:lang w:val="hu-HU"/>
              </w:rPr>
              <w:t xml:space="preserve"> szemben is.</w:t>
            </w:r>
          </w:p>
          <w:p w14:paraId="47A950C4" w14:textId="77777777" w:rsidR="00A83D7D" w:rsidRPr="009F1165" w:rsidRDefault="00A83D7D" w:rsidP="009F1165">
            <w:pPr>
              <w:tabs>
                <w:tab w:val="right" w:pos="8255"/>
                <w:tab w:val="right" w:pos="8289"/>
              </w:tabs>
              <w:rPr>
                <w:szCs w:val="22"/>
                <w:lang w:val="hu-HU"/>
              </w:rPr>
            </w:pPr>
            <w:r w:rsidRPr="009F1165">
              <w:rPr>
                <w:szCs w:val="22"/>
                <w:lang w:val="hu-HU"/>
              </w:rPr>
              <w:t xml:space="preserve">A </w:t>
            </w:r>
            <w:proofErr w:type="spellStart"/>
            <w:r w:rsidRPr="009F1165">
              <w:rPr>
                <w:szCs w:val="22"/>
                <w:lang w:val="hu-HU"/>
              </w:rPr>
              <w:t>meticillin</w:t>
            </w:r>
            <w:proofErr w:type="spellEnd"/>
            <w:r w:rsidR="00256279" w:rsidRPr="009F1165">
              <w:rPr>
                <w:szCs w:val="22"/>
                <w:lang w:val="hu-HU"/>
              </w:rPr>
              <w:t>-</w:t>
            </w:r>
            <w:r w:rsidRPr="009F1165">
              <w:rPr>
                <w:szCs w:val="22"/>
                <w:lang w:val="hu-HU"/>
              </w:rPr>
              <w:t xml:space="preserve">rezisztens </w:t>
            </w:r>
            <w:r w:rsidRPr="009F1165">
              <w:rPr>
                <w:i/>
                <w:szCs w:val="22"/>
                <w:lang w:val="hu-HU"/>
              </w:rPr>
              <w:t xml:space="preserve">S. </w:t>
            </w:r>
            <w:proofErr w:type="spellStart"/>
            <w:r w:rsidRPr="009F1165">
              <w:rPr>
                <w:i/>
                <w:szCs w:val="22"/>
                <w:lang w:val="hu-HU"/>
              </w:rPr>
              <w:t>aureus</w:t>
            </w:r>
            <w:proofErr w:type="spellEnd"/>
            <w:r w:rsidRPr="009F1165">
              <w:rPr>
                <w:szCs w:val="22"/>
                <w:lang w:val="hu-HU"/>
              </w:rPr>
              <w:t xml:space="preserve"> esetében 50% feletti arányban fordult elő </w:t>
            </w:r>
            <w:proofErr w:type="spellStart"/>
            <w:r w:rsidRPr="009F1165">
              <w:rPr>
                <w:szCs w:val="22"/>
                <w:lang w:val="hu-HU"/>
              </w:rPr>
              <w:t>moxifloxacin</w:t>
            </w:r>
            <w:proofErr w:type="spellEnd"/>
            <w:r w:rsidR="00841AE2">
              <w:rPr>
                <w:szCs w:val="22"/>
                <w:lang w:val="hu-HU"/>
              </w:rPr>
              <w:t>-</w:t>
            </w:r>
            <w:r w:rsidRPr="009F1165">
              <w:rPr>
                <w:szCs w:val="22"/>
                <w:lang w:val="hu-HU"/>
              </w:rPr>
              <w:t>rezisztencia.</w:t>
            </w:r>
          </w:p>
          <w:p w14:paraId="458C570E" w14:textId="77777777" w:rsidR="00A83D7D" w:rsidRPr="009F1165" w:rsidRDefault="00A83D7D" w:rsidP="009F1165">
            <w:pPr>
              <w:tabs>
                <w:tab w:val="right" w:pos="8255"/>
                <w:tab w:val="right" w:pos="8289"/>
              </w:tabs>
              <w:rPr>
                <w:szCs w:val="22"/>
                <w:u w:val="single"/>
                <w:lang w:val="hu-HU"/>
              </w:rPr>
            </w:pPr>
            <w:r w:rsidRPr="009F1165">
              <w:rPr>
                <w:szCs w:val="22"/>
                <w:vertAlign w:val="superscript"/>
                <w:lang w:val="hu-HU"/>
              </w:rPr>
              <w:t>#</w:t>
            </w:r>
            <w:r w:rsidRPr="009F1165">
              <w:rPr>
                <w:szCs w:val="22"/>
                <w:lang w:val="hu-HU"/>
              </w:rPr>
              <w:t xml:space="preserve">ESBL-t termelő törzsek </w:t>
            </w:r>
            <w:r w:rsidR="00ED066B" w:rsidRPr="009F1165">
              <w:rPr>
                <w:szCs w:val="22"/>
                <w:lang w:val="hu-HU"/>
              </w:rPr>
              <w:t xml:space="preserve">általában </w:t>
            </w:r>
            <w:r w:rsidRPr="009F1165">
              <w:rPr>
                <w:szCs w:val="22"/>
                <w:lang w:val="hu-HU"/>
              </w:rPr>
              <w:t xml:space="preserve">rezisztensek a </w:t>
            </w:r>
            <w:proofErr w:type="spellStart"/>
            <w:r w:rsidRPr="009F1165">
              <w:rPr>
                <w:szCs w:val="22"/>
                <w:lang w:val="hu-HU"/>
              </w:rPr>
              <w:t>fluorokinolonokra</w:t>
            </w:r>
            <w:proofErr w:type="spellEnd"/>
            <w:r w:rsidRPr="009F1165">
              <w:rPr>
                <w:szCs w:val="22"/>
                <w:lang w:val="hu-HU"/>
              </w:rPr>
              <w:t xml:space="preserve"> is.</w:t>
            </w:r>
          </w:p>
        </w:tc>
      </w:tr>
    </w:tbl>
    <w:p w14:paraId="468B5F11" w14:textId="77777777" w:rsidR="00A83D7D" w:rsidRPr="009F1165" w:rsidRDefault="00A83D7D" w:rsidP="009F1165">
      <w:pPr>
        <w:pStyle w:val="Cmsor5"/>
        <w:keepNext w:val="0"/>
        <w:tabs>
          <w:tab w:val="left" w:pos="567"/>
        </w:tabs>
        <w:rPr>
          <w:b w:val="0"/>
          <w:sz w:val="22"/>
          <w:szCs w:val="22"/>
          <w:u w:val="none"/>
        </w:rPr>
      </w:pPr>
    </w:p>
    <w:p w14:paraId="6BCAD6BB" w14:textId="77777777" w:rsidR="00A83D7D" w:rsidRPr="009F1165" w:rsidRDefault="00A83D7D" w:rsidP="009F1165">
      <w:pPr>
        <w:keepNext/>
        <w:keepLines/>
        <w:tabs>
          <w:tab w:val="left" w:pos="567"/>
        </w:tabs>
        <w:rPr>
          <w:b/>
          <w:szCs w:val="22"/>
          <w:lang w:val="hu-HU"/>
        </w:rPr>
      </w:pPr>
      <w:r w:rsidRPr="009F1165">
        <w:rPr>
          <w:b/>
          <w:szCs w:val="22"/>
          <w:lang w:val="hu-HU"/>
        </w:rPr>
        <w:t>5.2</w:t>
      </w:r>
      <w:r w:rsidRPr="009F1165">
        <w:rPr>
          <w:b/>
          <w:szCs w:val="22"/>
          <w:lang w:val="hu-HU"/>
        </w:rPr>
        <w:tab/>
      </w:r>
      <w:proofErr w:type="spellStart"/>
      <w:r w:rsidRPr="009F1165">
        <w:rPr>
          <w:b/>
          <w:szCs w:val="22"/>
          <w:lang w:val="hu-HU"/>
        </w:rPr>
        <w:t>Farmakokinetikai</w:t>
      </w:r>
      <w:proofErr w:type="spellEnd"/>
      <w:r w:rsidRPr="009F1165">
        <w:rPr>
          <w:b/>
          <w:szCs w:val="22"/>
          <w:lang w:val="hu-HU"/>
        </w:rPr>
        <w:t xml:space="preserve"> tulajdonságok</w:t>
      </w:r>
    </w:p>
    <w:p w14:paraId="5F9CAFAE" w14:textId="77777777" w:rsidR="00A83D7D" w:rsidRPr="009F1165" w:rsidRDefault="00A83D7D" w:rsidP="009F1165">
      <w:pPr>
        <w:pStyle w:val="Cmsor4"/>
        <w:tabs>
          <w:tab w:val="left" w:pos="567"/>
        </w:tabs>
        <w:rPr>
          <w:sz w:val="22"/>
          <w:szCs w:val="22"/>
        </w:rPr>
      </w:pPr>
    </w:p>
    <w:p w14:paraId="190C87D8" w14:textId="77777777" w:rsidR="00A83D7D" w:rsidRPr="009F1165" w:rsidRDefault="00A83D7D" w:rsidP="009F1165">
      <w:pPr>
        <w:pStyle w:val="Cmsor4"/>
        <w:tabs>
          <w:tab w:val="left" w:pos="567"/>
        </w:tabs>
        <w:rPr>
          <w:sz w:val="22"/>
          <w:szCs w:val="22"/>
          <w:u w:val="single"/>
        </w:rPr>
      </w:pPr>
      <w:r w:rsidRPr="009F1165">
        <w:rPr>
          <w:sz w:val="22"/>
          <w:szCs w:val="22"/>
          <w:u w:val="single"/>
        </w:rPr>
        <w:t xml:space="preserve">Felszívódás és </w:t>
      </w:r>
      <w:proofErr w:type="spellStart"/>
      <w:r w:rsidRPr="009F1165">
        <w:rPr>
          <w:sz w:val="22"/>
          <w:szCs w:val="22"/>
          <w:u w:val="single"/>
        </w:rPr>
        <w:t>biohasznosulás</w:t>
      </w:r>
      <w:proofErr w:type="spellEnd"/>
    </w:p>
    <w:p w14:paraId="10C436F3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Az egyszeri 400 mg </w:t>
      </w:r>
      <w:r w:rsidR="00D06D16" w:rsidRPr="009F1165">
        <w:rPr>
          <w:szCs w:val="22"/>
          <w:lang w:val="hu-HU"/>
        </w:rPr>
        <w:t>1 </w:t>
      </w:r>
      <w:r w:rsidRPr="009F1165">
        <w:rPr>
          <w:szCs w:val="22"/>
          <w:lang w:val="hu-HU"/>
        </w:rPr>
        <w:t xml:space="preserve">órás infúzió után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csúcs</w:t>
      </w:r>
      <w:proofErr w:type="gramStart"/>
      <w:r w:rsidRPr="009F1165">
        <w:rPr>
          <w:szCs w:val="22"/>
          <w:lang w:val="hu-HU"/>
        </w:rPr>
        <w:t>koncentrációja</w:t>
      </w:r>
      <w:proofErr w:type="gramEnd"/>
      <w:r w:rsidRPr="009F1165">
        <w:rPr>
          <w:szCs w:val="22"/>
          <w:lang w:val="hu-HU"/>
        </w:rPr>
        <w:t xml:space="preserve"> a plazmában </w:t>
      </w:r>
      <w:r w:rsidR="00FA7591" w:rsidRPr="009F1165">
        <w:rPr>
          <w:szCs w:val="22"/>
          <w:lang w:val="hu-HU"/>
        </w:rPr>
        <w:t xml:space="preserve">kb. </w:t>
      </w:r>
      <w:r w:rsidRPr="009F1165">
        <w:rPr>
          <w:szCs w:val="22"/>
          <w:lang w:val="hu-HU"/>
        </w:rPr>
        <w:t>4,1 mg/l volt az infúzió befejezésekor. Ez mintegy 26</w:t>
      </w:r>
      <w:r w:rsidR="00D06D16" w:rsidRPr="009F1165">
        <w:rPr>
          <w:szCs w:val="22"/>
          <w:lang w:val="hu-HU"/>
        </w:rPr>
        <w:t>%</w:t>
      </w:r>
      <w:r w:rsidR="00D06D16" w:rsidRPr="009F1165">
        <w:rPr>
          <w:szCs w:val="22"/>
          <w:lang w:val="hu-HU"/>
        </w:rPr>
        <w:noBreakHyphen/>
      </w:r>
      <w:proofErr w:type="spellStart"/>
      <w:r w:rsidRPr="009F1165">
        <w:rPr>
          <w:szCs w:val="22"/>
          <w:lang w:val="hu-HU"/>
        </w:rPr>
        <w:t>kal</w:t>
      </w:r>
      <w:proofErr w:type="spellEnd"/>
      <w:r w:rsidRPr="009F1165">
        <w:rPr>
          <w:szCs w:val="22"/>
          <w:lang w:val="hu-HU"/>
        </w:rPr>
        <w:t xml:space="preserve"> magasabb a per </w:t>
      </w:r>
      <w:proofErr w:type="spellStart"/>
      <w:r w:rsidRPr="009F1165">
        <w:rPr>
          <w:szCs w:val="22"/>
          <w:lang w:val="hu-HU"/>
        </w:rPr>
        <w:t>os</w:t>
      </w:r>
      <w:proofErr w:type="spellEnd"/>
      <w:r w:rsidRPr="009F1165">
        <w:rPr>
          <w:szCs w:val="22"/>
          <w:lang w:val="hu-HU"/>
        </w:rPr>
        <w:t xml:space="preserve"> alkalmazás esetén mért értékhez (3,1 mg/l) képest. Az AUC érték közelítően 39 </w:t>
      </w:r>
      <w:r w:rsidR="00D06D16" w:rsidRPr="009F1165">
        <w:rPr>
          <w:szCs w:val="22"/>
          <w:lang w:val="hu-HU"/>
        </w:rPr>
        <w:t>mg </w:t>
      </w:r>
      <w:r w:rsidR="00FA7591" w:rsidRPr="009F1165">
        <w:rPr>
          <w:szCs w:val="22"/>
          <w:lang w:val="hu-HU"/>
        </w:rPr>
        <w:t>óra</w:t>
      </w:r>
      <w:r w:rsidRPr="009F1165">
        <w:rPr>
          <w:szCs w:val="22"/>
          <w:lang w:val="hu-HU"/>
        </w:rPr>
        <w:t>/l volt i</w:t>
      </w:r>
      <w:r w:rsidR="00256279" w:rsidRPr="009F1165">
        <w:rPr>
          <w:szCs w:val="22"/>
          <w:lang w:val="hu-HU"/>
        </w:rPr>
        <w:t>ntravénás</w:t>
      </w:r>
      <w:r w:rsidRPr="009F1165">
        <w:rPr>
          <w:szCs w:val="22"/>
          <w:lang w:val="hu-HU"/>
        </w:rPr>
        <w:t xml:space="preserve"> beadás után, és ez alig magasabb az orális alkalmazást követő (</w:t>
      </w:r>
      <w:r w:rsidR="00D06D16" w:rsidRPr="009F1165">
        <w:rPr>
          <w:szCs w:val="22"/>
          <w:lang w:val="hu-HU"/>
        </w:rPr>
        <w:t>35 mg </w:t>
      </w:r>
      <w:r w:rsidR="00FA7591" w:rsidRPr="009F1165">
        <w:rPr>
          <w:szCs w:val="22"/>
          <w:lang w:val="hu-HU"/>
        </w:rPr>
        <w:t>óra</w:t>
      </w:r>
      <w:r w:rsidRPr="009F1165">
        <w:rPr>
          <w:szCs w:val="22"/>
          <w:lang w:val="hu-HU"/>
        </w:rPr>
        <w:t xml:space="preserve">/l) értékhez képest, </w:t>
      </w:r>
      <w:r w:rsidR="0028146A" w:rsidRPr="009F1165">
        <w:rPr>
          <w:szCs w:val="22"/>
          <w:lang w:val="hu-HU"/>
        </w:rPr>
        <w:t xml:space="preserve">ez </w:t>
      </w:r>
      <w:r w:rsidRPr="009F1165">
        <w:rPr>
          <w:szCs w:val="22"/>
          <w:lang w:val="hu-HU"/>
        </w:rPr>
        <w:t>megfelel 91</w:t>
      </w:r>
      <w:r w:rsidR="00D06D16" w:rsidRPr="009F1165">
        <w:rPr>
          <w:szCs w:val="22"/>
          <w:lang w:val="hu-HU"/>
        </w:rPr>
        <w:t>%</w:t>
      </w:r>
      <w:r w:rsidR="00D06D16" w:rsidRPr="009F1165">
        <w:rPr>
          <w:szCs w:val="22"/>
          <w:lang w:val="hu-HU"/>
        </w:rPr>
        <w:noBreakHyphen/>
      </w:r>
      <w:proofErr w:type="spellStart"/>
      <w:r w:rsidRPr="009F1165">
        <w:rPr>
          <w:szCs w:val="22"/>
          <w:lang w:val="hu-HU"/>
        </w:rPr>
        <w:t>os</w:t>
      </w:r>
      <w:proofErr w:type="spellEnd"/>
      <w:r w:rsidRPr="009F1165">
        <w:rPr>
          <w:szCs w:val="22"/>
          <w:lang w:val="hu-HU"/>
        </w:rPr>
        <w:t xml:space="preserve"> </w:t>
      </w:r>
      <w:proofErr w:type="gramStart"/>
      <w:r w:rsidRPr="009F1165">
        <w:rPr>
          <w:szCs w:val="22"/>
          <w:lang w:val="hu-HU"/>
        </w:rPr>
        <w:t>abszolút</w:t>
      </w:r>
      <w:proofErr w:type="gram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biohasznosulásnak</w:t>
      </w:r>
      <w:proofErr w:type="spellEnd"/>
      <w:r w:rsidRPr="009F1165">
        <w:rPr>
          <w:szCs w:val="22"/>
          <w:lang w:val="hu-HU"/>
        </w:rPr>
        <w:t>.</w:t>
      </w:r>
    </w:p>
    <w:p w14:paraId="527CB4B6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152D78F2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Nincs szükség az intravénás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adag módosítására a betegek korától vagy nemétől függően.</w:t>
      </w:r>
    </w:p>
    <w:p w14:paraId="0C8592B1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7B593B4E" w14:textId="77777777" w:rsidR="00A83D7D" w:rsidRPr="009F1165" w:rsidRDefault="00A83D7D" w:rsidP="009F1165">
      <w:pPr>
        <w:pStyle w:val="Szvegtrzsbehzssal"/>
        <w:tabs>
          <w:tab w:val="left" w:pos="567"/>
        </w:tabs>
        <w:spacing w:after="0"/>
        <w:ind w:left="0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farmakokinetikai</w:t>
      </w:r>
      <w:proofErr w:type="spellEnd"/>
      <w:r w:rsidRPr="009F1165">
        <w:rPr>
          <w:szCs w:val="22"/>
          <w:lang w:val="hu-HU"/>
        </w:rPr>
        <w:t xml:space="preserve"> paraméterek lineárisan változnak 50 mg</w:t>
      </w:r>
      <w:r w:rsidR="00D06D16" w:rsidRPr="009F1165">
        <w:rPr>
          <w:szCs w:val="22"/>
          <w:lang w:val="hu-HU"/>
        </w:rPr>
        <w:noBreakHyphen/>
      </w:r>
      <w:r w:rsidRPr="009F1165">
        <w:rPr>
          <w:szCs w:val="22"/>
          <w:lang w:val="hu-HU"/>
        </w:rPr>
        <w:t xml:space="preserve">1200 mg egyszeri per </w:t>
      </w:r>
      <w:proofErr w:type="spellStart"/>
      <w:r w:rsidRPr="009F1165">
        <w:rPr>
          <w:szCs w:val="22"/>
          <w:lang w:val="hu-HU"/>
        </w:rPr>
        <w:t>os</w:t>
      </w:r>
      <w:proofErr w:type="spellEnd"/>
      <w:r w:rsidRPr="009F1165">
        <w:rPr>
          <w:szCs w:val="22"/>
          <w:lang w:val="hu-HU"/>
        </w:rPr>
        <w:t xml:space="preserve"> alkalmazás után, valamint egyszer</w:t>
      </w:r>
      <w:r w:rsidR="0028146A" w:rsidRPr="009F1165">
        <w:rPr>
          <w:szCs w:val="22"/>
          <w:lang w:val="hu-HU"/>
        </w:rPr>
        <w:t>i</w:t>
      </w:r>
      <w:r w:rsidRPr="009F1165">
        <w:rPr>
          <w:szCs w:val="22"/>
          <w:lang w:val="hu-HU"/>
        </w:rPr>
        <w:t xml:space="preserve"> vagy </w:t>
      </w:r>
      <w:r w:rsidR="00D06D16" w:rsidRPr="009F1165">
        <w:rPr>
          <w:szCs w:val="22"/>
          <w:lang w:val="hu-HU"/>
        </w:rPr>
        <w:t>10 </w:t>
      </w:r>
      <w:r w:rsidRPr="009F1165">
        <w:rPr>
          <w:szCs w:val="22"/>
          <w:lang w:val="hu-HU"/>
        </w:rPr>
        <w:t>napon át adott napi egyszeri, legfeljebb 600 mg intravénás adagig.</w:t>
      </w:r>
    </w:p>
    <w:p w14:paraId="29452995" w14:textId="77777777" w:rsidR="00A83D7D" w:rsidRPr="009F1165" w:rsidRDefault="00A83D7D" w:rsidP="009F1165">
      <w:pPr>
        <w:pStyle w:val="Szvegtrzsbehzssal"/>
        <w:tabs>
          <w:tab w:val="left" w:pos="567"/>
        </w:tabs>
        <w:spacing w:after="0"/>
        <w:ind w:left="0"/>
        <w:rPr>
          <w:szCs w:val="22"/>
          <w:lang w:val="hu-HU"/>
        </w:rPr>
      </w:pPr>
    </w:p>
    <w:p w14:paraId="5D58F18C" w14:textId="77777777" w:rsidR="00A83D7D" w:rsidRPr="009F1165" w:rsidRDefault="002F29D2" w:rsidP="009F1165">
      <w:pPr>
        <w:pStyle w:val="Szvegtrzsbehzssal"/>
        <w:keepNext/>
        <w:keepLines/>
        <w:tabs>
          <w:tab w:val="left" w:pos="567"/>
        </w:tabs>
        <w:spacing w:after="0"/>
        <w:ind w:left="0"/>
        <w:rPr>
          <w:szCs w:val="22"/>
          <w:u w:val="single"/>
          <w:lang w:val="hu-HU"/>
        </w:rPr>
      </w:pPr>
      <w:r w:rsidRPr="009F1165">
        <w:rPr>
          <w:szCs w:val="22"/>
          <w:u w:val="single"/>
          <w:lang w:val="hu-HU"/>
        </w:rPr>
        <w:lastRenderedPageBreak/>
        <w:t>Eloszlás</w:t>
      </w:r>
    </w:p>
    <w:p w14:paraId="38377F72" w14:textId="77777777" w:rsidR="00A83D7D" w:rsidRPr="009F1165" w:rsidRDefault="00A83D7D" w:rsidP="009F1165">
      <w:pPr>
        <w:keepNext/>
        <w:keepLines/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a vérből igen gyorsan eloszlik az </w:t>
      </w:r>
      <w:proofErr w:type="spellStart"/>
      <w:r w:rsidRPr="009F1165">
        <w:rPr>
          <w:szCs w:val="22"/>
          <w:lang w:val="hu-HU"/>
        </w:rPr>
        <w:t>extravasalis</w:t>
      </w:r>
      <w:proofErr w:type="spellEnd"/>
      <w:r w:rsidRPr="009F1165">
        <w:rPr>
          <w:szCs w:val="22"/>
          <w:lang w:val="hu-HU"/>
        </w:rPr>
        <w:t xml:space="preserve"> térbe. A dinamikus egyensúlyi állapotban mért megoszlási térfogat (</w:t>
      </w:r>
      <w:proofErr w:type="spellStart"/>
      <w:r w:rsidRPr="009F1165">
        <w:rPr>
          <w:szCs w:val="22"/>
          <w:lang w:val="hu-HU"/>
        </w:rPr>
        <w:t>Vss</w:t>
      </w:r>
      <w:proofErr w:type="spellEnd"/>
      <w:r w:rsidRPr="009F1165">
        <w:rPr>
          <w:szCs w:val="22"/>
          <w:lang w:val="hu-HU"/>
        </w:rPr>
        <w:t>) mintegy 2 l/</w:t>
      </w:r>
      <w:proofErr w:type="spellStart"/>
      <w:r w:rsidR="00256279" w:rsidRPr="009F1165">
        <w:rPr>
          <w:szCs w:val="22"/>
          <w:lang w:val="hu-HU"/>
        </w:rPr>
        <w:t>tt</w:t>
      </w:r>
      <w:r w:rsidRPr="009F1165">
        <w:rPr>
          <w:szCs w:val="22"/>
          <w:lang w:val="hu-HU"/>
        </w:rPr>
        <w:t>kg</w:t>
      </w:r>
      <w:proofErr w:type="spellEnd"/>
      <w:r w:rsidRPr="009F1165">
        <w:rPr>
          <w:szCs w:val="22"/>
          <w:lang w:val="hu-HU"/>
        </w:rPr>
        <w:t xml:space="preserve">. </w:t>
      </w:r>
      <w:r w:rsidRPr="009F1165">
        <w:rPr>
          <w:i/>
          <w:szCs w:val="22"/>
          <w:lang w:val="hu-HU"/>
        </w:rPr>
        <w:t xml:space="preserve">In vitro </w:t>
      </w:r>
      <w:r w:rsidRPr="009F1165">
        <w:rPr>
          <w:szCs w:val="22"/>
          <w:lang w:val="hu-HU"/>
        </w:rPr>
        <w:t xml:space="preserve">és </w:t>
      </w:r>
      <w:r w:rsidRPr="009F1165">
        <w:rPr>
          <w:i/>
          <w:szCs w:val="22"/>
          <w:lang w:val="hu-HU"/>
        </w:rPr>
        <w:t>ex vivo</w:t>
      </w:r>
      <w:r w:rsidRPr="009F1165">
        <w:rPr>
          <w:szCs w:val="22"/>
          <w:lang w:val="hu-HU"/>
        </w:rPr>
        <w:t xml:space="preserve"> vizsgálatokban a fehérjékhez való kötődés mértéke a </w:t>
      </w:r>
      <w:proofErr w:type="gramStart"/>
      <w:r w:rsidRPr="009F1165">
        <w:rPr>
          <w:szCs w:val="22"/>
          <w:lang w:val="hu-HU"/>
        </w:rPr>
        <w:t>koncentrációtól</w:t>
      </w:r>
      <w:proofErr w:type="gramEnd"/>
      <w:r w:rsidRPr="009F1165">
        <w:rPr>
          <w:szCs w:val="22"/>
          <w:lang w:val="hu-HU"/>
        </w:rPr>
        <w:t xml:space="preserve"> függetlenül kb. 40</w:t>
      </w:r>
      <w:r w:rsidR="00D06D16" w:rsidRPr="009F1165">
        <w:rPr>
          <w:szCs w:val="22"/>
          <w:lang w:val="hu-HU"/>
        </w:rPr>
        <w:noBreakHyphen/>
      </w:r>
      <w:r w:rsidRPr="009F1165">
        <w:rPr>
          <w:szCs w:val="22"/>
          <w:lang w:val="hu-HU"/>
        </w:rPr>
        <w:t xml:space="preserve">42% volt.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elsősorban a szérum albuminhoz kötődik.</w:t>
      </w:r>
    </w:p>
    <w:p w14:paraId="44210E5B" w14:textId="77777777" w:rsidR="00A83D7D" w:rsidRPr="009F1165" w:rsidRDefault="00A83D7D" w:rsidP="009F1165">
      <w:pPr>
        <w:tabs>
          <w:tab w:val="left" w:pos="567"/>
          <w:tab w:val="left" w:pos="1063"/>
          <w:tab w:val="left" w:pos="9284"/>
        </w:tabs>
        <w:rPr>
          <w:szCs w:val="22"/>
          <w:lang w:val="hu-HU"/>
        </w:rPr>
      </w:pPr>
    </w:p>
    <w:p w14:paraId="4330A003" w14:textId="77777777" w:rsidR="00A83D7D" w:rsidRPr="009F1165" w:rsidRDefault="00A83D7D" w:rsidP="009F1165">
      <w:pPr>
        <w:pStyle w:val="Szvegtrzsbehzssal3"/>
        <w:tabs>
          <w:tab w:val="left" w:pos="567"/>
        </w:tabs>
        <w:spacing w:after="0"/>
        <w:ind w:left="0"/>
        <w:rPr>
          <w:sz w:val="22"/>
          <w:szCs w:val="22"/>
          <w:lang w:val="hu-HU"/>
        </w:rPr>
      </w:pPr>
      <w:r w:rsidRPr="009F1165">
        <w:rPr>
          <w:sz w:val="22"/>
          <w:szCs w:val="22"/>
          <w:lang w:val="hu-HU"/>
        </w:rPr>
        <w:t>Az 5,</w:t>
      </w:r>
      <w:r w:rsidR="00D06D16" w:rsidRPr="009F1165">
        <w:rPr>
          <w:sz w:val="22"/>
          <w:szCs w:val="22"/>
          <w:lang w:val="hu-HU"/>
        </w:rPr>
        <w:t>4 </w:t>
      </w:r>
      <w:r w:rsidRPr="009F1165">
        <w:rPr>
          <w:sz w:val="22"/>
          <w:szCs w:val="22"/>
          <w:lang w:val="hu-HU"/>
        </w:rPr>
        <w:t>mg/kg</w:t>
      </w:r>
      <w:r w:rsidR="00D06D16" w:rsidRPr="009F1165">
        <w:rPr>
          <w:sz w:val="22"/>
          <w:szCs w:val="22"/>
          <w:lang w:val="hu-HU"/>
        </w:rPr>
        <w:noBreakHyphen/>
      </w:r>
      <w:r w:rsidRPr="009F1165">
        <w:rPr>
          <w:sz w:val="22"/>
          <w:szCs w:val="22"/>
          <w:lang w:val="hu-HU"/>
        </w:rPr>
        <w:t>os</w:t>
      </w:r>
      <w:r w:rsidR="00256279" w:rsidRPr="009F1165">
        <w:rPr>
          <w:sz w:val="22"/>
          <w:szCs w:val="22"/>
          <w:lang w:val="hu-HU"/>
        </w:rPr>
        <w:t>,</w:t>
      </w:r>
      <w:r w:rsidRPr="009F1165">
        <w:rPr>
          <w:sz w:val="22"/>
          <w:szCs w:val="22"/>
          <w:lang w:val="hu-HU"/>
        </w:rPr>
        <w:t xml:space="preserve"> illetve 20,7 mg/l</w:t>
      </w:r>
      <w:r w:rsidR="00D06D16" w:rsidRPr="009F1165">
        <w:rPr>
          <w:sz w:val="22"/>
          <w:szCs w:val="22"/>
          <w:lang w:val="hu-HU"/>
        </w:rPr>
        <w:t> </w:t>
      </w:r>
      <w:r w:rsidRPr="009F1165">
        <w:rPr>
          <w:sz w:val="22"/>
          <w:szCs w:val="22"/>
          <w:lang w:val="hu-HU"/>
        </w:rPr>
        <w:t xml:space="preserve">es (geometriai átlag) maximális </w:t>
      </w:r>
      <w:proofErr w:type="gramStart"/>
      <w:r w:rsidRPr="009F1165">
        <w:rPr>
          <w:sz w:val="22"/>
          <w:szCs w:val="22"/>
          <w:lang w:val="hu-HU"/>
        </w:rPr>
        <w:t>koncentrációk</w:t>
      </w:r>
      <w:proofErr w:type="gramEnd"/>
      <w:r w:rsidRPr="009F1165">
        <w:rPr>
          <w:sz w:val="22"/>
          <w:szCs w:val="22"/>
          <w:lang w:val="hu-HU"/>
        </w:rPr>
        <w:t xml:space="preserve"> a </w:t>
      </w:r>
      <w:proofErr w:type="spellStart"/>
      <w:r w:rsidRPr="009F1165">
        <w:rPr>
          <w:sz w:val="22"/>
          <w:szCs w:val="22"/>
          <w:lang w:val="hu-HU"/>
        </w:rPr>
        <w:t>bronchus</w:t>
      </w:r>
      <w:proofErr w:type="spellEnd"/>
      <w:r w:rsidRPr="009F1165">
        <w:rPr>
          <w:sz w:val="22"/>
          <w:szCs w:val="22"/>
          <w:lang w:val="hu-HU"/>
        </w:rPr>
        <w:t xml:space="preserve"> nyálkahártyájában</w:t>
      </w:r>
      <w:r w:rsidR="00256279" w:rsidRPr="009F1165">
        <w:rPr>
          <w:sz w:val="22"/>
          <w:szCs w:val="22"/>
          <w:lang w:val="hu-HU"/>
        </w:rPr>
        <w:t>,</w:t>
      </w:r>
      <w:r w:rsidRPr="009F1165">
        <w:rPr>
          <w:sz w:val="22"/>
          <w:szCs w:val="22"/>
          <w:lang w:val="hu-HU"/>
        </w:rPr>
        <w:t xml:space="preserve"> illetve az </w:t>
      </w:r>
      <w:proofErr w:type="spellStart"/>
      <w:r w:rsidRPr="009F1165">
        <w:rPr>
          <w:sz w:val="22"/>
          <w:szCs w:val="22"/>
          <w:lang w:val="hu-HU"/>
        </w:rPr>
        <w:t>epithelium</w:t>
      </w:r>
      <w:proofErr w:type="spellEnd"/>
      <w:r w:rsidRPr="009F1165">
        <w:rPr>
          <w:sz w:val="22"/>
          <w:szCs w:val="22"/>
          <w:lang w:val="hu-HU"/>
        </w:rPr>
        <w:t xml:space="preserve"> nyákrétegében alakultak ki, 2,2 órával az orális adagolás után. A megfelelő csúcs</w:t>
      </w:r>
      <w:proofErr w:type="gramStart"/>
      <w:r w:rsidRPr="009F1165">
        <w:rPr>
          <w:sz w:val="22"/>
          <w:szCs w:val="22"/>
          <w:lang w:val="hu-HU"/>
        </w:rPr>
        <w:t>koncentráció</w:t>
      </w:r>
      <w:proofErr w:type="gramEnd"/>
      <w:r w:rsidRPr="009F1165">
        <w:rPr>
          <w:sz w:val="22"/>
          <w:szCs w:val="22"/>
          <w:lang w:val="hu-HU"/>
        </w:rPr>
        <w:t xml:space="preserve"> az alveoláris </w:t>
      </w:r>
      <w:proofErr w:type="spellStart"/>
      <w:r w:rsidRPr="009F1165">
        <w:rPr>
          <w:sz w:val="22"/>
          <w:szCs w:val="22"/>
          <w:lang w:val="hu-HU"/>
        </w:rPr>
        <w:t>makrofágokban</w:t>
      </w:r>
      <w:proofErr w:type="spellEnd"/>
      <w:r w:rsidRPr="009F1165">
        <w:rPr>
          <w:sz w:val="22"/>
          <w:szCs w:val="22"/>
          <w:lang w:val="hu-HU"/>
        </w:rPr>
        <w:t xml:space="preserve"> elérte az 56,</w:t>
      </w:r>
      <w:r w:rsidR="00D06D16" w:rsidRPr="009F1165">
        <w:rPr>
          <w:sz w:val="22"/>
          <w:szCs w:val="22"/>
          <w:lang w:val="hu-HU"/>
        </w:rPr>
        <w:t>7 </w:t>
      </w:r>
      <w:r w:rsidRPr="009F1165">
        <w:rPr>
          <w:sz w:val="22"/>
          <w:szCs w:val="22"/>
          <w:lang w:val="hu-HU"/>
        </w:rPr>
        <w:t>mg/kg</w:t>
      </w:r>
      <w:r w:rsidR="00D06D16" w:rsidRPr="009F1165">
        <w:rPr>
          <w:sz w:val="22"/>
          <w:szCs w:val="22"/>
          <w:lang w:val="hu-HU"/>
        </w:rPr>
        <w:noBreakHyphen/>
      </w:r>
      <w:r w:rsidRPr="009F1165">
        <w:rPr>
          <w:sz w:val="22"/>
          <w:szCs w:val="22"/>
          <w:lang w:val="hu-HU"/>
        </w:rPr>
        <w:t>ot. Tíz órával az intravénás adagolás után a bőrhólyag folyadékban 1,</w:t>
      </w:r>
      <w:r w:rsidR="00D06D16" w:rsidRPr="009F1165">
        <w:rPr>
          <w:sz w:val="22"/>
          <w:szCs w:val="22"/>
          <w:lang w:val="hu-HU"/>
        </w:rPr>
        <w:t>75 </w:t>
      </w:r>
      <w:r w:rsidRPr="009F1165">
        <w:rPr>
          <w:sz w:val="22"/>
          <w:szCs w:val="22"/>
          <w:lang w:val="hu-HU"/>
        </w:rPr>
        <w:t xml:space="preserve">mg/l </w:t>
      </w:r>
      <w:proofErr w:type="gramStart"/>
      <w:r w:rsidRPr="009F1165">
        <w:rPr>
          <w:sz w:val="22"/>
          <w:szCs w:val="22"/>
          <w:lang w:val="hu-HU"/>
        </w:rPr>
        <w:t>koncentrációt</w:t>
      </w:r>
      <w:proofErr w:type="gramEnd"/>
      <w:r w:rsidRPr="009F1165">
        <w:rPr>
          <w:sz w:val="22"/>
          <w:szCs w:val="22"/>
          <w:lang w:val="hu-HU"/>
        </w:rPr>
        <w:t xml:space="preserve"> észleltek. Az </w:t>
      </w:r>
      <w:proofErr w:type="spellStart"/>
      <w:r w:rsidRPr="009F1165">
        <w:rPr>
          <w:sz w:val="22"/>
          <w:szCs w:val="22"/>
          <w:lang w:val="hu-HU"/>
        </w:rPr>
        <w:t>interstitialis</w:t>
      </w:r>
      <w:proofErr w:type="spellEnd"/>
      <w:r w:rsidRPr="009F1165">
        <w:rPr>
          <w:sz w:val="22"/>
          <w:szCs w:val="22"/>
          <w:lang w:val="hu-HU"/>
        </w:rPr>
        <w:t xml:space="preserve"> folyadékban a szabad </w:t>
      </w:r>
      <w:proofErr w:type="gramStart"/>
      <w:r w:rsidRPr="009F1165">
        <w:rPr>
          <w:sz w:val="22"/>
          <w:szCs w:val="22"/>
          <w:lang w:val="hu-HU"/>
        </w:rPr>
        <w:t>koncentráció</w:t>
      </w:r>
      <w:proofErr w:type="gramEnd"/>
      <w:r w:rsidRPr="009F1165">
        <w:rPr>
          <w:sz w:val="22"/>
          <w:szCs w:val="22"/>
          <w:lang w:val="hu-HU"/>
        </w:rPr>
        <w:t xml:space="preserve"> idő profilja hasonló a plazmához, ahol 1,</w:t>
      </w:r>
      <w:r w:rsidR="00D06D16" w:rsidRPr="009F1165">
        <w:rPr>
          <w:sz w:val="22"/>
          <w:szCs w:val="22"/>
          <w:lang w:val="hu-HU"/>
        </w:rPr>
        <w:t>0 </w:t>
      </w:r>
      <w:r w:rsidRPr="009F1165">
        <w:rPr>
          <w:sz w:val="22"/>
          <w:szCs w:val="22"/>
          <w:lang w:val="hu-HU"/>
        </w:rPr>
        <w:t>mg/l szabad csúcskoncentrációk (mértani középérték) voltak mérhetők mintegy 1,</w:t>
      </w:r>
      <w:r w:rsidR="00D06D16" w:rsidRPr="009F1165">
        <w:rPr>
          <w:sz w:val="22"/>
          <w:szCs w:val="22"/>
          <w:lang w:val="hu-HU"/>
        </w:rPr>
        <w:t>8 </w:t>
      </w:r>
      <w:r w:rsidRPr="009F1165">
        <w:rPr>
          <w:sz w:val="22"/>
          <w:szCs w:val="22"/>
          <w:lang w:val="hu-HU"/>
        </w:rPr>
        <w:t>órával az intravénás adagolást követően.</w:t>
      </w:r>
    </w:p>
    <w:p w14:paraId="3B775C98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6D281453" w14:textId="77777777" w:rsidR="00A83D7D" w:rsidRPr="009F1165" w:rsidRDefault="00D97F8B" w:rsidP="009F1165">
      <w:pPr>
        <w:keepNext/>
        <w:tabs>
          <w:tab w:val="left" w:pos="567"/>
        </w:tabs>
        <w:rPr>
          <w:szCs w:val="22"/>
          <w:u w:val="single"/>
          <w:lang w:val="hu-HU"/>
        </w:rPr>
      </w:pPr>
      <w:proofErr w:type="spellStart"/>
      <w:r w:rsidRPr="009F1165">
        <w:rPr>
          <w:szCs w:val="22"/>
          <w:u w:val="single"/>
          <w:lang w:val="hu-HU"/>
        </w:rPr>
        <w:t>Biotranszformáció</w:t>
      </w:r>
      <w:proofErr w:type="spellEnd"/>
    </w:p>
    <w:p w14:paraId="35A09D94" w14:textId="77777777" w:rsidR="00A83D7D" w:rsidRPr="009F1165" w:rsidRDefault="00A83D7D" w:rsidP="009F1165">
      <w:pPr>
        <w:keepNext/>
        <w:autoSpaceDE w:val="0"/>
        <w:autoSpaceDN w:val="0"/>
        <w:adjustRightInd w:val="0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II. fázisú biológiai átalakuláson megy keresztül és a vizelettel (kb</w:t>
      </w:r>
      <w:r w:rsidR="00D06D16" w:rsidRPr="009F1165">
        <w:rPr>
          <w:szCs w:val="22"/>
          <w:lang w:val="hu-HU"/>
        </w:rPr>
        <w:t>. </w:t>
      </w:r>
      <w:r w:rsidRPr="009F1165">
        <w:rPr>
          <w:szCs w:val="22"/>
          <w:lang w:val="hu-HU"/>
        </w:rPr>
        <w:t>40%), ill. az epe</w:t>
      </w:r>
      <w:r w:rsidR="00295514">
        <w:rPr>
          <w:szCs w:val="22"/>
          <w:lang w:val="hu-HU"/>
        </w:rPr>
        <w:noBreakHyphen/>
      </w:r>
      <w:proofErr w:type="spellStart"/>
      <w:r w:rsidRPr="009F1165">
        <w:rPr>
          <w:szCs w:val="22"/>
          <w:lang w:val="hu-HU"/>
        </w:rPr>
        <w:t>faeces</w:t>
      </w:r>
      <w:proofErr w:type="spellEnd"/>
      <w:r w:rsidRPr="009F1165">
        <w:rPr>
          <w:szCs w:val="22"/>
          <w:lang w:val="hu-HU"/>
        </w:rPr>
        <w:t xml:space="preserve"> utat követve (kb</w:t>
      </w:r>
      <w:r w:rsidR="00D06D16" w:rsidRPr="009F1165">
        <w:rPr>
          <w:szCs w:val="22"/>
          <w:lang w:val="hu-HU"/>
        </w:rPr>
        <w:t>. </w:t>
      </w:r>
      <w:r w:rsidRPr="009F1165">
        <w:rPr>
          <w:szCs w:val="22"/>
          <w:lang w:val="hu-HU"/>
        </w:rPr>
        <w:t>60%) részben változatlan formában</w:t>
      </w:r>
      <w:r w:rsidR="00256279" w:rsidRPr="009F1165">
        <w:rPr>
          <w:szCs w:val="22"/>
          <w:lang w:val="hu-HU"/>
        </w:rPr>
        <w:t>,</w:t>
      </w:r>
      <w:r w:rsidRPr="009F1165">
        <w:rPr>
          <w:szCs w:val="22"/>
          <w:lang w:val="hu-HU"/>
        </w:rPr>
        <w:t xml:space="preserve"> részben egy </w:t>
      </w:r>
      <w:proofErr w:type="spellStart"/>
      <w:r w:rsidRPr="009F1165">
        <w:rPr>
          <w:szCs w:val="22"/>
          <w:lang w:val="hu-HU"/>
        </w:rPr>
        <w:t>szulfo</w:t>
      </w:r>
      <w:proofErr w:type="spellEnd"/>
      <w:r w:rsidRPr="009F1165">
        <w:rPr>
          <w:szCs w:val="22"/>
          <w:lang w:val="hu-HU"/>
        </w:rPr>
        <w:t xml:space="preserve"> (Ml), ill. </w:t>
      </w:r>
      <w:proofErr w:type="spellStart"/>
      <w:r w:rsidRPr="009F1165">
        <w:rPr>
          <w:szCs w:val="22"/>
          <w:lang w:val="hu-HU"/>
        </w:rPr>
        <w:t>gl</w:t>
      </w:r>
      <w:r w:rsidR="00256279" w:rsidRPr="009F1165">
        <w:rPr>
          <w:szCs w:val="22"/>
          <w:lang w:val="hu-HU"/>
        </w:rPr>
        <w:t>ü</w:t>
      </w:r>
      <w:r w:rsidRPr="009F1165">
        <w:rPr>
          <w:szCs w:val="22"/>
          <w:lang w:val="hu-HU"/>
        </w:rPr>
        <w:t>kuronid</w:t>
      </w:r>
      <w:proofErr w:type="spellEnd"/>
      <w:r w:rsidRPr="009F1165">
        <w:rPr>
          <w:szCs w:val="22"/>
          <w:lang w:val="hu-HU"/>
        </w:rPr>
        <w:t xml:space="preserve"> (M2) </w:t>
      </w:r>
      <w:proofErr w:type="spellStart"/>
      <w:r w:rsidRPr="009F1165">
        <w:rPr>
          <w:szCs w:val="22"/>
          <w:lang w:val="hu-HU"/>
        </w:rPr>
        <w:t>metabolit</w:t>
      </w:r>
      <w:proofErr w:type="spellEnd"/>
      <w:r w:rsidRPr="009F1165">
        <w:rPr>
          <w:szCs w:val="22"/>
          <w:lang w:val="hu-HU"/>
        </w:rPr>
        <w:t xml:space="preserve"> formájában ürül. Emberben csak az Ml és M2 </w:t>
      </w:r>
      <w:proofErr w:type="spellStart"/>
      <w:r w:rsidRPr="009F1165">
        <w:rPr>
          <w:szCs w:val="22"/>
          <w:lang w:val="hu-HU"/>
        </w:rPr>
        <w:t>metabolit</w:t>
      </w:r>
      <w:proofErr w:type="spellEnd"/>
      <w:r w:rsidRPr="009F1165">
        <w:rPr>
          <w:szCs w:val="22"/>
          <w:lang w:val="hu-HU"/>
        </w:rPr>
        <w:t xml:space="preserve"> jelentős, </w:t>
      </w:r>
      <w:proofErr w:type="spellStart"/>
      <w:r w:rsidRPr="009F1165">
        <w:rPr>
          <w:szCs w:val="22"/>
          <w:lang w:val="hu-HU"/>
        </w:rPr>
        <w:t>mikrobiológiailag</w:t>
      </w:r>
      <w:proofErr w:type="spellEnd"/>
      <w:r w:rsidRPr="009F1165">
        <w:rPr>
          <w:szCs w:val="22"/>
          <w:lang w:val="hu-HU"/>
        </w:rPr>
        <w:t xml:space="preserve"> mindkettő inaktív.</w:t>
      </w:r>
    </w:p>
    <w:p w14:paraId="6DCA001E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7973786E" w14:textId="77777777" w:rsidR="00A83D7D" w:rsidRPr="009F1165" w:rsidRDefault="00A83D7D" w:rsidP="009F1165">
      <w:pPr>
        <w:widowControl w:val="0"/>
        <w:autoSpaceDE w:val="0"/>
        <w:autoSpaceDN w:val="0"/>
        <w:adjustRightInd w:val="0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Az </w:t>
      </w:r>
      <w:r w:rsidRPr="009F1165">
        <w:rPr>
          <w:i/>
          <w:iCs/>
          <w:szCs w:val="22"/>
          <w:lang w:val="hu-HU"/>
        </w:rPr>
        <w:t xml:space="preserve">in vitro </w:t>
      </w:r>
      <w:r w:rsidRPr="009F1165">
        <w:rPr>
          <w:szCs w:val="22"/>
          <w:lang w:val="hu-HU"/>
        </w:rPr>
        <w:t xml:space="preserve">és az I. fázisú klinikai vizsgálatokban nem észleltek </w:t>
      </w:r>
      <w:proofErr w:type="spellStart"/>
      <w:r w:rsidRPr="009F1165">
        <w:rPr>
          <w:szCs w:val="22"/>
          <w:lang w:val="hu-HU"/>
        </w:rPr>
        <w:t>farmakokinetikai</w:t>
      </w:r>
      <w:proofErr w:type="spellEnd"/>
      <w:r w:rsidRPr="009F1165">
        <w:rPr>
          <w:szCs w:val="22"/>
          <w:lang w:val="hu-HU"/>
        </w:rPr>
        <w:t xml:space="preserve">-metabolikus kölcsönhatást olyan egyéb gyógyszerekkel, amelyek a </w:t>
      </w:r>
      <w:proofErr w:type="spellStart"/>
      <w:r w:rsidRPr="009F1165">
        <w:rPr>
          <w:szCs w:val="22"/>
          <w:lang w:val="hu-HU"/>
        </w:rPr>
        <w:t>citokróm</w:t>
      </w:r>
      <w:proofErr w:type="spellEnd"/>
      <w:r w:rsidRPr="009F1165">
        <w:rPr>
          <w:szCs w:val="22"/>
          <w:lang w:val="hu-HU"/>
        </w:rPr>
        <w:t xml:space="preserve"> P450</w:t>
      </w:r>
      <w:r w:rsidR="00D06D16" w:rsidRPr="009F1165">
        <w:rPr>
          <w:szCs w:val="22"/>
          <w:lang w:val="hu-HU"/>
        </w:rPr>
        <w:noBreakHyphen/>
      </w:r>
      <w:r w:rsidRPr="009F1165">
        <w:rPr>
          <w:szCs w:val="22"/>
          <w:lang w:val="hu-HU"/>
        </w:rPr>
        <w:t xml:space="preserve">en </w:t>
      </w:r>
      <w:proofErr w:type="gramStart"/>
      <w:r w:rsidRPr="009F1165">
        <w:rPr>
          <w:szCs w:val="22"/>
          <w:lang w:val="hu-HU"/>
        </w:rPr>
        <w:t>keresztül történő</w:t>
      </w:r>
      <w:proofErr w:type="gramEnd"/>
      <w:r w:rsidRPr="009F1165">
        <w:rPr>
          <w:szCs w:val="22"/>
          <w:lang w:val="hu-HU"/>
        </w:rPr>
        <w:t xml:space="preserve"> fázis</w:t>
      </w:r>
      <w:r w:rsidR="00EB6DFA" w:rsidRPr="009F1165">
        <w:rPr>
          <w:szCs w:val="22"/>
          <w:lang w:val="hu-HU"/>
        </w:rPr>
        <w:t> </w:t>
      </w:r>
      <w:r w:rsidRPr="009F1165">
        <w:rPr>
          <w:szCs w:val="22"/>
          <w:lang w:val="hu-HU"/>
        </w:rPr>
        <w:t>I.</w:t>
      </w:r>
      <w:r w:rsidR="006E5E5E"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biotranszformációval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metabolizálódnak</w:t>
      </w:r>
      <w:proofErr w:type="spellEnd"/>
      <w:r w:rsidRPr="009F1165">
        <w:rPr>
          <w:szCs w:val="22"/>
          <w:lang w:val="hu-HU"/>
        </w:rPr>
        <w:t xml:space="preserve">. Oxidatív </w:t>
      </w:r>
      <w:proofErr w:type="spellStart"/>
      <w:r w:rsidRPr="009F1165">
        <w:rPr>
          <w:szCs w:val="22"/>
          <w:lang w:val="hu-HU"/>
        </w:rPr>
        <w:t>metabolizáció</w:t>
      </w:r>
      <w:proofErr w:type="spellEnd"/>
      <w:r w:rsidRPr="009F1165">
        <w:rPr>
          <w:szCs w:val="22"/>
          <w:lang w:val="hu-HU"/>
        </w:rPr>
        <w:t xml:space="preserve"> jeleit nem észlelték.</w:t>
      </w:r>
    </w:p>
    <w:p w14:paraId="5DE005C7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764A79D5" w14:textId="77777777" w:rsidR="00A83D7D" w:rsidRPr="009F1165" w:rsidRDefault="00A83D7D" w:rsidP="009F1165">
      <w:pPr>
        <w:keepNext/>
        <w:keepLines/>
        <w:tabs>
          <w:tab w:val="left" w:pos="567"/>
        </w:tabs>
        <w:rPr>
          <w:szCs w:val="22"/>
          <w:u w:val="single"/>
          <w:lang w:val="hu-HU"/>
        </w:rPr>
      </w:pPr>
      <w:r w:rsidRPr="009F1165">
        <w:rPr>
          <w:szCs w:val="22"/>
          <w:u w:val="single"/>
          <w:lang w:val="hu-HU"/>
        </w:rPr>
        <w:t>Elimináció</w:t>
      </w:r>
    </w:p>
    <w:p w14:paraId="2230D8B7" w14:textId="77777777" w:rsidR="00EB6DFA" w:rsidRPr="009F1165" w:rsidRDefault="00A83D7D" w:rsidP="009F1165">
      <w:pPr>
        <w:keepNext/>
        <w:keepLines/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a plazmából mintegy </w:t>
      </w:r>
      <w:r w:rsidR="00D06D16" w:rsidRPr="009F1165">
        <w:rPr>
          <w:szCs w:val="22"/>
          <w:lang w:val="hu-HU"/>
        </w:rPr>
        <w:t>12 </w:t>
      </w:r>
      <w:r w:rsidRPr="009F1165">
        <w:rPr>
          <w:szCs w:val="22"/>
          <w:lang w:val="hu-HU"/>
        </w:rPr>
        <w:t xml:space="preserve">órás terminális felezési idővel ürül. Az átlagos teljes test </w:t>
      </w:r>
      <w:proofErr w:type="spellStart"/>
      <w:r w:rsidRPr="009F1165">
        <w:rPr>
          <w:szCs w:val="22"/>
          <w:lang w:val="hu-HU"/>
        </w:rPr>
        <w:t>clearance</w:t>
      </w:r>
      <w:proofErr w:type="spellEnd"/>
      <w:r w:rsidRPr="009F1165">
        <w:rPr>
          <w:szCs w:val="22"/>
          <w:lang w:val="hu-HU"/>
        </w:rPr>
        <w:t xml:space="preserve"> értéke 179 ml/perc és 246 ml/perc között változott 400 mg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adása után.</w:t>
      </w:r>
    </w:p>
    <w:p w14:paraId="46F6B388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>400 mg intravénás infúzió beadását követően a változatlan hatóanyag kb. 22</w:t>
      </w:r>
      <w:r w:rsidR="00D06D16" w:rsidRPr="009F1165">
        <w:rPr>
          <w:szCs w:val="22"/>
          <w:lang w:val="hu-HU"/>
        </w:rPr>
        <w:t>%</w:t>
      </w:r>
      <w:r w:rsidR="00D06D16" w:rsidRPr="009F1165">
        <w:rPr>
          <w:szCs w:val="22"/>
          <w:lang w:val="hu-HU"/>
        </w:rPr>
        <w:noBreakHyphen/>
      </w:r>
      <w:r w:rsidRPr="009F1165">
        <w:rPr>
          <w:szCs w:val="22"/>
          <w:lang w:val="hu-HU"/>
        </w:rPr>
        <w:t>a volt visszanyerhető a vizeletből</w:t>
      </w:r>
      <w:r w:rsidR="00EB6DFA" w:rsidRPr="009F1165">
        <w:rPr>
          <w:szCs w:val="22"/>
          <w:lang w:val="hu-HU"/>
        </w:rPr>
        <w:t>,</w:t>
      </w:r>
      <w:r w:rsidRPr="009F1165">
        <w:rPr>
          <w:szCs w:val="22"/>
          <w:lang w:val="hu-HU"/>
        </w:rPr>
        <w:t xml:space="preserve"> és kb. 26</w:t>
      </w:r>
      <w:r w:rsidR="00D06D16" w:rsidRPr="009F1165">
        <w:rPr>
          <w:szCs w:val="22"/>
          <w:lang w:val="hu-HU"/>
        </w:rPr>
        <w:t>%</w:t>
      </w:r>
      <w:r w:rsidR="00D06D16" w:rsidRPr="009F1165">
        <w:rPr>
          <w:szCs w:val="22"/>
          <w:lang w:val="hu-HU"/>
        </w:rPr>
        <w:noBreakHyphen/>
      </w:r>
      <w:proofErr w:type="gramStart"/>
      <w:r w:rsidRPr="009F1165">
        <w:rPr>
          <w:szCs w:val="22"/>
          <w:lang w:val="hu-HU"/>
        </w:rPr>
        <w:t>a</w:t>
      </w:r>
      <w:proofErr w:type="gram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a</w:t>
      </w:r>
      <w:proofErr w:type="spellEnd"/>
      <w:r w:rsidRPr="009F1165">
        <w:rPr>
          <w:szCs w:val="22"/>
          <w:lang w:val="hu-HU"/>
        </w:rPr>
        <w:t xml:space="preserve"> székletből. Intravénás alkalmazást követően a beadott adag (változatlan hatóanyag és </w:t>
      </w:r>
      <w:proofErr w:type="spellStart"/>
      <w:r w:rsidRPr="009F1165">
        <w:rPr>
          <w:szCs w:val="22"/>
          <w:lang w:val="hu-HU"/>
        </w:rPr>
        <w:t>metabolitok</w:t>
      </w:r>
      <w:proofErr w:type="spellEnd"/>
      <w:r w:rsidRPr="009F1165">
        <w:rPr>
          <w:szCs w:val="22"/>
          <w:lang w:val="hu-HU"/>
        </w:rPr>
        <w:t>) kb. 98</w:t>
      </w:r>
      <w:r w:rsidR="00D06D16" w:rsidRPr="009F1165">
        <w:rPr>
          <w:szCs w:val="22"/>
          <w:lang w:val="hu-HU"/>
        </w:rPr>
        <w:t>%</w:t>
      </w:r>
      <w:r w:rsidR="00D06D16" w:rsidRPr="009F1165">
        <w:rPr>
          <w:szCs w:val="22"/>
          <w:lang w:val="hu-HU"/>
        </w:rPr>
        <w:noBreakHyphen/>
      </w:r>
      <w:r w:rsidRPr="009F1165">
        <w:rPr>
          <w:szCs w:val="22"/>
          <w:lang w:val="hu-HU"/>
        </w:rPr>
        <w:t>a nyerhető vissza.</w:t>
      </w:r>
      <w:r w:rsidR="00D97F8B" w:rsidRPr="009F1165">
        <w:rPr>
          <w:szCs w:val="22"/>
          <w:lang w:val="hu-HU"/>
        </w:rPr>
        <w:t xml:space="preserve"> </w:t>
      </w:r>
      <w:r w:rsidR="00EB6DFA" w:rsidRPr="009F1165">
        <w:rPr>
          <w:szCs w:val="22"/>
          <w:lang w:val="hu-HU"/>
        </w:rPr>
        <w:t xml:space="preserve">A </w:t>
      </w:r>
      <w:proofErr w:type="spellStart"/>
      <w:r w:rsidR="00EB6DFA" w:rsidRPr="009F1165">
        <w:rPr>
          <w:szCs w:val="22"/>
          <w:lang w:val="hu-HU"/>
        </w:rPr>
        <w:t>r</w:t>
      </w:r>
      <w:r w:rsidRPr="009F1165">
        <w:rPr>
          <w:szCs w:val="22"/>
          <w:lang w:val="hu-HU"/>
        </w:rPr>
        <w:t>enalis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clearance</w:t>
      </w:r>
      <w:proofErr w:type="spellEnd"/>
      <w:r w:rsidRPr="009F1165">
        <w:rPr>
          <w:szCs w:val="22"/>
          <w:lang w:val="hu-HU"/>
        </w:rPr>
        <w:t xml:space="preserve"> értéke 24</w:t>
      </w:r>
      <w:r w:rsidR="00D06D16" w:rsidRPr="009F1165">
        <w:rPr>
          <w:szCs w:val="22"/>
          <w:lang w:val="hu-HU"/>
        </w:rPr>
        <w:noBreakHyphen/>
      </w:r>
      <w:r w:rsidRPr="009F1165">
        <w:rPr>
          <w:szCs w:val="22"/>
          <w:lang w:val="hu-HU"/>
        </w:rPr>
        <w:t xml:space="preserve">53 ml/perc volt, ami a gyógyszer parciális </w:t>
      </w:r>
      <w:proofErr w:type="spellStart"/>
      <w:r w:rsidRPr="009F1165">
        <w:rPr>
          <w:szCs w:val="22"/>
          <w:lang w:val="hu-HU"/>
        </w:rPr>
        <w:t>renalis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tubularis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reabszorpcióját</w:t>
      </w:r>
      <w:proofErr w:type="spellEnd"/>
      <w:r w:rsidRPr="009F1165">
        <w:rPr>
          <w:szCs w:val="22"/>
          <w:lang w:val="hu-HU"/>
        </w:rPr>
        <w:t xml:space="preserve"> valószínűsíti.</w:t>
      </w:r>
      <w:r w:rsidR="00EB6DFA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>A</w:t>
      </w:r>
      <w:r w:rsidR="00EB6DFA" w:rsidRPr="009F1165">
        <w:rPr>
          <w:szCs w:val="22"/>
          <w:lang w:val="hu-HU"/>
        </w:rPr>
        <w:t xml:space="preserve"> </w:t>
      </w:r>
      <w:proofErr w:type="spellStart"/>
      <w:r w:rsidR="00EB6DFA" w:rsidRPr="009F1165">
        <w:rPr>
          <w:szCs w:val="22"/>
          <w:lang w:val="hu-HU"/>
        </w:rPr>
        <w:t>moxifloxacinnal</w:t>
      </w:r>
      <w:proofErr w:type="spellEnd"/>
      <w:r w:rsidR="00EB6DFA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 xml:space="preserve">együtt adott </w:t>
      </w:r>
      <w:proofErr w:type="spellStart"/>
      <w:r w:rsidRPr="009F1165">
        <w:rPr>
          <w:szCs w:val="22"/>
          <w:lang w:val="hu-HU"/>
        </w:rPr>
        <w:t>ranitidin</w:t>
      </w:r>
      <w:proofErr w:type="spellEnd"/>
      <w:r w:rsidRPr="009F1165">
        <w:rPr>
          <w:szCs w:val="22"/>
          <w:lang w:val="hu-HU"/>
        </w:rPr>
        <w:t xml:space="preserve">, ill. </w:t>
      </w:r>
      <w:proofErr w:type="spellStart"/>
      <w:r w:rsidRPr="009F1165">
        <w:rPr>
          <w:szCs w:val="22"/>
          <w:lang w:val="hu-HU"/>
        </w:rPr>
        <w:t>probenecid</w:t>
      </w:r>
      <w:proofErr w:type="spellEnd"/>
      <w:r w:rsidRPr="009F1165">
        <w:rPr>
          <w:szCs w:val="22"/>
          <w:lang w:val="hu-HU"/>
        </w:rPr>
        <w:t xml:space="preserve"> nem változtatta meg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renalis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clearance</w:t>
      </w:r>
      <w:proofErr w:type="spellEnd"/>
      <w:r w:rsidRPr="009F1165">
        <w:rPr>
          <w:szCs w:val="22"/>
          <w:lang w:val="hu-HU"/>
        </w:rPr>
        <w:t xml:space="preserve"> értékét.</w:t>
      </w:r>
    </w:p>
    <w:p w14:paraId="01523417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49A4F500" w14:textId="77777777" w:rsidR="00D97F8B" w:rsidRPr="009F1165" w:rsidRDefault="00D97F8B" w:rsidP="009F1165">
      <w:pPr>
        <w:tabs>
          <w:tab w:val="left" w:pos="567"/>
        </w:tabs>
        <w:rPr>
          <w:i/>
          <w:szCs w:val="22"/>
          <w:lang w:val="hu-HU"/>
        </w:rPr>
      </w:pPr>
      <w:r w:rsidRPr="009F1165">
        <w:rPr>
          <w:i/>
          <w:szCs w:val="22"/>
          <w:lang w:val="hu-HU"/>
        </w:rPr>
        <w:t>Vesekárosodás</w:t>
      </w:r>
    </w:p>
    <w:p w14:paraId="5857E601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farmakokinetikai</w:t>
      </w:r>
      <w:proofErr w:type="spellEnd"/>
      <w:r w:rsidRPr="009F1165">
        <w:rPr>
          <w:szCs w:val="22"/>
          <w:lang w:val="hu-HU"/>
        </w:rPr>
        <w:t xml:space="preserve"> tulajdonságai nem változnak szignifikánsan kóros vesefunkciójú betegek</w:t>
      </w:r>
      <w:r w:rsidR="00EB6DFA" w:rsidRPr="009F1165">
        <w:rPr>
          <w:szCs w:val="22"/>
          <w:lang w:val="hu-HU"/>
        </w:rPr>
        <w:t>nél</w:t>
      </w:r>
      <w:r w:rsidRPr="009F1165">
        <w:rPr>
          <w:szCs w:val="22"/>
          <w:lang w:val="hu-HU"/>
        </w:rPr>
        <w:t xml:space="preserve"> (</w:t>
      </w:r>
      <w:r w:rsidR="00EB6DFA" w:rsidRPr="009F1165">
        <w:rPr>
          <w:szCs w:val="22"/>
          <w:lang w:val="hu-HU"/>
        </w:rPr>
        <w:t xml:space="preserve">beleértve a </w:t>
      </w:r>
      <w:r w:rsidRPr="009F1165">
        <w:rPr>
          <w:szCs w:val="22"/>
          <w:lang w:val="hu-HU"/>
        </w:rPr>
        <w:sym w:font="Symbol" w:char="F03E"/>
      </w:r>
      <w:r w:rsidRPr="009F1165">
        <w:rPr>
          <w:szCs w:val="22"/>
          <w:lang w:val="hu-HU"/>
        </w:rPr>
        <w:t>20 ml/</w:t>
      </w:r>
      <w:r w:rsidR="00EB6DFA" w:rsidRPr="009F1165">
        <w:rPr>
          <w:szCs w:val="22"/>
          <w:lang w:val="hu-HU"/>
        </w:rPr>
        <w:t>per</w:t>
      </w:r>
      <w:r w:rsidR="00256279" w:rsidRPr="009F1165">
        <w:rPr>
          <w:szCs w:val="22"/>
          <w:lang w:val="hu-HU"/>
        </w:rPr>
        <w:t>c</w:t>
      </w:r>
      <w:r w:rsidRPr="009F1165">
        <w:rPr>
          <w:szCs w:val="22"/>
          <w:lang w:val="hu-HU"/>
        </w:rPr>
        <w:t>/1,73 m</w:t>
      </w:r>
      <w:r w:rsidRPr="009F1165">
        <w:rPr>
          <w:szCs w:val="22"/>
          <w:vertAlign w:val="superscript"/>
          <w:lang w:val="hu-HU"/>
        </w:rPr>
        <w:t>2</w:t>
      </w:r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clearance</w:t>
      </w:r>
      <w:proofErr w:type="spellEnd"/>
      <w:r w:rsidRPr="009F1165">
        <w:rPr>
          <w:szCs w:val="22"/>
          <w:lang w:val="hu-HU"/>
        </w:rPr>
        <w:t xml:space="preserve"> érték</w:t>
      </w:r>
      <w:r w:rsidR="00EB6DFA" w:rsidRPr="009F1165">
        <w:rPr>
          <w:szCs w:val="22"/>
          <w:lang w:val="hu-HU"/>
        </w:rPr>
        <w:t>et is</w:t>
      </w:r>
      <w:r w:rsidRPr="009F1165">
        <w:rPr>
          <w:szCs w:val="22"/>
          <w:lang w:val="hu-HU"/>
        </w:rPr>
        <w:t>). Ahogy romlik a vesefunkció,</w:t>
      </w:r>
      <w:r w:rsidR="00EB6DFA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>az M2</w:t>
      </w:r>
      <w:r w:rsidR="00DA5D09" w:rsidRPr="009F1165">
        <w:rPr>
          <w:szCs w:val="22"/>
          <w:lang w:val="hu-HU"/>
        </w:rPr>
        <w:t> </w:t>
      </w:r>
      <w:proofErr w:type="spellStart"/>
      <w:r w:rsidRPr="009F1165">
        <w:rPr>
          <w:szCs w:val="22"/>
          <w:lang w:val="hu-HU"/>
        </w:rPr>
        <w:t>metabolit</w:t>
      </w:r>
      <w:proofErr w:type="spellEnd"/>
      <w:r w:rsidRPr="009F1165">
        <w:rPr>
          <w:szCs w:val="22"/>
          <w:lang w:val="hu-HU"/>
        </w:rPr>
        <w:t xml:space="preserve"> (</w:t>
      </w:r>
      <w:proofErr w:type="spellStart"/>
      <w:r w:rsidRPr="009F1165">
        <w:rPr>
          <w:szCs w:val="22"/>
          <w:lang w:val="hu-HU"/>
        </w:rPr>
        <w:t>gl</w:t>
      </w:r>
      <w:r w:rsidR="00256279" w:rsidRPr="009F1165">
        <w:rPr>
          <w:szCs w:val="22"/>
          <w:lang w:val="hu-HU"/>
        </w:rPr>
        <w:t>ü</w:t>
      </w:r>
      <w:r w:rsidRPr="009F1165">
        <w:rPr>
          <w:szCs w:val="22"/>
          <w:lang w:val="hu-HU"/>
        </w:rPr>
        <w:t>kuronid</w:t>
      </w:r>
      <w:proofErr w:type="spellEnd"/>
      <w:r w:rsidRPr="009F1165">
        <w:rPr>
          <w:szCs w:val="22"/>
          <w:lang w:val="hu-HU"/>
        </w:rPr>
        <w:t>) plazma</w:t>
      </w:r>
      <w:proofErr w:type="gramStart"/>
      <w:r w:rsidRPr="009F1165">
        <w:rPr>
          <w:szCs w:val="22"/>
          <w:lang w:val="hu-HU"/>
        </w:rPr>
        <w:t>koncentrációja</w:t>
      </w:r>
      <w:proofErr w:type="gramEnd"/>
      <w:r w:rsidRPr="009F1165">
        <w:rPr>
          <w:szCs w:val="22"/>
          <w:lang w:val="hu-HU"/>
        </w:rPr>
        <w:t xml:space="preserve"> mintegy 2,5</w:t>
      </w:r>
      <w:r w:rsidR="00D06D16" w:rsidRPr="009F1165">
        <w:rPr>
          <w:szCs w:val="22"/>
          <w:lang w:val="hu-HU"/>
        </w:rPr>
        <w:noBreakHyphen/>
      </w:r>
      <w:r w:rsidRPr="009F1165">
        <w:rPr>
          <w:szCs w:val="22"/>
          <w:lang w:val="hu-HU"/>
        </w:rPr>
        <w:t>szeresére megemelkedik (abban az esetben, ha a kreatinin</w:t>
      </w:r>
      <w:r w:rsidR="00EB6DFA" w:rsidRPr="009F1165">
        <w:rPr>
          <w:szCs w:val="22"/>
          <w:lang w:val="hu-HU"/>
        </w:rPr>
        <w:t>-</w:t>
      </w:r>
      <w:proofErr w:type="spellStart"/>
      <w:r w:rsidRPr="009F1165">
        <w:rPr>
          <w:szCs w:val="22"/>
          <w:lang w:val="hu-HU"/>
        </w:rPr>
        <w:t>clearance</w:t>
      </w:r>
      <w:proofErr w:type="spellEnd"/>
      <w:r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sym w:font="Symbol" w:char="F03C"/>
      </w:r>
      <w:r w:rsidRPr="009F1165">
        <w:rPr>
          <w:szCs w:val="22"/>
          <w:lang w:val="hu-HU"/>
        </w:rPr>
        <w:t>30 ml/</w:t>
      </w:r>
      <w:r w:rsidR="00EB6DFA" w:rsidRPr="009F1165">
        <w:rPr>
          <w:szCs w:val="22"/>
          <w:lang w:val="hu-HU"/>
        </w:rPr>
        <w:t>perc</w:t>
      </w:r>
      <w:r w:rsidRPr="009F1165">
        <w:rPr>
          <w:szCs w:val="22"/>
          <w:lang w:val="hu-HU"/>
        </w:rPr>
        <w:t>/1,73 m</w:t>
      </w:r>
      <w:r w:rsidRPr="009F1165">
        <w:rPr>
          <w:szCs w:val="22"/>
          <w:vertAlign w:val="superscript"/>
          <w:lang w:val="hu-HU"/>
        </w:rPr>
        <w:t>2</w:t>
      </w:r>
      <w:r w:rsidRPr="009F1165">
        <w:rPr>
          <w:szCs w:val="22"/>
          <w:lang w:val="hu-HU"/>
        </w:rPr>
        <w:t>).</w:t>
      </w:r>
    </w:p>
    <w:p w14:paraId="3F1F93F9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397C889B" w14:textId="77777777" w:rsidR="00D97F8B" w:rsidRPr="009F1165" w:rsidRDefault="00D97F8B" w:rsidP="009F1165">
      <w:pPr>
        <w:tabs>
          <w:tab w:val="left" w:pos="567"/>
        </w:tabs>
        <w:rPr>
          <w:i/>
          <w:szCs w:val="22"/>
          <w:lang w:val="hu-HU"/>
        </w:rPr>
      </w:pPr>
      <w:r w:rsidRPr="009F1165">
        <w:rPr>
          <w:i/>
          <w:szCs w:val="22"/>
          <w:lang w:val="hu-HU"/>
        </w:rPr>
        <w:t>Májkárosodás</w:t>
      </w:r>
    </w:p>
    <w:p w14:paraId="79917148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>Májelégtelenségben (</w:t>
      </w:r>
      <w:proofErr w:type="spellStart"/>
      <w:r w:rsidRPr="009F1165">
        <w:rPr>
          <w:szCs w:val="22"/>
          <w:lang w:val="hu-HU"/>
        </w:rPr>
        <w:t>Child-Pugh</w:t>
      </w:r>
      <w:proofErr w:type="spellEnd"/>
      <w:r w:rsidRPr="009F1165">
        <w:rPr>
          <w:szCs w:val="22"/>
          <w:lang w:val="hu-HU"/>
        </w:rPr>
        <w:t xml:space="preserve"> </w:t>
      </w:r>
      <w:proofErr w:type="gramStart"/>
      <w:r w:rsidRPr="009F1165">
        <w:rPr>
          <w:szCs w:val="22"/>
          <w:lang w:val="hu-HU"/>
        </w:rPr>
        <w:t>A</w:t>
      </w:r>
      <w:proofErr w:type="gramEnd"/>
      <w:r w:rsidRPr="009F1165">
        <w:rPr>
          <w:szCs w:val="22"/>
          <w:lang w:val="hu-HU"/>
        </w:rPr>
        <w:t xml:space="preserve">, B) szenvedő betegen végzett eddigi </w:t>
      </w:r>
      <w:proofErr w:type="spellStart"/>
      <w:r w:rsidRPr="009F1165">
        <w:rPr>
          <w:szCs w:val="22"/>
          <w:lang w:val="hu-HU"/>
        </w:rPr>
        <w:t>farmakokinetikai</w:t>
      </w:r>
      <w:proofErr w:type="spellEnd"/>
      <w:r w:rsidRPr="009F1165">
        <w:rPr>
          <w:szCs w:val="22"/>
          <w:lang w:val="hu-HU"/>
        </w:rPr>
        <w:t xml:space="preserve"> vizsgálatok alapján nem lehetett megállapítani semmilyen egyértelmű különbséget az egészséges önkéntesek</w:t>
      </w:r>
      <w:r w:rsidR="00EB6DFA" w:rsidRPr="009F1165">
        <w:rPr>
          <w:szCs w:val="22"/>
          <w:lang w:val="hu-HU"/>
        </w:rPr>
        <w:t>nél</w:t>
      </w:r>
      <w:r w:rsidRPr="009F1165">
        <w:rPr>
          <w:szCs w:val="22"/>
          <w:lang w:val="hu-HU"/>
        </w:rPr>
        <w:t xml:space="preserve"> </w:t>
      </w:r>
      <w:r w:rsidR="00EB6DFA" w:rsidRPr="009F1165">
        <w:rPr>
          <w:szCs w:val="22"/>
          <w:lang w:val="hu-HU"/>
        </w:rPr>
        <w:t>kapott</w:t>
      </w:r>
      <w:r w:rsidRPr="009F1165">
        <w:rPr>
          <w:szCs w:val="22"/>
          <w:lang w:val="hu-HU"/>
        </w:rPr>
        <w:t xml:space="preserve"> eredményhez viszonyítva. A kóros májműködés magasabb M1 </w:t>
      </w:r>
      <w:proofErr w:type="spellStart"/>
      <w:r w:rsidRPr="009F1165">
        <w:rPr>
          <w:szCs w:val="22"/>
          <w:lang w:val="hu-HU"/>
        </w:rPr>
        <w:t>metabolit</w:t>
      </w:r>
      <w:proofErr w:type="spellEnd"/>
      <w:r w:rsidRPr="009F1165">
        <w:rPr>
          <w:szCs w:val="22"/>
          <w:lang w:val="hu-HU"/>
        </w:rPr>
        <w:t xml:space="preserve"> </w:t>
      </w:r>
      <w:proofErr w:type="gramStart"/>
      <w:r w:rsidRPr="009F1165">
        <w:rPr>
          <w:szCs w:val="22"/>
          <w:lang w:val="hu-HU"/>
        </w:rPr>
        <w:t>koncentrációt</w:t>
      </w:r>
      <w:proofErr w:type="gramEnd"/>
      <w:r w:rsidRPr="009F1165">
        <w:rPr>
          <w:szCs w:val="22"/>
          <w:lang w:val="hu-HU"/>
        </w:rPr>
        <w:t xml:space="preserve"> eredményezett a plazmában, ugyanakkor a változatlan molekula koncentrációja közel megegyezett az egészséges önkéntesekn</w:t>
      </w:r>
      <w:r w:rsidR="00256279" w:rsidRPr="009F1165">
        <w:rPr>
          <w:szCs w:val="22"/>
          <w:lang w:val="hu-HU"/>
        </w:rPr>
        <w:t>él</w:t>
      </w:r>
      <w:r w:rsidRPr="009F1165">
        <w:rPr>
          <w:szCs w:val="22"/>
          <w:lang w:val="hu-HU"/>
        </w:rPr>
        <w:t xml:space="preserve"> nyert értékkel. Nincs kellő tapasztalat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klinikai alkalmazására vonatkozóan máj</w:t>
      </w:r>
      <w:r w:rsidR="00EB6DFA" w:rsidRPr="009F1165">
        <w:rPr>
          <w:szCs w:val="22"/>
          <w:lang w:val="hu-HU"/>
        </w:rPr>
        <w:t>károsodásban</w:t>
      </w:r>
      <w:r w:rsidRPr="009F1165">
        <w:rPr>
          <w:szCs w:val="22"/>
          <w:lang w:val="hu-HU"/>
        </w:rPr>
        <w:t xml:space="preserve"> szenvedő betegekkel kapcsolatban.</w:t>
      </w:r>
    </w:p>
    <w:p w14:paraId="5BB3C23A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1A2F1AA4" w14:textId="77777777" w:rsidR="00A83D7D" w:rsidRPr="009F1165" w:rsidRDefault="00A83D7D" w:rsidP="009F1165">
      <w:pPr>
        <w:pStyle w:val="WW-Szvegtrzs212"/>
        <w:keepNext/>
        <w:spacing w:line="240" w:lineRule="auto"/>
        <w:rPr>
          <w:szCs w:val="22"/>
          <w:lang w:val="hu-HU"/>
        </w:rPr>
      </w:pPr>
      <w:r w:rsidRPr="009F1165">
        <w:rPr>
          <w:szCs w:val="22"/>
          <w:lang w:val="hu-HU"/>
        </w:rPr>
        <w:t>5.3</w:t>
      </w:r>
      <w:r w:rsidRPr="009F1165">
        <w:rPr>
          <w:szCs w:val="22"/>
          <w:lang w:val="hu-HU"/>
        </w:rPr>
        <w:tab/>
        <w:t xml:space="preserve">A </w:t>
      </w:r>
      <w:proofErr w:type="spellStart"/>
      <w:r w:rsidRPr="009F1165">
        <w:rPr>
          <w:szCs w:val="22"/>
          <w:lang w:val="hu-HU"/>
        </w:rPr>
        <w:t>preklinikai</w:t>
      </w:r>
      <w:proofErr w:type="spellEnd"/>
      <w:r w:rsidRPr="009F1165">
        <w:rPr>
          <w:szCs w:val="22"/>
          <w:lang w:val="hu-HU"/>
        </w:rPr>
        <w:t xml:space="preserve"> biztonságossági vizsgálatok eredményei</w:t>
      </w:r>
    </w:p>
    <w:p w14:paraId="1C1DCAD0" w14:textId="77777777" w:rsidR="00A83D7D" w:rsidRPr="009F1165" w:rsidRDefault="00A83D7D" w:rsidP="009F1165">
      <w:pPr>
        <w:keepNext/>
        <w:tabs>
          <w:tab w:val="left" w:pos="567"/>
        </w:tabs>
        <w:rPr>
          <w:szCs w:val="22"/>
          <w:lang w:val="hu-HU"/>
        </w:rPr>
      </w:pPr>
    </w:p>
    <w:p w14:paraId="3DFA611C" w14:textId="77777777" w:rsidR="00A83D7D" w:rsidRPr="009F1165" w:rsidRDefault="00A83D7D" w:rsidP="009F1165">
      <w:pPr>
        <w:keepNext/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Rágcsálókon és nem rágcsálókon végzett </w:t>
      </w:r>
      <w:proofErr w:type="gramStart"/>
      <w:r w:rsidRPr="009F1165">
        <w:rPr>
          <w:szCs w:val="22"/>
          <w:lang w:val="hu-HU"/>
        </w:rPr>
        <w:t>konvencionális</w:t>
      </w:r>
      <w:proofErr w:type="gramEnd"/>
      <w:r w:rsidRPr="009F1165">
        <w:rPr>
          <w:szCs w:val="22"/>
          <w:lang w:val="hu-HU"/>
        </w:rPr>
        <w:t xml:space="preserve"> ismételt dózisú vizsgálatok során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hematológiai és </w:t>
      </w:r>
      <w:proofErr w:type="spellStart"/>
      <w:r w:rsidRPr="009F1165">
        <w:rPr>
          <w:szCs w:val="22"/>
          <w:lang w:val="hu-HU"/>
        </w:rPr>
        <w:t>hepat</w:t>
      </w:r>
      <w:r w:rsidR="00EB6DFA" w:rsidRPr="009F1165">
        <w:rPr>
          <w:szCs w:val="22"/>
          <w:lang w:val="hu-HU"/>
        </w:rPr>
        <w:t>o</w:t>
      </w:r>
      <w:r w:rsidRPr="009F1165">
        <w:rPr>
          <w:szCs w:val="22"/>
          <w:lang w:val="hu-HU"/>
        </w:rPr>
        <w:t>toxicitást</w:t>
      </w:r>
      <w:proofErr w:type="spellEnd"/>
      <w:r w:rsidRPr="009F1165">
        <w:rPr>
          <w:szCs w:val="22"/>
          <w:lang w:val="hu-HU"/>
        </w:rPr>
        <w:t xml:space="preserve"> mutatott. Majmokban központi idegrendszeri toxicitás fordult elő. Ezeket a hatásokat magas </w:t>
      </w:r>
      <w:proofErr w:type="gramStart"/>
      <w:r w:rsidRPr="009F1165">
        <w:rPr>
          <w:szCs w:val="22"/>
          <w:lang w:val="hu-HU"/>
        </w:rPr>
        <w:t>dózisok</w:t>
      </w:r>
      <w:proofErr w:type="gramEnd"/>
      <w:r w:rsidRPr="009F1165">
        <w:rPr>
          <w:szCs w:val="22"/>
          <w:lang w:val="hu-HU"/>
        </w:rPr>
        <w:t xml:space="preserve">, ill. tartós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adagolás esetén észlelték.</w:t>
      </w:r>
    </w:p>
    <w:p w14:paraId="496C36F4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578508EE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>Kutyák</w:t>
      </w:r>
      <w:r w:rsidR="00EB6DFA" w:rsidRPr="009F1165">
        <w:rPr>
          <w:szCs w:val="22"/>
          <w:lang w:val="hu-HU"/>
        </w:rPr>
        <w:t>nál</w:t>
      </w:r>
      <w:r w:rsidRPr="009F1165">
        <w:rPr>
          <w:szCs w:val="22"/>
          <w:lang w:val="hu-HU"/>
        </w:rPr>
        <w:t xml:space="preserve"> a magas per </w:t>
      </w:r>
      <w:proofErr w:type="spellStart"/>
      <w:r w:rsidRPr="009F1165">
        <w:rPr>
          <w:szCs w:val="22"/>
          <w:lang w:val="hu-HU"/>
        </w:rPr>
        <w:t>os</w:t>
      </w:r>
      <w:proofErr w:type="spellEnd"/>
      <w:r w:rsidRPr="009F1165">
        <w:rPr>
          <w:szCs w:val="22"/>
          <w:lang w:val="hu-HU"/>
        </w:rPr>
        <w:t xml:space="preserve"> adagok (</w:t>
      </w:r>
      <w:r w:rsidRPr="009F1165">
        <w:rPr>
          <w:szCs w:val="22"/>
          <w:lang w:val="hu-HU"/>
        </w:rPr>
        <w:sym w:font="Symbol" w:char="F03E"/>
      </w:r>
      <w:r w:rsidRPr="009F1165">
        <w:rPr>
          <w:szCs w:val="22"/>
          <w:lang w:val="hu-HU"/>
        </w:rPr>
        <w:t>60 mg/</w:t>
      </w:r>
      <w:proofErr w:type="spellStart"/>
      <w:r w:rsidR="00CE7E36" w:rsidRPr="009F1165">
        <w:rPr>
          <w:szCs w:val="22"/>
          <w:lang w:val="hu-HU"/>
        </w:rPr>
        <w:t>tt</w:t>
      </w:r>
      <w:r w:rsidRPr="009F1165">
        <w:rPr>
          <w:szCs w:val="22"/>
          <w:lang w:val="hu-HU"/>
        </w:rPr>
        <w:t>kg</w:t>
      </w:r>
      <w:proofErr w:type="spellEnd"/>
      <w:r w:rsidRPr="009F1165">
        <w:rPr>
          <w:szCs w:val="22"/>
          <w:lang w:val="hu-HU"/>
        </w:rPr>
        <w:t xml:space="preserve">), amelyek már </w:t>
      </w:r>
      <w:r w:rsidRPr="009F1165">
        <w:rPr>
          <w:szCs w:val="22"/>
          <w:lang w:val="hu-HU"/>
        </w:rPr>
        <w:sym w:font="Symbol" w:char="F0B3"/>
      </w:r>
      <w:r w:rsidRPr="009F1165">
        <w:rPr>
          <w:szCs w:val="22"/>
          <w:lang w:val="hu-HU"/>
        </w:rPr>
        <w:t xml:space="preserve">20 mg/l plazmaszintekhez vezettek, változásokat okoztak az </w:t>
      </w:r>
      <w:proofErr w:type="spellStart"/>
      <w:r w:rsidRPr="009F1165">
        <w:rPr>
          <w:szCs w:val="22"/>
          <w:lang w:val="hu-HU"/>
        </w:rPr>
        <w:t>elektro-retinogramon</w:t>
      </w:r>
      <w:proofErr w:type="spellEnd"/>
      <w:r w:rsidRPr="009F1165">
        <w:rPr>
          <w:szCs w:val="22"/>
          <w:lang w:val="hu-HU"/>
        </w:rPr>
        <w:t xml:space="preserve"> és </w:t>
      </w:r>
      <w:proofErr w:type="gramStart"/>
      <w:r w:rsidRPr="009F1165">
        <w:rPr>
          <w:szCs w:val="22"/>
          <w:lang w:val="hu-HU"/>
        </w:rPr>
        <w:t>izolált</w:t>
      </w:r>
      <w:proofErr w:type="gramEnd"/>
      <w:r w:rsidRPr="009F1165">
        <w:rPr>
          <w:szCs w:val="22"/>
          <w:lang w:val="hu-HU"/>
        </w:rPr>
        <w:t xml:space="preserve"> esetben retina atrófiát is észleltek.</w:t>
      </w:r>
    </w:p>
    <w:p w14:paraId="25B46795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lastRenderedPageBreak/>
        <w:t xml:space="preserve">Intravénás adagolás után a </w:t>
      </w:r>
      <w:proofErr w:type="gramStart"/>
      <w:r w:rsidRPr="009F1165">
        <w:rPr>
          <w:szCs w:val="22"/>
          <w:lang w:val="hu-HU"/>
        </w:rPr>
        <w:t>szisztémás</w:t>
      </w:r>
      <w:proofErr w:type="gramEnd"/>
      <w:r w:rsidRPr="009F1165">
        <w:rPr>
          <w:szCs w:val="22"/>
          <w:lang w:val="hu-HU"/>
        </w:rPr>
        <w:t xml:space="preserve"> toxicitás jelei akkor voltak a </w:t>
      </w:r>
      <w:proofErr w:type="spellStart"/>
      <w:r w:rsidRPr="009F1165">
        <w:rPr>
          <w:szCs w:val="22"/>
          <w:lang w:val="hu-HU"/>
        </w:rPr>
        <w:t>legkifejezettebbek</w:t>
      </w:r>
      <w:proofErr w:type="spellEnd"/>
      <w:r w:rsidRPr="009F1165">
        <w:rPr>
          <w:szCs w:val="22"/>
          <w:lang w:val="hu-HU"/>
        </w:rPr>
        <w:t xml:space="preserve">, ha a </w:t>
      </w:r>
      <w:proofErr w:type="spellStart"/>
      <w:r w:rsidRPr="009F1165">
        <w:rPr>
          <w:szCs w:val="22"/>
          <w:lang w:val="hu-HU"/>
        </w:rPr>
        <w:t>moxifloxacint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bólus</w:t>
      </w:r>
      <w:proofErr w:type="spellEnd"/>
      <w:r w:rsidRPr="009F1165">
        <w:rPr>
          <w:szCs w:val="22"/>
          <w:lang w:val="hu-HU"/>
        </w:rPr>
        <w:t xml:space="preserve"> injekcióban (45 mg/</w:t>
      </w:r>
      <w:proofErr w:type="spellStart"/>
      <w:r w:rsidRPr="009F1165">
        <w:rPr>
          <w:szCs w:val="22"/>
          <w:lang w:val="hu-HU"/>
        </w:rPr>
        <w:t>ttkg</w:t>
      </w:r>
      <w:proofErr w:type="spellEnd"/>
      <w:r w:rsidRPr="009F1165">
        <w:rPr>
          <w:szCs w:val="22"/>
          <w:lang w:val="hu-HU"/>
        </w:rPr>
        <w:t>) adagolták. 40 mg/</w:t>
      </w:r>
      <w:proofErr w:type="spellStart"/>
      <w:r w:rsidRPr="009F1165">
        <w:rPr>
          <w:szCs w:val="22"/>
          <w:lang w:val="hu-HU"/>
        </w:rPr>
        <w:t>ttkg</w:t>
      </w:r>
      <w:proofErr w:type="spellEnd"/>
      <w:r w:rsidRPr="009F1165">
        <w:rPr>
          <w:szCs w:val="22"/>
          <w:lang w:val="hu-HU"/>
        </w:rPr>
        <w:t xml:space="preserve"> lassú, </w:t>
      </w:r>
      <w:proofErr w:type="gramStart"/>
      <w:r w:rsidRPr="009F1165">
        <w:rPr>
          <w:szCs w:val="22"/>
          <w:lang w:val="hu-HU"/>
        </w:rPr>
        <w:t>több, mint</w:t>
      </w:r>
      <w:proofErr w:type="gramEnd"/>
      <w:r w:rsidRPr="009F1165">
        <w:rPr>
          <w:szCs w:val="22"/>
          <w:lang w:val="hu-HU"/>
        </w:rPr>
        <w:t xml:space="preserve"> </w:t>
      </w:r>
      <w:r w:rsidR="00D06D16" w:rsidRPr="009F1165">
        <w:rPr>
          <w:szCs w:val="22"/>
          <w:lang w:val="hu-HU"/>
        </w:rPr>
        <w:t>50 </w:t>
      </w:r>
      <w:r w:rsidRPr="009F1165">
        <w:rPr>
          <w:szCs w:val="22"/>
          <w:lang w:val="hu-HU"/>
        </w:rPr>
        <w:t>percen át tartó adagolásakor semmi ilyen jellegű hatást nem figyeltek meg.</w:t>
      </w:r>
    </w:p>
    <w:p w14:paraId="14F67FCC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4F915F38" w14:textId="77777777" w:rsidR="00A83D7D" w:rsidRPr="009F1165" w:rsidRDefault="00A83D7D" w:rsidP="009F1165">
      <w:pPr>
        <w:pStyle w:val="Szvegtrzsbehzssal"/>
        <w:tabs>
          <w:tab w:val="left" w:pos="567"/>
        </w:tabs>
        <w:spacing w:after="0"/>
        <w:ind w:left="0"/>
        <w:rPr>
          <w:szCs w:val="22"/>
          <w:lang w:val="hu-HU"/>
        </w:rPr>
      </w:pPr>
      <w:proofErr w:type="spellStart"/>
      <w:r w:rsidRPr="009F1165">
        <w:rPr>
          <w:szCs w:val="22"/>
          <w:lang w:val="hu-HU"/>
        </w:rPr>
        <w:t>Intraarteriális</w:t>
      </w:r>
      <w:proofErr w:type="spellEnd"/>
      <w:r w:rsidRPr="009F1165">
        <w:rPr>
          <w:szCs w:val="22"/>
          <w:lang w:val="hu-HU"/>
        </w:rPr>
        <w:t xml:space="preserve"> injekciót követően a periarteri</w:t>
      </w:r>
      <w:r w:rsidR="006E5B25">
        <w:rPr>
          <w:szCs w:val="22"/>
          <w:lang w:val="hu-HU"/>
        </w:rPr>
        <w:t>á</w:t>
      </w:r>
      <w:r w:rsidRPr="009F1165">
        <w:rPr>
          <w:szCs w:val="22"/>
          <w:lang w:val="hu-HU"/>
        </w:rPr>
        <w:t xml:space="preserve">lis szövetekben gyulladásos elváltozások alakultak ki, ezért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intraarteriális</w:t>
      </w:r>
      <w:proofErr w:type="spellEnd"/>
      <w:r w:rsidRPr="009F1165">
        <w:rPr>
          <w:szCs w:val="22"/>
          <w:lang w:val="hu-HU"/>
        </w:rPr>
        <w:t xml:space="preserve"> adagolását kerülni kell.</w:t>
      </w:r>
    </w:p>
    <w:p w14:paraId="16FEC455" w14:textId="77777777" w:rsidR="00A83D7D" w:rsidRPr="009F1165" w:rsidRDefault="00A83D7D" w:rsidP="009F1165">
      <w:pPr>
        <w:tabs>
          <w:tab w:val="left" w:pos="0"/>
        </w:tabs>
        <w:rPr>
          <w:szCs w:val="22"/>
          <w:lang w:val="hu-HU"/>
        </w:rPr>
      </w:pPr>
    </w:p>
    <w:p w14:paraId="46BEB450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proofErr w:type="spellStart"/>
      <w:r w:rsidRPr="009F1165">
        <w:rPr>
          <w:szCs w:val="22"/>
          <w:lang w:val="hu-HU"/>
        </w:rPr>
        <w:t>moxifloxacint</w:t>
      </w:r>
      <w:proofErr w:type="spellEnd"/>
      <w:r w:rsidRPr="009F1165">
        <w:rPr>
          <w:szCs w:val="22"/>
          <w:lang w:val="hu-HU"/>
        </w:rPr>
        <w:t xml:space="preserve"> </w:t>
      </w:r>
      <w:r w:rsidRPr="009F1165">
        <w:rPr>
          <w:i/>
          <w:szCs w:val="22"/>
          <w:lang w:val="hu-HU"/>
        </w:rPr>
        <w:t>in vitro</w:t>
      </w:r>
      <w:r w:rsidRPr="009F1165">
        <w:rPr>
          <w:szCs w:val="22"/>
          <w:lang w:val="hu-HU"/>
        </w:rPr>
        <w:t xml:space="preserve"> bakteriális és emlős sejteken </w:t>
      </w:r>
      <w:proofErr w:type="spellStart"/>
      <w:r w:rsidRPr="009F1165">
        <w:rPr>
          <w:szCs w:val="22"/>
          <w:lang w:val="hu-HU"/>
        </w:rPr>
        <w:t>genotoxikusnak</w:t>
      </w:r>
      <w:proofErr w:type="spellEnd"/>
      <w:r w:rsidRPr="009F1165">
        <w:rPr>
          <w:szCs w:val="22"/>
          <w:lang w:val="hu-HU"/>
        </w:rPr>
        <w:t xml:space="preserve"> találták. </w:t>
      </w:r>
      <w:r w:rsidRPr="009F1165">
        <w:rPr>
          <w:i/>
          <w:szCs w:val="22"/>
          <w:lang w:val="hu-HU"/>
        </w:rPr>
        <w:t>In vivo</w:t>
      </w:r>
      <w:r w:rsidRPr="009F1165">
        <w:rPr>
          <w:szCs w:val="22"/>
          <w:lang w:val="hu-HU"/>
        </w:rPr>
        <w:t xml:space="preserve"> rendszerekben az alkalmazott igen magas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</w:t>
      </w:r>
      <w:proofErr w:type="gramStart"/>
      <w:r w:rsidRPr="009F1165">
        <w:rPr>
          <w:szCs w:val="22"/>
          <w:lang w:val="hu-HU"/>
        </w:rPr>
        <w:t>dózisokban</w:t>
      </w:r>
      <w:proofErr w:type="gramEnd"/>
      <w:r w:rsidRPr="009F1165">
        <w:rPr>
          <w:szCs w:val="22"/>
          <w:lang w:val="hu-HU"/>
        </w:rPr>
        <w:t xml:space="preserve"> sem észleltek </w:t>
      </w:r>
      <w:proofErr w:type="spellStart"/>
      <w:r w:rsidRPr="009F1165">
        <w:rPr>
          <w:szCs w:val="22"/>
          <w:lang w:val="hu-HU"/>
        </w:rPr>
        <w:t>genotoxicitást</w:t>
      </w:r>
      <w:proofErr w:type="spellEnd"/>
      <w:r w:rsidRPr="009F1165">
        <w:rPr>
          <w:szCs w:val="22"/>
          <w:lang w:val="hu-HU"/>
        </w:rPr>
        <w:t>. Egy patkányokn</w:t>
      </w:r>
      <w:r w:rsidR="00CE7E36" w:rsidRPr="009F1165">
        <w:rPr>
          <w:szCs w:val="22"/>
          <w:lang w:val="hu-HU"/>
        </w:rPr>
        <w:t>ál</w:t>
      </w:r>
      <w:r w:rsidRPr="009F1165">
        <w:rPr>
          <w:szCs w:val="22"/>
          <w:lang w:val="hu-HU"/>
        </w:rPr>
        <w:t xml:space="preserve"> végzett </w:t>
      </w:r>
      <w:proofErr w:type="spellStart"/>
      <w:r w:rsidRPr="009F1165">
        <w:rPr>
          <w:szCs w:val="22"/>
          <w:lang w:val="hu-HU"/>
        </w:rPr>
        <w:t>iniciációs</w:t>
      </w:r>
      <w:proofErr w:type="spellEnd"/>
      <w:r w:rsidRPr="009F1165">
        <w:rPr>
          <w:szCs w:val="22"/>
          <w:lang w:val="hu-HU"/>
        </w:rPr>
        <w:t xml:space="preserve">-promóciós vizsgálatban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nem bizonyult karcinogénnek.</w:t>
      </w:r>
    </w:p>
    <w:p w14:paraId="1D184D30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4855E209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i/>
          <w:szCs w:val="22"/>
          <w:lang w:val="hu-HU"/>
        </w:rPr>
        <w:t>In vitro</w:t>
      </w:r>
      <w:r w:rsidRPr="009F1165">
        <w:rPr>
          <w:szCs w:val="22"/>
          <w:lang w:val="hu-HU"/>
        </w:rPr>
        <w:t xml:space="preserve">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befolyásolja a szív </w:t>
      </w:r>
      <w:proofErr w:type="spellStart"/>
      <w:r w:rsidRPr="009F1165">
        <w:rPr>
          <w:szCs w:val="22"/>
          <w:lang w:val="hu-HU"/>
        </w:rPr>
        <w:t>elektrofiziológiai</w:t>
      </w:r>
      <w:proofErr w:type="spellEnd"/>
      <w:r w:rsidRPr="009F1165">
        <w:rPr>
          <w:szCs w:val="22"/>
          <w:lang w:val="hu-HU"/>
        </w:rPr>
        <w:t xml:space="preserve"> tulajdonságait, ami a </w:t>
      </w:r>
      <w:r w:rsidR="00D06D16" w:rsidRPr="009F1165">
        <w:rPr>
          <w:szCs w:val="22"/>
          <w:lang w:val="hu-HU"/>
        </w:rPr>
        <w:t>QT</w:t>
      </w:r>
      <w:r w:rsidR="00D06D16" w:rsidRPr="009F1165">
        <w:rPr>
          <w:szCs w:val="22"/>
          <w:lang w:val="hu-HU"/>
        </w:rPr>
        <w:noBreakHyphen/>
      </w:r>
      <w:r w:rsidR="00CE7E36" w:rsidRPr="009F1165">
        <w:rPr>
          <w:szCs w:val="22"/>
          <w:lang w:val="hu-HU"/>
        </w:rPr>
        <w:t xml:space="preserve">szakasz </w:t>
      </w:r>
      <w:r w:rsidRPr="009F1165">
        <w:rPr>
          <w:szCs w:val="22"/>
          <w:lang w:val="hu-HU"/>
        </w:rPr>
        <w:t>meg</w:t>
      </w:r>
      <w:r w:rsidR="00EB6DFA" w:rsidRPr="009F1165">
        <w:rPr>
          <w:szCs w:val="22"/>
          <w:lang w:val="hu-HU"/>
        </w:rPr>
        <w:t>nyúlását</w:t>
      </w:r>
      <w:r w:rsidRPr="009F1165">
        <w:rPr>
          <w:szCs w:val="22"/>
          <w:lang w:val="hu-HU"/>
        </w:rPr>
        <w:t xml:space="preserve"> eredményezheti, különösen magas </w:t>
      </w:r>
      <w:proofErr w:type="gramStart"/>
      <w:r w:rsidRPr="009F1165">
        <w:rPr>
          <w:szCs w:val="22"/>
          <w:lang w:val="hu-HU"/>
        </w:rPr>
        <w:t>koncentrációban</w:t>
      </w:r>
      <w:proofErr w:type="gramEnd"/>
      <w:r w:rsidRPr="009F1165">
        <w:rPr>
          <w:szCs w:val="22"/>
          <w:lang w:val="hu-HU"/>
        </w:rPr>
        <w:t>.</w:t>
      </w:r>
    </w:p>
    <w:p w14:paraId="21CD4492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5ACC4B96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  <w:r w:rsidRPr="009F1165">
        <w:rPr>
          <w:szCs w:val="22"/>
          <w:lang w:val="hu-HU"/>
        </w:rPr>
        <w:t>Intravénás adagolás esetén (30 mg/</w:t>
      </w:r>
      <w:proofErr w:type="spellStart"/>
      <w:r w:rsidR="00CE7E36" w:rsidRPr="009F1165">
        <w:rPr>
          <w:szCs w:val="22"/>
          <w:lang w:val="hu-HU"/>
        </w:rPr>
        <w:t>tt</w:t>
      </w:r>
      <w:r w:rsidRPr="009F1165">
        <w:rPr>
          <w:szCs w:val="22"/>
          <w:lang w:val="hu-HU"/>
        </w:rPr>
        <w:t>kg</w:t>
      </w:r>
      <w:proofErr w:type="spellEnd"/>
      <w:r w:rsidRPr="009F1165">
        <w:rPr>
          <w:szCs w:val="22"/>
          <w:lang w:val="hu-HU"/>
        </w:rPr>
        <w:t xml:space="preserve"> 15, ill. 30</w:t>
      </w:r>
      <w:r w:rsidR="00CE7E36" w:rsidRPr="009F1165">
        <w:rPr>
          <w:szCs w:val="22"/>
          <w:lang w:val="hu-HU"/>
        </w:rPr>
        <w:t>,</w:t>
      </w:r>
      <w:r w:rsidRPr="009F1165">
        <w:rPr>
          <w:szCs w:val="22"/>
          <w:lang w:val="hu-HU"/>
        </w:rPr>
        <w:t xml:space="preserve"> ill. </w:t>
      </w:r>
      <w:r w:rsidR="00D06D16" w:rsidRPr="009F1165">
        <w:rPr>
          <w:szCs w:val="22"/>
          <w:lang w:val="hu-HU"/>
        </w:rPr>
        <w:t>60 </w:t>
      </w:r>
      <w:r w:rsidRPr="009F1165">
        <w:rPr>
          <w:szCs w:val="22"/>
          <w:lang w:val="hu-HU"/>
        </w:rPr>
        <w:t>perces adagolással) kutyákn</w:t>
      </w:r>
      <w:r w:rsidR="00CE7E36" w:rsidRPr="009F1165">
        <w:rPr>
          <w:szCs w:val="22"/>
          <w:lang w:val="hu-HU"/>
        </w:rPr>
        <w:t>ál</w:t>
      </w:r>
      <w:r w:rsidRPr="009F1165">
        <w:rPr>
          <w:szCs w:val="22"/>
          <w:lang w:val="hu-HU"/>
        </w:rPr>
        <w:t xml:space="preserve"> egyértelművé tette, hogy </w:t>
      </w:r>
      <w:r w:rsidR="00CE7E36" w:rsidRPr="009F1165">
        <w:rPr>
          <w:szCs w:val="22"/>
          <w:lang w:val="hu-HU"/>
        </w:rPr>
        <w:t xml:space="preserve">a </w:t>
      </w:r>
      <w:r w:rsidR="00D06D16" w:rsidRPr="009F1165">
        <w:rPr>
          <w:szCs w:val="22"/>
          <w:lang w:val="hu-HU"/>
        </w:rPr>
        <w:t>QT</w:t>
      </w:r>
      <w:r w:rsidR="00D06D16" w:rsidRPr="009F1165">
        <w:rPr>
          <w:szCs w:val="22"/>
          <w:lang w:val="hu-HU"/>
        </w:rPr>
        <w:noBreakHyphen/>
      </w:r>
      <w:r w:rsidRPr="009F1165">
        <w:rPr>
          <w:szCs w:val="22"/>
          <w:lang w:val="hu-HU"/>
        </w:rPr>
        <w:t xml:space="preserve">megnyúlás mértéke az infúzió sebességétől függ, ami azt jelenti, hogy minél kisebb az infúziós időtartam, annál </w:t>
      </w:r>
      <w:proofErr w:type="spellStart"/>
      <w:r w:rsidRPr="009F1165">
        <w:rPr>
          <w:szCs w:val="22"/>
          <w:lang w:val="hu-HU"/>
        </w:rPr>
        <w:t>kifejezettebb</w:t>
      </w:r>
      <w:proofErr w:type="spellEnd"/>
      <w:r w:rsidRPr="009F1165">
        <w:rPr>
          <w:szCs w:val="22"/>
          <w:lang w:val="hu-HU"/>
        </w:rPr>
        <w:t xml:space="preserve"> a </w:t>
      </w:r>
      <w:r w:rsidR="00D06D16" w:rsidRPr="009F1165">
        <w:rPr>
          <w:szCs w:val="22"/>
          <w:lang w:val="hu-HU"/>
        </w:rPr>
        <w:t>QT</w:t>
      </w:r>
      <w:r w:rsidR="00D06D16" w:rsidRPr="009F1165">
        <w:rPr>
          <w:szCs w:val="22"/>
          <w:lang w:val="hu-HU"/>
        </w:rPr>
        <w:noBreakHyphen/>
      </w:r>
      <w:r w:rsidR="00CE7E36" w:rsidRPr="009F1165">
        <w:rPr>
          <w:szCs w:val="22"/>
          <w:lang w:val="hu-HU"/>
        </w:rPr>
        <w:t xml:space="preserve">szakasz </w:t>
      </w:r>
      <w:r w:rsidRPr="009F1165">
        <w:rPr>
          <w:szCs w:val="22"/>
          <w:lang w:val="hu-HU"/>
        </w:rPr>
        <w:t xml:space="preserve">megnyúlása. A </w:t>
      </w:r>
      <w:r w:rsidR="00D06D16" w:rsidRPr="009F1165">
        <w:rPr>
          <w:szCs w:val="22"/>
          <w:lang w:val="hu-HU"/>
        </w:rPr>
        <w:t>60 </w:t>
      </w:r>
      <w:r w:rsidRPr="009F1165">
        <w:rPr>
          <w:szCs w:val="22"/>
          <w:lang w:val="hu-HU"/>
        </w:rPr>
        <w:t>perc</w:t>
      </w:r>
      <w:r w:rsidR="00EE6863" w:rsidRPr="009F1165">
        <w:rPr>
          <w:szCs w:val="22"/>
          <w:lang w:val="hu-HU"/>
        </w:rPr>
        <w:t>es</w:t>
      </w:r>
      <w:r w:rsidRPr="009F1165">
        <w:rPr>
          <w:szCs w:val="22"/>
          <w:lang w:val="hu-HU"/>
        </w:rPr>
        <w:t xml:space="preserve"> infúziós adagolási idővel beadott 30 mg/</w:t>
      </w:r>
      <w:proofErr w:type="spellStart"/>
      <w:r w:rsidR="00CE7E36" w:rsidRPr="009F1165">
        <w:rPr>
          <w:szCs w:val="22"/>
          <w:lang w:val="hu-HU"/>
        </w:rPr>
        <w:t>tt</w:t>
      </w:r>
      <w:r w:rsidRPr="009F1165">
        <w:rPr>
          <w:szCs w:val="22"/>
          <w:lang w:val="hu-HU"/>
        </w:rPr>
        <w:t>kg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nem okozott </w:t>
      </w:r>
      <w:r w:rsidR="00D06D16" w:rsidRPr="009F1165">
        <w:rPr>
          <w:szCs w:val="22"/>
          <w:lang w:val="hu-HU"/>
        </w:rPr>
        <w:t>QT</w:t>
      </w:r>
      <w:r w:rsidR="00D06D16" w:rsidRPr="009F1165">
        <w:rPr>
          <w:szCs w:val="22"/>
          <w:lang w:val="hu-HU"/>
        </w:rPr>
        <w:noBreakHyphen/>
      </w:r>
      <w:r w:rsidR="00CE7E36" w:rsidRPr="009F1165">
        <w:rPr>
          <w:szCs w:val="22"/>
          <w:lang w:val="hu-HU"/>
        </w:rPr>
        <w:t xml:space="preserve">szakasz </w:t>
      </w:r>
      <w:r w:rsidRPr="009F1165">
        <w:rPr>
          <w:szCs w:val="22"/>
          <w:lang w:val="hu-HU"/>
        </w:rPr>
        <w:t>meg</w:t>
      </w:r>
      <w:r w:rsidR="00EB6DFA" w:rsidRPr="009F1165">
        <w:rPr>
          <w:szCs w:val="22"/>
          <w:lang w:val="hu-HU"/>
        </w:rPr>
        <w:t>nyúlást</w:t>
      </w:r>
      <w:r w:rsidRPr="009F1165">
        <w:rPr>
          <w:szCs w:val="22"/>
          <w:lang w:val="hu-HU"/>
        </w:rPr>
        <w:t>.</w:t>
      </w:r>
    </w:p>
    <w:p w14:paraId="6A7C9C52" w14:textId="77777777" w:rsidR="00A83D7D" w:rsidRPr="009F1165" w:rsidRDefault="00A83D7D" w:rsidP="009F1165">
      <w:pPr>
        <w:tabs>
          <w:tab w:val="left" w:pos="567"/>
        </w:tabs>
        <w:rPr>
          <w:szCs w:val="22"/>
          <w:lang w:val="hu-HU"/>
        </w:rPr>
      </w:pPr>
    </w:p>
    <w:p w14:paraId="4985E608" w14:textId="77777777" w:rsidR="00A83D7D" w:rsidRPr="009F1165" w:rsidRDefault="00A83D7D" w:rsidP="009F1165">
      <w:pPr>
        <w:pStyle w:val="Szvegtrzs2"/>
        <w:tabs>
          <w:tab w:val="left" w:pos="567"/>
        </w:tabs>
        <w:spacing w:after="0" w:line="240" w:lineRule="auto"/>
        <w:rPr>
          <w:szCs w:val="22"/>
          <w:lang w:val="hu-HU"/>
        </w:rPr>
      </w:pPr>
      <w:r w:rsidRPr="009F1165">
        <w:rPr>
          <w:szCs w:val="22"/>
          <w:lang w:val="hu-HU"/>
        </w:rPr>
        <w:t>Patkányok</w:t>
      </w:r>
      <w:r w:rsidR="008447B7">
        <w:rPr>
          <w:szCs w:val="22"/>
          <w:lang w:val="hu-HU"/>
        </w:rPr>
        <w:t>nál</w:t>
      </w:r>
      <w:r w:rsidRPr="009F1165">
        <w:rPr>
          <w:szCs w:val="22"/>
          <w:lang w:val="hu-HU"/>
        </w:rPr>
        <w:t>, nyulak</w:t>
      </w:r>
      <w:r w:rsidR="008447B7">
        <w:rPr>
          <w:szCs w:val="22"/>
          <w:lang w:val="hu-HU"/>
        </w:rPr>
        <w:t>nál</w:t>
      </w:r>
      <w:r w:rsidRPr="009F1165">
        <w:rPr>
          <w:szCs w:val="22"/>
          <w:lang w:val="hu-HU"/>
        </w:rPr>
        <w:t xml:space="preserve"> és majmok</w:t>
      </w:r>
      <w:r w:rsidR="008447B7">
        <w:rPr>
          <w:szCs w:val="22"/>
          <w:lang w:val="hu-HU"/>
        </w:rPr>
        <w:t>nál</w:t>
      </w:r>
      <w:r w:rsidRPr="009F1165">
        <w:rPr>
          <w:szCs w:val="22"/>
          <w:lang w:val="hu-HU"/>
        </w:rPr>
        <w:t xml:space="preserve"> végzett reprodukciós vizsgálatok arra utalnak, hogy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átjut a placentán. Patkányokn</w:t>
      </w:r>
      <w:r w:rsidR="00CE7E36" w:rsidRPr="009F1165">
        <w:rPr>
          <w:szCs w:val="22"/>
          <w:lang w:val="hu-HU"/>
        </w:rPr>
        <w:t>ál</w:t>
      </w:r>
      <w:r w:rsidRPr="009F1165">
        <w:rPr>
          <w:szCs w:val="22"/>
          <w:lang w:val="hu-HU"/>
        </w:rPr>
        <w:t xml:space="preserve"> (p</w:t>
      </w:r>
      <w:r w:rsidR="00CE7E36" w:rsidRPr="009F1165">
        <w:rPr>
          <w:szCs w:val="22"/>
          <w:lang w:val="hu-HU"/>
        </w:rPr>
        <w:t xml:space="preserve">er </w:t>
      </w:r>
      <w:proofErr w:type="spellStart"/>
      <w:r w:rsidRPr="009F1165">
        <w:rPr>
          <w:szCs w:val="22"/>
          <w:lang w:val="hu-HU"/>
        </w:rPr>
        <w:t>o</w:t>
      </w:r>
      <w:r w:rsidR="00CE7E36" w:rsidRPr="009F1165">
        <w:rPr>
          <w:szCs w:val="22"/>
          <w:lang w:val="hu-HU"/>
        </w:rPr>
        <w:t>s</w:t>
      </w:r>
      <w:proofErr w:type="spellEnd"/>
      <w:r w:rsidRPr="009F1165">
        <w:rPr>
          <w:szCs w:val="22"/>
          <w:lang w:val="hu-HU"/>
        </w:rPr>
        <w:t xml:space="preserve"> és i</w:t>
      </w:r>
      <w:r w:rsidR="00CE7E36" w:rsidRPr="009F1165">
        <w:rPr>
          <w:szCs w:val="22"/>
          <w:lang w:val="hu-HU"/>
        </w:rPr>
        <w:t>ntravénás</w:t>
      </w:r>
      <w:r w:rsidRPr="009F1165">
        <w:rPr>
          <w:szCs w:val="22"/>
          <w:lang w:val="hu-HU"/>
        </w:rPr>
        <w:t>) és majmokn</w:t>
      </w:r>
      <w:r w:rsidR="00CE7E36" w:rsidRPr="009F1165">
        <w:rPr>
          <w:szCs w:val="22"/>
          <w:lang w:val="hu-HU"/>
        </w:rPr>
        <w:t>ál</w:t>
      </w:r>
      <w:r w:rsidRPr="009F1165">
        <w:rPr>
          <w:szCs w:val="22"/>
          <w:lang w:val="hu-HU"/>
        </w:rPr>
        <w:t xml:space="preserve"> (p</w:t>
      </w:r>
      <w:r w:rsidR="00CE7E36" w:rsidRPr="009F1165">
        <w:rPr>
          <w:szCs w:val="22"/>
          <w:lang w:val="hu-HU"/>
        </w:rPr>
        <w:t xml:space="preserve">er </w:t>
      </w:r>
      <w:proofErr w:type="spellStart"/>
      <w:r w:rsidRPr="009F1165">
        <w:rPr>
          <w:szCs w:val="22"/>
          <w:lang w:val="hu-HU"/>
        </w:rPr>
        <w:t>o</w:t>
      </w:r>
      <w:r w:rsidR="00CE7E36" w:rsidRPr="009F1165">
        <w:rPr>
          <w:szCs w:val="22"/>
          <w:lang w:val="hu-HU"/>
        </w:rPr>
        <w:t>s</w:t>
      </w:r>
      <w:proofErr w:type="spellEnd"/>
      <w:r w:rsidRPr="009F1165">
        <w:rPr>
          <w:szCs w:val="22"/>
          <w:lang w:val="hu-HU"/>
        </w:rPr>
        <w:t xml:space="preserve">) végzett vizsgálatok nem utalnak arra, hogy akár </w:t>
      </w:r>
      <w:proofErr w:type="spellStart"/>
      <w:r w:rsidRPr="009F1165">
        <w:rPr>
          <w:szCs w:val="22"/>
          <w:lang w:val="hu-HU"/>
        </w:rPr>
        <w:t>teratogén</w:t>
      </w:r>
      <w:proofErr w:type="spellEnd"/>
      <w:r w:rsidRPr="009F1165">
        <w:rPr>
          <w:szCs w:val="22"/>
          <w:lang w:val="hu-HU"/>
        </w:rPr>
        <w:t xml:space="preserve">, akár a termékenységet befolyásoló hatása lenne a </w:t>
      </w:r>
      <w:proofErr w:type="spellStart"/>
      <w:r w:rsidRPr="009F1165">
        <w:rPr>
          <w:szCs w:val="22"/>
          <w:lang w:val="hu-HU"/>
        </w:rPr>
        <w:t>moxifloxacinnak</w:t>
      </w:r>
      <w:proofErr w:type="spellEnd"/>
      <w:r w:rsidRPr="009F1165">
        <w:rPr>
          <w:szCs w:val="22"/>
          <w:lang w:val="hu-HU"/>
        </w:rPr>
        <w:t>. Nyulaknál valamivel gyakrabban észleltek csigolya</w:t>
      </w:r>
      <w:r w:rsidR="00CE7E36" w:rsidRPr="009F1165">
        <w:rPr>
          <w:szCs w:val="22"/>
          <w:lang w:val="hu-HU"/>
        </w:rPr>
        <w:t>-</w:t>
      </w:r>
      <w:r w:rsidRPr="009F1165">
        <w:rPr>
          <w:szCs w:val="22"/>
          <w:lang w:val="hu-HU"/>
        </w:rPr>
        <w:t xml:space="preserve"> és </w:t>
      </w:r>
      <w:proofErr w:type="gramStart"/>
      <w:r w:rsidRPr="009F1165">
        <w:rPr>
          <w:szCs w:val="22"/>
          <w:lang w:val="hu-HU"/>
        </w:rPr>
        <w:t>borda fejlődési</w:t>
      </w:r>
      <w:proofErr w:type="gramEnd"/>
      <w:r w:rsidRPr="009F1165">
        <w:rPr>
          <w:szCs w:val="22"/>
          <w:lang w:val="hu-HU"/>
        </w:rPr>
        <w:t xml:space="preserve"> rendellenességet, de csak olyan adagoknál, amelyek az anyára nézve egyértelműen </w:t>
      </w:r>
      <w:proofErr w:type="spellStart"/>
      <w:r w:rsidRPr="009F1165">
        <w:rPr>
          <w:szCs w:val="22"/>
          <w:lang w:val="hu-HU"/>
        </w:rPr>
        <w:t>toxikusak</w:t>
      </w:r>
      <w:proofErr w:type="spellEnd"/>
      <w:r w:rsidRPr="009F1165">
        <w:rPr>
          <w:szCs w:val="22"/>
          <w:lang w:val="hu-HU"/>
        </w:rPr>
        <w:t xml:space="preserve"> voltak (20 mg/</w:t>
      </w:r>
      <w:proofErr w:type="spellStart"/>
      <w:r w:rsidR="00CE7E36" w:rsidRPr="009F1165">
        <w:rPr>
          <w:szCs w:val="22"/>
          <w:lang w:val="hu-HU"/>
        </w:rPr>
        <w:t>tt</w:t>
      </w:r>
      <w:r w:rsidRPr="009F1165">
        <w:rPr>
          <w:szCs w:val="22"/>
          <w:lang w:val="hu-HU"/>
        </w:rPr>
        <w:t>kg</w:t>
      </w:r>
      <w:proofErr w:type="spellEnd"/>
      <w:r w:rsidRPr="009F1165">
        <w:rPr>
          <w:szCs w:val="22"/>
          <w:lang w:val="hu-HU"/>
        </w:rPr>
        <w:t xml:space="preserve"> i</w:t>
      </w:r>
      <w:r w:rsidR="00CE7E36" w:rsidRPr="009F1165">
        <w:rPr>
          <w:szCs w:val="22"/>
          <w:lang w:val="hu-HU"/>
        </w:rPr>
        <w:t>ntravénásan</w:t>
      </w:r>
      <w:r w:rsidRPr="009F1165">
        <w:rPr>
          <w:szCs w:val="22"/>
          <w:lang w:val="hu-HU"/>
        </w:rPr>
        <w:t>). Az emberi terápiás plazma</w:t>
      </w:r>
      <w:proofErr w:type="gramStart"/>
      <w:r w:rsidRPr="009F1165">
        <w:rPr>
          <w:szCs w:val="22"/>
          <w:lang w:val="hu-HU"/>
        </w:rPr>
        <w:t>koncentrációnak</w:t>
      </w:r>
      <w:proofErr w:type="gramEnd"/>
      <w:r w:rsidRPr="009F1165">
        <w:rPr>
          <w:szCs w:val="22"/>
          <w:lang w:val="hu-HU"/>
        </w:rPr>
        <w:t xml:space="preserve"> megfelelő adag esetén majmoknál és nyulaknál az abortuszok </w:t>
      </w:r>
      <w:proofErr w:type="spellStart"/>
      <w:r w:rsidRPr="009F1165">
        <w:rPr>
          <w:szCs w:val="22"/>
          <w:lang w:val="hu-HU"/>
        </w:rPr>
        <w:t>incidenciájának</w:t>
      </w:r>
      <w:proofErr w:type="spellEnd"/>
      <w:r w:rsidRPr="009F1165">
        <w:rPr>
          <w:szCs w:val="22"/>
          <w:lang w:val="hu-HU"/>
        </w:rPr>
        <w:t xml:space="preserve"> megnövekedését észlelték.</w:t>
      </w:r>
    </w:p>
    <w:p w14:paraId="30D69E7E" w14:textId="77777777" w:rsidR="00A83D7D" w:rsidRPr="009F1165" w:rsidRDefault="00A83D7D" w:rsidP="009F1165">
      <w:pPr>
        <w:pStyle w:val="Szvegtrzs2"/>
        <w:tabs>
          <w:tab w:val="left" w:pos="567"/>
        </w:tabs>
        <w:spacing w:after="0" w:line="240" w:lineRule="auto"/>
        <w:rPr>
          <w:szCs w:val="22"/>
          <w:lang w:val="hu-HU"/>
        </w:rPr>
      </w:pPr>
    </w:p>
    <w:p w14:paraId="348B1C98" w14:textId="77777777" w:rsidR="00A83D7D" w:rsidRPr="009F1165" w:rsidRDefault="00A83D7D" w:rsidP="009F1165">
      <w:pPr>
        <w:pStyle w:val="Szvegtrzs2"/>
        <w:tabs>
          <w:tab w:val="left" w:pos="567"/>
        </w:tabs>
        <w:spacing w:after="0" w:line="240" w:lineRule="auto"/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Ismert, hogy a </w:t>
      </w:r>
      <w:proofErr w:type="spellStart"/>
      <w:r w:rsidRPr="009F1165">
        <w:rPr>
          <w:szCs w:val="22"/>
          <w:lang w:val="hu-HU"/>
        </w:rPr>
        <w:t>kinolonok</w:t>
      </w:r>
      <w:proofErr w:type="spellEnd"/>
      <w:r w:rsidRPr="009F1165">
        <w:rPr>
          <w:szCs w:val="22"/>
          <w:lang w:val="hu-HU"/>
        </w:rPr>
        <w:t xml:space="preserve">, </w:t>
      </w:r>
      <w:r w:rsidR="00EB6DFA" w:rsidRPr="009F1165">
        <w:rPr>
          <w:szCs w:val="22"/>
          <w:lang w:val="hu-HU"/>
        </w:rPr>
        <w:t>-</w:t>
      </w:r>
      <w:r w:rsidR="00D06D16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 xml:space="preserve">beleértve a </w:t>
      </w:r>
      <w:proofErr w:type="spellStart"/>
      <w:r w:rsidRPr="009F1165">
        <w:rPr>
          <w:szCs w:val="22"/>
          <w:lang w:val="hu-HU"/>
        </w:rPr>
        <w:t>moxifloxacint</w:t>
      </w:r>
      <w:proofErr w:type="spellEnd"/>
      <w:r w:rsidRPr="009F1165">
        <w:rPr>
          <w:szCs w:val="22"/>
          <w:lang w:val="hu-HU"/>
        </w:rPr>
        <w:t xml:space="preserve"> </w:t>
      </w:r>
      <w:r w:rsidR="00EB6DFA" w:rsidRPr="009F1165">
        <w:rPr>
          <w:szCs w:val="22"/>
          <w:lang w:val="hu-HU"/>
        </w:rPr>
        <w:t>is</w:t>
      </w:r>
      <w:r w:rsidR="00D06D16" w:rsidRPr="009F1165">
        <w:rPr>
          <w:szCs w:val="22"/>
          <w:lang w:val="hu-HU"/>
        </w:rPr>
        <w:t xml:space="preserve"> </w:t>
      </w:r>
      <w:r w:rsidR="00EB6DFA" w:rsidRPr="009F1165">
        <w:rPr>
          <w:szCs w:val="22"/>
          <w:lang w:val="hu-HU"/>
        </w:rPr>
        <w:t xml:space="preserve">-, </w:t>
      </w:r>
      <w:r w:rsidRPr="009F1165">
        <w:rPr>
          <w:szCs w:val="22"/>
          <w:lang w:val="hu-HU"/>
        </w:rPr>
        <w:t>károsodást okozhatnak fiatal állatok nagyobb ízületeinek porcfelszínén.</w:t>
      </w:r>
    </w:p>
    <w:p w14:paraId="57D4BE5F" w14:textId="77777777" w:rsidR="00A83D7D" w:rsidRPr="009F1165" w:rsidRDefault="00A83D7D" w:rsidP="009F1165">
      <w:pPr>
        <w:pStyle w:val="Szvegtrzsbehzssal"/>
        <w:tabs>
          <w:tab w:val="left" w:pos="567"/>
        </w:tabs>
        <w:spacing w:after="0"/>
        <w:ind w:left="0"/>
        <w:rPr>
          <w:szCs w:val="22"/>
          <w:lang w:val="hu-HU"/>
        </w:rPr>
      </w:pPr>
    </w:p>
    <w:p w14:paraId="17982379" w14:textId="77777777" w:rsidR="00A83D7D" w:rsidRPr="009F1165" w:rsidRDefault="00A83D7D" w:rsidP="009F1165">
      <w:pPr>
        <w:pStyle w:val="Szvegtrzsbehzssal"/>
        <w:tabs>
          <w:tab w:val="left" w:pos="567"/>
        </w:tabs>
        <w:spacing w:after="0"/>
        <w:ind w:left="0"/>
        <w:rPr>
          <w:szCs w:val="22"/>
          <w:lang w:val="hu-HU"/>
        </w:rPr>
      </w:pPr>
    </w:p>
    <w:p w14:paraId="42958E15" w14:textId="77777777" w:rsidR="00A83D7D" w:rsidRPr="009F1165" w:rsidRDefault="00A83D7D" w:rsidP="009F1165">
      <w:pPr>
        <w:keepNext/>
        <w:keepLines/>
        <w:ind w:left="567" w:hanging="567"/>
        <w:rPr>
          <w:b/>
          <w:szCs w:val="22"/>
          <w:lang w:val="hu-HU"/>
        </w:rPr>
      </w:pPr>
      <w:r w:rsidRPr="009F1165">
        <w:rPr>
          <w:b/>
          <w:szCs w:val="22"/>
          <w:lang w:val="hu-HU"/>
        </w:rPr>
        <w:t>6.</w:t>
      </w:r>
      <w:r w:rsidRPr="009F1165">
        <w:rPr>
          <w:b/>
          <w:szCs w:val="22"/>
          <w:lang w:val="hu-HU"/>
        </w:rPr>
        <w:tab/>
        <w:t>GYÓGYSZERÉSZETI JELLEMZŐK</w:t>
      </w:r>
    </w:p>
    <w:p w14:paraId="7E788D26" w14:textId="77777777" w:rsidR="00A83D7D" w:rsidRPr="009F1165" w:rsidRDefault="00A83D7D" w:rsidP="009F1165">
      <w:pPr>
        <w:keepNext/>
        <w:keepLines/>
        <w:rPr>
          <w:szCs w:val="22"/>
          <w:lang w:val="hu-HU"/>
        </w:rPr>
      </w:pPr>
    </w:p>
    <w:p w14:paraId="71CBDC9E" w14:textId="77777777" w:rsidR="00A83D7D" w:rsidRPr="009F1165" w:rsidRDefault="00A83D7D" w:rsidP="009F1165">
      <w:pPr>
        <w:keepNext/>
        <w:keepLines/>
        <w:ind w:left="567" w:hanging="567"/>
        <w:rPr>
          <w:b/>
          <w:szCs w:val="22"/>
          <w:lang w:val="hu-HU"/>
        </w:rPr>
      </w:pPr>
      <w:r w:rsidRPr="009F1165">
        <w:rPr>
          <w:b/>
          <w:szCs w:val="22"/>
          <w:lang w:val="hu-HU"/>
        </w:rPr>
        <w:t>6.1</w:t>
      </w:r>
      <w:r w:rsidRPr="009F1165">
        <w:rPr>
          <w:b/>
          <w:szCs w:val="22"/>
          <w:lang w:val="hu-HU"/>
        </w:rPr>
        <w:tab/>
        <w:t>Segédanyagok felsorolása</w:t>
      </w:r>
    </w:p>
    <w:p w14:paraId="34DB964E" w14:textId="77777777" w:rsidR="00A83D7D" w:rsidRPr="009F1165" w:rsidRDefault="00A83D7D" w:rsidP="009F1165">
      <w:pPr>
        <w:keepNext/>
        <w:keepLines/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</w:p>
    <w:p w14:paraId="67220061" w14:textId="77777777" w:rsidR="00A83D7D" w:rsidRPr="009F1165" w:rsidRDefault="00A83D7D" w:rsidP="009F1165">
      <w:pPr>
        <w:keepNext/>
        <w:keepLines/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  <w:proofErr w:type="gramStart"/>
      <w:r w:rsidRPr="009F1165">
        <w:rPr>
          <w:szCs w:val="22"/>
          <w:lang w:val="hu-HU"/>
        </w:rPr>
        <w:t>nátrium-klorid</w:t>
      </w:r>
      <w:proofErr w:type="gramEnd"/>
    </w:p>
    <w:p w14:paraId="1E758579" w14:textId="77777777" w:rsidR="00A83D7D" w:rsidRPr="009F1165" w:rsidRDefault="00141CEF" w:rsidP="009F1165">
      <w:pPr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1 N </w:t>
      </w:r>
      <w:r w:rsidR="00A83D7D" w:rsidRPr="009F1165">
        <w:rPr>
          <w:szCs w:val="22"/>
          <w:lang w:val="hu-HU"/>
        </w:rPr>
        <w:t>sósav (a pH beállítására)</w:t>
      </w:r>
    </w:p>
    <w:p w14:paraId="1D8E2C94" w14:textId="77777777" w:rsidR="00A83D7D" w:rsidRPr="009F1165" w:rsidRDefault="00141CEF" w:rsidP="009F1165">
      <w:pPr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2 N </w:t>
      </w:r>
      <w:r w:rsidR="00A83D7D" w:rsidRPr="009F1165">
        <w:rPr>
          <w:szCs w:val="22"/>
          <w:lang w:val="hu-HU"/>
        </w:rPr>
        <w:t xml:space="preserve">nátrium-hidroxid </w:t>
      </w:r>
      <w:r w:rsidRPr="009F1165">
        <w:rPr>
          <w:szCs w:val="22"/>
          <w:lang w:val="hu-HU"/>
        </w:rPr>
        <w:t xml:space="preserve">oldat </w:t>
      </w:r>
      <w:r w:rsidR="00A83D7D" w:rsidRPr="009F1165">
        <w:rPr>
          <w:szCs w:val="22"/>
          <w:lang w:val="hu-HU"/>
        </w:rPr>
        <w:t>(a pH beállítására)</w:t>
      </w:r>
    </w:p>
    <w:p w14:paraId="7250F763" w14:textId="77777777" w:rsidR="00A83D7D" w:rsidRPr="009F1165" w:rsidRDefault="00A83D7D" w:rsidP="009F1165">
      <w:pPr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  <w:proofErr w:type="gramStart"/>
      <w:r w:rsidRPr="009F1165">
        <w:rPr>
          <w:szCs w:val="22"/>
          <w:lang w:val="hu-HU"/>
        </w:rPr>
        <w:t>injekcióhoz</w:t>
      </w:r>
      <w:proofErr w:type="gramEnd"/>
      <w:r w:rsidRPr="009F1165">
        <w:rPr>
          <w:szCs w:val="22"/>
          <w:lang w:val="hu-HU"/>
        </w:rPr>
        <w:t xml:space="preserve"> való víz</w:t>
      </w:r>
    </w:p>
    <w:p w14:paraId="272F9810" w14:textId="77777777" w:rsidR="00A83D7D" w:rsidRPr="009F1165" w:rsidRDefault="00A83D7D" w:rsidP="009F1165">
      <w:pPr>
        <w:tabs>
          <w:tab w:val="left" w:pos="567"/>
          <w:tab w:val="left" w:pos="709"/>
          <w:tab w:val="left" w:pos="8264"/>
        </w:tabs>
        <w:rPr>
          <w:szCs w:val="22"/>
          <w:lang w:val="hu-HU"/>
        </w:rPr>
      </w:pPr>
    </w:p>
    <w:p w14:paraId="67E96478" w14:textId="77777777" w:rsidR="00A83D7D" w:rsidRPr="009F1165" w:rsidRDefault="00A83D7D" w:rsidP="009F1165">
      <w:pPr>
        <w:keepNext/>
        <w:keepLines/>
        <w:tabs>
          <w:tab w:val="left" w:pos="567"/>
          <w:tab w:val="left" w:pos="709"/>
          <w:tab w:val="left" w:pos="8264"/>
        </w:tabs>
        <w:rPr>
          <w:szCs w:val="22"/>
          <w:lang w:val="hu-HU"/>
        </w:rPr>
      </w:pPr>
      <w:r w:rsidRPr="009F1165">
        <w:rPr>
          <w:b/>
          <w:szCs w:val="22"/>
          <w:lang w:val="hu-HU"/>
        </w:rPr>
        <w:t>6.2</w:t>
      </w:r>
      <w:r w:rsidRPr="009F1165">
        <w:rPr>
          <w:b/>
          <w:szCs w:val="22"/>
          <w:lang w:val="hu-HU"/>
        </w:rPr>
        <w:tab/>
        <w:t>Inkompatibilitások</w:t>
      </w:r>
    </w:p>
    <w:p w14:paraId="7FC03472" w14:textId="77777777" w:rsidR="00A83D7D" w:rsidRPr="009F1165" w:rsidRDefault="00A83D7D" w:rsidP="009F1165">
      <w:pPr>
        <w:keepNext/>
        <w:keepLines/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</w:p>
    <w:p w14:paraId="0BA8E5FD" w14:textId="77777777" w:rsidR="00A83D7D" w:rsidRPr="009F1165" w:rsidRDefault="00A83D7D" w:rsidP="009F1165">
      <w:pPr>
        <w:keepNext/>
        <w:keepLines/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Az alábbi infúziós oldatok </w:t>
      </w:r>
      <w:proofErr w:type="gramStart"/>
      <w:r w:rsidRPr="009F1165">
        <w:rPr>
          <w:szCs w:val="22"/>
          <w:lang w:val="hu-HU"/>
        </w:rPr>
        <w:t>inkompatibilisek</w:t>
      </w:r>
      <w:proofErr w:type="gramEnd"/>
      <w:r w:rsidRPr="009F1165">
        <w:rPr>
          <w:szCs w:val="22"/>
          <w:lang w:val="hu-HU"/>
        </w:rPr>
        <w:t xml:space="preserve"> a </w:t>
      </w:r>
      <w:proofErr w:type="spellStart"/>
      <w:r w:rsidRPr="009F1165">
        <w:rPr>
          <w:szCs w:val="22"/>
          <w:lang w:val="hu-HU"/>
        </w:rPr>
        <w:t>moxifloxacin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oldatos</w:t>
      </w:r>
      <w:proofErr w:type="spellEnd"/>
      <w:r w:rsidRPr="009F1165">
        <w:rPr>
          <w:szCs w:val="22"/>
          <w:lang w:val="hu-HU"/>
        </w:rPr>
        <w:t xml:space="preserve"> infúzióval:</w:t>
      </w:r>
    </w:p>
    <w:p w14:paraId="698BD607" w14:textId="77777777" w:rsidR="00A83D7D" w:rsidRPr="009F1165" w:rsidRDefault="00A83D7D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r w:rsidRPr="009F1165">
        <w:rPr>
          <w:szCs w:val="22"/>
          <w:lang w:val="hu-HU"/>
        </w:rPr>
        <w:t>10%</w:t>
      </w:r>
      <w:r w:rsidR="009E030C" w:rsidRPr="009F1165">
        <w:rPr>
          <w:szCs w:val="22"/>
          <w:lang w:val="hu-HU"/>
        </w:rPr>
        <w:t>-</w:t>
      </w:r>
      <w:proofErr w:type="spellStart"/>
      <w:r w:rsidR="009E030C" w:rsidRPr="009F1165">
        <w:rPr>
          <w:szCs w:val="22"/>
          <w:lang w:val="hu-HU"/>
        </w:rPr>
        <w:t>os</w:t>
      </w:r>
      <w:proofErr w:type="spellEnd"/>
      <w:r w:rsidRPr="009F1165">
        <w:rPr>
          <w:szCs w:val="22"/>
          <w:lang w:val="hu-HU"/>
        </w:rPr>
        <w:t xml:space="preserve"> és 20</w:t>
      </w:r>
      <w:r w:rsidR="00D06D16" w:rsidRPr="009F1165">
        <w:rPr>
          <w:szCs w:val="22"/>
          <w:lang w:val="hu-HU"/>
        </w:rPr>
        <w:t>%</w:t>
      </w:r>
      <w:r w:rsidR="00D06D16" w:rsidRPr="009F1165">
        <w:rPr>
          <w:szCs w:val="22"/>
          <w:lang w:val="hu-HU"/>
        </w:rPr>
        <w:noBreakHyphen/>
      </w:r>
      <w:proofErr w:type="spellStart"/>
      <w:r w:rsidRPr="009F1165">
        <w:rPr>
          <w:szCs w:val="22"/>
          <w:lang w:val="hu-HU"/>
        </w:rPr>
        <w:t>os</w:t>
      </w:r>
      <w:proofErr w:type="spellEnd"/>
      <w:r w:rsidRPr="009F1165">
        <w:rPr>
          <w:szCs w:val="22"/>
          <w:lang w:val="hu-HU"/>
        </w:rPr>
        <w:t xml:space="preserve"> </w:t>
      </w:r>
      <w:r w:rsidR="00CE7E36" w:rsidRPr="009F1165">
        <w:rPr>
          <w:szCs w:val="22"/>
          <w:lang w:val="hu-HU"/>
        </w:rPr>
        <w:t xml:space="preserve">nátrium-klorid </w:t>
      </w:r>
      <w:r w:rsidRPr="009F1165">
        <w:rPr>
          <w:szCs w:val="22"/>
          <w:lang w:val="hu-HU"/>
        </w:rPr>
        <w:t>oldat</w:t>
      </w:r>
      <w:r w:rsidR="004C4714" w:rsidRPr="009F1165">
        <w:rPr>
          <w:szCs w:val="22"/>
          <w:lang w:val="hu-HU"/>
        </w:rPr>
        <w:t>;</w:t>
      </w:r>
    </w:p>
    <w:p w14:paraId="349EB072" w14:textId="77777777" w:rsidR="00A83D7D" w:rsidRPr="009F1165" w:rsidRDefault="00A83D7D" w:rsidP="00FC6329">
      <w:pPr>
        <w:keepNext/>
        <w:keepLines/>
        <w:numPr>
          <w:ilvl w:val="0"/>
          <w:numId w:val="19"/>
        </w:numPr>
        <w:tabs>
          <w:tab w:val="left" w:pos="567"/>
        </w:tabs>
        <w:ind w:left="567" w:hanging="567"/>
        <w:rPr>
          <w:szCs w:val="22"/>
          <w:lang w:val="hu-HU"/>
        </w:rPr>
      </w:pPr>
      <w:r w:rsidRPr="009F1165">
        <w:rPr>
          <w:szCs w:val="22"/>
          <w:lang w:val="hu-HU"/>
        </w:rPr>
        <w:t>4,2%</w:t>
      </w:r>
      <w:r w:rsidR="00D06D16" w:rsidRPr="009F1165">
        <w:rPr>
          <w:szCs w:val="22"/>
          <w:lang w:val="hu-HU"/>
        </w:rPr>
        <w:noBreakHyphen/>
      </w:r>
      <w:proofErr w:type="spellStart"/>
      <w:r w:rsidR="009E030C" w:rsidRPr="009F1165">
        <w:rPr>
          <w:szCs w:val="22"/>
          <w:lang w:val="hu-HU"/>
        </w:rPr>
        <w:t>os</w:t>
      </w:r>
      <w:proofErr w:type="spellEnd"/>
      <w:r w:rsidR="009E030C" w:rsidRPr="009F1165">
        <w:rPr>
          <w:szCs w:val="22"/>
          <w:lang w:val="hu-HU"/>
        </w:rPr>
        <w:t xml:space="preserve"> és </w:t>
      </w:r>
      <w:r w:rsidRPr="009F1165">
        <w:rPr>
          <w:szCs w:val="22"/>
          <w:lang w:val="hu-HU"/>
        </w:rPr>
        <w:t>8,4</w:t>
      </w:r>
      <w:r w:rsidR="00D06D16" w:rsidRPr="009F1165">
        <w:rPr>
          <w:szCs w:val="22"/>
          <w:lang w:val="hu-HU"/>
        </w:rPr>
        <w:t>%</w:t>
      </w:r>
      <w:r w:rsidR="00D06D16" w:rsidRPr="009F1165">
        <w:rPr>
          <w:szCs w:val="22"/>
          <w:lang w:val="hu-HU"/>
        </w:rPr>
        <w:noBreakHyphen/>
      </w:r>
      <w:proofErr w:type="spellStart"/>
      <w:r w:rsidRPr="009F1165">
        <w:rPr>
          <w:szCs w:val="22"/>
          <w:lang w:val="hu-HU"/>
        </w:rPr>
        <w:t>os</w:t>
      </w:r>
      <w:proofErr w:type="spellEnd"/>
      <w:r w:rsidRPr="009F1165">
        <w:rPr>
          <w:szCs w:val="22"/>
          <w:lang w:val="hu-HU"/>
        </w:rPr>
        <w:t xml:space="preserve"> </w:t>
      </w:r>
      <w:r w:rsidR="00CE7E36" w:rsidRPr="009F1165">
        <w:rPr>
          <w:szCs w:val="22"/>
          <w:lang w:val="hu-HU"/>
        </w:rPr>
        <w:t xml:space="preserve">nátrium-hidrogén-karbonát </w:t>
      </w:r>
      <w:r w:rsidRPr="009F1165">
        <w:rPr>
          <w:szCs w:val="22"/>
          <w:lang w:val="hu-HU"/>
        </w:rPr>
        <w:t>oldat.</w:t>
      </w:r>
    </w:p>
    <w:p w14:paraId="46E3E074" w14:textId="77777777" w:rsidR="004C4714" w:rsidRPr="009F1165" w:rsidRDefault="004C4714" w:rsidP="009F1165">
      <w:pPr>
        <w:tabs>
          <w:tab w:val="left" w:pos="567"/>
          <w:tab w:val="left" w:pos="1204"/>
          <w:tab w:val="left" w:pos="8264"/>
        </w:tabs>
        <w:rPr>
          <w:noProof/>
          <w:szCs w:val="22"/>
          <w:lang w:val="hu-HU"/>
        </w:rPr>
      </w:pPr>
    </w:p>
    <w:p w14:paraId="2F269038" w14:textId="77777777" w:rsidR="00A83D7D" w:rsidRPr="009F1165" w:rsidRDefault="00A83D7D" w:rsidP="009F1165">
      <w:pPr>
        <w:tabs>
          <w:tab w:val="left" w:pos="567"/>
          <w:tab w:val="left" w:pos="1204"/>
          <w:tab w:val="left" w:pos="8264"/>
        </w:tabs>
        <w:rPr>
          <w:noProof/>
          <w:szCs w:val="22"/>
          <w:lang w:val="hu-HU"/>
        </w:rPr>
      </w:pPr>
      <w:r w:rsidRPr="009F1165">
        <w:rPr>
          <w:noProof/>
          <w:szCs w:val="22"/>
          <w:lang w:val="hu-HU"/>
        </w:rPr>
        <w:t>Ez a gyógyszer kizárólag a 6.</w:t>
      </w:r>
      <w:r w:rsidR="00D06D16" w:rsidRPr="009F1165">
        <w:rPr>
          <w:noProof/>
          <w:szCs w:val="22"/>
          <w:lang w:val="hu-HU"/>
        </w:rPr>
        <w:t>6 </w:t>
      </w:r>
      <w:r w:rsidRPr="009F1165">
        <w:rPr>
          <w:noProof/>
          <w:szCs w:val="22"/>
          <w:lang w:val="hu-HU"/>
        </w:rPr>
        <w:t>pontban felsorolt gyógyszerekkel keverhető.</w:t>
      </w:r>
    </w:p>
    <w:p w14:paraId="75777228" w14:textId="77777777" w:rsidR="00A83D7D" w:rsidRPr="009F1165" w:rsidRDefault="00A83D7D" w:rsidP="009F1165">
      <w:pPr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</w:p>
    <w:p w14:paraId="0263631E" w14:textId="77777777" w:rsidR="00A83D7D" w:rsidRPr="009F1165" w:rsidRDefault="00A83D7D" w:rsidP="009F1165">
      <w:pPr>
        <w:pStyle w:val="WW-Szvegtrzs212"/>
        <w:keepNext/>
        <w:keepLines/>
        <w:spacing w:line="240" w:lineRule="auto"/>
        <w:rPr>
          <w:szCs w:val="22"/>
          <w:lang w:val="hu-HU"/>
        </w:rPr>
      </w:pPr>
      <w:r w:rsidRPr="009F1165">
        <w:rPr>
          <w:szCs w:val="22"/>
          <w:lang w:val="hu-HU"/>
        </w:rPr>
        <w:t>6.3</w:t>
      </w:r>
      <w:r w:rsidRPr="009F1165">
        <w:rPr>
          <w:szCs w:val="22"/>
          <w:lang w:val="hu-HU"/>
        </w:rPr>
        <w:tab/>
        <w:t>Felhasználhatósági időtartam</w:t>
      </w:r>
    </w:p>
    <w:p w14:paraId="39DE2FAB" w14:textId="77777777" w:rsidR="00A83D7D" w:rsidRPr="009F1165" w:rsidRDefault="00A83D7D" w:rsidP="009F1165">
      <w:pPr>
        <w:keepNext/>
        <w:keepLines/>
        <w:tabs>
          <w:tab w:val="left" w:pos="567"/>
          <w:tab w:val="left" w:pos="709"/>
          <w:tab w:val="left" w:pos="8264"/>
        </w:tabs>
        <w:rPr>
          <w:szCs w:val="22"/>
          <w:lang w:val="hu-HU"/>
        </w:rPr>
      </w:pPr>
    </w:p>
    <w:p w14:paraId="1BD78EB0" w14:textId="77777777" w:rsidR="00A83D7D" w:rsidRPr="009F1165" w:rsidRDefault="00A83D7D" w:rsidP="009F1165">
      <w:pPr>
        <w:keepNext/>
        <w:keepLines/>
        <w:tabs>
          <w:tab w:val="left" w:pos="1701"/>
          <w:tab w:val="left" w:pos="8264"/>
        </w:tabs>
        <w:ind w:left="1701" w:hanging="1701"/>
        <w:rPr>
          <w:szCs w:val="22"/>
          <w:lang w:val="hu-HU"/>
        </w:rPr>
      </w:pPr>
      <w:proofErr w:type="spellStart"/>
      <w:r w:rsidRPr="009F1165">
        <w:rPr>
          <w:szCs w:val="22"/>
          <w:lang w:val="hu-HU"/>
        </w:rPr>
        <w:t>Poliolefin</w:t>
      </w:r>
      <w:proofErr w:type="spellEnd"/>
      <w:r w:rsidRPr="009F1165">
        <w:rPr>
          <w:szCs w:val="22"/>
          <w:lang w:val="hu-HU"/>
        </w:rPr>
        <w:t xml:space="preserve"> zsák:</w:t>
      </w:r>
      <w:r w:rsidRPr="009F1165">
        <w:rPr>
          <w:szCs w:val="22"/>
          <w:lang w:val="hu-HU"/>
        </w:rPr>
        <w:tab/>
        <w:t>3 év</w:t>
      </w:r>
    </w:p>
    <w:p w14:paraId="3789BF11" w14:textId="77777777" w:rsidR="00A83D7D" w:rsidRPr="009F1165" w:rsidRDefault="00A83D7D" w:rsidP="009F1165">
      <w:pPr>
        <w:tabs>
          <w:tab w:val="left" w:pos="1701"/>
          <w:tab w:val="left" w:pos="8264"/>
        </w:tabs>
        <w:ind w:left="1701" w:hanging="1701"/>
        <w:rPr>
          <w:szCs w:val="22"/>
          <w:lang w:val="hu-HU"/>
        </w:rPr>
      </w:pPr>
      <w:r w:rsidRPr="009F1165">
        <w:rPr>
          <w:szCs w:val="22"/>
          <w:lang w:val="hu-HU"/>
        </w:rPr>
        <w:t>Infúziós üveg:</w:t>
      </w:r>
      <w:r w:rsidRPr="009F1165">
        <w:rPr>
          <w:szCs w:val="22"/>
          <w:lang w:val="hu-HU"/>
        </w:rPr>
        <w:tab/>
        <w:t>5 év</w:t>
      </w:r>
    </w:p>
    <w:p w14:paraId="3A73D3CE" w14:textId="77777777" w:rsidR="000E3FD7" w:rsidRPr="009F1165" w:rsidRDefault="000E3FD7" w:rsidP="009F1165">
      <w:pPr>
        <w:tabs>
          <w:tab w:val="left" w:pos="1701"/>
          <w:tab w:val="left" w:pos="8264"/>
        </w:tabs>
        <w:ind w:left="1701" w:hanging="1701"/>
        <w:rPr>
          <w:szCs w:val="22"/>
          <w:lang w:val="hu-HU"/>
        </w:rPr>
      </w:pPr>
    </w:p>
    <w:p w14:paraId="08915D81" w14:textId="77777777" w:rsidR="00A83D7D" w:rsidRPr="009F1165" w:rsidRDefault="00177759" w:rsidP="009F1165">
      <w:pPr>
        <w:tabs>
          <w:tab w:val="left" w:pos="567"/>
          <w:tab w:val="left" w:pos="709"/>
          <w:tab w:val="left" w:pos="8264"/>
        </w:tabs>
        <w:rPr>
          <w:szCs w:val="22"/>
          <w:lang w:val="hu-HU"/>
        </w:rPr>
      </w:pPr>
      <w:r w:rsidRPr="009F1165">
        <w:rPr>
          <w:szCs w:val="22"/>
          <w:lang w:val="hu-HU"/>
        </w:rPr>
        <w:t>F</w:t>
      </w:r>
      <w:r w:rsidR="00A83D7D" w:rsidRPr="009F1165">
        <w:rPr>
          <w:szCs w:val="22"/>
          <w:lang w:val="hu-HU"/>
        </w:rPr>
        <w:t>elbontás és/vagy hígítás után az infúziót azonnal fel kell használni.</w:t>
      </w:r>
    </w:p>
    <w:p w14:paraId="4BBCE545" w14:textId="77777777" w:rsidR="00A83D7D" w:rsidRPr="009F1165" w:rsidRDefault="00A83D7D" w:rsidP="009F1165">
      <w:pPr>
        <w:tabs>
          <w:tab w:val="left" w:pos="567"/>
          <w:tab w:val="left" w:pos="709"/>
          <w:tab w:val="left" w:pos="8264"/>
        </w:tabs>
        <w:rPr>
          <w:szCs w:val="22"/>
          <w:lang w:val="hu-HU"/>
        </w:rPr>
      </w:pPr>
    </w:p>
    <w:p w14:paraId="28B465E1" w14:textId="77777777" w:rsidR="00A83D7D" w:rsidRPr="009F1165" w:rsidRDefault="00A83D7D" w:rsidP="009F1165">
      <w:pPr>
        <w:pStyle w:val="WW-Szvegtrzs212"/>
        <w:keepNext/>
        <w:spacing w:line="240" w:lineRule="auto"/>
        <w:rPr>
          <w:szCs w:val="22"/>
          <w:lang w:val="hu-HU"/>
        </w:rPr>
      </w:pPr>
      <w:r w:rsidRPr="009F1165">
        <w:rPr>
          <w:szCs w:val="22"/>
          <w:lang w:val="hu-HU"/>
        </w:rPr>
        <w:lastRenderedPageBreak/>
        <w:t>6.4</w:t>
      </w:r>
      <w:r w:rsidRPr="009F1165">
        <w:rPr>
          <w:szCs w:val="22"/>
          <w:lang w:val="hu-HU"/>
        </w:rPr>
        <w:tab/>
        <w:t>Különleges tárolási előírások</w:t>
      </w:r>
    </w:p>
    <w:p w14:paraId="2BB52C1A" w14:textId="77777777" w:rsidR="00A83D7D" w:rsidRPr="009F1165" w:rsidRDefault="00A83D7D" w:rsidP="009F1165">
      <w:pPr>
        <w:keepNext/>
        <w:tabs>
          <w:tab w:val="left" w:pos="567"/>
          <w:tab w:val="left" w:pos="709"/>
          <w:tab w:val="left" w:pos="8264"/>
        </w:tabs>
        <w:rPr>
          <w:szCs w:val="22"/>
          <w:lang w:val="hu-HU"/>
        </w:rPr>
      </w:pPr>
    </w:p>
    <w:p w14:paraId="6069A03C" w14:textId="77777777" w:rsidR="007D608D" w:rsidRPr="009F1165" w:rsidRDefault="007D608D" w:rsidP="009F1165">
      <w:pPr>
        <w:rPr>
          <w:noProof/>
          <w:szCs w:val="22"/>
          <w:lang w:val="hu-HU"/>
        </w:rPr>
      </w:pPr>
      <w:r w:rsidRPr="009F1165">
        <w:rPr>
          <w:noProof/>
          <w:szCs w:val="22"/>
          <w:lang w:val="hu-HU"/>
        </w:rPr>
        <w:t xml:space="preserve">15°C alatt nem tárolható! </w:t>
      </w:r>
    </w:p>
    <w:p w14:paraId="4F34FFE1" w14:textId="77777777" w:rsidR="00DC3A34" w:rsidRPr="009F1165" w:rsidRDefault="00DC3A34" w:rsidP="009F1165">
      <w:pPr>
        <w:rPr>
          <w:noProof/>
          <w:szCs w:val="22"/>
          <w:lang w:val="hu-HU"/>
        </w:rPr>
      </w:pPr>
    </w:p>
    <w:p w14:paraId="3F492BA9" w14:textId="77777777" w:rsidR="00A83D7D" w:rsidRPr="009F1165" w:rsidRDefault="00A83D7D" w:rsidP="009F1165">
      <w:pPr>
        <w:pStyle w:val="WW-Szvegtrzs212"/>
        <w:keepNext/>
        <w:keepLines/>
        <w:spacing w:line="240" w:lineRule="auto"/>
        <w:rPr>
          <w:szCs w:val="22"/>
          <w:lang w:val="hu-HU"/>
        </w:rPr>
      </w:pPr>
      <w:r w:rsidRPr="009F1165">
        <w:rPr>
          <w:szCs w:val="22"/>
          <w:lang w:val="hu-HU"/>
        </w:rPr>
        <w:t>6.5</w:t>
      </w:r>
      <w:r w:rsidRPr="009F1165">
        <w:rPr>
          <w:szCs w:val="22"/>
          <w:lang w:val="hu-HU"/>
        </w:rPr>
        <w:tab/>
        <w:t>Csomagolás típusa és kiszerelése</w:t>
      </w:r>
    </w:p>
    <w:p w14:paraId="751CD2D3" w14:textId="77777777" w:rsidR="00A83D7D" w:rsidRPr="009F1165" w:rsidRDefault="00A83D7D" w:rsidP="009F1165">
      <w:pPr>
        <w:keepNext/>
        <w:keepLines/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</w:p>
    <w:p w14:paraId="6DD0E016" w14:textId="77777777" w:rsidR="006361BF" w:rsidRPr="009F1165" w:rsidRDefault="00A83D7D" w:rsidP="009F1165">
      <w:pPr>
        <w:pStyle w:val="WW-NormlWeb"/>
        <w:keepNext/>
        <w:keepLines/>
        <w:tabs>
          <w:tab w:val="left" w:pos="567"/>
          <w:tab w:val="left" w:pos="1204"/>
          <w:tab w:val="left" w:pos="8264"/>
        </w:tabs>
        <w:suppressAutoHyphens w:val="0"/>
        <w:spacing w:before="0" w:after="0" w:line="240" w:lineRule="auto"/>
        <w:rPr>
          <w:rFonts w:ascii="Times New Roman" w:eastAsia="Times New Roman" w:hAnsi="Times New Roman"/>
          <w:sz w:val="22"/>
          <w:szCs w:val="22"/>
          <w:lang w:eastAsia="hu-HU"/>
        </w:rPr>
      </w:pPr>
      <w:r w:rsidRPr="009F1165">
        <w:rPr>
          <w:rFonts w:ascii="Times New Roman" w:eastAsia="Times New Roman" w:hAnsi="Times New Roman"/>
          <w:sz w:val="22"/>
          <w:szCs w:val="22"/>
          <w:lang w:eastAsia="hu-HU"/>
        </w:rPr>
        <w:t xml:space="preserve">Polipropilén </w:t>
      </w:r>
      <w:r w:rsidR="00CE7E36" w:rsidRPr="009F1165">
        <w:rPr>
          <w:rFonts w:ascii="Times New Roman" w:eastAsia="Times New Roman" w:hAnsi="Times New Roman"/>
          <w:sz w:val="22"/>
          <w:szCs w:val="22"/>
          <w:lang w:eastAsia="hu-HU"/>
        </w:rPr>
        <w:t xml:space="preserve">csatlakozóval </w:t>
      </w:r>
      <w:r w:rsidRPr="009F1165">
        <w:rPr>
          <w:rFonts w:ascii="Times New Roman" w:eastAsia="Times New Roman" w:hAnsi="Times New Roman"/>
          <w:sz w:val="22"/>
          <w:szCs w:val="22"/>
          <w:lang w:eastAsia="hu-HU"/>
        </w:rPr>
        <w:t xml:space="preserve">ellátott </w:t>
      </w:r>
      <w:proofErr w:type="spellStart"/>
      <w:r w:rsidRPr="009F1165">
        <w:rPr>
          <w:rFonts w:ascii="Times New Roman" w:eastAsia="Times New Roman" w:hAnsi="Times New Roman"/>
          <w:sz w:val="22"/>
          <w:szCs w:val="22"/>
          <w:lang w:eastAsia="hu-HU"/>
        </w:rPr>
        <w:t>poliolefin</w:t>
      </w:r>
      <w:proofErr w:type="spellEnd"/>
      <w:r w:rsidRPr="009F1165">
        <w:rPr>
          <w:rFonts w:ascii="Times New Roman" w:eastAsia="Times New Roman" w:hAnsi="Times New Roman"/>
          <w:sz w:val="22"/>
          <w:szCs w:val="22"/>
          <w:lang w:eastAsia="hu-HU"/>
        </w:rPr>
        <w:t xml:space="preserve"> </w:t>
      </w:r>
      <w:r w:rsidR="006361BF" w:rsidRPr="009F1165">
        <w:rPr>
          <w:rFonts w:ascii="Times New Roman" w:eastAsia="Times New Roman" w:hAnsi="Times New Roman"/>
          <w:sz w:val="22"/>
          <w:szCs w:val="22"/>
          <w:lang w:eastAsia="hu-HU"/>
        </w:rPr>
        <w:t xml:space="preserve">infúziós </w:t>
      </w:r>
      <w:r w:rsidRPr="009F1165">
        <w:rPr>
          <w:rFonts w:ascii="Times New Roman" w:eastAsia="Times New Roman" w:hAnsi="Times New Roman"/>
          <w:sz w:val="22"/>
          <w:szCs w:val="22"/>
          <w:lang w:eastAsia="hu-HU"/>
        </w:rPr>
        <w:t xml:space="preserve">zsákok leforrasztott alufólia </w:t>
      </w:r>
      <w:r w:rsidR="007224F6" w:rsidRPr="009F1165">
        <w:rPr>
          <w:rFonts w:ascii="Times New Roman" w:eastAsia="Times New Roman" w:hAnsi="Times New Roman"/>
          <w:sz w:val="22"/>
          <w:szCs w:val="22"/>
          <w:lang w:eastAsia="hu-HU"/>
        </w:rPr>
        <w:t xml:space="preserve">infúziós </w:t>
      </w:r>
      <w:r w:rsidRPr="009F1165">
        <w:rPr>
          <w:rFonts w:ascii="Times New Roman" w:eastAsia="Times New Roman" w:hAnsi="Times New Roman"/>
          <w:sz w:val="22"/>
          <w:szCs w:val="22"/>
          <w:lang w:eastAsia="hu-HU"/>
        </w:rPr>
        <w:t>tasakban.</w:t>
      </w:r>
    </w:p>
    <w:p w14:paraId="01319A84" w14:textId="77777777" w:rsidR="006361BF" w:rsidRPr="009F1165" w:rsidRDefault="00A83D7D" w:rsidP="009F1165">
      <w:pPr>
        <w:pStyle w:val="WW-NormlWeb"/>
        <w:keepNext/>
        <w:keepLines/>
        <w:tabs>
          <w:tab w:val="left" w:pos="567"/>
          <w:tab w:val="left" w:pos="1204"/>
          <w:tab w:val="left" w:pos="8264"/>
        </w:tabs>
        <w:suppressAutoHyphens w:val="0"/>
        <w:spacing w:before="0" w:after="0" w:line="240" w:lineRule="auto"/>
        <w:rPr>
          <w:rFonts w:ascii="Times New Roman" w:eastAsia="Times New Roman" w:hAnsi="Times New Roman"/>
          <w:sz w:val="22"/>
          <w:szCs w:val="22"/>
          <w:lang w:eastAsia="hu-HU"/>
        </w:rPr>
      </w:pPr>
      <w:r w:rsidRPr="009F1165">
        <w:rPr>
          <w:rFonts w:ascii="Times New Roman" w:eastAsia="Times New Roman" w:hAnsi="Times New Roman"/>
          <w:sz w:val="22"/>
          <w:szCs w:val="22"/>
          <w:lang w:eastAsia="hu-HU"/>
        </w:rPr>
        <w:t>A 250 ml</w:t>
      </w:r>
      <w:r w:rsidR="00D06D16" w:rsidRPr="009F1165">
        <w:rPr>
          <w:rFonts w:ascii="Times New Roman" w:eastAsia="Times New Roman" w:hAnsi="Times New Roman"/>
          <w:sz w:val="22"/>
          <w:szCs w:val="22"/>
          <w:lang w:eastAsia="hu-HU"/>
        </w:rPr>
        <w:noBreakHyphen/>
      </w:r>
      <w:r w:rsidRPr="009F1165">
        <w:rPr>
          <w:rFonts w:ascii="Times New Roman" w:eastAsia="Times New Roman" w:hAnsi="Times New Roman"/>
          <w:sz w:val="22"/>
          <w:szCs w:val="22"/>
          <w:lang w:eastAsia="hu-HU"/>
        </w:rPr>
        <w:t>es kiszerelés</w:t>
      </w:r>
      <w:r w:rsidR="006361BF" w:rsidRPr="009F1165">
        <w:rPr>
          <w:rFonts w:ascii="Times New Roman" w:eastAsia="Times New Roman" w:hAnsi="Times New Roman"/>
          <w:sz w:val="22"/>
          <w:szCs w:val="22"/>
          <w:lang w:eastAsia="hu-HU"/>
        </w:rPr>
        <w:t xml:space="preserve">: </w:t>
      </w:r>
      <w:r w:rsidR="00D06D16" w:rsidRPr="009F1165">
        <w:rPr>
          <w:rFonts w:ascii="Times New Roman" w:eastAsia="Times New Roman" w:hAnsi="Times New Roman"/>
          <w:sz w:val="22"/>
          <w:szCs w:val="22"/>
          <w:lang w:eastAsia="hu-HU"/>
        </w:rPr>
        <w:t>5 </w:t>
      </w:r>
      <w:r w:rsidR="00EB0AA5" w:rsidRPr="009F1165">
        <w:rPr>
          <w:rFonts w:ascii="Times New Roman" w:eastAsia="Times New Roman" w:hAnsi="Times New Roman"/>
          <w:sz w:val="22"/>
          <w:szCs w:val="22"/>
          <w:lang w:eastAsia="hu-HU"/>
        </w:rPr>
        <w:t xml:space="preserve">db, </w:t>
      </w:r>
      <w:r w:rsidRPr="009F1165">
        <w:rPr>
          <w:rFonts w:ascii="Times New Roman" w:eastAsia="Times New Roman" w:hAnsi="Times New Roman"/>
          <w:sz w:val="22"/>
          <w:szCs w:val="22"/>
          <w:lang w:eastAsia="hu-HU"/>
        </w:rPr>
        <w:t>ill. 12 </w:t>
      </w:r>
      <w:r w:rsidR="00EB0AA5" w:rsidRPr="009F1165">
        <w:rPr>
          <w:rFonts w:ascii="Times New Roman" w:eastAsia="Times New Roman" w:hAnsi="Times New Roman"/>
          <w:sz w:val="22"/>
          <w:szCs w:val="22"/>
          <w:lang w:eastAsia="hu-HU"/>
        </w:rPr>
        <w:t xml:space="preserve">db </w:t>
      </w:r>
      <w:r w:rsidR="006361BF" w:rsidRPr="009F1165">
        <w:rPr>
          <w:rFonts w:ascii="Times New Roman" w:eastAsia="Times New Roman" w:hAnsi="Times New Roman"/>
          <w:sz w:val="22"/>
          <w:szCs w:val="22"/>
          <w:lang w:eastAsia="hu-HU"/>
        </w:rPr>
        <w:t xml:space="preserve">infúziós </w:t>
      </w:r>
      <w:r w:rsidRPr="009F1165">
        <w:rPr>
          <w:rFonts w:ascii="Times New Roman" w:eastAsia="Times New Roman" w:hAnsi="Times New Roman"/>
          <w:sz w:val="22"/>
          <w:szCs w:val="22"/>
          <w:lang w:eastAsia="hu-HU"/>
        </w:rPr>
        <w:t>zsák dobozban.</w:t>
      </w:r>
    </w:p>
    <w:p w14:paraId="67016A6E" w14:textId="77777777" w:rsidR="00A83D7D" w:rsidRPr="009F1165" w:rsidRDefault="00A83D7D" w:rsidP="009F1165">
      <w:pPr>
        <w:pStyle w:val="WW-NormlWeb"/>
        <w:keepNext/>
        <w:keepLines/>
        <w:tabs>
          <w:tab w:val="left" w:pos="567"/>
          <w:tab w:val="left" w:pos="1204"/>
          <w:tab w:val="left" w:pos="8264"/>
        </w:tabs>
        <w:suppressAutoHyphens w:val="0"/>
        <w:spacing w:before="0" w:after="0" w:line="240" w:lineRule="auto"/>
        <w:rPr>
          <w:rFonts w:ascii="Times New Roman" w:eastAsia="Times New Roman" w:hAnsi="Times New Roman"/>
          <w:sz w:val="22"/>
          <w:szCs w:val="22"/>
          <w:lang w:eastAsia="hu-HU"/>
        </w:rPr>
      </w:pPr>
    </w:p>
    <w:p w14:paraId="3C5CEBCF" w14:textId="77777777" w:rsidR="00CE7E36" w:rsidRPr="009F1165" w:rsidRDefault="00D06D16" w:rsidP="009F1165">
      <w:pPr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  <w:r w:rsidRPr="009F1165">
        <w:rPr>
          <w:szCs w:val="22"/>
          <w:lang w:val="hu-HU"/>
        </w:rPr>
        <w:t>250 </w:t>
      </w:r>
      <w:r w:rsidR="00A83D7D" w:rsidRPr="009F1165">
        <w:rPr>
          <w:szCs w:val="22"/>
          <w:lang w:val="hu-HU"/>
        </w:rPr>
        <w:t xml:space="preserve">ml töltettérfogatú, </w:t>
      </w:r>
      <w:proofErr w:type="spellStart"/>
      <w:r w:rsidR="00A83D7D" w:rsidRPr="009F1165">
        <w:rPr>
          <w:szCs w:val="22"/>
          <w:lang w:val="hu-HU"/>
        </w:rPr>
        <w:t>klórbutil</w:t>
      </w:r>
      <w:proofErr w:type="spellEnd"/>
      <w:r w:rsidR="00A83D7D" w:rsidRPr="009F1165">
        <w:rPr>
          <w:szCs w:val="22"/>
          <w:lang w:val="hu-HU"/>
        </w:rPr>
        <w:t xml:space="preserve"> </w:t>
      </w:r>
      <w:r w:rsidR="002B732F" w:rsidRPr="009F1165">
        <w:rPr>
          <w:szCs w:val="22"/>
          <w:lang w:val="hu-HU"/>
        </w:rPr>
        <w:t xml:space="preserve">vagy </w:t>
      </w:r>
      <w:proofErr w:type="spellStart"/>
      <w:r w:rsidR="002B732F" w:rsidRPr="009F1165">
        <w:rPr>
          <w:szCs w:val="22"/>
          <w:lang w:val="hu-HU"/>
        </w:rPr>
        <w:t>brómbutil</w:t>
      </w:r>
      <w:proofErr w:type="spellEnd"/>
      <w:r w:rsidR="002B732F" w:rsidRPr="009F1165">
        <w:rPr>
          <w:szCs w:val="22"/>
          <w:lang w:val="hu-HU"/>
        </w:rPr>
        <w:t xml:space="preserve"> </w:t>
      </w:r>
      <w:r w:rsidR="00A83D7D" w:rsidRPr="009F1165">
        <w:rPr>
          <w:szCs w:val="22"/>
          <w:lang w:val="hu-HU"/>
        </w:rPr>
        <w:t>gumidugóval lezárt színtelen infúziós üveg (2</w:t>
      </w:r>
      <w:r w:rsidRPr="009F1165">
        <w:rPr>
          <w:szCs w:val="22"/>
          <w:lang w:val="hu-HU"/>
        </w:rPr>
        <w:noBreakHyphen/>
      </w:r>
      <w:r w:rsidR="00A83D7D" w:rsidRPr="009F1165">
        <w:rPr>
          <w:szCs w:val="22"/>
          <w:lang w:val="hu-HU"/>
        </w:rPr>
        <w:t>es típus).</w:t>
      </w:r>
      <w:r w:rsidR="00D97F8B" w:rsidRPr="009F1165">
        <w:rPr>
          <w:szCs w:val="22"/>
          <w:lang w:val="hu-HU"/>
        </w:rPr>
        <w:t xml:space="preserve"> </w:t>
      </w:r>
    </w:p>
    <w:p w14:paraId="53CF2E14" w14:textId="77777777" w:rsidR="00A83D7D" w:rsidRPr="009F1165" w:rsidRDefault="00CE7E36" w:rsidP="009F1165">
      <w:pPr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</w:t>
      </w:r>
      <w:r w:rsidR="00A83D7D" w:rsidRPr="009F1165">
        <w:rPr>
          <w:szCs w:val="22"/>
          <w:lang w:val="hu-HU" w:eastAsia="hu-HU"/>
        </w:rPr>
        <w:t>250 ml-es kiszerelés</w:t>
      </w:r>
      <w:r w:rsidR="006361BF" w:rsidRPr="009F1165">
        <w:rPr>
          <w:szCs w:val="22"/>
          <w:lang w:val="hu-HU" w:eastAsia="hu-HU"/>
        </w:rPr>
        <w:t>:</w:t>
      </w:r>
      <w:r w:rsidR="00D06D16" w:rsidRPr="009F1165">
        <w:rPr>
          <w:szCs w:val="22"/>
          <w:lang w:val="hu-HU" w:eastAsia="hu-HU"/>
        </w:rPr>
        <w:t>1 </w:t>
      </w:r>
      <w:r w:rsidR="00EB0AA5" w:rsidRPr="009F1165">
        <w:rPr>
          <w:szCs w:val="22"/>
          <w:lang w:val="hu-HU" w:eastAsia="hu-HU"/>
        </w:rPr>
        <w:t>db</w:t>
      </w:r>
      <w:r w:rsidR="00AA3AEE" w:rsidRPr="009F1165">
        <w:rPr>
          <w:szCs w:val="22"/>
          <w:lang w:val="hu-HU" w:eastAsia="hu-HU"/>
        </w:rPr>
        <w:t xml:space="preserve"> </w:t>
      </w:r>
      <w:r w:rsidR="0063560B" w:rsidRPr="009F1165">
        <w:rPr>
          <w:szCs w:val="22"/>
          <w:lang w:val="hu-HU" w:eastAsia="hu-HU"/>
        </w:rPr>
        <w:t xml:space="preserve">infúziós üveg </w:t>
      </w:r>
      <w:r w:rsidR="00AA3AEE" w:rsidRPr="009F1165">
        <w:rPr>
          <w:szCs w:val="22"/>
          <w:lang w:val="hu-HU" w:eastAsia="hu-HU"/>
        </w:rPr>
        <w:t>dobozban és</w:t>
      </w:r>
      <w:r w:rsidR="00A83D7D" w:rsidRPr="009F1165">
        <w:rPr>
          <w:szCs w:val="22"/>
          <w:lang w:val="hu-HU" w:eastAsia="hu-HU"/>
        </w:rPr>
        <w:t xml:space="preserve"> 5 </w:t>
      </w:r>
      <w:r w:rsidR="00EB0AA5" w:rsidRPr="009F1165">
        <w:rPr>
          <w:szCs w:val="22"/>
          <w:lang w:val="hu-HU" w:eastAsia="hu-HU"/>
        </w:rPr>
        <w:t xml:space="preserve">db </w:t>
      </w:r>
      <w:r w:rsidR="00AA3AEE" w:rsidRPr="009F1165">
        <w:rPr>
          <w:szCs w:val="22"/>
          <w:lang w:val="hu-HU" w:eastAsia="hu-HU"/>
        </w:rPr>
        <w:t xml:space="preserve">(5x1 db) </w:t>
      </w:r>
      <w:r w:rsidR="00EB0AA5" w:rsidRPr="009F1165">
        <w:rPr>
          <w:szCs w:val="22"/>
          <w:lang w:val="hu-HU" w:eastAsia="hu-HU"/>
        </w:rPr>
        <w:t xml:space="preserve">infúziós </w:t>
      </w:r>
      <w:r w:rsidR="00FE1ADC" w:rsidRPr="009F1165">
        <w:rPr>
          <w:szCs w:val="22"/>
          <w:lang w:val="hu-HU" w:eastAsia="hu-HU"/>
        </w:rPr>
        <w:t>üveg</w:t>
      </w:r>
      <w:r w:rsidR="00AA3AEE" w:rsidRPr="009F1165">
        <w:rPr>
          <w:szCs w:val="22"/>
          <w:lang w:val="hu-HU" w:eastAsia="hu-HU"/>
        </w:rPr>
        <w:t xml:space="preserve"> gyűjtőcsomagolásban.</w:t>
      </w:r>
    </w:p>
    <w:p w14:paraId="4E2792DA" w14:textId="77777777" w:rsidR="00A83D7D" w:rsidRPr="009F1165" w:rsidRDefault="00A83D7D" w:rsidP="009F1165">
      <w:pPr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</w:p>
    <w:p w14:paraId="5F398A03" w14:textId="77777777" w:rsidR="00A83D7D" w:rsidRPr="009F1165" w:rsidRDefault="00A83D7D" w:rsidP="009F1165">
      <w:pPr>
        <w:tabs>
          <w:tab w:val="left" w:pos="567"/>
          <w:tab w:val="left" w:pos="1204"/>
          <w:tab w:val="left" w:pos="8264"/>
        </w:tabs>
        <w:rPr>
          <w:bCs/>
          <w:szCs w:val="22"/>
          <w:lang w:val="hu-HU"/>
        </w:rPr>
      </w:pPr>
      <w:r w:rsidRPr="009F1165">
        <w:rPr>
          <w:bCs/>
          <w:szCs w:val="22"/>
          <w:lang w:val="hu-HU"/>
        </w:rPr>
        <w:t>Nem feltétlenül mindegyik kiszerelés kerül kereskedelmi forgalomba.</w:t>
      </w:r>
    </w:p>
    <w:p w14:paraId="3D70869B" w14:textId="77777777" w:rsidR="00A83D7D" w:rsidRPr="009F1165" w:rsidRDefault="00A83D7D" w:rsidP="009F1165">
      <w:pPr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</w:p>
    <w:p w14:paraId="20E8C945" w14:textId="77777777" w:rsidR="00A83D7D" w:rsidRPr="009F1165" w:rsidRDefault="00A83D7D" w:rsidP="009F1165">
      <w:pPr>
        <w:pStyle w:val="WW-Szvegtrzs212"/>
        <w:keepNext/>
        <w:keepLines/>
        <w:spacing w:line="240" w:lineRule="auto"/>
        <w:rPr>
          <w:szCs w:val="22"/>
          <w:lang w:val="hu-HU"/>
        </w:rPr>
      </w:pPr>
      <w:r w:rsidRPr="009F1165">
        <w:rPr>
          <w:szCs w:val="22"/>
          <w:lang w:val="hu-HU"/>
        </w:rPr>
        <w:t>6.6</w:t>
      </w:r>
      <w:r w:rsidRPr="009F1165">
        <w:rPr>
          <w:szCs w:val="22"/>
          <w:lang w:val="hu-HU"/>
        </w:rPr>
        <w:tab/>
      </w:r>
      <w:r w:rsidRPr="009F1165">
        <w:rPr>
          <w:noProof/>
          <w:szCs w:val="22"/>
          <w:lang w:val="hu-HU"/>
        </w:rPr>
        <w:t>A megsemmisítésre vonatkozó különleges óvintézkedések</w:t>
      </w:r>
      <w:r w:rsidRPr="009F1165">
        <w:rPr>
          <w:szCs w:val="22"/>
          <w:lang w:val="hu-HU"/>
        </w:rPr>
        <w:t xml:space="preserve"> </w:t>
      </w:r>
      <w:r w:rsidRPr="009F1165">
        <w:rPr>
          <w:noProof/>
          <w:szCs w:val="22"/>
          <w:lang w:val="hu-HU"/>
        </w:rPr>
        <w:t>és egyéb, a készítmény kezelésével kapcsolatos információk</w:t>
      </w:r>
    </w:p>
    <w:p w14:paraId="1D7E1131" w14:textId="77777777" w:rsidR="00A83D7D" w:rsidRPr="009F1165" w:rsidRDefault="00A83D7D" w:rsidP="009F1165">
      <w:pPr>
        <w:keepNext/>
        <w:keepLines/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</w:p>
    <w:p w14:paraId="08665654" w14:textId="77777777" w:rsidR="00A83D7D" w:rsidRPr="009F1165" w:rsidRDefault="00A83D7D" w:rsidP="009F1165">
      <w:pPr>
        <w:keepNext/>
        <w:keepLines/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Ez a gyógyszer kizárólag egyszeri </w:t>
      </w:r>
      <w:r w:rsidR="002763C1">
        <w:rPr>
          <w:szCs w:val="22"/>
          <w:lang w:val="hu-HU"/>
        </w:rPr>
        <w:t>alkalmazásra</w:t>
      </w:r>
      <w:r w:rsidR="002763C1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 xml:space="preserve">szolgál. </w:t>
      </w:r>
      <w:r w:rsidR="002763C1" w:rsidRPr="004814CA">
        <w:rPr>
          <w:szCs w:val="22"/>
          <w:lang w:val="hu-HU"/>
        </w:rPr>
        <w:t xml:space="preserve">A fel nem használt </w:t>
      </w:r>
      <w:r w:rsidRPr="009F1165">
        <w:rPr>
          <w:szCs w:val="22"/>
          <w:lang w:val="hu-HU"/>
        </w:rPr>
        <w:t>oldatot meg kell semmisíteni.</w:t>
      </w:r>
    </w:p>
    <w:p w14:paraId="590A799B" w14:textId="77777777" w:rsidR="00726793" w:rsidRDefault="00726793" w:rsidP="009F1165">
      <w:pPr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</w:p>
    <w:p w14:paraId="01E805C8" w14:textId="77777777" w:rsidR="00A83D7D" w:rsidRPr="009F1165" w:rsidRDefault="00A83D7D" w:rsidP="009F1165">
      <w:pPr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A következő infúziós oldatok bizonyultak </w:t>
      </w:r>
      <w:proofErr w:type="gramStart"/>
      <w:r w:rsidRPr="009F1165">
        <w:rPr>
          <w:szCs w:val="22"/>
          <w:lang w:val="hu-HU"/>
        </w:rPr>
        <w:t>kompatibilisnek</w:t>
      </w:r>
      <w:proofErr w:type="gramEnd"/>
      <w:r w:rsidRPr="009F1165">
        <w:rPr>
          <w:szCs w:val="22"/>
          <w:lang w:val="hu-HU"/>
        </w:rPr>
        <w:t xml:space="preserve"> a 400 mg </w:t>
      </w:r>
      <w:proofErr w:type="spellStart"/>
      <w:r w:rsidR="00CE7E36" w:rsidRPr="009F1165">
        <w:rPr>
          <w:szCs w:val="22"/>
          <w:lang w:val="hu-HU"/>
        </w:rPr>
        <w:t>moxifloxacin</w:t>
      </w:r>
      <w:proofErr w:type="spellEnd"/>
      <w:r w:rsidR="00CE7E36" w:rsidRPr="009F1165">
        <w:rPr>
          <w:szCs w:val="22"/>
          <w:lang w:val="hu-HU"/>
        </w:rPr>
        <w:t xml:space="preserve"> </w:t>
      </w:r>
      <w:r w:rsidRPr="009F1165">
        <w:rPr>
          <w:szCs w:val="22"/>
          <w:lang w:val="hu-HU"/>
        </w:rPr>
        <w:t>infúziós oldattal:</w:t>
      </w:r>
    </w:p>
    <w:p w14:paraId="3D326E4C" w14:textId="77777777" w:rsidR="00A83D7D" w:rsidRPr="009F1165" w:rsidRDefault="00CE7E36" w:rsidP="009F1165">
      <w:pPr>
        <w:pStyle w:val="Szvegtrzs3"/>
        <w:tabs>
          <w:tab w:val="left" w:pos="567"/>
        </w:tabs>
        <w:spacing w:after="0"/>
        <w:rPr>
          <w:sz w:val="22"/>
          <w:szCs w:val="22"/>
          <w:lang w:val="hu-HU"/>
        </w:rPr>
      </w:pPr>
      <w:proofErr w:type="gramStart"/>
      <w:r w:rsidRPr="009F1165">
        <w:rPr>
          <w:sz w:val="22"/>
          <w:szCs w:val="22"/>
          <w:lang w:val="hu-HU"/>
        </w:rPr>
        <w:t>i</w:t>
      </w:r>
      <w:r w:rsidR="00A83D7D" w:rsidRPr="009F1165">
        <w:rPr>
          <w:sz w:val="22"/>
          <w:szCs w:val="22"/>
          <w:lang w:val="hu-HU"/>
        </w:rPr>
        <w:t>njekcióhoz</w:t>
      </w:r>
      <w:proofErr w:type="gramEnd"/>
      <w:r w:rsidR="00A83D7D" w:rsidRPr="009F1165">
        <w:rPr>
          <w:sz w:val="22"/>
          <w:szCs w:val="22"/>
          <w:lang w:val="hu-HU"/>
        </w:rPr>
        <w:t xml:space="preserve"> való víz, 0,9</w:t>
      </w:r>
      <w:r w:rsidR="00D06D16" w:rsidRPr="009F1165">
        <w:rPr>
          <w:sz w:val="22"/>
          <w:szCs w:val="22"/>
          <w:lang w:val="hu-HU"/>
        </w:rPr>
        <w:t>%</w:t>
      </w:r>
      <w:r w:rsidR="00D06D16" w:rsidRPr="009F1165">
        <w:rPr>
          <w:sz w:val="22"/>
          <w:szCs w:val="22"/>
          <w:lang w:val="hu-HU"/>
        </w:rPr>
        <w:noBreakHyphen/>
      </w:r>
      <w:proofErr w:type="spellStart"/>
      <w:r w:rsidR="00A83D7D" w:rsidRPr="009F1165">
        <w:rPr>
          <w:sz w:val="22"/>
          <w:szCs w:val="22"/>
          <w:lang w:val="hu-HU"/>
        </w:rPr>
        <w:t>os</w:t>
      </w:r>
      <w:proofErr w:type="spellEnd"/>
      <w:r w:rsidR="00A83D7D" w:rsidRPr="009F1165">
        <w:rPr>
          <w:sz w:val="22"/>
          <w:szCs w:val="22"/>
          <w:lang w:val="hu-HU"/>
        </w:rPr>
        <w:t xml:space="preserve"> nátrium-klorid oldat, 1 mólos nátrium-klorid oldat, 5%/10%/40</w:t>
      </w:r>
      <w:r w:rsidR="00D06D16" w:rsidRPr="009F1165">
        <w:rPr>
          <w:sz w:val="22"/>
          <w:szCs w:val="22"/>
          <w:lang w:val="hu-HU"/>
        </w:rPr>
        <w:t>%</w:t>
      </w:r>
      <w:r w:rsidR="00D06D16" w:rsidRPr="009F1165">
        <w:rPr>
          <w:sz w:val="22"/>
          <w:szCs w:val="22"/>
          <w:lang w:val="hu-HU"/>
        </w:rPr>
        <w:noBreakHyphen/>
      </w:r>
      <w:proofErr w:type="spellStart"/>
      <w:r w:rsidR="00A83D7D" w:rsidRPr="009F1165">
        <w:rPr>
          <w:sz w:val="22"/>
          <w:szCs w:val="22"/>
          <w:lang w:val="hu-HU"/>
        </w:rPr>
        <w:t>os</w:t>
      </w:r>
      <w:proofErr w:type="spellEnd"/>
      <w:r w:rsidR="00A83D7D" w:rsidRPr="009F1165">
        <w:rPr>
          <w:sz w:val="22"/>
          <w:szCs w:val="22"/>
          <w:lang w:val="hu-HU"/>
        </w:rPr>
        <w:t xml:space="preserve"> glükóz oldat, 20</w:t>
      </w:r>
      <w:r w:rsidR="00D06D16" w:rsidRPr="009F1165">
        <w:rPr>
          <w:sz w:val="22"/>
          <w:szCs w:val="22"/>
          <w:lang w:val="hu-HU"/>
        </w:rPr>
        <w:t>%</w:t>
      </w:r>
      <w:r w:rsidR="00D06D16" w:rsidRPr="009F1165">
        <w:rPr>
          <w:sz w:val="22"/>
          <w:szCs w:val="22"/>
          <w:lang w:val="hu-HU"/>
        </w:rPr>
        <w:noBreakHyphen/>
      </w:r>
      <w:proofErr w:type="spellStart"/>
      <w:r w:rsidR="00A83D7D" w:rsidRPr="009F1165">
        <w:rPr>
          <w:sz w:val="22"/>
          <w:szCs w:val="22"/>
          <w:lang w:val="hu-HU"/>
        </w:rPr>
        <w:t>os</w:t>
      </w:r>
      <w:proofErr w:type="spellEnd"/>
      <w:r w:rsidR="00A83D7D" w:rsidRPr="009F1165">
        <w:rPr>
          <w:sz w:val="22"/>
          <w:szCs w:val="22"/>
          <w:lang w:val="hu-HU"/>
        </w:rPr>
        <w:t xml:space="preserve"> </w:t>
      </w:r>
      <w:proofErr w:type="spellStart"/>
      <w:r w:rsidR="00A83D7D" w:rsidRPr="009F1165">
        <w:rPr>
          <w:sz w:val="22"/>
          <w:szCs w:val="22"/>
          <w:lang w:val="hu-HU"/>
        </w:rPr>
        <w:t>xilit</w:t>
      </w:r>
      <w:proofErr w:type="spellEnd"/>
      <w:r w:rsidR="00A83D7D" w:rsidRPr="009F1165">
        <w:rPr>
          <w:sz w:val="22"/>
          <w:szCs w:val="22"/>
          <w:lang w:val="hu-HU"/>
        </w:rPr>
        <w:t xml:space="preserve"> oldat, </w:t>
      </w:r>
      <w:proofErr w:type="spellStart"/>
      <w:r w:rsidR="00A83D7D" w:rsidRPr="009F1165">
        <w:rPr>
          <w:sz w:val="22"/>
          <w:szCs w:val="22"/>
          <w:lang w:val="hu-HU"/>
        </w:rPr>
        <w:t>Ringer</w:t>
      </w:r>
      <w:proofErr w:type="spellEnd"/>
      <w:r w:rsidR="00A83D7D" w:rsidRPr="009F1165">
        <w:rPr>
          <w:sz w:val="22"/>
          <w:szCs w:val="22"/>
          <w:lang w:val="hu-HU"/>
        </w:rPr>
        <w:t xml:space="preserve"> oldat, összetett nátrium-laktát oldat (Hartmann oldat, </w:t>
      </w:r>
      <w:proofErr w:type="spellStart"/>
      <w:r w:rsidR="00A83D7D" w:rsidRPr="009F1165">
        <w:rPr>
          <w:sz w:val="22"/>
          <w:szCs w:val="22"/>
          <w:lang w:val="hu-HU"/>
        </w:rPr>
        <w:t>Ringer</w:t>
      </w:r>
      <w:proofErr w:type="spellEnd"/>
      <w:r w:rsidR="009E030C" w:rsidRPr="009F1165">
        <w:rPr>
          <w:sz w:val="22"/>
          <w:szCs w:val="22"/>
          <w:lang w:val="hu-HU"/>
        </w:rPr>
        <w:noBreakHyphen/>
      </w:r>
      <w:r w:rsidR="00A83D7D" w:rsidRPr="009F1165">
        <w:rPr>
          <w:sz w:val="22"/>
          <w:szCs w:val="22"/>
          <w:lang w:val="hu-HU"/>
        </w:rPr>
        <w:t>laktát oldat).</w:t>
      </w:r>
    </w:p>
    <w:p w14:paraId="52BE2CA2" w14:textId="77777777" w:rsidR="00A83D7D" w:rsidRPr="009F1165" w:rsidRDefault="00A83D7D" w:rsidP="009F1165">
      <w:pPr>
        <w:pStyle w:val="Szvegtrzs3"/>
        <w:tabs>
          <w:tab w:val="left" w:pos="567"/>
        </w:tabs>
        <w:spacing w:after="0"/>
        <w:rPr>
          <w:sz w:val="22"/>
          <w:szCs w:val="22"/>
          <w:lang w:val="hu-HU"/>
        </w:rPr>
      </w:pPr>
      <w:r w:rsidRPr="009F1165">
        <w:rPr>
          <w:sz w:val="22"/>
          <w:szCs w:val="22"/>
          <w:lang w:val="hu-HU"/>
        </w:rPr>
        <w:t xml:space="preserve">A </w:t>
      </w:r>
      <w:proofErr w:type="spellStart"/>
      <w:r w:rsidRPr="009F1165">
        <w:rPr>
          <w:sz w:val="22"/>
          <w:szCs w:val="22"/>
          <w:lang w:val="hu-HU"/>
        </w:rPr>
        <w:t>moxifloxacin</w:t>
      </w:r>
      <w:proofErr w:type="spellEnd"/>
      <w:r w:rsidRPr="009F1165">
        <w:rPr>
          <w:sz w:val="22"/>
          <w:szCs w:val="22"/>
          <w:lang w:val="hu-HU"/>
        </w:rPr>
        <w:t xml:space="preserve"> </w:t>
      </w:r>
      <w:proofErr w:type="spellStart"/>
      <w:r w:rsidRPr="009F1165">
        <w:rPr>
          <w:sz w:val="22"/>
          <w:szCs w:val="22"/>
          <w:lang w:val="hu-HU"/>
        </w:rPr>
        <w:t>oldatos</w:t>
      </w:r>
      <w:proofErr w:type="spellEnd"/>
      <w:r w:rsidRPr="009F1165">
        <w:rPr>
          <w:sz w:val="22"/>
          <w:szCs w:val="22"/>
          <w:lang w:val="hu-HU"/>
        </w:rPr>
        <w:t xml:space="preserve"> infúzió nem </w:t>
      </w:r>
      <w:proofErr w:type="spellStart"/>
      <w:r w:rsidRPr="009F1165">
        <w:rPr>
          <w:sz w:val="22"/>
          <w:szCs w:val="22"/>
          <w:lang w:val="hu-HU"/>
        </w:rPr>
        <w:t>infundálható</w:t>
      </w:r>
      <w:proofErr w:type="spellEnd"/>
      <w:r w:rsidRPr="009F1165">
        <w:rPr>
          <w:sz w:val="22"/>
          <w:szCs w:val="22"/>
          <w:lang w:val="hu-HU"/>
        </w:rPr>
        <w:t xml:space="preserve"> együtt egyéb gyógyszerekkel.</w:t>
      </w:r>
    </w:p>
    <w:p w14:paraId="64C31738" w14:textId="77777777" w:rsidR="00A83D7D" w:rsidRPr="009F1165" w:rsidRDefault="00A83D7D" w:rsidP="009F1165">
      <w:pPr>
        <w:tabs>
          <w:tab w:val="left" w:pos="567"/>
          <w:tab w:val="left" w:pos="709"/>
          <w:tab w:val="left" w:pos="8264"/>
        </w:tabs>
        <w:rPr>
          <w:szCs w:val="22"/>
          <w:lang w:val="hu-HU"/>
        </w:rPr>
      </w:pPr>
      <w:r w:rsidRPr="009F1165">
        <w:rPr>
          <w:szCs w:val="22"/>
          <w:lang w:val="hu-HU"/>
        </w:rPr>
        <w:t>Ne használja fel az oldatot, ha abban bármilyen látható részecske van, vagy ha az oldat zavaros.</w:t>
      </w:r>
    </w:p>
    <w:p w14:paraId="2B5EAD6A" w14:textId="77777777" w:rsidR="00A83D7D" w:rsidRPr="009F1165" w:rsidRDefault="00A83D7D" w:rsidP="009F1165">
      <w:pPr>
        <w:tabs>
          <w:tab w:val="left" w:pos="567"/>
          <w:tab w:val="left" w:pos="709"/>
          <w:tab w:val="left" w:pos="8264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Hűvös helyen tárolva kicsapódás jelentkezhet, ami azonban szobahőmérsékleten újra feloldódik. Ezért nem javasolt az </w:t>
      </w:r>
      <w:proofErr w:type="spellStart"/>
      <w:r w:rsidRPr="009F1165">
        <w:rPr>
          <w:szCs w:val="22"/>
          <w:lang w:val="hu-HU"/>
        </w:rPr>
        <w:t>oldatos</w:t>
      </w:r>
      <w:proofErr w:type="spellEnd"/>
      <w:r w:rsidRPr="009F1165">
        <w:rPr>
          <w:szCs w:val="22"/>
          <w:lang w:val="hu-HU"/>
        </w:rPr>
        <w:t xml:space="preserve"> infúziót </w:t>
      </w:r>
      <w:smartTag w:uri="urn:schemas-microsoft-com:office:smarttags" w:element="metricconverter">
        <w:smartTagPr>
          <w:attr w:name="ProductID" w:val="15ﾰC"/>
        </w:smartTagPr>
        <w:r w:rsidR="002B732F" w:rsidRPr="009F1165">
          <w:rPr>
            <w:szCs w:val="22"/>
            <w:lang w:val="hu-HU"/>
          </w:rPr>
          <w:t>15°C</w:t>
        </w:r>
      </w:smartTag>
      <w:r w:rsidR="002B732F" w:rsidRPr="009F1165">
        <w:rPr>
          <w:szCs w:val="22"/>
          <w:lang w:val="hu-HU"/>
        </w:rPr>
        <w:t xml:space="preserve"> alatt </w:t>
      </w:r>
      <w:r w:rsidRPr="009F1165">
        <w:rPr>
          <w:szCs w:val="22"/>
          <w:lang w:val="hu-HU"/>
        </w:rPr>
        <w:t>tárolni.</w:t>
      </w:r>
    </w:p>
    <w:p w14:paraId="6A2F8ED3" w14:textId="77777777" w:rsidR="00A83D7D" w:rsidRPr="009F1165" w:rsidRDefault="00A83D7D" w:rsidP="009F1165">
      <w:pPr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</w:p>
    <w:p w14:paraId="3D873441" w14:textId="77777777" w:rsidR="004C4714" w:rsidRPr="009F1165" w:rsidRDefault="004C4714" w:rsidP="009F1165">
      <w:pPr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  <w:r w:rsidRPr="009F1165">
        <w:rPr>
          <w:b/>
          <w:szCs w:val="22"/>
          <w:lang w:val="hu-HU"/>
        </w:rPr>
        <w:t xml:space="preserve">Megjegyzés: </w:t>
      </w:r>
      <w:r w:rsidRPr="009F1165">
        <w:rPr>
          <w:szCs w:val="22"/>
          <w:lang w:val="hu-HU"/>
        </w:rPr>
        <w:sym w:font="Wingdings" w:char="F058"/>
      </w:r>
      <w:r w:rsidRPr="009F1165">
        <w:rPr>
          <w:szCs w:val="22"/>
          <w:lang w:val="hu-HU"/>
        </w:rPr>
        <w:sym w:font="Wingdings" w:char="F058"/>
      </w:r>
      <w:r w:rsidRPr="009F1165">
        <w:rPr>
          <w:szCs w:val="22"/>
          <w:lang w:val="hu-HU"/>
        </w:rPr>
        <w:t xml:space="preserve"> (</w:t>
      </w:r>
      <w:r w:rsidR="006E5E5E" w:rsidRPr="009F1165">
        <w:rPr>
          <w:szCs w:val="22"/>
          <w:lang w:val="hu-HU"/>
        </w:rPr>
        <w:t xml:space="preserve">két </w:t>
      </w:r>
      <w:r w:rsidRPr="009F1165">
        <w:rPr>
          <w:szCs w:val="22"/>
          <w:lang w:val="hu-HU"/>
        </w:rPr>
        <w:t>kereszt</w:t>
      </w:r>
      <w:r w:rsidR="006E5E5E" w:rsidRPr="009F1165">
        <w:rPr>
          <w:szCs w:val="22"/>
          <w:lang w:val="hu-HU"/>
        </w:rPr>
        <w:t>es</w:t>
      </w:r>
      <w:r w:rsidRPr="009F1165">
        <w:rPr>
          <w:szCs w:val="22"/>
          <w:lang w:val="hu-HU"/>
        </w:rPr>
        <w:t xml:space="preserve">) </w:t>
      </w:r>
      <w:r w:rsidRPr="009F1165">
        <w:rPr>
          <w:szCs w:val="22"/>
          <w:lang w:val="hu-HU"/>
        </w:rPr>
        <w:tab/>
      </w:r>
    </w:p>
    <w:p w14:paraId="06EC8845" w14:textId="77777777" w:rsidR="004C4714" w:rsidRPr="009F1165" w:rsidRDefault="004C4714" w:rsidP="009F1165">
      <w:pPr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Osztályozás: </w:t>
      </w:r>
      <w:r w:rsidRPr="009F1165">
        <w:rPr>
          <w:b/>
          <w:szCs w:val="22"/>
          <w:lang w:val="hu-HU"/>
        </w:rPr>
        <w:t>II./3 csoport</w:t>
      </w:r>
    </w:p>
    <w:p w14:paraId="3B346CB3" w14:textId="77777777" w:rsidR="004C4714" w:rsidRPr="009F1165" w:rsidRDefault="004C4714" w:rsidP="009F1165">
      <w:pPr>
        <w:numPr>
          <w:ilvl w:val="1"/>
          <w:numId w:val="16"/>
        </w:numPr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  <w:r w:rsidRPr="009F1165">
        <w:rPr>
          <w:szCs w:val="22"/>
          <w:lang w:val="hu-HU"/>
        </w:rPr>
        <w:t xml:space="preserve">Korlátozott érvényű orvosi rendelvényhez kötött, az egészségügyről szóló 1997. évi CLIV. </w:t>
      </w:r>
      <w:r w:rsidR="006E5E5E" w:rsidRPr="009F1165">
        <w:rPr>
          <w:szCs w:val="22"/>
          <w:lang w:val="hu-HU"/>
        </w:rPr>
        <w:t>t</w:t>
      </w:r>
      <w:r w:rsidRPr="009F1165">
        <w:rPr>
          <w:szCs w:val="22"/>
          <w:lang w:val="hu-HU"/>
        </w:rPr>
        <w:t>örvény 3. §-</w:t>
      </w:r>
      <w:proofErr w:type="spellStart"/>
      <w:r w:rsidRPr="009F1165">
        <w:rPr>
          <w:szCs w:val="22"/>
          <w:lang w:val="hu-HU"/>
        </w:rPr>
        <w:t>ának</w:t>
      </w:r>
      <w:proofErr w:type="spellEnd"/>
      <w:r w:rsidRPr="009F1165">
        <w:rPr>
          <w:szCs w:val="22"/>
          <w:lang w:val="hu-HU"/>
        </w:rPr>
        <w:t xml:space="preserve"> </w:t>
      </w:r>
      <w:proofErr w:type="spellStart"/>
      <w:r w:rsidRPr="009F1165">
        <w:rPr>
          <w:szCs w:val="22"/>
          <w:lang w:val="hu-HU"/>
        </w:rPr>
        <w:t>ga</w:t>
      </w:r>
      <w:proofErr w:type="spellEnd"/>
      <w:r w:rsidRPr="009F1165">
        <w:rPr>
          <w:szCs w:val="22"/>
          <w:lang w:val="hu-HU"/>
        </w:rPr>
        <w:t>) pontja szerinti rendelőintézeti járóbeteg-szakellátást vagy fekvőbeteg-szakellátást nyújtó szolgáltatók által biztosított körülmények között alkalmazható gyógyszer (I).</w:t>
      </w:r>
    </w:p>
    <w:p w14:paraId="653ADA41" w14:textId="77777777" w:rsidR="004C4714" w:rsidRPr="009F1165" w:rsidRDefault="004C4714" w:rsidP="009F1165">
      <w:pPr>
        <w:numPr>
          <w:ilvl w:val="1"/>
          <w:numId w:val="16"/>
        </w:numPr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</w:p>
    <w:p w14:paraId="1DD3D78B" w14:textId="77777777" w:rsidR="00A83D7D" w:rsidRPr="009F1165" w:rsidRDefault="00A83D7D" w:rsidP="009F1165">
      <w:pPr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</w:p>
    <w:p w14:paraId="6300A07F" w14:textId="77777777" w:rsidR="00A83D7D" w:rsidRPr="009F1165" w:rsidRDefault="00A83D7D" w:rsidP="009F1165">
      <w:pPr>
        <w:pStyle w:val="WW-Szvegtrzs212"/>
        <w:keepNext/>
        <w:keepLines/>
        <w:spacing w:line="240" w:lineRule="auto"/>
        <w:rPr>
          <w:szCs w:val="22"/>
          <w:lang w:val="hu-HU"/>
        </w:rPr>
      </w:pPr>
      <w:r w:rsidRPr="009F1165">
        <w:rPr>
          <w:szCs w:val="22"/>
          <w:lang w:val="hu-HU"/>
        </w:rPr>
        <w:t>7.</w:t>
      </w:r>
      <w:r w:rsidRPr="009F1165">
        <w:rPr>
          <w:szCs w:val="22"/>
          <w:lang w:val="hu-HU"/>
        </w:rPr>
        <w:tab/>
        <w:t>A FORGALOMBA HOZATALI ENGEDÉLY JOGOSULTJA</w:t>
      </w:r>
    </w:p>
    <w:p w14:paraId="2A1A2066" w14:textId="77777777" w:rsidR="00A83D7D" w:rsidRPr="009F1165" w:rsidRDefault="00A83D7D" w:rsidP="009F1165">
      <w:pPr>
        <w:keepNext/>
        <w:keepLines/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</w:p>
    <w:p w14:paraId="4759B0FC" w14:textId="77777777" w:rsidR="001172CB" w:rsidRDefault="001172CB" w:rsidP="009F1165">
      <w:pPr>
        <w:autoSpaceDE w:val="0"/>
        <w:autoSpaceDN w:val="0"/>
        <w:adjustRightInd w:val="0"/>
        <w:rPr>
          <w:szCs w:val="22"/>
          <w:lang w:val="hu-HU"/>
        </w:rPr>
      </w:pPr>
      <w:r>
        <w:rPr>
          <w:szCs w:val="22"/>
          <w:lang w:val="hu-HU"/>
        </w:rPr>
        <w:t>Bayer AG</w:t>
      </w:r>
    </w:p>
    <w:p w14:paraId="56E79BC5" w14:textId="77777777" w:rsidR="001172CB" w:rsidRDefault="001172CB" w:rsidP="009F1165">
      <w:pPr>
        <w:autoSpaceDE w:val="0"/>
        <w:autoSpaceDN w:val="0"/>
        <w:adjustRightInd w:val="0"/>
        <w:rPr>
          <w:szCs w:val="22"/>
          <w:lang w:val="hu-HU"/>
        </w:rPr>
      </w:pPr>
      <w:r>
        <w:rPr>
          <w:szCs w:val="22"/>
          <w:lang w:val="hu-HU"/>
        </w:rPr>
        <w:t>51368 Leverkusen</w:t>
      </w:r>
    </w:p>
    <w:p w14:paraId="0E4FC7CF" w14:textId="77777777" w:rsidR="00D220B3" w:rsidRDefault="00D220B3" w:rsidP="00D220B3">
      <w:pPr>
        <w:autoSpaceDE w:val="0"/>
        <w:autoSpaceDN w:val="0"/>
        <w:adjustRightInd w:val="0"/>
        <w:rPr>
          <w:szCs w:val="22"/>
          <w:lang w:val="hu-HU"/>
        </w:rPr>
      </w:pPr>
      <w:r>
        <w:rPr>
          <w:szCs w:val="22"/>
          <w:lang w:val="hu-HU"/>
        </w:rPr>
        <w:t>Kaiser-Wilhelm-</w:t>
      </w:r>
      <w:proofErr w:type="spellStart"/>
      <w:r>
        <w:rPr>
          <w:szCs w:val="22"/>
          <w:lang w:val="hu-HU"/>
        </w:rPr>
        <w:t>Allee</w:t>
      </w:r>
      <w:proofErr w:type="spellEnd"/>
    </w:p>
    <w:p w14:paraId="25B1119D" w14:textId="77777777" w:rsidR="00DC3A34" w:rsidRPr="009F1165" w:rsidRDefault="001172CB" w:rsidP="009F1165">
      <w:pPr>
        <w:autoSpaceDE w:val="0"/>
        <w:autoSpaceDN w:val="0"/>
        <w:adjustRightInd w:val="0"/>
        <w:rPr>
          <w:szCs w:val="22"/>
          <w:lang w:val="hu-HU"/>
        </w:rPr>
      </w:pPr>
      <w:r>
        <w:rPr>
          <w:szCs w:val="22"/>
          <w:lang w:val="hu-HU"/>
        </w:rPr>
        <w:t>Németország</w:t>
      </w:r>
      <w:r w:rsidR="00F54AAB">
        <w:rPr>
          <w:szCs w:val="22"/>
          <w:lang w:val="hu-HU"/>
        </w:rPr>
        <w:t xml:space="preserve"> </w:t>
      </w:r>
    </w:p>
    <w:p w14:paraId="14FD7D78" w14:textId="77777777" w:rsidR="00A83D7D" w:rsidRPr="009F1165" w:rsidRDefault="00A83D7D" w:rsidP="009F1165">
      <w:pPr>
        <w:autoSpaceDE w:val="0"/>
        <w:autoSpaceDN w:val="0"/>
        <w:adjustRightInd w:val="0"/>
        <w:rPr>
          <w:szCs w:val="22"/>
          <w:lang w:val="hu-HU"/>
        </w:rPr>
      </w:pPr>
    </w:p>
    <w:p w14:paraId="5BC3185E" w14:textId="77777777" w:rsidR="00A83D7D" w:rsidRPr="009F1165" w:rsidRDefault="00A83D7D" w:rsidP="009F1165">
      <w:pPr>
        <w:pStyle w:val="WW-Szvegtrzs212"/>
        <w:keepNext/>
        <w:keepLines/>
        <w:spacing w:line="240" w:lineRule="auto"/>
        <w:rPr>
          <w:szCs w:val="22"/>
          <w:lang w:val="hu-HU"/>
        </w:rPr>
      </w:pPr>
      <w:r w:rsidRPr="009F1165">
        <w:rPr>
          <w:szCs w:val="22"/>
          <w:lang w:val="hu-HU"/>
        </w:rPr>
        <w:t>8.</w:t>
      </w:r>
      <w:r w:rsidRPr="009F1165">
        <w:rPr>
          <w:szCs w:val="22"/>
          <w:lang w:val="hu-HU"/>
        </w:rPr>
        <w:tab/>
        <w:t>A FORGALOMBA HOZATALI ENGEDÉLY SZÁMA(I)</w:t>
      </w:r>
    </w:p>
    <w:p w14:paraId="668ABBB1" w14:textId="77777777" w:rsidR="00A83D7D" w:rsidRPr="009F1165" w:rsidRDefault="00A83D7D" w:rsidP="009F1165">
      <w:pPr>
        <w:pStyle w:val="Cmsor4"/>
        <w:keepLines/>
        <w:tabs>
          <w:tab w:val="left" w:pos="567"/>
          <w:tab w:val="left" w:pos="1204"/>
          <w:tab w:val="left" w:pos="8264"/>
        </w:tabs>
        <w:rPr>
          <w:sz w:val="22"/>
          <w:szCs w:val="22"/>
        </w:rPr>
      </w:pPr>
    </w:p>
    <w:p w14:paraId="734F6491" w14:textId="77777777" w:rsidR="00566C7C" w:rsidRPr="009F1165" w:rsidRDefault="00566C7C" w:rsidP="009F1165">
      <w:pPr>
        <w:pStyle w:val="Cmsor4"/>
        <w:tabs>
          <w:tab w:val="left" w:pos="567"/>
          <w:tab w:val="left" w:pos="1204"/>
          <w:tab w:val="left" w:pos="3402"/>
        </w:tabs>
        <w:rPr>
          <w:sz w:val="22"/>
          <w:szCs w:val="22"/>
        </w:rPr>
      </w:pPr>
      <w:r w:rsidRPr="009F1165">
        <w:rPr>
          <w:sz w:val="22"/>
          <w:szCs w:val="22"/>
        </w:rPr>
        <w:t>OGYI-T-7554/04</w:t>
      </w:r>
      <w:r w:rsidRPr="009F1165">
        <w:rPr>
          <w:sz w:val="22"/>
          <w:szCs w:val="22"/>
        </w:rPr>
        <w:tab/>
        <w:t>(</w:t>
      </w:r>
      <w:r w:rsidR="00FF52E5" w:rsidRPr="009F1165">
        <w:rPr>
          <w:sz w:val="22"/>
          <w:szCs w:val="22"/>
        </w:rPr>
        <w:t xml:space="preserve">5x </w:t>
      </w:r>
      <w:r w:rsidRPr="009F1165">
        <w:rPr>
          <w:sz w:val="22"/>
          <w:szCs w:val="22"/>
        </w:rPr>
        <w:t>infúzió zsák)</w:t>
      </w:r>
    </w:p>
    <w:p w14:paraId="47D204C3" w14:textId="77777777" w:rsidR="004C4714" w:rsidRPr="009F1165" w:rsidRDefault="004C4714" w:rsidP="009F1165">
      <w:pPr>
        <w:pStyle w:val="Cmsor4"/>
        <w:tabs>
          <w:tab w:val="left" w:pos="567"/>
          <w:tab w:val="left" w:pos="1204"/>
          <w:tab w:val="left" w:pos="3402"/>
        </w:tabs>
        <w:rPr>
          <w:sz w:val="22"/>
          <w:szCs w:val="22"/>
        </w:rPr>
      </w:pPr>
      <w:r w:rsidRPr="009F1165">
        <w:rPr>
          <w:sz w:val="22"/>
          <w:szCs w:val="22"/>
        </w:rPr>
        <w:t>OGYI-T-7554/05</w:t>
      </w:r>
      <w:r w:rsidRPr="009F1165">
        <w:rPr>
          <w:sz w:val="22"/>
          <w:szCs w:val="22"/>
        </w:rPr>
        <w:tab/>
        <w:t>(</w:t>
      </w:r>
      <w:r w:rsidR="00FF52E5" w:rsidRPr="009F1165">
        <w:rPr>
          <w:sz w:val="22"/>
          <w:szCs w:val="22"/>
        </w:rPr>
        <w:t xml:space="preserve">12x </w:t>
      </w:r>
      <w:r w:rsidRPr="009F1165">
        <w:rPr>
          <w:sz w:val="22"/>
          <w:szCs w:val="22"/>
        </w:rPr>
        <w:t>infúzió zsák)</w:t>
      </w:r>
    </w:p>
    <w:p w14:paraId="5F0D90DE" w14:textId="77777777" w:rsidR="00A83D7D" w:rsidRPr="009F1165" w:rsidRDefault="00566C7C" w:rsidP="009F1165">
      <w:pPr>
        <w:pStyle w:val="Cmsor4"/>
        <w:tabs>
          <w:tab w:val="left" w:pos="567"/>
          <w:tab w:val="left" w:pos="1204"/>
          <w:tab w:val="left" w:pos="3402"/>
        </w:tabs>
        <w:rPr>
          <w:sz w:val="22"/>
          <w:szCs w:val="22"/>
        </w:rPr>
      </w:pPr>
      <w:r w:rsidRPr="009F1165">
        <w:rPr>
          <w:sz w:val="22"/>
          <w:szCs w:val="22"/>
        </w:rPr>
        <w:t>OGYI-T-7554/06</w:t>
      </w:r>
      <w:r w:rsidRPr="009F1165">
        <w:rPr>
          <w:sz w:val="22"/>
          <w:szCs w:val="22"/>
        </w:rPr>
        <w:tab/>
        <w:t>(</w:t>
      </w:r>
      <w:r w:rsidR="00FF52E5" w:rsidRPr="009F1165">
        <w:rPr>
          <w:sz w:val="22"/>
          <w:szCs w:val="22"/>
        </w:rPr>
        <w:t>1x</w:t>
      </w:r>
      <w:r w:rsidR="009E030C" w:rsidRPr="009F1165">
        <w:rPr>
          <w:sz w:val="22"/>
          <w:szCs w:val="22"/>
        </w:rPr>
        <w:t xml:space="preserve"> </w:t>
      </w:r>
      <w:r w:rsidRPr="009F1165">
        <w:rPr>
          <w:sz w:val="22"/>
          <w:szCs w:val="22"/>
        </w:rPr>
        <w:t>infúzió üveg)</w:t>
      </w:r>
    </w:p>
    <w:p w14:paraId="267B814C" w14:textId="77777777" w:rsidR="004C4714" w:rsidRPr="009F1165" w:rsidRDefault="004C4714" w:rsidP="009F1165">
      <w:pPr>
        <w:pStyle w:val="Cmsor4"/>
        <w:tabs>
          <w:tab w:val="left" w:pos="567"/>
          <w:tab w:val="left" w:pos="1204"/>
          <w:tab w:val="left" w:pos="3402"/>
        </w:tabs>
        <w:rPr>
          <w:sz w:val="22"/>
          <w:szCs w:val="22"/>
        </w:rPr>
      </w:pPr>
      <w:r w:rsidRPr="009F1165">
        <w:rPr>
          <w:sz w:val="22"/>
          <w:szCs w:val="22"/>
        </w:rPr>
        <w:t>OGYI-T-7554/07</w:t>
      </w:r>
      <w:r w:rsidRPr="009F1165">
        <w:rPr>
          <w:sz w:val="22"/>
          <w:szCs w:val="22"/>
        </w:rPr>
        <w:tab/>
        <w:t>(</w:t>
      </w:r>
      <w:r w:rsidR="00FF52E5" w:rsidRPr="009F1165">
        <w:rPr>
          <w:sz w:val="22"/>
          <w:szCs w:val="22"/>
        </w:rPr>
        <w:t>5x</w:t>
      </w:r>
      <w:r w:rsidR="009E030C" w:rsidRPr="009F1165">
        <w:rPr>
          <w:sz w:val="22"/>
          <w:szCs w:val="22"/>
        </w:rPr>
        <w:t xml:space="preserve"> </w:t>
      </w:r>
      <w:r w:rsidRPr="009F1165">
        <w:rPr>
          <w:sz w:val="22"/>
          <w:szCs w:val="22"/>
        </w:rPr>
        <w:t>infúzió üveg)</w:t>
      </w:r>
    </w:p>
    <w:p w14:paraId="6B1C029E" w14:textId="77777777" w:rsidR="00A83D7D" w:rsidRPr="009F1165" w:rsidRDefault="00A83D7D" w:rsidP="009F1165">
      <w:pPr>
        <w:tabs>
          <w:tab w:val="left" w:pos="567"/>
          <w:tab w:val="left" w:pos="1204"/>
          <w:tab w:val="left" w:pos="8264"/>
        </w:tabs>
        <w:rPr>
          <w:szCs w:val="22"/>
          <w:lang w:val="hu-HU"/>
        </w:rPr>
      </w:pPr>
    </w:p>
    <w:p w14:paraId="2C9D6894" w14:textId="77777777" w:rsidR="00A83D7D" w:rsidRPr="009F1165" w:rsidRDefault="00A83D7D" w:rsidP="009F1165">
      <w:pPr>
        <w:keepNext/>
        <w:keepLines/>
        <w:ind w:left="567" w:hanging="567"/>
        <w:rPr>
          <w:b/>
          <w:szCs w:val="22"/>
          <w:lang w:val="hu-HU"/>
        </w:rPr>
      </w:pPr>
      <w:r w:rsidRPr="009F1165">
        <w:rPr>
          <w:b/>
          <w:szCs w:val="22"/>
          <w:lang w:val="hu-HU"/>
        </w:rPr>
        <w:lastRenderedPageBreak/>
        <w:t>9.</w:t>
      </w:r>
      <w:r w:rsidRPr="009F1165">
        <w:rPr>
          <w:b/>
          <w:szCs w:val="22"/>
          <w:lang w:val="hu-HU"/>
        </w:rPr>
        <w:tab/>
        <w:t>A FORGALOMBA HOZATALI ENGEDÉLY ELSŐ KIADÁSÁNAK/ MEGÚJÍTÁSÁNAK DÁTUMA</w:t>
      </w:r>
    </w:p>
    <w:p w14:paraId="2DC1AEF0" w14:textId="77777777" w:rsidR="00A83D7D" w:rsidRPr="009F1165" w:rsidRDefault="00A83D7D" w:rsidP="009F1165">
      <w:pPr>
        <w:keepNext/>
        <w:keepLines/>
        <w:rPr>
          <w:szCs w:val="22"/>
          <w:lang w:val="hu-HU"/>
        </w:rPr>
      </w:pPr>
    </w:p>
    <w:p w14:paraId="7A60F75D" w14:textId="77777777" w:rsidR="00C21950" w:rsidRPr="009F1165" w:rsidRDefault="00BB30ED" w:rsidP="009F1165">
      <w:pPr>
        <w:pStyle w:val="Cmsor7"/>
        <w:tabs>
          <w:tab w:val="clear" w:pos="567"/>
        </w:tabs>
        <w:rPr>
          <w:b w:val="0"/>
          <w:szCs w:val="22"/>
        </w:rPr>
      </w:pPr>
      <w:proofErr w:type="spellStart"/>
      <w:r w:rsidRPr="009F1165">
        <w:rPr>
          <w:b w:val="0"/>
          <w:szCs w:val="22"/>
        </w:rPr>
        <w:t>Avelox</w:t>
      </w:r>
      <w:proofErr w:type="spellEnd"/>
      <w:r w:rsidRPr="009F1165">
        <w:rPr>
          <w:b w:val="0"/>
          <w:szCs w:val="22"/>
        </w:rPr>
        <w:t xml:space="preserve"> 400 mg/250 ml </w:t>
      </w:r>
      <w:proofErr w:type="spellStart"/>
      <w:r w:rsidRPr="009F1165">
        <w:rPr>
          <w:b w:val="0"/>
          <w:szCs w:val="22"/>
        </w:rPr>
        <w:t>oldatos</w:t>
      </w:r>
      <w:proofErr w:type="spellEnd"/>
      <w:r w:rsidRPr="009F1165">
        <w:rPr>
          <w:b w:val="0"/>
          <w:szCs w:val="22"/>
        </w:rPr>
        <w:t xml:space="preserve"> infúzió </w:t>
      </w:r>
      <w:r w:rsidR="007224F6" w:rsidRPr="009F1165">
        <w:rPr>
          <w:b w:val="0"/>
          <w:szCs w:val="22"/>
        </w:rPr>
        <w:t>(infúziós zsákban)</w:t>
      </w:r>
      <w:r w:rsidR="004C4714" w:rsidRPr="009F1165">
        <w:rPr>
          <w:b w:val="0"/>
          <w:szCs w:val="22"/>
        </w:rPr>
        <w:t>:</w:t>
      </w:r>
    </w:p>
    <w:p w14:paraId="74FEA43E" w14:textId="77777777" w:rsidR="00BC32CE" w:rsidRPr="009F1165" w:rsidRDefault="00BC32CE" w:rsidP="009F1165">
      <w:pPr>
        <w:pStyle w:val="Cmsor4"/>
        <w:tabs>
          <w:tab w:val="left" w:pos="567"/>
          <w:tab w:val="left" w:pos="1204"/>
          <w:tab w:val="left" w:pos="3402"/>
        </w:tabs>
        <w:rPr>
          <w:noProof/>
          <w:sz w:val="22"/>
          <w:szCs w:val="22"/>
          <w:lang w:eastAsia="en-US"/>
        </w:rPr>
      </w:pPr>
    </w:p>
    <w:p w14:paraId="67EFC94B" w14:textId="77777777" w:rsidR="00CE7E36" w:rsidRPr="009F1165" w:rsidRDefault="00CE7E36" w:rsidP="009F1165">
      <w:pPr>
        <w:pStyle w:val="Cmsor4"/>
        <w:tabs>
          <w:tab w:val="left" w:pos="567"/>
          <w:tab w:val="left" w:pos="1204"/>
          <w:tab w:val="left" w:pos="3402"/>
        </w:tabs>
        <w:rPr>
          <w:sz w:val="22"/>
          <w:szCs w:val="22"/>
        </w:rPr>
      </w:pPr>
      <w:r w:rsidRPr="009F1165">
        <w:rPr>
          <w:noProof/>
          <w:sz w:val="22"/>
          <w:szCs w:val="22"/>
          <w:lang w:eastAsia="en-US"/>
        </w:rPr>
        <w:t xml:space="preserve">A forgalomba hozatali engedély első kiadásának dátuma: </w:t>
      </w:r>
      <w:r w:rsidR="00C21950" w:rsidRPr="009F1165">
        <w:rPr>
          <w:sz w:val="22"/>
          <w:szCs w:val="22"/>
        </w:rPr>
        <w:t>2002.</w:t>
      </w:r>
      <w:r w:rsidR="00BC32CE" w:rsidRPr="009F1165">
        <w:rPr>
          <w:sz w:val="22"/>
          <w:szCs w:val="22"/>
        </w:rPr>
        <w:t xml:space="preserve"> </w:t>
      </w:r>
      <w:r w:rsidR="00C21950" w:rsidRPr="009F1165">
        <w:rPr>
          <w:sz w:val="22"/>
          <w:szCs w:val="22"/>
        </w:rPr>
        <w:t>július 23</w:t>
      </w:r>
      <w:r w:rsidR="00BC32CE" w:rsidRPr="009F1165">
        <w:rPr>
          <w:sz w:val="22"/>
          <w:szCs w:val="22"/>
        </w:rPr>
        <w:t>.</w:t>
      </w:r>
    </w:p>
    <w:p w14:paraId="750A3C4D" w14:textId="77777777" w:rsidR="00C21950" w:rsidRPr="009F1165" w:rsidRDefault="00BC32CE" w:rsidP="009F1165">
      <w:pPr>
        <w:pStyle w:val="Cmsor4"/>
        <w:tabs>
          <w:tab w:val="left" w:pos="567"/>
          <w:tab w:val="left" w:pos="1204"/>
          <w:tab w:val="left" w:pos="3402"/>
        </w:tabs>
        <w:rPr>
          <w:sz w:val="22"/>
          <w:szCs w:val="22"/>
        </w:rPr>
      </w:pPr>
      <w:r w:rsidRPr="009F1165">
        <w:rPr>
          <w:noProof/>
          <w:sz w:val="22"/>
          <w:szCs w:val="22"/>
          <w:lang w:eastAsia="en-US"/>
        </w:rPr>
        <w:t xml:space="preserve">A forgalomba hozatali engedély legutóbbi megújításának dátuma: </w:t>
      </w:r>
      <w:r w:rsidRPr="009F1165">
        <w:rPr>
          <w:sz w:val="22"/>
          <w:szCs w:val="22"/>
        </w:rPr>
        <w:t xml:space="preserve">2014. szeptember </w:t>
      </w:r>
      <w:r w:rsidR="00361E4D" w:rsidRPr="009F1165">
        <w:rPr>
          <w:sz w:val="22"/>
          <w:szCs w:val="22"/>
        </w:rPr>
        <w:t>22</w:t>
      </w:r>
      <w:r w:rsidRPr="009F1165">
        <w:rPr>
          <w:sz w:val="22"/>
          <w:szCs w:val="22"/>
        </w:rPr>
        <w:t>.</w:t>
      </w:r>
    </w:p>
    <w:p w14:paraId="24B8520E" w14:textId="77777777" w:rsidR="00C21950" w:rsidRPr="009F1165" w:rsidRDefault="00C21950" w:rsidP="009F1165">
      <w:pPr>
        <w:pStyle w:val="Cmsor4"/>
        <w:tabs>
          <w:tab w:val="left" w:pos="567"/>
          <w:tab w:val="left" w:pos="1204"/>
          <w:tab w:val="left" w:pos="3402"/>
        </w:tabs>
        <w:rPr>
          <w:sz w:val="22"/>
          <w:szCs w:val="22"/>
        </w:rPr>
      </w:pPr>
    </w:p>
    <w:p w14:paraId="4E30B522" w14:textId="77777777" w:rsidR="00C21950" w:rsidRPr="009F1165" w:rsidRDefault="00BB30ED" w:rsidP="009F1165">
      <w:pPr>
        <w:pStyle w:val="Cmsor7"/>
        <w:tabs>
          <w:tab w:val="clear" w:pos="567"/>
        </w:tabs>
        <w:rPr>
          <w:b w:val="0"/>
          <w:szCs w:val="22"/>
        </w:rPr>
      </w:pPr>
      <w:proofErr w:type="spellStart"/>
      <w:r w:rsidRPr="009F1165">
        <w:rPr>
          <w:b w:val="0"/>
          <w:szCs w:val="22"/>
        </w:rPr>
        <w:t>Avelox</w:t>
      </w:r>
      <w:proofErr w:type="spellEnd"/>
      <w:r w:rsidRPr="009F1165">
        <w:rPr>
          <w:b w:val="0"/>
          <w:szCs w:val="22"/>
        </w:rPr>
        <w:t xml:space="preserve"> 400 mg/250 ml </w:t>
      </w:r>
      <w:proofErr w:type="spellStart"/>
      <w:r w:rsidRPr="009F1165">
        <w:rPr>
          <w:b w:val="0"/>
          <w:szCs w:val="22"/>
        </w:rPr>
        <w:t>oldatos</w:t>
      </w:r>
      <w:proofErr w:type="spellEnd"/>
      <w:r w:rsidRPr="009F1165">
        <w:rPr>
          <w:b w:val="0"/>
          <w:szCs w:val="22"/>
        </w:rPr>
        <w:t xml:space="preserve"> infúzió </w:t>
      </w:r>
      <w:r w:rsidR="007224F6" w:rsidRPr="009F1165">
        <w:rPr>
          <w:b w:val="0"/>
          <w:szCs w:val="22"/>
        </w:rPr>
        <w:t xml:space="preserve">(infúziós </w:t>
      </w:r>
      <w:r w:rsidR="00C21950" w:rsidRPr="009F1165">
        <w:rPr>
          <w:b w:val="0"/>
          <w:szCs w:val="22"/>
        </w:rPr>
        <w:t>üvegben</w:t>
      </w:r>
      <w:r w:rsidR="007224F6" w:rsidRPr="009F1165">
        <w:rPr>
          <w:b w:val="0"/>
          <w:szCs w:val="22"/>
        </w:rPr>
        <w:t>)</w:t>
      </w:r>
      <w:r w:rsidR="004C4714" w:rsidRPr="009F1165">
        <w:rPr>
          <w:b w:val="0"/>
          <w:szCs w:val="22"/>
        </w:rPr>
        <w:t>:</w:t>
      </w:r>
    </w:p>
    <w:p w14:paraId="3DA1AF38" w14:textId="77777777" w:rsidR="00BC32CE" w:rsidRPr="009F1165" w:rsidRDefault="00BC32CE" w:rsidP="009F1165">
      <w:pPr>
        <w:pStyle w:val="Cmsor4"/>
        <w:tabs>
          <w:tab w:val="left" w:pos="567"/>
          <w:tab w:val="left" w:pos="1204"/>
          <w:tab w:val="left" w:pos="3402"/>
        </w:tabs>
        <w:rPr>
          <w:sz w:val="22"/>
          <w:szCs w:val="22"/>
        </w:rPr>
      </w:pPr>
    </w:p>
    <w:p w14:paraId="7ECBD753" w14:textId="77777777" w:rsidR="00BC32CE" w:rsidRPr="009F1165" w:rsidRDefault="00BC32CE" w:rsidP="009F1165">
      <w:pPr>
        <w:pStyle w:val="Cmsor4"/>
        <w:tabs>
          <w:tab w:val="left" w:pos="567"/>
          <w:tab w:val="left" w:pos="1204"/>
          <w:tab w:val="left" w:pos="3402"/>
        </w:tabs>
        <w:rPr>
          <w:sz w:val="22"/>
          <w:szCs w:val="22"/>
        </w:rPr>
      </w:pPr>
      <w:r w:rsidRPr="009F1165">
        <w:rPr>
          <w:noProof/>
          <w:sz w:val="22"/>
          <w:szCs w:val="22"/>
          <w:lang w:eastAsia="en-US"/>
        </w:rPr>
        <w:t xml:space="preserve">A forgalomba hozatali engedély első kiadásának dátuma: </w:t>
      </w:r>
      <w:r w:rsidR="00C21950" w:rsidRPr="009F1165">
        <w:rPr>
          <w:sz w:val="22"/>
          <w:szCs w:val="22"/>
        </w:rPr>
        <w:t>2002.</w:t>
      </w:r>
      <w:r w:rsidRPr="009F1165">
        <w:rPr>
          <w:sz w:val="22"/>
          <w:szCs w:val="22"/>
        </w:rPr>
        <w:t xml:space="preserve"> </w:t>
      </w:r>
      <w:r w:rsidR="00C21950" w:rsidRPr="009F1165">
        <w:rPr>
          <w:sz w:val="22"/>
          <w:szCs w:val="22"/>
        </w:rPr>
        <w:t>október 30.</w:t>
      </w:r>
    </w:p>
    <w:p w14:paraId="6D107F24" w14:textId="77777777" w:rsidR="00BC32CE" w:rsidRPr="009F1165" w:rsidRDefault="00BC32CE" w:rsidP="009F1165">
      <w:pPr>
        <w:pStyle w:val="Cmsor4"/>
        <w:tabs>
          <w:tab w:val="left" w:pos="567"/>
          <w:tab w:val="left" w:pos="1204"/>
          <w:tab w:val="left" w:pos="3402"/>
        </w:tabs>
        <w:rPr>
          <w:sz w:val="22"/>
          <w:szCs w:val="22"/>
        </w:rPr>
      </w:pPr>
      <w:r w:rsidRPr="009F1165">
        <w:rPr>
          <w:noProof/>
          <w:sz w:val="22"/>
          <w:szCs w:val="22"/>
          <w:lang w:eastAsia="en-US"/>
        </w:rPr>
        <w:t xml:space="preserve">A forgalomba hozatali engedély legutóbbi megújításának dátuma: </w:t>
      </w:r>
      <w:r w:rsidRPr="009F1165">
        <w:rPr>
          <w:sz w:val="22"/>
          <w:szCs w:val="22"/>
        </w:rPr>
        <w:t xml:space="preserve">2014. szeptember </w:t>
      </w:r>
      <w:r w:rsidR="00361E4D" w:rsidRPr="009F1165">
        <w:rPr>
          <w:sz w:val="22"/>
          <w:szCs w:val="22"/>
        </w:rPr>
        <w:t>22</w:t>
      </w:r>
      <w:r w:rsidRPr="009F1165">
        <w:rPr>
          <w:sz w:val="22"/>
          <w:szCs w:val="22"/>
        </w:rPr>
        <w:t>.</w:t>
      </w:r>
    </w:p>
    <w:p w14:paraId="2CEA68D0" w14:textId="77777777" w:rsidR="00A83D7D" w:rsidRPr="009F1165" w:rsidRDefault="00A83D7D" w:rsidP="009F1165">
      <w:pPr>
        <w:rPr>
          <w:szCs w:val="22"/>
          <w:lang w:val="hu-HU"/>
        </w:rPr>
      </w:pPr>
    </w:p>
    <w:p w14:paraId="37C3BA39" w14:textId="77777777" w:rsidR="00DD56BC" w:rsidRPr="009F1165" w:rsidRDefault="00DD56BC" w:rsidP="009F1165">
      <w:pPr>
        <w:rPr>
          <w:szCs w:val="22"/>
          <w:lang w:val="hu-HU"/>
        </w:rPr>
      </w:pPr>
    </w:p>
    <w:p w14:paraId="6ACBDB32" w14:textId="77777777" w:rsidR="00AA3545" w:rsidRPr="009F1165" w:rsidRDefault="00A83D7D" w:rsidP="009F1165">
      <w:pPr>
        <w:keepNext/>
        <w:keepLines/>
        <w:ind w:left="567" w:hanging="567"/>
        <w:rPr>
          <w:b/>
          <w:szCs w:val="22"/>
          <w:lang w:val="hu-HU"/>
        </w:rPr>
      </w:pPr>
      <w:r w:rsidRPr="009F1165">
        <w:rPr>
          <w:b/>
          <w:szCs w:val="22"/>
          <w:lang w:val="hu-HU"/>
        </w:rPr>
        <w:t>10.</w:t>
      </w:r>
      <w:r w:rsidRPr="009F1165">
        <w:rPr>
          <w:b/>
          <w:szCs w:val="22"/>
          <w:lang w:val="hu-HU"/>
        </w:rPr>
        <w:tab/>
        <w:t>A SZÖVEG ELLENŐRZÉSÉNEK DÁTUMA</w:t>
      </w:r>
    </w:p>
    <w:p w14:paraId="29A4F9BD" w14:textId="77777777" w:rsidR="005B12AE" w:rsidRPr="009F1165" w:rsidRDefault="005B12AE" w:rsidP="009F1165">
      <w:pPr>
        <w:keepNext/>
        <w:keepLines/>
        <w:ind w:left="567" w:hanging="567"/>
        <w:rPr>
          <w:b/>
          <w:szCs w:val="22"/>
          <w:lang w:val="hu-HU"/>
        </w:rPr>
      </w:pPr>
    </w:p>
    <w:p w14:paraId="390D82C8" w14:textId="5C09606D" w:rsidR="005B12AE" w:rsidRPr="009F1165" w:rsidRDefault="008F3631" w:rsidP="009F1165">
      <w:pPr>
        <w:keepNext/>
        <w:keepLines/>
        <w:ind w:left="567" w:hanging="567"/>
        <w:rPr>
          <w:szCs w:val="22"/>
          <w:lang w:val="hu-HU"/>
        </w:rPr>
      </w:pPr>
      <w:r>
        <w:rPr>
          <w:szCs w:val="22"/>
          <w:lang w:val="hu-HU"/>
        </w:rPr>
        <w:t>20</w:t>
      </w:r>
      <w:r w:rsidR="00207FCF">
        <w:rPr>
          <w:szCs w:val="22"/>
          <w:lang w:val="hu-HU"/>
        </w:rPr>
        <w:t xml:space="preserve">20. </w:t>
      </w:r>
      <w:r w:rsidR="009E2A7D">
        <w:rPr>
          <w:szCs w:val="22"/>
          <w:lang w:val="hu-HU"/>
        </w:rPr>
        <w:t>október</w:t>
      </w:r>
      <w:r w:rsidR="004637F9">
        <w:rPr>
          <w:szCs w:val="22"/>
          <w:lang w:val="hu-HU"/>
        </w:rPr>
        <w:t xml:space="preserve"> 23</w:t>
      </w:r>
      <w:r w:rsidR="004D211C">
        <w:rPr>
          <w:szCs w:val="22"/>
          <w:lang w:val="hu-HU"/>
        </w:rPr>
        <w:t>.</w:t>
      </w:r>
    </w:p>
    <w:sectPr w:rsidR="005B12AE" w:rsidRPr="009F1165" w:rsidSect="009F1165">
      <w:headerReference w:type="even" r:id="rId9"/>
      <w:headerReference w:type="default" r:id="rId10"/>
      <w:footerReference w:type="first" r:id="rId11"/>
      <w:pgSz w:w="11907" w:h="16840" w:code="9"/>
      <w:pgMar w:top="1134" w:right="1418" w:bottom="1134" w:left="1418" w:header="73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15C7F" w14:textId="77777777" w:rsidR="009B273E" w:rsidRDefault="009B273E">
      <w:r>
        <w:separator/>
      </w:r>
    </w:p>
  </w:endnote>
  <w:endnote w:type="continuationSeparator" w:id="0">
    <w:p w14:paraId="7C071B27" w14:textId="77777777" w:rsidR="009B273E" w:rsidRDefault="009B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4DB73" w14:textId="1D8B7835" w:rsidR="009B273E" w:rsidRPr="00B1163E" w:rsidRDefault="00207818" w:rsidP="004D211C">
    <w:pPr>
      <w:pStyle w:val="llb"/>
      <w:rPr>
        <w:sz w:val="18"/>
        <w:szCs w:val="18"/>
      </w:rPr>
    </w:pPr>
    <w:r w:rsidRPr="00207818">
      <w:rPr>
        <w:sz w:val="18"/>
        <w:szCs w:val="18"/>
        <w:lang w:val="hu-HU"/>
      </w:rPr>
      <w:t>OGYÉI/61590/2020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3D248" w14:textId="77777777" w:rsidR="009B273E" w:rsidRDefault="009B273E">
      <w:r>
        <w:separator/>
      </w:r>
    </w:p>
  </w:footnote>
  <w:footnote w:type="continuationSeparator" w:id="0">
    <w:p w14:paraId="205F7060" w14:textId="77777777" w:rsidR="009B273E" w:rsidRDefault="009B2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C968" w14:textId="77777777" w:rsidR="009B273E" w:rsidRDefault="009B273E" w:rsidP="007E27A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DA948B" w14:textId="77777777" w:rsidR="009B273E" w:rsidRDefault="009B273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0B622" w14:textId="6F8EB597" w:rsidR="009B273E" w:rsidRPr="00F61DD0" w:rsidRDefault="009B273E" w:rsidP="007E27A9">
    <w:pPr>
      <w:pStyle w:val="lfej"/>
      <w:framePr w:wrap="around" w:vAnchor="text" w:hAnchor="margin" w:xAlign="center" w:y="1"/>
      <w:rPr>
        <w:rStyle w:val="Oldalszm"/>
        <w:sz w:val="20"/>
        <w:szCs w:val="18"/>
      </w:rPr>
    </w:pPr>
    <w:r w:rsidRPr="00F61DD0">
      <w:rPr>
        <w:rStyle w:val="Oldalszm"/>
        <w:sz w:val="20"/>
        <w:szCs w:val="18"/>
      </w:rPr>
      <w:fldChar w:fldCharType="begin"/>
    </w:r>
    <w:r w:rsidRPr="00F61DD0">
      <w:rPr>
        <w:rStyle w:val="Oldalszm"/>
        <w:sz w:val="20"/>
        <w:szCs w:val="18"/>
      </w:rPr>
      <w:instrText xml:space="preserve">PAGE  </w:instrText>
    </w:r>
    <w:r w:rsidRPr="00F61DD0">
      <w:rPr>
        <w:rStyle w:val="Oldalszm"/>
        <w:sz w:val="20"/>
        <w:szCs w:val="18"/>
      </w:rPr>
      <w:fldChar w:fldCharType="separate"/>
    </w:r>
    <w:r w:rsidR="001E33CD">
      <w:rPr>
        <w:rStyle w:val="Oldalszm"/>
        <w:noProof/>
        <w:sz w:val="20"/>
        <w:szCs w:val="18"/>
      </w:rPr>
      <w:t>2</w:t>
    </w:r>
    <w:r w:rsidRPr="00F61DD0">
      <w:rPr>
        <w:rStyle w:val="Oldalszm"/>
        <w:sz w:val="20"/>
        <w:szCs w:val="18"/>
      </w:rPr>
      <w:fldChar w:fldCharType="end"/>
    </w:r>
  </w:p>
  <w:p w14:paraId="7E983128" w14:textId="77777777" w:rsidR="009B273E" w:rsidRDefault="009B273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F32A1"/>
    <w:multiLevelType w:val="hybridMultilevel"/>
    <w:tmpl w:val="44D867E6"/>
    <w:lvl w:ilvl="0" w:tplc="DE5AD7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0E50C0"/>
    <w:multiLevelType w:val="hybridMultilevel"/>
    <w:tmpl w:val="F8EC13C8"/>
    <w:lvl w:ilvl="0" w:tplc="DE5AD7D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DE5AD7D8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600EE"/>
    <w:multiLevelType w:val="hybridMultilevel"/>
    <w:tmpl w:val="9506B25A"/>
    <w:lvl w:ilvl="0" w:tplc="DE5AD7D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D268F"/>
    <w:multiLevelType w:val="hybridMultilevel"/>
    <w:tmpl w:val="C1F2F4F8"/>
    <w:lvl w:ilvl="0" w:tplc="34AE60CA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5C0377"/>
    <w:multiLevelType w:val="hybridMultilevel"/>
    <w:tmpl w:val="3D901C92"/>
    <w:lvl w:ilvl="0" w:tplc="E1D8C0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0238E"/>
    <w:multiLevelType w:val="hybridMultilevel"/>
    <w:tmpl w:val="53D0D9D2"/>
    <w:lvl w:ilvl="0" w:tplc="DE5AD7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691C08"/>
    <w:multiLevelType w:val="hybridMultilevel"/>
    <w:tmpl w:val="29B2F77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539ED"/>
    <w:multiLevelType w:val="hybridMultilevel"/>
    <w:tmpl w:val="EFCC219C"/>
    <w:lvl w:ilvl="0" w:tplc="DE5AD7D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DE5AD7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25DEE"/>
    <w:multiLevelType w:val="multilevel"/>
    <w:tmpl w:val="6474150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D033AB2"/>
    <w:multiLevelType w:val="hybridMultilevel"/>
    <w:tmpl w:val="F7A06D34"/>
    <w:lvl w:ilvl="0" w:tplc="DE5AD7D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8313C"/>
    <w:multiLevelType w:val="multilevel"/>
    <w:tmpl w:val="01988356"/>
    <w:lvl w:ilvl="0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D30925"/>
    <w:multiLevelType w:val="hybridMultilevel"/>
    <w:tmpl w:val="E9E48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87B0E"/>
    <w:multiLevelType w:val="hybridMultilevel"/>
    <w:tmpl w:val="59B02E54"/>
    <w:lvl w:ilvl="0" w:tplc="DE5A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46BF6"/>
    <w:multiLevelType w:val="hybridMultilevel"/>
    <w:tmpl w:val="0BECB4C0"/>
    <w:lvl w:ilvl="0" w:tplc="C47EC74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2367B4"/>
    <w:multiLevelType w:val="hybridMultilevel"/>
    <w:tmpl w:val="488CB442"/>
    <w:lvl w:ilvl="0" w:tplc="DE5A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61F21"/>
    <w:multiLevelType w:val="hybridMultilevel"/>
    <w:tmpl w:val="CE485266"/>
    <w:lvl w:ilvl="0" w:tplc="24D09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0266"/>
    <w:multiLevelType w:val="hybridMultilevel"/>
    <w:tmpl w:val="5AE0B666"/>
    <w:lvl w:ilvl="0" w:tplc="E1D8C02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E23FD"/>
    <w:multiLevelType w:val="hybridMultilevel"/>
    <w:tmpl w:val="49D85BC8"/>
    <w:lvl w:ilvl="0" w:tplc="DE5AD7D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553F1"/>
    <w:multiLevelType w:val="hybridMultilevel"/>
    <w:tmpl w:val="93DAAC88"/>
    <w:lvl w:ilvl="0" w:tplc="789C6052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C0DCF"/>
    <w:multiLevelType w:val="hybridMultilevel"/>
    <w:tmpl w:val="01988356"/>
    <w:lvl w:ilvl="0" w:tplc="5A66838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7C63D6"/>
    <w:multiLevelType w:val="hybridMultilevel"/>
    <w:tmpl w:val="0602D3B0"/>
    <w:lvl w:ilvl="0" w:tplc="E1D8C02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</w:rPr>
    </w:lvl>
    <w:lvl w:ilvl="1" w:tplc="DE5AD7D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224E1"/>
    <w:multiLevelType w:val="hybridMultilevel"/>
    <w:tmpl w:val="174ABE38"/>
    <w:lvl w:ilvl="0" w:tplc="2E7E07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8"/>
  </w:num>
  <w:num w:numId="5">
    <w:abstractNumId w:val="17"/>
  </w:num>
  <w:num w:numId="6">
    <w:abstractNumId w:val="2"/>
  </w:num>
  <w:num w:numId="7">
    <w:abstractNumId w:val="21"/>
  </w:num>
  <w:num w:numId="8">
    <w:abstractNumId w:val="20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7"/>
  </w:num>
  <w:num w:numId="20">
    <w:abstractNumId w:val="19"/>
  </w:num>
  <w:num w:numId="21">
    <w:abstractNumId w:val="16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7D"/>
    <w:rsid w:val="00007F68"/>
    <w:rsid w:val="000107DC"/>
    <w:rsid w:val="0001366C"/>
    <w:rsid w:val="00014C2B"/>
    <w:rsid w:val="000338CC"/>
    <w:rsid w:val="000359DD"/>
    <w:rsid w:val="00035B15"/>
    <w:rsid w:val="00040881"/>
    <w:rsid w:val="00043ACD"/>
    <w:rsid w:val="00046911"/>
    <w:rsid w:val="00051B38"/>
    <w:rsid w:val="00062B0C"/>
    <w:rsid w:val="00063572"/>
    <w:rsid w:val="0006704D"/>
    <w:rsid w:val="00067604"/>
    <w:rsid w:val="00075E4E"/>
    <w:rsid w:val="00081651"/>
    <w:rsid w:val="00081709"/>
    <w:rsid w:val="0008210E"/>
    <w:rsid w:val="00085EDE"/>
    <w:rsid w:val="00092C4F"/>
    <w:rsid w:val="000933C3"/>
    <w:rsid w:val="00096891"/>
    <w:rsid w:val="00097427"/>
    <w:rsid w:val="00097898"/>
    <w:rsid w:val="000A1821"/>
    <w:rsid w:val="000A52A7"/>
    <w:rsid w:val="000A7311"/>
    <w:rsid w:val="000B1D76"/>
    <w:rsid w:val="000B46D5"/>
    <w:rsid w:val="000B4746"/>
    <w:rsid w:val="000B4AB6"/>
    <w:rsid w:val="000B51A3"/>
    <w:rsid w:val="000C0B67"/>
    <w:rsid w:val="000C2503"/>
    <w:rsid w:val="000C2564"/>
    <w:rsid w:val="000C3C30"/>
    <w:rsid w:val="000C4053"/>
    <w:rsid w:val="000D1699"/>
    <w:rsid w:val="000D1D39"/>
    <w:rsid w:val="000D28B8"/>
    <w:rsid w:val="000D3140"/>
    <w:rsid w:val="000D7D7B"/>
    <w:rsid w:val="000E3FD7"/>
    <w:rsid w:val="000E7FFD"/>
    <w:rsid w:val="000F224E"/>
    <w:rsid w:val="000F481B"/>
    <w:rsid w:val="00111B74"/>
    <w:rsid w:val="001129F2"/>
    <w:rsid w:val="001142D1"/>
    <w:rsid w:val="001172CB"/>
    <w:rsid w:val="00124471"/>
    <w:rsid w:val="00131418"/>
    <w:rsid w:val="00140F10"/>
    <w:rsid w:val="00141CEF"/>
    <w:rsid w:val="00141F41"/>
    <w:rsid w:val="001455CB"/>
    <w:rsid w:val="001540C0"/>
    <w:rsid w:val="00156273"/>
    <w:rsid w:val="001632F9"/>
    <w:rsid w:val="001655CE"/>
    <w:rsid w:val="00167195"/>
    <w:rsid w:val="00174781"/>
    <w:rsid w:val="00177759"/>
    <w:rsid w:val="00184080"/>
    <w:rsid w:val="001A6C8F"/>
    <w:rsid w:val="001B015E"/>
    <w:rsid w:val="001B3A0E"/>
    <w:rsid w:val="001C1CFD"/>
    <w:rsid w:val="001C2C23"/>
    <w:rsid w:val="001C564E"/>
    <w:rsid w:val="001C614D"/>
    <w:rsid w:val="001D423D"/>
    <w:rsid w:val="001E0528"/>
    <w:rsid w:val="001E1D9D"/>
    <w:rsid w:val="001E33CD"/>
    <w:rsid w:val="001E5440"/>
    <w:rsid w:val="001E7959"/>
    <w:rsid w:val="001F734A"/>
    <w:rsid w:val="002007EA"/>
    <w:rsid w:val="00207818"/>
    <w:rsid w:val="00207FCF"/>
    <w:rsid w:val="002100A6"/>
    <w:rsid w:val="002139E1"/>
    <w:rsid w:val="00214565"/>
    <w:rsid w:val="002258CA"/>
    <w:rsid w:val="002315BF"/>
    <w:rsid w:val="0023695C"/>
    <w:rsid w:val="0024524C"/>
    <w:rsid w:val="00253F5F"/>
    <w:rsid w:val="002560CE"/>
    <w:rsid w:val="00256279"/>
    <w:rsid w:val="00263053"/>
    <w:rsid w:val="00266E9C"/>
    <w:rsid w:val="00271B6C"/>
    <w:rsid w:val="00271E06"/>
    <w:rsid w:val="00272B02"/>
    <w:rsid w:val="002763C1"/>
    <w:rsid w:val="0028146A"/>
    <w:rsid w:val="00293350"/>
    <w:rsid w:val="002941FA"/>
    <w:rsid w:val="00295514"/>
    <w:rsid w:val="0029714F"/>
    <w:rsid w:val="002A1E46"/>
    <w:rsid w:val="002A23CE"/>
    <w:rsid w:val="002B3477"/>
    <w:rsid w:val="002B3618"/>
    <w:rsid w:val="002B709E"/>
    <w:rsid w:val="002B732F"/>
    <w:rsid w:val="002C1E64"/>
    <w:rsid w:val="002C3E71"/>
    <w:rsid w:val="002C6C8D"/>
    <w:rsid w:val="002D3F33"/>
    <w:rsid w:val="002D580E"/>
    <w:rsid w:val="002E780B"/>
    <w:rsid w:val="002F29D2"/>
    <w:rsid w:val="002F5706"/>
    <w:rsid w:val="00317835"/>
    <w:rsid w:val="0032161A"/>
    <w:rsid w:val="003248EE"/>
    <w:rsid w:val="003257FF"/>
    <w:rsid w:val="00333AFC"/>
    <w:rsid w:val="00344B5A"/>
    <w:rsid w:val="00350BE2"/>
    <w:rsid w:val="003575E6"/>
    <w:rsid w:val="0035760C"/>
    <w:rsid w:val="00361E4D"/>
    <w:rsid w:val="00362D6A"/>
    <w:rsid w:val="00374679"/>
    <w:rsid w:val="003947B2"/>
    <w:rsid w:val="003A1573"/>
    <w:rsid w:val="003A293F"/>
    <w:rsid w:val="003B20F3"/>
    <w:rsid w:val="003B6A26"/>
    <w:rsid w:val="003C1F4E"/>
    <w:rsid w:val="003D643E"/>
    <w:rsid w:val="003D65D1"/>
    <w:rsid w:val="003E3D69"/>
    <w:rsid w:val="003F055F"/>
    <w:rsid w:val="003F075B"/>
    <w:rsid w:val="00401B92"/>
    <w:rsid w:val="00402DAB"/>
    <w:rsid w:val="004063FA"/>
    <w:rsid w:val="004112A8"/>
    <w:rsid w:val="00414D92"/>
    <w:rsid w:val="00414E56"/>
    <w:rsid w:val="004262E8"/>
    <w:rsid w:val="00427639"/>
    <w:rsid w:val="00427EDB"/>
    <w:rsid w:val="004313F7"/>
    <w:rsid w:val="004334C5"/>
    <w:rsid w:val="00433A56"/>
    <w:rsid w:val="00434455"/>
    <w:rsid w:val="00436D7A"/>
    <w:rsid w:val="00436DED"/>
    <w:rsid w:val="00455149"/>
    <w:rsid w:val="00456402"/>
    <w:rsid w:val="004607F7"/>
    <w:rsid w:val="004637F9"/>
    <w:rsid w:val="004645A8"/>
    <w:rsid w:val="00470129"/>
    <w:rsid w:val="00476380"/>
    <w:rsid w:val="0047739C"/>
    <w:rsid w:val="00482B8A"/>
    <w:rsid w:val="00497940"/>
    <w:rsid w:val="00497A9D"/>
    <w:rsid w:val="004A022C"/>
    <w:rsid w:val="004A274E"/>
    <w:rsid w:val="004A29AE"/>
    <w:rsid w:val="004A2E21"/>
    <w:rsid w:val="004B2A7F"/>
    <w:rsid w:val="004B3012"/>
    <w:rsid w:val="004C36CA"/>
    <w:rsid w:val="004C4714"/>
    <w:rsid w:val="004C5B28"/>
    <w:rsid w:val="004D211C"/>
    <w:rsid w:val="004D2585"/>
    <w:rsid w:val="004D77E5"/>
    <w:rsid w:val="004F24DD"/>
    <w:rsid w:val="0050047D"/>
    <w:rsid w:val="00504C4E"/>
    <w:rsid w:val="00505353"/>
    <w:rsid w:val="00511E4E"/>
    <w:rsid w:val="00522B46"/>
    <w:rsid w:val="0052526A"/>
    <w:rsid w:val="0053195E"/>
    <w:rsid w:val="00532A92"/>
    <w:rsid w:val="005347C8"/>
    <w:rsid w:val="005618E8"/>
    <w:rsid w:val="00566C7C"/>
    <w:rsid w:val="00573A45"/>
    <w:rsid w:val="00575EC4"/>
    <w:rsid w:val="00576ECA"/>
    <w:rsid w:val="00577759"/>
    <w:rsid w:val="00580876"/>
    <w:rsid w:val="00581386"/>
    <w:rsid w:val="00582CA1"/>
    <w:rsid w:val="00583D49"/>
    <w:rsid w:val="00590254"/>
    <w:rsid w:val="00591DA8"/>
    <w:rsid w:val="005B12AE"/>
    <w:rsid w:val="005B5C13"/>
    <w:rsid w:val="005B79DE"/>
    <w:rsid w:val="005C2426"/>
    <w:rsid w:val="005D1638"/>
    <w:rsid w:val="005D7585"/>
    <w:rsid w:val="005E305B"/>
    <w:rsid w:val="005F210D"/>
    <w:rsid w:val="00600BF3"/>
    <w:rsid w:val="00602EDD"/>
    <w:rsid w:val="00606459"/>
    <w:rsid w:val="00607699"/>
    <w:rsid w:val="00625D2B"/>
    <w:rsid w:val="0063315C"/>
    <w:rsid w:val="0063560B"/>
    <w:rsid w:val="006361BF"/>
    <w:rsid w:val="00636213"/>
    <w:rsid w:val="00636EC9"/>
    <w:rsid w:val="00644855"/>
    <w:rsid w:val="006474F6"/>
    <w:rsid w:val="006518AD"/>
    <w:rsid w:val="00660C90"/>
    <w:rsid w:val="00670FA8"/>
    <w:rsid w:val="0067260C"/>
    <w:rsid w:val="00673E3F"/>
    <w:rsid w:val="00676E2F"/>
    <w:rsid w:val="00677D65"/>
    <w:rsid w:val="00683B4A"/>
    <w:rsid w:val="00683BEE"/>
    <w:rsid w:val="00687128"/>
    <w:rsid w:val="00687468"/>
    <w:rsid w:val="0069742A"/>
    <w:rsid w:val="006A15F7"/>
    <w:rsid w:val="006A5806"/>
    <w:rsid w:val="006A62AD"/>
    <w:rsid w:val="006B1B69"/>
    <w:rsid w:val="006B2A21"/>
    <w:rsid w:val="006C4D62"/>
    <w:rsid w:val="006D2596"/>
    <w:rsid w:val="006E39EE"/>
    <w:rsid w:val="006E566E"/>
    <w:rsid w:val="006E5B25"/>
    <w:rsid w:val="006E5E5E"/>
    <w:rsid w:val="006F2411"/>
    <w:rsid w:val="006F7EEC"/>
    <w:rsid w:val="0070121E"/>
    <w:rsid w:val="00702885"/>
    <w:rsid w:val="007108FA"/>
    <w:rsid w:val="00714A77"/>
    <w:rsid w:val="00715A4D"/>
    <w:rsid w:val="00721289"/>
    <w:rsid w:val="00721A47"/>
    <w:rsid w:val="007224F6"/>
    <w:rsid w:val="00726793"/>
    <w:rsid w:val="007318F4"/>
    <w:rsid w:val="00744EEF"/>
    <w:rsid w:val="00746416"/>
    <w:rsid w:val="00751650"/>
    <w:rsid w:val="00752A7D"/>
    <w:rsid w:val="00754CDC"/>
    <w:rsid w:val="0076142A"/>
    <w:rsid w:val="00766D9F"/>
    <w:rsid w:val="00773FA9"/>
    <w:rsid w:val="00783ECA"/>
    <w:rsid w:val="007843AB"/>
    <w:rsid w:val="00795342"/>
    <w:rsid w:val="007B0305"/>
    <w:rsid w:val="007C0851"/>
    <w:rsid w:val="007C6A67"/>
    <w:rsid w:val="007D0CF9"/>
    <w:rsid w:val="007D3904"/>
    <w:rsid w:val="007D5D00"/>
    <w:rsid w:val="007D608D"/>
    <w:rsid w:val="007E2419"/>
    <w:rsid w:val="007E27A9"/>
    <w:rsid w:val="007E2903"/>
    <w:rsid w:val="007E74E7"/>
    <w:rsid w:val="007F221E"/>
    <w:rsid w:val="007F5DD2"/>
    <w:rsid w:val="007F6C48"/>
    <w:rsid w:val="00800E70"/>
    <w:rsid w:val="008041E9"/>
    <w:rsid w:val="00817718"/>
    <w:rsid w:val="0082353C"/>
    <w:rsid w:val="00823E75"/>
    <w:rsid w:val="008320CB"/>
    <w:rsid w:val="008355FF"/>
    <w:rsid w:val="0084108C"/>
    <w:rsid w:val="00841AE2"/>
    <w:rsid w:val="00842BAB"/>
    <w:rsid w:val="008447B7"/>
    <w:rsid w:val="00852BF0"/>
    <w:rsid w:val="00854CEF"/>
    <w:rsid w:val="008623A8"/>
    <w:rsid w:val="008641E6"/>
    <w:rsid w:val="00865EEE"/>
    <w:rsid w:val="0086636D"/>
    <w:rsid w:val="00876B6C"/>
    <w:rsid w:val="00880C3F"/>
    <w:rsid w:val="00897FF9"/>
    <w:rsid w:val="008A0B90"/>
    <w:rsid w:val="008A5EFD"/>
    <w:rsid w:val="008B3569"/>
    <w:rsid w:val="008C1F79"/>
    <w:rsid w:val="008D5E32"/>
    <w:rsid w:val="008D6FC8"/>
    <w:rsid w:val="008E3B30"/>
    <w:rsid w:val="008E4B6A"/>
    <w:rsid w:val="008E5CB4"/>
    <w:rsid w:val="008F0CA6"/>
    <w:rsid w:val="008F3631"/>
    <w:rsid w:val="00901651"/>
    <w:rsid w:val="00902CA9"/>
    <w:rsid w:val="009073EA"/>
    <w:rsid w:val="00925B6A"/>
    <w:rsid w:val="00926AAD"/>
    <w:rsid w:val="00931784"/>
    <w:rsid w:val="00943F73"/>
    <w:rsid w:val="00952148"/>
    <w:rsid w:val="00954F26"/>
    <w:rsid w:val="00967CA4"/>
    <w:rsid w:val="00971808"/>
    <w:rsid w:val="00974283"/>
    <w:rsid w:val="009817E4"/>
    <w:rsid w:val="00990D07"/>
    <w:rsid w:val="00991BA9"/>
    <w:rsid w:val="009922FC"/>
    <w:rsid w:val="00996619"/>
    <w:rsid w:val="009A05F4"/>
    <w:rsid w:val="009A6077"/>
    <w:rsid w:val="009B16F8"/>
    <w:rsid w:val="009B273E"/>
    <w:rsid w:val="009D05EC"/>
    <w:rsid w:val="009D06EC"/>
    <w:rsid w:val="009D634C"/>
    <w:rsid w:val="009E030C"/>
    <w:rsid w:val="009E2A7D"/>
    <w:rsid w:val="009F1165"/>
    <w:rsid w:val="009F179D"/>
    <w:rsid w:val="009F2DEF"/>
    <w:rsid w:val="00A01831"/>
    <w:rsid w:val="00A01FD9"/>
    <w:rsid w:val="00A24318"/>
    <w:rsid w:val="00A27315"/>
    <w:rsid w:val="00A27CF1"/>
    <w:rsid w:val="00A33848"/>
    <w:rsid w:val="00A36C44"/>
    <w:rsid w:val="00A378F6"/>
    <w:rsid w:val="00A415C4"/>
    <w:rsid w:val="00A517F2"/>
    <w:rsid w:val="00A52AB0"/>
    <w:rsid w:val="00A609C4"/>
    <w:rsid w:val="00A627DC"/>
    <w:rsid w:val="00A7480B"/>
    <w:rsid w:val="00A76E09"/>
    <w:rsid w:val="00A8372A"/>
    <w:rsid w:val="00A83D7D"/>
    <w:rsid w:val="00A875AF"/>
    <w:rsid w:val="00A964B6"/>
    <w:rsid w:val="00AA3545"/>
    <w:rsid w:val="00AA3AEE"/>
    <w:rsid w:val="00AA5DCC"/>
    <w:rsid w:val="00AC0488"/>
    <w:rsid w:val="00AC26A6"/>
    <w:rsid w:val="00AC30F7"/>
    <w:rsid w:val="00AC3C3F"/>
    <w:rsid w:val="00AD2DC0"/>
    <w:rsid w:val="00AD2E5C"/>
    <w:rsid w:val="00AD415D"/>
    <w:rsid w:val="00AE52A9"/>
    <w:rsid w:val="00AF577E"/>
    <w:rsid w:val="00B10208"/>
    <w:rsid w:val="00B1163E"/>
    <w:rsid w:val="00B14543"/>
    <w:rsid w:val="00B32722"/>
    <w:rsid w:val="00B43D18"/>
    <w:rsid w:val="00B5064E"/>
    <w:rsid w:val="00B55240"/>
    <w:rsid w:val="00B6663F"/>
    <w:rsid w:val="00B67144"/>
    <w:rsid w:val="00B67A26"/>
    <w:rsid w:val="00B842D9"/>
    <w:rsid w:val="00B84F87"/>
    <w:rsid w:val="00B95ADB"/>
    <w:rsid w:val="00B9627E"/>
    <w:rsid w:val="00BB0FA3"/>
    <w:rsid w:val="00BB30ED"/>
    <w:rsid w:val="00BB57C6"/>
    <w:rsid w:val="00BC32CE"/>
    <w:rsid w:val="00BC60B9"/>
    <w:rsid w:val="00BC6225"/>
    <w:rsid w:val="00BE5DB5"/>
    <w:rsid w:val="00BF0DEC"/>
    <w:rsid w:val="00BF2CD5"/>
    <w:rsid w:val="00BF3331"/>
    <w:rsid w:val="00C05CB1"/>
    <w:rsid w:val="00C12A33"/>
    <w:rsid w:val="00C21950"/>
    <w:rsid w:val="00C336CF"/>
    <w:rsid w:val="00C42AA6"/>
    <w:rsid w:val="00C43524"/>
    <w:rsid w:val="00C46806"/>
    <w:rsid w:val="00C50112"/>
    <w:rsid w:val="00C51146"/>
    <w:rsid w:val="00C52945"/>
    <w:rsid w:val="00C5662D"/>
    <w:rsid w:val="00C6224A"/>
    <w:rsid w:val="00C825D6"/>
    <w:rsid w:val="00C836C9"/>
    <w:rsid w:val="00C867B7"/>
    <w:rsid w:val="00C86F8C"/>
    <w:rsid w:val="00C8768E"/>
    <w:rsid w:val="00C912A2"/>
    <w:rsid w:val="00C92611"/>
    <w:rsid w:val="00C93C1B"/>
    <w:rsid w:val="00C94D58"/>
    <w:rsid w:val="00CA2B89"/>
    <w:rsid w:val="00CB219B"/>
    <w:rsid w:val="00CB27D4"/>
    <w:rsid w:val="00CB2A92"/>
    <w:rsid w:val="00CB4517"/>
    <w:rsid w:val="00CD2906"/>
    <w:rsid w:val="00CD5FC5"/>
    <w:rsid w:val="00CE1BAD"/>
    <w:rsid w:val="00CE1DB0"/>
    <w:rsid w:val="00CE2ED3"/>
    <w:rsid w:val="00CE7E36"/>
    <w:rsid w:val="00CF5B37"/>
    <w:rsid w:val="00D02A31"/>
    <w:rsid w:val="00D06D16"/>
    <w:rsid w:val="00D1209C"/>
    <w:rsid w:val="00D1417A"/>
    <w:rsid w:val="00D210EF"/>
    <w:rsid w:val="00D21FCC"/>
    <w:rsid w:val="00D220B3"/>
    <w:rsid w:val="00D30206"/>
    <w:rsid w:val="00D3037E"/>
    <w:rsid w:val="00D349C3"/>
    <w:rsid w:val="00D36BD9"/>
    <w:rsid w:val="00D4277B"/>
    <w:rsid w:val="00D5025B"/>
    <w:rsid w:val="00D50A29"/>
    <w:rsid w:val="00D5373F"/>
    <w:rsid w:val="00D555C7"/>
    <w:rsid w:val="00D55D2E"/>
    <w:rsid w:val="00D75023"/>
    <w:rsid w:val="00D76591"/>
    <w:rsid w:val="00D806FF"/>
    <w:rsid w:val="00D82B46"/>
    <w:rsid w:val="00D86086"/>
    <w:rsid w:val="00D92306"/>
    <w:rsid w:val="00D97F8B"/>
    <w:rsid w:val="00DA5D09"/>
    <w:rsid w:val="00DB33FD"/>
    <w:rsid w:val="00DC33AE"/>
    <w:rsid w:val="00DC3A34"/>
    <w:rsid w:val="00DC4748"/>
    <w:rsid w:val="00DD4CB5"/>
    <w:rsid w:val="00DD56BC"/>
    <w:rsid w:val="00DE0644"/>
    <w:rsid w:val="00DE0929"/>
    <w:rsid w:val="00DE0B1D"/>
    <w:rsid w:val="00DE3E47"/>
    <w:rsid w:val="00DF7EBB"/>
    <w:rsid w:val="00E00A4A"/>
    <w:rsid w:val="00E0275E"/>
    <w:rsid w:val="00E06008"/>
    <w:rsid w:val="00E12EC1"/>
    <w:rsid w:val="00E30F9E"/>
    <w:rsid w:val="00E31FB5"/>
    <w:rsid w:val="00E420B6"/>
    <w:rsid w:val="00E43CA5"/>
    <w:rsid w:val="00E44490"/>
    <w:rsid w:val="00E56735"/>
    <w:rsid w:val="00E611E5"/>
    <w:rsid w:val="00E627F3"/>
    <w:rsid w:val="00E64C9C"/>
    <w:rsid w:val="00E67151"/>
    <w:rsid w:val="00E82740"/>
    <w:rsid w:val="00E87191"/>
    <w:rsid w:val="00E90DA2"/>
    <w:rsid w:val="00E92A28"/>
    <w:rsid w:val="00E9434B"/>
    <w:rsid w:val="00E95DD5"/>
    <w:rsid w:val="00EB011E"/>
    <w:rsid w:val="00EB0AA5"/>
    <w:rsid w:val="00EB48FE"/>
    <w:rsid w:val="00EB50BA"/>
    <w:rsid w:val="00EB61F1"/>
    <w:rsid w:val="00EB6DFA"/>
    <w:rsid w:val="00EC1517"/>
    <w:rsid w:val="00EC5CE8"/>
    <w:rsid w:val="00ED066B"/>
    <w:rsid w:val="00EE22D6"/>
    <w:rsid w:val="00EE27DC"/>
    <w:rsid w:val="00EE341B"/>
    <w:rsid w:val="00EE4DFC"/>
    <w:rsid w:val="00EE66DF"/>
    <w:rsid w:val="00EE6863"/>
    <w:rsid w:val="00EF2199"/>
    <w:rsid w:val="00F02F26"/>
    <w:rsid w:val="00F04424"/>
    <w:rsid w:val="00F14120"/>
    <w:rsid w:val="00F165BF"/>
    <w:rsid w:val="00F2212C"/>
    <w:rsid w:val="00F2495D"/>
    <w:rsid w:val="00F314DE"/>
    <w:rsid w:val="00F328D9"/>
    <w:rsid w:val="00F3326F"/>
    <w:rsid w:val="00F40E33"/>
    <w:rsid w:val="00F462F1"/>
    <w:rsid w:val="00F46CA1"/>
    <w:rsid w:val="00F52587"/>
    <w:rsid w:val="00F54AAB"/>
    <w:rsid w:val="00F61DD0"/>
    <w:rsid w:val="00F625FC"/>
    <w:rsid w:val="00F62FA1"/>
    <w:rsid w:val="00F6596A"/>
    <w:rsid w:val="00F67D8E"/>
    <w:rsid w:val="00F801A2"/>
    <w:rsid w:val="00F80B61"/>
    <w:rsid w:val="00F836D0"/>
    <w:rsid w:val="00F83F09"/>
    <w:rsid w:val="00F84FA9"/>
    <w:rsid w:val="00F8516E"/>
    <w:rsid w:val="00FA7359"/>
    <w:rsid w:val="00FA7591"/>
    <w:rsid w:val="00FA764A"/>
    <w:rsid w:val="00FB3C4C"/>
    <w:rsid w:val="00FC6329"/>
    <w:rsid w:val="00FD1164"/>
    <w:rsid w:val="00FD7F80"/>
    <w:rsid w:val="00FE0253"/>
    <w:rsid w:val="00FE1ADC"/>
    <w:rsid w:val="00FE3E5A"/>
    <w:rsid w:val="00FE590E"/>
    <w:rsid w:val="00FE6F9F"/>
    <w:rsid w:val="00FE7D93"/>
    <w:rsid w:val="00FF52E5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24383F9A"/>
  <w15:chartTrackingRefBased/>
  <w15:docId w15:val="{005FB5B2-6F5B-44DE-8154-75F51FFC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3D7D"/>
    <w:rPr>
      <w:sz w:val="22"/>
      <w:lang w:val="en-GB"/>
    </w:rPr>
  </w:style>
  <w:style w:type="paragraph" w:styleId="Cmsor1">
    <w:name w:val="heading 1"/>
    <w:basedOn w:val="Norml"/>
    <w:next w:val="Norml"/>
    <w:qFormat/>
    <w:rsid w:val="00A83D7D"/>
    <w:pPr>
      <w:keepNext/>
      <w:jc w:val="both"/>
      <w:outlineLvl w:val="0"/>
    </w:pPr>
    <w:rPr>
      <w:b/>
      <w:sz w:val="26"/>
      <w:lang w:val="hu-HU" w:eastAsia="hu-HU"/>
    </w:rPr>
  </w:style>
  <w:style w:type="paragraph" w:styleId="Cmsor4">
    <w:name w:val="heading 4"/>
    <w:basedOn w:val="Norml"/>
    <w:next w:val="Norml"/>
    <w:qFormat/>
    <w:rsid w:val="00A83D7D"/>
    <w:pPr>
      <w:keepNext/>
      <w:outlineLvl w:val="3"/>
    </w:pPr>
    <w:rPr>
      <w:sz w:val="26"/>
      <w:lang w:val="hu-HU" w:eastAsia="hu-HU"/>
    </w:rPr>
  </w:style>
  <w:style w:type="paragraph" w:styleId="Cmsor5">
    <w:name w:val="heading 5"/>
    <w:basedOn w:val="Norml"/>
    <w:next w:val="Norml"/>
    <w:qFormat/>
    <w:rsid w:val="00A83D7D"/>
    <w:pPr>
      <w:keepNext/>
      <w:outlineLvl w:val="4"/>
    </w:pPr>
    <w:rPr>
      <w:b/>
      <w:sz w:val="26"/>
      <w:u w:val="single"/>
      <w:lang w:val="hu-HU" w:eastAsia="hu-HU"/>
    </w:rPr>
  </w:style>
  <w:style w:type="paragraph" w:styleId="Cmsor7">
    <w:name w:val="heading 7"/>
    <w:basedOn w:val="Norml"/>
    <w:next w:val="Norml"/>
    <w:qFormat/>
    <w:rsid w:val="00A83D7D"/>
    <w:pPr>
      <w:keepNext/>
      <w:tabs>
        <w:tab w:val="left" w:pos="567"/>
      </w:tabs>
      <w:outlineLvl w:val="6"/>
    </w:pPr>
    <w:rPr>
      <w:b/>
      <w:bCs/>
      <w:lang w:val="hu-HU" w:eastAsia="hu-HU"/>
    </w:rPr>
  </w:style>
  <w:style w:type="paragraph" w:styleId="Cmsor8">
    <w:name w:val="heading 8"/>
    <w:basedOn w:val="Norml"/>
    <w:next w:val="Norml"/>
    <w:qFormat/>
    <w:rsid w:val="00A83D7D"/>
    <w:pPr>
      <w:keepNext/>
      <w:tabs>
        <w:tab w:val="left" w:pos="567"/>
      </w:tabs>
      <w:outlineLvl w:val="7"/>
    </w:pPr>
    <w:rPr>
      <w:u w:val="single"/>
      <w:lang w:val="hu-HU" w:eastAsia="hu-HU"/>
    </w:rPr>
  </w:style>
  <w:style w:type="paragraph" w:styleId="Cmsor9">
    <w:name w:val="heading 9"/>
    <w:basedOn w:val="Norml"/>
    <w:next w:val="Norml"/>
    <w:qFormat/>
    <w:rsid w:val="00A83D7D"/>
    <w:pPr>
      <w:keepNext/>
      <w:tabs>
        <w:tab w:val="left" w:pos="567"/>
        <w:tab w:val="left" w:pos="709"/>
        <w:tab w:val="left" w:pos="9284"/>
      </w:tabs>
      <w:outlineLvl w:val="8"/>
    </w:pPr>
    <w:rPr>
      <w:i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A83D7D"/>
    <w:pPr>
      <w:spacing w:after="120" w:line="480" w:lineRule="auto"/>
    </w:pPr>
  </w:style>
  <w:style w:type="paragraph" w:styleId="Szvegtrzsbehzssal">
    <w:name w:val="Body Text Indent"/>
    <w:basedOn w:val="Norml"/>
    <w:rsid w:val="00A83D7D"/>
    <w:pPr>
      <w:spacing w:after="120"/>
      <w:ind w:left="283"/>
    </w:pPr>
  </w:style>
  <w:style w:type="paragraph" w:styleId="Szvegtrzsbehzssal3">
    <w:name w:val="Body Text Indent 3"/>
    <w:basedOn w:val="Norml"/>
    <w:rsid w:val="00A83D7D"/>
    <w:pPr>
      <w:spacing w:after="120"/>
      <w:ind w:left="283"/>
    </w:pPr>
    <w:rPr>
      <w:sz w:val="16"/>
      <w:szCs w:val="16"/>
    </w:rPr>
  </w:style>
  <w:style w:type="paragraph" w:styleId="Szvegtrzs3">
    <w:name w:val="Body Text 3"/>
    <w:basedOn w:val="Norml"/>
    <w:rsid w:val="00A83D7D"/>
    <w:pPr>
      <w:spacing w:after="120"/>
    </w:pPr>
    <w:rPr>
      <w:sz w:val="16"/>
      <w:szCs w:val="16"/>
    </w:rPr>
  </w:style>
  <w:style w:type="paragraph" w:customStyle="1" w:styleId="WW-Szvegtrzs212">
    <w:name w:val="WW-Szövegtörzs 212"/>
    <w:basedOn w:val="Norml"/>
    <w:rsid w:val="00A83D7D"/>
    <w:pPr>
      <w:suppressAutoHyphens/>
      <w:spacing w:line="260" w:lineRule="atLeast"/>
      <w:ind w:left="567" w:hanging="567"/>
    </w:pPr>
    <w:rPr>
      <w:b/>
      <w:lang w:eastAsia="ar-SA"/>
    </w:rPr>
  </w:style>
  <w:style w:type="paragraph" w:customStyle="1" w:styleId="WW-NormlWeb">
    <w:name w:val="WW-Normál (Web)"/>
    <w:basedOn w:val="Norml"/>
    <w:rsid w:val="00A83D7D"/>
    <w:pPr>
      <w:suppressAutoHyphens/>
      <w:spacing w:before="100" w:after="119" w:line="260" w:lineRule="atLeast"/>
    </w:pPr>
    <w:rPr>
      <w:rFonts w:ascii="Arial Unicode MS" w:eastAsia="Arial Unicode MS" w:hAnsi="Arial Unicode MS"/>
      <w:sz w:val="24"/>
      <w:lang w:val="hu-HU" w:eastAsia="ar-SA"/>
    </w:rPr>
  </w:style>
  <w:style w:type="paragraph" w:styleId="Vgjegyzetszvege">
    <w:name w:val="endnote text"/>
    <w:basedOn w:val="Norml"/>
    <w:next w:val="Norml"/>
    <w:link w:val="VgjegyzetszvegeChar"/>
    <w:uiPriority w:val="99"/>
    <w:rsid w:val="00A83D7D"/>
    <w:pPr>
      <w:suppressAutoHyphens/>
      <w:spacing w:line="260" w:lineRule="atLeast"/>
    </w:pPr>
    <w:rPr>
      <w:lang w:eastAsia="ar-SA"/>
    </w:rPr>
  </w:style>
  <w:style w:type="paragraph" w:customStyle="1" w:styleId="Default">
    <w:name w:val="Default"/>
    <w:rsid w:val="00A83D7D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val="hu-HU" w:eastAsia="zh-TW"/>
    </w:rPr>
  </w:style>
  <w:style w:type="character" w:styleId="Jegyzethivatkozs">
    <w:name w:val="annotation reference"/>
    <w:aliases w:val=" Char Char13 Zchn Zchn Char Char Char Char Zchn Zchn, Char Char13"/>
    <w:semiHidden/>
    <w:rsid w:val="00A83D7D"/>
    <w:rPr>
      <w:sz w:val="16"/>
      <w:szCs w:val="16"/>
    </w:rPr>
  </w:style>
  <w:style w:type="paragraph" w:styleId="Buborkszveg">
    <w:name w:val="Balloon Text"/>
    <w:basedOn w:val="Norml"/>
    <w:semiHidden/>
    <w:rsid w:val="00DC3A34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E3FD7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0E3FD7"/>
    <w:rPr>
      <w:b/>
      <w:bCs/>
    </w:rPr>
  </w:style>
  <w:style w:type="paragraph" w:styleId="lfej">
    <w:name w:val="header"/>
    <w:basedOn w:val="Norml"/>
    <w:link w:val="lfejChar"/>
    <w:rsid w:val="00C93C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93C1B"/>
  </w:style>
  <w:style w:type="paragraph" w:styleId="llb">
    <w:name w:val="footer"/>
    <w:basedOn w:val="Norml"/>
    <w:rsid w:val="00E64C9C"/>
    <w:pPr>
      <w:tabs>
        <w:tab w:val="center" w:pos="4536"/>
        <w:tab w:val="right" w:pos="9072"/>
      </w:tabs>
    </w:pPr>
  </w:style>
  <w:style w:type="paragraph" w:styleId="Vltozat">
    <w:name w:val="Revision"/>
    <w:hidden/>
    <w:uiPriority w:val="99"/>
    <w:semiHidden/>
    <w:rsid w:val="009A05F4"/>
    <w:rPr>
      <w:sz w:val="22"/>
      <w:lang w:val="en-GB"/>
    </w:rPr>
  </w:style>
  <w:style w:type="character" w:styleId="Hiperhivatkozs">
    <w:name w:val="Hyperlink"/>
    <w:rsid w:val="00E56735"/>
    <w:rPr>
      <w:rFonts w:cs="Times New Roman"/>
      <w:color w:val="0000FF"/>
      <w:u w:val="single"/>
    </w:rPr>
  </w:style>
  <w:style w:type="paragraph" w:customStyle="1" w:styleId="GlobalBayerBodyText">
    <w:name w:val="Global Bayer Body Text"/>
    <w:basedOn w:val="Norml"/>
    <w:rsid w:val="008C1F79"/>
    <w:pPr>
      <w:tabs>
        <w:tab w:val="left" w:pos="11174"/>
        <w:tab w:val="left" w:pos="15142"/>
      </w:tabs>
      <w:suppressAutoHyphens/>
      <w:spacing w:before="120" w:after="240"/>
    </w:pPr>
    <w:rPr>
      <w:rFonts w:ascii="Arial" w:hAnsi="Arial" w:cs="Arial"/>
      <w:sz w:val="24"/>
      <w:szCs w:val="24"/>
      <w:lang w:val="en-US" w:eastAsia="hu-HU"/>
    </w:rPr>
  </w:style>
  <w:style w:type="paragraph" w:styleId="NormlWeb">
    <w:name w:val="Normal (Web)"/>
    <w:basedOn w:val="Norml"/>
    <w:uiPriority w:val="99"/>
    <w:unhideWhenUsed/>
    <w:rsid w:val="002560C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odytextAgency">
    <w:name w:val="Body text (Agency)"/>
    <w:basedOn w:val="Norml"/>
    <w:link w:val="BodytextAgencyChar"/>
    <w:qFormat/>
    <w:rsid w:val="002560CE"/>
    <w:pPr>
      <w:spacing w:after="140" w:line="280" w:lineRule="atLeast"/>
    </w:pPr>
    <w:rPr>
      <w:rFonts w:ascii="Verdana" w:eastAsia="Verdana" w:hAnsi="Verdana" w:cs="Verdana"/>
      <w:sz w:val="18"/>
      <w:szCs w:val="18"/>
      <w:lang w:val="hu-HU" w:eastAsia="hu-HU" w:bidi="hu-HU"/>
    </w:rPr>
  </w:style>
  <w:style w:type="character" w:customStyle="1" w:styleId="BodytextAgencyChar">
    <w:name w:val="Body text (Agency) Char"/>
    <w:link w:val="BodytextAgency"/>
    <w:rsid w:val="002560CE"/>
    <w:rPr>
      <w:rFonts w:ascii="Verdana" w:eastAsia="Verdana" w:hAnsi="Verdana" w:cs="Verdana"/>
      <w:sz w:val="18"/>
      <w:szCs w:val="18"/>
      <w:lang w:val="hu-HU" w:eastAsia="hu-HU" w:bidi="hu-HU"/>
    </w:rPr>
  </w:style>
  <w:style w:type="paragraph" w:customStyle="1" w:styleId="EMEAEnBodyText">
    <w:name w:val="EMEA En Body Text"/>
    <w:basedOn w:val="Norml"/>
    <w:rsid w:val="00D02A31"/>
    <w:pPr>
      <w:spacing w:before="120" w:after="120"/>
      <w:jc w:val="both"/>
    </w:pPr>
    <w:rPr>
      <w:lang w:val="en-US"/>
    </w:rPr>
  </w:style>
  <w:style w:type="character" w:customStyle="1" w:styleId="JegyzetszvegChar">
    <w:name w:val="Jegyzetszöveg Char"/>
    <w:link w:val="Jegyzetszveg"/>
    <w:semiHidden/>
    <w:locked/>
    <w:rsid w:val="001655CE"/>
    <w:rPr>
      <w:lang w:val="en-GB"/>
    </w:rPr>
  </w:style>
  <w:style w:type="character" w:customStyle="1" w:styleId="longtext1">
    <w:name w:val="long_text1"/>
    <w:rsid w:val="0070121E"/>
    <w:rPr>
      <w:sz w:val="26"/>
      <w:szCs w:val="26"/>
    </w:rPr>
  </w:style>
  <w:style w:type="character" w:customStyle="1" w:styleId="lfejChar">
    <w:name w:val="Élőfej Char"/>
    <w:basedOn w:val="Bekezdsalapbettpusa"/>
    <w:link w:val="lfej"/>
    <w:rsid w:val="004D211C"/>
    <w:rPr>
      <w:sz w:val="22"/>
      <w:lang w:val="en-GB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328D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E2A7D"/>
    <w:pPr>
      <w:tabs>
        <w:tab w:val="left" w:pos="567"/>
      </w:tabs>
      <w:snapToGrid w:val="0"/>
      <w:spacing w:line="260" w:lineRule="exact"/>
      <w:ind w:left="720"/>
      <w:contextualSpacing/>
    </w:pPr>
    <w:rPr>
      <w:szCs w:val="22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4A022C"/>
    <w:rPr>
      <w:sz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48DB-BB17-4483-BBA8-D4F1F4E5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5665</Words>
  <Characters>39090</Characters>
  <Application>Microsoft Office Word</Application>
  <DocSecurity>0</DocSecurity>
  <Lines>325</Lines>
  <Paragraphs>89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Bayer</Company>
  <LinksUpToDate>false</LinksUpToDate>
  <CharactersWithSpaces>44666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Ádám Ildikó</dc:creator>
  <cp:keywords/>
  <cp:lastModifiedBy>HU_OGYI_56.1</cp:lastModifiedBy>
  <cp:revision>13</cp:revision>
  <cp:lastPrinted>2010-01-26T10:37:00Z</cp:lastPrinted>
  <dcterms:created xsi:type="dcterms:W3CDTF">2020-05-28T07:12:00Z</dcterms:created>
  <dcterms:modified xsi:type="dcterms:W3CDTF">2020-11-24T12:12:00Z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monika.szabo@bayer.com</vt:lpwstr>
  </property>
  <property fmtid="{D5CDD505-2E9C-101B-9397-08002B2CF9AE}" pid="5" name="MSIP_Label_7f850223-87a8-40c3-9eb2-432606efca2a_SetDate">
    <vt:lpwstr>2020-03-30T11:24:58.5543082Z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</Properties>
</file>